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E707C" w:rsidR="00B60421" w:rsidP="00A7041E" w:rsidRDefault="00D8024F" w14:paraId="62E7DD10" w14:textId="6E25766E">
      <w:pPr>
        <w:tabs>
          <w:tab w:val="center" w:pos="4140"/>
          <w:tab w:val="right" w:pos="9360"/>
        </w:tabs>
        <w:spacing w:line="240" w:lineRule="auto"/>
        <w:ind w:firstLine="0"/>
        <w:rPr>
          <w:szCs w:val="26"/>
        </w:rPr>
      </w:pPr>
      <w:r>
        <w:t>ALJ</w:t>
      </w:r>
      <w:r w:rsidR="00DA7B5D">
        <w:t>/</w:t>
      </w:r>
      <w:r>
        <w:t>RMD</w:t>
      </w:r>
      <w:r w:rsidR="00DA7B5D">
        <w:t>/</w:t>
      </w:r>
      <w:r>
        <w:t>gp2</w:t>
      </w:r>
      <w:r w:rsidR="007E0FEE">
        <w:tab/>
      </w:r>
      <w:r w:rsidR="007E707C">
        <w:rPr>
          <w:rFonts w:ascii="Arial" w:hAnsi="Arial" w:cs="Arial"/>
          <w:b/>
          <w:sz w:val="32"/>
          <w:szCs w:val="32"/>
        </w:rPr>
        <w:tab/>
      </w:r>
      <w:r w:rsidR="007E707C">
        <w:rPr>
          <w:rFonts w:cs="Arial"/>
          <w:b/>
          <w:szCs w:val="26"/>
        </w:rPr>
        <w:t>Date of Issuance:  10/12/2020</w:t>
      </w:r>
    </w:p>
    <w:p w:rsidR="00DA7B5D" w:rsidP="0087100E" w:rsidRDefault="00DA7B5D" w14:paraId="713E66CA" w14:textId="77777777">
      <w:pPr>
        <w:ind w:firstLine="0"/>
      </w:pPr>
    </w:p>
    <w:p w:rsidRPr="00D8024F" w:rsidR="00DA7B5D" w:rsidP="0087100E" w:rsidRDefault="00DA7B5D" w14:paraId="01FA346B" w14:textId="16579E44">
      <w:pPr>
        <w:ind w:left="1080" w:hanging="1080"/>
        <w:rPr>
          <w:b/>
          <w:bCs/>
        </w:rPr>
      </w:pPr>
      <w:r>
        <w:t xml:space="preserve">Decision </w:t>
      </w:r>
      <w:r w:rsidRPr="007E707C" w:rsidR="007E707C">
        <w:t>20-10-</w:t>
      </w:r>
      <w:proofErr w:type="gramStart"/>
      <w:r w:rsidRPr="007E707C" w:rsidR="007E707C">
        <w:t>003</w:t>
      </w:r>
      <w:r w:rsidR="007E707C">
        <w:t xml:space="preserve">  October</w:t>
      </w:r>
      <w:proofErr w:type="gramEnd"/>
      <w:r w:rsidR="007E707C">
        <w:t xml:space="preserve"> 8, 2020</w:t>
      </w:r>
    </w:p>
    <w:p w:rsidR="00DA7B5D" w:rsidP="00972624" w:rsidRDefault="00DA7B5D" w14:paraId="76B9A909" w14:textId="77777777">
      <w:pPr>
        <w:spacing w:line="240" w:lineRule="auto"/>
        <w:jc w:val="center"/>
        <w:rPr>
          <w:u w:val="single"/>
        </w:rPr>
      </w:pPr>
    </w:p>
    <w:p w:rsidR="00DA7B5D" w:rsidP="00972624" w:rsidRDefault="00DA7B5D" w14:paraId="4B96B901" w14:textId="77777777">
      <w:pPr>
        <w:spacing w:line="240" w:lineRule="auto"/>
        <w:ind w:firstLine="0"/>
        <w:jc w:val="center"/>
        <w:rPr>
          <w:rFonts w:ascii="Arial" w:hAnsi="Arial" w:cs="Arial"/>
          <w:sz w:val="24"/>
          <w:szCs w:val="24"/>
        </w:rPr>
      </w:pPr>
      <w:r w:rsidRPr="00DA7B5D">
        <w:rPr>
          <w:rFonts w:ascii="Arial" w:hAnsi="Arial" w:cs="Arial"/>
          <w:b/>
          <w:sz w:val="24"/>
          <w:szCs w:val="24"/>
        </w:rPr>
        <w:t>BEFORE THE PUBLIC UTILITIES COMMISSION OF THE STATE OF CALIFORNIA</w:t>
      </w:r>
    </w:p>
    <w:p w:rsidR="00DA7B5D" w:rsidP="00972624" w:rsidRDefault="00DA7B5D" w14:paraId="70443A25" w14:textId="77777777">
      <w:pPr>
        <w:spacing w:line="240" w:lineRule="auto"/>
        <w:ind w:firstLine="0"/>
        <w:rPr>
          <w:rFonts w:ascii="Arial" w:hAnsi="Arial" w:cs="Arial"/>
          <w:sz w:val="24"/>
          <w:szCs w:val="24"/>
        </w:rPr>
      </w:pPr>
    </w:p>
    <w:tbl>
      <w:tblPr>
        <w:tblStyle w:val="TableGrid"/>
        <w:tblW w:w="0" w:type="auto"/>
        <w:tblLook w:val="04A0" w:firstRow="1" w:lastRow="0" w:firstColumn="1" w:lastColumn="0" w:noHBand="0" w:noVBand="1"/>
      </w:tblPr>
      <w:tblGrid>
        <w:gridCol w:w="4675"/>
        <w:gridCol w:w="4675"/>
      </w:tblGrid>
      <w:tr w:rsidR="00DA7B5D" w:rsidTr="00DA7B5D" w14:paraId="749B92FF" w14:textId="77777777">
        <w:tc>
          <w:tcPr>
            <w:tcW w:w="4675" w:type="dxa"/>
            <w:tcBorders>
              <w:top w:val="nil"/>
              <w:left w:val="nil"/>
              <w:bottom w:val="single" w:color="auto" w:sz="4" w:space="0"/>
              <w:right w:val="single" w:color="auto" w:sz="4" w:space="0"/>
            </w:tcBorders>
          </w:tcPr>
          <w:p w:rsidRPr="00DA7B5D" w:rsidR="00DA7B5D" w:rsidP="00972624" w:rsidRDefault="00417A9E" w14:paraId="04779508" w14:textId="1E63EBC9">
            <w:pPr>
              <w:spacing w:line="240" w:lineRule="auto"/>
              <w:ind w:firstLine="0"/>
              <w:rPr>
                <w:rFonts w:cs="Arial"/>
                <w:szCs w:val="26"/>
              </w:rPr>
            </w:pPr>
            <w:r w:rsidRPr="00417A9E">
              <w:rPr>
                <w:rFonts w:cs="Arial"/>
                <w:szCs w:val="26"/>
              </w:rPr>
              <w:t>Application of Pacific Gas and Electric Company for Approval of its Mobile Application and Supporting Systems Pilot. (U39E).</w:t>
            </w:r>
            <w:r w:rsidRPr="00DA7B5D" w:rsidR="00DA7B5D">
              <w:rPr>
                <w:rFonts w:cs="Arial"/>
                <w:szCs w:val="26"/>
              </w:rPr>
              <w:br/>
            </w:r>
          </w:p>
        </w:tc>
        <w:tc>
          <w:tcPr>
            <w:tcW w:w="4675" w:type="dxa"/>
            <w:tcBorders>
              <w:top w:val="nil"/>
              <w:left w:val="single" w:color="auto" w:sz="4" w:space="0"/>
              <w:bottom w:val="nil"/>
              <w:right w:val="nil"/>
            </w:tcBorders>
            <w:vAlign w:val="center"/>
          </w:tcPr>
          <w:p w:rsidRPr="00DA7B5D" w:rsidR="00DA7B5D" w:rsidP="00972624" w:rsidRDefault="00545491" w14:paraId="7A9D037C" w14:textId="2FA7E6DB">
            <w:pPr>
              <w:spacing w:line="240" w:lineRule="auto"/>
              <w:ind w:firstLine="0"/>
              <w:jc w:val="center"/>
              <w:rPr>
                <w:rFonts w:cs="Arial"/>
                <w:szCs w:val="26"/>
              </w:rPr>
            </w:pPr>
            <w:r>
              <w:rPr>
                <w:rFonts w:cs="Arial"/>
                <w:szCs w:val="26"/>
              </w:rPr>
              <w:t>A</w:t>
            </w:r>
            <w:r w:rsidR="00D8024F">
              <w:rPr>
                <w:rFonts w:cs="Arial"/>
                <w:szCs w:val="26"/>
              </w:rPr>
              <w:t xml:space="preserve">pplication </w:t>
            </w:r>
            <w:r>
              <w:rPr>
                <w:rFonts w:cs="Arial"/>
                <w:szCs w:val="26"/>
              </w:rPr>
              <w:t>19-07-019</w:t>
            </w:r>
          </w:p>
        </w:tc>
      </w:tr>
    </w:tbl>
    <w:p w:rsidRPr="00972624" w:rsidR="00DA7B5D" w:rsidP="00972624" w:rsidRDefault="00DA7B5D" w14:paraId="0F6330A8" w14:textId="77777777">
      <w:pPr>
        <w:spacing w:line="240" w:lineRule="auto"/>
        <w:ind w:firstLine="0"/>
        <w:rPr>
          <w:rFonts w:ascii="Arial" w:hAnsi="Arial" w:cs="Arial"/>
          <w:sz w:val="24"/>
          <w:szCs w:val="24"/>
        </w:rPr>
      </w:pPr>
    </w:p>
    <w:p w:rsidRPr="00972624" w:rsidR="00DA7B5D" w:rsidP="00972624" w:rsidRDefault="00DA7B5D" w14:paraId="6B4E65C9" w14:textId="77777777">
      <w:pPr>
        <w:spacing w:line="240" w:lineRule="auto"/>
        <w:ind w:firstLine="0"/>
        <w:rPr>
          <w:rFonts w:ascii="Arial" w:hAnsi="Arial" w:cs="Arial"/>
          <w:sz w:val="24"/>
          <w:szCs w:val="24"/>
        </w:rPr>
      </w:pPr>
    </w:p>
    <w:p w:rsidRPr="00972624" w:rsidR="00F92385" w:rsidP="00972624" w:rsidRDefault="00545491" w14:paraId="39A3B82C" w14:textId="4071B424">
      <w:pPr>
        <w:pStyle w:val="Dummy"/>
        <w:jc w:val="center"/>
        <w:sectPr w:rsidRPr="00972624" w:rsidR="00F92385" w:rsidSect="00CC6227">
          <w:headerReference w:type="first" r:id="rId11"/>
          <w:footerReference w:type="first" r:id="rId12"/>
          <w:pgSz w:w="12240" w:h="15840"/>
          <w:pgMar w:top="1440" w:right="1440" w:bottom="1440" w:left="1440" w:header="720" w:footer="720" w:gutter="0"/>
          <w:pgNumType w:start="1"/>
          <w:cols w:space="720"/>
          <w:titlePg/>
          <w:docGrid w:linePitch="360"/>
        </w:sectPr>
      </w:pPr>
      <w:bookmarkStart w:name="_Toc52866535" w:id="0"/>
      <w:r w:rsidRPr="00972624">
        <w:t>DECISION APPROVING PACIFIC GAS AND ELECTRIC COMPANY’S MOBILE APPLICATION AND SUPPORTING SYSTEMS PILOT</w:t>
      </w:r>
      <w:bookmarkEnd w:id="0"/>
      <w:r w:rsidRPr="00972624">
        <w:t xml:space="preserve">    </w:t>
      </w:r>
    </w:p>
    <w:p w:rsidRPr="00972624" w:rsidR="00D50119" w:rsidP="00972624" w:rsidRDefault="00D50119" w14:paraId="58DD360B" w14:textId="77777777">
      <w:pPr>
        <w:pStyle w:val="Main"/>
        <w:rPr>
          <w:rFonts w:ascii="Book Antiqua" w:hAnsi="Book Antiqua"/>
        </w:rPr>
      </w:pPr>
      <w:r w:rsidRPr="00972624">
        <w:rPr>
          <w:rFonts w:ascii="Book Antiqua" w:hAnsi="Book Antiqua"/>
        </w:rPr>
        <w:lastRenderedPageBreak/>
        <w:t>TABLE OF CONTENTS</w:t>
      </w:r>
    </w:p>
    <w:p w:rsidRPr="00972624" w:rsidR="009C1871" w:rsidP="00972624" w:rsidRDefault="009C1871" w14:paraId="68F6C01F" w14:textId="5C2DA5CA">
      <w:pPr>
        <w:pStyle w:val="TOC1"/>
        <w:tabs>
          <w:tab w:val="right" w:leader="dot" w:pos="9350"/>
        </w:tabs>
      </w:pPr>
    </w:p>
    <w:sdt>
      <w:sdtPr>
        <w:id w:val="-1224440197"/>
        <w:docPartObj>
          <w:docPartGallery w:val="Table of Contents"/>
          <w:docPartUnique/>
        </w:docPartObj>
      </w:sdtPr>
      <w:sdtEndPr>
        <w:rPr>
          <w:b/>
          <w:bCs/>
          <w:noProof/>
        </w:rPr>
      </w:sdtEndPr>
      <w:sdtContent>
        <w:p w:rsidR="002D4BDB" w:rsidP="00DD7273" w:rsidRDefault="009C1871" w14:paraId="348DE515" w14:textId="3DE721A5">
          <w:pPr>
            <w:pStyle w:val="TOC1"/>
            <w:tabs>
              <w:tab w:val="right" w:leader="dot" w:pos="9350"/>
            </w:tabs>
            <w:ind w:left="0" w:firstLine="0"/>
            <w:rPr>
              <w:rFonts w:asciiTheme="minorHAnsi" w:hAnsiTheme="minorHAnsi" w:cstheme="minorBidi"/>
              <w:noProof/>
              <w:sz w:val="22"/>
            </w:rPr>
          </w:pPr>
          <w:r w:rsidRPr="00972624">
            <w:rPr>
              <w:rFonts w:asciiTheme="minorHAnsi" w:hAnsiTheme="minorHAnsi"/>
              <w:sz w:val="22"/>
            </w:rPr>
            <w:fldChar w:fldCharType="begin"/>
          </w:r>
          <w:r w:rsidRPr="00972624">
            <w:rPr>
              <w:rFonts w:asciiTheme="minorHAnsi" w:hAnsiTheme="minorHAnsi"/>
              <w:sz w:val="22"/>
            </w:rPr>
            <w:instrText xml:space="preserve"> TOC \o "1-6" \h \z \u </w:instrText>
          </w:r>
          <w:r w:rsidRPr="00972624">
            <w:rPr>
              <w:rFonts w:asciiTheme="minorHAnsi" w:hAnsiTheme="minorHAnsi"/>
              <w:sz w:val="22"/>
            </w:rPr>
            <w:fldChar w:fldCharType="separate"/>
          </w:r>
          <w:hyperlink w:history="1" w:anchor="_Toc52866535">
            <w:r w:rsidRPr="00CA5DBE" w:rsidR="002D4BDB">
              <w:rPr>
                <w:rStyle w:val="Hyperlink"/>
                <w:noProof/>
              </w:rPr>
              <w:t>DECISION APPROVING PACIFIC GAS AND ELECTRIC COMPANY’S MOBILE APPLICATION AND SUPPORTING</w:t>
            </w:r>
            <w:r w:rsidR="002D4BDB">
              <w:rPr>
                <w:rStyle w:val="Hyperlink"/>
                <w:noProof/>
              </w:rPr>
              <w:br/>
            </w:r>
            <w:r w:rsidRPr="00CA5DBE" w:rsidR="002D4BDB">
              <w:rPr>
                <w:rStyle w:val="Hyperlink"/>
                <w:noProof/>
              </w:rPr>
              <w:t xml:space="preserve"> SYSTEMS PILOT</w:t>
            </w:r>
            <w:r w:rsidR="002D4BDB">
              <w:rPr>
                <w:noProof/>
                <w:webHidden/>
              </w:rPr>
              <w:tab/>
            </w:r>
            <w:r w:rsidR="002D4BDB">
              <w:rPr>
                <w:noProof/>
                <w:webHidden/>
              </w:rPr>
              <w:fldChar w:fldCharType="begin"/>
            </w:r>
            <w:r w:rsidR="002D4BDB">
              <w:rPr>
                <w:noProof/>
                <w:webHidden/>
              </w:rPr>
              <w:instrText xml:space="preserve"> PAGEREF _Toc52866535 \h </w:instrText>
            </w:r>
            <w:r w:rsidR="002D4BDB">
              <w:rPr>
                <w:noProof/>
                <w:webHidden/>
              </w:rPr>
            </w:r>
            <w:r w:rsidR="002D4BDB">
              <w:rPr>
                <w:noProof/>
                <w:webHidden/>
              </w:rPr>
              <w:fldChar w:fldCharType="separate"/>
            </w:r>
            <w:r w:rsidR="002D4BDB">
              <w:rPr>
                <w:noProof/>
                <w:webHidden/>
              </w:rPr>
              <w:t>1</w:t>
            </w:r>
            <w:r w:rsidR="002D4BDB">
              <w:rPr>
                <w:noProof/>
                <w:webHidden/>
              </w:rPr>
              <w:fldChar w:fldCharType="end"/>
            </w:r>
          </w:hyperlink>
        </w:p>
        <w:p w:rsidR="002D4BDB" w:rsidRDefault="00F1138C" w14:paraId="429A2DC5" w14:textId="390F3E2C">
          <w:pPr>
            <w:pStyle w:val="TOC1"/>
            <w:tabs>
              <w:tab w:val="right" w:leader="dot" w:pos="9350"/>
            </w:tabs>
            <w:rPr>
              <w:rFonts w:asciiTheme="minorHAnsi" w:hAnsiTheme="minorHAnsi" w:cstheme="minorBidi"/>
              <w:noProof/>
              <w:sz w:val="22"/>
            </w:rPr>
          </w:pPr>
          <w:hyperlink w:history="1" w:anchor="_Toc52866536">
            <w:r w:rsidRPr="00CA5DBE" w:rsidR="002D4BDB">
              <w:rPr>
                <w:rStyle w:val="Hyperlink"/>
                <w:noProof/>
              </w:rPr>
              <w:t>Summary</w:t>
            </w:r>
            <w:r w:rsidR="002D4BDB">
              <w:rPr>
                <w:noProof/>
                <w:webHidden/>
              </w:rPr>
              <w:tab/>
            </w:r>
            <w:r w:rsidR="002D4BDB">
              <w:rPr>
                <w:noProof/>
                <w:webHidden/>
              </w:rPr>
              <w:fldChar w:fldCharType="begin"/>
            </w:r>
            <w:r w:rsidR="002D4BDB">
              <w:rPr>
                <w:noProof/>
                <w:webHidden/>
              </w:rPr>
              <w:instrText xml:space="preserve"> PAGEREF _Toc52866536 \h </w:instrText>
            </w:r>
            <w:r w:rsidR="002D4BDB">
              <w:rPr>
                <w:noProof/>
                <w:webHidden/>
              </w:rPr>
            </w:r>
            <w:r w:rsidR="002D4BDB">
              <w:rPr>
                <w:noProof/>
                <w:webHidden/>
              </w:rPr>
              <w:fldChar w:fldCharType="separate"/>
            </w:r>
            <w:r w:rsidR="002D4BDB">
              <w:rPr>
                <w:noProof/>
                <w:webHidden/>
              </w:rPr>
              <w:t>2</w:t>
            </w:r>
            <w:r w:rsidR="002D4BDB">
              <w:rPr>
                <w:noProof/>
                <w:webHidden/>
              </w:rPr>
              <w:fldChar w:fldCharType="end"/>
            </w:r>
          </w:hyperlink>
        </w:p>
        <w:p w:rsidR="002D4BDB" w:rsidRDefault="00F1138C" w14:paraId="2FDAC1EC" w14:textId="3D07E470">
          <w:pPr>
            <w:pStyle w:val="TOC1"/>
            <w:tabs>
              <w:tab w:val="right" w:leader="dot" w:pos="9350"/>
            </w:tabs>
            <w:rPr>
              <w:rFonts w:asciiTheme="minorHAnsi" w:hAnsiTheme="minorHAnsi" w:cstheme="minorBidi"/>
              <w:noProof/>
              <w:sz w:val="22"/>
            </w:rPr>
          </w:pPr>
          <w:hyperlink w:history="1" w:anchor="_Toc52866537">
            <w:r w:rsidRPr="00CA5DBE" w:rsidR="002D4BDB">
              <w:rPr>
                <w:rStyle w:val="Hyperlink"/>
                <w:noProof/>
              </w:rPr>
              <w:t>1.</w:t>
            </w:r>
            <w:r w:rsidR="002D4BDB">
              <w:rPr>
                <w:rFonts w:asciiTheme="minorHAnsi" w:hAnsiTheme="minorHAnsi" w:cstheme="minorBidi"/>
                <w:noProof/>
                <w:sz w:val="22"/>
              </w:rPr>
              <w:tab/>
            </w:r>
            <w:r w:rsidRPr="00CA5DBE" w:rsidR="002D4BDB">
              <w:rPr>
                <w:rStyle w:val="Hyperlink"/>
                <w:noProof/>
              </w:rPr>
              <w:t>Background</w:t>
            </w:r>
            <w:r w:rsidR="002D4BDB">
              <w:rPr>
                <w:noProof/>
                <w:webHidden/>
              </w:rPr>
              <w:tab/>
            </w:r>
            <w:r w:rsidR="002D4BDB">
              <w:rPr>
                <w:noProof/>
                <w:webHidden/>
              </w:rPr>
              <w:fldChar w:fldCharType="begin"/>
            </w:r>
            <w:r w:rsidR="002D4BDB">
              <w:rPr>
                <w:noProof/>
                <w:webHidden/>
              </w:rPr>
              <w:instrText xml:space="preserve"> PAGEREF _Toc52866537 \h </w:instrText>
            </w:r>
            <w:r w:rsidR="002D4BDB">
              <w:rPr>
                <w:noProof/>
                <w:webHidden/>
              </w:rPr>
            </w:r>
            <w:r w:rsidR="002D4BDB">
              <w:rPr>
                <w:noProof/>
                <w:webHidden/>
              </w:rPr>
              <w:fldChar w:fldCharType="separate"/>
            </w:r>
            <w:r w:rsidR="002D4BDB">
              <w:rPr>
                <w:noProof/>
                <w:webHidden/>
              </w:rPr>
              <w:t>2</w:t>
            </w:r>
            <w:r w:rsidR="002D4BDB">
              <w:rPr>
                <w:noProof/>
                <w:webHidden/>
              </w:rPr>
              <w:fldChar w:fldCharType="end"/>
            </w:r>
          </w:hyperlink>
        </w:p>
        <w:p w:rsidR="002D4BDB" w:rsidRDefault="00F1138C" w14:paraId="764E4F07" w14:textId="5C533A7E">
          <w:pPr>
            <w:pStyle w:val="TOC1"/>
            <w:tabs>
              <w:tab w:val="right" w:leader="dot" w:pos="9350"/>
            </w:tabs>
            <w:rPr>
              <w:rFonts w:asciiTheme="minorHAnsi" w:hAnsiTheme="minorHAnsi" w:cstheme="minorBidi"/>
              <w:noProof/>
              <w:sz w:val="22"/>
            </w:rPr>
          </w:pPr>
          <w:hyperlink w:history="1" w:anchor="_Toc52866538">
            <w:r w:rsidRPr="00CA5DBE" w:rsidR="002D4BDB">
              <w:rPr>
                <w:rStyle w:val="Hyperlink"/>
                <w:noProof/>
              </w:rPr>
              <w:t>2.</w:t>
            </w:r>
            <w:r w:rsidR="002D4BDB">
              <w:rPr>
                <w:rFonts w:asciiTheme="minorHAnsi" w:hAnsiTheme="minorHAnsi" w:cstheme="minorBidi"/>
                <w:noProof/>
                <w:sz w:val="22"/>
              </w:rPr>
              <w:tab/>
            </w:r>
            <w:r w:rsidRPr="00CA5DBE" w:rsidR="002D4BDB">
              <w:rPr>
                <w:rStyle w:val="Hyperlink"/>
                <w:noProof/>
              </w:rPr>
              <w:t>Conformity with I.19-06-015</w:t>
            </w:r>
            <w:r w:rsidR="002D4BDB">
              <w:rPr>
                <w:noProof/>
                <w:webHidden/>
              </w:rPr>
              <w:tab/>
            </w:r>
            <w:r w:rsidR="002D4BDB">
              <w:rPr>
                <w:noProof/>
                <w:webHidden/>
              </w:rPr>
              <w:fldChar w:fldCharType="begin"/>
            </w:r>
            <w:r w:rsidR="002D4BDB">
              <w:rPr>
                <w:noProof/>
                <w:webHidden/>
              </w:rPr>
              <w:instrText xml:space="preserve"> PAGEREF _Toc52866538 \h </w:instrText>
            </w:r>
            <w:r w:rsidR="002D4BDB">
              <w:rPr>
                <w:noProof/>
                <w:webHidden/>
              </w:rPr>
            </w:r>
            <w:r w:rsidR="002D4BDB">
              <w:rPr>
                <w:noProof/>
                <w:webHidden/>
              </w:rPr>
              <w:fldChar w:fldCharType="separate"/>
            </w:r>
            <w:r w:rsidR="002D4BDB">
              <w:rPr>
                <w:noProof/>
                <w:webHidden/>
              </w:rPr>
              <w:t>8</w:t>
            </w:r>
            <w:r w:rsidR="002D4BDB">
              <w:rPr>
                <w:noProof/>
                <w:webHidden/>
              </w:rPr>
              <w:fldChar w:fldCharType="end"/>
            </w:r>
          </w:hyperlink>
        </w:p>
        <w:p w:rsidR="002D4BDB" w:rsidRDefault="00F1138C" w14:paraId="353AA6A5" w14:textId="78F23C95">
          <w:pPr>
            <w:pStyle w:val="TOC2"/>
            <w:tabs>
              <w:tab w:val="right" w:leader="dot" w:pos="9350"/>
            </w:tabs>
            <w:rPr>
              <w:rFonts w:asciiTheme="minorHAnsi" w:hAnsiTheme="minorHAnsi" w:cstheme="minorBidi"/>
              <w:noProof/>
              <w:sz w:val="22"/>
            </w:rPr>
          </w:pPr>
          <w:hyperlink w:history="1" w:anchor="_Toc52866539">
            <w:r w:rsidRPr="00CA5DBE" w:rsidR="002D4BDB">
              <w:rPr>
                <w:rStyle w:val="Hyperlink"/>
                <w:noProof/>
              </w:rPr>
              <w:t>2.1.</w:t>
            </w:r>
            <w:r w:rsidR="002D4BDB">
              <w:rPr>
                <w:rFonts w:asciiTheme="minorHAnsi" w:hAnsiTheme="minorHAnsi" w:cstheme="minorBidi"/>
                <w:noProof/>
                <w:sz w:val="22"/>
              </w:rPr>
              <w:tab/>
            </w:r>
            <w:r w:rsidRPr="00CA5DBE" w:rsidR="002D4BDB">
              <w:rPr>
                <w:rStyle w:val="Hyperlink"/>
                <w:noProof/>
              </w:rPr>
              <w:t>Pilot Approach and Scope</w:t>
            </w:r>
            <w:r w:rsidR="002D4BDB">
              <w:rPr>
                <w:noProof/>
                <w:webHidden/>
              </w:rPr>
              <w:tab/>
            </w:r>
            <w:r w:rsidR="002D4BDB">
              <w:rPr>
                <w:noProof/>
                <w:webHidden/>
              </w:rPr>
              <w:fldChar w:fldCharType="begin"/>
            </w:r>
            <w:r w:rsidR="002D4BDB">
              <w:rPr>
                <w:noProof/>
                <w:webHidden/>
              </w:rPr>
              <w:instrText xml:space="preserve"> PAGEREF _Toc52866539 \h </w:instrText>
            </w:r>
            <w:r w:rsidR="002D4BDB">
              <w:rPr>
                <w:noProof/>
                <w:webHidden/>
              </w:rPr>
            </w:r>
            <w:r w:rsidR="002D4BDB">
              <w:rPr>
                <w:noProof/>
                <w:webHidden/>
              </w:rPr>
              <w:fldChar w:fldCharType="separate"/>
            </w:r>
            <w:r w:rsidR="002D4BDB">
              <w:rPr>
                <w:noProof/>
                <w:webHidden/>
              </w:rPr>
              <w:t>9</w:t>
            </w:r>
            <w:r w:rsidR="002D4BDB">
              <w:rPr>
                <w:noProof/>
                <w:webHidden/>
              </w:rPr>
              <w:fldChar w:fldCharType="end"/>
            </w:r>
          </w:hyperlink>
        </w:p>
        <w:p w:rsidR="002D4BDB" w:rsidRDefault="00F1138C" w14:paraId="2617DF62" w14:textId="5856501F">
          <w:pPr>
            <w:pStyle w:val="TOC2"/>
            <w:tabs>
              <w:tab w:val="right" w:leader="dot" w:pos="9350"/>
            </w:tabs>
            <w:rPr>
              <w:rFonts w:asciiTheme="minorHAnsi" w:hAnsiTheme="minorHAnsi" w:cstheme="minorBidi"/>
              <w:noProof/>
              <w:sz w:val="22"/>
            </w:rPr>
          </w:pPr>
          <w:hyperlink w:history="1" w:anchor="_Toc52866540">
            <w:r w:rsidRPr="00CA5DBE" w:rsidR="002D4BDB">
              <w:rPr>
                <w:rStyle w:val="Hyperlink"/>
                <w:noProof/>
              </w:rPr>
              <w:t>2.2.</w:t>
            </w:r>
            <w:r w:rsidR="002D4BDB">
              <w:rPr>
                <w:rFonts w:asciiTheme="minorHAnsi" w:hAnsiTheme="minorHAnsi" w:cstheme="minorBidi"/>
                <w:noProof/>
                <w:sz w:val="22"/>
              </w:rPr>
              <w:tab/>
            </w:r>
            <w:r w:rsidRPr="00CA5DBE" w:rsidR="002D4BDB">
              <w:rPr>
                <w:rStyle w:val="Hyperlink"/>
                <w:noProof/>
              </w:rPr>
              <w:t>Pilot Phase</w:t>
            </w:r>
            <w:r w:rsidR="002D4BDB">
              <w:rPr>
                <w:noProof/>
                <w:webHidden/>
              </w:rPr>
              <w:tab/>
            </w:r>
            <w:r w:rsidR="002D4BDB">
              <w:rPr>
                <w:noProof/>
                <w:webHidden/>
              </w:rPr>
              <w:fldChar w:fldCharType="begin"/>
            </w:r>
            <w:r w:rsidR="002D4BDB">
              <w:rPr>
                <w:noProof/>
                <w:webHidden/>
              </w:rPr>
              <w:instrText xml:space="preserve"> PAGEREF _Toc52866540 \h </w:instrText>
            </w:r>
            <w:r w:rsidR="002D4BDB">
              <w:rPr>
                <w:noProof/>
                <w:webHidden/>
              </w:rPr>
            </w:r>
            <w:r w:rsidR="002D4BDB">
              <w:rPr>
                <w:noProof/>
                <w:webHidden/>
              </w:rPr>
              <w:fldChar w:fldCharType="separate"/>
            </w:r>
            <w:r w:rsidR="002D4BDB">
              <w:rPr>
                <w:noProof/>
                <w:webHidden/>
              </w:rPr>
              <w:t>11</w:t>
            </w:r>
            <w:r w:rsidR="002D4BDB">
              <w:rPr>
                <w:noProof/>
                <w:webHidden/>
              </w:rPr>
              <w:fldChar w:fldCharType="end"/>
            </w:r>
          </w:hyperlink>
        </w:p>
        <w:p w:rsidR="002D4BDB" w:rsidRDefault="00F1138C" w14:paraId="7CE18B77" w14:textId="479CCFEA">
          <w:pPr>
            <w:pStyle w:val="TOC2"/>
            <w:tabs>
              <w:tab w:val="right" w:leader="dot" w:pos="9350"/>
            </w:tabs>
            <w:rPr>
              <w:rFonts w:asciiTheme="minorHAnsi" w:hAnsiTheme="minorHAnsi" w:cstheme="minorBidi"/>
              <w:noProof/>
              <w:sz w:val="22"/>
            </w:rPr>
          </w:pPr>
          <w:hyperlink w:history="1" w:anchor="_Toc52866541">
            <w:r w:rsidRPr="00CA5DBE" w:rsidR="002D4BDB">
              <w:rPr>
                <w:rStyle w:val="Hyperlink"/>
                <w:noProof/>
              </w:rPr>
              <w:t>2.3.</w:t>
            </w:r>
            <w:r w:rsidR="002D4BDB">
              <w:rPr>
                <w:rFonts w:asciiTheme="minorHAnsi" w:hAnsiTheme="minorHAnsi" w:cstheme="minorBidi"/>
                <w:noProof/>
                <w:sz w:val="22"/>
              </w:rPr>
              <w:tab/>
            </w:r>
            <w:r w:rsidRPr="00CA5DBE" w:rsidR="002D4BDB">
              <w:rPr>
                <w:rStyle w:val="Hyperlink"/>
                <w:noProof/>
              </w:rPr>
              <w:t>Publicly-Available Mobile App</w:t>
            </w:r>
            <w:r w:rsidR="002D4BDB">
              <w:rPr>
                <w:noProof/>
                <w:webHidden/>
              </w:rPr>
              <w:tab/>
            </w:r>
            <w:r w:rsidR="002D4BDB">
              <w:rPr>
                <w:noProof/>
                <w:webHidden/>
              </w:rPr>
              <w:fldChar w:fldCharType="begin"/>
            </w:r>
            <w:r w:rsidR="002D4BDB">
              <w:rPr>
                <w:noProof/>
                <w:webHidden/>
              </w:rPr>
              <w:instrText xml:space="preserve"> PAGEREF _Toc52866541 \h </w:instrText>
            </w:r>
            <w:r w:rsidR="002D4BDB">
              <w:rPr>
                <w:noProof/>
                <w:webHidden/>
              </w:rPr>
            </w:r>
            <w:r w:rsidR="002D4BDB">
              <w:rPr>
                <w:noProof/>
                <w:webHidden/>
              </w:rPr>
              <w:fldChar w:fldCharType="separate"/>
            </w:r>
            <w:r w:rsidR="002D4BDB">
              <w:rPr>
                <w:noProof/>
                <w:webHidden/>
              </w:rPr>
              <w:t>13</w:t>
            </w:r>
            <w:r w:rsidR="002D4BDB">
              <w:rPr>
                <w:noProof/>
                <w:webHidden/>
              </w:rPr>
              <w:fldChar w:fldCharType="end"/>
            </w:r>
          </w:hyperlink>
        </w:p>
        <w:p w:rsidR="002D4BDB" w:rsidRDefault="00F1138C" w14:paraId="73B03E67" w14:textId="426EF89C">
          <w:pPr>
            <w:pStyle w:val="TOC2"/>
            <w:tabs>
              <w:tab w:val="right" w:leader="dot" w:pos="9350"/>
            </w:tabs>
            <w:rPr>
              <w:rFonts w:asciiTheme="minorHAnsi" w:hAnsiTheme="minorHAnsi" w:cstheme="minorBidi"/>
              <w:noProof/>
              <w:sz w:val="22"/>
            </w:rPr>
          </w:pPr>
          <w:hyperlink w:history="1" w:anchor="_Toc52866542">
            <w:r w:rsidRPr="00CA5DBE" w:rsidR="002D4BDB">
              <w:rPr>
                <w:rStyle w:val="Hyperlink"/>
                <w:noProof/>
              </w:rPr>
              <w:t>2.4.</w:t>
            </w:r>
            <w:r w:rsidR="002D4BDB">
              <w:rPr>
                <w:rFonts w:asciiTheme="minorHAnsi" w:hAnsiTheme="minorHAnsi" w:cstheme="minorBidi"/>
                <w:noProof/>
                <w:sz w:val="22"/>
              </w:rPr>
              <w:tab/>
            </w:r>
            <w:r w:rsidRPr="00CA5DBE" w:rsidR="002D4BDB">
              <w:rPr>
                <w:rStyle w:val="Hyperlink"/>
                <w:noProof/>
              </w:rPr>
              <w:t>Cost Allocation</w:t>
            </w:r>
            <w:r w:rsidR="002D4BDB">
              <w:rPr>
                <w:noProof/>
                <w:webHidden/>
              </w:rPr>
              <w:tab/>
            </w:r>
            <w:r w:rsidR="002D4BDB">
              <w:rPr>
                <w:noProof/>
                <w:webHidden/>
              </w:rPr>
              <w:fldChar w:fldCharType="begin"/>
            </w:r>
            <w:r w:rsidR="002D4BDB">
              <w:rPr>
                <w:noProof/>
                <w:webHidden/>
              </w:rPr>
              <w:instrText xml:space="preserve"> PAGEREF _Toc52866542 \h </w:instrText>
            </w:r>
            <w:r w:rsidR="002D4BDB">
              <w:rPr>
                <w:noProof/>
                <w:webHidden/>
              </w:rPr>
            </w:r>
            <w:r w:rsidR="002D4BDB">
              <w:rPr>
                <w:noProof/>
                <w:webHidden/>
              </w:rPr>
              <w:fldChar w:fldCharType="separate"/>
            </w:r>
            <w:r w:rsidR="002D4BDB">
              <w:rPr>
                <w:noProof/>
                <w:webHidden/>
              </w:rPr>
              <w:t>15</w:t>
            </w:r>
            <w:r w:rsidR="002D4BDB">
              <w:rPr>
                <w:noProof/>
                <w:webHidden/>
              </w:rPr>
              <w:fldChar w:fldCharType="end"/>
            </w:r>
          </w:hyperlink>
        </w:p>
        <w:p w:rsidR="002D4BDB" w:rsidRDefault="00F1138C" w14:paraId="4B56DE18" w14:textId="356BE285">
          <w:pPr>
            <w:pStyle w:val="TOC2"/>
            <w:tabs>
              <w:tab w:val="right" w:leader="dot" w:pos="9350"/>
            </w:tabs>
            <w:rPr>
              <w:rFonts w:asciiTheme="minorHAnsi" w:hAnsiTheme="minorHAnsi" w:cstheme="minorBidi"/>
              <w:noProof/>
              <w:sz w:val="22"/>
            </w:rPr>
          </w:pPr>
          <w:hyperlink w:history="1" w:anchor="_Toc52866543">
            <w:r w:rsidRPr="00CA5DBE" w:rsidR="002D4BDB">
              <w:rPr>
                <w:rStyle w:val="Hyperlink"/>
                <w:noProof/>
              </w:rPr>
              <w:t>2.5.</w:t>
            </w:r>
            <w:r w:rsidR="002D4BDB">
              <w:rPr>
                <w:rFonts w:asciiTheme="minorHAnsi" w:hAnsiTheme="minorHAnsi" w:cstheme="minorBidi"/>
                <w:noProof/>
                <w:sz w:val="22"/>
              </w:rPr>
              <w:tab/>
            </w:r>
            <w:r w:rsidRPr="00CA5DBE" w:rsidR="002D4BDB">
              <w:rPr>
                <w:rStyle w:val="Hyperlink"/>
                <w:noProof/>
              </w:rPr>
              <w:t>Open Source</w:t>
            </w:r>
            <w:r w:rsidR="002D4BDB">
              <w:rPr>
                <w:noProof/>
                <w:webHidden/>
              </w:rPr>
              <w:tab/>
            </w:r>
            <w:r w:rsidR="002D4BDB">
              <w:rPr>
                <w:noProof/>
                <w:webHidden/>
              </w:rPr>
              <w:fldChar w:fldCharType="begin"/>
            </w:r>
            <w:r w:rsidR="002D4BDB">
              <w:rPr>
                <w:noProof/>
                <w:webHidden/>
              </w:rPr>
              <w:instrText xml:space="preserve"> PAGEREF _Toc52866543 \h </w:instrText>
            </w:r>
            <w:r w:rsidR="002D4BDB">
              <w:rPr>
                <w:noProof/>
                <w:webHidden/>
              </w:rPr>
            </w:r>
            <w:r w:rsidR="002D4BDB">
              <w:rPr>
                <w:noProof/>
                <w:webHidden/>
              </w:rPr>
              <w:fldChar w:fldCharType="separate"/>
            </w:r>
            <w:r w:rsidR="002D4BDB">
              <w:rPr>
                <w:noProof/>
                <w:webHidden/>
              </w:rPr>
              <w:t>16</w:t>
            </w:r>
            <w:r w:rsidR="002D4BDB">
              <w:rPr>
                <w:noProof/>
                <w:webHidden/>
              </w:rPr>
              <w:fldChar w:fldCharType="end"/>
            </w:r>
          </w:hyperlink>
        </w:p>
        <w:p w:rsidR="002D4BDB" w:rsidRDefault="00F1138C" w14:paraId="5E930F1E" w14:textId="1925A727">
          <w:pPr>
            <w:pStyle w:val="TOC2"/>
            <w:tabs>
              <w:tab w:val="right" w:leader="dot" w:pos="9350"/>
            </w:tabs>
            <w:rPr>
              <w:rFonts w:asciiTheme="minorHAnsi" w:hAnsiTheme="minorHAnsi" w:cstheme="minorBidi"/>
              <w:noProof/>
              <w:sz w:val="22"/>
            </w:rPr>
          </w:pPr>
          <w:hyperlink w:history="1" w:anchor="_Toc52866544">
            <w:r w:rsidRPr="00CA5DBE" w:rsidR="002D4BDB">
              <w:rPr>
                <w:rStyle w:val="Hyperlink"/>
                <w:noProof/>
              </w:rPr>
              <w:t>2.6.</w:t>
            </w:r>
            <w:r w:rsidR="002D4BDB">
              <w:rPr>
                <w:rFonts w:asciiTheme="minorHAnsi" w:hAnsiTheme="minorHAnsi" w:cstheme="minorBidi"/>
                <w:noProof/>
                <w:sz w:val="22"/>
              </w:rPr>
              <w:tab/>
            </w:r>
            <w:r w:rsidRPr="00CA5DBE" w:rsidR="002D4BDB">
              <w:rPr>
                <w:rStyle w:val="Hyperlink"/>
                <w:noProof/>
              </w:rPr>
              <w:t>Within 30 Days - Posting of Information</w:t>
            </w:r>
            <w:r w:rsidR="002D4BDB">
              <w:rPr>
                <w:noProof/>
                <w:webHidden/>
              </w:rPr>
              <w:tab/>
            </w:r>
            <w:r w:rsidR="002D4BDB">
              <w:rPr>
                <w:noProof/>
                <w:webHidden/>
              </w:rPr>
              <w:fldChar w:fldCharType="begin"/>
            </w:r>
            <w:r w:rsidR="002D4BDB">
              <w:rPr>
                <w:noProof/>
                <w:webHidden/>
              </w:rPr>
              <w:instrText xml:space="preserve"> PAGEREF _Toc52866544 \h </w:instrText>
            </w:r>
            <w:r w:rsidR="002D4BDB">
              <w:rPr>
                <w:noProof/>
                <w:webHidden/>
              </w:rPr>
            </w:r>
            <w:r w:rsidR="002D4BDB">
              <w:rPr>
                <w:noProof/>
                <w:webHidden/>
              </w:rPr>
              <w:fldChar w:fldCharType="separate"/>
            </w:r>
            <w:r w:rsidR="002D4BDB">
              <w:rPr>
                <w:noProof/>
                <w:webHidden/>
              </w:rPr>
              <w:t>18</w:t>
            </w:r>
            <w:r w:rsidR="002D4BDB">
              <w:rPr>
                <w:noProof/>
                <w:webHidden/>
              </w:rPr>
              <w:fldChar w:fldCharType="end"/>
            </w:r>
          </w:hyperlink>
        </w:p>
        <w:p w:rsidR="002D4BDB" w:rsidRDefault="00F1138C" w14:paraId="4AB7C7EA" w14:textId="2510877D">
          <w:pPr>
            <w:pStyle w:val="TOC2"/>
            <w:tabs>
              <w:tab w:val="right" w:leader="dot" w:pos="9350"/>
            </w:tabs>
            <w:rPr>
              <w:rFonts w:asciiTheme="minorHAnsi" w:hAnsiTheme="minorHAnsi" w:cstheme="minorBidi"/>
              <w:noProof/>
              <w:sz w:val="22"/>
            </w:rPr>
          </w:pPr>
          <w:hyperlink w:history="1" w:anchor="_Toc52866545">
            <w:r w:rsidRPr="00CA5DBE" w:rsidR="002D4BDB">
              <w:rPr>
                <w:rStyle w:val="Hyperlink"/>
                <w:noProof/>
              </w:rPr>
              <w:t>2.7.</w:t>
            </w:r>
            <w:r w:rsidR="002D4BDB">
              <w:rPr>
                <w:rFonts w:asciiTheme="minorHAnsi" w:hAnsiTheme="minorHAnsi" w:cstheme="minorBidi"/>
                <w:noProof/>
                <w:sz w:val="22"/>
              </w:rPr>
              <w:tab/>
            </w:r>
            <w:r w:rsidRPr="00CA5DBE" w:rsidR="002D4BDB">
              <w:rPr>
                <w:rStyle w:val="Hyperlink"/>
                <w:noProof/>
              </w:rPr>
              <w:t>Asset Management Database and  Publicly-Available Information</w:t>
            </w:r>
            <w:r w:rsidR="002D4BDB">
              <w:rPr>
                <w:noProof/>
                <w:webHidden/>
              </w:rPr>
              <w:tab/>
            </w:r>
            <w:r w:rsidR="002D4BDB">
              <w:rPr>
                <w:noProof/>
                <w:webHidden/>
              </w:rPr>
              <w:fldChar w:fldCharType="begin"/>
            </w:r>
            <w:r w:rsidR="002D4BDB">
              <w:rPr>
                <w:noProof/>
                <w:webHidden/>
              </w:rPr>
              <w:instrText xml:space="preserve"> PAGEREF _Toc52866545 \h </w:instrText>
            </w:r>
            <w:r w:rsidR="002D4BDB">
              <w:rPr>
                <w:noProof/>
                <w:webHidden/>
              </w:rPr>
            </w:r>
            <w:r w:rsidR="002D4BDB">
              <w:rPr>
                <w:noProof/>
                <w:webHidden/>
              </w:rPr>
              <w:fldChar w:fldCharType="separate"/>
            </w:r>
            <w:r w:rsidR="002D4BDB">
              <w:rPr>
                <w:noProof/>
                <w:webHidden/>
              </w:rPr>
              <w:t>19</w:t>
            </w:r>
            <w:r w:rsidR="002D4BDB">
              <w:rPr>
                <w:noProof/>
                <w:webHidden/>
              </w:rPr>
              <w:fldChar w:fldCharType="end"/>
            </w:r>
          </w:hyperlink>
        </w:p>
        <w:p w:rsidR="002D4BDB" w:rsidRDefault="00F1138C" w14:paraId="077D49EE" w14:textId="74F61E89">
          <w:pPr>
            <w:pStyle w:val="TOC1"/>
            <w:tabs>
              <w:tab w:val="right" w:leader="dot" w:pos="9350"/>
            </w:tabs>
            <w:rPr>
              <w:rFonts w:asciiTheme="minorHAnsi" w:hAnsiTheme="minorHAnsi" w:cstheme="minorBidi"/>
              <w:noProof/>
              <w:sz w:val="22"/>
            </w:rPr>
          </w:pPr>
          <w:hyperlink w:history="1" w:anchor="_Toc52866546">
            <w:r w:rsidRPr="00CA5DBE" w:rsidR="002D4BDB">
              <w:rPr>
                <w:rStyle w:val="Hyperlink"/>
                <w:noProof/>
              </w:rPr>
              <w:t>3.</w:t>
            </w:r>
            <w:r w:rsidR="002D4BDB">
              <w:rPr>
                <w:rFonts w:asciiTheme="minorHAnsi" w:hAnsiTheme="minorHAnsi" w:cstheme="minorBidi"/>
                <w:noProof/>
                <w:sz w:val="22"/>
              </w:rPr>
              <w:tab/>
            </w:r>
            <w:r w:rsidRPr="00CA5DBE" w:rsidR="002D4BDB">
              <w:rPr>
                <w:rStyle w:val="Hyperlink"/>
                <w:noProof/>
              </w:rPr>
              <w:t>Additional Components of Mobile App Pilot</w:t>
            </w:r>
            <w:r w:rsidR="002D4BDB">
              <w:rPr>
                <w:noProof/>
                <w:webHidden/>
              </w:rPr>
              <w:tab/>
            </w:r>
            <w:r w:rsidR="002D4BDB">
              <w:rPr>
                <w:noProof/>
                <w:webHidden/>
              </w:rPr>
              <w:fldChar w:fldCharType="begin"/>
            </w:r>
            <w:r w:rsidR="002D4BDB">
              <w:rPr>
                <w:noProof/>
                <w:webHidden/>
              </w:rPr>
              <w:instrText xml:space="preserve"> PAGEREF _Toc52866546 \h </w:instrText>
            </w:r>
            <w:r w:rsidR="002D4BDB">
              <w:rPr>
                <w:noProof/>
                <w:webHidden/>
              </w:rPr>
            </w:r>
            <w:r w:rsidR="002D4BDB">
              <w:rPr>
                <w:noProof/>
                <w:webHidden/>
              </w:rPr>
              <w:fldChar w:fldCharType="separate"/>
            </w:r>
            <w:r w:rsidR="002D4BDB">
              <w:rPr>
                <w:noProof/>
                <w:webHidden/>
              </w:rPr>
              <w:t>22</w:t>
            </w:r>
            <w:r w:rsidR="002D4BDB">
              <w:rPr>
                <w:noProof/>
                <w:webHidden/>
              </w:rPr>
              <w:fldChar w:fldCharType="end"/>
            </w:r>
          </w:hyperlink>
        </w:p>
        <w:p w:rsidR="002D4BDB" w:rsidRDefault="00F1138C" w14:paraId="6C89F4D8" w14:textId="1AA33EE4">
          <w:pPr>
            <w:pStyle w:val="TOC2"/>
            <w:tabs>
              <w:tab w:val="right" w:leader="dot" w:pos="9350"/>
            </w:tabs>
            <w:rPr>
              <w:rFonts w:asciiTheme="minorHAnsi" w:hAnsiTheme="minorHAnsi" w:cstheme="minorBidi"/>
              <w:noProof/>
              <w:sz w:val="22"/>
            </w:rPr>
          </w:pPr>
          <w:hyperlink w:history="1" w:anchor="_Toc52866547">
            <w:r w:rsidRPr="00CA5DBE" w:rsidR="002D4BDB">
              <w:rPr>
                <w:rStyle w:val="Hyperlink"/>
                <w:noProof/>
              </w:rPr>
              <w:t>3.2.</w:t>
            </w:r>
            <w:r w:rsidR="002D4BDB">
              <w:rPr>
                <w:rFonts w:asciiTheme="minorHAnsi" w:hAnsiTheme="minorHAnsi" w:cstheme="minorBidi"/>
                <w:noProof/>
                <w:sz w:val="22"/>
              </w:rPr>
              <w:tab/>
            </w:r>
            <w:r w:rsidRPr="00CA5DBE" w:rsidR="002D4BDB">
              <w:rPr>
                <w:rStyle w:val="Hyperlink"/>
                <w:noProof/>
              </w:rPr>
              <w:t>Customer Base and Geographic Reach</w:t>
            </w:r>
            <w:r w:rsidR="002D4BDB">
              <w:rPr>
                <w:noProof/>
                <w:webHidden/>
              </w:rPr>
              <w:tab/>
            </w:r>
            <w:r w:rsidR="002D4BDB">
              <w:rPr>
                <w:noProof/>
                <w:webHidden/>
              </w:rPr>
              <w:fldChar w:fldCharType="begin"/>
            </w:r>
            <w:r w:rsidR="002D4BDB">
              <w:rPr>
                <w:noProof/>
                <w:webHidden/>
              </w:rPr>
              <w:instrText xml:space="preserve"> PAGEREF _Toc52866547 \h </w:instrText>
            </w:r>
            <w:r w:rsidR="002D4BDB">
              <w:rPr>
                <w:noProof/>
                <w:webHidden/>
              </w:rPr>
            </w:r>
            <w:r w:rsidR="002D4BDB">
              <w:rPr>
                <w:noProof/>
                <w:webHidden/>
              </w:rPr>
              <w:fldChar w:fldCharType="separate"/>
            </w:r>
            <w:r w:rsidR="002D4BDB">
              <w:rPr>
                <w:noProof/>
                <w:webHidden/>
              </w:rPr>
              <w:t>22</w:t>
            </w:r>
            <w:r w:rsidR="002D4BDB">
              <w:rPr>
                <w:noProof/>
                <w:webHidden/>
              </w:rPr>
              <w:fldChar w:fldCharType="end"/>
            </w:r>
          </w:hyperlink>
        </w:p>
        <w:p w:rsidR="002D4BDB" w:rsidRDefault="00F1138C" w14:paraId="0382E3F4" w14:textId="1E34C1FD">
          <w:pPr>
            <w:pStyle w:val="TOC2"/>
            <w:tabs>
              <w:tab w:val="right" w:leader="dot" w:pos="9350"/>
            </w:tabs>
            <w:rPr>
              <w:rFonts w:asciiTheme="minorHAnsi" w:hAnsiTheme="minorHAnsi" w:cstheme="minorBidi"/>
              <w:noProof/>
              <w:sz w:val="22"/>
            </w:rPr>
          </w:pPr>
          <w:hyperlink w:history="1" w:anchor="_Toc52866548">
            <w:r w:rsidRPr="00CA5DBE" w:rsidR="002D4BDB">
              <w:rPr>
                <w:rStyle w:val="Hyperlink"/>
                <w:noProof/>
              </w:rPr>
              <w:t>3.3.</w:t>
            </w:r>
            <w:r w:rsidR="002D4BDB">
              <w:rPr>
                <w:rFonts w:asciiTheme="minorHAnsi" w:hAnsiTheme="minorHAnsi" w:cstheme="minorBidi"/>
                <w:noProof/>
                <w:sz w:val="22"/>
              </w:rPr>
              <w:tab/>
            </w:r>
            <w:r w:rsidRPr="00CA5DBE" w:rsidR="002D4BDB">
              <w:rPr>
                <w:rStyle w:val="Hyperlink"/>
                <w:noProof/>
              </w:rPr>
              <w:t>Duration of Pilot</w:t>
            </w:r>
            <w:r w:rsidR="002D4BDB">
              <w:rPr>
                <w:noProof/>
                <w:webHidden/>
              </w:rPr>
              <w:tab/>
            </w:r>
            <w:r w:rsidR="002D4BDB">
              <w:rPr>
                <w:noProof/>
                <w:webHidden/>
              </w:rPr>
              <w:fldChar w:fldCharType="begin"/>
            </w:r>
            <w:r w:rsidR="002D4BDB">
              <w:rPr>
                <w:noProof/>
                <w:webHidden/>
              </w:rPr>
              <w:instrText xml:space="preserve"> PAGEREF _Toc52866548 \h </w:instrText>
            </w:r>
            <w:r w:rsidR="002D4BDB">
              <w:rPr>
                <w:noProof/>
                <w:webHidden/>
              </w:rPr>
            </w:r>
            <w:r w:rsidR="002D4BDB">
              <w:rPr>
                <w:noProof/>
                <w:webHidden/>
              </w:rPr>
              <w:fldChar w:fldCharType="separate"/>
            </w:r>
            <w:r w:rsidR="002D4BDB">
              <w:rPr>
                <w:noProof/>
                <w:webHidden/>
              </w:rPr>
              <w:t>24</w:t>
            </w:r>
            <w:r w:rsidR="002D4BDB">
              <w:rPr>
                <w:noProof/>
                <w:webHidden/>
              </w:rPr>
              <w:fldChar w:fldCharType="end"/>
            </w:r>
          </w:hyperlink>
        </w:p>
        <w:p w:rsidR="002D4BDB" w:rsidRDefault="00F1138C" w14:paraId="4F6FC741" w14:textId="1DD8ED0F">
          <w:pPr>
            <w:pStyle w:val="TOC2"/>
            <w:tabs>
              <w:tab w:val="right" w:leader="dot" w:pos="9350"/>
            </w:tabs>
            <w:rPr>
              <w:rFonts w:asciiTheme="minorHAnsi" w:hAnsiTheme="minorHAnsi" w:cstheme="minorBidi"/>
              <w:noProof/>
              <w:sz w:val="22"/>
            </w:rPr>
          </w:pPr>
          <w:hyperlink w:history="1" w:anchor="_Toc52866549">
            <w:r w:rsidRPr="00CA5DBE" w:rsidR="002D4BDB">
              <w:rPr>
                <w:rStyle w:val="Hyperlink"/>
                <w:noProof/>
              </w:rPr>
              <w:t>3.4.</w:t>
            </w:r>
            <w:r w:rsidR="002D4BDB">
              <w:rPr>
                <w:rFonts w:asciiTheme="minorHAnsi" w:hAnsiTheme="minorHAnsi" w:cstheme="minorBidi"/>
                <w:noProof/>
                <w:sz w:val="22"/>
              </w:rPr>
              <w:tab/>
            </w:r>
            <w:r w:rsidRPr="00CA5DBE" w:rsidR="002D4BDB">
              <w:rPr>
                <w:rStyle w:val="Hyperlink"/>
                <w:noProof/>
              </w:rPr>
              <w:t>Number of Safety Report/Submittals</w:t>
            </w:r>
            <w:r w:rsidR="002D4BDB">
              <w:rPr>
                <w:noProof/>
                <w:webHidden/>
              </w:rPr>
              <w:tab/>
            </w:r>
            <w:r w:rsidR="002D4BDB">
              <w:rPr>
                <w:noProof/>
                <w:webHidden/>
              </w:rPr>
              <w:fldChar w:fldCharType="begin"/>
            </w:r>
            <w:r w:rsidR="002D4BDB">
              <w:rPr>
                <w:noProof/>
                <w:webHidden/>
              </w:rPr>
              <w:instrText xml:space="preserve"> PAGEREF _Toc52866549 \h </w:instrText>
            </w:r>
            <w:r w:rsidR="002D4BDB">
              <w:rPr>
                <w:noProof/>
                <w:webHidden/>
              </w:rPr>
            </w:r>
            <w:r w:rsidR="002D4BDB">
              <w:rPr>
                <w:noProof/>
                <w:webHidden/>
              </w:rPr>
              <w:fldChar w:fldCharType="separate"/>
            </w:r>
            <w:r w:rsidR="002D4BDB">
              <w:rPr>
                <w:noProof/>
                <w:webHidden/>
              </w:rPr>
              <w:t>26</w:t>
            </w:r>
            <w:r w:rsidR="002D4BDB">
              <w:rPr>
                <w:noProof/>
                <w:webHidden/>
              </w:rPr>
              <w:fldChar w:fldCharType="end"/>
            </w:r>
          </w:hyperlink>
        </w:p>
        <w:p w:rsidR="002D4BDB" w:rsidRDefault="00F1138C" w14:paraId="0E3BEA9F" w14:textId="11C1C8E3">
          <w:pPr>
            <w:pStyle w:val="TOC2"/>
            <w:tabs>
              <w:tab w:val="right" w:leader="dot" w:pos="9350"/>
            </w:tabs>
            <w:rPr>
              <w:rFonts w:asciiTheme="minorHAnsi" w:hAnsiTheme="minorHAnsi" w:cstheme="minorBidi"/>
              <w:noProof/>
              <w:sz w:val="22"/>
            </w:rPr>
          </w:pPr>
          <w:hyperlink w:history="1" w:anchor="_Toc52866550">
            <w:r w:rsidRPr="00CA5DBE" w:rsidR="002D4BDB">
              <w:rPr>
                <w:rStyle w:val="Hyperlink"/>
                <w:noProof/>
              </w:rPr>
              <w:t>3.5.</w:t>
            </w:r>
            <w:r w:rsidR="002D4BDB">
              <w:rPr>
                <w:rFonts w:asciiTheme="minorHAnsi" w:hAnsiTheme="minorHAnsi" w:cstheme="minorBidi"/>
                <w:noProof/>
                <w:sz w:val="22"/>
              </w:rPr>
              <w:tab/>
            </w:r>
            <w:r w:rsidRPr="00CA5DBE" w:rsidR="002D4BDB">
              <w:rPr>
                <w:rStyle w:val="Hyperlink"/>
                <w:noProof/>
              </w:rPr>
              <w:t>Intake of Safety Reports and Existing Complaint Process</w:t>
            </w:r>
            <w:r w:rsidR="002D4BDB">
              <w:rPr>
                <w:noProof/>
                <w:webHidden/>
              </w:rPr>
              <w:tab/>
            </w:r>
            <w:r w:rsidR="002D4BDB">
              <w:rPr>
                <w:noProof/>
                <w:webHidden/>
              </w:rPr>
              <w:fldChar w:fldCharType="begin"/>
            </w:r>
            <w:r w:rsidR="002D4BDB">
              <w:rPr>
                <w:noProof/>
                <w:webHidden/>
              </w:rPr>
              <w:instrText xml:space="preserve"> PAGEREF _Toc52866550 \h </w:instrText>
            </w:r>
            <w:r w:rsidR="002D4BDB">
              <w:rPr>
                <w:noProof/>
                <w:webHidden/>
              </w:rPr>
            </w:r>
            <w:r w:rsidR="002D4BDB">
              <w:rPr>
                <w:noProof/>
                <w:webHidden/>
              </w:rPr>
              <w:fldChar w:fldCharType="separate"/>
            </w:r>
            <w:r w:rsidR="002D4BDB">
              <w:rPr>
                <w:noProof/>
                <w:webHidden/>
              </w:rPr>
              <w:t>27</w:t>
            </w:r>
            <w:r w:rsidR="002D4BDB">
              <w:rPr>
                <w:noProof/>
                <w:webHidden/>
              </w:rPr>
              <w:fldChar w:fldCharType="end"/>
            </w:r>
          </w:hyperlink>
        </w:p>
        <w:p w:rsidR="002D4BDB" w:rsidRDefault="00F1138C" w14:paraId="2BA49FB8" w14:textId="101A7E06">
          <w:pPr>
            <w:pStyle w:val="TOC2"/>
            <w:tabs>
              <w:tab w:val="right" w:leader="dot" w:pos="9350"/>
            </w:tabs>
            <w:rPr>
              <w:rFonts w:asciiTheme="minorHAnsi" w:hAnsiTheme="minorHAnsi" w:cstheme="minorBidi"/>
              <w:noProof/>
              <w:sz w:val="22"/>
            </w:rPr>
          </w:pPr>
          <w:hyperlink w:history="1" w:anchor="_Toc52866551">
            <w:r w:rsidRPr="00CA5DBE" w:rsidR="002D4BDB">
              <w:rPr>
                <w:rStyle w:val="Hyperlink"/>
                <w:noProof/>
              </w:rPr>
              <w:t>3.6.</w:t>
            </w:r>
            <w:r w:rsidR="002D4BDB">
              <w:rPr>
                <w:rFonts w:asciiTheme="minorHAnsi" w:hAnsiTheme="minorHAnsi" w:cstheme="minorBidi"/>
                <w:noProof/>
                <w:sz w:val="22"/>
              </w:rPr>
              <w:tab/>
            </w:r>
            <w:r w:rsidRPr="00CA5DBE" w:rsidR="002D4BDB">
              <w:rPr>
                <w:rStyle w:val="Hyperlink"/>
                <w:noProof/>
              </w:rPr>
              <w:t>Development Period and Pilot Launch Date</w:t>
            </w:r>
            <w:r w:rsidR="002D4BDB">
              <w:rPr>
                <w:noProof/>
                <w:webHidden/>
              </w:rPr>
              <w:tab/>
            </w:r>
            <w:r w:rsidR="002D4BDB">
              <w:rPr>
                <w:noProof/>
                <w:webHidden/>
              </w:rPr>
              <w:fldChar w:fldCharType="begin"/>
            </w:r>
            <w:r w:rsidR="002D4BDB">
              <w:rPr>
                <w:noProof/>
                <w:webHidden/>
              </w:rPr>
              <w:instrText xml:space="preserve"> PAGEREF _Toc52866551 \h </w:instrText>
            </w:r>
            <w:r w:rsidR="002D4BDB">
              <w:rPr>
                <w:noProof/>
                <w:webHidden/>
              </w:rPr>
            </w:r>
            <w:r w:rsidR="002D4BDB">
              <w:rPr>
                <w:noProof/>
                <w:webHidden/>
              </w:rPr>
              <w:fldChar w:fldCharType="separate"/>
            </w:r>
            <w:r w:rsidR="002D4BDB">
              <w:rPr>
                <w:noProof/>
                <w:webHidden/>
              </w:rPr>
              <w:t>31</w:t>
            </w:r>
            <w:r w:rsidR="002D4BDB">
              <w:rPr>
                <w:noProof/>
                <w:webHidden/>
              </w:rPr>
              <w:fldChar w:fldCharType="end"/>
            </w:r>
          </w:hyperlink>
        </w:p>
        <w:p w:rsidR="002D4BDB" w:rsidRDefault="00F1138C" w14:paraId="65901408" w14:textId="76F3247B">
          <w:pPr>
            <w:pStyle w:val="TOC2"/>
            <w:tabs>
              <w:tab w:val="right" w:leader="dot" w:pos="9350"/>
            </w:tabs>
            <w:rPr>
              <w:rFonts w:asciiTheme="minorHAnsi" w:hAnsiTheme="minorHAnsi" w:cstheme="minorBidi"/>
              <w:noProof/>
              <w:sz w:val="22"/>
            </w:rPr>
          </w:pPr>
          <w:hyperlink w:history="1" w:anchor="_Toc52866552">
            <w:r w:rsidRPr="00CA5DBE" w:rsidR="002D4BDB">
              <w:rPr>
                <w:rStyle w:val="Hyperlink"/>
                <w:noProof/>
              </w:rPr>
              <w:t>3.7.</w:t>
            </w:r>
            <w:r w:rsidR="002D4BDB">
              <w:rPr>
                <w:rFonts w:asciiTheme="minorHAnsi" w:hAnsiTheme="minorHAnsi" w:cstheme="minorBidi"/>
                <w:noProof/>
                <w:sz w:val="22"/>
              </w:rPr>
              <w:tab/>
            </w:r>
            <w:r w:rsidRPr="00CA5DBE" w:rsidR="002D4BDB">
              <w:rPr>
                <w:rStyle w:val="Hyperlink"/>
                <w:noProof/>
              </w:rPr>
              <w:t>Training and Artificial Intelligence</w:t>
            </w:r>
            <w:r w:rsidR="002D4BDB">
              <w:rPr>
                <w:noProof/>
                <w:webHidden/>
              </w:rPr>
              <w:tab/>
            </w:r>
            <w:r w:rsidR="002D4BDB">
              <w:rPr>
                <w:noProof/>
                <w:webHidden/>
              </w:rPr>
              <w:fldChar w:fldCharType="begin"/>
            </w:r>
            <w:r w:rsidR="002D4BDB">
              <w:rPr>
                <w:noProof/>
                <w:webHidden/>
              </w:rPr>
              <w:instrText xml:space="preserve"> PAGEREF _Toc52866552 \h </w:instrText>
            </w:r>
            <w:r w:rsidR="002D4BDB">
              <w:rPr>
                <w:noProof/>
                <w:webHidden/>
              </w:rPr>
            </w:r>
            <w:r w:rsidR="002D4BDB">
              <w:rPr>
                <w:noProof/>
                <w:webHidden/>
              </w:rPr>
              <w:fldChar w:fldCharType="separate"/>
            </w:r>
            <w:r w:rsidR="002D4BDB">
              <w:rPr>
                <w:noProof/>
                <w:webHidden/>
              </w:rPr>
              <w:t>32</w:t>
            </w:r>
            <w:r w:rsidR="002D4BDB">
              <w:rPr>
                <w:noProof/>
                <w:webHidden/>
              </w:rPr>
              <w:fldChar w:fldCharType="end"/>
            </w:r>
          </w:hyperlink>
        </w:p>
        <w:p w:rsidR="002D4BDB" w:rsidRDefault="00F1138C" w14:paraId="635D6DF7" w14:textId="197F7225">
          <w:pPr>
            <w:pStyle w:val="TOC1"/>
            <w:tabs>
              <w:tab w:val="right" w:leader="dot" w:pos="9350"/>
            </w:tabs>
            <w:rPr>
              <w:rFonts w:asciiTheme="minorHAnsi" w:hAnsiTheme="minorHAnsi" w:cstheme="minorBidi"/>
              <w:noProof/>
              <w:sz w:val="22"/>
            </w:rPr>
          </w:pPr>
          <w:hyperlink w:history="1" w:anchor="_Toc52866553">
            <w:r w:rsidRPr="00CA5DBE" w:rsidR="002D4BDB">
              <w:rPr>
                <w:rStyle w:val="Hyperlink"/>
                <w:noProof/>
              </w:rPr>
              <w:t>4.</w:t>
            </w:r>
            <w:r w:rsidR="002D4BDB">
              <w:rPr>
                <w:rFonts w:asciiTheme="minorHAnsi" w:hAnsiTheme="minorHAnsi" w:cstheme="minorBidi"/>
                <w:noProof/>
                <w:sz w:val="22"/>
              </w:rPr>
              <w:tab/>
            </w:r>
            <w:r w:rsidRPr="00CA5DBE" w:rsidR="002D4BDB">
              <w:rPr>
                <w:rStyle w:val="Hyperlink"/>
                <w:noProof/>
              </w:rPr>
              <w:t>Evaluation of Pilot</w:t>
            </w:r>
            <w:r w:rsidR="002D4BDB">
              <w:rPr>
                <w:noProof/>
                <w:webHidden/>
              </w:rPr>
              <w:tab/>
            </w:r>
            <w:r w:rsidR="002D4BDB">
              <w:rPr>
                <w:noProof/>
                <w:webHidden/>
              </w:rPr>
              <w:fldChar w:fldCharType="begin"/>
            </w:r>
            <w:r w:rsidR="002D4BDB">
              <w:rPr>
                <w:noProof/>
                <w:webHidden/>
              </w:rPr>
              <w:instrText xml:space="preserve"> PAGEREF _Toc52866553 \h </w:instrText>
            </w:r>
            <w:r w:rsidR="002D4BDB">
              <w:rPr>
                <w:noProof/>
                <w:webHidden/>
              </w:rPr>
            </w:r>
            <w:r w:rsidR="002D4BDB">
              <w:rPr>
                <w:noProof/>
                <w:webHidden/>
              </w:rPr>
              <w:fldChar w:fldCharType="separate"/>
            </w:r>
            <w:r w:rsidR="002D4BDB">
              <w:rPr>
                <w:noProof/>
                <w:webHidden/>
              </w:rPr>
              <w:t>34</w:t>
            </w:r>
            <w:r w:rsidR="002D4BDB">
              <w:rPr>
                <w:noProof/>
                <w:webHidden/>
              </w:rPr>
              <w:fldChar w:fldCharType="end"/>
            </w:r>
          </w:hyperlink>
        </w:p>
        <w:p w:rsidR="002D4BDB" w:rsidRDefault="00F1138C" w14:paraId="12508EA0" w14:textId="7C2E87B7">
          <w:pPr>
            <w:pStyle w:val="TOC2"/>
            <w:tabs>
              <w:tab w:val="right" w:leader="dot" w:pos="9350"/>
            </w:tabs>
            <w:rPr>
              <w:rFonts w:asciiTheme="minorHAnsi" w:hAnsiTheme="minorHAnsi" w:cstheme="minorBidi"/>
              <w:noProof/>
              <w:sz w:val="22"/>
            </w:rPr>
          </w:pPr>
          <w:hyperlink w:history="1" w:anchor="_Toc52866554">
            <w:r w:rsidRPr="00CA5DBE" w:rsidR="002D4BDB">
              <w:rPr>
                <w:rStyle w:val="Hyperlink"/>
                <w:noProof/>
              </w:rPr>
              <w:t>1.</w:t>
            </w:r>
            <w:r w:rsidR="002D4BDB">
              <w:rPr>
                <w:rFonts w:asciiTheme="minorHAnsi" w:hAnsiTheme="minorHAnsi" w:cstheme="minorBidi"/>
                <w:noProof/>
                <w:sz w:val="22"/>
              </w:rPr>
              <w:tab/>
            </w:r>
            <w:r w:rsidRPr="00CA5DBE" w:rsidR="002D4BDB">
              <w:rPr>
                <w:rStyle w:val="Hyperlink"/>
                <w:noProof/>
              </w:rPr>
              <w:t>PG&amp;E’s Proposal</w:t>
            </w:r>
            <w:r w:rsidR="002D4BDB">
              <w:rPr>
                <w:noProof/>
                <w:webHidden/>
              </w:rPr>
              <w:tab/>
            </w:r>
            <w:r w:rsidR="002D4BDB">
              <w:rPr>
                <w:noProof/>
                <w:webHidden/>
              </w:rPr>
              <w:fldChar w:fldCharType="begin"/>
            </w:r>
            <w:r w:rsidR="002D4BDB">
              <w:rPr>
                <w:noProof/>
                <w:webHidden/>
              </w:rPr>
              <w:instrText xml:space="preserve"> PAGEREF _Toc52866554 \h </w:instrText>
            </w:r>
            <w:r w:rsidR="002D4BDB">
              <w:rPr>
                <w:noProof/>
                <w:webHidden/>
              </w:rPr>
            </w:r>
            <w:r w:rsidR="002D4BDB">
              <w:rPr>
                <w:noProof/>
                <w:webHidden/>
              </w:rPr>
              <w:fldChar w:fldCharType="separate"/>
            </w:r>
            <w:r w:rsidR="002D4BDB">
              <w:rPr>
                <w:noProof/>
                <w:webHidden/>
              </w:rPr>
              <w:t>34</w:t>
            </w:r>
            <w:r w:rsidR="002D4BDB">
              <w:rPr>
                <w:noProof/>
                <w:webHidden/>
              </w:rPr>
              <w:fldChar w:fldCharType="end"/>
            </w:r>
          </w:hyperlink>
        </w:p>
        <w:p w:rsidR="002D4BDB" w:rsidRDefault="00F1138C" w14:paraId="377C4733" w14:textId="716E2929">
          <w:pPr>
            <w:pStyle w:val="TOC2"/>
            <w:tabs>
              <w:tab w:val="right" w:leader="dot" w:pos="9350"/>
            </w:tabs>
            <w:rPr>
              <w:rFonts w:asciiTheme="minorHAnsi" w:hAnsiTheme="minorHAnsi" w:cstheme="minorBidi"/>
              <w:noProof/>
              <w:sz w:val="22"/>
            </w:rPr>
          </w:pPr>
          <w:hyperlink w:history="1" w:anchor="_Toc52866555">
            <w:r w:rsidRPr="00CA5DBE" w:rsidR="002D4BDB">
              <w:rPr>
                <w:rStyle w:val="Hyperlink"/>
                <w:noProof/>
              </w:rPr>
              <w:t>2.</w:t>
            </w:r>
            <w:r w:rsidR="002D4BDB">
              <w:rPr>
                <w:rFonts w:asciiTheme="minorHAnsi" w:hAnsiTheme="minorHAnsi" w:cstheme="minorBidi"/>
                <w:noProof/>
                <w:sz w:val="22"/>
              </w:rPr>
              <w:tab/>
            </w:r>
            <w:r w:rsidRPr="00CA5DBE" w:rsidR="002D4BDB">
              <w:rPr>
                <w:rStyle w:val="Hyperlink"/>
                <w:noProof/>
              </w:rPr>
              <w:t>Party Comments</w:t>
            </w:r>
            <w:r w:rsidR="002D4BDB">
              <w:rPr>
                <w:noProof/>
                <w:webHidden/>
              </w:rPr>
              <w:tab/>
            </w:r>
            <w:r w:rsidR="002D4BDB">
              <w:rPr>
                <w:noProof/>
                <w:webHidden/>
              </w:rPr>
              <w:fldChar w:fldCharType="begin"/>
            </w:r>
            <w:r w:rsidR="002D4BDB">
              <w:rPr>
                <w:noProof/>
                <w:webHidden/>
              </w:rPr>
              <w:instrText xml:space="preserve"> PAGEREF _Toc52866555 \h </w:instrText>
            </w:r>
            <w:r w:rsidR="002D4BDB">
              <w:rPr>
                <w:noProof/>
                <w:webHidden/>
              </w:rPr>
            </w:r>
            <w:r w:rsidR="002D4BDB">
              <w:rPr>
                <w:noProof/>
                <w:webHidden/>
              </w:rPr>
              <w:fldChar w:fldCharType="separate"/>
            </w:r>
            <w:r w:rsidR="002D4BDB">
              <w:rPr>
                <w:noProof/>
                <w:webHidden/>
              </w:rPr>
              <w:t>35</w:t>
            </w:r>
            <w:r w:rsidR="002D4BDB">
              <w:rPr>
                <w:noProof/>
                <w:webHidden/>
              </w:rPr>
              <w:fldChar w:fldCharType="end"/>
            </w:r>
          </w:hyperlink>
        </w:p>
        <w:p w:rsidR="002D4BDB" w:rsidRDefault="00F1138C" w14:paraId="35C43669" w14:textId="32C3A6C5">
          <w:pPr>
            <w:pStyle w:val="TOC2"/>
            <w:tabs>
              <w:tab w:val="right" w:leader="dot" w:pos="9350"/>
            </w:tabs>
            <w:rPr>
              <w:rFonts w:asciiTheme="minorHAnsi" w:hAnsiTheme="minorHAnsi" w:cstheme="minorBidi"/>
              <w:noProof/>
              <w:sz w:val="22"/>
            </w:rPr>
          </w:pPr>
          <w:hyperlink w:history="1" w:anchor="_Toc52866556">
            <w:r w:rsidRPr="00CA5DBE" w:rsidR="002D4BDB">
              <w:rPr>
                <w:rStyle w:val="Hyperlink"/>
                <w:noProof/>
              </w:rPr>
              <w:t>3.</w:t>
            </w:r>
            <w:r w:rsidR="002D4BDB">
              <w:rPr>
                <w:rFonts w:asciiTheme="minorHAnsi" w:hAnsiTheme="minorHAnsi" w:cstheme="minorBidi"/>
                <w:noProof/>
                <w:sz w:val="22"/>
              </w:rPr>
              <w:tab/>
            </w:r>
            <w:r w:rsidRPr="00CA5DBE" w:rsidR="002D4BDB">
              <w:rPr>
                <w:rStyle w:val="Hyperlink"/>
                <w:noProof/>
              </w:rPr>
              <w:t>Discussion</w:t>
            </w:r>
            <w:r w:rsidR="002D4BDB">
              <w:rPr>
                <w:noProof/>
                <w:webHidden/>
              </w:rPr>
              <w:tab/>
            </w:r>
            <w:r w:rsidR="002D4BDB">
              <w:rPr>
                <w:noProof/>
                <w:webHidden/>
              </w:rPr>
              <w:fldChar w:fldCharType="begin"/>
            </w:r>
            <w:r w:rsidR="002D4BDB">
              <w:rPr>
                <w:noProof/>
                <w:webHidden/>
              </w:rPr>
              <w:instrText xml:space="preserve"> PAGEREF _Toc52866556 \h </w:instrText>
            </w:r>
            <w:r w:rsidR="002D4BDB">
              <w:rPr>
                <w:noProof/>
                <w:webHidden/>
              </w:rPr>
            </w:r>
            <w:r w:rsidR="002D4BDB">
              <w:rPr>
                <w:noProof/>
                <w:webHidden/>
              </w:rPr>
              <w:fldChar w:fldCharType="separate"/>
            </w:r>
            <w:r w:rsidR="002D4BDB">
              <w:rPr>
                <w:noProof/>
                <w:webHidden/>
              </w:rPr>
              <w:t>37</w:t>
            </w:r>
            <w:r w:rsidR="002D4BDB">
              <w:rPr>
                <w:noProof/>
                <w:webHidden/>
              </w:rPr>
              <w:fldChar w:fldCharType="end"/>
            </w:r>
          </w:hyperlink>
        </w:p>
        <w:p w:rsidR="002D4BDB" w:rsidRDefault="00F1138C" w14:paraId="43682D8A" w14:textId="4077C0BB">
          <w:pPr>
            <w:pStyle w:val="TOC2"/>
            <w:tabs>
              <w:tab w:val="right" w:leader="dot" w:pos="9350"/>
            </w:tabs>
            <w:rPr>
              <w:rFonts w:asciiTheme="minorHAnsi" w:hAnsiTheme="minorHAnsi" w:cstheme="minorBidi"/>
              <w:noProof/>
              <w:sz w:val="22"/>
            </w:rPr>
          </w:pPr>
          <w:hyperlink w:history="1" w:anchor="_Toc52866557">
            <w:r w:rsidRPr="00CA5DBE" w:rsidR="002D4BDB">
              <w:rPr>
                <w:rStyle w:val="Hyperlink"/>
                <w:noProof/>
              </w:rPr>
              <w:t>4.</w:t>
            </w:r>
            <w:r w:rsidR="002D4BDB">
              <w:rPr>
                <w:rFonts w:asciiTheme="minorHAnsi" w:hAnsiTheme="minorHAnsi" w:cstheme="minorBidi"/>
                <w:noProof/>
                <w:sz w:val="22"/>
              </w:rPr>
              <w:tab/>
            </w:r>
            <w:r w:rsidRPr="00CA5DBE" w:rsidR="002D4BDB">
              <w:rPr>
                <w:rStyle w:val="Hyperlink"/>
                <w:noProof/>
              </w:rPr>
              <w:t>Independent Evaluation</w:t>
            </w:r>
            <w:r w:rsidR="002D4BDB">
              <w:rPr>
                <w:noProof/>
                <w:webHidden/>
              </w:rPr>
              <w:tab/>
            </w:r>
            <w:r w:rsidR="002D4BDB">
              <w:rPr>
                <w:noProof/>
                <w:webHidden/>
              </w:rPr>
              <w:fldChar w:fldCharType="begin"/>
            </w:r>
            <w:r w:rsidR="002D4BDB">
              <w:rPr>
                <w:noProof/>
                <w:webHidden/>
              </w:rPr>
              <w:instrText xml:space="preserve"> PAGEREF _Toc52866557 \h </w:instrText>
            </w:r>
            <w:r w:rsidR="002D4BDB">
              <w:rPr>
                <w:noProof/>
                <w:webHidden/>
              </w:rPr>
            </w:r>
            <w:r w:rsidR="002D4BDB">
              <w:rPr>
                <w:noProof/>
                <w:webHidden/>
              </w:rPr>
              <w:fldChar w:fldCharType="separate"/>
            </w:r>
            <w:r w:rsidR="002D4BDB">
              <w:rPr>
                <w:noProof/>
                <w:webHidden/>
              </w:rPr>
              <w:t>38</w:t>
            </w:r>
            <w:r w:rsidR="002D4BDB">
              <w:rPr>
                <w:noProof/>
                <w:webHidden/>
              </w:rPr>
              <w:fldChar w:fldCharType="end"/>
            </w:r>
          </w:hyperlink>
        </w:p>
        <w:p w:rsidR="002D4BDB" w:rsidRDefault="00F1138C" w14:paraId="0EA7E758" w14:textId="40E9EC34">
          <w:pPr>
            <w:pStyle w:val="TOC1"/>
            <w:tabs>
              <w:tab w:val="right" w:leader="dot" w:pos="9350"/>
            </w:tabs>
            <w:rPr>
              <w:rFonts w:asciiTheme="minorHAnsi" w:hAnsiTheme="minorHAnsi" w:cstheme="minorBidi"/>
              <w:noProof/>
              <w:sz w:val="22"/>
            </w:rPr>
          </w:pPr>
          <w:hyperlink w:history="1" w:anchor="_Toc52866558">
            <w:r w:rsidRPr="00CA5DBE" w:rsidR="002D4BDB">
              <w:rPr>
                <w:rStyle w:val="Hyperlink"/>
                <w:noProof/>
              </w:rPr>
              <w:t>5.</w:t>
            </w:r>
            <w:r w:rsidR="002D4BDB">
              <w:rPr>
                <w:rFonts w:asciiTheme="minorHAnsi" w:hAnsiTheme="minorHAnsi" w:cstheme="minorBidi"/>
                <w:noProof/>
                <w:sz w:val="22"/>
              </w:rPr>
              <w:tab/>
            </w:r>
            <w:r w:rsidRPr="00CA5DBE" w:rsidR="002D4BDB">
              <w:rPr>
                <w:rStyle w:val="Hyperlink"/>
                <w:noProof/>
              </w:rPr>
              <w:t>Phase 2 of this Proceeding</w:t>
            </w:r>
            <w:r w:rsidR="002D4BDB">
              <w:rPr>
                <w:noProof/>
                <w:webHidden/>
              </w:rPr>
              <w:tab/>
            </w:r>
            <w:r w:rsidR="002D4BDB">
              <w:rPr>
                <w:noProof/>
                <w:webHidden/>
              </w:rPr>
              <w:fldChar w:fldCharType="begin"/>
            </w:r>
            <w:r w:rsidR="002D4BDB">
              <w:rPr>
                <w:noProof/>
                <w:webHidden/>
              </w:rPr>
              <w:instrText xml:space="preserve"> PAGEREF _Toc52866558 \h </w:instrText>
            </w:r>
            <w:r w:rsidR="002D4BDB">
              <w:rPr>
                <w:noProof/>
                <w:webHidden/>
              </w:rPr>
            </w:r>
            <w:r w:rsidR="002D4BDB">
              <w:rPr>
                <w:noProof/>
                <w:webHidden/>
              </w:rPr>
              <w:fldChar w:fldCharType="separate"/>
            </w:r>
            <w:r w:rsidR="002D4BDB">
              <w:rPr>
                <w:noProof/>
                <w:webHidden/>
              </w:rPr>
              <w:t>39</w:t>
            </w:r>
            <w:r w:rsidR="002D4BDB">
              <w:rPr>
                <w:noProof/>
                <w:webHidden/>
              </w:rPr>
              <w:fldChar w:fldCharType="end"/>
            </w:r>
          </w:hyperlink>
        </w:p>
        <w:p w:rsidR="002D4BDB" w:rsidRDefault="00F1138C" w14:paraId="5A62D723" w14:textId="687A70D1">
          <w:pPr>
            <w:pStyle w:val="TOC1"/>
            <w:tabs>
              <w:tab w:val="right" w:leader="dot" w:pos="9350"/>
            </w:tabs>
            <w:rPr>
              <w:rFonts w:asciiTheme="minorHAnsi" w:hAnsiTheme="minorHAnsi" w:cstheme="minorBidi"/>
              <w:noProof/>
              <w:sz w:val="22"/>
            </w:rPr>
          </w:pPr>
          <w:hyperlink w:history="1" w:anchor="_Toc52866559">
            <w:r w:rsidRPr="00CA5DBE" w:rsidR="002D4BDB">
              <w:rPr>
                <w:rStyle w:val="Hyperlink"/>
                <w:noProof/>
              </w:rPr>
              <w:t>6.</w:t>
            </w:r>
            <w:r w:rsidR="002D4BDB">
              <w:rPr>
                <w:rFonts w:asciiTheme="minorHAnsi" w:hAnsiTheme="minorHAnsi" w:cstheme="minorBidi"/>
                <w:noProof/>
                <w:sz w:val="22"/>
              </w:rPr>
              <w:tab/>
            </w:r>
            <w:r w:rsidRPr="00CA5DBE" w:rsidR="002D4BDB">
              <w:rPr>
                <w:rStyle w:val="Hyperlink"/>
                <w:noProof/>
              </w:rPr>
              <w:t>Comments on Proposed Decision</w:t>
            </w:r>
            <w:r w:rsidR="002D4BDB">
              <w:rPr>
                <w:noProof/>
                <w:webHidden/>
              </w:rPr>
              <w:tab/>
            </w:r>
            <w:r w:rsidR="002D4BDB">
              <w:rPr>
                <w:noProof/>
                <w:webHidden/>
              </w:rPr>
              <w:fldChar w:fldCharType="begin"/>
            </w:r>
            <w:r w:rsidR="002D4BDB">
              <w:rPr>
                <w:noProof/>
                <w:webHidden/>
              </w:rPr>
              <w:instrText xml:space="preserve"> PAGEREF _Toc52866559 \h </w:instrText>
            </w:r>
            <w:r w:rsidR="002D4BDB">
              <w:rPr>
                <w:noProof/>
                <w:webHidden/>
              </w:rPr>
            </w:r>
            <w:r w:rsidR="002D4BDB">
              <w:rPr>
                <w:noProof/>
                <w:webHidden/>
              </w:rPr>
              <w:fldChar w:fldCharType="separate"/>
            </w:r>
            <w:r w:rsidR="002D4BDB">
              <w:rPr>
                <w:noProof/>
                <w:webHidden/>
              </w:rPr>
              <w:t>40</w:t>
            </w:r>
            <w:r w:rsidR="002D4BDB">
              <w:rPr>
                <w:noProof/>
                <w:webHidden/>
              </w:rPr>
              <w:fldChar w:fldCharType="end"/>
            </w:r>
          </w:hyperlink>
        </w:p>
        <w:p w:rsidR="002D4BDB" w:rsidRDefault="00F1138C" w14:paraId="1CE42E16" w14:textId="69B550E9">
          <w:pPr>
            <w:pStyle w:val="TOC1"/>
            <w:tabs>
              <w:tab w:val="right" w:leader="dot" w:pos="9350"/>
            </w:tabs>
            <w:rPr>
              <w:rFonts w:asciiTheme="minorHAnsi" w:hAnsiTheme="minorHAnsi" w:cstheme="minorBidi"/>
              <w:noProof/>
              <w:sz w:val="22"/>
            </w:rPr>
          </w:pPr>
          <w:hyperlink w:history="1" w:anchor="_Toc52866560">
            <w:r w:rsidRPr="00CA5DBE" w:rsidR="002D4BDB">
              <w:rPr>
                <w:rStyle w:val="Hyperlink"/>
                <w:noProof/>
              </w:rPr>
              <w:t>7.</w:t>
            </w:r>
            <w:r w:rsidR="002D4BDB">
              <w:rPr>
                <w:rFonts w:asciiTheme="minorHAnsi" w:hAnsiTheme="minorHAnsi" w:cstheme="minorBidi"/>
                <w:noProof/>
                <w:sz w:val="22"/>
              </w:rPr>
              <w:tab/>
            </w:r>
            <w:r w:rsidRPr="00CA5DBE" w:rsidR="002D4BDB">
              <w:rPr>
                <w:rStyle w:val="Hyperlink"/>
                <w:noProof/>
              </w:rPr>
              <w:t>Assignment of Proceeding</w:t>
            </w:r>
            <w:r w:rsidR="002D4BDB">
              <w:rPr>
                <w:noProof/>
                <w:webHidden/>
              </w:rPr>
              <w:tab/>
            </w:r>
            <w:r w:rsidR="002D4BDB">
              <w:rPr>
                <w:noProof/>
                <w:webHidden/>
              </w:rPr>
              <w:fldChar w:fldCharType="begin"/>
            </w:r>
            <w:r w:rsidR="002D4BDB">
              <w:rPr>
                <w:noProof/>
                <w:webHidden/>
              </w:rPr>
              <w:instrText xml:space="preserve"> PAGEREF _Toc52866560 \h </w:instrText>
            </w:r>
            <w:r w:rsidR="002D4BDB">
              <w:rPr>
                <w:noProof/>
                <w:webHidden/>
              </w:rPr>
            </w:r>
            <w:r w:rsidR="002D4BDB">
              <w:rPr>
                <w:noProof/>
                <w:webHidden/>
              </w:rPr>
              <w:fldChar w:fldCharType="separate"/>
            </w:r>
            <w:r w:rsidR="002D4BDB">
              <w:rPr>
                <w:noProof/>
                <w:webHidden/>
              </w:rPr>
              <w:t>42</w:t>
            </w:r>
            <w:r w:rsidR="002D4BDB">
              <w:rPr>
                <w:noProof/>
                <w:webHidden/>
              </w:rPr>
              <w:fldChar w:fldCharType="end"/>
            </w:r>
          </w:hyperlink>
        </w:p>
        <w:p w:rsidR="002D4BDB" w:rsidRDefault="00F1138C" w14:paraId="78C8C9B2" w14:textId="0995B923">
          <w:pPr>
            <w:pStyle w:val="TOC1"/>
            <w:tabs>
              <w:tab w:val="right" w:leader="dot" w:pos="9350"/>
            </w:tabs>
            <w:rPr>
              <w:rFonts w:asciiTheme="minorHAnsi" w:hAnsiTheme="minorHAnsi" w:cstheme="minorBidi"/>
              <w:noProof/>
              <w:sz w:val="22"/>
            </w:rPr>
          </w:pPr>
          <w:hyperlink w:history="1" w:anchor="_Toc52866561">
            <w:r w:rsidRPr="00CA5DBE" w:rsidR="002D4BDB">
              <w:rPr>
                <w:rStyle w:val="Hyperlink"/>
                <w:noProof/>
              </w:rPr>
              <w:t>Findings of Fact</w:t>
            </w:r>
            <w:r w:rsidR="002D4BDB">
              <w:rPr>
                <w:noProof/>
                <w:webHidden/>
              </w:rPr>
              <w:tab/>
            </w:r>
            <w:r w:rsidR="002D4BDB">
              <w:rPr>
                <w:noProof/>
                <w:webHidden/>
              </w:rPr>
              <w:fldChar w:fldCharType="begin"/>
            </w:r>
            <w:r w:rsidR="002D4BDB">
              <w:rPr>
                <w:noProof/>
                <w:webHidden/>
              </w:rPr>
              <w:instrText xml:space="preserve"> PAGEREF _Toc52866561 \h </w:instrText>
            </w:r>
            <w:r w:rsidR="002D4BDB">
              <w:rPr>
                <w:noProof/>
                <w:webHidden/>
              </w:rPr>
            </w:r>
            <w:r w:rsidR="002D4BDB">
              <w:rPr>
                <w:noProof/>
                <w:webHidden/>
              </w:rPr>
              <w:fldChar w:fldCharType="separate"/>
            </w:r>
            <w:r w:rsidR="002D4BDB">
              <w:rPr>
                <w:noProof/>
                <w:webHidden/>
              </w:rPr>
              <w:t>42</w:t>
            </w:r>
            <w:r w:rsidR="002D4BDB">
              <w:rPr>
                <w:noProof/>
                <w:webHidden/>
              </w:rPr>
              <w:fldChar w:fldCharType="end"/>
            </w:r>
          </w:hyperlink>
        </w:p>
        <w:p w:rsidR="002D4BDB" w:rsidRDefault="00F1138C" w14:paraId="49EEAB59" w14:textId="5540C7E1">
          <w:pPr>
            <w:pStyle w:val="TOC1"/>
            <w:tabs>
              <w:tab w:val="right" w:leader="dot" w:pos="9350"/>
            </w:tabs>
            <w:rPr>
              <w:rFonts w:asciiTheme="minorHAnsi" w:hAnsiTheme="minorHAnsi" w:cstheme="minorBidi"/>
              <w:noProof/>
              <w:sz w:val="22"/>
            </w:rPr>
          </w:pPr>
          <w:hyperlink w:history="1" w:anchor="_Toc52866562">
            <w:r w:rsidRPr="00CA5DBE" w:rsidR="002D4BDB">
              <w:rPr>
                <w:rStyle w:val="Hyperlink"/>
                <w:noProof/>
              </w:rPr>
              <w:t>Conclusions of Law</w:t>
            </w:r>
            <w:r w:rsidR="002D4BDB">
              <w:rPr>
                <w:noProof/>
                <w:webHidden/>
              </w:rPr>
              <w:tab/>
            </w:r>
            <w:r w:rsidR="002D4BDB">
              <w:rPr>
                <w:noProof/>
                <w:webHidden/>
              </w:rPr>
              <w:fldChar w:fldCharType="begin"/>
            </w:r>
            <w:r w:rsidR="002D4BDB">
              <w:rPr>
                <w:noProof/>
                <w:webHidden/>
              </w:rPr>
              <w:instrText xml:space="preserve"> PAGEREF _Toc52866562 \h </w:instrText>
            </w:r>
            <w:r w:rsidR="002D4BDB">
              <w:rPr>
                <w:noProof/>
                <w:webHidden/>
              </w:rPr>
            </w:r>
            <w:r w:rsidR="002D4BDB">
              <w:rPr>
                <w:noProof/>
                <w:webHidden/>
              </w:rPr>
              <w:fldChar w:fldCharType="separate"/>
            </w:r>
            <w:r w:rsidR="002D4BDB">
              <w:rPr>
                <w:noProof/>
                <w:webHidden/>
              </w:rPr>
              <w:t>45</w:t>
            </w:r>
            <w:r w:rsidR="002D4BDB">
              <w:rPr>
                <w:noProof/>
                <w:webHidden/>
              </w:rPr>
              <w:fldChar w:fldCharType="end"/>
            </w:r>
          </w:hyperlink>
        </w:p>
        <w:p w:rsidR="002D4BDB" w:rsidRDefault="00F1138C" w14:paraId="64304E92" w14:textId="07E2EB4B">
          <w:pPr>
            <w:pStyle w:val="TOC1"/>
            <w:tabs>
              <w:tab w:val="right" w:leader="dot" w:pos="9350"/>
            </w:tabs>
            <w:rPr>
              <w:rFonts w:asciiTheme="minorHAnsi" w:hAnsiTheme="minorHAnsi" w:cstheme="minorBidi"/>
              <w:noProof/>
              <w:sz w:val="22"/>
            </w:rPr>
          </w:pPr>
          <w:hyperlink w:history="1" w:anchor="_Toc52866563">
            <w:r w:rsidRPr="00CA5DBE" w:rsidR="002D4BDB">
              <w:rPr>
                <w:rStyle w:val="Hyperlink"/>
                <w:noProof/>
              </w:rPr>
              <w:t>ORDER</w:t>
            </w:r>
            <w:r w:rsidR="002D4BDB">
              <w:rPr>
                <w:noProof/>
                <w:webHidden/>
              </w:rPr>
              <w:tab/>
            </w:r>
            <w:r w:rsidR="002D4BDB">
              <w:rPr>
                <w:noProof/>
                <w:webHidden/>
              </w:rPr>
              <w:fldChar w:fldCharType="begin"/>
            </w:r>
            <w:r w:rsidR="002D4BDB">
              <w:rPr>
                <w:noProof/>
                <w:webHidden/>
              </w:rPr>
              <w:instrText xml:space="preserve"> PAGEREF _Toc52866563 \h </w:instrText>
            </w:r>
            <w:r w:rsidR="002D4BDB">
              <w:rPr>
                <w:noProof/>
                <w:webHidden/>
              </w:rPr>
            </w:r>
            <w:r w:rsidR="002D4BDB">
              <w:rPr>
                <w:noProof/>
                <w:webHidden/>
              </w:rPr>
              <w:fldChar w:fldCharType="separate"/>
            </w:r>
            <w:r w:rsidR="002D4BDB">
              <w:rPr>
                <w:noProof/>
                <w:webHidden/>
              </w:rPr>
              <w:t>49</w:t>
            </w:r>
            <w:r w:rsidR="002D4BDB">
              <w:rPr>
                <w:noProof/>
                <w:webHidden/>
              </w:rPr>
              <w:fldChar w:fldCharType="end"/>
            </w:r>
          </w:hyperlink>
        </w:p>
        <w:p w:rsidRPr="00D8024F" w:rsidR="00F76650" w:rsidP="00D8024F" w:rsidRDefault="009C1871" w14:paraId="3E6AB96F" w14:textId="5B9990C4">
          <w:pPr>
            <w:pStyle w:val="TOC1"/>
            <w:tabs>
              <w:tab w:val="right" w:leader="dot" w:pos="9350"/>
            </w:tabs>
            <w:ind w:left="0" w:firstLine="0"/>
            <w:rPr>
              <w:color w:val="FF0000"/>
            </w:rPr>
          </w:pPr>
          <w:r w:rsidRPr="00972624">
            <w:rPr>
              <w:rFonts w:asciiTheme="minorHAnsi" w:hAnsiTheme="minorHAnsi"/>
              <w:sz w:val="22"/>
            </w:rPr>
            <w:fldChar w:fldCharType="end"/>
          </w:r>
        </w:p>
      </w:sdtContent>
    </w:sdt>
    <w:p w:rsidRPr="00D8024F" w:rsidR="00F1377B" w:rsidP="00D8024F" w:rsidRDefault="00D8024F" w14:paraId="298DD7C7" w14:textId="01E41BBB">
      <w:pPr>
        <w:spacing w:line="240" w:lineRule="auto"/>
        <w:ind w:left="1890" w:hanging="1890"/>
        <w:rPr>
          <w:rFonts w:cs="Arial"/>
          <w:b/>
          <w:bCs/>
          <w:iCs/>
          <w:szCs w:val="26"/>
        </w:rPr>
      </w:pPr>
      <w:r w:rsidRPr="00D8024F">
        <w:rPr>
          <w:rFonts w:cs="Arial"/>
          <w:b/>
          <w:bCs/>
          <w:iCs/>
          <w:szCs w:val="26"/>
        </w:rPr>
        <w:t>Attachment A -</w:t>
      </w:r>
      <w:r w:rsidRPr="00D8024F">
        <w:rPr>
          <w:rFonts w:cs="Arial"/>
          <w:iCs/>
          <w:szCs w:val="26"/>
        </w:rPr>
        <w:t xml:space="preserve"> </w:t>
      </w:r>
      <w:r w:rsidRPr="00D8024F">
        <w:rPr>
          <w:rFonts w:cs="Arial"/>
          <w:b/>
          <w:bCs/>
          <w:iCs/>
          <w:szCs w:val="26"/>
        </w:rPr>
        <w:t xml:space="preserve">Safety Policy Division Initial Guidance </w:t>
      </w:r>
      <w:r>
        <w:rPr>
          <w:rFonts w:cs="Arial"/>
          <w:b/>
          <w:bCs/>
          <w:iCs/>
          <w:szCs w:val="26"/>
        </w:rPr>
        <w:t>f</w:t>
      </w:r>
      <w:r w:rsidRPr="00D8024F">
        <w:rPr>
          <w:rFonts w:cs="Arial"/>
          <w:b/>
          <w:bCs/>
          <w:iCs/>
          <w:szCs w:val="26"/>
        </w:rPr>
        <w:t xml:space="preserve">or Evaluation </w:t>
      </w:r>
      <w:r>
        <w:rPr>
          <w:rFonts w:cs="Arial"/>
          <w:b/>
          <w:bCs/>
          <w:iCs/>
          <w:szCs w:val="26"/>
        </w:rPr>
        <w:t>o</w:t>
      </w:r>
      <w:r w:rsidRPr="00D8024F">
        <w:rPr>
          <w:rFonts w:cs="Arial"/>
          <w:b/>
          <w:bCs/>
          <w:iCs/>
          <w:szCs w:val="26"/>
        </w:rPr>
        <w:t xml:space="preserve">f </w:t>
      </w:r>
      <w:r>
        <w:rPr>
          <w:rFonts w:cs="Arial"/>
          <w:b/>
          <w:bCs/>
          <w:iCs/>
          <w:szCs w:val="26"/>
        </w:rPr>
        <w:t>t</w:t>
      </w:r>
      <w:r w:rsidRPr="00D8024F">
        <w:rPr>
          <w:rFonts w:cs="Arial"/>
          <w:b/>
          <w:bCs/>
          <w:iCs/>
          <w:szCs w:val="26"/>
        </w:rPr>
        <w:t>he Mobile App Pilot</w:t>
      </w:r>
    </w:p>
    <w:p w:rsidRPr="00F1377B" w:rsidR="00D44DB6" w:rsidP="00972624" w:rsidRDefault="00D44DB6" w14:paraId="272FD9D7" w14:textId="419BB1DA">
      <w:pPr>
        <w:spacing w:line="240" w:lineRule="auto"/>
        <w:ind w:firstLine="0"/>
        <w:rPr>
          <w:rFonts w:cs="Arial"/>
          <w:i/>
          <w:szCs w:val="26"/>
        </w:rPr>
        <w:sectPr w:rsidRPr="00F1377B" w:rsidR="00D44DB6" w:rsidSect="00D44DB6">
          <w:headerReference w:type="default" r:id="rId13"/>
          <w:footerReference w:type="default" r:id="rId14"/>
          <w:pgSz w:w="12240" w:h="15840"/>
          <w:pgMar w:top="1728" w:right="1440" w:bottom="1440" w:left="1440" w:header="720" w:footer="720" w:gutter="0"/>
          <w:pgNumType w:fmt="lowerRoman" w:start="1"/>
          <w:cols w:space="720"/>
          <w:docGrid w:linePitch="360"/>
        </w:sectPr>
      </w:pPr>
    </w:p>
    <w:p w:rsidRPr="00ED748F" w:rsidR="0098655A" w:rsidP="00ED748F" w:rsidRDefault="00FB5A2D" w14:paraId="71C4C84C" w14:textId="4CC2B780">
      <w:pPr>
        <w:pStyle w:val="Main"/>
        <w:spacing w:after="240"/>
      </w:pPr>
      <w:r w:rsidRPr="00ED748F">
        <w:lastRenderedPageBreak/>
        <w:t>Decision approving</w:t>
      </w:r>
      <w:r w:rsidRPr="00ED748F" w:rsidR="00F01440">
        <w:t xml:space="preserve"> PACIFIC GAS AND ELECTRIC COMPANY’S </w:t>
      </w:r>
      <w:r w:rsidRPr="00ED748F">
        <w:t>mobile application and supporting systems pilot program</w:t>
      </w:r>
    </w:p>
    <w:p w:rsidRPr="00ED748F" w:rsidR="005A148C" w:rsidP="00972624" w:rsidRDefault="005A148C" w14:paraId="2544F87B" w14:textId="77777777">
      <w:pPr>
        <w:pStyle w:val="Dummy"/>
      </w:pPr>
      <w:bookmarkStart w:name="_Toc8123714" w:id="1"/>
      <w:bookmarkStart w:name="_Toc52866536" w:id="2"/>
      <w:r w:rsidRPr="00ED748F">
        <w:t>Summary</w:t>
      </w:r>
      <w:bookmarkEnd w:id="1"/>
      <w:bookmarkEnd w:id="2"/>
    </w:p>
    <w:p w:rsidRPr="0044384B" w:rsidR="0044384B" w:rsidP="0087100E" w:rsidRDefault="0044384B" w14:paraId="44174950" w14:textId="3023B3D9">
      <w:pPr>
        <w:pStyle w:val="Standard"/>
      </w:pPr>
      <w:bookmarkStart w:name="_Toc8123715" w:id="3"/>
      <w:r w:rsidRPr="0044384B">
        <w:t xml:space="preserve">This </w:t>
      </w:r>
      <w:bookmarkStart w:name="_Hlk41408097" w:id="4"/>
      <w:r w:rsidRPr="0044384B">
        <w:t>decision approves, with modifications, Pacific Gas and Electric Company’s Application for a mobile app</w:t>
      </w:r>
      <w:r w:rsidR="00FE3936">
        <w:t>lication (mobile app)</w:t>
      </w:r>
      <w:r w:rsidRPr="0044384B">
        <w:t xml:space="preserve"> and supporting systems pilot.</w:t>
      </w:r>
      <w:r w:rsidR="00D8024F">
        <w:t xml:space="preserve"> </w:t>
      </w:r>
      <w:r w:rsidRPr="0044384B">
        <w:t xml:space="preserve"> Th</w:t>
      </w:r>
      <w:r w:rsidR="00015551">
        <w:t>e</w:t>
      </w:r>
      <w:r w:rsidRPr="0044384B">
        <w:t xml:space="preserve"> mobile app </w:t>
      </w:r>
      <w:r w:rsidR="00015551">
        <w:t xml:space="preserve">pilot </w:t>
      </w:r>
      <w:r w:rsidRPr="0044384B">
        <w:t xml:space="preserve">will </w:t>
      </w:r>
      <w:bookmarkStart w:name="_Hlk47457296" w:id="5"/>
      <w:r w:rsidR="00015551">
        <w:t xml:space="preserve">be </w:t>
      </w:r>
      <w:r w:rsidRPr="0044384B">
        <w:t xml:space="preserve">used by customers to report safety concerns regarding the utility’s electric </w:t>
      </w:r>
      <w:r w:rsidR="00015551">
        <w:t>infrastructure</w:t>
      </w:r>
      <w:bookmarkEnd w:id="5"/>
      <w:r w:rsidRPr="0044384B">
        <w:t xml:space="preserve">. </w:t>
      </w:r>
      <w:r w:rsidR="00D8024F">
        <w:t xml:space="preserve"> </w:t>
      </w:r>
      <w:r w:rsidRPr="0044384B">
        <w:t xml:space="preserve">This decision also establishes a Phase 2 of this proceeding to provide for a permanent program, should </w:t>
      </w:r>
      <w:r w:rsidR="00015551">
        <w:t>the Commission</w:t>
      </w:r>
      <w:r w:rsidRPr="0044384B">
        <w:t xml:space="preserve"> find </w:t>
      </w:r>
      <w:r w:rsidR="00015551">
        <w:t>the mobile app reasonable</w:t>
      </w:r>
      <w:r w:rsidRPr="0044384B">
        <w:t xml:space="preserve"> </w:t>
      </w:r>
      <w:r w:rsidR="00015551">
        <w:t xml:space="preserve">and in the public interest </w:t>
      </w:r>
      <w:r w:rsidRPr="0044384B">
        <w:t>after evaluating the pilot.</w:t>
      </w:r>
      <w:r w:rsidR="00D8024F">
        <w:t xml:space="preserve"> </w:t>
      </w:r>
      <w:r w:rsidRPr="0044384B">
        <w:t xml:space="preserve"> </w:t>
      </w:r>
      <w:bookmarkEnd w:id="4"/>
      <w:r w:rsidRPr="0044384B">
        <w:t xml:space="preserve">This Application is submitted in compliance with </w:t>
      </w:r>
      <w:r w:rsidRPr="0044384B">
        <w:rPr>
          <w:i/>
          <w:iCs/>
        </w:rPr>
        <w:t>Order Instituting Investigation and Order to Show Cause 19-06-015</w:t>
      </w:r>
      <w:r w:rsidRPr="0044384B">
        <w:t>,</w:t>
      </w:r>
      <w:r w:rsidRPr="0044384B">
        <w:rPr>
          <w:vertAlign w:val="superscript"/>
        </w:rPr>
        <w:footnoteReference w:id="2"/>
      </w:r>
      <w:r w:rsidRPr="0044384B">
        <w:t xml:space="preserve"> filed on June</w:t>
      </w:r>
      <w:r w:rsidR="00D8024F">
        <w:t> </w:t>
      </w:r>
      <w:r w:rsidRPr="0044384B">
        <w:t>27,</w:t>
      </w:r>
      <w:r w:rsidR="00D8024F">
        <w:t> </w:t>
      </w:r>
      <w:r w:rsidRPr="0044384B">
        <w:t>2019.  This proceeding remains open.</w:t>
      </w:r>
    </w:p>
    <w:p w:rsidR="00EA241A" w:rsidP="00D8024F" w:rsidRDefault="00EA241A" w14:paraId="1C8EEF2A" w14:textId="77777777">
      <w:pPr>
        <w:pStyle w:val="Heading1"/>
        <w:numPr>
          <w:ilvl w:val="0"/>
          <w:numId w:val="1"/>
        </w:numPr>
        <w:spacing w:after="0" w:line="360" w:lineRule="auto"/>
      </w:pPr>
      <w:bookmarkStart w:name="_Toc45796501" w:id="7"/>
      <w:bookmarkStart w:name="_Toc45823086" w:id="8"/>
      <w:bookmarkStart w:name="_Toc45824267" w:id="9"/>
      <w:bookmarkStart w:name="_Toc46751349" w:id="10"/>
      <w:bookmarkStart w:name="_Toc46751607" w:id="11"/>
      <w:bookmarkStart w:name="_Toc46762584" w:id="12"/>
      <w:bookmarkStart w:name="_Toc46762729" w:id="13"/>
      <w:bookmarkStart w:name="_Toc46762874" w:id="14"/>
      <w:bookmarkStart w:name="_Toc46763019" w:id="15"/>
      <w:bookmarkStart w:name="_Toc46940231" w:id="16"/>
      <w:bookmarkStart w:name="_Toc52866537" w:id="17"/>
      <w:bookmarkEnd w:id="3"/>
      <w:bookmarkEnd w:id="7"/>
      <w:bookmarkEnd w:id="8"/>
      <w:bookmarkEnd w:id="9"/>
      <w:bookmarkEnd w:id="10"/>
      <w:bookmarkEnd w:id="11"/>
      <w:bookmarkEnd w:id="12"/>
      <w:bookmarkEnd w:id="13"/>
      <w:bookmarkEnd w:id="14"/>
      <w:bookmarkEnd w:id="15"/>
      <w:bookmarkEnd w:id="16"/>
      <w:r w:rsidRPr="00121089">
        <w:t>Background</w:t>
      </w:r>
      <w:bookmarkEnd w:id="17"/>
    </w:p>
    <w:p w:rsidR="00C82A2A" w:rsidP="0087100E" w:rsidRDefault="004539F7" w14:paraId="0A2C5649" w14:textId="6AF20BBF">
      <w:pPr>
        <w:pStyle w:val="Standard"/>
      </w:pPr>
      <w:r>
        <w:t>On July 29, 2019, Pacific Gas and Electric Company (PG&amp;E) filed</w:t>
      </w:r>
      <w:r w:rsidR="00402486">
        <w:t xml:space="preserve"> its</w:t>
      </w:r>
      <w:r w:rsidR="00B769A9">
        <w:t xml:space="preserve"> </w:t>
      </w:r>
      <w:r w:rsidRPr="00EC7E33">
        <w:rPr>
          <w:i/>
          <w:iCs/>
        </w:rPr>
        <w:t>Application for Approval of its Mobile Application and Supporting Systems Pilot</w:t>
      </w:r>
      <w:r>
        <w:t xml:space="preserve"> (Application).</w:t>
      </w:r>
      <w:r w:rsidR="0062789B">
        <w:rPr>
          <w:rStyle w:val="FootnoteReference"/>
        </w:rPr>
        <w:footnoteReference w:id="3"/>
      </w:r>
      <w:r>
        <w:t xml:space="preserve">  This Application was filed in conformity with </w:t>
      </w:r>
      <w:r w:rsidR="00FE3936">
        <w:t xml:space="preserve">a Commission directive in </w:t>
      </w:r>
      <w:r>
        <w:t xml:space="preserve">the </w:t>
      </w:r>
      <w:r w:rsidRPr="00EC7E33">
        <w:rPr>
          <w:i/>
          <w:iCs/>
        </w:rPr>
        <w:t xml:space="preserve">Order Instituting Investigation and Order to </w:t>
      </w:r>
      <w:r w:rsidR="00F14835">
        <w:rPr>
          <w:i/>
          <w:iCs/>
        </w:rPr>
        <w:t>S</w:t>
      </w:r>
      <w:r w:rsidRPr="00EC7E33" w:rsidR="00F14835">
        <w:rPr>
          <w:i/>
          <w:iCs/>
        </w:rPr>
        <w:t>how</w:t>
      </w:r>
      <w:r w:rsidRPr="006702C7" w:rsidR="00F14835">
        <w:rPr>
          <w:i/>
          <w:iCs/>
        </w:rPr>
        <w:t xml:space="preserve"> </w:t>
      </w:r>
      <w:r w:rsidRPr="00D93E31">
        <w:rPr>
          <w:i/>
          <w:iCs/>
        </w:rPr>
        <w:t>Cause</w:t>
      </w:r>
      <w:r w:rsidRPr="00B40C58">
        <w:t xml:space="preserve"> </w:t>
      </w:r>
      <w:r w:rsidRPr="00E16DA8">
        <w:rPr>
          <w:i/>
          <w:iCs/>
        </w:rPr>
        <w:t>(</w:t>
      </w:r>
      <w:bookmarkStart w:name="_Hlk32411386" w:id="18"/>
      <w:r w:rsidRPr="00E16DA8">
        <w:rPr>
          <w:i/>
          <w:iCs/>
        </w:rPr>
        <w:t>I.</w:t>
      </w:r>
      <w:r w:rsidRPr="00E16DA8" w:rsidR="00545491">
        <w:rPr>
          <w:i/>
          <w:iCs/>
        </w:rPr>
        <w:t>)</w:t>
      </w:r>
      <w:r w:rsidR="00D8024F">
        <w:rPr>
          <w:i/>
          <w:iCs/>
        </w:rPr>
        <w:t> </w:t>
      </w:r>
      <w:r w:rsidRPr="00E16DA8">
        <w:rPr>
          <w:i/>
          <w:iCs/>
        </w:rPr>
        <w:t>19</w:t>
      </w:r>
      <w:r w:rsidR="00D8024F">
        <w:rPr>
          <w:i/>
          <w:iCs/>
        </w:rPr>
        <w:noBreakHyphen/>
      </w:r>
      <w:r w:rsidRPr="00E16DA8">
        <w:rPr>
          <w:i/>
          <w:iCs/>
        </w:rPr>
        <w:t>06</w:t>
      </w:r>
      <w:r w:rsidR="00D8024F">
        <w:rPr>
          <w:i/>
          <w:iCs/>
        </w:rPr>
        <w:noBreakHyphen/>
      </w:r>
      <w:r w:rsidRPr="00E16DA8">
        <w:rPr>
          <w:i/>
          <w:iCs/>
        </w:rPr>
        <w:t>015</w:t>
      </w:r>
      <w:bookmarkEnd w:id="18"/>
      <w:r w:rsidR="002671AB">
        <w:t>,</w:t>
      </w:r>
      <w:r w:rsidR="0021437E">
        <w:t xml:space="preserve"> </w:t>
      </w:r>
      <w:r w:rsidR="002671AB">
        <w:t>which concern</w:t>
      </w:r>
      <w:r w:rsidR="009A349E">
        <w:t>ed</w:t>
      </w:r>
      <w:r w:rsidR="002671AB">
        <w:t xml:space="preserve"> the maintenance and operation of PG&amp;E’s electric facilities that “were involved in igniting fires in its service territory in 2017.”</w:t>
      </w:r>
      <w:r w:rsidR="002671AB">
        <w:rPr>
          <w:rStyle w:val="FootnoteReference"/>
        </w:rPr>
        <w:footnoteReference w:id="4"/>
      </w:r>
      <w:r w:rsidR="002671AB">
        <w:t xml:space="preserve">  As </w:t>
      </w:r>
      <w:r w:rsidR="002671AB">
        <w:lastRenderedPageBreak/>
        <w:t xml:space="preserve">part of I.19-06-015, the Commission directed PG&amp;E to take </w:t>
      </w:r>
      <w:r w:rsidR="005C13DF">
        <w:t>c</w:t>
      </w:r>
      <w:r w:rsidR="002671AB">
        <w:t xml:space="preserve">ertain corrective actions immediately, including filing this Application </w:t>
      </w:r>
      <w:r w:rsidR="00752366">
        <w:t xml:space="preserve">to </w:t>
      </w:r>
      <w:r w:rsidR="00F14835">
        <w:t xml:space="preserve">seek </w:t>
      </w:r>
      <w:r w:rsidR="00752366">
        <w:t>Commission approval to</w:t>
      </w:r>
      <w:r w:rsidR="002671AB">
        <w:t xml:space="preserve"> develop a mobile application (mobile app) and supporting systems</w:t>
      </w:r>
      <w:r w:rsidR="00F14835">
        <w:t>,</w:t>
      </w:r>
      <w:r w:rsidR="005C13DF">
        <w:rPr>
          <w:rStyle w:val="FootnoteReference"/>
        </w:rPr>
        <w:footnoteReference w:id="5"/>
      </w:r>
      <w:r w:rsidR="002671AB">
        <w:t xml:space="preserve"> </w:t>
      </w:r>
      <w:r w:rsidR="00F14835">
        <w:t xml:space="preserve">at shareholder expense, </w:t>
      </w:r>
      <w:r w:rsidR="002671AB">
        <w:t xml:space="preserve">to be used by the public to report compromised utility </w:t>
      </w:r>
      <w:r w:rsidR="00E32BF8">
        <w:t xml:space="preserve">electric </w:t>
      </w:r>
      <w:r w:rsidR="002671AB">
        <w:t>infrastructure.</w:t>
      </w:r>
      <w:bookmarkStart w:name="_Hlk38876528" w:id="19"/>
      <w:r w:rsidR="005C13DF">
        <w:rPr>
          <w:rStyle w:val="FootnoteReference"/>
        </w:rPr>
        <w:footnoteReference w:id="6"/>
      </w:r>
      <w:r w:rsidR="00C82A2A">
        <w:t xml:space="preserve"> </w:t>
      </w:r>
      <w:bookmarkEnd w:id="19"/>
      <w:r w:rsidR="00C82A2A">
        <w:t xml:space="preserve"> Specifically, the Commission addressed this matter</w:t>
      </w:r>
      <w:r w:rsidR="009A349E">
        <w:t xml:space="preserve"> in I.19-06-015</w:t>
      </w:r>
      <w:r w:rsidR="00C82A2A">
        <w:t xml:space="preserve"> as follows:</w:t>
      </w:r>
    </w:p>
    <w:p w:rsidR="00C82A2A" w:rsidP="00D8024F" w:rsidRDefault="00C82A2A" w14:paraId="11FF9D4A" w14:textId="603C0E33">
      <w:pPr>
        <w:pStyle w:val="BlockQuote"/>
        <w:spacing w:before="120"/>
      </w:pPr>
      <w:r w:rsidRPr="00C82A2A">
        <w:t>PG&amp;E is directed to file an application within 30 days</w:t>
      </w:r>
      <w:r w:rsidR="00F94723">
        <w:rPr>
          <w:rStyle w:val="FootnoteReference"/>
        </w:rPr>
        <w:footnoteReference w:id="7"/>
      </w:r>
      <w:r w:rsidRPr="00C82A2A">
        <w:t xml:space="preserve"> of the issuance of this </w:t>
      </w:r>
      <w:r w:rsidR="00F4422C">
        <w:t>[Order Instituting Investigation</w:t>
      </w:r>
      <w:r w:rsidR="00EA33F4">
        <w:t>]</w:t>
      </w:r>
      <w:r w:rsidR="00F4422C">
        <w:t xml:space="preserve"> </w:t>
      </w:r>
      <w:r w:rsidRPr="00C82A2A">
        <w:t xml:space="preserve">OII to develop an open source, </w:t>
      </w:r>
      <w:r w:rsidR="002B5FF0">
        <w:t>publicly-available</w:t>
      </w:r>
      <w:r w:rsidRPr="00C82A2A">
        <w:t xml:space="preserve"> mobile app that allows a Geographic Information System-equipped phone</w:t>
      </w:r>
      <w:r w:rsidR="00C3700C">
        <w:rPr>
          <w:rStyle w:val="FootnoteReference"/>
        </w:rPr>
        <w:footnoteReference w:id="8"/>
      </w:r>
      <w:r w:rsidRPr="00C82A2A" w:rsidR="00C3700C">
        <w:t xml:space="preserve"> </w:t>
      </w:r>
      <w:r w:rsidRPr="00C82A2A">
        <w:t xml:space="preserve">to send pictures </w:t>
      </w:r>
      <w:bookmarkStart w:name="_Hlk42084365" w:id="22"/>
      <w:r w:rsidRPr="00C82A2A">
        <w:t xml:space="preserve">of utility infrastructure </w:t>
      </w:r>
      <w:bookmarkEnd w:id="22"/>
      <w:r w:rsidRPr="00C82A2A">
        <w:t>(</w:t>
      </w:r>
      <w:r w:rsidRPr="00D8024F">
        <w:rPr>
          <w:i/>
          <w:iCs/>
        </w:rPr>
        <w:t>e.g.</w:t>
      </w:r>
      <w:r w:rsidRPr="00C82A2A">
        <w:t xml:space="preserve">, pole) to an asset management system/database maintained by PG&amp;E. The asset management system/database would include at least the following detailed information – GIS coordinates, attachments, </w:t>
      </w:r>
      <w:proofErr w:type="gramStart"/>
      <w:r w:rsidRPr="00C82A2A">
        <w:t>operations</w:t>
      </w:r>
      <w:proofErr w:type="gramEnd"/>
      <w:r w:rsidRPr="00C82A2A">
        <w:t xml:space="preserve"> and maintenance records and </w:t>
      </w:r>
      <w:r w:rsidR="009A349E">
        <w:t xml:space="preserve">[General Order] </w:t>
      </w:r>
      <w:r w:rsidRPr="00C82A2A">
        <w:t xml:space="preserve">GO 95 requirements. </w:t>
      </w:r>
      <w:r w:rsidR="00D8024F">
        <w:t xml:space="preserve"> </w:t>
      </w:r>
      <w:r w:rsidRPr="00C82A2A">
        <w:t xml:space="preserve">The asset management database will also include any pictures received through the mobile app so that the photos of potential problems are accessible to the </w:t>
      </w:r>
      <w:proofErr w:type="gramStart"/>
      <w:r w:rsidRPr="00C82A2A">
        <w:t>general public</w:t>
      </w:r>
      <w:proofErr w:type="gramEnd"/>
      <w:r w:rsidRPr="00C82A2A">
        <w:t xml:space="preserve">. PG&amp;E shall also provide the following information for each photo received through the mobile app: </w:t>
      </w:r>
      <w:r w:rsidR="00D8024F">
        <w:t xml:space="preserve"> </w:t>
      </w:r>
      <w:r w:rsidRPr="00C82A2A">
        <w:t xml:space="preserve">1) whether the photo identifies a problem; </w:t>
      </w:r>
      <w:r w:rsidR="00D8024F">
        <w:t xml:space="preserve"> </w:t>
      </w:r>
      <w:r w:rsidRPr="00C82A2A">
        <w:t xml:space="preserve">2) whether the problem presents a safety concern or is a violation of safety regulations; </w:t>
      </w:r>
      <w:r w:rsidR="00D8024F">
        <w:t xml:space="preserve"> </w:t>
      </w:r>
      <w:r w:rsidRPr="00C82A2A">
        <w:t xml:space="preserve">3) PG&amp;E actions to remedy the matter; </w:t>
      </w:r>
      <w:r w:rsidR="00D8024F">
        <w:t xml:space="preserve"> </w:t>
      </w:r>
      <w:r w:rsidRPr="00C82A2A">
        <w:t xml:space="preserve">and 4) when the remedial action was or will be taken. </w:t>
      </w:r>
      <w:r w:rsidR="00D8024F">
        <w:t xml:space="preserve"> </w:t>
      </w:r>
      <w:r w:rsidRPr="00C82A2A">
        <w:t xml:space="preserve">This information shall be posted into the asset management </w:t>
      </w:r>
      <w:r w:rsidRPr="00C82A2A">
        <w:lastRenderedPageBreak/>
        <w:t xml:space="preserve">database within 30 days of receipt of the photo through the mobile app. </w:t>
      </w:r>
      <w:r w:rsidR="00D8024F">
        <w:t xml:space="preserve"> </w:t>
      </w:r>
      <w:r w:rsidRPr="00C82A2A">
        <w:t>Development and continued operation of the asset management database and mobile app would be at shareholder expense.</w:t>
      </w:r>
      <w:r w:rsidR="001A4ECE">
        <w:rPr>
          <w:rStyle w:val="FootnoteReference"/>
        </w:rPr>
        <w:footnoteReference w:id="9"/>
      </w:r>
    </w:p>
    <w:p w:rsidR="004539F7" w:rsidP="00D8024F" w:rsidRDefault="00F847B5" w14:paraId="198E8C3E" w14:textId="6ECD5140">
      <w:pPr>
        <w:pStyle w:val="Standard"/>
        <w:spacing w:before="120"/>
      </w:pPr>
      <w:r>
        <w:t xml:space="preserve">The Application, as filed by PG&amp;E, includes a request to first </w:t>
      </w:r>
      <w:r w:rsidR="00752366">
        <w:t>establish</w:t>
      </w:r>
      <w:r>
        <w:t xml:space="preserve"> a pilot program</w:t>
      </w:r>
      <w:r w:rsidR="009A349E">
        <w:t xml:space="preserve">. </w:t>
      </w:r>
      <w:r w:rsidR="00D8024F">
        <w:t xml:space="preserve"> </w:t>
      </w:r>
      <w:r w:rsidR="009A349E">
        <w:t>T</w:t>
      </w:r>
      <w:r>
        <w:t xml:space="preserve">hen, if </w:t>
      </w:r>
      <w:r w:rsidR="00F81F18">
        <w:t xml:space="preserve">the </w:t>
      </w:r>
      <w:r w:rsidR="0021437E">
        <w:t xml:space="preserve">Commission determines the </w:t>
      </w:r>
      <w:r w:rsidR="00F81F18">
        <w:t>mobile app</w:t>
      </w:r>
      <w:r w:rsidR="00F14835">
        <w:t xml:space="preserve"> to be </w:t>
      </w:r>
      <w:r w:rsidR="0002139D">
        <w:t>reasonable and in the public interest</w:t>
      </w:r>
      <w:r>
        <w:t>,</w:t>
      </w:r>
      <w:r w:rsidR="0002139D">
        <w:t xml:space="preserve"> </w:t>
      </w:r>
      <w:r w:rsidR="002A1952">
        <w:t xml:space="preserve">the Commission could require PG&amp;E </w:t>
      </w:r>
      <w:r w:rsidR="0002139D">
        <w:t>to</w:t>
      </w:r>
      <w:r>
        <w:t xml:space="preserve"> implement the pilot permanently. </w:t>
      </w:r>
      <w:r w:rsidR="00D8024F">
        <w:t xml:space="preserve"> </w:t>
      </w:r>
      <w:r w:rsidR="00752366">
        <w:t xml:space="preserve">The Commission in I.19-06-015 provided </w:t>
      </w:r>
      <w:r w:rsidR="00F14835">
        <w:t>few</w:t>
      </w:r>
      <w:r w:rsidR="00752366">
        <w:t xml:space="preserve"> details about the framework of the proposed mobile app and did not address the appropriateness of a pilot</w:t>
      </w:r>
      <w:r w:rsidR="00F14835">
        <w:t xml:space="preserve"> </w:t>
      </w:r>
      <w:r w:rsidR="00A1671D">
        <w:t xml:space="preserve">phase </w:t>
      </w:r>
      <w:r w:rsidR="00F14835">
        <w:t xml:space="preserve">as a program </w:t>
      </w:r>
      <w:r w:rsidR="00A1671D">
        <w:t>component</w:t>
      </w:r>
      <w:r w:rsidR="00777061">
        <w:t xml:space="preserve">. </w:t>
      </w:r>
      <w:r w:rsidR="00D8024F">
        <w:t xml:space="preserve"> </w:t>
      </w:r>
      <w:r w:rsidR="00777061">
        <w:t xml:space="preserve">The issue of whether a pilot is an appropriate first step in the process of establishing a mobile app is addressed herein. </w:t>
      </w:r>
      <w:r w:rsidR="00752366">
        <w:t xml:space="preserve"> </w:t>
      </w:r>
    </w:p>
    <w:p w:rsidR="00777061" w:rsidP="0087100E" w:rsidRDefault="0085659B" w14:paraId="6E1432C9" w14:textId="4C669F84">
      <w:pPr>
        <w:pStyle w:val="Standard"/>
      </w:pPr>
      <w:r>
        <w:t>On August 28, 2019, the Public Advocates Office</w:t>
      </w:r>
      <w:r w:rsidR="00554380">
        <w:t xml:space="preserve"> at the California Public Utilities Commission (Cal Advocates) filed the sole protest to the Application.  Cal Advocates supported PG&amp;E’s intention to develop and deploy a pilot program for the mobile app prior to full deployment.</w:t>
      </w:r>
      <w:r w:rsidR="00554380">
        <w:rPr>
          <w:rStyle w:val="FootnoteReference"/>
        </w:rPr>
        <w:footnoteReference w:id="10"/>
      </w:r>
      <w:r w:rsidR="00554380">
        <w:t xml:space="preserve">  However, Cal Advocates</w:t>
      </w:r>
      <w:r w:rsidR="000E6B95">
        <w:t xml:space="preserve"> </w:t>
      </w:r>
      <w:r w:rsidR="00554380">
        <w:t>raise</w:t>
      </w:r>
      <w:r w:rsidR="00A1671D">
        <w:t>d</w:t>
      </w:r>
      <w:r w:rsidR="00554380">
        <w:t xml:space="preserve"> concerns in </w:t>
      </w:r>
      <w:r w:rsidR="000E6B95">
        <w:t>its</w:t>
      </w:r>
      <w:r w:rsidR="00554380">
        <w:t xml:space="preserve"> protest regarding the s</w:t>
      </w:r>
      <w:r w:rsidR="007C3302">
        <w:t>ervice territory covered by</w:t>
      </w:r>
      <w:r w:rsidR="00554380">
        <w:t xml:space="preserve"> the pilot program and suggested </w:t>
      </w:r>
      <w:r w:rsidR="0002139D">
        <w:t>the pilot</w:t>
      </w:r>
      <w:r w:rsidR="00554380">
        <w:t xml:space="preserve"> include Tier 2 </w:t>
      </w:r>
      <w:bookmarkStart w:name="_Hlk47457927" w:id="23"/>
      <w:r w:rsidR="00554380">
        <w:t>High Fire Threat District</w:t>
      </w:r>
      <w:r w:rsidR="00897609">
        <w:t>s</w:t>
      </w:r>
      <w:bookmarkEnd w:id="23"/>
      <w:r w:rsidR="00554380">
        <w:t xml:space="preserve"> (HFTD</w:t>
      </w:r>
      <w:r w:rsidR="00897609">
        <w:t>s</w:t>
      </w:r>
      <w:r w:rsidR="00554380">
        <w:t>)</w:t>
      </w:r>
      <w:r w:rsidR="005807DD">
        <w:rPr>
          <w:rStyle w:val="FootnoteReference"/>
        </w:rPr>
        <w:footnoteReference w:id="11"/>
      </w:r>
      <w:r w:rsidR="00554380">
        <w:t xml:space="preserve"> in addition to</w:t>
      </w:r>
      <w:r w:rsidR="00C82A2A">
        <w:t xml:space="preserve"> </w:t>
      </w:r>
      <w:r w:rsidR="00A1671D">
        <w:t xml:space="preserve">the </w:t>
      </w:r>
      <w:r w:rsidR="00554380">
        <w:t>Tier 3 HFTD</w:t>
      </w:r>
      <w:r w:rsidR="00897609">
        <w:t xml:space="preserve">s </w:t>
      </w:r>
      <w:r w:rsidR="00736E29">
        <w:t xml:space="preserve">proposed </w:t>
      </w:r>
      <w:r w:rsidR="00554380">
        <w:t xml:space="preserve">by PG&amp;E.  </w:t>
      </w:r>
    </w:p>
    <w:p w:rsidR="00F55DDE" w:rsidP="0087100E" w:rsidRDefault="00554380" w14:paraId="05C3DE27" w14:textId="35CA7CA4">
      <w:pPr>
        <w:pStyle w:val="Standard"/>
      </w:pPr>
      <w:r>
        <w:t xml:space="preserve">PG&amp;E filed a reply to the </w:t>
      </w:r>
      <w:r w:rsidR="00112547">
        <w:t xml:space="preserve">Cal Advocates </w:t>
      </w:r>
      <w:r>
        <w:t>protest on September 9, 2019</w:t>
      </w:r>
      <w:r w:rsidR="00A1671D">
        <w:t xml:space="preserve">, </w:t>
      </w:r>
      <w:r w:rsidR="00112547">
        <w:t xml:space="preserve">arguing that </w:t>
      </w:r>
      <w:r w:rsidR="00FE3936">
        <w:t xml:space="preserve">expanding the </w:t>
      </w:r>
      <w:r w:rsidR="00112547">
        <w:t>pilot target area to include all of Tiers 2 and 3 HFTD</w:t>
      </w:r>
      <w:r w:rsidR="00D94550">
        <w:t>s</w:t>
      </w:r>
      <w:r w:rsidR="00112547">
        <w:t xml:space="preserve"> would “increase the percentage to over 99</w:t>
      </w:r>
      <w:r w:rsidR="00D8024F">
        <w:t xml:space="preserve"> percent</w:t>
      </w:r>
      <w:r w:rsidR="00112547">
        <w:t xml:space="preserve"> of PG&amp;E’s total overhead </w:t>
      </w:r>
      <w:r w:rsidR="00112547">
        <w:lastRenderedPageBreak/>
        <w:t xml:space="preserve">assets in the HFTD locations,” </w:t>
      </w:r>
      <w:r w:rsidR="00F55DDE">
        <w:t xml:space="preserve">and that such </w:t>
      </w:r>
      <w:r w:rsidR="00112547">
        <w:t>a request was “misguided” and “arguably defeats the purpose of a pilot program</w:t>
      </w:r>
      <w:r w:rsidR="00870C5A">
        <w:t>.</w:t>
      </w:r>
      <w:r w:rsidR="00112547">
        <w:t xml:space="preserve">” </w:t>
      </w:r>
      <w:r w:rsidR="00D8024F">
        <w:t xml:space="preserve"> </w:t>
      </w:r>
      <w:r w:rsidR="00112547">
        <w:t xml:space="preserve">Nevertheless, PG&amp;E indicated “there could be benefits to include some portions of Tier 2 HFTD” and </w:t>
      </w:r>
      <w:r w:rsidR="00A1671D">
        <w:t>agree</w:t>
      </w:r>
      <w:r w:rsidR="00112547">
        <w:t>d</w:t>
      </w:r>
      <w:r w:rsidR="00A1671D">
        <w:t xml:space="preserve"> to expand </w:t>
      </w:r>
      <w:r w:rsidR="003D349D">
        <w:t xml:space="preserve">the scope of the </w:t>
      </w:r>
      <w:r w:rsidR="00A1671D">
        <w:t>pilot to also include</w:t>
      </w:r>
      <w:r w:rsidR="00E9695B">
        <w:t xml:space="preserve"> </w:t>
      </w:r>
      <w:r w:rsidR="00087ADB">
        <w:t>some customers in</w:t>
      </w:r>
      <w:r w:rsidR="00B54CB9">
        <w:t xml:space="preserve"> the</w:t>
      </w:r>
      <w:r w:rsidR="00087ADB">
        <w:t xml:space="preserve"> </w:t>
      </w:r>
      <w:r w:rsidR="00A1671D">
        <w:t>Tier</w:t>
      </w:r>
      <w:r w:rsidR="00D8024F">
        <w:t> </w:t>
      </w:r>
      <w:r w:rsidR="00A1671D">
        <w:t>2 HFTD</w:t>
      </w:r>
      <w:r w:rsidR="00207631">
        <w:t>s</w:t>
      </w:r>
      <w:r w:rsidR="00A1671D">
        <w:t xml:space="preserve"> </w:t>
      </w:r>
      <w:r w:rsidR="00112547">
        <w:t xml:space="preserve">pending consultation with </w:t>
      </w:r>
      <w:r w:rsidR="00F55DDE">
        <w:t>Cal Advocates</w:t>
      </w:r>
      <w:r>
        <w:t>.</w:t>
      </w:r>
      <w:r w:rsidR="00E9695B">
        <w:t xml:space="preserve"> </w:t>
      </w:r>
      <w:r w:rsidR="00AF5543">
        <w:t xml:space="preserve"> </w:t>
      </w:r>
    </w:p>
    <w:p w:rsidRPr="005B16CC" w:rsidR="005B16CC" w:rsidP="0098046D" w:rsidRDefault="00A87F21" w14:paraId="6D4DAFE3" w14:textId="341C5F0B">
      <w:pPr>
        <w:pStyle w:val="Standard"/>
      </w:pPr>
      <w:r>
        <w:t>The Administrative Law Judge (ALJ) held a</w:t>
      </w:r>
      <w:r w:rsidR="000D67E2">
        <w:t xml:space="preserve"> </w:t>
      </w:r>
      <w:r w:rsidR="00E47FC7">
        <w:t>prehearing conference on October 15, 2019</w:t>
      </w:r>
      <w:r w:rsidRPr="0002139D" w:rsidR="0002139D">
        <w:rPr>
          <w:rFonts w:cs="Book Antiqua"/>
          <w:color w:val="000000"/>
          <w:szCs w:val="26"/>
        </w:rPr>
        <w:t xml:space="preserve"> </w:t>
      </w:r>
      <w:r w:rsidRPr="0002139D" w:rsidR="0002139D">
        <w:t>to discuss the issues of law and fact and to determine the need for hearing and schedule for resolving the matter</w:t>
      </w:r>
      <w:r w:rsidR="00E47FC7">
        <w:t xml:space="preserve">. </w:t>
      </w:r>
      <w:r w:rsidR="00D8024F">
        <w:t xml:space="preserve"> </w:t>
      </w:r>
      <w:r w:rsidR="00AF5543">
        <w:t xml:space="preserve">The Assigned Commissioner issued </w:t>
      </w:r>
      <w:r w:rsidR="00005FFC">
        <w:t>the</w:t>
      </w:r>
      <w:r w:rsidR="00AF5543">
        <w:t xml:space="preserve"> Scoping Memo and Ruling (scoping mem</w:t>
      </w:r>
      <w:r w:rsidR="003B4443">
        <w:t>o</w:t>
      </w:r>
      <w:r w:rsidR="00AF5543">
        <w:t xml:space="preserve">) on November 14, 2019. </w:t>
      </w:r>
      <w:r w:rsidR="00554380">
        <w:t xml:space="preserve"> </w:t>
      </w:r>
      <w:r w:rsidR="005B16CC">
        <w:t>Th</w:t>
      </w:r>
      <w:r w:rsidR="00850E61">
        <w:t>e</w:t>
      </w:r>
      <w:r w:rsidR="005B16CC">
        <w:t xml:space="preserve"> scope of the proceeding, as set forth in the </w:t>
      </w:r>
      <w:r w:rsidR="000E6B95">
        <w:t>s</w:t>
      </w:r>
      <w:r w:rsidR="005B16CC">
        <w:t xml:space="preserve">coping </w:t>
      </w:r>
      <w:r w:rsidR="000E6B95">
        <w:t>m</w:t>
      </w:r>
      <w:r w:rsidR="005B16CC">
        <w:t xml:space="preserve">emo, is as follows: </w:t>
      </w:r>
    </w:p>
    <w:p w:rsidRPr="005B16CC" w:rsidR="005B16CC" w:rsidP="00D8024F" w:rsidRDefault="005B16CC" w14:paraId="2E38E404" w14:textId="27D9EB51">
      <w:pPr>
        <w:pStyle w:val="ListAlpha"/>
        <w:numPr>
          <w:ilvl w:val="7"/>
          <w:numId w:val="59"/>
        </w:numPr>
        <w:ind w:right="1440"/>
      </w:pPr>
      <w:r w:rsidRPr="005B16CC">
        <w:t>Whether a pilot mobile app complies with the directives in</w:t>
      </w:r>
      <w:r>
        <w:t xml:space="preserve"> </w:t>
      </w:r>
      <w:r w:rsidRPr="005B16CC">
        <w:t>I.19-06-015</w:t>
      </w:r>
      <w:r w:rsidR="0035115E">
        <w:t>?</w:t>
      </w:r>
    </w:p>
    <w:p w:rsidRPr="005B16CC" w:rsidR="005B16CC" w:rsidP="00D8024F" w:rsidRDefault="005B16CC" w14:paraId="579041D2" w14:textId="6AC6653B">
      <w:pPr>
        <w:pStyle w:val="ListAlpha"/>
        <w:numPr>
          <w:ilvl w:val="7"/>
          <w:numId w:val="59"/>
        </w:numPr>
        <w:ind w:right="1440"/>
      </w:pPr>
      <w:r w:rsidRPr="005B16CC">
        <w:t>Whether the parameters of the pilot are reasonable</w:t>
      </w:r>
      <w:r w:rsidR="0035115E">
        <w:t>?</w:t>
      </w:r>
    </w:p>
    <w:p w:rsidRPr="005B16CC" w:rsidR="005B16CC" w:rsidP="00D8024F" w:rsidRDefault="005B16CC" w14:paraId="509FB3BE" w14:textId="33C21CB1">
      <w:pPr>
        <w:pStyle w:val="ListAlpha"/>
        <w:numPr>
          <w:ilvl w:val="7"/>
          <w:numId w:val="59"/>
        </w:numPr>
        <w:ind w:right="1440"/>
      </w:pPr>
      <w:bookmarkStart w:name="_Hlk40959875" w:id="24"/>
      <w:r w:rsidRPr="005B16CC">
        <w:t>Whether the results of the pilot indicate that a mobile app</w:t>
      </w:r>
      <w:r>
        <w:t xml:space="preserve"> </w:t>
      </w:r>
      <w:r w:rsidRPr="005B16CC">
        <w:t>can specifically improve public safety</w:t>
      </w:r>
      <w:bookmarkEnd w:id="24"/>
      <w:r w:rsidR="0035115E">
        <w:t>?</w:t>
      </w:r>
    </w:p>
    <w:p w:rsidRPr="005B16CC" w:rsidR="005B16CC" w:rsidP="00D8024F" w:rsidRDefault="005B16CC" w14:paraId="5CD045FD" w14:textId="6FBB8650">
      <w:pPr>
        <w:pStyle w:val="ListAlpha"/>
        <w:numPr>
          <w:ilvl w:val="7"/>
          <w:numId w:val="59"/>
        </w:numPr>
        <w:ind w:right="1440"/>
      </w:pPr>
      <w:r w:rsidRPr="005B16CC">
        <w:t>Whether the metrics and process for evaluating the</w:t>
      </w:r>
      <w:r>
        <w:t xml:space="preserve"> </w:t>
      </w:r>
      <w:r w:rsidRPr="005B16CC">
        <w:t>effectiveness of the mobile app are reasonable</w:t>
      </w:r>
      <w:r w:rsidR="0035115E">
        <w:t>?</w:t>
      </w:r>
    </w:p>
    <w:p w:rsidR="0009498C" w:rsidP="00D8024F" w:rsidRDefault="005B16CC" w14:paraId="1E83779A" w14:textId="72C74A4E">
      <w:pPr>
        <w:pStyle w:val="ListAlpha"/>
        <w:numPr>
          <w:ilvl w:val="7"/>
          <w:numId w:val="59"/>
        </w:numPr>
        <w:ind w:right="1440"/>
      </w:pPr>
      <w:r w:rsidRPr="005B16CC">
        <w:t>Are there any other relevant safety considerations</w:t>
      </w:r>
      <w:r>
        <w:t xml:space="preserve"> </w:t>
      </w:r>
      <w:r w:rsidRPr="005B16CC">
        <w:t>associated with the pilot</w:t>
      </w:r>
      <w:r w:rsidR="0035115E">
        <w:t>?</w:t>
      </w:r>
      <w:r>
        <w:rPr>
          <w:rStyle w:val="FootnoteReference"/>
        </w:rPr>
        <w:footnoteReference w:id="12"/>
      </w:r>
    </w:p>
    <w:p w:rsidR="00A14ED4" w:rsidP="0087100E" w:rsidRDefault="00AF5543" w14:paraId="6F5E907E" w14:textId="31A500CA">
      <w:pPr>
        <w:pStyle w:val="Standard"/>
      </w:pPr>
      <w:r>
        <w:t>A p</w:t>
      </w:r>
      <w:r w:rsidR="00554380">
        <w:t>ublic workshop w</w:t>
      </w:r>
      <w:r>
        <w:t>as</w:t>
      </w:r>
      <w:r w:rsidR="00554380">
        <w:t xml:space="preserve"> held at the Commission on December 3</w:t>
      </w:r>
      <w:r>
        <w:t>, 2019</w:t>
      </w:r>
      <w:r w:rsidR="00554380">
        <w:t xml:space="preserve"> at which PG&amp;E presented its mock-up of the mobile</w:t>
      </w:r>
      <w:r w:rsidR="000A5F52">
        <w:t xml:space="preserve"> </w:t>
      </w:r>
      <w:r w:rsidR="003B4443">
        <w:t xml:space="preserve">app </w:t>
      </w:r>
      <w:r w:rsidR="000A5F52">
        <w:t>pilot.  PG&amp;E</w:t>
      </w:r>
      <w:r w:rsidR="00204D65">
        <w:t xml:space="preserve"> filed its </w:t>
      </w:r>
      <w:r w:rsidR="000A5F52">
        <w:t>draft pilot implementation plan on January 17, 2020</w:t>
      </w:r>
      <w:r w:rsidR="00777061">
        <w:t xml:space="preserve">, </w:t>
      </w:r>
      <w:r w:rsidR="00D548F5">
        <w:t>titled</w:t>
      </w:r>
      <w:r w:rsidR="00777061">
        <w:t xml:space="preserve"> </w:t>
      </w:r>
      <w:r w:rsidRPr="00777061" w:rsidR="00777061">
        <w:rPr>
          <w:i/>
          <w:iCs/>
        </w:rPr>
        <w:t>Mobile Application Pilot Implementation Report</w:t>
      </w:r>
      <w:r w:rsidR="000A5F52">
        <w:t>.</w:t>
      </w:r>
      <w:r w:rsidR="00A96DD9">
        <w:rPr>
          <w:rStyle w:val="FootnoteReference"/>
        </w:rPr>
        <w:footnoteReference w:id="13"/>
      </w:r>
      <w:r w:rsidR="000A5F52">
        <w:t xml:space="preserve">  </w:t>
      </w:r>
      <w:r>
        <w:t xml:space="preserve">On </w:t>
      </w:r>
      <w:r w:rsidRPr="00AF5543">
        <w:t>February 12, 2020,</w:t>
      </w:r>
      <w:r>
        <w:t xml:space="preserve"> </w:t>
      </w:r>
      <w:r w:rsidR="00F55DDE">
        <w:t>the Commission held a</w:t>
      </w:r>
      <w:r>
        <w:t xml:space="preserve"> second public workshop.  During this </w:t>
      </w:r>
      <w:r w:rsidR="00F55DDE">
        <w:t xml:space="preserve">second </w:t>
      </w:r>
      <w:r>
        <w:t xml:space="preserve">workshop, PG&amp;E, the California </w:t>
      </w:r>
      <w:r w:rsidR="00304052">
        <w:lastRenderedPageBreak/>
        <w:t>D</w:t>
      </w:r>
      <w:r>
        <w:t xml:space="preserve">epartment of Technology, and </w:t>
      </w:r>
      <w:bookmarkStart w:name="_Hlk47458121" w:id="25"/>
      <w:r>
        <w:t xml:space="preserve">Professor Catherine Sandoval </w:t>
      </w:r>
      <w:r w:rsidR="004302DB">
        <w:t xml:space="preserve">on behalf of the </w:t>
      </w:r>
      <w:r w:rsidRPr="004302DB" w:rsidR="004302DB">
        <w:t xml:space="preserve">Broadband Institute of California </w:t>
      </w:r>
      <w:r w:rsidRPr="004302DB" w:rsidR="007373B3">
        <w:t>(BBIC)</w:t>
      </w:r>
      <w:r w:rsidR="007373B3">
        <w:t xml:space="preserve"> </w:t>
      </w:r>
      <w:r w:rsidRPr="004302DB" w:rsidR="004302DB">
        <w:t xml:space="preserve">at Santa Clara University School of Law </w:t>
      </w:r>
      <w:bookmarkEnd w:id="25"/>
      <w:r>
        <w:t>made presentations.</w:t>
      </w:r>
      <w:r w:rsidR="00F061FA">
        <w:t xml:space="preserve">  </w:t>
      </w:r>
    </w:p>
    <w:p w:rsidR="00AA165F" w:rsidP="0098046D" w:rsidRDefault="00F061FA" w14:paraId="22BB498F" w14:textId="56BF6FDC">
      <w:pPr>
        <w:pStyle w:val="Standard"/>
      </w:pPr>
      <w:r>
        <w:t>In addition, the Commission’s Safety Policy Division (SPD</w:t>
      </w:r>
      <w:r w:rsidR="00BC18C8">
        <w:t xml:space="preserve">) </w:t>
      </w:r>
      <w:r w:rsidR="00AA165F">
        <w:t xml:space="preserve">presented recommendations </w:t>
      </w:r>
      <w:r w:rsidR="00A87F21">
        <w:t xml:space="preserve">regarding PG&amp;E’s mobile app pilot </w:t>
      </w:r>
      <w:r w:rsidR="00AA165F">
        <w:t>at the second workshop.  Those recommendations are set forth</w:t>
      </w:r>
      <w:r w:rsidR="00CF16EA">
        <w:t xml:space="preserve"> in SPD’s </w:t>
      </w:r>
      <w:r w:rsidRPr="00F27EE0" w:rsidR="00CF16EA">
        <w:rPr>
          <w:i/>
          <w:iCs/>
        </w:rPr>
        <w:t>Workshop 2 Report</w:t>
      </w:r>
      <w:r w:rsidR="00CF16EA">
        <w:t xml:space="preserve"> </w:t>
      </w:r>
      <w:r w:rsidR="00AA165F">
        <w:t>filed in this proceeding on May 8, 2020.</w:t>
      </w:r>
      <w:r w:rsidR="00154AC9">
        <w:rPr>
          <w:rStyle w:val="FootnoteReference"/>
        </w:rPr>
        <w:footnoteReference w:id="14"/>
      </w:r>
      <w:r w:rsidR="00AA165F">
        <w:t xml:space="preserve">  The recommendations included, among other things, </w:t>
      </w:r>
      <w:r w:rsidR="00BC18C8">
        <w:t>that</w:t>
      </w:r>
      <w:r w:rsidR="00AA165F">
        <w:t xml:space="preserve"> the Commission direct PG&amp;E to incorporate </w:t>
      </w:r>
      <w:r w:rsidR="00BC18C8">
        <w:t>within</w:t>
      </w:r>
      <w:r w:rsidR="00AA165F">
        <w:t xml:space="preserve"> the mobile app </w:t>
      </w:r>
      <w:r w:rsidRPr="00AA165F" w:rsidR="00AA165F">
        <w:t>additional safety information-sharing capabilities to keep customers informed in an era of heightened wildfire threats and planned power shutoffs,</w:t>
      </w:r>
      <w:r w:rsidR="00A14ED4">
        <w:t xml:space="preserve"> </w:t>
      </w:r>
      <w:r w:rsidR="00AA165F">
        <w:t>s</w:t>
      </w:r>
      <w:r w:rsidRPr="00AA165F" w:rsidR="00AA165F">
        <w:t xml:space="preserve">uch as </w:t>
      </w:r>
      <w:r w:rsidR="00304052">
        <w:t>P</w:t>
      </w:r>
      <w:r w:rsidRPr="00AA165F" w:rsidR="00AA165F">
        <w:t xml:space="preserve">ublic </w:t>
      </w:r>
      <w:r w:rsidR="00304052">
        <w:t>S</w:t>
      </w:r>
      <w:r w:rsidRPr="00AA165F" w:rsidR="00AA165F">
        <w:t xml:space="preserve">afety </w:t>
      </w:r>
      <w:r w:rsidR="00304052">
        <w:t>P</w:t>
      </w:r>
      <w:r w:rsidRPr="00AA165F" w:rsidR="00AA165F">
        <w:t xml:space="preserve">ower </w:t>
      </w:r>
      <w:r w:rsidR="00304052">
        <w:t>S</w:t>
      </w:r>
      <w:r w:rsidRPr="00AA165F" w:rsidR="00AA165F">
        <w:t>hutoff (PSPS) alerts</w:t>
      </w:r>
      <w:r w:rsidR="00304052">
        <w:rPr>
          <w:rStyle w:val="FootnoteReference"/>
        </w:rPr>
        <w:footnoteReference w:id="15"/>
      </w:r>
      <w:r w:rsidRPr="00AA165F" w:rsidR="00AA165F">
        <w:t xml:space="preserve"> and</w:t>
      </w:r>
      <w:r w:rsidR="00CF16EA">
        <w:t xml:space="preserve"> a method to</w:t>
      </w:r>
      <w:r w:rsidRPr="00AA165F" w:rsidR="00AA165F">
        <w:t xml:space="preserve"> enable customers to report power outages.</w:t>
      </w:r>
      <w:r w:rsidR="00AA165F">
        <w:t xml:space="preserve">  </w:t>
      </w:r>
      <w:r w:rsidR="0002139D">
        <w:t>As discuss</w:t>
      </w:r>
      <w:r w:rsidR="00BC18C8">
        <w:t>ed</w:t>
      </w:r>
      <w:r w:rsidR="0002139D">
        <w:t xml:space="preserve"> later in this decision, t</w:t>
      </w:r>
      <w:r w:rsidR="00AA165F">
        <w:t xml:space="preserve">hese topics </w:t>
      </w:r>
      <w:r w:rsidR="006D3CA9">
        <w:t xml:space="preserve">are more appropriately </w:t>
      </w:r>
      <w:r w:rsidR="00AA165F">
        <w:t>addressed in Phase 2 of this proceeding.</w:t>
      </w:r>
    </w:p>
    <w:p w:rsidR="000A5F52" w:rsidP="0098046D" w:rsidRDefault="000A5F52" w14:paraId="0CA6E684" w14:textId="77819669">
      <w:pPr>
        <w:pStyle w:val="Standard"/>
      </w:pPr>
      <w:r>
        <w:t>Comments were filed on</w:t>
      </w:r>
      <w:r w:rsidRPr="00777061" w:rsidR="00777061">
        <w:t xml:space="preserve"> </w:t>
      </w:r>
      <w:r w:rsidR="00777061">
        <w:t xml:space="preserve">PG&amp;E’s </w:t>
      </w:r>
      <w:bookmarkStart w:name="_Hlk38616295" w:id="26"/>
      <w:r w:rsidR="00304052">
        <w:t xml:space="preserve">January 17, 2020 </w:t>
      </w:r>
      <w:r w:rsidRPr="047C0AE2" w:rsidR="00777061">
        <w:rPr>
          <w:i/>
          <w:iCs/>
        </w:rPr>
        <w:t>Mobile Application Pilot Implementation Report</w:t>
      </w:r>
      <w:bookmarkEnd w:id="26"/>
      <w:r w:rsidRPr="047C0AE2">
        <w:rPr>
          <w:i/>
          <w:iCs/>
        </w:rPr>
        <w:t xml:space="preserve"> </w:t>
      </w:r>
      <w:r w:rsidRPr="00777061" w:rsidR="00777061">
        <w:t>on</w:t>
      </w:r>
      <w:r w:rsidRPr="047C0AE2" w:rsidR="00777061">
        <w:rPr>
          <w:i/>
          <w:iCs/>
        </w:rPr>
        <w:t xml:space="preserve"> </w:t>
      </w:r>
      <w:r w:rsidR="00656A72">
        <w:t>February 21</w:t>
      </w:r>
      <w:r>
        <w:t xml:space="preserve">, 2020 </w:t>
      </w:r>
      <w:r w:rsidR="00656A72">
        <w:t xml:space="preserve">by </w:t>
      </w:r>
      <w:r w:rsidR="007373B3">
        <w:t xml:space="preserve">Cal </w:t>
      </w:r>
      <w:r w:rsidR="00656A72">
        <w:t xml:space="preserve">Advocates </w:t>
      </w:r>
      <w:r w:rsidR="003E5604">
        <w:t xml:space="preserve">and </w:t>
      </w:r>
      <w:bookmarkStart w:name="_Hlk33619760" w:id="27"/>
      <w:r w:rsidR="003E5604">
        <w:t>BBIC</w:t>
      </w:r>
      <w:bookmarkEnd w:id="27"/>
      <w:r w:rsidR="003E5604">
        <w:t xml:space="preserve">.  </w:t>
      </w:r>
      <w:r w:rsidR="00656A72">
        <w:t>R</w:t>
      </w:r>
      <w:r>
        <w:t xml:space="preserve">eply comments were filed on </w:t>
      </w:r>
      <w:r w:rsidR="00EC7E33">
        <w:t>March 6</w:t>
      </w:r>
      <w:r>
        <w:t>, 202</w:t>
      </w:r>
      <w:r w:rsidR="00EC7E33">
        <w:t>0 by BBIC and PG&amp;E.</w:t>
      </w:r>
      <w:r w:rsidR="003558FD">
        <w:t xml:space="preserve">  </w:t>
      </w:r>
      <w:r w:rsidR="00C82A2A">
        <w:t xml:space="preserve">In response to these comments, </w:t>
      </w:r>
      <w:r w:rsidR="003558FD">
        <w:t xml:space="preserve">PG&amp;E </w:t>
      </w:r>
      <w:r w:rsidR="00005FFC">
        <w:t xml:space="preserve">made minor modifications to its pilot and </w:t>
      </w:r>
      <w:r w:rsidR="003558FD">
        <w:t xml:space="preserve">filed a </w:t>
      </w:r>
      <w:r w:rsidRPr="047C0AE2" w:rsidR="003558FD">
        <w:rPr>
          <w:i/>
          <w:iCs/>
        </w:rPr>
        <w:t xml:space="preserve">Revised </w:t>
      </w:r>
      <w:bookmarkStart w:name="_Hlk38616058" w:id="28"/>
      <w:r w:rsidRPr="047C0AE2" w:rsidR="003558FD">
        <w:rPr>
          <w:i/>
          <w:iCs/>
        </w:rPr>
        <w:t>Mobile Application Pilot Implementation Report</w:t>
      </w:r>
      <w:r w:rsidR="003558FD">
        <w:t xml:space="preserve"> </w:t>
      </w:r>
      <w:bookmarkEnd w:id="28"/>
      <w:r w:rsidR="003558FD">
        <w:t>on March 20, 2020.</w:t>
      </w:r>
      <w:r w:rsidR="00CD1FF6">
        <w:rPr>
          <w:rStyle w:val="FootnoteReference"/>
        </w:rPr>
        <w:footnoteReference w:id="16"/>
      </w:r>
      <w:r w:rsidR="00F81F18">
        <w:t xml:space="preserve">  This </w:t>
      </w:r>
      <w:r w:rsidR="00D548F5">
        <w:t xml:space="preserve">revised implementation plan, similar to the </w:t>
      </w:r>
      <w:r w:rsidR="00207631">
        <w:t>initial</w:t>
      </w:r>
      <w:r w:rsidR="00D548F5">
        <w:t xml:space="preserve"> January 17, 2020 </w:t>
      </w:r>
      <w:r w:rsidR="00204D65">
        <w:t>plan</w:t>
      </w:r>
      <w:r w:rsidR="00AC783F">
        <w:t>,</w:t>
      </w:r>
      <w:r w:rsidR="00D548F5">
        <w:t xml:space="preserve"> </w:t>
      </w:r>
      <w:r w:rsidR="0055750B">
        <w:t xml:space="preserve">describes </w:t>
      </w:r>
      <w:r w:rsidR="00F81F18">
        <w:lastRenderedPageBreak/>
        <w:t>PG&amp;E</w:t>
      </w:r>
      <w:r w:rsidR="0055750B">
        <w:t>’s</w:t>
      </w:r>
      <w:r w:rsidR="00F81F18">
        <w:t xml:space="preserve"> suggested framework for the mobile app</w:t>
      </w:r>
      <w:r w:rsidR="00F55DDE">
        <w:t xml:space="preserve"> pilot.</w:t>
      </w:r>
      <w:r w:rsidR="00473605">
        <w:t xml:space="preserve"> On June 9, 2020, the ALJ requested additional information regarding </w:t>
      </w:r>
      <w:r w:rsidR="00CE13CD">
        <w:t xml:space="preserve">the appropriateness of </w:t>
      </w:r>
      <w:r w:rsidR="00473605">
        <w:t>us</w:t>
      </w:r>
      <w:r w:rsidR="00CE13CD">
        <w:t>ing</w:t>
      </w:r>
      <w:r w:rsidR="00473605">
        <w:t xml:space="preserve"> the mobile app </w:t>
      </w:r>
      <w:r w:rsidR="00CE13CD">
        <w:t xml:space="preserve">in </w:t>
      </w:r>
      <w:r w:rsidR="00473605">
        <w:t>emergency situations</w:t>
      </w:r>
      <w:r w:rsidR="00CE13CD">
        <w:t>, the treatment of submission</w:t>
      </w:r>
      <w:r w:rsidR="59ACDE7F">
        <w:t>s</w:t>
      </w:r>
      <w:r w:rsidR="00CE13CD">
        <w:t xml:space="preserve"> and record-keeping of matters deemed emergencies, methods to warn customer</w:t>
      </w:r>
      <w:r w:rsidR="3D4B1471">
        <w:t xml:space="preserve"> against</w:t>
      </w:r>
      <w:r w:rsidR="00CE13CD">
        <w:t xml:space="preserve"> using the mobile app for emergencies</w:t>
      </w:r>
      <w:r w:rsidR="00473605">
        <w:t>.</w:t>
      </w:r>
      <w:r w:rsidR="00473605">
        <w:rPr>
          <w:rStyle w:val="FootnoteReference"/>
        </w:rPr>
        <w:footnoteReference w:id="17"/>
      </w:r>
      <w:r w:rsidR="00473605">
        <w:t xml:space="preserve">  PG&amp;E responded to this request on June 17, 2020.</w:t>
      </w:r>
      <w:r w:rsidR="00473605">
        <w:rPr>
          <w:rStyle w:val="FootnoteReference"/>
        </w:rPr>
        <w:footnoteReference w:id="18"/>
      </w:r>
    </w:p>
    <w:p w:rsidR="006D3CA9" w:rsidP="00385ED3" w:rsidRDefault="00F81F18" w14:paraId="4DAB0BD9" w14:textId="0E893B5E">
      <w:pPr>
        <w:pStyle w:val="Standard"/>
      </w:pPr>
      <w:r>
        <w:t>In t</w:t>
      </w:r>
      <w:r w:rsidR="000A5F52">
        <w:t>his decision</w:t>
      </w:r>
      <w:r>
        <w:t>, we</w:t>
      </w:r>
      <w:r w:rsidR="000A5F52">
        <w:t xml:space="preserve"> summar</w:t>
      </w:r>
      <w:r>
        <w:t>ize</w:t>
      </w:r>
      <w:r w:rsidR="000A5F52">
        <w:t xml:space="preserve"> the parameters of </w:t>
      </w:r>
      <w:r w:rsidR="003D349D">
        <w:t xml:space="preserve">PG&amp;E’s </w:t>
      </w:r>
      <w:r w:rsidR="000A5F52">
        <w:t>mobile app pilot and</w:t>
      </w:r>
      <w:r w:rsidR="00912F13">
        <w:t xml:space="preserve"> determine whether the </w:t>
      </w:r>
      <w:r>
        <w:t>pilot, as proposed by PG&amp;E,</w:t>
      </w:r>
      <w:r w:rsidR="00912F13">
        <w:t xml:space="preserve"> conforms with the directives in I.19-06-015</w:t>
      </w:r>
      <w:r w:rsidR="00AF5543">
        <w:t>.</w:t>
      </w:r>
      <w:r w:rsidR="00B651F8">
        <w:t xml:space="preserve"> </w:t>
      </w:r>
      <w:r w:rsidR="007373B3">
        <w:t xml:space="preserve"> This decision also </w:t>
      </w:r>
      <w:r w:rsidR="00777061">
        <w:t xml:space="preserve">addresses numerous operational elements of the mobile app that the Commission did not </w:t>
      </w:r>
      <w:r w:rsidR="00D548F5">
        <w:t xml:space="preserve">contemplate </w:t>
      </w:r>
      <w:r w:rsidR="00777061">
        <w:t>in I.19</w:t>
      </w:r>
      <w:r w:rsidR="00D8024F">
        <w:noBreakHyphen/>
      </w:r>
      <w:r w:rsidR="00777061">
        <w:t>06</w:t>
      </w:r>
      <w:r w:rsidR="00D8024F">
        <w:noBreakHyphen/>
      </w:r>
      <w:r w:rsidR="00777061">
        <w:t>015</w:t>
      </w:r>
      <w:r w:rsidR="00D3640B">
        <w:t xml:space="preserve"> </w:t>
      </w:r>
      <w:r w:rsidR="00777061">
        <w:t xml:space="preserve">but </w:t>
      </w:r>
      <w:r w:rsidR="00D548F5">
        <w:t xml:space="preserve">which </w:t>
      </w:r>
      <w:r w:rsidR="00D3640B">
        <w:t xml:space="preserve">are </w:t>
      </w:r>
      <w:r w:rsidR="00777061">
        <w:t>need</w:t>
      </w:r>
      <w:r w:rsidR="00D3640B">
        <w:t xml:space="preserve">ed </w:t>
      </w:r>
      <w:r w:rsidR="00D548F5">
        <w:t xml:space="preserve">to </w:t>
      </w:r>
      <w:r w:rsidR="00204D65">
        <w:t>establish</w:t>
      </w:r>
      <w:r w:rsidR="00D548F5">
        <w:t xml:space="preserve"> an appropriate platform to perform the various required </w:t>
      </w:r>
      <w:r w:rsidR="00777061">
        <w:t>function</w:t>
      </w:r>
      <w:r w:rsidR="00D548F5">
        <w:t>s</w:t>
      </w:r>
      <w:r w:rsidR="00D3640B">
        <w:t xml:space="preserve"> of the mobile app</w:t>
      </w:r>
      <w:r w:rsidR="00D548F5">
        <w:t>.</w:t>
      </w:r>
      <w:r w:rsidR="00777061">
        <w:t xml:space="preserve"> </w:t>
      </w:r>
      <w:r w:rsidR="00D8024F">
        <w:t xml:space="preserve"> </w:t>
      </w:r>
      <w:r w:rsidR="00777061">
        <w:t xml:space="preserve">In addition, this decision </w:t>
      </w:r>
      <w:r w:rsidR="00D548F5">
        <w:t>provide</w:t>
      </w:r>
      <w:r w:rsidR="00C76CA1">
        <w:t>s</w:t>
      </w:r>
      <w:r w:rsidR="00D548F5">
        <w:t xml:space="preserve"> for </w:t>
      </w:r>
      <w:r w:rsidR="007373B3">
        <w:t>a p</w:t>
      </w:r>
      <w:r w:rsidR="00A87F21">
        <w:t>rocess</w:t>
      </w:r>
      <w:r w:rsidR="007373B3">
        <w:t xml:space="preserve"> </w:t>
      </w:r>
      <w:r w:rsidR="00AC783F">
        <w:t>to allow</w:t>
      </w:r>
      <w:r w:rsidR="007373B3">
        <w:t xml:space="preserve"> for </w:t>
      </w:r>
      <w:r w:rsidR="00AC783F">
        <w:t xml:space="preserve">permanent </w:t>
      </w:r>
      <w:r w:rsidR="007373B3">
        <w:t>implementation of the mobile app</w:t>
      </w:r>
      <w:r w:rsidR="00625DAF">
        <w:t xml:space="preserve">, should </w:t>
      </w:r>
      <w:r w:rsidR="00A87F21">
        <w:t>the Commission</w:t>
      </w:r>
      <w:r w:rsidR="00625DAF">
        <w:t xml:space="preserve"> find it advisable to </w:t>
      </w:r>
      <w:r w:rsidR="00955817">
        <w:t>s</w:t>
      </w:r>
      <w:r w:rsidR="00625DAF">
        <w:t>o</w:t>
      </w:r>
      <w:r w:rsidR="00C82A2A">
        <w:t xml:space="preserve">, </w:t>
      </w:r>
      <w:r w:rsidR="00850E61">
        <w:t>within</w:t>
      </w:r>
      <w:r w:rsidR="005B386F">
        <w:t xml:space="preserve"> </w:t>
      </w:r>
      <w:r w:rsidR="00625DAF">
        <w:t xml:space="preserve">a </w:t>
      </w:r>
      <w:r w:rsidR="00C82A2A">
        <w:t xml:space="preserve">Phase 2 </w:t>
      </w:r>
      <w:r w:rsidR="00625DAF">
        <w:t xml:space="preserve">of </w:t>
      </w:r>
      <w:r w:rsidR="00C82A2A">
        <w:t>this proceeding</w:t>
      </w:r>
      <w:r w:rsidR="00850E61">
        <w:t>.</w:t>
      </w:r>
      <w:r w:rsidR="00625DAF">
        <w:t xml:space="preserve"> </w:t>
      </w:r>
    </w:p>
    <w:p w:rsidRPr="001829DC" w:rsidR="001829DC" w:rsidP="00385ED3" w:rsidRDefault="006D3CA9" w14:paraId="55AA5585" w14:textId="73CAB110">
      <w:pPr>
        <w:pStyle w:val="Standard"/>
      </w:pPr>
      <w:r>
        <w:t>This phase of the proceeding addresse</w:t>
      </w:r>
      <w:r w:rsidR="00005FFC">
        <w:t>s</w:t>
      </w:r>
      <w:r>
        <w:t xml:space="preserve"> all the issues set forth in the scoping memo, except Issue 3.  </w:t>
      </w:r>
      <w:r w:rsidR="00005FFC">
        <w:t>Issue 3 presents t</w:t>
      </w:r>
      <w:r w:rsidRPr="00005FFC" w:rsidR="00005FFC">
        <w:t xml:space="preserve">he overarching issue of whether the results of the pilot indicate that a mobile app can improve public safety.  </w:t>
      </w:r>
      <w:r w:rsidR="00005FFC">
        <w:t>Issue 3 will be addressed i</w:t>
      </w:r>
      <w:r>
        <w:t xml:space="preserve">n </w:t>
      </w:r>
      <w:r w:rsidR="00C76CA1">
        <w:t>Phase 2</w:t>
      </w:r>
      <w:r>
        <w:t xml:space="preserve"> of the proceeding</w:t>
      </w:r>
      <w:r w:rsidR="00F00AD1">
        <w:t xml:space="preserve"> as part of the Commission’s consideration of whether to permanently adopt PG&amp;E’s mobile app</w:t>
      </w:r>
      <w:r w:rsidR="00005FFC">
        <w:t xml:space="preserve">. </w:t>
      </w:r>
      <w:r>
        <w:t>Further issues to be addressed in Phase 2 are</w:t>
      </w:r>
      <w:r w:rsidR="00955817">
        <w:t xml:space="preserve"> identified</w:t>
      </w:r>
      <w:r>
        <w:t xml:space="preserve"> below.</w:t>
      </w:r>
    </w:p>
    <w:p w:rsidRPr="003D334C" w:rsidR="005A148C" w:rsidP="009C147C" w:rsidRDefault="00912F13" w14:paraId="09B6CA9E" w14:textId="4D3E14BB">
      <w:pPr>
        <w:pStyle w:val="Heading1"/>
        <w:numPr>
          <w:ilvl w:val="0"/>
          <w:numId w:val="59"/>
        </w:numPr>
      </w:pPr>
      <w:bookmarkStart w:name="_Toc52866538" w:id="29"/>
      <w:r w:rsidRPr="003D334C">
        <w:lastRenderedPageBreak/>
        <w:t>Conformity with I.19-06-015</w:t>
      </w:r>
      <w:bookmarkStart w:name="_Hlk33532994" w:id="30"/>
      <w:bookmarkEnd w:id="29"/>
    </w:p>
    <w:p w:rsidR="00912F13" w:rsidP="0087100E" w:rsidRDefault="00D9600B" w14:paraId="4487CF76" w14:textId="115535C2">
      <w:pPr>
        <w:pStyle w:val="Standard"/>
      </w:pPr>
      <w:bookmarkStart w:name="_Hlk33532745" w:id="31"/>
      <w:r>
        <w:t xml:space="preserve">The Commission in </w:t>
      </w:r>
      <w:r w:rsidR="00263E9F">
        <w:t>I.19-06-015</w:t>
      </w:r>
      <w:bookmarkEnd w:id="30"/>
      <w:r w:rsidR="00263E9F">
        <w:t xml:space="preserve"> </w:t>
      </w:r>
      <w:bookmarkEnd w:id="31"/>
      <w:r w:rsidR="00263E9F">
        <w:t xml:space="preserve">ordered PG&amp;E to “file an application within 30 days after the issuance of this Order to develop an open source, </w:t>
      </w:r>
      <w:r w:rsidR="002B5FF0">
        <w:t>publicly-available</w:t>
      </w:r>
      <w:r w:rsidR="00263E9F">
        <w:t xml:space="preserve"> asset management</w:t>
      </w:r>
      <w:r w:rsidR="0096518E">
        <w:t xml:space="preserve"> </w:t>
      </w:r>
      <w:r w:rsidR="00263E9F">
        <w:t xml:space="preserve">database and mobile app as described in this </w:t>
      </w:r>
      <w:r w:rsidR="0064704B">
        <w:t>O</w:t>
      </w:r>
      <w:r w:rsidR="00263E9F">
        <w:t>rder.”</w:t>
      </w:r>
      <w:r w:rsidR="00263E9F">
        <w:rPr>
          <w:rStyle w:val="FootnoteReference"/>
        </w:rPr>
        <w:footnoteReference w:id="19"/>
      </w:r>
      <w:r w:rsidR="00263E9F">
        <w:t xml:space="preserve">  </w:t>
      </w:r>
    </w:p>
    <w:p w:rsidR="00B93346" w:rsidP="0087100E" w:rsidRDefault="00263E9F" w14:paraId="2AAF3790" w14:textId="7CCAF59D">
      <w:pPr>
        <w:pStyle w:val="Standard"/>
      </w:pPr>
      <w:r>
        <w:t xml:space="preserve">I.19-06-015 included </w:t>
      </w:r>
      <w:r w:rsidR="00C918A2">
        <w:t>certain requirement</w:t>
      </w:r>
      <w:r w:rsidR="0064704B">
        <w:t>s</w:t>
      </w:r>
      <w:r w:rsidR="00C918A2">
        <w:t xml:space="preserve"> </w:t>
      </w:r>
      <w:r w:rsidR="00BC18C8">
        <w:t>for</w:t>
      </w:r>
      <w:r w:rsidR="00C918A2">
        <w:t xml:space="preserve"> </w:t>
      </w:r>
      <w:r>
        <w:t xml:space="preserve">the mobile app.  </w:t>
      </w:r>
      <w:r w:rsidR="00D9600B">
        <w:t xml:space="preserve">The Commission indicated in </w:t>
      </w:r>
      <w:r>
        <w:t>I</w:t>
      </w:r>
      <w:r w:rsidR="00C918A2">
        <w:t>.19-06-015</w:t>
      </w:r>
      <w:r>
        <w:t xml:space="preserve"> that PG&amp;E should design an “open source, </w:t>
      </w:r>
      <w:r w:rsidR="002B5FF0">
        <w:t>publicly-available</w:t>
      </w:r>
      <w:r>
        <w:t xml:space="preserve"> mobile app that allows a Geographic Information System</w:t>
      </w:r>
      <w:r w:rsidR="005807DD">
        <w:rPr>
          <w:rStyle w:val="FootnoteReference"/>
        </w:rPr>
        <w:footnoteReference w:id="20"/>
      </w:r>
      <w:r w:rsidR="007373B3">
        <w:t xml:space="preserve"> </w:t>
      </w:r>
      <w:r>
        <w:t>equipped phone to send pictures of utility infrastructure (</w:t>
      </w:r>
      <w:r w:rsidRPr="009C147C">
        <w:rPr>
          <w:i/>
          <w:iCs/>
        </w:rPr>
        <w:t>e.g.</w:t>
      </w:r>
      <w:r>
        <w:t>, poles) to an asset management system/database maintained by PG&amp;E.”</w:t>
      </w:r>
      <w:r w:rsidR="002F6707">
        <w:rPr>
          <w:rStyle w:val="FootnoteReference"/>
        </w:rPr>
        <w:footnoteReference w:id="21"/>
      </w:r>
      <w:r>
        <w:t xml:space="preserve">  </w:t>
      </w:r>
      <w:r w:rsidR="002F6707">
        <w:t>Additionally, for each photo received</w:t>
      </w:r>
      <w:r w:rsidR="006B3D8D">
        <w:t>,</w:t>
      </w:r>
      <w:r w:rsidR="000D67E2">
        <w:t xml:space="preserve"> the Commission stated in</w:t>
      </w:r>
      <w:r w:rsidR="006B3D8D">
        <w:t xml:space="preserve"> I.19-06-015 that</w:t>
      </w:r>
      <w:r w:rsidR="002F6707">
        <w:t xml:space="preserve"> PG&amp;E must provide the following information in the database within 30 days of receipt of the photo through the mobile app: </w:t>
      </w:r>
      <w:r w:rsidR="009C147C">
        <w:t xml:space="preserve"> </w:t>
      </w:r>
      <w:r w:rsidR="002F6707">
        <w:t>(1) w</w:t>
      </w:r>
      <w:r w:rsidR="00FC0801">
        <w:t>he</w:t>
      </w:r>
      <w:r w:rsidR="002F6707">
        <w:t>ther the photo identifies a problem;</w:t>
      </w:r>
      <w:r w:rsidR="009C147C">
        <w:t xml:space="preserve"> </w:t>
      </w:r>
      <w:r w:rsidR="002F6707">
        <w:t xml:space="preserve"> (2) whether the problem presents a safety concern or is a violation of safety regulation; </w:t>
      </w:r>
      <w:r w:rsidR="009C147C">
        <w:t xml:space="preserve"> </w:t>
      </w:r>
      <w:r w:rsidR="002F6707">
        <w:t>(3)</w:t>
      </w:r>
      <w:r w:rsidR="009C147C">
        <w:t> </w:t>
      </w:r>
      <w:r w:rsidR="002F6707">
        <w:t>actions to remedy the ma</w:t>
      </w:r>
      <w:r w:rsidR="00B93346">
        <w:t>t</w:t>
      </w:r>
      <w:r w:rsidR="002F6707">
        <w:t>ter; and (4) when the remedial action was or will be taken.</w:t>
      </w:r>
      <w:r w:rsidR="00B93346">
        <w:rPr>
          <w:rStyle w:val="FootnoteReference"/>
        </w:rPr>
        <w:footnoteReference w:id="22"/>
      </w:r>
      <w:r w:rsidR="002F6707">
        <w:t xml:space="preserve"> </w:t>
      </w:r>
      <w:r w:rsidR="009C147C">
        <w:t xml:space="preserve"> </w:t>
      </w:r>
      <w:r w:rsidR="00777061">
        <w:t>The Commission in I.19-06-015 did not address any other details of the mobile app.</w:t>
      </w:r>
    </w:p>
    <w:p w:rsidR="003D334C" w:rsidP="0098046D" w:rsidRDefault="00B93346" w14:paraId="2413B494" w14:textId="36A971A4">
      <w:pPr>
        <w:pStyle w:val="Standard"/>
      </w:pPr>
      <w:r>
        <w:t xml:space="preserve">PG&amp;E’s compliance with the </w:t>
      </w:r>
      <w:r w:rsidR="00CD1FF6">
        <w:t xml:space="preserve">Commission’s </w:t>
      </w:r>
      <w:r>
        <w:t>directives</w:t>
      </w:r>
      <w:r w:rsidR="00F81F18">
        <w:t xml:space="preserve"> in I.19-06-015</w:t>
      </w:r>
      <w:r>
        <w:t xml:space="preserve"> is addressed below. </w:t>
      </w:r>
    </w:p>
    <w:p w:rsidR="003D334C" w:rsidP="009C147C" w:rsidRDefault="003D334C" w14:paraId="2303567A" w14:textId="77D6A27A">
      <w:pPr>
        <w:pStyle w:val="Heading2"/>
        <w:numPr>
          <w:ilvl w:val="1"/>
          <w:numId w:val="59"/>
        </w:numPr>
      </w:pPr>
      <w:bookmarkStart w:name="_Toc52866539" w:id="34"/>
      <w:r>
        <w:lastRenderedPageBreak/>
        <w:t>P</w:t>
      </w:r>
      <w:r w:rsidR="00B81590">
        <w:t xml:space="preserve">ilot </w:t>
      </w:r>
      <w:r w:rsidRPr="009C147C">
        <w:t>Approach</w:t>
      </w:r>
      <w:r>
        <w:t xml:space="preserve"> and</w:t>
      </w:r>
      <w:r w:rsidR="00F00AD1">
        <w:t xml:space="preserve"> Scope</w:t>
      </w:r>
      <w:bookmarkEnd w:id="34"/>
    </w:p>
    <w:p w:rsidR="007C3302" w:rsidP="0087100E" w:rsidRDefault="003D334C" w14:paraId="5E1F0D64" w14:textId="7161F16C">
      <w:pPr>
        <w:pStyle w:val="Standard"/>
      </w:pPr>
      <w:r>
        <w:t>Th</w:t>
      </w:r>
      <w:r w:rsidR="007B7FF9">
        <w:t>e</w:t>
      </w:r>
      <w:r>
        <w:t xml:space="preserve"> Commission in I.19-06-015 does not directly address the scope of the mobile app</w:t>
      </w:r>
      <w:r w:rsidR="000F2A41">
        <w:t xml:space="preserve"> but does suggest that </w:t>
      </w:r>
      <w:r w:rsidR="004D7AEA">
        <w:t xml:space="preserve">the </w:t>
      </w:r>
      <w:r w:rsidR="000F2A41">
        <w:t>mobile app be designed to track “safety concerns.”</w:t>
      </w:r>
      <w:r w:rsidR="000F2A41">
        <w:rPr>
          <w:rStyle w:val="FootnoteReference"/>
        </w:rPr>
        <w:footnoteReference w:id="23"/>
      </w:r>
      <w:r>
        <w:t xml:space="preserve"> </w:t>
      </w:r>
      <w:r w:rsidR="007C3302">
        <w:t xml:space="preserve"> The overall subject matter of </w:t>
      </w:r>
      <w:r w:rsidR="007B7FF9">
        <w:t xml:space="preserve">I.19-06-015, however, </w:t>
      </w:r>
      <w:r w:rsidR="00F00AD1">
        <w:t>was</w:t>
      </w:r>
      <w:r w:rsidR="007C3302">
        <w:t xml:space="preserve"> more narrow and</w:t>
      </w:r>
      <w:r w:rsidR="004D7AEA">
        <w:t xml:space="preserve"> consist</w:t>
      </w:r>
      <w:r w:rsidR="00F00AD1">
        <w:t>ed</w:t>
      </w:r>
      <w:r w:rsidR="004D7AEA">
        <w:t xml:space="preserve"> of </w:t>
      </w:r>
      <w:r w:rsidR="007C3302">
        <w:t>a</w:t>
      </w:r>
      <w:r w:rsidR="007B7FF9">
        <w:t xml:space="preserve"> review of PG&amp;E’s </w:t>
      </w:r>
      <w:r w:rsidRPr="007B7FF9" w:rsidR="007B7FF9">
        <w:t>electric</w:t>
      </w:r>
      <w:r w:rsidR="004C3B9A">
        <w:t>al assets</w:t>
      </w:r>
      <w:r w:rsidRPr="007B7FF9" w:rsidR="007B7FF9">
        <w:t xml:space="preserve"> involved in igniting fires in its service territory in 2017</w:t>
      </w:r>
      <w:r w:rsidR="007B7FF9">
        <w:t>.</w:t>
      </w:r>
      <w:r w:rsidR="007B7FF9">
        <w:rPr>
          <w:rStyle w:val="FootnoteReference"/>
        </w:rPr>
        <w:footnoteReference w:id="24"/>
      </w:r>
      <w:r w:rsidR="007B7FF9">
        <w:t xml:space="preserve"> </w:t>
      </w:r>
      <w:r>
        <w:t xml:space="preserve"> </w:t>
      </w:r>
    </w:p>
    <w:p w:rsidR="007B7FF9" w:rsidP="0087100E" w:rsidRDefault="00EC7E33" w14:paraId="483E22CF" w14:textId="42F7E835">
      <w:pPr>
        <w:pStyle w:val="Standard"/>
      </w:pPr>
      <w:r>
        <w:t xml:space="preserve">Within this context, </w:t>
      </w:r>
      <w:r w:rsidR="003D334C">
        <w:t>PG&amp;E proposes to develop and pilot a mobile app to assess whether and how such a mobile app can improve public safety by</w:t>
      </w:r>
      <w:r w:rsidR="00FB3147">
        <w:t>, specifically,</w:t>
      </w:r>
      <w:r w:rsidR="003D334C">
        <w:t xml:space="preserve"> reducing the risk of catastrophic wildfire </w:t>
      </w:r>
      <w:r w:rsidR="004C3B9A">
        <w:t xml:space="preserve">attributed to </w:t>
      </w:r>
      <w:r w:rsidR="00CD1FF6">
        <w:t xml:space="preserve">its </w:t>
      </w:r>
      <w:r w:rsidR="004C3B9A">
        <w:t xml:space="preserve">electrical </w:t>
      </w:r>
      <w:r w:rsidR="003D334C">
        <w:t>infrastructure.</w:t>
      </w:r>
      <w:r w:rsidR="003D334C">
        <w:rPr>
          <w:rStyle w:val="FootnoteReference"/>
        </w:rPr>
        <w:footnoteReference w:id="25"/>
      </w:r>
      <w:r w:rsidR="003D334C">
        <w:t xml:space="preserve"> </w:t>
      </w:r>
      <w:r w:rsidR="009C147C">
        <w:t xml:space="preserve"> </w:t>
      </w:r>
      <w:r w:rsidR="00A6015D">
        <w:t xml:space="preserve">In other words, PG&amp;E </w:t>
      </w:r>
      <w:r w:rsidR="00FB3147">
        <w:t>proposes</w:t>
      </w:r>
      <w:r w:rsidR="00A6015D">
        <w:t xml:space="preserve"> that the mobile app should focus on wildfire</w:t>
      </w:r>
      <w:r w:rsidR="004C3B9A">
        <w:t xml:space="preserve"> prevention.</w:t>
      </w:r>
      <w:r w:rsidR="003D334C">
        <w:t xml:space="preserve"> </w:t>
      </w:r>
    </w:p>
    <w:p w:rsidR="003D334C" w:rsidP="0098046D" w:rsidRDefault="00235D02" w14:paraId="52194F73" w14:textId="17EA8267">
      <w:pPr>
        <w:pStyle w:val="Standard"/>
      </w:pPr>
      <w:r>
        <w:t>Cal Advocates</w:t>
      </w:r>
      <w:r w:rsidR="00673A1C">
        <w:t xml:space="preserve"> generally</w:t>
      </w:r>
      <w:r>
        <w:t xml:space="preserve"> supports </w:t>
      </w:r>
      <w:r w:rsidR="00CD51FD">
        <w:t xml:space="preserve">the scope of </w:t>
      </w:r>
      <w:r>
        <w:t>PG&amp;E’s</w:t>
      </w:r>
      <w:r w:rsidR="00AF4CF4">
        <w:t xml:space="preserve"> pilot</w:t>
      </w:r>
      <w:r>
        <w:t xml:space="preserve"> </w:t>
      </w:r>
      <w:r w:rsidR="00673A1C">
        <w:t xml:space="preserve">as </w:t>
      </w:r>
      <w:r>
        <w:t>propos</w:t>
      </w:r>
      <w:r w:rsidR="00673A1C">
        <w:t>ed</w:t>
      </w:r>
      <w:r>
        <w:t>.</w:t>
      </w:r>
      <w:r>
        <w:rPr>
          <w:rStyle w:val="FootnoteReference"/>
        </w:rPr>
        <w:footnoteReference w:id="26"/>
      </w:r>
      <w:r>
        <w:t xml:space="preserve">  </w:t>
      </w:r>
      <w:r w:rsidR="003D334C">
        <w:t>BB</w:t>
      </w:r>
      <w:r w:rsidR="008D2C85">
        <w:t>IC</w:t>
      </w:r>
      <w:r w:rsidR="00FB3147">
        <w:t>, however,</w:t>
      </w:r>
      <w:r w:rsidR="003D334C">
        <w:t xml:space="preserve"> claims that PG&amp;E’s</w:t>
      </w:r>
      <w:r w:rsidR="00850E61">
        <w:t xml:space="preserve"> limited</w:t>
      </w:r>
      <w:r w:rsidR="004C3B9A">
        <w:t xml:space="preserve"> </w:t>
      </w:r>
      <w:r w:rsidR="003D334C">
        <w:t>focus on the “risk of catastrophic wildfires” is misplaced and overly narrow.</w:t>
      </w:r>
      <w:r w:rsidR="003D334C">
        <w:rPr>
          <w:rStyle w:val="FootnoteReference"/>
        </w:rPr>
        <w:footnoteReference w:id="27"/>
      </w:r>
      <w:r w:rsidR="003D334C">
        <w:t xml:space="preserve">  BBIC argues that the mobile app should have a broad</w:t>
      </w:r>
      <w:r w:rsidR="001A5A66">
        <w:t>er</w:t>
      </w:r>
      <w:r w:rsidR="003D334C">
        <w:t xml:space="preserve"> purpose consistent with PG&amp;E’s duty</w:t>
      </w:r>
      <w:r w:rsidRPr="00762056" w:rsidR="00762056">
        <w:t xml:space="preserve"> </w:t>
      </w:r>
      <w:r w:rsidRPr="00B0624C" w:rsidR="00762056">
        <w:t>as an electrical corporation, as prescribed by</w:t>
      </w:r>
      <w:r w:rsidR="00762056">
        <w:t xml:space="preserve"> </w:t>
      </w:r>
      <w:r w:rsidR="003D334C">
        <w:t>Public Utilities Code § 451,</w:t>
      </w:r>
      <w:r w:rsidRPr="006B3D8D" w:rsidR="003D334C">
        <w:t xml:space="preserve"> </w:t>
      </w:r>
      <w:r w:rsidR="003D334C">
        <w:t xml:space="preserve">§ 399, and </w:t>
      </w:r>
      <w:r w:rsidRPr="006B3D8D" w:rsidR="003D334C">
        <w:t>I.19-06-015</w:t>
      </w:r>
      <w:r w:rsidR="003D334C">
        <w:t xml:space="preserve"> to address issues regarding safety and reliability, generally.</w:t>
      </w:r>
      <w:r w:rsidR="003D334C">
        <w:rPr>
          <w:rStyle w:val="FootnoteReference"/>
        </w:rPr>
        <w:footnoteReference w:id="28"/>
      </w:r>
      <w:r w:rsidR="003D334C">
        <w:t xml:space="preserve">  Consistent with this </w:t>
      </w:r>
      <w:r w:rsidR="003D334C">
        <w:lastRenderedPageBreak/>
        <w:t>broad</w:t>
      </w:r>
      <w:r w:rsidR="001A5A66">
        <w:t>er</w:t>
      </w:r>
      <w:r w:rsidR="003D334C">
        <w:t xml:space="preserve"> purpose, BBIC asks the Commission to direct PG&amp;E to revise its mobile app </w:t>
      </w:r>
      <w:r w:rsidR="005B6720">
        <w:t>pilot</w:t>
      </w:r>
      <w:r w:rsidR="006E1E6D">
        <w:t xml:space="preserve"> proposal</w:t>
      </w:r>
      <w:r w:rsidR="005B6720">
        <w:t xml:space="preserve"> </w:t>
      </w:r>
      <w:r w:rsidR="003D334C">
        <w:t xml:space="preserve">to </w:t>
      </w:r>
      <w:r w:rsidR="006E1E6D">
        <w:t>better address</w:t>
      </w:r>
      <w:r w:rsidR="003D334C">
        <w:t xml:space="preserve"> </w:t>
      </w:r>
      <w:r w:rsidR="006E1E6D">
        <w:t>existing</w:t>
      </w:r>
      <w:r w:rsidR="001A5A66">
        <w:t xml:space="preserve"> safety concerns</w:t>
      </w:r>
      <w:r w:rsidR="006E1E6D">
        <w:t xml:space="preserve"> with PG&amp;E</w:t>
      </w:r>
      <w:r w:rsidR="00CD1FF6">
        <w:t>’s</w:t>
      </w:r>
      <w:r w:rsidR="00762056">
        <w:t xml:space="preserve"> electric</w:t>
      </w:r>
      <w:r w:rsidR="006E1E6D">
        <w:t xml:space="preserve"> operations</w:t>
      </w:r>
      <w:r w:rsidR="001A5A66">
        <w:t>, generally, and</w:t>
      </w:r>
      <w:r w:rsidR="004C3B9A">
        <w:t xml:space="preserve"> </w:t>
      </w:r>
      <w:r w:rsidR="001A5A66">
        <w:t xml:space="preserve">to </w:t>
      </w:r>
      <w:r w:rsidR="003D334C">
        <w:t xml:space="preserve">improve </w:t>
      </w:r>
      <w:r w:rsidR="006E1E6D">
        <w:t xml:space="preserve">service </w:t>
      </w:r>
      <w:r w:rsidR="003D334C">
        <w:t>reliability.</w:t>
      </w:r>
      <w:r w:rsidR="003D334C">
        <w:rPr>
          <w:rStyle w:val="FootnoteReference"/>
        </w:rPr>
        <w:footnoteReference w:id="29"/>
      </w:r>
      <w:r w:rsidR="003D334C">
        <w:t xml:space="preserve">  BBIC</w:t>
      </w:r>
      <w:r w:rsidR="006E1E6D">
        <w:t xml:space="preserve"> asserts that</w:t>
      </w:r>
      <w:r w:rsidR="00CF3488">
        <w:t xml:space="preserve"> it </w:t>
      </w:r>
      <w:r w:rsidR="00CD1FF6">
        <w:t xml:space="preserve">is </w:t>
      </w:r>
      <w:r w:rsidR="00CF3488">
        <w:t>all but predetermined</w:t>
      </w:r>
      <w:r w:rsidDel="006E1E6D" w:rsidR="00CF3488">
        <w:t xml:space="preserve"> </w:t>
      </w:r>
      <w:r w:rsidR="00CF3488">
        <w:t xml:space="preserve">that, </w:t>
      </w:r>
      <w:r w:rsidR="006E1E6D">
        <w:t>owing to</w:t>
      </w:r>
      <w:r w:rsidR="003D334C">
        <w:t xml:space="preserve"> </w:t>
      </w:r>
      <w:r w:rsidR="001A5A66">
        <w:t>PG&amp;E</w:t>
      </w:r>
      <w:r w:rsidR="006E1E6D">
        <w:t xml:space="preserve"> proffering a </w:t>
      </w:r>
      <w:r w:rsidR="003D334C">
        <w:t>mobile app</w:t>
      </w:r>
      <w:r w:rsidR="005B6720">
        <w:t xml:space="preserve"> </w:t>
      </w:r>
      <w:r w:rsidR="006E1E6D">
        <w:t xml:space="preserve">approach </w:t>
      </w:r>
      <w:r w:rsidR="00B81590">
        <w:t xml:space="preserve">with </w:t>
      </w:r>
      <w:r w:rsidR="006E1E6D">
        <w:t>limited functi</w:t>
      </w:r>
      <w:r w:rsidR="00CF3488">
        <w:t>o</w:t>
      </w:r>
      <w:r w:rsidR="006E1E6D">
        <w:t>nality</w:t>
      </w:r>
      <w:r w:rsidR="00CF3488">
        <w:t xml:space="preserve"> and no</w:t>
      </w:r>
      <w:r w:rsidR="00B81590">
        <w:t xml:space="preserve"> </w:t>
      </w:r>
      <w:r w:rsidR="00CF3488">
        <w:t>demonstrable linkages to the utility’s operations</w:t>
      </w:r>
      <w:r w:rsidR="003D334C">
        <w:t xml:space="preserve">, </w:t>
      </w:r>
      <w:r w:rsidR="00B81590">
        <w:t xml:space="preserve">that </w:t>
      </w:r>
      <w:r w:rsidR="003D334C">
        <w:t xml:space="preserve">the </w:t>
      </w:r>
      <w:r w:rsidR="001A5A66">
        <w:t>pilot</w:t>
      </w:r>
      <w:r w:rsidR="005B386F">
        <w:t xml:space="preserve"> by design</w:t>
      </w:r>
      <w:r w:rsidR="001A5A66">
        <w:t xml:space="preserve"> </w:t>
      </w:r>
      <w:r w:rsidR="00CF3488">
        <w:t xml:space="preserve">will </w:t>
      </w:r>
      <w:r w:rsidR="003D334C">
        <w:t>underperfor</w:t>
      </w:r>
      <w:r w:rsidR="001A5A66">
        <w:t xml:space="preserve">m and </w:t>
      </w:r>
      <w:r w:rsidR="00CF3488">
        <w:t xml:space="preserve">be </w:t>
      </w:r>
      <w:r w:rsidR="001A5A66">
        <w:t>found a failure</w:t>
      </w:r>
      <w:r w:rsidR="00BF20DB">
        <w:t>.</w:t>
      </w:r>
      <w:r w:rsidR="00BF20DB">
        <w:rPr>
          <w:rStyle w:val="FootnoteReference"/>
        </w:rPr>
        <w:footnoteReference w:id="30"/>
      </w:r>
      <w:r w:rsidR="003D334C">
        <w:t xml:space="preserve">  </w:t>
      </w:r>
    </w:p>
    <w:p w:rsidR="00C57EBD" w:rsidP="0098046D" w:rsidRDefault="001B29D6" w14:paraId="6DC17AC1" w14:textId="5577A8E1">
      <w:pPr>
        <w:pStyle w:val="Standard"/>
      </w:pPr>
      <w:r>
        <w:t xml:space="preserve">We agree with BBIC that the </w:t>
      </w:r>
      <w:r w:rsidR="005B386F">
        <w:t xml:space="preserve">scope </w:t>
      </w:r>
      <w:r>
        <w:t xml:space="preserve">of the mobile app </w:t>
      </w:r>
      <w:r w:rsidR="005B6720">
        <w:t>pilot</w:t>
      </w:r>
      <w:r w:rsidR="004D149A">
        <w:t xml:space="preserve">, while </w:t>
      </w:r>
      <w:r w:rsidR="00F00AD1">
        <w:t>including</w:t>
      </w:r>
      <w:r w:rsidR="004D149A">
        <w:t xml:space="preserve"> wildfire mitigation,</w:t>
      </w:r>
      <w:r w:rsidR="00921AD3">
        <w:t xml:space="preserve"> </w:t>
      </w:r>
      <w:r>
        <w:t>should broadly encompass safety concerns in general.</w:t>
      </w:r>
      <w:r w:rsidR="00F847B5">
        <w:t xml:space="preserve">  This determination is supported by the </w:t>
      </w:r>
      <w:r w:rsidR="002D4FDC">
        <w:t xml:space="preserve">Commission </w:t>
      </w:r>
      <w:r w:rsidR="00F847B5">
        <w:t>in I.19-06-015</w:t>
      </w:r>
      <w:r w:rsidR="00077570">
        <w:t xml:space="preserve">, </w:t>
      </w:r>
      <w:r w:rsidR="00AF4CF4">
        <w:t xml:space="preserve">when </w:t>
      </w:r>
      <w:r w:rsidR="00077570">
        <w:t xml:space="preserve">stating that for each </w:t>
      </w:r>
      <w:r w:rsidRPr="00142066" w:rsidR="0063057B">
        <w:t>submittal</w:t>
      </w:r>
      <w:r w:rsidR="007C68A9">
        <w:t>/safety report</w:t>
      </w:r>
      <w:r w:rsidR="007C68A9">
        <w:rPr>
          <w:rStyle w:val="FootnoteReference"/>
        </w:rPr>
        <w:footnoteReference w:id="31"/>
      </w:r>
      <w:r w:rsidR="001A5A66">
        <w:t xml:space="preserve"> </w:t>
      </w:r>
      <w:r w:rsidR="005B386F">
        <w:t>received via</w:t>
      </w:r>
      <w:r w:rsidR="001A5A66">
        <w:t xml:space="preserve"> </w:t>
      </w:r>
      <w:r w:rsidR="002D4FDC">
        <w:t xml:space="preserve">the </w:t>
      </w:r>
      <w:r w:rsidR="001A5A66">
        <w:t>mobile app</w:t>
      </w:r>
      <w:r w:rsidR="00077570">
        <w:t>, PG&amp;E should explain “</w:t>
      </w:r>
      <w:r w:rsidRPr="00077570" w:rsidR="00077570">
        <w:t>whether the problem presents a safety concern or is a violation of safety regulations</w:t>
      </w:r>
      <w:r w:rsidR="00077570">
        <w:t>.”</w:t>
      </w:r>
      <w:r w:rsidR="00077570">
        <w:rPr>
          <w:rStyle w:val="FootnoteReference"/>
        </w:rPr>
        <w:footnoteReference w:id="32"/>
      </w:r>
      <w:r w:rsidR="00077570">
        <w:t xml:space="preserve"> </w:t>
      </w:r>
      <w:r w:rsidR="00BF2ABD">
        <w:t xml:space="preserve"> </w:t>
      </w:r>
    </w:p>
    <w:p w:rsidR="002F6707" w:rsidP="0098046D" w:rsidRDefault="00713E95" w14:paraId="292EC752" w14:textId="52FFA065">
      <w:pPr>
        <w:pStyle w:val="Standard"/>
      </w:pPr>
      <w:bookmarkStart w:name="_Hlk47430203" w:id="35"/>
      <w:r>
        <w:t xml:space="preserve">Therefore, we direct PG&amp;E to expand the </w:t>
      </w:r>
      <w:r w:rsidR="00F00AD1">
        <w:t>scope</w:t>
      </w:r>
      <w:r>
        <w:t xml:space="preserve"> of the mobile app pilot to be consistent with I.19-06-015 and address </w:t>
      </w:r>
      <w:r w:rsidRPr="007A58AE">
        <w:t>electric</w:t>
      </w:r>
      <w:r w:rsidR="00B81590">
        <w:t xml:space="preserve"> infrastructure</w:t>
      </w:r>
      <w:r>
        <w:t xml:space="preserve"> safety concerns, generally, rather than solely focus on wildfire-related safety issues.</w:t>
      </w:r>
      <w:bookmarkEnd w:id="35"/>
      <w:r>
        <w:t xml:space="preserve">  </w:t>
      </w:r>
      <w:r w:rsidR="00256247">
        <w:t xml:space="preserve">In connection with this directive, </w:t>
      </w:r>
      <w:r w:rsidR="00673A1C">
        <w:t xml:space="preserve">the entirety </w:t>
      </w:r>
      <w:r w:rsidR="00256247">
        <w:t xml:space="preserve">of the mobile app pilot shall be revised to conform with a broader purpose to </w:t>
      </w:r>
      <w:r w:rsidR="003473B5">
        <w:t xml:space="preserve">encompass </w:t>
      </w:r>
      <w:r w:rsidR="00256247">
        <w:t xml:space="preserve">safety concerns generally.  For example, PG&amp;E’s </w:t>
      </w:r>
      <w:r w:rsidRPr="00256247" w:rsidR="00256247">
        <w:t>process and criteria for evaluating whether the pilot is successful</w:t>
      </w:r>
      <w:r w:rsidR="00087ADB">
        <w:t xml:space="preserve"> currently </w:t>
      </w:r>
      <w:r w:rsidRPr="00256247" w:rsidR="00256247">
        <w:t xml:space="preserve">includes a requirement that PG&amp;E receive at least 384 “valid” </w:t>
      </w:r>
      <w:r w:rsidR="00AF4CF4">
        <w:t xml:space="preserve">safety </w:t>
      </w:r>
      <w:r w:rsidRPr="00256247" w:rsidR="00256247">
        <w:t>reports during the pilot phase</w:t>
      </w:r>
      <w:r w:rsidR="00087ADB">
        <w:t>, and</w:t>
      </w:r>
      <w:r w:rsidR="00A054BC">
        <w:t>, PG&amp;E goes on to state that</w:t>
      </w:r>
      <w:r w:rsidRPr="00256247" w:rsidR="00256247">
        <w:t xml:space="preserve"> </w:t>
      </w:r>
      <w:r w:rsidR="00087ADB">
        <w:t>f</w:t>
      </w:r>
      <w:r w:rsidRPr="00256247" w:rsidR="00256247">
        <w:t xml:space="preserve">or </w:t>
      </w:r>
      <w:r w:rsidR="00B81590">
        <w:t>a</w:t>
      </w:r>
      <w:r w:rsidRPr="00256247" w:rsidR="00256247">
        <w:t xml:space="preserve"> </w:t>
      </w:r>
      <w:r w:rsidR="00AF4CF4">
        <w:t xml:space="preserve">safety </w:t>
      </w:r>
      <w:r w:rsidRPr="00256247" w:rsidR="00256247">
        <w:t xml:space="preserve">report to be “valid” for purposes of measuring the success of the pilot, it </w:t>
      </w:r>
      <w:r w:rsidRPr="00256247" w:rsidR="00256247">
        <w:lastRenderedPageBreak/>
        <w:t>must</w:t>
      </w:r>
      <w:r w:rsidR="00087ADB">
        <w:t xml:space="preserve"> b</w:t>
      </w:r>
      <w:r w:rsidRPr="00087ADB" w:rsidR="00087ADB">
        <w:t xml:space="preserve">e </w:t>
      </w:r>
      <w:r w:rsidR="00AF4CF4">
        <w:t xml:space="preserve">related to an asset that presents a </w:t>
      </w:r>
      <w:r w:rsidRPr="00087ADB" w:rsidR="00087ADB">
        <w:t>wildfire risk</w:t>
      </w:r>
      <w:r w:rsidR="00087ADB">
        <w:t>.</w:t>
      </w:r>
      <w:r w:rsidR="00087ADB">
        <w:rPr>
          <w:rStyle w:val="FootnoteReference"/>
        </w:rPr>
        <w:footnoteReference w:id="33"/>
      </w:r>
      <w:r w:rsidRPr="00087ADB" w:rsidR="00087ADB">
        <w:t xml:space="preserve"> </w:t>
      </w:r>
      <w:r w:rsidR="0085112B">
        <w:t xml:space="preserve"> </w:t>
      </w:r>
      <w:r w:rsidR="00087ADB">
        <w:t xml:space="preserve">This </w:t>
      </w:r>
      <w:r w:rsidR="00AF4CF4">
        <w:t>requirement</w:t>
      </w:r>
      <w:r w:rsidR="00A054BC">
        <w:t>, among others,</w:t>
      </w:r>
      <w:r w:rsidR="00087ADB">
        <w:t xml:space="preserve"> should be </w:t>
      </w:r>
      <w:r w:rsidR="00AA7792">
        <w:t>modifi</w:t>
      </w:r>
      <w:r w:rsidR="00087ADB">
        <w:t xml:space="preserve">ed to </w:t>
      </w:r>
      <w:r w:rsidR="00AF4CF4">
        <w:t>encompass</w:t>
      </w:r>
      <w:r w:rsidR="00087ADB">
        <w:t xml:space="preserve"> safety concerns generally.</w:t>
      </w:r>
    </w:p>
    <w:p w:rsidR="00245BA5" w:rsidP="009C147C" w:rsidRDefault="00245BA5" w14:paraId="763D221C" w14:textId="3E74EE6D">
      <w:pPr>
        <w:pStyle w:val="Heading2"/>
        <w:numPr>
          <w:ilvl w:val="1"/>
          <w:numId w:val="61"/>
        </w:numPr>
        <w:spacing w:after="0" w:line="360" w:lineRule="auto"/>
        <w:ind w:left="1354"/>
      </w:pPr>
      <w:bookmarkStart w:name="_Toc52866540" w:id="36"/>
      <w:r>
        <w:t>Pilot</w:t>
      </w:r>
      <w:r w:rsidR="00B81590">
        <w:t xml:space="preserve"> Phase</w:t>
      </w:r>
      <w:bookmarkEnd w:id="36"/>
    </w:p>
    <w:p w:rsidR="00FB3147" w:rsidP="0087100E" w:rsidRDefault="00A6015D" w14:paraId="0E41AA05" w14:textId="4EA25808">
      <w:pPr>
        <w:pStyle w:val="Standard"/>
      </w:pPr>
      <w:r>
        <w:t>We now address whether</w:t>
      </w:r>
      <w:r w:rsidR="00766B3C">
        <w:t xml:space="preserve"> under I.19-06-015</w:t>
      </w:r>
      <w:r>
        <w:t xml:space="preserve"> it </w:t>
      </w:r>
      <w:r w:rsidR="00772D88">
        <w:t xml:space="preserve">is </w:t>
      </w:r>
      <w:r>
        <w:t>appropriate for PG&amp;E</w:t>
      </w:r>
      <w:r w:rsidR="005B386F">
        <w:t>, in establishing the mobile app,</w:t>
      </w:r>
      <w:r>
        <w:t xml:space="preserve"> to </w:t>
      </w:r>
      <w:r w:rsidR="005B386F">
        <w:t>first put forth</w:t>
      </w:r>
      <w:r>
        <w:t xml:space="preserve"> a pilot</w:t>
      </w:r>
      <w:r w:rsidR="003F25E2">
        <w:t>, rather than implement a permanent program</w:t>
      </w:r>
      <w:r w:rsidR="00A87F48">
        <w:t xml:space="preserve"> at the onset.</w:t>
      </w:r>
      <w:r w:rsidR="002D4FDC">
        <w:t xml:space="preserve"> </w:t>
      </w:r>
      <w:r w:rsidR="00A054BC">
        <w:t xml:space="preserve"> </w:t>
      </w:r>
      <w:r w:rsidR="00245BA5">
        <w:t>In I</w:t>
      </w:r>
      <w:bookmarkStart w:name="_Hlk34898108" w:id="37"/>
      <w:r w:rsidR="00245BA5">
        <w:t>.19-06-015</w:t>
      </w:r>
      <w:bookmarkEnd w:id="37"/>
      <w:r w:rsidR="00245BA5">
        <w:t xml:space="preserve">, the Commission </w:t>
      </w:r>
      <w:r>
        <w:t xml:space="preserve">simply </w:t>
      </w:r>
      <w:r w:rsidR="00245BA5">
        <w:t xml:space="preserve">directed PG&amp;E to seek approval of a mobile app </w:t>
      </w:r>
      <w:r w:rsidR="00A87F48">
        <w:t>and</w:t>
      </w:r>
      <w:r w:rsidR="00FB3147">
        <w:t xml:space="preserve"> did not</w:t>
      </w:r>
      <w:r w:rsidR="00A87F48">
        <w:t xml:space="preserve"> </w:t>
      </w:r>
      <w:r w:rsidR="00C57EBD">
        <w:t>specifically address</w:t>
      </w:r>
      <w:r w:rsidR="00A87F48">
        <w:t xml:space="preserve"> the appropriateness</w:t>
      </w:r>
      <w:r w:rsidR="00FB3147">
        <w:t xml:space="preserve"> of a pilot.</w:t>
      </w:r>
      <w:r w:rsidR="002D4FDC">
        <w:rPr>
          <w:rStyle w:val="FootnoteReference"/>
        </w:rPr>
        <w:footnoteReference w:id="34"/>
      </w:r>
      <w:r w:rsidR="00245BA5">
        <w:t xml:space="preserve"> </w:t>
      </w:r>
    </w:p>
    <w:p w:rsidR="006E1B69" w:rsidP="0087100E" w:rsidRDefault="00245BA5" w14:paraId="4DFB6B91" w14:textId="70BF2EF2">
      <w:pPr>
        <w:pStyle w:val="Standard"/>
      </w:pPr>
      <w:r>
        <w:t>In response, PG&amp;E filed this Application seeking approval of a pilot</w:t>
      </w:r>
      <w:r w:rsidR="00A6015D">
        <w:t>, rather than a permanent program,</w:t>
      </w:r>
      <w:r>
        <w:t xml:space="preserve"> for a mobile app.  PG&amp;E explain</w:t>
      </w:r>
      <w:r w:rsidR="00C57EBD">
        <w:t>s</w:t>
      </w:r>
      <w:r>
        <w:t xml:space="preserve"> that a pilot</w:t>
      </w:r>
      <w:r w:rsidR="00366479">
        <w:t>, rather than a fully implemented permanent program,</w:t>
      </w:r>
      <w:r>
        <w:t xml:space="preserve"> is</w:t>
      </w:r>
      <w:r w:rsidR="001B29D6">
        <w:t xml:space="preserve"> an</w:t>
      </w:r>
      <w:r>
        <w:t xml:space="preserve"> appropriate</w:t>
      </w:r>
      <w:r w:rsidR="001B29D6">
        <w:t xml:space="preserve"> first step</w:t>
      </w:r>
      <w:r>
        <w:t xml:space="preserve"> because it is not a foregone conclusion that a mobile app w</w:t>
      </w:r>
      <w:r w:rsidR="00366479">
        <w:t>ill</w:t>
      </w:r>
      <w:r>
        <w:t xml:space="preserve"> achieve its intended purposes</w:t>
      </w:r>
      <w:r w:rsidR="00366479">
        <w:t>, which PG&amp;E describes as</w:t>
      </w:r>
      <w:r>
        <w:t xml:space="preserve"> </w:t>
      </w:r>
      <w:r w:rsidR="00366479">
        <w:t>“</w:t>
      </w:r>
      <w:r>
        <w:t>wildfire mitigation.</w:t>
      </w:r>
      <w:r w:rsidR="00366479">
        <w:t>”</w:t>
      </w:r>
      <w:r>
        <w:rPr>
          <w:rStyle w:val="FootnoteReference"/>
        </w:rPr>
        <w:footnoteReference w:id="35"/>
      </w:r>
      <w:r>
        <w:t xml:space="preserve"> </w:t>
      </w:r>
      <w:r w:rsidR="009C147C">
        <w:t xml:space="preserve"> </w:t>
      </w:r>
      <w:r w:rsidR="00A6015D">
        <w:t>The pilot, PG&amp;E explains, will provide the opportunity to test the effectiveness of a mobile app for wildfire mitigation</w:t>
      </w:r>
      <w:r w:rsidR="00E30CBD">
        <w:t xml:space="preserve"> (</w:t>
      </w:r>
      <w:r w:rsidR="003F25E2">
        <w:t xml:space="preserve">a focus we have already determined to be </w:t>
      </w:r>
      <w:r w:rsidR="00A87F48">
        <w:t>unduly</w:t>
      </w:r>
      <w:r w:rsidR="003F25E2">
        <w:t xml:space="preserve"> narrow</w:t>
      </w:r>
      <w:r w:rsidR="00E30CBD">
        <w:t>)</w:t>
      </w:r>
      <w:r w:rsidR="00A6015D">
        <w:t xml:space="preserve">. </w:t>
      </w:r>
      <w:bookmarkStart w:name="_Hlk41921279" w:id="39"/>
    </w:p>
    <w:p w:rsidRPr="00F774C3" w:rsidR="00245BA5" w:rsidP="0098046D" w:rsidRDefault="00245BA5" w14:paraId="1ED1B437" w14:textId="09634D59">
      <w:pPr>
        <w:pStyle w:val="Standard"/>
      </w:pPr>
      <w:r>
        <w:t>PG&amp;E further states that the mobile app could have unintended negative consequences, such as diverting</w:t>
      </w:r>
      <w:r w:rsidR="00AF4CF4">
        <w:t xml:space="preserve"> limited</w:t>
      </w:r>
      <w:r>
        <w:t xml:space="preserve"> resources from other wildfire mitigation efforts</w:t>
      </w:r>
      <w:r w:rsidR="0009498C">
        <w:t xml:space="preserve"> and </w:t>
      </w:r>
      <w:r w:rsidRPr="00F774C3" w:rsidR="00A87F48">
        <w:t xml:space="preserve">introducing new </w:t>
      </w:r>
      <w:r w:rsidRPr="00F774C3" w:rsidR="0009498C">
        <w:t xml:space="preserve">public safety </w:t>
      </w:r>
      <w:r w:rsidRPr="00F774C3" w:rsidR="00A87F48">
        <w:t>risks</w:t>
      </w:r>
      <w:r w:rsidRPr="00F774C3" w:rsidR="0009498C">
        <w:t>, such as</w:t>
      </w:r>
      <w:r w:rsidRPr="00F774C3">
        <w:t xml:space="preserve"> encourag</w:t>
      </w:r>
      <w:r w:rsidRPr="00F774C3" w:rsidR="002E6BB0">
        <w:t>ing</w:t>
      </w:r>
      <w:r w:rsidRPr="00F774C3">
        <w:t xml:space="preserve"> members of the public to seek close contact with PG&amp;E’s electric</w:t>
      </w:r>
      <w:r w:rsidRPr="00F774C3" w:rsidR="00A87F48">
        <w:t>al</w:t>
      </w:r>
      <w:r w:rsidRPr="00F774C3">
        <w:t xml:space="preserve"> assets</w:t>
      </w:r>
      <w:r w:rsidRPr="00F774C3" w:rsidR="002E6BB0">
        <w:t>,</w:t>
      </w:r>
      <w:r w:rsidRPr="00F774C3">
        <w:t xml:space="preserve"> </w:t>
      </w:r>
      <w:r w:rsidR="00A054BC">
        <w:t xml:space="preserve">to </w:t>
      </w:r>
      <w:r w:rsidRPr="00F774C3">
        <w:t xml:space="preserve">trespass on private </w:t>
      </w:r>
      <w:r w:rsidRPr="00F774C3" w:rsidR="002E6BB0">
        <w:t xml:space="preserve">property, or </w:t>
      </w:r>
      <w:r w:rsidR="00A054BC">
        <w:t xml:space="preserve">to </w:t>
      </w:r>
      <w:r w:rsidRPr="00F774C3" w:rsidR="002E6BB0">
        <w:t xml:space="preserve">create unsafe conditions while driving and </w:t>
      </w:r>
      <w:r w:rsidRPr="00F774C3" w:rsidR="00055362">
        <w:t xml:space="preserve">taking </w:t>
      </w:r>
      <w:r w:rsidRPr="00F774C3" w:rsidR="002E6BB0">
        <w:t>photograph</w:t>
      </w:r>
      <w:r w:rsidRPr="00F774C3" w:rsidR="00055362">
        <w:t>s</w:t>
      </w:r>
      <w:r w:rsidRPr="00F774C3" w:rsidR="002E6BB0">
        <w:t>.</w:t>
      </w:r>
      <w:r w:rsidRPr="00F774C3" w:rsidR="002E6BB0">
        <w:rPr>
          <w:rStyle w:val="FootnoteReference"/>
        </w:rPr>
        <w:footnoteReference w:id="36"/>
      </w:r>
      <w:r w:rsidRPr="00F774C3" w:rsidR="002E6BB0">
        <w:t xml:space="preserve">  </w:t>
      </w:r>
      <w:r w:rsidRPr="00F774C3" w:rsidR="00336EBE">
        <w:t>PG&amp;E explains that f</w:t>
      </w:r>
      <w:r w:rsidRPr="00F774C3" w:rsidR="002E6BB0">
        <w:t xml:space="preserve">or these reasons a pilot is </w:t>
      </w:r>
      <w:r w:rsidRPr="00F774C3" w:rsidR="00336EBE">
        <w:t xml:space="preserve">an </w:t>
      </w:r>
      <w:r w:rsidRPr="00F774C3" w:rsidR="002E6BB0">
        <w:t>appropriate</w:t>
      </w:r>
      <w:r w:rsidRPr="00F774C3" w:rsidR="00336EBE">
        <w:t xml:space="preserve"> vehicle</w:t>
      </w:r>
      <w:r w:rsidRPr="00F774C3" w:rsidR="002E6BB0">
        <w:t xml:space="preserve"> to test whether a mobile app is </w:t>
      </w:r>
      <w:r w:rsidRPr="00F774C3" w:rsidR="00A87F48">
        <w:t>indeed</w:t>
      </w:r>
      <w:r w:rsidRPr="00F774C3" w:rsidR="00366479">
        <w:t xml:space="preserve"> in </w:t>
      </w:r>
      <w:r w:rsidRPr="00F774C3" w:rsidR="002E6BB0">
        <w:t>the public interest</w:t>
      </w:r>
      <w:r w:rsidRPr="00F774C3" w:rsidR="00336EBE">
        <w:t>, stating</w:t>
      </w:r>
      <w:r w:rsidRPr="00F774C3" w:rsidR="00D91230">
        <w:t>,</w:t>
      </w:r>
      <w:r w:rsidRPr="00F774C3" w:rsidR="002353A3">
        <w:t xml:space="preserve"> </w:t>
      </w:r>
      <w:r w:rsidR="00A054BC">
        <w:t xml:space="preserve">at </w:t>
      </w:r>
      <w:r w:rsidR="00A054BC">
        <w:lastRenderedPageBreak/>
        <w:t xml:space="preserve">the outset </w:t>
      </w:r>
      <w:r w:rsidRPr="00F774C3" w:rsidR="009A0F2A">
        <w:t>“we believe it is better to build a flexible pilot and gather information from users.”</w:t>
      </w:r>
      <w:r w:rsidRPr="00F774C3" w:rsidR="009A0F2A">
        <w:rPr>
          <w:rStyle w:val="FootnoteReference"/>
        </w:rPr>
        <w:footnoteReference w:id="37"/>
      </w:r>
      <w:bookmarkEnd w:id="39"/>
    </w:p>
    <w:p w:rsidRPr="00F774C3" w:rsidR="000D6EC9" w:rsidP="00385ED3" w:rsidRDefault="002E6BB0" w14:paraId="28658950" w14:textId="686C0CCA">
      <w:pPr>
        <w:pStyle w:val="Standard"/>
      </w:pPr>
      <w:r w:rsidRPr="00F774C3">
        <w:t>BBIC disagrees and argues that a pilot is not needed</w:t>
      </w:r>
      <w:r w:rsidRPr="00F774C3" w:rsidR="00A6015D">
        <w:t xml:space="preserve"> and the program should immediately</w:t>
      </w:r>
      <w:r w:rsidRPr="00F774C3" w:rsidR="00336EBE">
        <w:t xml:space="preserve"> be</w:t>
      </w:r>
      <w:r w:rsidRPr="00F774C3" w:rsidR="00A6015D">
        <w:t xml:space="preserve"> fully implemented</w:t>
      </w:r>
      <w:r w:rsidRPr="00F774C3">
        <w:t>.</w:t>
      </w:r>
      <w:r w:rsidRPr="00F774C3">
        <w:rPr>
          <w:rStyle w:val="FootnoteReference"/>
        </w:rPr>
        <w:footnoteReference w:id="38"/>
      </w:r>
      <w:r w:rsidRPr="00F774C3" w:rsidR="00CE333B">
        <w:t xml:space="preserve"> </w:t>
      </w:r>
      <w:r w:rsidR="009C147C">
        <w:t xml:space="preserve"> </w:t>
      </w:r>
      <w:r w:rsidRPr="00F774C3" w:rsidR="00D453DB">
        <w:t>BBIC states that “PG&amp;E’s proposal …[to] run</w:t>
      </w:r>
      <w:r w:rsidRPr="00F774C3" w:rsidR="00FB3147">
        <w:t xml:space="preserve"> [a pilot]</w:t>
      </w:r>
      <w:r w:rsidRPr="00F774C3" w:rsidR="00D453DB">
        <w:t xml:space="preserve"> for one fire season, misses the opportunity to integrate public input….”</w:t>
      </w:r>
      <w:r w:rsidRPr="00F774C3" w:rsidR="00D453DB">
        <w:rPr>
          <w:rStyle w:val="FootnoteReference"/>
        </w:rPr>
        <w:footnoteReference w:id="39"/>
      </w:r>
      <w:r w:rsidRPr="00F774C3" w:rsidR="00D453DB">
        <w:t xml:space="preserve">  </w:t>
      </w:r>
      <w:r w:rsidRPr="00F774C3" w:rsidR="00CE333B">
        <w:t>Cal Advocates does not contest PG&amp;E’s proposal to use a pilot.</w:t>
      </w:r>
      <w:r w:rsidRPr="00F774C3" w:rsidR="000D6EC9">
        <w:t xml:space="preserve"> </w:t>
      </w:r>
    </w:p>
    <w:p w:rsidR="005B4485" w:rsidP="00972624" w:rsidRDefault="000D6EC9" w14:paraId="3DF6595D" w14:textId="143386FD">
      <w:pPr>
        <w:pStyle w:val="Standard"/>
      </w:pPr>
      <w:bookmarkStart w:name="_Hlk47430284" w:id="40"/>
      <w:r w:rsidRPr="00F774C3">
        <w:t xml:space="preserve">We find that advantages </w:t>
      </w:r>
      <w:r w:rsidR="00B81590">
        <w:t xml:space="preserve">exist </w:t>
      </w:r>
      <w:r w:rsidRPr="00F774C3">
        <w:t>to relying on a pilot to test</w:t>
      </w:r>
      <w:r w:rsidRPr="00F774C3" w:rsidR="00ED1A48">
        <w:t xml:space="preserve"> the mobile app’s</w:t>
      </w:r>
      <w:r w:rsidRPr="00F774C3" w:rsidR="00A87F48">
        <w:t xml:space="preserve"> effectiveness</w:t>
      </w:r>
      <w:r w:rsidRPr="00F774C3" w:rsidR="009A0F2A">
        <w:t>,</w:t>
      </w:r>
      <w:r w:rsidRPr="00F774C3" w:rsidR="00A87F48">
        <w:t xml:space="preserve"> as proposed</w:t>
      </w:r>
      <w:r w:rsidRPr="00F774C3" w:rsidR="009A0F2A">
        <w:t>,</w:t>
      </w:r>
      <w:r w:rsidRPr="00F774C3">
        <w:t xml:space="preserve"> and </w:t>
      </w:r>
      <w:r w:rsidRPr="00F774C3" w:rsidR="00A87F48">
        <w:t xml:space="preserve">to determine whether </w:t>
      </w:r>
      <w:r w:rsidRPr="00F774C3" w:rsidR="009A0F2A">
        <w:t xml:space="preserve">any </w:t>
      </w:r>
      <w:r w:rsidR="00C57EBD">
        <w:t xml:space="preserve">of the </w:t>
      </w:r>
      <w:r w:rsidR="00673A1C">
        <w:t xml:space="preserve">potential </w:t>
      </w:r>
      <w:r w:rsidRPr="00F774C3" w:rsidR="004F06AC">
        <w:t xml:space="preserve">public safety risks </w:t>
      </w:r>
      <w:r w:rsidRPr="00F774C3" w:rsidR="009A0F2A">
        <w:t xml:space="preserve">related to mobile app users’ behavior, as described </w:t>
      </w:r>
      <w:r w:rsidRPr="00F774C3" w:rsidR="00366479">
        <w:t>by PG&amp;E</w:t>
      </w:r>
      <w:r w:rsidRPr="00F774C3" w:rsidR="009A0F2A">
        <w:t>, have merit</w:t>
      </w:r>
      <w:r w:rsidRPr="00F774C3">
        <w:t xml:space="preserve">.  </w:t>
      </w:r>
      <w:bookmarkStart w:name="_Hlk41920758" w:id="41"/>
      <w:r w:rsidRPr="00F774C3" w:rsidR="00F847B5">
        <w:t xml:space="preserve">We </w:t>
      </w:r>
      <w:r w:rsidRPr="00F774C3" w:rsidR="00ED1A48">
        <w:t xml:space="preserve">further </w:t>
      </w:r>
      <w:r w:rsidRPr="00F774C3" w:rsidR="00F847B5">
        <w:t xml:space="preserve">find that a pilot program will allow </w:t>
      </w:r>
      <w:r w:rsidRPr="00F774C3" w:rsidR="00DE6856">
        <w:t>the</w:t>
      </w:r>
      <w:r w:rsidR="00DE6856">
        <w:t xml:space="preserve"> Commission</w:t>
      </w:r>
      <w:r w:rsidR="00F847B5">
        <w:t xml:space="preserve"> to </w:t>
      </w:r>
      <w:r w:rsidR="00336EBE">
        <w:t>determine</w:t>
      </w:r>
      <w:r w:rsidR="00F847B5">
        <w:t xml:space="preserve"> </w:t>
      </w:r>
      <w:r w:rsidR="00823DB0">
        <w:t>areas where the mobile app could benefit from modifications</w:t>
      </w:r>
      <w:r w:rsidR="00C57EBD">
        <w:t xml:space="preserve"> </w:t>
      </w:r>
      <w:r w:rsidR="00823DB0">
        <w:t xml:space="preserve">and </w:t>
      </w:r>
      <w:r w:rsidR="00336EBE">
        <w:t xml:space="preserve">quantify </w:t>
      </w:r>
      <w:r w:rsidR="0034334D">
        <w:t>the extent that PG&amp;E</w:t>
      </w:r>
      <w:r w:rsidR="00F847B5">
        <w:t xml:space="preserve"> </w:t>
      </w:r>
      <w:r w:rsidR="0034334D">
        <w:t>finds it necessary to reallocate</w:t>
      </w:r>
      <w:r w:rsidR="00AA7792">
        <w:t xml:space="preserve"> limited</w:t>
      </w:r>
      <w:r w:rsidR="0034334D">
        <w:t xml:space="preserve"> </w:t>
      </w:r>
      <w:r w:rsidR="00F847B5">
        <w:t>resources</w:t>
      </w:r>
      <w:r w:rsidR="0034334D">
        <w:t xml:space="preserve"> from other safety programs</w:t>
      </w:r>
      <w:r w:rsidR="00F847B5">
        <w:t xml:space="preserve">.  </w:t>
      </w:r>
      <w:bookmarkEnd w:id="41"/>
      <w:r>
        <w:t>Therefore, we approve of a pilot</w:t>
      </w:r>
      <w:r w:rsidR="005B6720">
        <w:t xml:space="preserve"> as the first step.  </w:t>
      </w:r>
      <w:bookmarkEnd w:id="40"/>
      <w:r w:rsidR="0004025F">
        <w:t>However, i</w:t>
      </w:r>
      <w:r w:rsidR="00106D03">
        <w:t xml:space="preserve">n approving of this pilot, we do not envision the pilot </w:t>
      </w:r>
      <w:r w:rsidR="0004025F">
        <w:t xml:space="preserve">to be </w:t>
      </w:r>
      <w:r w:rsidR="00106D03">
        <w:t xml:space="preserve">a static offering.  Instead, we expect PG&amp;E to update the mobile app as needed during the term of the pilot to promote ease of use, improve the </w:t>
      </w:r>
      <w:r w:rsidR="00B81590">
        <w:t>functions</w:t>
      </w:r>
      <w:r w:rsidR="00106D03">
        <w:t>, and resolve any software problems</w:t>
      </w:r>
      <w:r w:rsidR="0004025F">
        <w:t xml:space="preserve">. </w:t>
      </w:r>
      <w:r w:rsidR="009C147C">
        <w:t xml:space="preserve"> </w:t>
      </w:r>
      <w:r w:rsidR="0004025F">
        <w:t xml:space="preserve">We are particularly concerned about the ease of use or “friendliness” of the mobile app pilot, which we view as a quality critical to increasing the likelihood of adoption </w:t>
      </w:r>
      <w:r w:rsidR="00EE17CA">
        <w:t xml:space="preserve">and </w:t>
      </w:r>
      <w:r w:rsidR="00B81590">
        <w:t xml:space="preserve">repeated </w:t>
      </w:r>
      <w:r w:rsidR="00EE17CA">
        <w:t xml:space="preserve">use </w:t>
      </w:r>
      <w:r w:rsidR="0004025F">
        <w:t>by customers.</w:t>
      </w:r>
    </w:p>
    <w:p w:rsidRPr="00542093" w:rsidR="00542093" w:rsidP="00972624" w:rsidRDefault="005D3B42" w14:paraId="3CF343C5" w14:textId="6445016C">
      <w:pPr>
        <w:pStyle w:val="Standard"/>
      </w:pPr>
      <w:bookmarkStart w:name="_Hlk41920784" w:id="42"/>
      <w:r>
        <w:t>Furthermore, t</w:t>
      </w:r>
      <w:r w:rsidR="00542093">
        <w:t>o better facilitate the tracking of the pilot’s development</w:t>
      </w:r>
      <w:r w:rsidR="00A054BC">
        <w:t xml:space="preserve"> and evolution</w:t>
      </w:r>
      <w:r w:rsidR="00542093">
        <w:t xml:space="preserve">, </w:t>
      </w:r>
      <w:r w:rsidRPr="00542093" w:rsidR="00542093">
        <w:t xml:space="preserve">we direct PG&amp;E to file </w:t>
      </w:r>
      <w:r w:rsidR="00292DB7">
        <w:t xml:space="preserve">and serve </w:t>
      </w:r>
      <w:r w:rsidR="00E30CBD">
        <w:t xml:space="preserve">in </w:t>
      </w:r>
      <w:r w:rsidR="007C68A9">
        <w:t>this proceeding</w:t>
      </w:r>
      <w:r w:rsidR="00E30CBD">
        <w:t xml:space="preserve"> q</w:t>
      </w:r>
      <w:r w:rsidR="00241CD7">
        <w:t>uarterly</w:t>
      </w:r>
      <w:r w:rsidRPr="00542093" w:rsidR="00542093">
        <w:t xml:space="preserve"> status reports on </w:t>
      </w:r>
      <w:r w:rsidR="00E30CBD">
        <w:t>the utility’</w:t>
      </w:r>
      <w:r w:rsidRPr="00542093" w:rsidR="00542093">
        <w:t xml:space="preserve">s pilot activities and progress, with the first report </w:t>
      </w:r>
      <w:r w:rsidR="007C68A9">
        <w:t>due</w:t>
      </w:r>
      <w:r w:rsidRPr="00542093" w:rsidR="00542093">
        <w:t xml:space="preserve"> </w:t>
      </w:r>
      <w:r w:rsidR="00575166">
        <w:t>three</w:t>
      </w:r>
      <w:r w:rsidRPr="00542093" w:rsidR="00542093">
        <w:t xml:space="preserve"> months after the effective date of this decision. </w:t>
      </w:r>
      <w:r w:rsidR="00D22B4D">
        <w:t xml:space="preserve"> </w:t>
      </w:r>
      <w:r w:rsidRPr="00542093" w:rsidR="00542093">
        <w:t xml:space="preserve">This reporting requirement </w:t>
      </w:r>
      <w:r w:rsidRPr="00542093" w:rsidR="00542093">
        <w:lastRenderedPageBreak/>
        <w:t>expires at the end of the pilot.</w:t>
      </w:r>
      <w:r w:rsidR="0004025F">
        <w:t xml:space="preserve">  These reports should specifically address</w:t>
      </w:r>
      <w:r w:rsidR="00A054BC">
        <w:t xml:space="preserve"> all PG&amp;E’s</w:t>
      </w:r>
      <w:r w:rsidR="0004025F">
        <w:t xml:space="preserve"> updates to the mobile app pilot</w:t>
      </w:r>
      <w:r w:rsidR="00A054BC">
        <w:t xml:space="preserve"> to improve the mobile app while available to customers</w:t>
      </w:r>
      <w:r w:rsidR="0004025F">
        <w:t>.</w:t>
      </w:r>
      <w:r w:rsidR="00CE13CD">
        <w:t xml:space="preserve">  The need for additional reporting, beyond the pilot phase, may be considered in the evaluation of the pilot or in a decision issued by the Commission in </w:t>
      </w:r>
      <w:r w:rsidR="00862DCD">
        <w:t>P</w:t>
      </w:r>
      <w:r w:rsidR="00CE13CD">
        <w:t>hase 2 of this proceeding.</w:t>
      </w:r>
    </w:p>
    <w:p w:rsidRPr="00A416F8" w:rsidR="005B4485" w:rsidP="009C147C" w:rsidRDefault="002B5FF0" w14:paraId="2ECF2BBD" w14:textId="5760EE7F">
      <w:pPr>
        <w:pStyle w:val="Heading2"/>
        <w:numPr>
          <w:ilvl w:val="1"/>
          <w:numId w:val="61"/>
        </w:numPr>
        <w:spacing w:after="0" w:line="360" w:lineRule="auto"/>
        <w:ind w:left="1440"/>
      </w:pPr>
      <w:bookmarkStart w:name="_Toc52866541" w:id="43"/>
      <w:bookmarkEnd w:id="42"/>
      <w:proofErr w:type="gramStart"/>
      <w:r>
        <w:t>Publicly-</w:t>
      </w:r>
      <w:r w:rsidR="0098218B">
        <w:t>A</w:t>
      </w:r>
      <w:r>
        <w:t>vailable</w:t>
      </w:r>
      <w:proofErr w:type="gramEnd"/>
      <w:r w:rsidRPr="00A416F8" w:rsidR="005B4485">
        <w:t xml:space="preserve"> Mobile App</w:t>
      </w:r>
      <w:bookmarkEnd w:id="43"/>
    </w:p>
    <w:p w:rsidR="005B4485" w:rsidP="0087100E" w:rsidRDefault="005B4485" w14:paraId="5CCDBB2A" w14:textId="7A8FB294">
      <w:pPr>
        <w:pStyle w:val="Standard"/>
      </w:pPr>
      <w:r>
        <w:t>The Commission in I.19-06-015 directed PG&amp;E to develop a “</w:t>
      </w:r>
      <w:r w:rsidR="002B5FF0">
        <w:t>publicly</w:t>
      </w:r>
      <w:r w:rsidR="67AA5519">
        <w:t xml:space="preserve"> </w:t>
      </w:r>
      <w:r w:rsidR="009C147C">
        <w:noBreakHyphen/>
      </w:r>
      <w:r w:rsidR="002B5FF0">
        <w:t>available</w:t>
      </w:r>
      <w:r>
        <w:t xml:space="preserve"> </w:t>
      </w:r>
      <w:bookmarkStart w:name="_Hlk38881543" w:id="44"/>
      <w:r>
        <w:t>mobile app.”</w:t>
      </w:r>
      <w:r>
        <w:rPr>
          <w:rStyle w:val="FootnoteReference"/>
        </w:rPr>
        <w:footnoteReference w:id="40"/>
      </w:r>
      <w:r>
        <w:t xml:space="preserve"> </w:t>
      </w:r>
      <w:bookmarkEnd w:id="44"/>
    </w:p>
    <w:p w:rsidR="00EC3CA1" w:rsidP="0087100E" w:rsidRDefault="005B4485" w14:paraId="1B25F2DE" w14:textId="3A59516F">
      <w:pPr>
        <w:pStyle w:val="Standard"/>
      </w:pPr>
      <w:r>
        <w:t xml:space="preserve">PG&amp;E explains that it interpreted the directive in I.19-06-015 to </w:t>
      </w:r>
      <w:r w:rsidR="00F87CE1">
        <w:t xml:space="preserve">allow the utility </w:t>
      </w:r>
      <w:r w:rsidR="00E30CBD">
        <w:t xml:space="preserve">the </w:t>
      </w:r>
      <w:r w:rsidR="00F87CE1">
        <w:t xml:space="preserve">discretion </w:t>
      </w:r>
      <w:r>
        <w:t>in designing the mobile app</w:t>
      </w:r>
      <w:r w:rsidR="00F87CE1">
        <w:t xml:space="preserve"> platform to choose either</w:t>
      </w:r>
      <w:r>
        <w:t xml:space="preserve">: </w:t>
      </w:r>
      <w:r w:rsidR="00F85DE1">
        <w:t xml:space="preserve"> (1)</w:t>
      </w:r>
      <w:r>
        <w:t xml:space="preserve"> a web-based application that can be used from any PC, Mac, or</w:t>
      </w:r>
      <w:r w:rsidR="00F85DE1">
        <w:t xml:space="preserve"> </w:t>
      </w:r>
      <w:r>
        <w:t>mobile smartphone or</w:t>
      </w:r>
      <w:r w:rsidR="00411958">
        <w:t xml:space="preserve"> (2) </w:t>
      </w:r>
      <w:r>
        <w:t>a phone-</w:t>
      </w:r>
      <w:r w:rsidR="00411958">
        <w:t>specific</w:t>
      </w:r>
      <w:r>
        <w:t xml:space="preserve"> mobile app, </w:t>
      </w:r>
      <w:r w:rsidR="00132CE7">
        <w:t xml:space="preserve">for </w:t>
      </w:r>
      <w:r>
        <w:t xml:space="preserve">use on </w:t>
      </w:r>
      <w:r w:rsidR="00A054BC">
        <w:t>smart</w:t>
      </w:r>
      <w:r>
        <w:t>phone</w:t>
      </w:r>
      <w:r w:rsidR="00685F8A">
        <w:t>s</w:t>
      </w:r>
      <w:r>
        <w:t xml:space="preserve">. </w:t>
      </w:r>
      <w:r w:rsidR="00E9403F">
        <w:t xml:space="preserve"> </w:t>
      </w:r>
      <w:r w:rsidR="00FB3147">
        <w:t>In this decision, w</w:t>
      </w:r>
      <w:r w:rsidR="00E9403F">
        <w:t xml:space="preserve">e </w:t>
      </w:r>
      <w:r w:rsidR="00ED1A48">
        <w:t xml:space="preserve">also </w:t>
      </w:r>
      <w:r w:rsidR="00E9403F">
        <w:t xml:space="preserve">refer to </w:t>
      </w:r>
      <w:r w:rsidR="00EB0E44">
        <w:t xml:space="preserve">option 2, </w:t>
      </w:r>
      <w:r w:rsidR="00E9403F">
        <w:t xml:space="preserve">the </w:t>
      </w:r>
      <w:r w:rsidR="00685F8A">
        <w:t>smart</w:t>
      </w:r>
      <w:r w:rsidR="00E9403F">
        <w:t>phone-</w:t>
      </w:r>
      <w:r w:rsidR="00EB0E44">
        <w:t>specific</w:t>
      </w:r>
      <w:r w:rsidR="00E9403F">
        <w:t xml:space="preserve"> mobile app</w:t>
      </w:r>
      <w:r w:rsidR="00EB0E44">
        <w:t>,</w:t>
      </w:r>
      <w:r w:rsidR="00E9403F">
        <w:t xml:space="preserve"> as a “native” app. </w:t>
      </w:r>
      <w:r w:rsidR="0041149E">
        <w:t xml:space="preserve"> </w:t>
      </w:r>
    </w:p>
    <w:p w:rsidR="00F33EB2" w:rsidP="0098046D" w:rsidRDefault="00AA7792" w14:paraId="7813A691" w14:textId="2811B575">
      <w:pPr>
        <w:pStyle w:val="Standard"/>
      </w:pPr>
      <w:r>
        <w:t>PG&amp;E supports a web-based mobile app.</w:t>
      </w:r>
      <w:r w:rsidR="009C147C">
        <w:t xml:space="preserve"> </w:t>
      </w:r>
      <w:r>
        <w:t xml:space="preserve"> </w:t>
      </w:r>
      <w:r w:rsidR="0041149E">
        <w:t xml:space="preserve">A web-based mobile app, according to PG&amp;E, </w:t>
      </w:r>
      <w:r w:rsidR="00F87CE1">
        <w:t xml:space="preserve">would </w:t>
      </w:r>
      <w:r w:rsidR="0041149E">
        <w:t xml:space="preserve">consist of adding web pages to its existing website and </w:t>
      </w:r>
      <w:r w:rsidR="00F87CE1">
        <w:t>offer</w:t>
      </w:r>
      <w:r w:rsidR="00ED1A48">
        <w:t>ing</w:t>
      </w:r>
      <w:r w:rsidR="00F87CE1">
        <w:t xml:space="preserve"> </w:t>
      </w:r>
      <w:r w:rsidR="00ED1A48">
        <w:t>customers</w:t>
      </w:r>
      <w:r w:rsidR="00F87CE1">
        <w:t xml:space="preserve"> a shortcut icon or </w:t>
      </w:r>
      <w:r w:rsidR="00EC3CA1">
        <w:t>“</w:t>
      </w:r>
      <w:r w:rsidR="0041149E">
        <w:t>tile</w:t>
      </w:r>
      <w:r w:rsidR="00EC3CA1">
        <w:t>”</w:t>
      </w:r>
      <w:r w:rsidR="0041149E">
        <w:t xml:space="preserve"> </w:t>
      </w:r>
      <w:r w:rsidR="00F87CE1">
        <w:t xml:space="preserve">for placement on </w:t>
      </w:r>
      <w:r w:rsidR="0041149E">
        <w:t>the</w:t>
      </w:r>
      <w:r w:rsidR="00F87CE1">
        <w:t xml:space="preserve"> screens of their smart</w:t>
      </w:r>
      <w:r w:rsidR="0041149E">
        <w:t xml:space="preserve">phones. </w:t>
      </w:r>
      <w:r w:rsidR="00E9403F">
        <w:t xml:space="preserve"> Customer</w:t>
      </w:r>
      <w:r w:rsidR="00ED7F91">
        <w:t>s</w:t>
      </w:r>
      <w:r w:rsidR="00E9403F">
        <w:t xml:space="preserve"> could a</w:t>
      </w:r>
      <w:r w:rsidR="00F87CE1">
        <w:t>cc</w:t>
      </w:r>
      <w:r w:rsidR="00E9403F">
        <w:t>ess the web page</w:t>
      </w:r>
      <w:r w:rsidR="005D3B42">
        <w:t>s</w:t>
      </w:r>
      <w:r w:rsidR="00E9403F">
        <w:t xml:space="preserve"> from their phones</w:t>
      </w:r>
      <w:r w:rsidR="00623535">
        <w:t xml:space="preserve"> </w:t>
      </w:r>
      <w:r w:rsidR="00EC3CA1">
        <w:t>or through their computer</w:t>
      </w:r>
      <w:r>
        <w:t>s</w:t>
      </w:r>
      <w:r w:rsidR="00E9403F">
        <w:t xml:space="preserve">.  </w:t>
      </w:r>
      <w:r w:rsidR="0041149E">
        <w:t xml:space="preserve">PG&amp;E claims that </w:t>
      </w:r>
      <w:r w:rsidRPr="0041149E" w:rsidR="0041149E">
        <w:t>the web-based mobile app offers greater ease of use and fits</w:t>
      </w:r>
      <w:r w:rsidR="00685F8A">
        <w:t>, with relative ease,</w:t>
      </w:r>
      <w:r w:rsidRPr="0041149E" w:rsidR="0041149E">
        <w:t xml:space="preserve"> into </w:t>
      </w:r>
      <w:r w:rsidR="00685F8A">
        <w:t xml:space="preserve">PG&amp;E’s </w:t>
      </w:r>
      <w:r w:rsidRPr="0041149E" w:rsidR="0041149E">
        <w:t xml:space="preserve">existing website operations.  </w:t>
      </w:r>
    </w:p>
    <w:p w:rsidR="0041149E" w:rsidP="0098046D" w:rsidRDefault="0041149E" w14:paraId="47E37A8C" w14:textId="3AE61E65">
      <w:pPr>
        <w:pStyle w:val="Standard"/>
      </w:pPr>
      <w:r>
        <w:t xml:space="preserve">In citing the benefits of a </w:t>
      </w:r>
      <w:r w:rsidRPr="0041149E">
        <w:t>web</w:t>
      </w:r>
      <w:r w:rsidR="007C68A9">
        <w:t>-based application</w:t>
      </w:r>
      <w:r>
        <w:t>, PG&amp;E explains that it</w:t>
      </w:r>
      <w:r w:rsidRPr="0041149E">
        <w:t>:</w:t>
      </w:r>
      <w:r w:rsidR="009C147C">
        <w:t xml:space="preserve"> </w:t>
      </w:r>
      <w:r w:rsidRPr="0041149E">
        <w:t xml:space="preserve"> (1)</w:t>
      </w:r>
      <w:r w:rsidR="009C147C">
        <w:t> </w:t>
      </w:r>
      <w:r w:rsidRPr="0041149E">
        <w:t xml:space="preserve">allows the </w:t>
      </w:r>
      <w:r w:rsidR="00623535">
        <w:t>customer</w:t>
      </w:r>
      <w:r w:rsidRPr="0041149E">
        <w:t xml:space="preserve"> to report potential issues from any web browser (phone, tablet, or laptop/desktop</w:t>
      </w:r>
      <w:r w:rsidR="00132CE7">
        <w:t>)</w:t>
      </w:r>
      <w:r w:rsidRPr="0041149E">
        <w:t xml:space="preserve">; </w:t>
      </w:r>
      <w:r w:rsidR="009C147C">
        <w:t xml:space="preserve"> </w:t>
      </w:r>
      <w:r w:rsidRPr="0041149E">
        <w:t>(2) does not require an extra step to download an app;</w:t>
      </w:r>
      <w:r w:rsidR="009C147C">
        <w:t xml:space="preserve">  </w:t>
      </w:r>
      <w:r w:rsidRPr="0041149E">
        <w:t>(3) does not require repeated app downloads due to updates;</w:t>
      </w:r>
      <w:r w:rsidR="009C147C">
        <w:t xml:space="preserve"> </w:t>
      </w:r>
      <w:r w:rsidRPr="0041149E">
        <w:t xml:space="preserve"> (4) does not require large amounts of storage space on the mobile phone; </w:t>
      </w:r>
      <w:r w:rsidR="009C147C">
        <w:t xml:space="preserve"> </w:t>
      </w:r>
      <w:r w:rsidRPr="0041149E">
        <w:t xml:space="preserve">(5) can have a </w:t>
      </w:r>
      <w:r w:rsidRPr="0041149E">
        <w:lastRenderedPageBreak/>
        <w:t xml:space="preserve">shortcut </w:t>
      </w:r>
      <w:r w:rsidR="00763113">
        <w:t xml:space="preserve">tile </w:t>
      </w:r>
      <w:r w:rsidRPr="0041149E">
        <w:t>placed on the phone home screen as a reminder (just like a</w:t>
      </w:r>
      <w:r w:rsidR="00F33EB2">
        <w:t xml:space="preserve"> native</w:t>
      </w:r>
      <w:r w:rsidRPr="0041149E">
        <w:t xml:space="preserve"> app but without the higher storage space); </w:t>
      </w:r>
      <w:r w:rsidR="009C147C">
        <w:t xml:space="preserve"> </w:t>
      </w:r>
      <w:r w:rsidRPr="0041149E">
        <w:t xml:space="preserve">(6) can be built on a standard HTML framework; </w:t>
      </w:r>
      <w:r w:rsidR="009C147C">
        <w:t xml:space="preserve"> </w:t>
      </w:r>
      <w:r w:rsidR="00763113">
        <w:t xml:space="preserve">and </w:t>
      </w:r>
      <w:r w:rsidRPr="0041149E">
        <w:t xml:space="preserve">(7) can be easily found in search engines and </w:t>
      </w:r>
      <w:r w:rsidR="00F33EB2">
        <w:t>at</w:t>
      </w:r>
      <w:r w:rsidRPr="0041149E">
        <w:t xml:space="preserve"> pge.com navigation.</w:t>
      </w:r>
      <w:r w:rsidR="004B222D">
        <w:t xml:space="preserve">  </w:t>
      </w:r>
      <w:r>
        <w:t xml:space="preserve">Furthermore, PG&amp;E </w:t>
      </w:r>
      <w:r w:rsidR="00763113">
        <w:t>asserts that</w:t>
      </w:r>
      <w:r>
        <w:t xml:space="preserve">, based on its research, a </w:t>
      </w:r>
      <w:r w:rsidR="00AA7792">
        <w:t>web</w:t>
      </w:r>
      <w:r>
        <w:t>-based mobile app will reach</w:t>
      </w:r>
      <w:r w:rsidR="00685F8A">
        <w:t xml:space="preserve"> more customers</w:t>
      </w:r>
      <w:r w:rsidR="00EC3CA1">
        <w:t xml:space="preserve"> than a native app</w:t>
      </w:r>
      <w:r>
        <w:t>.</w:t>
      </w:r>
      <w:r>
        <w:rPr>
          <w:rStyle w:val="FootnoteReference"/>
        </w:rPr>
        <w:footnoteReference w:id="41"/>
      </w:r>
    </w:p>
    <w:p w:rsidRPr="004B222D" w:rsidR="004B222D" w:rsidP="0098046D" w:rsidRDefault="0041149E" w14:paraId="3C463BDD" w14:textId="214AC449">
      <w:pPr>
        <w:pStyle w:val="Standard"/>
      </w:pPr>
      <w:r w:rsidRPr="008A0CA6">
        <w:t xml:space="preserve">BBIC </w:t>
      </w:r>
      <w:r w:rsidR="00F33EB2">
        <w:t xml:space="preserve">disagrees.  BBIC </w:t>
      </w:r>
      <w:r w:rsidRPr="008A0CA6">
        <w:t xml:space="preserve">claims that the </w:t>
      </w:r>
      <w:r w:rsidR="00FE67EF">
        <w:t>web</w:t>
      </w:r>
      <w:r w:rsidRPr="008A0CA6">
        <w:t xml:space="preserve">-based </w:t>
      </w:r>
      <w:r w:rsidR="007C68A9">
        <w:t>application</w:t>
      </w:r>
      <w:r w:rsidRPr="008A0CA6">
        <w:t xml:space="preserve"> is inadequate because it is only accessible to customers with internet access.</w:t>
      </w:r>
      <w:r w:rsidRPr="008A0CA6">
        <w:rPr>
          <w:vertAlign w:val="superscript"/>
        </w:rPr>
        <w:footnoteReference w:id="42"/>
      </w:r>
      <w:r w:rsidRPr="004B222D" w:rsidR="004B222D">
        <w:t xml:space="preserve"> </w:t>
      </w:r>
      <w:r w:rsidR="009C147C">
        <w:t xml:space="preserve"> </w:t>
      </w:r>
      <w:r w:rsidRPr="004B222D" w:rsidR="004B222D">
        <w:t xml:space="preserve">In contrast, </w:t>
      </w:r>
      <w:r w:rsidR="00A65C36">
        <w:t xml:space="preserve">BBIC explains, </w:t>
      </w:r>
      <w:r w:rsidRPr="004B222D" w:rsidR="004B222D">
        <w:t xml:space="preserve">a </w:t>
      </w:r>
      <w:r w:rsidR="00E9403F">
        <w:t xml:space="preserve">native app </w:t>
      </w:r>
      <w:r w:rsidRPr="004B222D" w:rsidR="004B222D">
        <w:t xml:space="preserve">would allow customers to take photographs and </w:t>
      </w:r>
      <w:r w:rsidR="00132CE7">
        <w:t xml:space="preserve">draft a safety report </w:t>
      </w:r>
      <w:r w:rsidR="006E1B69">
        <w:t xml:space="preserve">with </w:t>
      </w:r>
      <w:r w:rsidRPr="004B222D" w:rsidR="004B222D">
        <w:t xml:space="preserve">pertinent information </w:t>
      </w:r>
      <w:r w:rsidR="00763113">
        <w:t xml:space="preserve">without </w:t>
      </w:r>
      <w:r w:rsidRPr="004B222D" w:rsidR="004B222D">
        <w:t xml:space="preserve">internet </w:t>
      </w:r>
      <w:r w:rsidR="00763113">
        <w:t>availability</w:t>
      </w:r>
      <w:r w:rsidRPr="004B222D" w:rsidR="004B222D">
        <w:t>,</w:t>
      </w:r>
      <w:r w:rsidR="00763113">
        <w:t xml:space="preserve"> and then later </w:t>
      </w:r>
      <w:r w:rsidR="00132CE7">
        <w:t xml:space="preserve">allow for </w:t>
      </w:r>
      <w:r w:rsidR="002353A3">
        <w:t>the information</w:t>
      </w:r>
      <w:r w:rsidR="00763113">
        <w:t xml:space="preserve"> </w:t>
      </w:r>
      <w:r w:rsidRPr="004B222D" w:rsidR="004B222D">
        <w:t>to</w:t>
      </w:r>
      <w:r w:rsidR="00132CE7">
        <w:t xml:space="preserve"> be transmitted </w:t>
      </w:r>
      <w:r w:rsidR="005D3B42">
        <w:t xml:space="preserve">via their smartphones </w:t>
      </w:r>
      <w:r w:rsidR="00132CE7">
        <w:t>to</w:t>
      </w:r>
      <w:r w:rsidRPr="004B222D" w:rsidR="004B222D">
        <w:t xml:space="preserve"> PG&amp;E </w:t>
      </w:r>
      <w:r w:rsidR="00763113">
        <w:t>once internet service is restored.</w:t>
      </w:r>
      <w:r w:rsidRPr="004B222D" w:rsidR="004B222D">
        <w:t xml:space="preserve"> </w:t>
      </w:r>
      <w:r w:rsidR="009C147C">
        <w:t xml:space="preserve"> </w:t>
      </w:r>
      <w:r w:rsidRPr="004B222D" w:rsidR="004B222D">
        <w:t xml:space="preserve">BBIC further states that the web-based </w:t>
      </w:r>
      <w:r w:rsidR="007C68A9">
        <w:t>application</w:t>
      </w:r>
      <w:r w:rsidRPr="004B222D" w:rsidR="004B222D">
        <w:t xml:space="preserve"> is not consistent with the </w:t>
      </w:r>
      <w:bookmarkStart w:name="_Hlk42682173" w:id="45"/>
      <w:r w:rsidR="00ED1A48">
        <w:t xml:space="preserve">Commission’s </w:t>
      </w:r>
      <w:r w:rsidRPr="004B222D" w:rsidR="004B222D">
        <w:t>directive in I.19-06-015</w:t>
      </w:r>
      <w:bookmarkEnd w:id="45"/>
      <w:r w:rsidRPr="004B222D" w:rsidR="004B222D">
        <w:t xml:space="preserve">, which </w:t>
      </w:r>
      <w:r w:rsidR="00ED1A48">
        <w:t>direct</w:t>
      </w:r>
      <w:r w:rsidR="00685F8A">
        <w:t>ed</w:t>
      </w:r>
      <w:r w:rsidR="00ED1A48">
        <w:t xml:space="preserve"> </w:t>
      </w:r>
      <w:r w:rsidR="004B222D">
        <w:t>PG&amp;E to develop a</w:t>
      </w:r>
      <w:r w:rsidRPr="004B222D" w:rsidR="004B222D">
        <w:t xml:space="preserve"> </w:t>
      </w:r>
      <w:r w:rsidR="004B222D">
        <w:t>“</w:t>
      </w:r>
      <w:r w:rsidRPr="004B222D" w:rsidR="004B222D">
        <w:t>mobile app.”</w:t>
      </w:r>
      <w:r w:rsidRPr="004B222D" w:rsidR="004B222D">
        <w:rPr>
          <w:vertAlign w:val="superscript"/>
        </w:rPr>
        <w:footnoteReference w:id="43"/>
      </w:r>
      <w:r w:rsidR="004B222D">
        <w:t xml:space="preserve">  This</w:t>
      </w:r>
      <w:r w:rsidR="00ED1A48">
        <w:t xml:space="preserve"> term</w:t>
      </w:r>
      <w:r w:rsidR="004B222D">
        <w:t xml:space="preserve"> means</w:t>
      </w:r>
      <w:r w:rsidR="00132CE7">
        <w:t xml:space="preserve"> specifically</w:t>
      </w:r>
      <w:r w:rsidR="004B222D">
        <w:t xml:space="preserve">, according to BBIC, a </w:t>
      </w:r>
      <w:r w:rsidR="000642AD">
        <w:t xml:space="preserve">native app, or one </w:t>
      </w:r>
      <w:r w:rsidR="004B222D">
        <w:t xml:space="preserve">which is downloaded to a customer’s </w:t>
      </w:r>
      <w:r w:rsidR="00ED1A48">
        <w:t>smart</w:t>
      </w:r>
      <w:r w:rsidR="004B222D">
        <w:t xml:space="preserve">phone from an </w:t>
      </w:r>
      <w:r w:rsidR="00685F8A">
        <w:t>A</w:t>
      </w:r>
      <w:r w:rsidR="004B222D">
        <w:t>pp store</w:t>
      </w:r>
      <w:r w:rsidR="000642AD">
        <w:t>.</w:t>
      </w:r>
      <w:r w:rsidR="004B222D">
        <w:t xml:space="preserve"> </w:t>
      </w:r>
    </w:p>
    <w:p w:rsidR="00F33EB2" w:rsidP="00385ED3" w:rsidRDefault="00576121" w14:paraId="14ED4002" w14:textId="29B76D4D">
      <w:pPr>
        <w:pStyle w:val="Standard"/>
      </w:pPr>
      <w:r>
        <w:t>We find that a</w:t>
      </w:r>
      <w:r w:rsidR="0042309B">
        <w:t xml:space="preserve"> web-based app</w:t>
      </w:r>
      <w:r w:rsidR="007C68A9">
        <w:t>lication</w:t>
      </w:r>
      <w:r w:rsidR="00771AC2">
        <w:t xml:space="preserve"> has some of the necessary functionality</w:t>
      </w:r>
      <w:r w:rsidRPr="008C4031" w:rsidR="008C4031">
        <w:t xml:space="preserve"> </w:t>
      </w:r>
      <w:r w:rsidR="008C4031">
        <w:t xml:space="preserve">and </w:t>
      </w:r>
      <w:r>
        <w:t>seamlessly integrates with</w:t>
      </w:r>
      <w:r w:rsidR="008C4031">
        <w:t xml:space="preserve"> PG&amp;E</w:t>
      </w:r>
      <w:r>
        <w:t xml:space="preserve">’s existing </w:t>
      </w:r>
      <w:r w:rsidR="008C4031">
        <w:t>website operations</w:t>
      </w:r>
      <w:r w:rsidR="00771AC2">
        <w:t xml:space="preserve">, while </w:t>
      </w:r>
      <w:r w:rsidR="0042309B">
        <w:t>a native app offer</w:t>
      </w:r>
      <w:r w:rsidR="00771AC2">
        <w:t>s</w:t>
      </w:r>
      <w:r w:rsidR="0042309B">
        <w:t xml:space="preserve"> the necessary functionality</w:t>
      </w:r>
      <w:r w:rsidR="00F33EB2">
        <w:t xml:space="preserve"> </w:t>
      </w:r>
      <w:r w:rsidR="00162633">
        <w:t>and</w:t>
      </w:r>
      <w:r w:rsidR="00F33EB2">
        <w:t xml:space="preserve"> </w:t>
      </w:r>
      <w:r w:rsidR="005D3B42">
        <w:t>more closely conforms to the Commission’s directive in I.19-06-015</w:t>
      </w:r>
      <w:r w:rsidR="0042309B">
        <w:t>.</w:t>
      </w:r>
      <w:r w:rsidR="00327C8A">
        <w:t xml:space="preserve">  The </w:t>
      </w:r>
      <w:r w:rsidR="0042309B">
        <w:t>Commission in I.19</w:t>
      </w:r>
      <w:r w:rsidR="009C147C">
        <w:noBreakHyphen/>
      </w:r>
      <w:r w:rsidR="0042309B">
        <w:t>06-015 specifie</w:t>
      </w:r>
      <w:r w:rsidR="00685F8A">
        <w:t>d</w:t>
      </w:r>
      <w:r w:rsidR="0042309B">
        <w:t xml:space="preserve"> that PG&amp;E shall establish a “</w:t>
      </w:r>
      <w:r w:rsidRPr="00CD5067" w:rsidR="0042309B">
        <w:t>mobile app that allows a</w:t>
      </w:r>
      <w:r w:rsidR="0042309B">
        <w:t>…</w:t>
      </w:r>
      <w:r w:rsidRPr="00CD5067" w:rsidR="0042309B">
        <w:t xml:space="preserve"> phone to send pictures of utility infrastructur</w:t>
      </w:r>
      <w:r w:rsidR="0042309B">
        <w:t xml:space="preserve">e,” a directive we </w:t>
      </w:r>
      <w:r w:rsidR="00327C8A">
        <w:t>interpret</w:t>
      </w:r>
      <w:r w:rsidR="0042309B">
        <w:t xml:space="preserve"> as placing special </w:t>
      </w:r>
      <w:r w:rsidR="0042309B">
        <w:lastRenderedPageBreak/>
        <w:t xml:space="preserve">emphasis on smartphones as the basis for PG&amp;E’s </w:t>
      </w:r>
      <w:r>
        <w:t>mobile app</w:t>
      </w:r>
      <w:r w:rsidR="0042309B">
        <w:t>.</w:t>
      </w:r>
      <w:r w:rsidR="0042309B">
        <w:rPr>
          <w:rStyle w:val="FootnoteReference"/>
        </w:rPr>
        <w:footnoteReference w:id="44"/>
      </w:r>
      <w:r w:rsidRPr="00CD5067" w:rsidR="0042309B">
        <w:t xml:space="preserve"> </w:t>
      </w:r>
      <w:r w:rsidR="0042309B">
        <w:t xml:space="preserve"> In turn, because a native app by nature has smartphones as the center of operation, we conclude that the native app approach most closely aligns with the Commission’s intent. </w:t>
      </w:r>
    </w:p>
    <w:p w:rsidRPr="00245BA5" w:rsidR="0042309B" w:rsidP="00385ED3" w:rsidRDefault="0042309B" w14:paraId="5EF332DE" w14:textId="421F82E6">
      <w:pPr>
        <w:pStyle w:val="Standard"/>
      </w:pPr>
      <w:r>
        <w:t>Accordingly</w:t>
      </w:r>
      <w:r w:rsidRPr="0081674F">
        <w:t>, we</w:t>
      </w:r>
      <w:r>
        <w:t xml:space="preserve"> direct PG&amp;E to </w:t>
      </w:r>
      <w:r w:rsidR="00462F6A">
        <w:t>develop</w:t>
      </w:r>
      <w:r>
        <w:t xml:space="preserve"> a native app within its pilot program</w:t>
      </w:r>
      <w:r w:rsidRPr="00E47F03">
        <w:t xml:space="preserve">.  </w:t>
      </w:r>
      <w:bookmarkStart w:name="_Hlk42615597" w:id="48"/>
      <w:bookmarkStart w:name="_Hlk47430757" w:id="49"/>
      <w:r w:rsidRPr="00E47F03">
        <w:t>PG&amp;E shall develop two separate apps</w:t>
      </w:r>
      <w:r w:rsidR="005D3B42">
        <w:t xml:space="preserve"> for its pilot program</w:t>
      </w:r>
      <w:r w:rsidRPr="00E47F03">
        <w:t>, one for iPhones and one for</w:t>
      </w:r>
      <w:r w:rsidR="00C45CEA">
        <w:t xml:space="preserve"> smartphone</w:t>
      </w:r>
      <w:r w:rsidR="00576121">
        <w:t>s</w:t>
      </w:r>
      <w:r w:rsidR="00C45CEA">
        <w:t xml:space="preserve"> with</w:t>
      </w:r>
      <w:r w:rsidRPr="00E47F03">
        <w:t xml:space="preserve"> Android</w:t>
      </w:r>
      <w:r w:rsidR="00C921D3">
        <w:t xml:space="preserve"> operating system</w:t>
      </w:r>
      <w:r w:rsidR="00C45CEA">
        <w:t>s.</w:t>
      </w:r>
      <w:r w:rsidRPr="00E47F03">
        <w:t xml:space="preserve"> </w:t>
      </w:r>
      <w:bookmarkEnd w:id="48"/>
      <w:r w:rsidRPr="00E47F03">
        <w:t xml:space="preserve"> If, </w:t>
      </w:r>
      <w:bookmarkStart w:name="_Hlk42682058" w:id="50"/>
      <w:r w:rsidRPr="00E47F03">
        <w:t xml:space="preserve">in addition, PG&amp;E would like to </w:t>
      </w:r>
      <w:r w:rsidR="00B943D9">
        <w:t>develop</w:t>
      </w:r>
      <w:r w:rsidRPr="00E47F03">
        <w:t xml:space="preserve"> a web</w:t>
      </w:r>
      <w:r>
        <w:t>-based app</w:t>
      </w:r>
      <w:r w:rsidR="007C68A9">
        <w:t>lication</w:t>
      </w:r>
      <w:r>
        <w:t xml:space="preserve"> within its pilot program to offer customers more choice, the utility may do so</w:t>
      </w:r>
      <w:r w:rsidR="00130350">
        <w:t xml:space="preserve"> as long as the web-based app</w:t>
      </w:r>
      <w:r w:rsidR="007C68A9">
        <w:t>lication</w:t>
      </w:r>
      <w:r w:rsidR="00130350">
        <w:t xml:space="preserve"> conforms to all the requirements</w:t>
      </w:r>
      <w:r w:rsidR="002C1203">
        <w:t xml:space="preserve"> </w:t>
      </w:r>
      <w:r w:rsidR="00F33EB2">
        <w:t xml:space="preserve">herein </w:t>
      </w:r>
      <w:r w:rsidR="002C1203">
        <w:t>for the native app</w:t>
      </w:r>
      <w:r w:rsidR="00130350">
        <w:t>.</w:t>
      </w:r>
      <w:bookmarkEnd w:id="49"/>
      <w:r w:rsidR="00130350">
        <w:t xml:space="preserve">  A</w:t>
      </w:r>
      <w:r w:rsidR="00327C8A">
        <w:t>ny</w:t>
      </w:r>
      <w:r w:rsidR="00130350">
        <w:t xml:space="preserve"> web-based app</w:t>
      </w:r>
      <w:r w:rsidR="002C1203">
        <w:t>lication</w:t>
      </w:r>
      <w:r w:rsidR="00130350">
        <w:t xml:space="preserve"> would also </w:t>
      </w:r>
      <w:r w:rsidR="00307FEF">
        <w:t>be at</w:t>
      </w:r>
      <w:r w:rsidR="003215F6">
        <w:t xml:space="preserve"> shareholder expense</w:t>
      </w:r>
      <w:r w:rsidR="00636466">
        <w:t>, consistent with the Commission’s directive</w:t>
      </w:r>
      <w:r w:rsidR="00CE14D3">
        <w:t xml:space="preserve"> in I.19-06-015</w:t>
      </w:r>
      <w:r w:rsidR="00636466">
        <w:t xml:space="preserve"> regarding costs related to </w:t>
      </w:r>
      <w:r w:rsidR="00CE14D3">
        <w:t xml:space="preserve">the </w:t>
      </w:r>
      <w:r w:rsidR="00636466">
        <w:t>mobile app</w:t>
      </w:r>
      <w:r>
        <w:t>.</w:t>
      </w:r>
      <w:r w:rsidR="002C1203">
        <w:t xml:space="preserve"> </w:t>
      </w:r>
      <w:r w:rsidR="00825684">
        <w:t xml:space="preserve"> </w:t>
      </w:r>
      <w:r w:rsidR="002C1203">
        <w:t>Cost</w:t>
      </w:r>
      <w:r w:rsidR="00F33EB2">
        <w:t xml:space="preserve"> allocation</w:t>
      </w:r>
      <w:r w:rsidR="002C1203">
        <w:t xml:space="preserve"> </w:t>
      </w:r>
      <w:r w:rsidR="00F33EB2">
        <w:t>is</w:t>
      </w:r>
      <w:r w:rsidR="002C1203">
        <w:t xml:space="preserve"> further addressed below.</w:t>
      </w:r>
    </w:p>
    <w:p w:rsidR="0029062F" w:rsidP="009C147C" w:rsidRDefault="0029062F" w14:paraId="2D10A063" w14:textId="24267E71">
      <w:pPr>
        <w:pStyle w:val="Heading2"/>
        <w:numPr>
          <w:ilvl w:val="1"/>
          <w:numId w:val="61"/>
        </w:numPr>
        <w:spacing w:after="0" w:line="360" w:lineRule="auto"/>
        <w:ind w:left="1440"/>
      </w:pPr>
      <w:bookmarkStart w:name="_Toc52866542" w:id="51"/>
      <w:bookmarkEnd w:id="50"/>
      <w:r>
        <w:t>Cost</w:t>
      </w:r>
      <w:r w:rsidR="00327C8A">
        <w:t xml:space="preserve"> </w:t>
      </w:r>
      <w:r w:rsidR="00F33EB2">
        <w:t>Allocation</w:t>
      </w:r>
      <w:bookmarkEnd w:id="51"/>
    </w:p>
    <w:p w:rsidR="00AB5E86" w:rsidP="0087100E" w:rsidRDefault="0029062F" w14:paraId="672FEAD5" w14:textId="7DD0994E">
      <w:pPr>
        <w:pStyle w:val="Standard"/>
      </w:pPr>
      <w:r w:rsidRPr="003F25E2">
        <w:t>In I.19-06-015, the Commission stated that “Development and continued operation of the asset management database and mobile app would be at shareholder expense.”</w:t>
      </w:r>
      <w:r w:rsidRPr="003F25E2">
        <w:rPr>
          <w:rStyle w:val="FootnoteReference"/>
        </w:rPr>
        <w:footnoteReference w:id="45"/>
      </w:r>
      <w:r w:rsidR="009C147C">
        <w:t xml:space="preserve"> </w:t>
      </w:r>
      <w:r w:rsidRPr="003F25E2">
        <w:t xml:space="preserve"> We reiterate this directive today.  </w:t>
      </w:r>
      <w:bookmarkStart w:name="_Hlk47430775" w:id="52"/>
      <w:r w:rsidRPr="003F25E2">
        <w:t>The costs associated with the development and continued operation of the mobile app pilot are a</w:t>
      </w:r>
      <w:r w:rsidR="00763113">
        <w:t>t</w:t>
      </w:r>
      <w:r w:rsidRPr="003F25E2">
        <w:t xml:space="preserve"> shareholder expense.  </w:t>
      </w:r>
    </w:p>
    <w:bookmarkEnd w:id="52"/>
    <w:p w:rsidR="002C1203" w:rsidP="0087100E" w:rsidRDefault="002C1203" w14:paraId="0FF28971" w14:textId="089BCA2D">
      <w:pPr>
        <w:pStyle w:val="Standard"/>
      </w:pPr>
      <w:r>
        <w:t xml:space="preserve">PG&amp;E acknowledges this directive in its Application but </w:t>
      </w:r>
      <w:r w:rsidR="00AB5E86">
        <w:t xml:space="preserve">also suggests </w:t>
      </w:r>
      <w:r>
        <w:t xml:space="preserve">that </w:t>
      </w:r>
      <w:r w:rsidR="00AB5E86">
        <w:t xml:space="preserve">this directive has limits, stating that </w:t>
      </w:r>
      <w:r>
        <w:t>it “</w:t>
      </w:r>
      <w:r w:rsidRPr="002C1203">
        <w:t>understands the cost of development and continued operation as referring to expenditures limited</w:t>
      </w:r>
      <w:r>
        <w:t xml:space="preserve"> </w:t>
      </w:r>
      <w:r w:rsidRPr="002C1203">
        <w:t>to developing the actual mobile application and support systems (</w:t>
      </w:r>
      <w:r w:rsidRPr="009C147C">
        <w:rPr>
          <w:i/>
          <w:iCs/>
        </w:rPr>
        <w:t>e.g.</w:t>
      </w:r>
      <w:r w:rsidRPr="002C1203">
        <w:t>, the cost to build the mobile</w:t>
      </w:r>
      <w:r>
        <w:t xml:space="preserve"> </w:t>
      </w:r>
      <w:r w:rsidRPr="002C1203">
        <w:t>application) and not the cost to respond to submittals (</w:t>
      </w:r>
      <w:r w:rsidRPr="009C147C">
        <w:rPr>
          <w:i/>
          <w:iCs/>
        </w:rPr>
        <w:t>e.g.</w:t>
      </w:r>
      <w:r w:rsidRPr="002C1203">
        <w:t xml:space="preserve">, sending a worker to </w:t>
      </w:r>
      <w:r w:rsidRPr="002C1203">
        <w:lastRenderedPageBreak/>
        <w:t>inspect an asset), which</w:t>
      </w:r>
      <w:r>
        <w:t xml:space="preserve"> </w:t>
      </w:r>
      <w:r w:rsidRPr="002C1203">
        <w:t>would be covered through PG&amp;E’s normal operations budget.</w:t>
      </w:r>
      <w:r>
        <w:t>”</w:t>
      </w:r>
      <w:r w:rsidR="00AB5E86">
        <w:rPr>
          <w:rStyle w:val="FootnoteReference"/>
        </w:rPr>
        <w:footnoteReference w:id="46"/>
      </w:r>
    </w:p>
    <w:p w:rsidR="00A04707" w:rsidP="0098046D" w:rsidRDefault="00A04707" w14:paraId="5BA7D672" w14:textId="23894477">
      <w:pPr>
        <w:pStyle w:val="Standard"/>
      </w:pPr>
      <w:r>
        <w:t>.</w:t>
      </w:r>
      <w:r w:rsidR="00C6295E">
        <w:t xml:space="preserve"> In comments to the proposed decision, BBIC request</w:t>
      </w:r>
      <w:r w:rsidR="00893AD6">
        <w:t>s</w:t>
      </w:r>
      <w:r w:rsidR="00C6295E">
        <w:t xml:space="preserve"> clarification on whether outreach and training associated with the mobile app constitut</w:t>
      </w:r>
      <w:r w:rsidR="00893AD6">
        <w:t>es</w:t>
      </w:r>
      <w:r w:rsidR="00C6295E">
        <w:t xml:space="preserve"> shareholder costs. No other comments were received on this topic.</w:t>
      </w:r>
    </w:p>
    <w:p w:rsidR="00245BA5" w:rsidP="0098046D" w:rsidRDefault="00AB5E86" w14:paraId="492B277C" w14:textId="77F976F5">
      <w:pPr>
        <w:pStyle w:val="Standard"/>
      </w:pPr>
      <w:r>
        <w:t xml:space="preserve">We agree with PG&amp;E that costs to respond to submittals are a ratepayer expense.  </w:t>
      </w:r>
      <w:r w:rsidR="00A04707">
        <w:t>Cost</w:t>
      </w:r>
      <w:r w:rsidR="00757B45">
        <w:t>s</w:t>
      </w:r>
      <w:r w:rsidR="00A04707">
        <w:t xml:space="preserve"> associated with development and continue</w:t>
      </w:r>
      <w:r w:rsidR="00327C8A">
        <w:t>d</w:t>
      </w:r>
      <w:r w:rsidR="00A04707">
        <w:t xml:space="preserve"> operation of the mobile app and the supporting systems remain a</w:t>
      </w:r>
      <w:r w:rsidR="007D0D85">
        <w:t>t</w:t>
      </w:r>
      <w:r w:rsidR="00A04707">
        <w:t xml:space="preserve"> shareholder expense. </w:t>
      </w:r>
      <w:r w:rsidR="009C147C">
        <w:t xml:space="preserve"> </w:t>
      </w:r>
      <w:r w:rsidR="00685F8A">
        <w:t>We clarify in this decision that “costs associated with development and continued operation” include costs related to the evaluation of the pilot, which was proposed by PG&amp;E as part of the development of the mobile app</w:t>
      </w:r>
      <w:r w:rsidR="00C6295E">
        <w:t>,</w:t>
      </w:r>
      <w:r w:rsidR="3C659476">
        <w:t xml:space="preserve"> and</w:t>
      </w:r>
      <w:r w:rsidR="00C6295E">
        <w:t xml:space="preserve"> </w:t>
      </w:r>
      <w:r w:rsidR="00862DCD">
        <w:t>costs associated with outreach and training</w:t>
      </w:r>
      <w:r w:rsidR="00C6295E">
        <w:t>, which</w:t>
      </w:r>
      <w:r w:rsidR="00862DCD">
        <w:t xml:space="preserve"> are part of continued operation of the mobile</w:t>
      </w:r>
      <w:r w:rsidR="08DA77DA">
        <w:t xml:space="preserve"> app</w:t>
      </w:r>
      <w:r w:rsidR="00C6295E">
        <w:t>.</w:t>
      </w:r>
      <w:r w:rsidR="00862DCD">
        <w:t xml:space="preserve"> </w:t>
      </w:r>
      <w:r w:rsidR="00685F8A">
        <w:t xml:space="preserve"> </w:t>
      </w:r>
      <w:r>
        <w:t>Moreover, a</w:t>
      </w:r>
      <w:r w:rsidR="003F25E2">
        <w:t>s discussed below</w:t>
      </w:r>
      <w:r w:rsidR="0081674F">
        <w:t>, in</w:t>
      </w:r>
      <w:r w:rsidR="003F25E2">
        <w:t xml:space="preserve"> Phase 2 of this proceeding</w:t>
      </w:r>
      <w:r w:rsidR="0081674F">
        <w:t xml:space="preserve"> we</w:t>
      </w:r>
      <w:r w:rsidR="003F25E2">
        <w:t xml:space="preserve"> will revisit this directive and </w:t>
      </w:r>
      <w:r w:rsidR="00B957EC">
        <w:t>con</w:t>
      </w:r>
      <w:r w:rsidR="00CF26E9">
        <w:t xml:space="preserve">sider </w:t>
      </w:r>
      <w:r w:rsidR="003F25E2">
        <w:t xml:space="preserve">whether </w:t>
      </w:r>
      <w:r>
        <w:t xml:space="preserve">continued operation of </w:t>
      </w:r>
      <w:r w:rsidR="003F25E2">
        <w:t>this mobile app</w:t>
      </w:r>
      <w:r>
        <w:t xml:space="preserve"> and supporting systems</w:t>
      </w:r>
      <w:r w:rsidR="002C1203">
        <w:t xml:space="preserve">, if </w:t>
      </w:r>
      <w:r w:rsidR="003F25E2">
        <w:t xml:space="preserve">permanently implemented, </w:t>
      </w:r>
      <w:r w:rsidR="00EB0E44">
        <w:t xml:space="preserve">would be </w:t>
      </w:r>
      <w:r w:rsidR="003F25E2">
        <w:t xml:space="preserve">more appropriately categorized as </w:t>
      </w:r>
      <w:r w:rsidR="00EB0E44">
        <w:t>a</w:t>
      </w:r>
      <w:r w:rsidR="00ED1A48">
        <w:t xml:space="preserve"> </w:t>
      </w:r>
      <w:r w:rsidR="00287711">
        <w:t>ratepayer</w:t>
      </w:r>
      <w:r w:rsidR="0029062F">
        <w:t xml:space="preserve"> expense</w:t>
      </w:r>
      <w:r w:rsidR="00823DB0">
        <w:t>.</w:t>
      </w:r>
    </w:p>
    <w:p w:rsidR="00CE0122" w:rsidP="009C147C" w:rsidRDefault="00CE0122" w14:paraId="5514E3F7" w14:textId="2C8F7990">
      <w:pPr>
        <w:pStyle w:val="Heading2"/>
        <w:numPr>
          <w:ilvl w:val="1"/>
          <w:numId w:val="61"/>
        </w:numPr>
        <w:spacing w:after="0" w:line="360" w:lineRule="auto"/>
        <w:ind w:left="1354"/>
      </w:pPr>
      <w:bookmarkStart w:name="_Toc52866543" w:id="53"/>
      <w:r>
        <w:t xml:space="preserve">Open </w:t>
      </w:r>
      <w:r w:rsidR="00656A72">
        <w:t>S</w:t>
      </w:r>
      <w:r>
        <w:t>ource</w:t>
      </w:r>
      <w:bookmarkEnd w:id="53"/>
    </w:p>
    <w:p w:rsidR="00AA52A6" w:rsidP="0087100E" w:rsidRDefault="00766B3C" w14:paraId="5034304A" w14:textId="0FAE6494">
      <w:pPr>
        <w:pStyle w:val="Standard"/>
      </w:pPr>
      <w:r>
        <w:t xml:space="preserve">We continue our review of PG&amp;E’s compliance with I.19-06-015 by </w:t>
      </w:r>
      <w:r w:rsidR="00BB46AD">
        <w:t>evaluating PG&amp;E’s compliance with</w:t>
      </w:r>
      <w:r>
        <w:t xml:space="preserve"> the </w:t>
      </w:r>
      <w:r w:rsidR="00ED1A48">
        <w:t>Commission’s</w:t>
      </w:r>
      <w:r w:rsidR="00BB46AD">
        <w:t xml:space="preserve"> directive to develop an </w:t>
      </w:r>
      <w:r>
        <w:t xml:space="preserve">“open source” </w:t>
      </w:r>
      <w:r w:rsidR="00BB46AD">
        <w:t>mobile app</w:t>
      </w:r>
      <w:r>
        <w:t>.</w:t>
      </w:r>
      <w:r w:rsidR="009C147C">
        <w:t xml:space="preserve"> </w:t>
      </w:r>
      <w:r>
        <w:t xml:space="preserve"> </w:t>
      </w:r>
      <w:r w:rsidR="005531A5">
        <w:t xml:space="preserve">The </w:t>
      </w:r>
      <w:r w:rsidR="006B3D8D">
        <w:t>Commission state</w:t>
      </w:r>
      <w:r w:rsidR="00685F8A">
        <w:t>d</w:t>
      </w:r>
      <w:r w:rsidR="006B3D8D">
        <w:t xml:space="preserve"> in </w:t>
      </w:r>
      <w:r w:rsidRPr="006B3D8D" w:rsidR="006B3D8D">
        <w:t xml:space="preserve">I.19-06-015 </w:t>
      </w:r>
      <w:r w:rsidR="005531A5">
        <w:t>that the mobile app</w:t>
      </w:r>
      <w:r w:rsidR="009C07E1">
        <w:t>’s source code</w:t>
      </w:r>
      <w:r w:rsidR="005531A5">
        <w:t xml:space="preserve"> should be “open source.”</w:t>
      </w:r>
      <w:r w:rsidR="00AB5E86">
        <w:rPr>
          <w:rStyle w:val="FootnoteReference"/>
        </w:rPr>
        <w:footnoteReference w:id="47"/>
      </w:r>
      <w:r w:rsidR="005531A5">
        <w:t xml:space="preserve">  </w:t>
      </w:r>
    </w:p>
    <w:p w:rsidR="00AA52A6" w:rsidP="0087100E" w:rsidRDefault="005531A5" w14:paraId="5C9DBE5A" w14:textId="375443BD">
      <w:pPr>
        <w:pStyle w:val="Standard"/>
      </w:pPr>
      <w:r>
        <w:t xml:space="preserve">PG&amp;E explains that having an open and </w:t>
      </w:r>
      <w:proofErr w:type="gramStart"/>
      <w:r w:rsidR="002B5FF0">
        <w:t>publicly-available</w:t>
      </w:r>
      <w:proofErr w:type="gramEnd"/>
      <w:r>
        <w:t xml:space="preserve"> source code would introduce new </w:t>
      </w:r>
      <w:bookmarkStart w:name="_Hlk46755863" w:id="54"/>
      <w:r>
        <w:t xml:space="preserve">cybersecurity risks </w:t>
      </w:r>
      <w:bookmarkEnd w:id="54"/>
      <w:r>
        <w:t>to PG&amp;E’s Information Technology Infrastructure.  To address these risks while complying with the spirit of</w:t>
      </w:r>
      <w:r w:rsidRPr="00AA52A6" w:rsidR="00AA52A6">
        <w:t xml:space="preserve"> </w:t>
      </w:r>
      <w:r w:rsidRPr="00AA52A6" w:rsidR="00AA52A6">
        <w:lastRenderedPageBreak/>
        <w:t>I.19</w:t>
      </w:r>
      <w:r w:rsidR="009C147C">
        <w:noBreakHyphen/>
      </w:r>
      <w:r w:rsidRPr="00AA52A6" w:rsidR="00AA52A6">
        <w:t>06</w:t>
      </w:r>
      <w:r w:rsidR="009C147C">
        <w:noBreakHyphen/>
      </w:r>
      <w:r w:rsidRPr="00AA52A6" w:rsidR="00AA52A6">
        <w:t>015</w:t>
      </w:r>
      <w:r>
        <w:t>, PG&amp;E</w:t>
      </w:r>
      <w:r w:rsidR="00E71659">
        <w:t xml:space="preserve"> </w:t>
      </w:r>
      <w:r w:rsidR="00ED1A48">
        <w:t>proposes</w:t>
      </w:r>
      <w:r>
        <w:t xml:space="preserve"> to develop a mobile app that has an open application programming interfac</w:t>
      </w:r>
      <w:r w:rsidR="0055188C">
        <w:t xml:space="preserve">e.  This means that there would be a </w:t>
      </w:r>
      <w:proofErr w:type="gramStart"/>
      <w:r w:rsidR="002B5FF0">
        <w:t>publicly-available</w:t>
      </w:r>
      <w:proofErr w:type="gramEnd"/>
      <w:r w:rsidR="0055188C">
        <w:t xml:space="preserve"> interface, but PG&amp;E would maintain property ownership over the original source code for the mobile app.  </w:t>
      </w:r>
    </w:p>
    <w:p w:rsidR="00B00DC3" w:rsidP="0098046D" w:rsidRDefault="00B00DC3" w14:paraId="54B770AF" w14:textId="578CADBB">
      <w:pPr>
        <w:pStyle w:val="Standard"/>
      </w:pPr>
      <w:r>
        <w:t xml:space="preserve">BBIC </w:t>
      </w:r>
      <w:r w:rsidR="009C07E1">
        <w:t>submit</w:t>
      </w:r>
      <w:r>
        <w:t>s that</w:t>
      </w:r>
      <w:r w:rsidR="009C07E1">
        <w:t xml:space="preserve"> such an approach does not deliver </w:t>
      </w:r>
      <w:r w:rsidR="00F33EB2">
        <w:t xml:space="preserve">a </w:t>
      </w:r>
      <w:r w:rsidR="009C07E1">
        <w:t>truly open source code</w:t>
      </w:r>
      <w:r w:rsidR="00F33EB2">
        <w:t xml:space="preserve"> and </w:t>
      </w:r>
      <w:r w:rsidR="009C07E1">
        <w:t>argues that</w:t>
      </w:r>
      <w:r w:rsidR="00F33EB2">
        <w:t>,</w:t>
      </w:r>
      <w:r>
        <w:t xml:space="preserve"> because the mobile app</w:t>
      </w:r>
      <w:r w:rsidR="009C07E1">
        <w:t xml:space="preserve"> </w:t>
      </w:r>
      <w:r w:rsidR="002B5FF0">
        <w:t>within</w:t>
      </w:r>
      <w:r w:rsidR="009C07E1">
        <w:t xml:space="preserve"> PG&amp;E</w:t>
      </w:r>
      <w:r w:rsidR="002B5FF0">
        <w:t>’s pilot</w:t>
      </w:r>
      <w:r w:rsidR="009C07E1">
        <w:t xml:space="preserve"> would not rely on</w:t>
      </w:r>
      <w:r>
        <w:t xml:space="preserve"> open source</w:t>
      </w:r>
      <w:r w:rsidR="009C07E1">
        <w:t xml:space="preserve"> code</w:t>
      </w:r>
      <w:r>
        <w:t>, the mobile app</w:t>
      </w:r>
      <w:r w:rsidR="009C07E1">
        <w:t xml:space="preserve">, as proposed, </w:t>
      </w:r>
      <w:r w:rsidR="002B5FF0">
        <w:t xml:space="preserve">fails </w:t>
      </w:r>
      <w:r>
        <w:t>to comp</w:t>
      </w:r>
      <w:r w:rsidR="00ED1A48">
        <w:t>ly</w:t>
      </w:r>
      <w:r>
        <w:t xml:space="preserve"> with I.19</w:t>
      </w:r>
      <w:r w:rsidR="009C147C">
        <w:noBreakHyphen/>
      </w:r>
      <w:r>
        <w:t>06-015.</w:t>
      </w:r>
      <w:r>
        <w:rPr>
          <w:rStyle w:val="FootnoteReference"/>
        </w:rPr>
        <w:footnoteReference w:id="48"/>
      </w:r>
    </w:p>
    <w:p w:rsidR="00F23DE7" w:rsidP="0098046D" w:rsidRDefault="00F23DE7" w14:paraId="4AF1C98E" w14:textId="52D7CC04">
      <w:pPr>
        <w:pStyle w:val="Standard"/>
      </w:pPr>
      <w:r>
        <w:t>PG&amp;E further explains, in comments to the proposed decision, that it may purchase a commercially available mobile app, in which case it would not have access to the source code or perhaps other design-related information pertain</w:t>
      </w:r>
      <w:r w:rsidR="4C391B3C">
        <w:t>ing</w:t>
      </w:r>
      <w:r>
        <w:t xml:space="preserve"> to the purchased app.  PG&amp;E requests that the Commission clarify </w:t>
      </w:r>
      <w:r w:rsidR="00547C1F">
        <w:t>whether</w:t>
      </w:r>
      <w:r w:rsidR="00787D21">
        <w:t xml:space="preserve"> it </w:t>
      </w:r>
      <w:r w:rsidR="7A9DB619">
        <w:t>would</w:t>
      </w:r>
      <w:r>
        <w:t xml:space="preserve"> permit PG&amp;E to purchase a commercially available app</w:t>
      </w:r>
      <w:r w:rsidR="00CE6082">
        <w:t xml:space="preserve"> and,</w:t>
      </w:r>
      <w:r>
        <w:t xml:space="preserve">  if </w:t>
      </w:r>
      <w:r w:rsidR="00CE6082">
        <w:t xml:space="preserve">so, whether </w:t>
      </w:r>
      <w:r>
        <w:t>PG&amp;E</w:t>
      </w:r>
      <w:r w:rsidR="00CE6082">
        <w:t xml:space="preserve"> </w:t>
      </w:r>
      <w:r>
        <w:t xml:space="preserve">would  be able to </w:t>
      </w:r>
      <w:r w:rsidR="00CE6082">
        <w:t xml:space="preserve">maintain </w:t>
      </w:r>
      <w:r>
        <w:t xml:space="preserve"> the source code or other design information</w:t>
      </w:r>
      <w:r w:rsidR="00787D21">
        <w:t xml:space="preserve"> confidential if required under the purchase agreement</w:t>
      </w:r>
    </w:p>
    <w:p w:rsidR="00FF4D0F" w:rsidP="00385ED3" w:rsidRDefault="00FF4D0F" w14:paraId="4D7FCB47" w14:textId="143E5D58">
      <w:pPr>
        <w:pStyle w:val="Standard"/>
      </w:pPr>
      <w:r>
        <w:t xml:space="preserve">We find that having a publicly-available interface but with PG&amp;E preserving ownership over the original source code to be an acceptable interpretation of the Commission’s directive in I.19-06-015, while also addressing </w:t>
      </w:r>
      <w:r w:rsidR="00D5355E">
        <w:t xml:space="preserve">cybersecurity risk </w:t>
      </w:r>
      <w:r>
        <w:t xml:space="preserve">concerns, provided that PG&amp;E shares the design of the mobile app and relevant </w:t>
      </w:r>
      <w:r w:rsidR="007E6975">
        <w:t xml:space="preserve">non-confidential </w:t>
      </w:r>
      <w:r>
        <w:t>materials with others upon request</w:t>
      </w:r>
      <w:r w:rsidR="00F23DE7">
        <w:t>, unless PG&amp;E purchases a commercially available app and</w:t>
      </w:r>
      <w:r w:rsidR="00787D21">
        <w:t>, as a result,</w:t>
      </w:r>
      <w:r w:rsidR="00F23DE7">
        <w:t xml:space="preserve"> does not own the request</w:t>
      </w:r>
      <w:r w:rsidR="5476FA02">
        <w:t>ed</w:t>
      </w:r>
      <w:r w:rsidR="00F23DE7">
        <w:t xml:space="preserve"> materials</w:t>
      </w:r>
      <w:r>
        <w:t>.</w:t>
      </w:r>
      <w:r w:rsidR="00F23DE7">
        <w:t xml:space="preserve"> </w:t>
      </w:r>
      <w:r w:rsidR="31B9BB80">
        <w:t xml:space="preserve"> </w:t>
      </w:r>
      <w:r w:rsidR="00F23DE7">
        <w:t>In which case, PG&amp;E is relieved of the obligation to share design information</w:t>
      </w:r>
      <w:r w:rsidR="00787D21">
        <w:t xml:space="preserve"> and source code</w:t>
      </w:r>
      <w:r w:rsidR="00F23DE7">
        <w:t xml:space="preserve"> if PG&amp;E is not authorized to do so under any purchase agreement.</w:t>
      </w:r>
    </w:p>
    <w:p w:rsidR="00B93346" w:rsidP="009C147C" w:rsidRDefault="00B93346" w14:paraId="7411A77B" w14:textId="42E96095">
      <w:pPr>
        <w:pStyle w:val="Heading2"/>
        <w:numPr>
          <w:ilvl w:val="1"/>
          <w:numId w:val="61"/>
        </w:numPr>
        <w:spacing w:after="0" w:line="360" w:lineRule="auto"/>
        <w:ind w:left="1440"/>
      </w:pPr>
      <w:bookmarkStart w:name="_Toc52866544" w:id="55"/>
      <w:r>
        <w:lastRenderedPageBreak/>
        <w:t xml:space="preserve">Within 30 </w:t>
      </w:r>
      <w:r w:rsidR="00656A72">
        <w:t>D</w:t>
      </w:r>
      <w:r>
        <w:t>ays - Posting of Information</w:t>
      </w:r>
      <w:bookmarkEnd w:id="55"/>
    </w:p>
    <w:p w:rsidR="002C2BF2" w:rsidP="0087100E" w:rsidRDefault="00766B3C" w14:paraId="65EA6B5B" w14:textId="513BDF8A">
      <w:pPr>
        <w:pStyle w:val="Standard"/>
      </w:pPr>
      <w:r>
        <w:t>The Commission in I.19-06-015 included certain actions that PG&amp;E must take when PG&amp;E receives photos from</w:t>
      </w:r>
      <w:r w:rsidR="009C07E1">
        <w:t xml:space="preserve"> customers using </w:t>
      </w:r>
      <w:r w:rsidR="00863770">
        <w:t xml:space="preserve">the mobile app </w:t>
      </w:r>
      <w:r w:rsidR="009C07E1">
        <w:t>to report</w:t>
      </w:r>
      <w:r w:rsidR="0081674F">
        <w:t xml:space="preserve"> safety </w:t>
      </w:r>
      <w:r w:rsidR="00863770">
        <w:t xml:space="preserve">concerns. </w:t>
      </w:r>
      <w:r w:rsidR="009C147C">
        <w:t xml:space="preserve"> </w:t>
      </w:r>
      <w:r w:rsidR="000D6EC9">
        <w:t>T</w:t>
      </w:r>
      <w:r w:rsidR="00AA52A6">
        <w:t>he Commission state</w:t>
      </w:r>
      <w:r w:rsidR="00685F8A">
        <w:t>d</w:t>
      </w:r>
      <w:r w:rsidR="00AA52A6">
        <w:t xml:space="preserve"> in </w:t>
      </w:r>
      <w:r w:rsidRPr="002C2BF2" w:rsidR="002C2BF2">
        <w:t>I.19-06-015</w:t>
      </w:r>
      <w:r w:rsidR="002C2BF2">
        <w:t xml:space="preserve"> that </w:t>
      </w:r>
      <w:r w:rsidR="00464FD4">
        <w:t>“</w:t>
      </w:r>
      <w:bookmarkStart w:name="_Hlk47430923" w:id="56"/>
      <w:r w:rsidRPr="00464FD4" w:rsidR="00464FD4">
        <w:t xml:space="preserve">PG&amp;E shall also provide the following information for each photo received through the mobile app: </w:t>
      </w:r>
      <w:r w:rsidR="009C147C">
        <w:t xml:space="preserve"> </w:t>
      </w:r>
      <w:r w:rsidRPr="00464FD4" w:rsidR="00464FD4">
        <w:t>1) whether the photo identifies a problem;</w:t>
      </w:r>
      <w:r w:rsidR="009C147C">
        <w:t xml:space="preserve"> </w:t>
      </w:r>
      <w:r w:rsidRPr="00464FD4" w:rsidR="00464FD4">
        <w:t xml:space="preserve"> 2) whether the problem presents a safety concern or is a violation of safety regulations; </w:t>
      </w:r>
      <w:r w:rsidR="009C147C">
        <w:t xml:space="preserve"> </w:t>
      </w:r>
      <w:r w:rsidRPr="00464FD4" w:rsidR="00464FD4">
        <w:t>3) PG&amp;E actions to remedy the matter; and 4) when the remedial action was or will be taken.</w:t>
      </w:r>
      <w:r w:rsidR="009C147C">
        <w:t xml:space="preserve"> </w:t>
      </w:r>
      <w:r w:rsidRPr="00464FD4" w:rsidR="00464FD4">
        <w:t xml:space="preserve"> This information shall be posted into the asset management database </w:t>
      </w:r>
      <w:r w:rsidRPr="00464FD4" w:rsidR="00464FD4">
        <w:rPr>
          <w:b/>
          <w:bCs/>
        </w:rPr>
        <w:t>within 30 days</w:t>
      </w:r>
      <w:r w:rsidRPr="00464FD4" w:rsidR="00464FD4">
        <w:t xml:space="preserve"> of receipt of the photo through the mobile app</w:t>
      </w:r>
      <w:bookmarkEnd w:id="56"/>
      <w:r w:rsidR="00464FD4">
        <w:t>.”</w:t>
      </w:r>
      <w:r w:rsidR="00464FD4">
        <w:rPr>
          <w:rStyle w:val="FootnoteReference"/>
        </w:rPr>
        <w:footnoteReference w:id="49"/>
      </w:r>
    </w:p>
    <w:p w:rsidR="00464FD4" w:rsidP="0087100E" w:rsidRDefault="002C2BF2" w14:paraId="4A40F2C5" w14:textId="42FBF531">
      <w:pPr>
        <w:pStyle w:val="Standard"/>
      </w:pPr>
      <w:r>
        <w:t>PG&amp;E commit</w:t>
      </w:r>
      <w:r w:rsidR="00D5355E">
        <w:t>s</w:t>
      </w:r>
      <w:r>
        <w:t xml:space="preserve"> to</w:t>
      </w:r>
      <w:r w:rsidR="00B347FF">
        <w:t>,</w:t>
      </w:r>
      <w:r>
        <w:t xml:space="preserve"> </w:t>
      </w:r>
      <w:r w:rsidR="0055188C">
        <w:t xml:space="preserve">within 30 days of the </w:t>
      </w:r>
      <w:r w:rsidR="00AB5E86">
        <w:t xml:space="preserve">safety </w:t>
      </w:r>
      <w:r w:rsidR="0055188C">
        <w:t>issue being reported</w:t>
      </w:r>
      <w:r w:rsidR="00071E20">
        <w:t xml:space="preserve">, </w:t>
      </w:r>
      <w:r w:rsidR="00103E6E">
        <w:t xml:space="preserve">uploading </w:t>
      </w:r>
      <w:r w:rsidR="00071E20">
        <w:t>information received through the mobile app</w:t>
      </w:r>
      <w:r w:rsidR="00B93346">
        <w:t xml:space="preserve"> </w:t>
      </w:r>
      <w:r w:rsidR="00103E6E">
        <w:t xml:space="preserve">to a secure database (discussed below at </w:t>
      </w:r>
      <w:r w:rsidR="0098218B">
        <w:t>Section</w:t>
      </w:r>
      <w:r w:rsidR="00103E6E">
        <w:t>. 1.7)</w:t>
      </w:r>
      <w:r w:rsidR="00B93346">
        <w:t xml:space="preserve"> </w:t>
      </w:r>
      <w:r w:rsidR="00071E20">
        <w:t>including photos and location details</w:t>
      </w:r>
      <w:r w:rsidR="00153CC4">
        <w:t xml:space="preserve"> of the compromised utility</w:t>
      </w:r>
      <w:r w:rsidR="00E32BF8">
        <w:t xml:space="preserve"> electric</w:t>
      </w:r>
      <w:r w:rsidR="00153CC4">
        <w:t xml:space="preserve"> infrastructure</w:t>
      </w:r>
      <w:r w:rsidR="00071E20">
        <w:t xml:space="preserve">, </w:t>
      </w:r>
      <w:r w:rsidR="00B93346">
        <w:t>as</w:t>
      </w:r>
      <w:r w:rsidR="00071E20">
        <w:t xml:space="preserve"> well as status, e.g., whether the reported </w:t>
      </w:r>
      <w:r w:rsidR="00AB5E86">
        <w:t xml:space="preserve">safety </w:t>
      </w:r>
      <w:r w:rsidR="00071E20">
        <w:t xml:space="preserve">issue identified a problem and how </w:t>
      </w:r>
      <w:r w:rsidR="00AB5E86">
        <w:t xml:space="preserve">PG&amp;E has or will resolve </w:t>
      </w:r>
      <w:r w:rsidR="00071E20">
        <w:t xml:space="preserve">the </w:t>
      </w:r>
      <w:r w:rsidR="007E6975">
        <w:t>problem</w:t>
      </w:r>
      <w:r w:rsidR="00757B45">
        <w:t>.</w:t>
      </w:r>
    </w:p>
    <w:p w:rsidR="00501A84" w:rsidP="0087100E" w:rsidRDefault="00863770" w14:paraId="0836BC7D" w14:textId="77777777">
      <w:pPr>
        <w:pStyle w:val="Standard"/>
      </w:pPr>
      <w:r>
        <w:t xml:space="preserve">No parties contest this aspect of PG&amp;E’s proposal. </w:t>
      </w:r>
    </w:p>
    <w:p w:rsidR="00447D43" w:rsidP="0098046D" w:rsidRDefault="00EB0E44" w14:paraId="3FFE8487" w14:textId="5DF3667A">
      <w:pPr>
        <w:pStyle w:val="Standard"/>
      </w:pPr>
      <w:r>
        <w:t xml:space="preserve">Accordingly, </w:t>
      </w:r>
      <w:r w:rsidR="00501A84">
        <w:t xml:space="preserve">we find </w:t>
      </w:r>
      <w:r>
        <w:t>this element of</w:t>
      </w:r>
      <w:r w:rsidR="00863770">
        <w:t xml:space="preserve"> </w:t>
      </w:r>
      <w:r w:rsidR="00FC0801">
        <w:t>PG&amp;E</w:t>
      </w:r>
      <w:r>
        <w:t>’s proposal</w:t>
      </w:r>
      <w:r w:rsidR="00501A84">
        <w:t xml:space="preserve"> </w:t>
      </w:r>
      <w:r>
        <w:t>to be</w:t>
      </w:r>
      <w:r w:rsidR="00B93346">
        <w:t xml:space="preserve"> in </w:t>
      </w:r>
      <w:r w:rsidR="00FC0801">
        <w:t xml:space="preserve">compliance with </w:t>
      </w:r>
      <w:r w:rsidR="0064704B">
        <w:t>I.19-06-015</w:t>
      </w:r>
      <w:r w:rsidR="00C931C1">
        <w:t xml:space="preserve"> provided that PG&amp;E uploads the information to the asset management</w:t>
      </w:r>
      <w:r w:rsidR="00D5355E">
        <w:t xml:space="preserve"> </w:t>
      </w:r>
      <w:r w:rsidR="00C931C1">
        <w:t xml:space="preserve">database </w:t>
      </w:r>
      <w:r w:rsidR="00A04B5B">
        <w:t>and make</w:t>
      </w:r>
      <w:r w:rsidR="002769EC">
        <w:t>s</w:t>
      </w:r>
      <w:r w:rsidR="00A04B5B">
        <w:t xml:space="preserve"> this information</w:t>
      </w:r>
      <w:r w:rsidR="00C931C1">
        <w:t xml:space="preserve"> publicly-</w:t>
      </w:r>
      <w:r w:rsidR="00A04B5B">
        <w:t>available on its website</w:t>
      </w:r>
      <w:r w:rsidR="00CE305B">
        <w:t xml:space="preserve"> and mobile app</w:t>
      </w:r>
      <w:r w:rsidR="00D5355E">
        <w:t>, as further addressed in Section 1.7, below.</w:t>
      </w:r>
      <w:r w:rsidR="00DE6820">
        <w:t xml:space="preserve">  Any information deemed confidential, such as certain customer information, under Commission directives or laws</w:t>
      </w:r>
      <w:r w:rsidR="103E359E">
        <w:t xml:space="preserve"> </w:t>
      </w:r>
      <w:r w:rsidR="00DE6820">
        <w:t xml:space="preserve">shall not be disclosed. </w:t>
      </w:r>
      <w:bookmarkStart w:name="_Hlk33516122" w:id="57"/>
      <w:bookmarkEnd w:id="57"/>
    </w:p>
    <w:p w:rsidR="00DD517A" w:rsidP="009C147C" w:rsidRDefault="001028C0" w14:paraId="00395D81" w14:textId="0247400B">
      <w:pPr>
        <w:pStyle w:val="Heading2"/>
        <w:numPr>
          <w:ilvl w:val="1"/>
          <w:numId w:val="61"/>
        </w:numPr>
        <w:ind w:left="1440" w:right="1728"/>
      </w:pPr>
      <w:bookmarkStart w:name="_Toc52866545" w:id="58"/>
      <w:r w:rsidRPr="008A01BB">
        <w:lastRenderedPageBreak/>
        <w:t>Asset Management</w:t>
      </w:r>
      <w:r w:rsidR="00D5355E">
        <w:t xml:space="preserve"> </w:t>
      </w:r>
      <w:r w:rsidRPr="008A01BB">
        <w:t>Database</w:t>
      </w:r>
      <w:r w:rsidR="00C953A9">
        <w:t xml:space="preserve"> and</w:t>
      </w:r>
      <w:r>
        <w:t xml:space="preserve"> </w:t>
      </w:r>
      <w:r w:rsidR="009C147C">
        <w:br/>
      </w:r>
      <w:proofErr w:type="gramStart"/>
      <w:r w:rsidR="002B5FF0">
        <w:t>Publicly-</w:t>
      </w:r>
      <w:r w:rsidR="0098218B">
        <w:t>A</w:t>
      </w:r>
      <w:r w:rsidR="002B5FF0">
        <w:t>vailable</w:t>
      </w:r>
      <w:proofErr w:type="gramEnd"/>
      <w:r w:rsidR="00D5355E">
        <w:t xml:space="preserve"> </w:t>
      </w:r>
      <w:r w:rsidR="00DD517A">
        <w:t>Information</w:t>
      </w:r>
      <w:bookmarkEnd w:id="58"/>
    </w:p>
    <w:p w:rsidR="00BC11BE" w:rsidP="0087100E" w:rsidRDefault="00AA52A6" w14:paraId="395B2CE8" w14:textId="2381F1AE">
      <w:pPr>
        <w:pStyle w:val="Standard"/>
      </w:pPr>
      <w:bookmarkStart w:name="_Hlk40357727" w:id="59"/>
      <w:r>
        <w:t>The Commission state</w:t>
      </w:r>
      <w:r w:rsidR="00745434">
        <w:t>d</w:t>
      </w:r>
      <w:r>
        <w:t xml:space="preserve"> in </w:t>
      </w:r>
      <w:r w:rsidRPr="0064704B" w:rsidR="0064704B">
        <w:t>I.</w:t>
      </w:r>
      <w:bookmarkStart w:name="_Hlk34819753" w:id="60"/>
      <w:r w:rsidRPr="0064704B" w:rsidR="0064704B">
        <w:t>19-06-015</w:t>
      </w:r>
      <w:r w:rsidR="0064704B">
        <w:t xml:space="preserve"> </w:t>
      </w:r>
      <w:bookmarkEnd w:id="60"/>
      <w:r w:rsidR="00DD517A">
        <w:t xml:space="preserve">that PG&amp;E should create an </w:t>
      </w:r>
      <w:bookmarkStart w:name="_Hlk38618109" w:id="61"/>
      <w:r w:rsidR="00DD517A">
        <w:t>“asset management</w:t>
      </w:r>
      <w:r w:rsidR="00D5355E">
        <w:t xml:space="preserve"> </w:t>
      </w:r>
      <w:r w:rsidR="00DD517A">
        <w:t xml:space="preserve">database” </w:t>
      </w:r>
      <w:bookmarkEnd w:id="61"/>
      <w:r w:rsidR="00DD517A">
        <w:t>and make submittals “</w:t>
      </w:r>
      <w:r w:rsidR="00DE61F1">
        <w:t xml:space="preserve">accessible </w:t>
      </w:r>
      <w:r w:rsidR="00DD517A">
        <w:t>to the general public.”</w:t>
      </w:r>
      <w:r w:rsidR="00DD517A">
        <w:rPr>
          <w:rStyle w:val="FootnoteReference"/>
        </w:rPr>
        <w:footnoteReference w:id="50"/>
      </w:r>
      <w:r w:rsidR="00DD517A">
        <w:t xml:space="preserve">   </w:t>
      </w:r>
    </w:p>
    <w:p w:rsidRPr="008A01BB" w:rsidR="001028C0" w:rsidP="0087100E" w:rsidRDefault="00DD517A" w14:paraId="7B764043" w14:textId="424FC925">
      <w:pPr>
        <w:pStyle w:val="Standard"/>
      </w:pPr>
      <w:bookmarkStart w:name="_Hlk45547697" w:id="62"/>
      <w:bookmarkStart w:name="_Hlk41911655" w:id="63"/>
      <w:bookmarkEnd w:id="59"/>
      <w:r w:rsidRPr="00C953A9">
        <w:t xml:space="preserve">PG&amp;E </w:t>
      </w:r>
      <w:r w:rsidRPr="00C953A9" w:rsidR="00BC11BE">
        <w:t>responds</w:t>
      </w:r>
      <w:r w:rsidRPr="00C953A9" w:rsidR="00AA52A6">
        <w:t xml:space="preserve"> that it </w:t>
      </w:r>
      <w:r w:rsidRPr="00C953A9">
        <w:t xml:space="preserve">will store the following information within </w:t>
      </w:r>
      <w:r w:rsidRPr="008A01BB" w:rsidR="00C953A9">
        <w:t>a proposed</w:t>
      </w:r>
      <w:r w:rsidRPr="00C953A9">
        <w:t xml:space="preserve"> </w:t>
      </w:r>
      <w:r w:rsidRPr="00C953A9" w:rsidR="00C953A9">
        <w:t>asset management</w:t>
      </w:r>
      <w:r w:rsidR="00D5355E">
        <w:t xml:space="preserve"> </w:t>
      </w:r>
      <w:r w:rsidRPr="00C953A9">
        <w:t xml:space="preserve">database associated with each valid report or photo received from the public: </w:t>
      </w:r>
    </w:p>
    <w:p w:rsidRPr="00D93E31" w:rsidR="001028C0" w:rsidP="009C3EA9" w:rsidRDefault="00C953A9" w14:paraId="5CEBF308" w14:textId="01ACE3A9">
      <w:pPr>
        <w:pStyle w:val="ListAlpha"/>
        <w:numPr>
          <w:ilvl w:val="7"/>
          <w:numId w:val="62"/>
        </w:numPr>
        <w:ind w:right="1440"/>
      </w:pPr>
      <w:r>
        <w:t>W</w:t>
      </w:r>
      <w:r w:rsidRPr="00C953A9" w:rsidR="00DD517A">
        <w:t xml:space="preserve">hether the photo identifies a </w:t>
      </w:r>
      <w:proofErr w:type="gramStart"/>
      <w:r w:rsidRPr="00C953A9" w:rsidR="00DD517A">
        <w:t>problem;</w:t>
      </w:r>
      <w:proofErr w:type="gramEnd"/>
      <w:r w:rsidRPr="00C953A9" w:rsidR="00DD517A">
        <w:t xml:space="preserve"> </w:t>
      </w:r>
    </w:p>
    <w:p w:rsidRPr="008A01BB" w:rsidR="001028C0" w:rsidP="009C3EA9" w:rsidRDefault="00C953A9" w14:paraId="7CE22A75" w14:textId="51F656C4">
      <w:pPr>
        <w:pStyle w:val="ListAlpha"/>
        <w:numPr>
          <w:ilvl w:val="7"/>
          <w:numId w:val="62"/>
        </w:numPr>
        <w:ind w:right="1440"/>
      </w:pPr>
      <w:r>
        <w:t>W</w:t>
      </w:r>
      <w:r w:rsidRPr="006D0F92">
        <w:t xml:space="preserve">hether </w:t>
      </w:r>
      <w:r w:rsidRPr="00C953A9" w:rsidR="00DD517A">
        <w:t xml:space="preserve">the problem presents a safety concern or is a violation of </w:t>
      </w:r>
      <w:r>
        <w:t xml:space="preserve">a </w:t>
      </w:r>
      <w:r w:rsidRPr="006D0F92" w:rsidR="00DD517A">
        <w:t xml:space="preserve">safety </w:t>
      </w:r>
      <w:proofErr w:type="gramStart"/>
      <w:r w:rsidRPr="006D0F92" w:rsidR="00DD517A">
        <w:t>regulation;</w:t>
      </w:r>
      <w:proofErr w:type="gramEnd"/>
      <w:r w:rsidRPr="006D0F92" w:rsidR="00DD517A">
        <w:t xml:space="preserve"> </w:t>
      </w:r>
    </w:p>
    <w:p w:rsidRPr="008A01BB" w:rsidR="001028C0" w:rsidP="009C3EA9" w:rsidRDefault="00DD517A" w14:paraId="5C09BC38" w14:textId="427A389F">
      <w:pPr>
        <w:pStyle w:val="ListAlpha"/>
        <w:numPr>
          <w:ilvl w:val="7"/>
          <w:numId w:val="62"/>
        </w:numPr>
        <w:ind w:right="1440"/>
      </w:pPr>
      <w:r w:rsidRPr="00C953A9">
        <w:t>PG&amp;E</w:t>
      </w:r>
      <w:r w:rsidRPr="00C953A9" w:rsidR="004C50D6">
        <w:t>’s</w:t>
      </w:r>
      <w:r w:rsidRPr="00C953A9">
        <w:t xml:space="preserve"> actions to remedy the matter; and </w:t>
      </w:r>
    </w:p>
    <w:p w:rsidR="001028C0" w:rsidP="009C3EA9" w:rsidRDefault="00C953A9" w14:paraId="553B6786" w14:textId="28B40DB1">
      <w:pPr>
        <w:pStyle w:val="ListAlpha"/>
        <w:numPr>
          <w:ilvl w:val="7"/>
          <w:numId w:val="62"/>
        </w:numPr>
        <w:ind w:right="1440"/>
      </w:pPr>
      <w:r>
        <w:t>W</w:t>
      </w:r>
      <w:r w:rsidRPr="00C953A9" w:rsidR="00DD517A">
        <w:t>hen the remedial action was or will be taken.</w:t>
      </w:r>
      <w:r w:rsidRPr="006D0F92" w:rsidR="00AA52A6">
        <w:rPr>
          <w:rStyle w:val="FootnoteReference"/>
        </w:rPr>
        <w:footnoteReference w:id="51"/>
      </w:r>
      <w:r w:rsidRPr="006D0F92" w:rsidR="00DD517A">
        <w:t xml:space="preserve">  </w:t>
      </w:r>
    </w:p>
    <w:bookmarkEnd w:id="62"/>
    <w:p w:rsidRPr="00130350" w:rsidR="00C953A9" w:rsidP="00972624" w:rsidRDefault="005F68AB" w14:paraId="1B38F418" w14:textId="1737B207">
      <w:pPr>
        <w:pStyle w:val="Standard"/>
        <w:spacing w:before="240"/>
      </w:pPr>
      <w:r>
        <w:t>We find PG&amp;E’s description of its proposed asset management</w:t>
      </w:r>
      <w:r w:rsidR="00757B45">
        <w:t xml:space="preserve"> </w:t>
      </w:r>
      <w:r>
        <w:t xml:space="preserve">database generally adequate, and approve it with </w:t>
      </w:r>
      <w:r w:rsidR="00D85420">
        <w:t>the</w:t>
      </w:r>
      <w:r>
        <w:t xml:space="preserve"> provision that any and all data deemed invalid and/or rejected</w:t>
      </w:r>
      <w:r w:rsidR="00245098">
        <w:t xml:space="preserve"> (including </w:t>
      </w:r>
      <w:r w:rsidR="00F91BC4">
        <w:t>submittals</w:t>
      </w:r>
      <w:r w:rsidR="00245098">
        <w:t xml:space="preserve"> deemed emergenc</w:t>
      </w:r>
      <w:r w:rsidR="00F91BC4">
        <w:t>ies</w:t>
      </w:r>
      <w:r w:rsidR="00245098">
        <w:t>)</w:t>
      </w:r>
      <w:r>
        <w:t xml:space="preserve"> </w:t>
      </w:r>
      <w:r w:rsidR="008A01BB">
        <w:t xml:space="preserve">shall </w:t>
      </w:r>
      <w:r>
        <w:t xml:space="preserve">be preserved for a period of four years from the </w:t>
      </w:r>
      <w:r w:rsidR="00DA264D">
        <w:t xml:space="preserve">launch </w:t>
      </w:r>
      <w:r>
        <w:t>date</w:t>
      </w:r>
      <w:r w:rsidR="00636466">
        <w:rPr>
          <w:rStyle w:val="FootnoteReference"/>
        </w:rPr>
        <w:footnoteReference w:id="52"/>
      </w:r>
      <w:r w:rsidR="00DA264D">
        <w:t xml:space="preserve"> of</w:t>
      </w:r>
      <w:r>
        <w:t xml:space="preserve"> the pilot program for potential </w:t>
      </w:r>
      <w:r w:rsidR="008A01BB">
        <w:t xml:space="preserve">Commission </w:t>
      </w:r>
      <w:r>
        <w:t>evaluation purposes.</w:t>
      </w:r>
      <w:r w:rsidR="005F638C">
        <w:t xml:space="preserve">  </w:t>
      </w:r>
      <w:bookmarkStart w:name="_Hlk45535931" w:id="64"/>
      <w:r w:rsidR="005F638C">
        <w:t xml:space="preserve">We </w:t>
      </w:r>
      <w:r w:rsidR="00DA264D">
        <w:t xml:space="preserve">also </w:t>
      </w:r>
      <w:r w:rsidR="005F638C">
        <w:t>require that PG&amp;E</w:t>
      </w:r>
      <w:r w:rsidR="00636466">
        <w:t xml:space="preserve"> </w:t>
      </w:r>
      <w:r w:rsidR="005F638C">
        <w:t>include the G</w:t>
      </w:r>
      <w:r w:rsidR="00C3700C">
        <w:t>P</w:t>
      </w:r>
      <w:r w:rsidR="005F638C">
        <w:t xml:space="preserve">S coordinates of </w:t>
      </w:r>
      <w:r w:rsidR="00757B45">
        <w:t>any</w:t>
      </w:r>
      <w:r w:rsidR="005F638C">
        <w:t xml:space="preserve"> reported asset in its asset management</w:t>
      </w:r>
      <w:r w:rsidR="00D5355E">
        <w:t xml:space="preserve"> </w:t>
      </w:r>
      <w:r w:rsidR="005F638C">
        <w:t>database.</w:t>
      </w:r>
      <w:r w:rsidR="003914A7">
        <w:rPr>
          <w:rStyle w:val="FootnoteReference"/>
        </w:rPr>
        <w:footnoteReference w:id="53"/>
      </w:r>
      <w:r w:rsidR="00BD167F">
        <w:t xml:space="preserve">  PG&amp;E may add additional information</w:t>
      </w:r>
      <w:r w:rsidR="00D94550">
        <w:t xml:space="preserve"> to its asset management</w:t>
      </w:r>
      <w:r w:rsidR="00D5355E">
        <w:t xml:space="preserve"> </w:t>
      </w:r>
      <w:r w:rsidR="00D94550">
        <w:t>database</w:t>
      </w:r>
      <w:r w:rsidR="00BD167F">
        <w:t xml:space="preserve"> fields without </w:t>
      </w:r>
      <w:r w:rsidR="002447B1">
        <w:t xml:space="preserve">prior </w:t>
      </w:r>
      <w:r w:rsidR="00BD167F">
        <w:t>C</w:t>
      </w:r>
      <w:r w:rsidR="00F64F48">
        <w:t>ommission</w:t>
      </w:r>
      <w:r w:rsidR="00BD167F">
        <w:t xml:space="preserve"> approval.</w:t>
      </w:r>
      <w:r w:rsidR="00130350">
        <w:t xml:space="preserve"> </w:t>
      </w:r>
    </w:p>
    <w:p w:rsidRPr="00834011" w:rsidR="00834011" w:rsidP="00972624" w:rsidRDefault="005F68AB" w14:paraId="1123D183" w14:textId="67912E5A">
      <w:pPr>
        <w:pStyle w:val="Standard"/>
      </w:pPr>
      <w:bookmarkStart w:name="_Hlk42682499" w:id="65"/>
      <w:bookmarkEnd w:id="64"/>
      <w:r w:rsidRPr="00130350">
        <w:lastRenderedPageBreak/>
        <w:t>We now turn to</w:t>
      </w:r>
      <w:r w:rsidRPr="00130350" w:rsidR="00245098">
        <w:t xml:space="preserve"> the </w:t>
      </w:r>
      <w:r w:rsidRPr="00130350" w:rsidR="006E4509">
        <w:t>important elemen</w:t>
      </w:r>
      <w:r w:rsidRPr="00130350" w:rsidR="005F463E">
        <w:t xml:space="preserve">t of public access to </w:t>
      </w:r>
      <w:r w:rsidR="00D94550">
        <w:t xml:space="preserve">the </w:t>
      </w:r>
      <w:r w:rsidRPr="00130350" w:rsidR="005F463E">
        <w:t xml:space="preserve">data generated </w:t>
      </w:r>
      <w:proofErr w:type="gramStart"/>
      <w:r w:rsidRPr="00130350" w:rsidR="005F463E">
        <w:t>in t</w:t>
      </w:r>
      <w:r w:rsidR="005F463E">
        <w:t>he course of</w:t>
      </w:r>
      <w:proofErr w:type="gramEnd"/>
      <w:r w:rsidR="005F463E">
        <w:t xml:space="preserve"> PG&amp;E’s mobile app pilot operations. </w:t>
      </w:r>
      <w:r w:rsidR="009C3EA9">
        <w:t xml:space="preserve"> </w:t>
      </w:r>
      <w:r>
        <w:t>PG&amp;E’s proposed protocols</w:t>
      </w:r>
      <w:r w:rsidR="00245098">
        <w:t xml:space="preserve"> will make available</w:t>
      </w:r>
      <w:r>
        <w:t xml:space="preserve"> information generated </w:t>
      </w:r>
      <w:proofErr w:type="gramStart"/>
      <w:r>
        <w:t>as a result of</w:t>
      </w:r>
      <w:proofErr w:type="gramEnd"/>
      <w:r>
        <w:t xml:space="preserve"> its mobile app pilot to the</w:t>
      </w:r>
      <w:r w:rsidR="00245098">
        <w:t xml:space="preserve"> </w:t>
      </w:r>
      <w:r w:rsidR="00834011">
        <w:t xml:space="preserve">submitter </w:t>
      </w:r>
      <w:r w:rsidR="005F463E">
        <w:t xml:space="preserve">only, </w:t>
      </w:r>
      <w:r w:rsidR="00834011">
        <w:t xml:space="preserve">and </w:t>
      </w:r>
      <w:r w:rsidR="005F463E">
        <w:t xml:space="preserve">not </w:t>
      </w:r>
      <w:r w:rsidR="00834011">
        <w:t>the</w:t>
      </w:r>
      <w:r>
        <w:t xml:space="preserve"> </w:t>
      </w:r>
      <w:r w:rsidR="005F463E">
        <w:t xml:space="preserve">general </w:t>
      </w:r>
      <w:r>
        <w:t>public.</w:t>
      </w:r>
      <w:r w:rsidR="005F463E">
        <w:t xml:space="preserve"> </w:t>
      </w:r>
      <w:bookmarkEnd w:id="65"/>
      <w:r w:rsidR="009C3EA9">
        <w:t xml:space="preserve"> </w:t>
      </w:r>
      <w:r w:rsidR="005F463E">
        <w:t>As discussed above,</w:t>
      </w:r>
      <w:r>
        <w:t xml:space="preserve"> PG&amp;E indicates that </w:t>
      </w:r>
      <w:r w:rsidR="00245098">
        <w:t xml:space="preserve">all information generated </w:t>
      </w:r>
      <w:proofErr w:type="gramStart"/>
      <w:r w:rsidR="00245098">
        <w:t>as a result of</w:t>
      </w:r>
      <w:proofErr w:type="gramEnd"/>
      <w:r w:rsidR="00245098">
        <w:t xml:space="preserve"> its mobile app</w:t>
      </w:r>
      <w:r w:rsidRPr="00C953A9" w:rsidR="00DD517A">
        <w:t xml:space="preserve"> will be </w:t>
      </w:r>
      <w:r w:rsidR="005F463E">
        <w:t>safeguar</w:t>
      </w:r>
      <w:r w:rsidR="00801CD4">
        <w:t>d</w:t>
      </w:r>
      <w:r w:rsidR="005F463E">
        <w:t xml:space="preserve">ed </w:t>
      </w:r>
      <w:r w:rsidRPr="00C953A9" w:rsidR="00DD517A">
        <w:t xml:space="preserve">in </w:t>
      </w:r>
      <w:r w:rsidR="00F530F7">
        <w:t>an asset</w:t>
      </w:r>
      <w:r w:rsidRPr="00C953A9" w:rsidR="00DD517A">
        <w:t xml:space="preserve"> management</w:t>
      </w:r>
      <w:r w:rsidR="00757B45">
        <w:t xml:space="preserve"> </w:t>
      </w:r>
      <w:r w:rsidRPr="006D0F92" w:rsidR="00DD517A">
        <w:t>database</w:t>
      </w:r>
      <w:r w:rsidR="005F463E">
        <w:t>.</w:t>
      </w:r>
      <w:bookmarkEnd w:id="63"/>
      <w:r w:rsidR="005F463E">
        <w:t xml:space="preserve"> </w:t>
      </w:r>
      <w:r w:rsidR="009C3EA9">
        <w:t xml:space="preserve"> </w:t>
      </w:r>
      <w:r w:rsidRPr="00834011" w:rsidR="00834011">
        <w:t xml:space="preserve">PG&amp;E </w:t>
      </w:r>
      <w:r w:rsidR="005F463E">
        <w:t>specifies</w:t>
      </w:r>
      <w:r w:rsidRPr="00834011" w:rsidR="00834011">
        <w:t xml:space="preserve"> that it does not intend, within the</w:t>
      </w:r>
      <w:r w:rsidR="007E6975">
        <w:t xml:space="preserve"> </w:t>
      </w:r>
      <w:r w:rsidRPr="00834011" w:rsidR="00834011">
        <w:t xml:space="preserve">pilot phase, to provide for public access to submitted </w:t>
      </w:r>
      <w:r w:rsidR="00D3399F">
        <w:t xml:space="preserve">safety </w:t>
      </w:r>
      <w:r w:rsidRPr="00834011" w:rsidR="00834011">
        <w:t xml:space="preserve">reports. </w:t>
      </w:r>
      <w:r w:rsidR="009C3EA9">
        <w:t xml:space="preserve"> </w:t>
      </w:r>
      <w:r w:rsidRPr="00834011" w:rsidR="00834011">
        <w:t xml:space="preserve">PG&amp;E </w:t>
      </w:r>
      <w:r w:rsidR="006E4509">
        <w:t xml:space="preserve">seeks to </w:t>
      </w:r>
      <w:r w:rsidRPr="00834011" w:rsidR="00834011">
        <w:t>justif</w:t>
      </w:r>
      <w:r w:rsidR="006E4509">
        <w:t>y</w:t>
      </w:r>
      <w:r w:rsidRPr="00834011" w:rsidR="00834011">
        <w:t xml:space="preserve"> this position by </w:t>
      </w:r>
      <w:r w:rsidR="008D429F">
        <w:t xml:space="preserve">noting that </w:t>
      </w:r>
      <w:r w:rsidRPr="00834011" w:rsidR="00834011">
        <w:t>defer</w:t>
      </w:r>
      <w:r w:rsidR="008D429F">
        <w:t>ring</w:t>
      </w:r>
      <w:r w:rsidRPr="00834011" w:rsidR="00834011">
        <w:t xml:space="preserve"> this requirement </w:t>
      </w:r>
      <w:r w:rsidR="00245098">
        <w:t>during</w:t>
      </w:r>
      <w:r w:rsidRPr="00834011" w:rsidR="00834011">
        <w:t xml:space="preserve"> the pilot phase</w:t>
      </w:r>
      <w:r w:rsidR="008D429F">
        <w:t xml:space="preserve"> might</w:t>
      </w:r>
      <w:r w:rsidRPr="00834011" w:rsidR="00834011">
        <w:t xml:space="preserve"> lessen the complexity of the task at hand</w:t>
      </w:r>
      <w:r w:rsidR="00153CC4">
        <w:t>.</w:t>
      </w:r>
      <w:r w:rsidR="008D429F">
        <w:t xml:space="preserve"> </w:t>
      </w:r>
      <w:r w:rsidR="009C3EA9">
        <w:t xml:space="preserve"> </w:t>
      </w:r>
      <w:r w:rsidR="00153CC4">
        <w:t xml:space="preserve">Instead, </w:t>
      </w:r>
      <w:r w:rsidR="008D429F">
        <w:t>PG&amp;E</w:t>
      </w:r>
      <w:r w:rsidRPr="00834011" w:rsidR="00834011">
        <w:t xml:space="preserve"> pledges to offer public access to submitted</w:t>
      </w:r>
      <w:r w:rsidR="00D3399F">
        <w:t xml:space="preserve"> safety</w:t>
      </w:r>
      <w:r w:rsidRPr="00834011" w:rsidR="00834011">
        <w:t xml:space="preserve"> reports and photos later</w:t>
      </w:r>
      <w:r w:rsidR="008D429F">
        <w:t>,</w:t>
      </w:r>
      <w:r w:rsidRPr="00834011" w:rsidR="00834011">
        <w:t xml:space="preserve"> should the</w:t>
      </w:r>
      <w:r w:rsidR="00D3399F">
        <w:t xml:space="preserve"> Commission adopt the</w:t>
      </w:r>
      <w:r w:rsidRPr="00834011" w:rsidR="00834011">
        <w:t xml:space="preserve"> pilot as a permanent program. </w:t>
      </w:r>
    </w:p>
    <w:p w:rsidR="00834011" w:rsidP="00972624" w:rsidRDefault="00447D43" w14:paraId="32E95C6A" w14:textId="0D2B4D89">
      <w:pPr>
        <w:pStyle w:val="Standard"/>
      </w:pPr>
      <w:r>
        <w:t>PG&amp;E further explains that t</w:t>
      </w:r>
      <w:r w:rsidR="00DD517A">
        <w:t xml:space="preserve">he </w:t>
      </w:r>
      <w:r w:rsidR="00D6444D">
        <w:t>report</w:t>
      </w:r>
      <w:r w:rsidR="00DD517A">
        <w:t xml:space="preserve"> submitter will </w:t>
      </w:r>
      <w:r w:rsidR="006E4509">
        <w:t xml:space="preserve">be kept well informed </w:t>
      </w:r>
      <w:r w:rsidR="00DD0BF8">
        <w:t xml:space="preserve">on the progress of PG&amp;E response to the safety report. </w:t>
      </w:r>
      <w:r w:rsidR="009C3EA9">
        <w:t xml:space="preserve"> </w:t>
      </w:r>
      <w:r w:rsidR="00A45E3A">
        <w:t xml:space="preserve">PG&amp;E proposes to </w:t>
      </w:r>
      <w:r w:rsidR="006E4509">
        <w:t xml:space="preserve">send the </w:t>
      </w:r>
      <w:r w:rsidR="00831875">
        <w:t>submitter</w:t>
      </w:r>
      <w:r w:rsidR="006E4509">
        <w:t xml:space="preserve"> one or more</w:t>
      </w:r>
      <w:r w:rsidR="00DD517A">
        <w:t xml:space="preserve"> notification</w:t>
      </w:r>
      <w:r w:rsidR="006E4509">
        <w:t>s</w:t>
      </w:r>
      <w:r w:rsidR="00DD517A">
        <w:t xml:space="preserve"> of the</w:t>
      </w:r>
      <w:r w:rsidR="00501A84">
        <w:t xml:space="preserve"> </w:t>
      </w:r>
      <w:r w:rsidR="00D3399F">
        <w:t xml:space="preserve">safety </w:t>
      </w:r>
      <w:r w:rsidR="00D6444D">
        <w:t>report</w:t>
      </w:r>
      <w:r w:rsidR="00501A84">
        <w:t xml:space="preserve">’s </w:t>
      </w:r>
      <w:r w:rsidR="00DD517A">
        <w:t xml:space="preserve">status as it moves through the internal work process. </w:t>
      </w:r>
      <w:r w:rsidR="009C3EA9">
        <w:t xml:space="preserve"> </w:t>
      </w:r>
      <w:r w:rsidR="00153CC4">
        <w:t>With</w:t>
      </w:r>
      <w:r w:rsidR="005F463E">
        <w:t xml:space="preserve"> the mobile app</w:t>
      </w:r>
      <w:r w:rsidR="00412305">
        <w:t xml:space="preserve">, </w:t>
      </w:r>
      <w:r w:rsidR="008D429F">
        <w:t xml:space="preserve">PG&amp;E explains, </w:t>
      </w:r>
      <w:r w:rsidR="00412305">
        <w:t xml:space="preserve">the </w:t>
      </w:r>
      <w:r w:rsidR="00D6444D">
        <w:t xml:space="preserve">report </w:t>
      </w:r>
      <w:r w:rsidR="00412305">
        <w:t>submitter will be able to see the</w:t>
      </w:r>
      <w:r w:rsidR="005F68AB">
        <w:t xml:space="preserve">ir </w:t>
      </w:r>
      <w:r w:rsidR="00412305">
        <w:t xml:space="preserve">submitted </w:t>
      </w:r>
      <w:r w:rsidR="00D3399F">
        <w:t xml:space="preserve">safety </w:t>
      </w:r>
      <w:r w:rsidR="005F68AB">
        <w:t xml:space="preserve">report and photo </w:t>
      </w:r>
      <w:r w:rsidR="00412305">
        <w:t xml:space="preserve">and track </w:t>
      </w:r>
      <w:r w:rsidR="005F68AB">
        <w:t>the</w:t>
      </w:r>
      <w:r w:rsidR="00DA264D">
        <w:t xml:space="preserve"> s</w:t>
      </w:r>
      <w:r w:rsidR="00D3399F">
        <w:t>afety report</w:t>
      </w:r>
      <w:r w:rsidR="005F68AB">
        <w:t>’s</w:t>
      </w:r>
      <w:r w:rsidR="00412305">
        <w:t xml:space="preserve"> status and resolution.</w:t>
      </w:r>
      <w:r w:rsidR="00412305">
        <w:rPr>
          <w:rStyle w:val="FootnoteReference"/>
        </w:rPr>
        <w:footnoteReference w:id="54"/>
      </w:r>
      <w:r w:rsidR="00412305">
        <w:t xml:space="preserve"> </w:t>
      </w:r>
      <w:r w:rsidR="00DD517A">
        <w:t xml:space="preserve"> </w:t>
      </w:r>
      <w:bookmarkStart w:name="_Hlk41993697" w:id="66"/>
    </w:p>
    <w:bookmarkEnd w:id="66"/>
    <w:p w:rsidR="008E19BA" w:rsidP="00972624" w:rsidRDefault="008E19BA" w14:paraId="5CE7C883" w14:textId="5E112C79">
      <w:pPr>
        <w:pStyle w:val="Standard"/>
      </w:pPr>
      <w:r>
        <w:t xml:space="preserve">BBIC urges the Commission to direct PG&amp;E to publicly post the </w:t>
      </w:r>
      <w:r w:rsidR="00D3399F">
        <w:t xml:space="preserve">submitted </w:t>
      </w:r>
      <w:r>
        <w:t>phot</w:t>
      </w:r>
      <w:r w:rsidR="006C4E5C">
        <w:t>o</w:t>
      </w:r>
      <w:r>
        <w:t>s</w:t>
      </w:r>
      <w:r w:rsidR="00C92093">
        <w:t>, its analysis of the</w:t>
      </w:r>
      <w:r w:rsidR="00D3399F">
        <w:t xml:space="preserve"> safety</w:t>
      </w:r>
      <w:r w:rsidR="00C92093">
        <w:t xml:space="preserve"> issue </w:t>
      </w:r>
      <w:r w:rsidR="008D429F">
        <w:t>reported,</w:t>
      </w:r>
      <w:r w:rsidR="00C92093">
        <w:t xml:space="preserve"> and proposed corrective action</w:t>
      </w:r>
      <w:r w:rsidR="004C50D6">
        <w:t xml:space="preserve"> during the pilot</w:t>
      </w:r>
      <w:r w:rsidR="008D429F">
        <w:t xml:space="preserve"> phas</w:t>
      </w:r>
      <w:r w:rsidR="00801CD4">
        <w:t>e</w:t>
      </w:r>
      <w:r>
        <w:t xml:space="preserve">, </w:t>
      </w:r>
      <w:r w:rsidR="00EB2328">
        <w:t xml:space="preserve">and </w:t>
      </w:r>
      <w:r>
        <w:t>states</w:t>
      </w:r>
      <w:r w:rsidR="00C14598">
        <w:t>,</w:t>
      </w:r>
      <w:r>
        <w:t xml:space="preserve"> “Public communication about the phot</w:t>
      </w:r>
      <w:r w:rsidR="006C4E5C">
        <w:t>o</w:t>
      </w:r>
      <w:r>
        <w:t xml:space="preserve">s received and public explanation of PG&amp;E’s analysis will foster transparent decision-making that enables </w:t>
      </w:r>
      <w:r w:rsidR="006C4E5C">
        <w:t>deliberative</w:t>
      </w:r>
      <w:r>
        <w:t xml:space="preserve"> contestation, accountability, enforcement of </w:t>
      </w:r>
      <w:r w:rsidR="00153CC4">
        <w:t xml:space="preserve">[Commission] </w:t>
      </w:r>
      <w:r>
        <w:t>CPUC rules, and safety.”</w:t>
      </w:r>
      <w:r>
        <w:rPr>
          <w:rStyle w:val="FootnoteReference"/>
        </w:rPr>
        <w:footnoteReference w:id="55"/>
      </w:r>
      <w:r w:rsidR="00FC4E8A">
        <w:t xml:space="preserve"> </w:t>
      </w:r>
      <w:r w:rsidR="004C50D6">
        <w:t xml:space="preserve"> </w:t>
      </w:r>
      <w:r w:rsidR="00FC4E8A">
        <w:t>BBIC further states</w:t>
      </w:r>
      <w:r w:rsidR="00801CD4">
        <w:t>,</w:t>
      </w:r>
      <w:r w:rsidR="00FC4E8A">
        <w:t xml:space="preserve"> </w:t>
      </w:r>
      <w:r w:rsidR="00FC4E8A">
        <w:lastRenderedPageBreak/>
        <w:t>“Systems that transform publicly submitted photos into action reflect our system of democratic governance and harness an engaged citizenry.”</w:t>
      </w:r>
      <w:r w:rsidR="00FC4E8A">
        <w:rPr>
          <w:rStyle w:val="FootnoteReference"/>
        </w:rPr>
        <w:footnoteReference w:id="56"/>
      </w:r>
      <w:r w:rsidR="0003351B">
        <w:t xml:space="preserve">  </w:t>
      </w:r>
    </w:p>
    <w:p w:rsidR="00A45E3A" w:rsidP="00972624" w:rsidRDefault="008D429F" w14:paraId="0401FC25" w14:textId="7EFB4335">
      <w:pPr>
        <w:pStyle w:val="Standard"/>
      </w:pPr>
      <w:r>
        <w:t>We are not persuaded by PG&amp;E’s arguments that merit</w:t>
      </w:r>
      <w:r w:rsidR="0098218B">
        <w:t xml:space="preserve"> exists</w:t>
      </w:r>
      <w:r>
        <w:t xml:space="preserve"> in postponing the public’s access to </w:t>
      </w:r>
      <w:r w:rsidR="00DA264D">
        <w:t>submittals</w:t>
      </w:r>
      <w:r>
        <w:t xml:space="preserve"> </w:t>
      </w:r>
      <w:r w:rsidR="00D94550">
        <w:t>obtained v</w:t>
      </w:r>
      <w:r>
        <w:t xml:space="preserve">ia the mobile app </w:t>
      </w:r>
      <w:r w:rsidR="00C06A20">
        <w:t>until</w:t>
      </w:r>
      <w:r>
        <w:t xml:space="preserve"> </w:t>
      </w:r>
      <w:r w:rsidR="00D94550">
        <w:t xml:space="preserve">after a </w:t>
      </w:r>
      <w:r>
        <w:t xml:space="preserve">permanent program </w:t>
      </w:r>
      <w:r w:rsidR="00D3399F">
        <w:t>is adopted</w:t>
      </w:r>
      <w:r w:rsidR="00DE6820">
        <w:t>, unless the information is confidential under Commission directives or laws</w:t>
      </w:r>
      <w:r>
        <w:t xml:space="preserve">; nor do we see any need to keep from </w:t>
      </w:r>
      <w:proofErr w:type="spellStart"/>
      <w:r>
        <w:t>publicview</w:t>
      </w:r>
      <w:proofErr w:type="spellEnd"/>
      <w:r>
        <w:t xml:space="preserve"> </w:t>
      </w:r>
      <w:r w:rsidR="00C06A20">
        <w:t xml:space="preserve">PG&amp;E’s </w:t>
      </w:r>
      <w:r>
        <w:t xml:space="preserve">analysis, determination, and decided course of action to mitigate problems </w:t>
      </w:r>
      <w:r w:rsidR="00C06A20">
        <w:t xml:space="preserve">as they are </w:t>
      </w:r>
      <w:r>
        <w:t xml:space="preserve">reported. </w:t>
      </w:r>
      <w:r w:rsidR="00C06A20">
        <w:t xml:space="preserve"> Rather, w</w:t>
      </w:r>
      <w:r w:rsidR="00867AED">
        <w:t>e agree with BBIC that by publicly posting the photos</w:t>
      </w:r>
      <w:r w:rsidR="00D3399F">
        <w:t xml:space="preserve"> and related information</w:t>
      </w:r>
      <w:r w:rsidR="00867AED">
        <w:t>,</w:t>
      </w:r>
      <w:r w:rsidR="00DE6820">
        <w:t xml:space="preserve"> unless deemed confidential under the applicable law,</w:t>
      </w:r>
      <w:r w:rsidR="00867AED">
        <w:t xml:space="preserve"> the mobile app will promote transparency</w:t>
      </w:r>
      <w:r w:rsidR="00501A84">
        <w:t xml:space="preserve">, </w:t>
      </w:r>
      <w:r w:rsidR="00867AED">
        <w:t>enforcement of the Commission</w:t>
      </w:r>
      <w:r w:rsidR="0071532D">
        <w:t>’</w:t>
      </w:r>
      <w:r w:rsidR="00867AED">
        <w:t>s rules, and safety</w:t>
      </w:r>
      <w:r w:rsidR="00501A84">
        <w:t xml:space="preserve"> generally</w:t>
      </w:r>
      <w:r w:rsidR="00867AED">
        <w:t xml:space="preserve">.  </w:t>
      </w:r>
    </w:p>
    <w:p w:rsidR="008E19BA" w:rsidP="00972624" w:rsidRDefault="00C54BD2" w14:paraId="09243658" w14:textId="5469C639">
      <w:pPr>
        <w:pStyle w:val="Standard"/>
      </w:pPr>
      <w:r>
        <w:t>Therefore, w</w:t>
      </w:r>
      <w:r w:rsidR="00BC11BE">
        <w:t xml:space="preserve">e direct PG&amp;E to make </w:t>
      </w:r>
      <w:r w:rsidR="00C06A20">
        <w:t xml:space="preserve">publicly available </w:t>
      </w:r>
      <w:r w:rsidR="00D85420">
        <w:t>all</w:t>
      </w:r>
      <w:r w:rsidR="00BC11BE">
        <w:t xml:space="preserve"> photos submitted (to the extent relevant</w:t>
      </w:r>
      <w:r w:rsidR="007F1D14">
        <w:t xml:space="preserve"> and appropriate</w:t>
      </w:r>
      <w:r w:rsidR="00BC11BE">
        <w:t>)</w:t>
      </w:r>
      <w:r>
        <w:t>, within 30 days of receipt</w:t>
      </w:r>
      <w:bookmarkStart w:name="_Hlk47431313" w:id="68"/>
      <w:r>
        <w:t>.</w:t>
      </w:r>
      <w:r w:rsidR="00BC11BE">
        <w:t xml:space="preserve"> </w:t>
      </w:r>
      <w:r w:rsidR="00D85420">
        <w:t xml:space="preserve"> </w:t>
      </w:r>
      <w:r w:rsidR="009C613E">
        <w:t>Further</w:t>
      </w:r>
      <w:r w:rsidR="00801CD4">
        <w:t>more,</w:t>
      </w:r>
      <w:r w:rsidR="00D85420">
        <w:t xml:space="preserve"> </w:t>
      </w:r>
      <w:bookmarkStart w:name="_Hlk42605505" w:id="69"/>
      <w:r w:rsidR="00D85420">
        <w:t xml:space="preserve">we direct PG&amp;E to make </w:t>
      </w:r>
      <w:r w:rsidR="00801CD4">
        <w:t xml:space="preserve">available to the public </w:t>
      </w:r>
      <w:r w:rsidR="00D85420">
        <w:t>all submitted safety reports</w:t>
      </w:r>
      <w:r w:rsidR="00AE5704">
        <w:t xml:space="preserve"> </w:t>
      </w:r>
      <w:r w:rsidR="00D85420">
        <w:t xml:space="preserve">and </w:t>
      </w:r>
      <w:r w:rsidR="00A45E3A">
        <w:t xml:space="preserve">the </w:t>
      </w:r>
      <w:r w:rsidR="00801CD4">
        <w:t xml:space="preserve">resulting </w:t>
      </w:r>
      <w:r w:rsidR="00D85420">
        <w:t>PG&amp;E determination</w:t>
      </w:r>
      <w:r w:rsidR="00801CD4">
        <w:t xml:space="preserve">, analysis, </w:t>
      </w:r>
      <w:r w:rsidR="00116332">
        <w:t>G</w:t>
      </w:r>
      <w:r w:rsidR="00C3700C">
        <w:t>P</w:t>
      </w:r>
      <w:r w:rsidR="00116332">
        <w:t xml:space="preserve">S coordinates, </w:t>
      </w:r>
      <w:r w:rsidR="00801CD4">
        <w:t>and corrective action</w:t>
      </w:r>
      <w:r w:rsidR="00D85420">
        <w:t>, also within 30 days of receipt</w:t>
      </w:r>
      <w:r w:rsidR="00D3399F">
        <w:t xml:space="preserve"> of the safety report</w:t>
      </w:r>
      <w:r w:rsidR="00D85420">
        <w:t xml:space="preserve">.  </w:t>
      </w:r>
      <w:bookmarkEnd w:id="68"/>
      <w:r w:rsidR="00B20D4F">
        <w:t>In all other respect</w:t>
      </w:r>
      <w:r w:rsidR="00B957EC">
        <w:t>s</w:t>
      </w:r>
      <w:r w:rsidR="00B20D4F">
        <w:t>, w</w:t>
      </w:r>
      <w:r w:rsidRPr="008E19BA" w:rsidR="008E19BA">
        <w:t>e find that PG&amp;E has adequately complied with th</w:t>
      </w:r>
      <w:r w:rsidR="00B20D4F">
        <w:t>e</w:t>
      </w:r>
      <w:r w:rsidR="00D85420">
        <w:t xml:space="preserve"> asset management</w:t>
      </w:r>
      <w:r w:rsidR="00757B45">
        <w:t xml:space="preserve"> </w:t>
      </w:r>
      <w:r w:rsidR="00D85420">
        <w:t xml:space="preserve">database and public access provisions of </w:t>
      </w:r>
      <w:r w:rsidR="00867AED">
        <w:t>I.19</w:t>
      </w:r>
      <w:r w:rsidR="0001221D">
        <w:t>-</w:t>
      </w:r>
      <w:r w:rsidRPr="0001221D" w:rsidR="0001221D">
        <w:t>06-015</w:t>
      </w:r>
      <w:bookmarkEnd w:id="69"/>
      <w:r w:rsidRPr="008E19BA" w:rsidR="008E19BA">
        <w:t>.</w:t>
      </w:r>
      <w:r w:rsidR="00DE6820">
        <w:t xml:space="preserve">  PG&amp;E shall comply with all applicable Commission directives and law</w:t>
      </w:r>
      <w:r w:rsidR="00EE6EE3">
        <w:t>s</w:t>
      </w:r>
      <w:r w:rsidR="00DE6820">
        <w:t xml:space="preserve"> pertaining to confidential information with regards to the mobile app submittals.</w:t>
      </w:r>
    </w:p>
    <w:p w:rsidR="009707CB" w:rsidP="009C147C" w:rsidRDefault="00124A78" w14:paraId="75F9B760" w14:textId="5FD13D6A">
      <w:pPr>
        <w:pStyle w:val="Heading1"/>
        <w:numPr>
          <w:ilvl w:val="0"/>
          <w:numId w:val="61"/>
        </w:numPr>
      </w:pPr>
      <w:bookmarkStart w:name="_Toc52866546" w:id="70"/>
      <w:r>
        <w:lastRenderedPageBreak/>
        <w:t xml:space="preserve">Additional </w:t>
      </w:r>
      <w:r w:rsidR="009707CB">
        <w:t>Components o</w:t>
      </w:r>
      <w:r>
        <w:t>f</w:t>
      </w:r>
      <w:r w:rsidR="009707CB">
        <w:t xml:space="preserve"> Mobile App Pilot</w:t>
      </w:r>
      <w:bookmarkEnd w:id="70"/>
    </w:p>
    <w:p w:rsidR="008A3BAD" w:rsidP="009C147C" w:rsidRDefault="00A45E3A" w14:paraId="524DF7F4" w14:textId="6A20056E">
      <w:pPr>
        <w:pStyle w:val="Heading2"/>
        <w:numPr>
          <w:ilvl w:val="1"/>
          <w:numId w:val="61"/>
        </w:numPr>
      </w:pPr>
      <w:bookmarkStart w:name="_Toc52866547" w:id="71"/>
      <w:r>
        <w:t xml:space="preserve">Customer Base and </w:t>
      </w:r>
      <w:r w:rsidR="00FD32DB">
        <w:t>Geographic Reach</w:t>
      </w:r>
      <w:bookmarkEnd w:id="71"/>
      <w:r w:rsidR="008A3BAD">
        <w:t xml:space="preserve"> </w:t>
      </w:r>
    </w:p>
    <w:p w:rsidR="00A45E3A" w:rsidP="00FC64CF" w:rsidRDefault="00FF0F7E" w14:paraId="41D75DD7" w14:textId="485A6FBD">
      <w:pPr>
        <w:pStyle w:val="Standard"/>
      </w:pPr>
      <w:r>
        <w:t xml:space="preserve">We now </w:t>
      </w:r>
      <w:r w:rsidR="008D3D52">
        <w:t xml:space="preserve">turn to </w:t>
      </w:r>
      <w:r w:rsidR="009707CB">
        <w:t>other components</w:t>
      </w:r>
      <w:r>
        <w:t xml:space="preserve"> of the pilot not specifically addressed by the Commission in I.19-06-015.  </w:t>
      </w:r>
      <w:r w:rsidR="0081674F">
        <w:t xml:space="preserve">The first issue we address </w:t>
      </w:r>
      <w:r w:rsidR="008D3D52">
        <w:t xml:space="preserve">is the </w:t>
      </w:r>
      <w:r w:rsidR="00FD32DB">
        <w:t xml:space="preserve">geographic </w:t>
      </w:r>
      <w:r w:rsidR="00C54BD2">
        <w:t xml:space="preserve">reach </w:t>
      </w:r>
      <w:r w:rsidR="00A45E3A">
        <w:t>of the pilot and the customer base covered by the pilot</w:t>
      </w:r>
      <w:r w:rsidR="00C54BD2">
        <w:t>.</w:t>
      </w:r>
      <w:r w:rsidR="0081674F">
        <w:t xml:space="preserve">  </w:t>
      </w:r>
    </w:p>
    <w:p w:rsidR="0010289F" w:rsidP="0087100E" w:rsidRDefault="008D3D52" w14:paraId="60EC5A7E" w14:textId="424EA60D">
      <w:pPr>
        <w:pStyle w:val="Standard"/>
      </w:pPr>
      <w:r>
        <w:t>As described above, PG&amp;E, at the urging of Cal Advocates</w:t>
      </w:r>
      <w:r w:rsidR="0054074D">
        <w:t>,</w:t>
      </w:r>
      <w:r>
        <w:t xml:space="preserve"> agreed to expand the geographic reach of its pilot beyond Tier 3 HFTD</w:t>
      </w:r>
      <w:r w:rsidR="00D94550">
        <w:t>s</w:t>
      </w:r>
      <w:r>
        <w:t xml:space="preserve"> to also include some</w:t>
      </w:r>
      <w:r w:rsidR="00087ADB">
        <w:t xml:space="preserve"> </w:t>
      </w:r>
      <w:r w:rsidR="003C6E48">
        <w:t>customers</w:t>
      </w:r>
      <w:r w:rsidR="00087ADB">
        <w:t xml:space="preserve"> located in</w:t>
      </w:r>
      <w:r>
        <w:t xml:space="preserve"> Tier 2 HFTD</w:t>
      </w:r>
      <w:r w:rsidR="00D94550">
        <w:t>s</w:t>
      </w:r>
      <w:r>
        <w:t>.</w:t>
      </w:r>
      <w:r w:rsidR="009C3EA9">
        <w:t xml:space="preserve"> </w:t>
      </w:r>
      <w:r>
        <w:t xml:space="preserve"> PG&amp;E indicated that it would confer with Cal Advocates before it proposed </w:t>
      </w:r>
      <w:r w:rsidR="008A3BAD">
        <w:t xml:space="preserve">the exact number </w:t>
      </w:r>
      <w:r w:rsidR="00801CD4">
        <w:t xml:space="preserve">of </w:t>
      </w:r>
      <w:r>
        <w:t>Tier 2 HFTD</w:t>
      </w:r>
      <w:r w:rsidR="00116332">
        <w:t xml:space="preserve"> customers</w:t>
      </w:r>
      <w:r>
        <w:t xml:space="preserve"> to include</w:t>
      </w:r>
      <w:r w:rsidR="00801CD4">
        <w:t xml:space="preserve"> in the pilot.</w:t>
      </w:r>
      <w:r w:rsidR="009C3EA9">
        <w:t xml:space="preserve"> </w:t>
      </w:r>
      <w:r>
        <w:t xml:space="preserve"> PG&amp;E’s draft implementation plan provide</w:t>
      </w:r>
      <w:r w:rsidR="008A3BAD">
        <w:t>s</w:t>
      </w:r>
      <w:r>
        <w:t xml:space="preserve"> additional details on PG&amp;E’s Tier 2 inclusion to the extent that it mentioned including a “sampling</w:t>
      </w:r>
      <w:r w:rsidR="00907A8A">
        <w:t>” of PG&amp;E customers in Tier 2 and Tier 3 HFTD</w:t>
      </w:r>
      <w:r w:rsidR="00D94550">
        <w:t>s</w:t>
      </w:r>
      <w:r w:rsidR="00907A8A">
        <w:t>.</w:t>
      </w:r>
      <w:r w:rsidR="009162D0">
        <w:rPr>
          <w:rStyle w:val="FootnoteReference"/>
        </w:rPr>
        <w:footnoteReference w:id="57"/>
      </w:r>
      <w:r w:rsidR="0015314C">
        <w:t xml:space="preserve">  </w:t>
      </w:r>
    </w:p>
    <w:p w:rsidR="005A0108" w:rsidP="0087100E" w:rsidRDefault="0015314C" w14:paraId="535672CD" w14:textId="5BADB4EA">
      <w:pPr>
        <w:pStyle w:val="Standard"/>
      </w:pPr>
      <w:r>
        <w:t xml:space="preserve">PG&amp;E </w:t>
      </w:r>
      <w:r w:rsidR="00D94550">
        <w:t>explains</w:t>
      </w:r>
      <w:r>
        <w:t xml:space="preserve"> that approximately 300,000 customers</w:t>
      </w:r>
      <w:r w:rsidR="00D94550">
        <w:t xml:space="preserve"> </w:t>
      </w:r>
      <w:proofErr w:type="gramStart"/>
      <w:r w:rsidR="00D94550">
        <w:t>are located</w:t>
      </w:r>
      <w:r>
        <w:t xml:space="preserve"> in</w:t>
      </w:r>
      <w:proofErr w:type="gramEnd"/>
      <w:r>
        <w:t xml:space="preserve"> Tier 2 and Tier 3 HFT</w:t>
      </w:r>
      <w:r w:rsidR="00614418">
        <w:t>D</w:t>
      </w:r>
      <w:r w:rsidR="00207631">
        <w:t>s</w:t>
      </w:r>
      <w:r>
        <w:t xml:space="preserve"> </w:t>
      </w:r>
      <w:r w:rsidR="00E0435E">
        <w:t>whose</w:t>
      </w:r>
      <w:r>
        <w:t xml:space="preserve"> email addresses </w:t>
      </w:r>
      <w:r w:rsidR="00E0435E">
        <w:t>are known to the utility</w:t>
      </w:r>
      <w:bookmarkStart w:name="_Hlk47431423" w:id="73"/>
      <w:r w:rsidR="00E0435E">
        <w:t>.</w:t>
      </w:r>
      <w:r>
        <w:t xml:space="preserve">  To reach </w:t>
      </w:r>
      <w:r w:rsidR="0081674F">
        <w:t>a statistically significant number of customers</w:t>
      </w:r>
      <w:r>
        <w:t xml:space="preserve"> for the pilot, PG&amp;E </w:t>
      </w:r>
      <w:r w:rsidR="00116332">
        <w:t>proposes to</w:t>
      </w:r>
      <w:r w:rsidR="003C6E48">
        <w:t xml:space="preserve"> engage this subset of customers by</w:t>
      </w:r>
      <w:r>
        <w:t xml:space="preserve"> email</w:t>
      </w:r>
      <w:r w:rsidR="003C6E48">
        <w:t>ing</w:t>
      </w:r>
      <w:r>
        <w:t xml:space="preserve"> all</w:t>
      </w:r>
      <w:r w:rsidR="00E0435E">
        <w:t xml:space="preserve"> </w:t>
      </w:r>
      <w:r>
        <w:t>300,000 Tier</w:t>
      </w:r>
      <w:r w:rsidR="00D6444D">
        <w:t>s</w:t>
      </w:r>
      <w:r>
        <w:t xml:space="preserve"> 2 and 3 customers</w:t>
      </w:r>
      <w:r w:rsidR="00E0435E">
        <w:t xml:space="preserve"> with an invitation to participate in the pilot</w:t>
      </w:r>
      <w:r>
        <w:t xml:space="preserve">. </w:t>
      </w:r>
      <w:bookmarkEnd w:id="73"/>
      <w:r>
        <w:t xml:space="preserve"> PG&amp;E </w:t>
      </w:r>
      <w:r w:rsidR="00D94550">
        <w:t>states that it will s</w:t>
      </w:r>
      <w:r>
        <w:t>upplement</w:t>
      </w:r>
      <w:r w:rsidR="00027462">
        <w:t xml:space="preserve"> this </w:t>
      </w:r>
      <w:r w:rsidR="00E0435E">
        <w:t>pilot invitation</w:t>
      </w:r>
      <w:r>
        <w:t xml:space="preserve"> with direct mail </w:t>
      </w:r>
      <w:r w:rsidR="003C6E48">
        <w:t xml:space="preserve">to all Tier 2 and Tier 3 customers, </w:t>
      </w:r>
      <w:r w:rsidR="00E0435E">
        <w:t>as necessary</w:t>
      </w:r>
      <w:r w:rsidR="003C6E48">
        <w:t>,</w:t>
      </w:r>
      <w:r w:rsidR="00E0435E">
        <w:t xml:space="preserve"> </w:t>
      </w:r>
      <w:r>
        <w:t xml:space="preserve">based on </w:t>
      </w:r>
      <w:r w:rsidR="00027462">
        <w:t>the</w:t>
      </w:r>
      <w:r w:rsidR="001C09F8">
        <w:t xml:space="preserve"> volume of</w:t>
      </w:r>
      <w:r w:rsidR="00027462">
        <w:t xml:space="preserve"> </w:t>
      </w:r>
      <w:r>
        <w:t>response</w:t>
      </w:r>
      <w:r w:rsidR="001C09F8">
        <w:t>s</w:t>
      </w:r>
      <w:r>
        <w:t xml:space="preserve"> </w:t>
      </w:r>
      <w:r w:rsidR="001C09F8">
        <w:t xml:space="preserve">the utility </w:t>
      </w:r>
      <w:r w:rsidR="00E0435E">
        <w:t xml:space="preserve">receives </w:t>
      </w:r>
      <w:r w:rsidR="00027462">
        <w:t>from the email</w:t>
      </w:r>
      <w:r w:rsidR="001C09F8">
        <w:t>ed invitation</w:t>
      </w:r>
      <w:r w:rsidR="00027462">
        <w:t>s</w:t>
      </w:r>
      <w:r w:rsidR="00E0435E">
        <w:t>.</w:t>
      </w:r>
      <w:r>
        <w:t xml:space="preserve">  PG&amp;E estimates that sending out 300,000 invitations </w:t>
      </w:r>
      <w:r w:rsidR="003C6E48">
        <w:t xml:space="preserve">via email </w:t>
      </w:r>
      <w:r>
        <w:t xml:space="preserve">should yield roughly </w:t>
      </w:r>
      <w:r w:rsidRPr="003D1A17">
        <w:t xml:space="preserve">186 </w:t>
      </w:r>
      <w:r w:rsidRPr="003D1A17" w:rsidR="00E0435E">
        <w:t>pilot participants</w:t>
      </w:r>
      <w:r w:rsidRPr="003D1A17">
        <w:t>.</w:t>
      </w:r>
      <w:r>
        <w:t xml:space="preserve">  PG&amp;E expects </w:t>
      </w:r>
      <w:r w:rsidR="001C09F8">
        <w:t xml:space="preserve">that participating </w:t>
      </w:r>
      <w:r>
        <w:t xml:space="preserve">customers </w:t>
      </w:r>
      <w:r w:rsidR="001C09F8">
        <w:t xml:space="preserve">will represent a </w:t>
      </w:r>
      <w:r>
        <w:t xml:space="preserve">mix of urban, suburban, and rural locations. </w:t>
      </w:r>
    </w:p>
    <w:p w:rsidR="00351791" w:rsidP="0087100E" w:rsidRDefault="005A0108" w14:paraId="5FF02DD3" w14:textId="628CA5E7">
      <w:pPr>
        <w:pStyle w:val="Standard"/>
      </w:pPr>
      <w:r>
        <w:t>BBIC claims that the limited geographic scope and the invitation-only design</w:t>
      </w:r>
      <w:r w:rsidR="0010289F">
        <w:t xml:space="preserve"> of PG&amp;E’s p</w:t>
      </w:r>
      <w:r w:rsidR="00D94550">
        <w:t>ilot</w:t>
      </w:r>
      <w:r>
        <w:t xml:space="preserve"> fails to </w:t>
      </w:r>
      <w:r w:rsidR="0060640A">
        <w:t xml:space="preserve">adequately </w:t>
      </w:r>
      <w:r w:rsidR="003473B5">
        <w:t xml:space="preserve">harness </w:t>
      </w:r>
      <w:r w:rsidR="0060640A">
        <w:t xml:space="preserve">the </w:t>
      </w:r>
      <w:r>
        <w:t>public</w:t>
      </w:r>
      <w:r w:rsidR="0060640A">
        <w:t>’s ability to</w:t>
      </w:r>
      <w:r>
        <w:t xml:space="preserve"> identif</w:t>
      </w:r>
      <w:r w:rsidR="0060640A">
        <w:t>y</w:t>
      </w:r>
      <w:r>
        <w:t xml:space="preserve"> </w:t>
      </w:r>
      <w:r>
        <w:lastRenderedPageBreak/>
        <w:t xml:space="preserve">hazards and </w:t>
      </w:r>
      <w:r w:rsidR="00B957EC">
        <w:t>convert</w:t>
      </w:r>
      <w:r>
        <w:t xml:space="preserve"> public information to action across PG&amp;E’s territory.</w:t>
      </w:r>
      <w:r>
        <w:rPr>
          <w:rStyle w:val="FootnoteReference"/>
        </w:rPr>
        <w:footnoteReference w:id="58"/>
      </w:r>
      <w:r w:rsidR="00921177">
        <w:t xml:space="preserve">  BBIC further claims that the “small, invitation-only pilot” will discourage participation</w:t>
      </w:r>
      <w:r w:rsidR="00413204">
        <w:t xml:space="preserve"> by customers</w:t>
      </w:r>
      <w:r w:rsidR="00AF4227">
        <w:t xml:space="preserve"> and is inconsistent with I.19-06-015</w:t>
      </w:r>
      <w:r w:rsidR="00921177">
        <w:t>.</w:t>
      </w:r>
      <w:r w:rsidR="00921177">
        <w:rPr>
          <w:rStyle w:val="FootnoteReference"/>
        </w:rPr>
        <w:footnoteReference w:id="59"/>
      </w:r>
      <w:r w:rsidR="00B651F8">
        <w:t xml:space="preserve">  </w:t>
      </w:r>
      <w:r w:rsidR="003365E0">
        <w:t>In sum, BBIC argues that the Commission should direct PG&amp;E to “make the App accessible to everyone”</w:t>
      </w:r>
      <w:r w:rsidR="0060640A">
        <w:t xml:space="preserve"> in its service territory.</w:t>
      </w:r>
      <w:r w:rsidR="003365E0">
        <w:rPr>
          <w:rStyle w:val="FootnoteReference"/>
        </w:rPr>
        <w:footnoteReference w:id="60"/>
      </w:r>
    </w:p>
    <w:p w:rsidR="0030276C" w:rsidP="0098046D" w:rsidRDefault="006C4E5C" w14:paraId="5A8FBAA2" w14:textId="79D737E2">
      <w:pPr>
        <w:pStyle w:val="Standard"/>
      </w:pPr>
      <w:r w:rsidRPr="006C4E5C">
        <w:t>We</w:t>
      </w:r>
      <w:r w:rsidR="007A6366">
        <w:t>,</w:t>
      </w:r>
      <w:r w:rsidRPr="006C4E5C">
        <w:t xml:space="preserve"> </w:t>
      </w:r>
      <w:r w:rsidR="00907A8A">
        <w:t>generally</w:t>
      </w:r>
      <w:r w:rsidR="007A6366">
        <w:t>,</w:t>
      </w:r>
      <w:r w:rsidR="00907A8A">
        <w:t xml:space="preserve"> </w:t>
      </w:r>
      <w:r w:rsidRPr="006C4E5C">
        <w:t xml:space="preserve">find </w:t>
      </w:r>
      <w:r w:rsidRPr="006C4E5C" w:rsidR="00E26F7E">
        <w:t xml:space="preserve">reasonable </w:t>
      </w:r>
      <w:r w:rsidRPr="006C4E5C">
        <w:t xml:space="preserve">the customer base </w:t>
      </w:r>
      <w:r w:rsidR="007A6366">
        <w:t xml:space="preserve">and geographic area </w:t>
      </w:r>
      <w:r w:rsidRPr="006C4E5C">
        <w:t>targeted by PG&amp;E</w:t>
      </w:r>
      <w:r w:rsidR="00B20D4F">
        <w:t xml:space="preserve"> for the pilot</w:t>
      </w:r>
      <w:r w:rsidRPr="006C4E5C">
        <w:t>.</w:t>
      </w:r>
      <w:r w:rsidR="00B20D4F">
        <w:t xml:space="preserve"> </w:t>
      </w:r>
      <w:bookmarkStart w:name="_Hlk45536098" w:id="75"/>
      <w:r w:rsidR="00351791">
        <w:t xml:space="preserve"> </w:t>
      </w:r>
      <w:bookmarkStart w:name="_Hlk41910706" w:id="76"/>
      <w:r w:rsidR="008215F6">
        <w:t>However, to ensure that PG&amp;E’s pilot attracts a sufficient number of customers, PG&amp;E</w:t>
      </w:r>
      <w:r w:rsidR="007A6366">
        <w:t>, in addition to its proposal to email a subset of customers</w:t>
      </w:r>
      <w:r w:rsidR="00123417">
        <w:t xml:space="preserve"> in </w:t>
      </w:r>
      <w:bookmarkStart w:name="_Hlk45711366" w:id="77"/>
      <w:r w:rsidR="00123417">
        <w:t>Tier 2 and Tier 3 HFTD</w:t>
      </w:r>
      <w:bookmarkEnd w:id="77"/>
      <w:r w:rsidR="00D94550">
        <w:t>s</w:t>
      </w:r>
      <w:r w:rsidR="007A6366">
        <w:t>,</w:t>
      </w:r>
      <w:r w:rsidR="008215F6">
        <w:t xml:space="preserve"> </w:t>
      </w:r>
      <w:r w:rsidR="007A6366">
        <w:t xml:space="preserve">is </w:t>
      </w:r>
      <w:r w:rsidR="008215F6">
        <w:t xml:space="preserve">also directed to send </w:t>
      </w:r>
      <w:r w:rsidR="007A6366">
        <w:t xml:space="preserve">text message </w:t>
      </w:r>
      <w:r w:rsidR="008215F6">
        <w:t>invitation</w:t>
      </w:r>
      <w:r w:rsidR="00116332">
        <w:t>s</w:t>
      </w:r>
      <w:r w:rsidR="008215F6">
        <w:t xml:space="preserve"> to</w:t>
      </w:r>
      <w:bookmarkStart w:name="_Hlk45711388" w:id="78"/>
      <w:r w:rsidR="0030276C">
        <w:t xml:space="preserve"> </w:t>
      </w:r>
      <w:r w:rsidR="00E32BF8">
        <w:t xml:space="preserve">all </w:t>
      </w:r>
      <w:r w:rsidR="008215F6">
        <w:t>customers</w:t>
      </w:r>
      <w:r w:rsidRPr="00123417" w:rsidR="00123417">
        <w:t xml:space="preserve"> </w:t>
      </w:r>
      <w:r w:rsidR="00123417">
        <w:t xml:space="preserve">in </w:t>
      </w:r>
      <w:r w:rsidRPr="00123417" w:rsidR="00123417">
        <w:t>Tier 2 and Tier 3 HFTD</w:t>
      </w:r>
      <w:r w:rsidR="00D94550">
        <w:t>s</w:t>
      </w:r>
      <w:r w:rsidR="00233423">
        <w:t xml:space="preserve">, </w:t>
      </w:r>
      <w:r w:rsidRPr="00233423" w:rsidR="00233423">
        <w:t xml:space="preserve">if consistent with any permission </w:t>
      </w:r>
      <w:r w:rsidR="00233423">
        <w:t xml:space="preserve">required </w:t>
      </w:r>
      <w:r w:rsidRPr="00233423" w:rsidR="00233423">
        <w:t xml:space="preserve">from the customer pursuant to </w:t>
      </w:r>
      <w:r w:rsidR="00EE6EE3">
        <w:t xml:space="preserve">state and federal law, such as the </w:t>
      </w:r>
      <w:r w:rsidRPr="00233423" w:rsidR="00233423">
        <w:t>Telephone Consumer Protection Act</w:t>
      </w:r>
      <w:r w:rsidR="00233423">
        <w:t>,</w:t>
      </w:r>
      <w:r w:rsidRPr="00233423" w:rsidR="00233423">
        <w:rPr>
          <w:vertAlign w:val="superscript"/>
        </w:rPr>
        <w:footnoteReference w:id="61"/>
      </w:r>
      <w:r w:rsidR="0030276C">
        <w:t xml:space="preserve"> </w:t>
      </w:r>
      <w:r w:rsidR="00A45E3A">
        <w:t>(</w:t>
      </w:r>
      <w:r w:rsidR="00EE6EE3">
        <w:t xml:space="preserve">and </w:t>
      </w:r>
      <w:r w:rsidR="0030276C">
        <w:t>to the extent PG&amp;E has access to cellphone numbers</w:t>
      </w:r>
      <w:r w:rsidR="00A45E3A">
        <w:t>)</w:t>
      </w:r>
      <w:r w:rsidR="0030276C">
        <w:t>,</w:t>
      </w:r>
      <w:r w:rsidR="008215F6">
        <w:t xml:space="preserve"> </w:t>
      </w:r>
      <w:bookmarkEnd w:id="78"/>
      <w:r w:rsidRPr="00192355" w:rsidR="008215F6">
        <w:t>and to include a</w:t>
      </w:r>
      <w:r w:rsidRPr="00192355" w:rsidR="00116332">
        <w:t>n</w:t>
      </w:r>
      <w:r w:rsidRPr="00192355" w:rsidR="008215F6">
        <w:t xml:space="preserve"> invitation as part of a direct mail</w:t>
      </w:r>
      <w:r w:rsidRPr="00192355" w:rsidR="007A6366">
        <w:t xml:space="preserve"> bill</w:t>
      </w:r>
      <w:r w:rsidRPr="00192355" w:rsidR="008215F6">
        <w:t xml:space="preserve"> insert</w:t>
      </w:r>
      <w:r w:rsidRPr="00192355" w:rsidR="00745434">
        <w:t xml:space="preserve"> or postcard</w:t>
      </w:r>
      <w:r w:rsidRPr="00192355" w:rsidR="00EC0DFB">
        <w:t xml:space="preserve"> </w:t>
      </w:r>
      <w:r w:rsidRPr="00192355" w:rsidR="00123417">
        <w:t>to all customers in Tier 2 and Tier 3 HFTD</w:t>
      </w:r>
      <w:r w:rsidRPr="00192355" w:rsidR="00D94550">
        <w:t>s</w:t>
      </w:r>
      <w:r w:rsidRPr="00192355" w:rsidR="008215F6">
        <w:t>.</w:t>
      </w:r>
      <w:r w:rsidRPr="00192355" w:rsidR="00123417">
        <w:t xml:space="preserve"> </w:t>
      </w:r>
      <w:r w:rsidRPr="00192355" w:rsidR="00116332">
        <w:t xml:space="preserve"> </w:t>
      </w:r>
      <w:r w:rsidRPr="00192355" w:rsidR="007A6366">
        <w:t xml:space="preserve">To be clear, </w:t>
      </w:r>
      <w:r w:rsidRPr="00192355" w:rsidR="00A45E3A">
        <w:t>we modify PG&amp;E’s proposal</w:t>
      </w:r>
      <w:r w:rsidRPr="00192355" w:rsidR="00413204">
        <w:t xml:space="preserve">, which </w:t>
      </w:r>
      <w:r w:rsidRPr="00192355" w:rsidR="002708D0">
        <w:t xml:space="preserve">would be </w:t>
      </w:r>
      <w:r w:rsidRPr="00192355" w:rsidR="00413204">
        <w:t>limited</w:t>
      </w:r>
      <w:r w:rsidRPr="00192355" w:rsidR="00A45E3A">
        <w:t xml:space="preserve"> to a subset of customer in Tier 2 and Tier 3</w:t>
      </w:r>
      <w:r w:rsidRPr="00192355" w:rsidR="00413204">
        <w:t xml:space="preserve">, to </w:t>
      </w:r>
      <w:bookmarkStart w:name="_Hlk47431457" w:id="79"/>
      <w:r w:rsidRPr="00192355" w:rsidR="002708D0">
        <w:t xml:space="preserve">require PG&amp;E to invite for pilot participation </w:t>
      </w:r>
      <w:r w:rsidRPr="00192355" w:rsidR="007A6366">
        <w:t xml:space="preserve">all </w:t>
      </w:r>
      <w:r w:rsidRPr="00192355" w:rsidR="0030276C">
        <w:t xml:space="preserve">customers located in </w:t>
      </w:r>
      <w:r w:rsidRPr="00192355" w:rsidR="00116332">
        <w:t>Tier 2 and Tier 3 HFTD</w:t>
      </w:r>
      <w:r w:rsidRPr="00192355" w:rsidR="00D94550">
        <w:t>s</w:t>
      </w:r>
      <w:r w:rsidRPr="00192355" w:rsidR="002708D0">
        <w:t xml:space="preserve">, with a pilot recruitment effort to include </w:t>
      </w:r>
      <w:r w:rsidRPr="00192355" w:rsidR="00A45E3A">
        <w:t>direct mail insert</w:t>
      </w:r>
      <w:bookmarkEnd w:id="79"/>
      <w:r w:rsidRPr="00192355" w:rsidR="002708D0">
        <w:t xml:space="preserve"> for those customers who receive their electric</w:t>
      </w:r>
      <w:r w:rsidRPr="00192355" w:rsidR="0010539C">
        <w:t>ity</w:t>
      </w:r>
      <w:r w:rsidRPr="00192355" w:rsidR="002708D0">
        <w:t xml:space="preserve"> bills by U.S. mail, and for a postcard to be sent via U.S. mail to those customers who have paperless billing</w:t>
      </w:r>
      <w:r w:rsidRPr="00192355" w:rsidR="00A45E3A">
        <w:t>.</w:t>
      </w:r>
      <w:r w:rsidR="00A45E3A">
        <w:t xml:space="preserve"> </w:t>
      </w:r>
      <w:bookmarkEnd w:id="75"/>
    </w:p>
    <w:p w:rsidR="0015314C" w:rsidP="0098046D" w:rsidRDefault="00D85AB2" w14:paraId="2126E01C" w14:textId="1FD463D0">
      <w:pPr>
        <w:pStyle w:val="Standard"/>
      </w:pPr>
      <w:r>
        <w:lastRenderedPageBreak/>
        <w:t xml:space="preserve">In addition, to </w:t>
      </w:r>
      <w:bookmarkStart w:name="_Hlk42606275" w:id="80"/>
      <w:r>
        <w:t xml:space="preserve">promote broader participation for the pilot, PG&amp;E shall conduct outreach to target and make the mobile app </w:t>
      </w:r>
      <w:r w:rsidR="0010289F">
        <w:t xml:space="preserve">pilot </w:t>
      </w:r>
      <w:r>
        <w:t xml:space="preserve">available to all </w:t>
      </w:r>
      <w:r w:rsidR="008A3BAD">
        <w:t xml:space="preserve">PG&amp;E </w:t>
      </w:r>
      <w:r>
        <w:t xml:space="preserve">contractors performing vegetation </w:t>
      </w:r>
      <w:bookmarkEnd w:id="80"/>
      <w:r>
        <w:t>management</w:t>
      </w:r>
      <w:r w:rsidR="008A3BAD">
        <w:t xml:space="preserve"> in the field</w:t>
      </w:r>
      <w:r>
        <w:t xml:space="preserve">, </w:t>
      </w:r>
      <w:r w:rsidR="003F1AC7">
        <w:t>applicable</w:t>
      </w:r>
      <w:r>
        <w:t xml:space="preserve"> staff at the California Department of Forestry and Fire Protection (CAL FIRE), and relevant staff at cable companies and telecommunication providers with whom PG&amp;E operates under joint pole agreements</w:t>
      </w:r>
      <w:r w:rsidR="00735F92">
        <w:t>.</w:t>
      </w:r>
      <w:bookmarkEnd w:id="76"/>
      <w:r w:rsidR="0071532D">
        <w:rPr>
          <w:rStyle w:val="FootnoteReference"/>
        </w:rPr>
        <w:footnoteReference w:id="62"/>
      </w:r>
      <w:r w:rsidR="00A243B9">
        <w:t xml:space="preserve"> </w:t>
      </w:r>
      <w:r w:rsidR="213C1C45">
        <w:t xml:space="preserve"> </w:t>
      </w:r>
      <w:r w:rsidR="00974343">
        <w:t>While outreach is required, u</w:t>
      </w:r>
      <w:r w:rsidR="00A243B9">
        <w:t xml:space="preserve">se of the mobile app by PG&amp;E’s </w:t>
      </w:r>
      <w:r w:rsidR="7D1A7FB9">
        <w:t xml:space="preserve">vegetation management </w:t>
      </w:r>
      <w:r w:rsidR="00A243B9">
        <w:t xml:space="preserve">contractors, staff at CAL FIRE, and staff at cable companies and telecommunication providers is discretionary and any use </w:t>
      </w:r>
      <w:r w:rsidR="00974343">
        <w:t xml:space="preserve">during working hours </w:t>
      </w:r>
      <w:r w:rsidR="00A243B9">
        <w:t xml:space="preserve">must be consistent with </w:t>
      </w:r>
      <w:r w:rsidR="00974343">
        <w:t>applicable scope of work</w:t>
      </w:r>
      <w:r w:rsidR="00876552">
        <w:t xml:space="preserve"> and safety protocols</w:t>
      </w:r>
      <w:r w:rsidR="00974343">
        <w:t>.</w:t>
      </w:r>
    </w:p>
    <w:p w:rsidRPr="009C613E" w:rsidR="009C613E" w:rsidP="009C147C" w:rsidRDefault="009C613E" w14:paraId="3A2E096B" w14:textId="16DAFEDC">
      <w:pPr>
        <w:pStyle w:val="Heading2"/>
        <w:numPr>
          <w:ilvl w:val="1"/>
          <w:numId w:val="61"/>
        </w:numPr>
      </w:pPr>
      <w:bookmarkStart w:name="_Toc52866548" w:id="81"/>
      <w:r w:rsidRPr="009C613E">
        <w:t>Duration of Pilot</w:t>
      </w:r>
      <w:bookmarkEnd w:id="81"/>
    </w:p>
    <w:p w:rsidR="009C613E" w:rsidP="0087100E" w:rsidRDefault="009C613E" w14:paraId="132C29D0" w14:textId="3A70DC24">
      <w:pPr>
        <w:pStyle w:val="Standard"/>
      </w:pPr>
      <w:r>
        <w:t xml:space="preserve">In its initial </w:t>
      </w:r>
      <w:r w:rsidRPr="00E16DA8">
        <w:rPr>
          <w:i/>
          <w:iCs/>
        </w:rPr>
        <w:t>Mobile</w:t>
      </w:r>
      <w:r>
        <w:t xml:space="preserve"> </w:t>
      </w:r>
      <w:r w:rsidRPr="00677495">
        <w:rPr>
          <w:i/>
          <w:iCs/>
        </w:rPr>
        <w:t>Application Pilot Implementation Report</w:t>
      </w:r>
      <w:r>
        <w:t xml:space="preserve">, PG&amp;E’s proposed timeline could foreseeably result in </w:t>
      </w:r>
      <w:r w:rsidR="00116332">
        <w:t xml:space="preserve">the </w:t>
      </w:r>
      <w:r>
        <w:t xml:space="preserve">launch of the pilot during </w:t>
      </w:r>
      <w:r w:rsidR="00BB7E42">
        <w:t xml:space="preserve">the </w:t>
      </w:r>
      <w:r>
        <w:t>wildfire season; at the same time PG&amp;E commit</w:t>
      </w:r>
      <w:r w:rsidR="008A3BAD">
        <w:t xml:space="preserve">s </w:t>
      </w:r>
      <w:r>
        <w:t xml:space="preserve">to running the pilot for a full wildfire season to learn how it may be used in crisis situations. </w:t>
      </w:r>
      <w:r w:rsidR="009C3EA9">
        <w:t xml:space="preserve"> </w:t>
      </w:r>
      <w:r>
        <w:t>PG&amp;E initially proposed that the pilot duration be a minimum of six months or until 384 unique submittal have been received.</w:t>
      </w:r>
      <w:r>
        <w:rPr>
          <w:rStyle w:val="FootnoteReference"/>
        </w:rPr>
        <w:footnoteReference w:id="63"/>
      </w:r>
      <w:r>
        <w:t xml:space="preserve">  PG&amp;E suggested that, if after six months 384 submittals have been received, PG&amp;E would stop the pilot and share its findings with</w:t>
      </w:r>
      <w:r w:rsidR="001C4D4C">
        <w:t xml:space="preserve"> </w:t>
      </w:r>
      <w:r>
        <w:t>SPD.  However, PG&amp;E proposed to halt the pilot after 12 months whether or not 384 submittals were received, indicating that PG&amp;E found it best at this point to share findings with SPD to determine whether moving forward toward full implementation is warranted.</w:t>
      </w:r>
      <w:r w:rsidRPr="00656A72">
        <w:t xml:space="preserve"> </w:t>
      </w:r>
    </w:p>
    <w:p w:rsidR="009C613E" w:rsidP="0087100E" w:rsidRDefault="009C613E" w14:paraId="204CBF2C" w14:textId="14AEE6FB">
      <w:pPr>
        <w:pStyle w:val="Standard"/>
      </w:pPr>
      <w:r>
        <w:lastRenderedPageBreak/>
        <w:t>Cal Advocates suggests that the duration of the pilot be limited to six months.</w:t>
      </w:r>
      <w:r>
        <w:rPr>
          <w:rStyle w:val="FootnoteReference"/>
        </w:rPr>
        <w:footnoteReference w:id="64"/>
      </w:r>
      <w:r>
        <w:t xml:space="preserve">  It explains that six months is an adequate amount of time to evaluate the pilot in light of the potential for the diversion of </w:t>
      </w:r>
      <w:r w:rsidR="00636E1E">
        <w:t xml:space="preserve">limited </w:t>
      </w:r>
      <w:r>
        <w:t xml:space="preserve">resources from other wildfire safety programs. </w:t>
      </w:r>
    </w:p>
    <w:p w:rsidR="009C613E" w:rsidP="0087100E" w:rsidRDefault="009C613E" w14:paraId="3B4EADB6" w14:textId="6251AEA5">
      <w:pPr>
        <w:pStyle w:val="Standard"/>
      </w:pPr>
      <w:r>
        <w:t>BBIC disagrees with Cal Advocates and suggests that the pilot be permanently adopted</w:t>
      </w:r>
      <w:r w:rsidR="00BB7E42">
        <w:t xml:space="preserve"> now</w:t>
      </w:r>
      <w:r>
        <w:t>, consistent with the broad directive in I.19-06-015, which</w:t>
      </w:r>
      <w:r w:rsidR="00413204">
        <w:t xml:space="preserve"> </w:t>
      </w:r>
      <w:r>
        <w:t>has no</w:t>
      </w:r>
      <w:r w:rsidR="00413204">
        <w:t xml:space="preserve"> time</w:t>
      </w:r>
      <w:r>
        <w:t xml:space="preserve"> limit on the duration of the mobile app.</w:t>
      </w:r>
      <w:r w:rsidR="00BB7E42">
        <w:rPr>
          <w:rStyle w:val="FootnoteReference"/>
        </w:rPr>
        <w:footnoteReference w:id="65"/>
      </w:r>
      <w:r w:rsidR="00BB7E42">
        <w:t xml:space="preserve"> </w:t>
      </w:r>
      <w:r>
        <w:t xml:space="preserve"> BBIC again points out that I.19-06-015 did not specifically allow for a pilot but instead simply directed PG&amp;E to establish a </w:t>
      </w:r>
      <w:r w:rsidR="00BB7E42">
        <w:t xml:space="preserve">mobile app </w:t>
      </w:r>
      <w:r>
        <w:t>program.</w:t>
      </w:r>
      <w:r w:rsidR="00CD13EA">
        <w:t xml:space="preserve"> </w:t>
      </w:r>
      <w:r>
        <w:t xml:space="preserve"> BBIC further suggests that limiting the pilot to six months will set up the pilot for failure, stating that “Reevaluating an ill-designed App and pilot design after six months foretells the conclusion of the evaluation.”</w:t>
      </w:r>
      <w:r>
        <w:rPr>
          <w:rStyle w:val="FootnoteReference"/>
        </w:rPr>
        <w:footnoteReference w:id="66"/>
      </w:r>
    </w:p>
    <w:p w:rsidR="009C613E" w:rsidP="0098046D" w:rsidRDefault="009C613E" w14:paraId="546AF7D5" w14:textId="32A9C15B">
      <w:pPr>
        <w:pStyle w:val="Standard"/>
      </w:pPr>
      <w:r>
        <w:t xml:space="preserve">In response to concerns raised by BBIC, PG&amp;E changed its initial recommendation and proposes in its </w:t>
      </w:r>
      <w:r w:rsidRPr="007F1D14">
        <w:rPr>
          <w:i/>
          <w:iCs/>
        </w:rPr>
        <w:t>Revised Mobile Application Pilot Implementation Report</w:t>
      </w:r>
      <w:r>
        <w:t xml:space="preserve"> that the pilot last a minimum of 12 months.</w:t>
      </w:r>
      <w:r>
        <w:rPr>
          <w:rStyle w:val="FootnoteReference"/>
        </w:rPr>
        <w:footnoteReference w:id="67"/>
      </w:r>
    </w:p>
    <w:p w:rsidR="009C613E" w:rsidP="0098046D" w:rsidRDefault="009C613E" w14:paraId="26B2829E" w14:textId="04BAB3B8">
      <w:pPr>
        <w:pStyle w:val="Standard"/>
      </w:pPr>
      <w:bookmarkStart w:name="_Hlk47431558" w:id="83"/>
      <w:r w:rsidRPr="00395EE2">
        <w:t xml:space="preserve">We find </w:t>
      </w:r>
      <w:r>
        <w:t xml:space="preserve">a reasonable </w:t>
      </w:r>
      <w:r w:rsidRPr="00395EE2">
        <w:t xml:space="preserve">duration </w:t>
      </w:r>
      <w:r w:rsidR="005648CA">
        <w:t>for</w:t>
      </w:r>
      <w:r w:rsidRPr="00395EE2">
        <w:t xml:space="preserve"> the pilot</w:t>
      </w:r>
      <w:r>
        <w:t xml:space="preserve"> </w:t>
      </w:r>
      <w:r w:rsidR="005648CA">
        <w:t>to be</w:t>
      </w:r>
      <w:r>
        <w:t xml:space="preserve"> </w:t>
      </w:r>
      <w:r w:rsidR="00E32BF8">
        <w:t xml:space="preserve">at least </w:t>
      </w:r>
      <w:r w:rsidRPr="003F7D24">
        <w:t>24</w:t>
      </w:r>
      <w:r w:rsidRPr="003F6F4F">
        <w:t xml:space="preserve"> months</w:t>
      </w:r>
      <w:r>
        <w:t xml:space="preserve"> or until Phase 2 of this proceeding is completed, whichever is longer</w:t>
      </w:r>
      <w:r w:rsidRPr="00395EE2">
        <w:t>.</w:t>
      </w:r>
      <w:r w:rsidR="00116332">
        <w:t xml:space="preserve"> </w:t>
      </w:r>
      <w:bookmarkEnd w:id="83"/>
      <w:r w:rsidR="009C3EA9">
        <w:t xml:space="preserve"> </w:t>
      </w:r>
      <w:r w:rsidR="00C27A31">
        <w:t>Th</w:t>
      </w:r>
      <w:r w:rsidR="00E32BF8">
        <w:t>e pilot</w:t>
      </w:r>
      <w:r w:rsidR="002F7A54">
        <w:t xml:space="preserve"> </w:t>
      </w:r>
      <w:r w:rsidR="00C27A31">
        <w:t xml:space="preserve">will be initiated on the </w:t>
      </w:r>
      <w:r w:rsidR="00BB7E42">
        <w:t>pilot</w:t>
      </w:r>
      <w:r w:rsidR="008A3BAD">
        <w:t xml:space="preserve">’s </w:t>
      </w:r>
      <w:r w:rsidR="00871EA6">
        <w:t>launch date,</w:t>
      </w:r>
      <w:r w:rsidR="00C27A31">
        <w:t xml:space="preserve"> </w:t>
      </w:r>
      <w:r w:rsidR="00BB7E42">
        <w:t xml:space="preserve">the date </w:t>
      </w:r>
      <w:r w:rsidR="00C27A31">
        <w:t xml:space="preserve">when </w:t>
      </w:r>
      <w:bookmarkStart w:name="_Hlk45459045" w:id="84"/>
      <w:r w:rsidR="00C27A31">
        <w:t>PG&amp;E provides customers with access to the mobile app</w:t>
      </w:r>
      <w:r w:rsidR="00BB7E42">
        <w:t xml:space="preserve"> pilot</w:t>
      </w:r>
      <w:r w:rsidR="00C27A31">
        <w:t xml:space="preserve"> and </w:t>
      </w:r>
      <w:r w:rsidR="00413204">
        <w:t xml:space="preserve">the </w:t>
      </w:r>
      <w:r w:rsidR="00C27A31">
        <w:t>mobile app</w:t>
      </w:r>
      <w:r w:rsidR="00BB7E42">
        <w:t xml:space="preserve"> pilot</w:t>
      </w:r>
      <w:r w:rsidR="00C27A31">
        <w:t xml:space="preserve"> is fully functional.</w:t>
      </w:r>
      <w:r w:rsidRPr="003F6F4F">
        <w:t xml:space="preserve"> </w:t>
      </w:r>
      <w:r>
        <w:t xml:space="preserve"> </w:t>
      </w:r>
      <w:bookmarkEnd w:id="84"/>
      <w:r>
        <w:t>We realize this is long</w:t>
      </w:r>
      <w:r w:rsidR="00E32BF8">
        <w:t>er than the duration</w:t>
      </w:r>
      <w:r>
        <w:t xml:space="preserve"> recommended by PG&amp;E.  However, we find that a longer </w:t>
      </w:r>
      <w:proofErr w:type="gramStart"/>
      <w:r>
        <w:t>period of time</w:t>
      </w:r>
      <w:proofErr w:type="gramEnd"/>
      <w:r>
        <w:t xml:space="preserve"> is needed to incorporate a</w:t>
      </w:r>
      <w:r w:rsidR="00E32BF8">
        <w:t>n evaluation</w:t>
      </w:r>
      <w:r>
        <w:t xml:space="preserve"> process into the pilot term.  </w:t>
      </w:r>
    </w:p>
    <w:p w:rsidR="009C613E" w:rsidP="00385ED3" w:rsidRDefault="009C613E" w14:paraId="38643807" w14:textId="27BF50BF">
      <w:pPr>
        <w:pStyle w:val="Standard"/>
      </w:pPr>
      <w:r>
        <w:lastRenderedPageBreak/>
        <w:t xml:space="preserve">During the first 12 months of the pilot, PG&amp;E shall test the mobile app in all seasons, including one full wildfire season. </w:t>
      </w:r>
      <w:r w:rsidR="009C3EA9">
        <w:t xml:space="preserve"> </w:t>
      </w:r>
      <w:r>
        <w:t xml:space="preserve">During the second 12 months, the pilot will be evaluated </w:t>
      </w:r>
      <w:r w:rsidR="008464BE">
        <w:t xml:space="preserve">and recommendations made for improving it, </w:t>
      </w:r>
      <w:r>
        <w:t>as the pilot</w:t>
      </w:r>
      <w:r w:rsidR="00BB7E42">
        <w:t xml:space="preserve"> </w:t>
      </w:r>
      <w:r>
        <w:t>continue</w:t>
      </w:r>
      <w:r w:rsidR="00BB7E42">
        <w:t>s</w:t>
      </w:r>
      <w:r>
        <w:t xml:space="preserve"> </w:t>
      </w:r>
      <w:r w:rsidR="001D04DE">
        <w:t xml:space="preserve">to </w:t>
      </w:r>
      <w:r w:rsidR="005648CA">
        <w:t>operat</w:t>
      </w:r>
      <w:r w:rsidR="001D04DE">
        <w:t>e</w:t>
      </w:r>
      <w:r w:rsidR="005648CA">
        <w:t>.</w:t>
      </w:r>
      <w:r>
        <w:t xml:space="preserve">  These recommendations will be reviewed by the Commission in Phase 2 of this proceeding and provide a basis for the Commission to establish a permanent program, if warranted.</w:t>
      </w:r>
      <w:r w:rsidR="009C3EA9">
        <w:t xml:space="preserve"> </w:t>
      </w:r>
      <w:r>
        <w:t xml:space="preserve"> This process is further addressed below.  To be clear, PG&amp;E should not halt the pilot in the absence of Commission authorization.  </w:t>
      </w:r>
    </w:p>
    <w:p w:rsidRPr="00F83C8A" w:rsidR="009F3B42" w:rsidP="009C147C" w:rsidRDefault="009F3B42" w14:paraId="6B705DD9" w14:textId="38BCB5F4">
      <w:pPr>
        <w:pStyle w:val="Heading2"/>
        <w:numPr>
          <w:ilvl w:val="1"/>
          <w:numId w:val="61"/>
        </w:numPr>
      </w:pPr>
      <w:bookmarkStart w:name="_Toc52866549" w:id="85"/>
      <w:r w:rsidRPr="00F83C8A">
        <w:t xml:space="preserve">Number of </w:t>
      </w:r>
      <w:r w:rsidR="005648CA">
        <w:t>Safety Report</w:t>
      </w:r>
      <w:r w:rsidR="000D19F3">
        <w:t>/</w:t>
      </w:r>
      <w:r w:rsidR="0063057B">
        <w:t>Submittal</w:t>
      </w:r>
      <w:r w:rsidRPr="00F83C8A">
        <w:t>s</w:t>
      </w:r>
      <w:bookmarkEnd w:id="85"/>
    </w:p>
    <w:p w:rsidR="008B56C1" w:rsidP="0087100E" w:rsidRDefault="00482788" w14:paraId="34FF6127" w14:textId="71896508">
      <w:pPr>
        <w:pStyle w:val="Standard"/>
      </w:pPr>
      <w:r>
        <w:t xml:space="preserve">For the pilot, </w:t>
      </w:r>
      <w:r w:rsidR="00985817">
        <w:t xml:space="preserve">PG&amp;E proposes to collect a minimum of 384 unique </w:t>
      </w:r>
      <w:r w:rsidR="0063057B">
        <w:t>submittal</w:t>
      </w:r>
      <w:r w:rsidR="009162D0">
        <w:t>s</w:t>
      </w:r>
      <w:r w:rsidR="00985817">
        <w:t>,</w:t>
      </w:r>
      <w:r w:rsidR="00C91577">
        <w:rPr>
          <w:rStyle w:val="FootnoteReference"/>
        </w:rPr>
        <w:footnoteReference w:id="68"/>
      </w:r>
      <w:r w:rsidR="00985817">
        <w:t xml:space="preserve"> with the number of unique </w:t>
      </w:r>
      <w:r w:rsidR="0063057B">
        <w:t>submittal</w:t>
      </w:r>
      <w:r w:rsidR="00FF0F7E">
        <w:t>s mean</w:t>
      </w:r>
      <w:r w:rsidR="00207631">
        <w:t>ing</w:t>
      </w:r>
      <w:r w:rsidR="00565B08">
        <w:t xml:space="preserve"> separate </w:t>
      </w:r>
      <w:r w:rsidR="00BB7E42">
        <w:t xml:space="preserve">safety </w:t>
      </w:r>
      <w:r w:rsidR="00BC11BE">
        <w:t>reports</w:t>
      </w:r>
      <w:r w:rsidR="00565B08">
        <w:t xml:space="preserve">. </w:t>
      </w:r>
      <w:r w:rsidR="009C3EA9">
        <w:t xml:space="preserve"> </w:t>
      </w:r>
      <w:r w:rsidR="009162D0">
        <w:t>PG&amp;E explains that t</w:t>
      </w:r>
      <w:r w:rsidR="00565B08">
        <w:t xml:space="preserve">his </w:t>
      </w:r>
      <w:r w:rsidR="00FF0F7E">
        <w:t xml:space="preserve">goal of </w:t>
      </w:r>
      <w:r w:rsidRPr="00C0119B" w:rsidR="00BC11BE">
        <w:t xml:space="preserve">384 </w:t>
      </w:r>
      <w:r w:rsidRPr="00C0119B" w:rsidR="00FF0F7E">
        <w:t>separate</w:t>
      </w:r>
      <w:r w:rsidR="00BB7E42">
        <w:t xml:space="preserve"> safety</w:t>
      </w:r>
      <w:r w:rsidRPr="00C0119B" w:rsidR="00FF0F7E">
        <w:t xml:space="preserve"> reports</w:t>
      </w:r>
      <w:r w:rsidR="00FF0F7E">
        <w:t xml:space="preserve"> </w:t>
      </w:r>
      <w:r w:rsidR="00565B08">
        <w:t>will provide a relevant and statistically significant sample needed to</w:t>
      </w:r>
      <w:r w:rsidR="00FF0F7E">
        <w:t xml:space="preserve"> properly </w:t>
      </w:r>
      <w:r w:rsidR="00565B08">
        <w:t>determine the value of the mobile app.</w:t>
      </w:r>
      <w:r w:rsidR="009162D0">
        <w:rPr>
          <w:rStyle w:val="FootnoteReference"/>
        </w:rPr>
        <w:footnoteReference w:id="69"/>
      </w:r>
      <w:r w:rsidRPr="006C4E5C" w:rsidR="006C4E5C">
        <w:t xml:space="preserve"> </w:t>
      </w:r>
    </w:p>
    <w:p w:rsidR="00DA472F" w:rsidP="0087100E" w:rsidRDefault="00DA472F" w14:paraId="69692B04" w14:textId="79F77EAA">
      <w:pPr>
        <w:pStyle w:val="Standard"/>
      </w:pPr>
      <w:r>
        <w:t xml:space="preserve">BBIC </w:t>
      </w:r>
      <w:r w:rsidR="00AF4227">
        <w:t>argues</w:t>
      </w:r>
      <w:r w:rsidR="005244D3">
        <w:t>, generally, that any lack of participation</w:t>
      </w:r>
      <w:r w:rsidR="00BB7E42">
        <w:t xml:space="preserve">, </w:t>
      </w:r>
      <w:r w:rsidR="005244D3">
        <w:t>for example</w:t>
      </w:r>
      <w:r w:rsidR="002D76CC">
        <w:t>,</w:t>
      </w:r>
      <w:r w:rsidR="005244D3">
        <w:t xml:space="preserve"> </w:t>
      </w:r>
      <w:r w:rsidR="002D76CC">
        <w:t xml:space="preserve">PG&amp;E </w:t>
      </w:r>
      <w:r w:rsidR="0063057B">
        <w:t xml:space="preserve">not reaching its </w:t>
      </w:r>
      <w:r w:rsidR="00027462">
        <w:t xml:space="preserve">proposed </w:t>
      </w:r>
      <w:r w:rsidR="002D76CC">
        <w:t xml:space="preserve">goal of </w:t>
      </w:r>
      <w:r w:rsidR="005244D3">
        <w:t>384</w:t>
      </w:r>
      <w:r w:rsidR="0060640A">
        <w:t xml:space="preserve"> </w:t>
      </w:r>
      <w:r w:rsidR="0063057B">
        <w:t>submittal</w:t>
      </w:r>
      <w:r w:rsidR="0060640A">
        <w:t>s</w:t>
      </w:r>
      <w:r w:rsidR="00BB7E42">
        <w:t xml:space="preserve">, </w:t>
      </w:r>
      <w:r w:rsidR="0063057B">
        <w:t xml:space="preserve">would </w:t>
      </w:r>
      <w:r w:rsidR="00D85420">
        <w:t xml:space="preserve">point to </w:t>
      </w:r>
      <w:r w:rsidR="005244D3">
        <w:t xml:space="preserve">PG&amp;E </w:t>
      </w:r>
      <w:r w:rsidR="00770946">
        <w:t>“</w:t>
      </w:r>
      <w:r w:rsidR="0000455D">
        <w:t>sabotaging</w:t>
      </w:r>
      <w:r w:rsidR="00770946">
        <w:t>”</w:t>
      </w:r>
      <w:r w:rsidR="005244D3">
        <w:t xml:space="preserve"> the pilot</w:t>
      </w:r>
      <w:r w:rsidR="00AF4227">
        <w:t>.</w:t>
      </w:r>
      <w:r w:rsidR="005244D3">
        <w:rPr>
          <w:rStyle w:val="FootnoteReference"/>
        </w:rPr>
        <w:footnoteReference w:id="70"/>
      </w:r>
      <w:r w:rsidR="00FF0F7E">
        <w:t xml:space="preserve">  BBIC finds no value in </w:t>
      </w:r>
      <w:r w:rsidR="0063057B">
        <w:t>establishing</w:t>
      </w:r>
      <w:r w:rsidRPr="0063057B" w:rsidR="0063057B">
        <w:t xml:space="preserve"> </w:t>
      </w:r>
      <w:r w:rsidR="0063057B">
        <w:t>a goal of 384 unique submittals.</w:t>
      </w:r>
      <w:r w:rsidR="002D76CC">
        <w:t xml:space="preserve">  BBIC also points out that PG&amp;E should count all </w:t>
      </w:r>
      <w:r w:rsidR="0063057B">
        <w:t>submittal</w:t>
      </w:r>
      <w:r w:rsidR="0086103C">
        <w:t>s</w:t>
      </w:r>
      <w:r w:rsidR="002D76CC">
        <w:t xml:space="preserve"> regarding safety concerns toward its goal of 384 and not just limit its count to </w:t>
      </w:r>
      <w:bookmarkStart w:name="_Hlk41917380" w:id="87"/>
      <w:r w:rsidR="002D76CC">
        <w:t xml:space="preserve">those </w:t>
      </w:r>
      <w:r w:rsidR="0063057B">
        <w:t>submittal</w:t>
      </w:r>
      <w:r w:rsidR="0086103C">
        <w:t>s</w:t>
      </w:r>
      <w:r w:rsidR="002D76CC">
        <w:t xml:space="preserve"> regarding wildfire mitigation. </w:t>
      </w:r>
    </w:p>
    <w:p w:rsidR="008770E1" w:rsidP="0098046D" w:rsidRDefault="006C4E5C" w14:paraId="57A10C4A" w14:textId="767F807C">
      <w:pPr>
        <w:pStyle w:val="Standard"/>
      </w:pPr>
      <w:r w:rsidRPr="006C4E5C">
        <w:t xml:space="preserve">We find </w:t>
      </w:r>
      <w:r w:rsidRPr="006C4E5C" w:rsidR="0086103C">
        <w:t xml:space="preserve">reasonable </w:t>
      </w:r>
      <w:r w:rsidRPr="006C4E5C">
        <w:t xml:space="preserve">PG&amp;E’s </w:t>
      </w:r>
      <w:r w:rsidR="00FF0F7E">
        <w:t xml:space="preserve">goal </w:t>
      </w:r>
      <w:r w:rsidR="0086103C">
        <w:t>of attaining</w:t>
      </w:r>
      <w:r w:rsidRPr="006C4E5C" w:rsidR="0086103C">
        <w:t xml:space="preserve"> </w:t>
      </w:r>
      <w:r w:rsidRPr="006C4E5C">
        <w:t xml:space="preserve">384 unique </w:t>
      </w:r>
      <w:r w:rsidR="0063057B">
        <w:t>submittal</w:t>
      </w:r>
      <w:r w:rsidR="0086103C">
        <w:t>s</w:t>
      </w:r>
      <w:r w:rsidRPr="006C4E5C">
        <w:t xml:space="preserve"> or </w:t>
      </w:r>
      <w:r w:rsidR="00CA600D">
        <w:t xml:space="preserve">safety </w:t>
      </w:r>
      <w:r w:rsidRPr="006C4E5C">
        <w:t xml:space="preserve">reports to properly </w:t>
      </w:r>
      <w:r w:rsidR="00823DB0">
        <w:t>evaluate the pilot but</w:t>
      </w:r>
      <w:r w:rsidR="0086103C">
        <w:t xml:space="preserve"> note that any</w:t>
      </w:r>
      <w:r w:rsidR="00823DB0">
        <w:t xml:space="preserve"> failure to reach this </w:t>
      </w:r>
      <w:r w:rsidR="0086103C">
        <w:lastRenderedPageBreak/>
        <w:t>quantity</w:t>
      </w:r>
      <w:r w:rsidR="00823DB0">
        <w:t xml:space="preserve"> </w:t>
      </w:r>
      <w:r w:rsidR="0086103C">
        <w:t xml:space="preserve">shall </w:t>
      </w:r>
      <w:bookmarkEnd w:id="87"/>
      <w:r w:rsidR="00823DB0">
        <w:t xml:space="preserve">not halt the program.  </w:t>
      </w:r>
      <w:r w:rsidR="00E04321">
        <w:t xml:space="preserve">In response to BBIC’s concerns, we direct PG&amp;E to coordinate with SPD, to the extent necessary, to ensure this number of submittals is obtained.  </w:t>
      </w:r>
      <w:r w:rsidR="00FE4336">
        <w:t>We have no reason to believe that PG&amp;E w</w:t>
      </w:r>
      <w:r w:rsidR="005648CA">
        <w:t>ould</w:t>
      </w:r>
      <w:r w:rsidR="00FE4336">
        <w:t xml:space="preserve"> </w:t>
      </w:r>
      <w:r w:rsidR="005648CA">
        <w:t xml:space="preserve">deliberately compromise </w:t>
      </w:r>
      <w:r w:rsidR="00FE4336">
        <w:t>this effort, as suggested by BBIC.</w:t>
      </w:r>
      <w:r w:rsidR="007F1D14">
        <w:t xml:space="preserve"> </w:t>
      </w:r>
      <w:r w:rsidR="0082755F">
        <w:t xml:space="preserve"> </w:t>
      </w:r>
      <w:r w:rsidR="007F1D14">
        <w:t xml:space="preserve">Ensuring this </w:t>
      </w:r>
      <w:r w:rsidR="00C84368">
        <w:t>number</w:t>
      </w:r>
      <w:r w:rsidR="007F1D14">
        <w:t xml:space="preserve"> </w:t>
      </w:r>
      <w:r w:rsidR="0082755F">
        <w:t xml:space="preserve">of submittals </w:t>
      </w:r>
      <w:r w:rsidR="007F1D14">
        <w:t>is achieve</w:t>
      </w:r>
      <w:r w:rsidR="00FE4336">
        <w:t>d</w:t>
      </w:r>
      <w:r w:rsidR="007F1D14">
        <w:t xml:space="preserve"> may include contacting more customers</w:t>
      </w:r>
      <w:r w:rsidR="005070E5">
        <w:t>, using different method</w:t>
      </w:r>
      <w:r w:rsidR="00B943D9">
        <w:t>s</w:t>
      </w:r>
      <w:r w:rsidR="005070E5">
        <w:t xml:space="preserve"> to contact customers,</w:t>
      </w:r>
      <w:r w:rsidR="00545858">
        <w:t xml:space="preserve"> </w:t>
      </w:r>
      <w:r w:rsidR="007F1D14">
        <w:t>or repeatedly contacting customers.</w:t>
      </w:r>
      <w:r w:rsidRPr="002D76CC" w:rsidR="002D76CC">
        <w:t xml:space="preserve"> </w:t>
      </w:r>
      <w:r w:rsidR="00FE4336">
        <w:t>It may also include marketing, education</w:t>
      </w:r>
      <w:r w:rsidR="00545858">
        <w:t>,</w:t>
      </w:r>
      <w:r w:rsidR="00FE4336">
        <w:t xml:space="preserve"> outreach, and training. </w:t>
      </w:r>
    </w:p>
    <w:p w:rsidRPr="009F3B42" w:rsidR="009F3B42" w:rsidP="0098046D" w:rsidRDefault="002D76CC" w14:paraId="50CD3934" w14:textId="48E3BFDD">
      <w:pPr>
        <w:pStyle w:val="Standard"/>
      </w:pPr>
      <w:r>
        <w:t>Furthermore</w:t>
      </w:r>
      <w:r w:rsidRPr="002D76CC">
        <w:t xml:space="preserve">, consistent with our discussion above and </w:t>
      </w:r>
      <w:r w:rsidR="008770E1">
        <w:t xml:space="preserve">at the urging of </w:t>
      </w:r>
      <w:r w:rsidRPr="002D76CC">
        <w:t>BBIC, the pilot</w:t>
      </w:r>
      <w:r w:rsidR="008770E1">
        <w:t xml:space="preserve"> shall </w:t>
      </w:r>
      <w:r w:rsidRPr="002D76CC">
        <w:t xml:space="preserve">not </w:t>
      </w:r>
      <w:r w:rsidR="008770E1">
        <w:t>be</w:t>
      </w:r>
      <w:r w:rsidRPr="002D76CC" w:rsidR="008770E1">
        <w:t xml:space="preserve"> </w:t>
      </w:r>
      <w:r w:rsidRPr="002D76CC">
        <w:t xml:space="preserve">limited to issues related to reducing the risk of catastrophic wildfire.  </w:t>
      </w:r>
      <w:r w:rsidR="008770E1">
        <w:t>Rather</w:t>
      </w:r>
      <w:r w:rsidRPr="002D76CC">
        <w:t xml:space="preserve">, </w:t>
      </w:r>
      <w:r w:rsidR="008770E1">
        <w:t>PG&amp;E’s</w:t>
      </w:r>
      <w:r w:rsidRPr="002D76CC">
        <w:t xml:space="preserve"> pilot </w:t>
      </w:r>
      <w:r w:rsidR="008770E1">
        <w:t xml:space="preserve">shall encompass all potential </w:t>
      </w:r>
      <w:r w:rsidRPr="002D76CC" w:rsidR="008770E1">
        <w:t xml:space="preserve">safety matters </w:t>
      </w:r>
      <w:r w:rsidR="008770E1">
        <w:t xml:space="preserve">pertaining to the utility’s electric </w:t>
      </w:r>
      <w:r w:rsidR="00207631">
        <w:t>infrastructure</w:t>
      </w:r>
      <w:r w:rsidR="008770E1">
        <w:t xml:space="preserve">. </w:t>
      </w:r>
      <w:r w:rsidR="009C3EA9">
        <w:t xml:space="preserve"> </w:t>
      </w:r>
      <w:r w:rsidR="008770E1">
        <w:t xml:space="preserve">In turn, such matters would qualify </w:t>
      </w:r>
      <w:r w:rsidRPr="002D76CC">
        <w:t xml:space="preserve">toward </w:t>
      </w:r>
      <w:r w:rsidR="008770E1">
        <w:t>PG&amp;E’s</w:t>
      </w:r>
      <w:r w:rsidRPr="002D76CC">
        <w:t xml:space="preserve"> evaluation goal of 384 unique </w:t>
      </w:r>
      <w:r w:rsidR="0063057B">
        <w:t>submittal</w:t>
      </w:r>
      <w:r w:rsidRPr="002D76CC">
        <w:t>s</w:t>
      </w:r>
      <w:r w:rsidR="008770E1">
        <w:t xml:space="preserve"> regardless of whether </w:t>
      </w:r>
      <w:r w:rsidR="00023431">
        <w:t>a</w:t>
      </w:r>
      <w:r w:rsidR="008770E1">
        <w:t xml:space="preserve"> </w:t>
      </w:r>
      <w:r w:rsidR="005070E5">
        <w:t>submittal</w:t>
      </w:r>
      <w:r w:rsidR="008770E1">
        <w:t xml:space="preserve"> implicates wildfire safety.</w:t>
      </w:r>
      <w:r w:rsidRPr="002D76CC">
        <w:t xml:space="preserve">  </w:t>
      </w:r>
    </w:p>
    <w:p w:rsidRPr="00DD517A" w:rsidR="00075C5A" w:rsidP="009C147C" w:rsidRDefault="003F6F27" w14:paraId="6C1864F7" w14:textId="5F10587A">
      <w:pPr>
        <w:pStyle w:val="Heading2"/>
        <w:numPr>
          <w:ilvl w:val="1"/>
          <w:numId w:val="61"/>
        </w:numPr>
      </w:pPr>
      <w:bookmarkStart w:name="_Toc52866550" w:id="88"/>
      <w:r>
        <w:t xml:space="preserve">Intake of </w:t>
      </w:r>
      <w:r w:rsidRPr="00DD517A" w:rsidR="00075C5A">
        <w:t>S</w:t>
      </w:r>
      <w:r w:rsidR="00CE14D3">
        <w:t>afety Reports</w:t>
      </w:r>
      <w:r w:rsidR="00667CDC">
        <w:t xml:space="preserve"> and Existing Compl</w:t>
      </w:r>
      <w:r w:rsidR="00A337B9">
        <w:t>ai</w:t>
      </w:r>
      <w:r w:rsidR="00667CDC">
        <w:t>nt Process</w:t>
      </w:r>
      <w:bookmarkEnd w:id="88"/>
    </w:p>
    <w:p w:rsidR="00023431" w:rsidP="0087100E" w:rsidRDefault="00075C5A" w14:paraId="0187348E" w14:textId="54A21680">
      <w:pPr>
        <w:pStyle w:val="Standard"/>
      </w:pPr>
      <w:r>
        <w:t xml:space="preserve">PG&amp;E </w:t>
      </w:r>
      <w:r w:rsidR="003F6F4F">
        <w:t>recommends</w:t>
      </w:r>
      <w:r w:rsidR="000B6DE3">
        <w:t xml:space="preserve"> an intake procedure for safe</w:t>
      </w:r>
      <w:r w:rsidR="00F3587F">
        <w:t>ty</w:t>
      </w:r>
      <w:r w:rsidR="003F6F4F">
        <w:t xml:space="preserve"> </w:t>
      </w:r>
      <w:r w:rsidR="00FF280C">
        <w:t xml:space="preserve">reports </w:t>
      </w:r>
      <w:r w:rsidR="000B6DE3">
        <w:t xml:space="preserve">submitted </w:t>
      </w:r>
      <w:r>
        <w:t xml:space="preserve">by </w:t>
      </w:r>
      <w:r w:rsidR="00545858">
        <w:t>customer</w:t>
      </w:r>
      <w:r w:rsidR="003F6F27">
        <w:t>s</w:t>
      </w:r>
      <w:r w:rsidR="003F6F4F">
        <w:t xml:space="preserve"> t</w:t>
      </w:r>
      <w:r w:rsidR="006136E3">
        <w:t xml:space="preserve">hough </w:t>
      </w:r>
      <w:r w:rsidR="00F3587F">
        <w:t>the mobile app.</w:t>
      </w:r>
      <w:r w:rsidR="003F6F4F">
        <w:t xml:space="preserve"> </w:t>
      </w:r>
      <w:r>
        <w:t xml:space="preserve"> After a</w:t>
      </w:r>
      <w:r w:rsidR="006D7E2B">
        <w:t xml:space="preserve"> </w:t>
      </w:r>
      <w:r w:rsidR="00545858">
        <w:t xml:space="preserve">customer </w:t>
      </w:r>
      <w:r>
        <w:t xml:space="preserve">submits a </w:t>
      </w:r>
      <w:r w:rsidR="005014CE">
        <w:t xml:space="preserve">safety </w:t>
      </w:r>
      <w:r>
        <w:t xml:space="preserve">report via the mobile app, PG&amp;E will complete the following </w:t>
      </w:r>
      <w:r w:rsidR="000B6DE3">
        <w:t>intake</w:t>
      </w:r>
      <w:r>
        <w:t xml:space="preserve"> procedures to screen </w:t>
      </w:r>
      <w:r w:rsidR="008770E1">
        <w:t>submitted</w:t>
      </w:r>
      <w:r>
        <w:t xml:space="preserve"> report</w:t>
      </w:r>
      <w:r w:rsidR="00C753F0">
        <w:t>s</w:t>
      </w:r>
      <w:r>
        <w:t xml:space="preserve"> for photo clarity, identify immediate hazards, </w:t>
      </w:r>
      <w:r w:rsidR="003D2F69">
        <w:t>determine</w:t>
      </w:r>
      <w:r>
        <w:t xml:space="preserve"> whether the photo</w:t>
      </w:r>
      <w:r w:rsidR="008770E1">
        <w:t xml:space="preserve"> (</w:t>
      </w:r>
      <w:r>
        <w:t xml:space="preserve">when </w:t>
      </w:r>
      <w:r w:rsidR="008770E1">
        <w:t>included)</w:t>
      </w:r>
      <w:r>
        <w:t xml:space="preserve"> identifies a problem</w:t>
      </w:r>
      <w:r w:rsidR="008770E1">
        <w:t>,</w:t>
      </w:r>
      <w:r>
        <w:t xml:space="preserve"> and whether the problem identified presents a safety concern or is a violation of any safety regulation.</w:t>
      </w:r>
      <w:r w:rsidR="005244D3">
        <w:rPr>
          <w:rStyle w:val="FootnoteReference"/>
        </w:rPr>
        <w:footnoteReference w:id="71"/>
      </w:r>
      <w:r>
        <w:t xml:space="preserve"> </w:t>
      </w:r>
    </w:p>
    <w:p w:rsidRPr="00D93E31" w:rsidR="003C7196" w:rsidP="0087100E" w:rsidRDefault="00075C5A" w14:paraId="60E0AFC2" w14:textId="64446BD5">
      <w:pPr>
        <w:pStyle w:val="Standard"/>
      </w:pPr>
      <w:r w:rsidRPr="006D0F92">
        <w:t xml:space="preserve">PG&amp;E </w:t>
      </w:r>
      <w:r w:rsidRPr="006D0F92" w:rsidR="00023431">
        <w:t>d</w:t>
      </w:r>
      <w:r w:rsidRPr="00271C2D" w:rsidR="00023431">
        <w:t>e</w:t>
      </w:r>
      <w:r w:rsidRPr="00392A81" w:rsidR="00023431">
        <w:t xml:space="preserve">scribes future </w:t>
      </w:r>
      <w:r w:rsidRPr="00392A81">
        <w:t>form</w:t>
      </w:r>
      <w:r w:rsidRPr="00392A81" w:rsidR="00023431">
        <w:t>ation of</w:t>
      </w:r>
      <w:r w:rsidRPr="00392A81">
        <w:t xml:space="preserve"> a dedicated </w:t>
      </w:r>
      <w:r w:rsidRPr="00392A81" w:rsidR="00023431">
        <w:t xml:space="preserve">in-house </w:t>
      </w:r>
      <w:r w:rsidRPr="00392A81">
        <w:t xml:space="preserve">“triage team” to receive </w:t>
      </w:r>
      <w:r w:rsidRPr="00392A81" w:rsidR="0015314C">
        <w:t xml:space="preserve">the </w:t>
      </w:r>
      <w:r w:rsidRPr="00392A81">
        <w:t>submittals.</w:t>
      </w:r>
      <w:r w:rsidR="009C3EA9">
        <w:t xml:space="preserve"> </w:t>
      </w:r>
      <w:r w:rsidRPr="00392A81">
        <w:t xml:space="preserve"> The triage team would conduct an initial review</w:t>
      </w:r>
      <w:r w:rsidRPr="00C753F0" w:rsidR="00023431">
        <w:t xml:space="preserve"> of </w:t>
      </w:r>
      <w:r w:rsidRPr="006D0F92" w:rsidR="00023431">
        <w:t>submitt</w:t>
      </w:r>
      <w:r w:rsidR="00616EFF">
        <w:t>als</w:t>
      </w:r>
      <w:r w:rsidRPr="00392A81">
        <w:t xml:space="preserve">, which would consist of the following steps: </w:t>
      </w:r>
    </w:p>
    <w:p w:rsidRPr="00D93E31" w:rsidR="003C7196" w:rsidP="009C3EA9" w:rsidRDefault="007A325C" w14:paraId="3861F0C9" w14:textId="69D0AD9C">
      <w:pPr>
        <w:pStyle w:val="ListBullet"/>
        <w:ind w:right="1440"/>
      </w:pPr>
      <w:r w:rsidRPr="00D93E31">
        <w:lastRenderedPageBreak/>
        <w:t>N</w:t>
      </w:r>
      <w:r w:rsidRPr="00392A81" w:rsidR="00075C5A">
        <w:t xml:space="preserve">otify the submitter that the </w:t>
      </w:r>
      <w:r w:rsidR="00616EFF">
        <w:t xml:space="preserve">safety </w:t>
      </w:r>
      <w:r w:rsidRPr="00392A81" w:rsidR="00075C5A">
        <w:t xml:space="preserve">report has been received and </w:t>
      </w:r>
      <w:r w:rsidRPr="00392A81" w:rsidR="001A4DB0">
        <w:t xml:space="preserve">the </w:t>
      </w:r>
      <w:r w:rsidRPr="00392A81" w:rsidR="00075C5A">
        <w:t xml:space="preserve">review </w:t>
      </w:r>
      <w:r w:rsidRPr="00392A81" w:rsidR="001A4DB0">
        <w:t xml:space="preserve">process </w:t>
      </w:r>
      <w:r w:rsidRPr="00392A81" w:rsidR="00075C5A">
        <w:t xml:space="preserve">started and provide a </w:t>
      </w:r>
      <w:r w:rsidR="00616EFF">
        <w:t xml:space="preserve">safety </w:t>
      </w:r>
      <w:r w:rsidRPr="00392A81" w:rsidR="00075C5A">
        <w:t xml:space="preserve">report tracking number to the </w:t>
      </w:r>
      <w:proofErr w:type="gramStart"/>
      <w:r w:rsidRPr="00392A81" w:rsidR="00075C5A">
        <w:t>submitter;</w:t>
      </w:r>
      <w:proofErr w:type="gramEnd"/>
      <w:r w:rsidRPr="00392A81" w:rsidR="00075C5A">
        <w:t xml:space="preserve"> </w:t>
      </w:r>
    </w:p>
    <w:p w:rsidRPr="00D93E31" w:rsidR="003C7196" w:rsidP="009C3EA9" w:rsidRDefault="007A325C" w14:paraId="79D83DD2" w14:textId="4169466A">
      <w:pPr>
        <w:pStyle w:val="ListBullet"/>
        <w:ind w:right="1440"/>
      </w:pPr>
      <w:r w:rsidRPr="00D93E31">
        <w:t>V</w:t>
      </w:r>
      <w:r w:rsidRPr="006D0F92" w:rsidR="00075C5A">
        <w:t xml:space="preserve">alidate </w:t>
      </w:r>
      <w:r w:rsidR="001C4D4C">
        <w:t xml:space="preserve">by </w:t>
      </w:r>
      <w:r w:rsidR="006D31E0">
        <w:t>determining</w:t>
      </w:r>
      <w:r w:rsidR="001C4D4C">
        <w:t xml:space="preserve"> whether</w:t>
      </w:r>
      <w:r w:rsidRPr="006D0F92" w:rsidR="00075C5A">
        <w:t xml:space="preserve"> available photos are acceptable and </w:t>
      </w:r>
      <w:r w:rsidR="001C4D4C">
        <w:t xml:space="preserve">useful </w:t>
      </w:r>
      <w:r w:rsidRPr="006D0F92" w:rsidR="00075C5A">
        <w:t>in determining</w:t>
      </w:r>
      <w:r w:rsidRPr="006D0F92" w:rsidR="009A0E76">
        <w:t xml:space="preserve"> the condition</w:t>
      </w:r>
      <w:r w:rsidRPr="00D93E31" w:rsidR="003C7196">
        <w:t>, location,</w:t>
      </w:r>
      <w:r w:rsidRPr="006D0F92" w:rsidR="009A0E76">
        <w:t xml:space="preserve"> and potential </w:t>
      </w:r>
      <w:r w:rsidRPr="00D93E31" w:rsidR="003C7196">
        <w:t xml:space="preserve">issue </w:t>
      </w:r>
      <w:r w:rsidRPr="006D0F92" w:rsidR="009A0E76">
        <w:t xml:space="preserve">of the asset being reported as a safety </w:t>
      </w:r>
      <w:proofErr w:type="gramStart"/>
      <w:r w:rsidRPr="006D0F92" w:rsidR="009A0E76">
        <w:t>concern;</w:t>
      </w:r>
      <w:proofErr w:type="gramEnd"/>
      <w:r w:rsidRPr="006D0F92" w:rsidR="009A0E76">
        <w:t xml:space="preserve"> </w:t>
      </w:r>
    </w:p>
    <w:p w:rsidR="00E32BF8" w:rsidP="009C3EA9" w:rsidRDefault="007A325C" w14:paraId="020B3E5C" w14:textId="23549DB3">
      <w:pPr>
        <w:pStyle w:val="ListBullet"/>
        <w:ind w:right="1440"/>
      </w:pPr>
      <w:r w:rsidRPr="00D93E31">
        <w:t>C</w:t>
      </w:r>
      <w:r w:rsidRPr="006D0F92" w:rsidR="009A0E76">
        <w:t xml:space="preserve">onfirm </w:t>
      </w:r>
      <w:r w:rsidRPr="00D93E31" w:rsidR="003C7196">
        <w:t>whether</w:t>
      </w:r>
      <w:r w:rsidRPr="00392A81" w:rsidR="009A0E76">
        <w:t xml:space="preserve"> the equipment issue identified presents an </w:t>
      </w:r>
      <w:r w:rsidR="005F1EF0">
        <w:t xml:space="preserve">emergency </w:t>
      </w:r>
      <w:proofErr w:type="gramStart"/>
      <w:r w:rsidR="005F1EF0">
        <w:t>matter</w:t>
      </w:r>
      <w:r w:rsidR="001C4D4C">
        <w:t>;</w:t>
      </w:r>
      <w:proofErr w:type="gramEnd"/>
    </w:p>
    <w:p w:rsidR="00F4422C" w:rsidP="009C3EA9" w:rsidRDefault="009A0E76" w14:paraId="210C7D36" w14:textId="77777777">
      <w:pPr>
        <w:pStyle w:val="Standard"/>
        <w:numPr>
          <w:ilvl w:val="1"/>
          <w:numId w:val="14"/>
        </w:numPr>
        <w:spacing w:after="120" w:line="240" w:lineRule="auto"/>
        <w:ind w:left="1440" w:right="1440"/>
      </w:pPr>
      <w:r>
        <w:t>if</w:t>
      </w:r>
      <w:r w:rsidR="00545858">
        <w:t xml:space="preserve"> an</w:t>
      </w:r>
      <w:r w:rsidR="000D5FE6">
        <w:t xml:space="preserve"> emergency</w:t>
      </w:r>
      <w:r w:rsidR="00E26F7E">
        <w:t xml:space="preserve"> </w:t>
      </w:r>
      <w:r>
        <w:t>exists</w:t>
      </w:r>
      <w:r w:rsidR="00545858">
        <w:t>,</w:t>
      </w:r>
      <w:r>
        <w:t xml:space="preserve"> a trouble report will be generated to ensure </w:t>
      </w:r>
      <w:r w:rsidR="00545858">
        <w:t xml:space="preserve">an </w:t>
      </w:r>
      <w:r>
        <w:t>emergency process is initiated</w:t>
      </w:r>
      <w:r w:rsidR="000D5FE6">
        <w:t>,</w:t>
      </w:r>
      <w:r>
        <w:t xml:space="preserve"> </w:t>
      </w:r>
      <w:r w:rsidR="000D5FE6">
        <w:t xml:space="preserve">the </w:t>
      </w:r>
      <w:r>
        <w:t>submitter receives an update</w:t>
      </w:r>
      <w:r w:rsidR="00AC0CBA">
        <w:t xml:space="preserve"> and </w:t>
      </w:r>
    </w:p>
    <w:p w:rsidR="003C7196" w:rsidP="009C3EA9" w:rsidRDefault="00AC0CBA" w14:paraId="0EAA4070" w14:textId="03E5C6E9">
      <w:pPr>
        <w:pStyle w:val="Standard"/>
        <w:numPr>
          <w:ilvl w:val="1"/>
          <w:numId w:val="14"/>
        </w:numPr>
        <w:spacing w:after="120" w:line="240" w:lineRule="auto"/>
        <w:ind w:left="1440" w:right="1440"/>
      </w:pPr>
      <w:r>
        <w:t>PG&amp;E contact</w:t>
      </w:r>
      <w:r w:rsidR="00F222D7">
        <w:t>s</w:t>
      </w:r>
      <w:r>
        <w:t xml:space="preserve"> emergency </w:t>
      </w:r>
      <w:r w:rsidR="00C714AD">
        <w:t xml:space="preserve">first </w:t>
      </w:r>
      <w:r>
        <w:t>responders</w:t>
      </w:r>
      <w:r w:rsidR="009A0E76">
        <w:t>;</w:t>
      </w:r>
      <w:r>
        <w:rPr>
          <w:rStyle w:val="FootnoteReference"/>
        </w:rPr>
        <w:footnoteReference w:id="72"/>
      </w:r>
    </w:p>
    <w:p w:rsidRPr="00D93E31" w:rsidR="007A325C" w:rsidP="009C3EA9" w:rsidRDefault="009A0E76" w14:paraId="1A8780A0" w14:textId="6653ECE6">
      <w:pPr>
        <w:pStyle w:val="Standard"/>
        <w:numPr>
          <w:ilvl w:val="1"/>
          <w:numId w:val="14"/>
        </w:numPr>
        <w:spacing w:after="120" w:line="240" w:lineRule="auto"/>
        <w:ind w:left="1440" w:right="1440"/>
      </w:pPr>
      <w:r w:rsidRPr="006D0F92">
        <w:t xml:space="preserve">if an </w:t>
      </w:r>
      <w:r w:rsidR="00C714AD">
        <w:t>emergency matter</w:t>
      </w:r>
      <w:r w:rsidRPr="006D0F92">
        <w:t xml:space="preserve"> does not exist and the photos are acceptable, the initial review </w:t>
      </w:r>
      <w:r w:rsidRPr="00023431">
        <w:t>teams will route</w:t>
      </w:r>
      <w:r w:rsidRPr="00023431" w:rsidR="00545858">
        <w:t xml:space="preserve"> the </w:t>
      </w:r>
      <w:r w:rsidRPr="00D93E31" w:rsidR="0063057B">
        <w:t>submittal</w:t>
      </w:r>
      <w:r w:rsidRPr="006D0F92">
        <w:t xml:space="preserve"> to a centralized inspection team</w:t>
      </w:r>
      <w:r w:rsidRPr="00D93E31" w:rsidR="007A325C">
        <w:t>;</w:t>
      </w:r>
      <w:r w:rsidR="000D5FE6">
        <w:rPr>
          <w:rStyle w:val="FootnoteReference"/>
        </w:rPr>
        <w:footnoteReference w:id="73"/>
      </w:r>
    </w:p>
    <w:p w:rsidR="003F6F27" w:rsidP="009C3EA9" w:rsidRDefault="007A325C" w14:paraId="0A1DAA22" w14:textId="0CFDE90E">
      <w:pPr>
        <w:pStyle w:val="ListBullet"/>
        <w:ind w:right="1440"/>
      </w:pPr>
      <w:r w:rsidRPr="00D93E31">
        <w:t>Assorted other quality assurance tasks addressing, among other items, whether the implicated asset is PG&amp;E property, and the asset’s geographic location</w:t>
      </w:r>
      <w:r w:rsidR="00AC0CBA">
        <w:t>.</w:t>
      </w:r>
      <w:r w:rsidRPr="00023431" w:rsidR="009A0E76">
        <w:t xml:space="preserve"> </w:t>
      </w:r>
    </w:p>
    <w:p w:rsidR="003F6F27" w:rsidP="0087100E" w:rsidRDefault="003F6F27" w14:paraId="74787B29" w14:textId="43597EF9">
      <w:pPr>
        <w:pStyle w:val="Standard"/>
      </w:pPr>
      <w:r w:rsidRPr="003F6F27">
        <w:lastRenderedPageBreak/>
        <w:t xml:space="preserve">After this </w:t>
      </w:r>
      <w:r>
        <w:t>intake</w:t>
      </w:r>
      <w:r w:rsidRPr="003F6F27">
        <w:t xml:space="preserve"> proc</w:t>
      </w:r>
      <w:r w:rsidR="000B6DE3">
        <w:t>edure</w:t>
      </w:r>
      <w:r w:rsidRPr="003F6F27">
        <w:t xml:space="preserve"> is complete, PG&amp;E will store the information </w:t>
      </w:r>
      <w:r w:rsidR="005014CE">
        <w:t xml:space="preserve">(as </w:t>
      </w:r>
      <w:r w:rsidRPr="003F6F27">
        <w:t>described in Section 1.7 herein</w:t>
      </w:r>
      <w:r w:rsidR="005014CE">
        <w:t>)</w:t>
      </w:r>
      <w:r w:rsidRPr="003F6F27">
        <w:t xml:space="preserve"> within </w:t>
      </w:r>
      <w:r w:rsidR="005014CE">
        <w:t xml:space="preserve">the </w:t>
      </w:r>
      <w:r w:rsidRPr="003F6F27">
        <w:t>proposed asset management</w:t>
      </w:r>
      <w:r w:rsidR="00D5355E">
        <w:t xml:space="preserve"> </w:t>
      </w:r>
      <w:r w:rsidRPr="003F6F27">
        <w:t xml:space="preserve">database </w:t>
      </w:r>
      <w:r w:rsidR="00F515C4">
        <w:t>for</w:t>
      </w:r>
      <w:r w:rsidRPr="003F6F27">
        <w:t xml:space="preserve"> each valid report or photo received from the public</w:t>
      </w:r>
      <w:r w:rsidR="00CA5C5A">
        <w:t>.</w:t>
      </w:r>
    </w:p>
    <w:p w:rsidR="008D0FDA" w:rsidP="0087100E" w:rsidRDefault="008D0FDA" w14:paraId="17C177D0" w14:textId="74960DA8">
      <w:pPr>
        <w:pStyle w:val="Standard"/>
      </w:pPr>
      <w:r>
        <w:t xml:space="preserve">BBIC argues that the mobile app should be integrated into </w:t>
      </w:r>
      <w:r w:rsidR="00FE4336">
        <w:t xml:space="preserve">PG&amp;E’s </w:t>
      </w:r>
      <w:r>
        <w:t xml:space="preserve">existing </w:t>
      </w:r>
      <w:r w:rsidR="00377140">
        <w:t>complaint intake platform</w:t>
      </w:r>
      <w:r w:rsidR="00F3587F">
        <w:t>,</w:t>
      </w:r>
      <w:r w:rsidR="00640B54">
        <w:rPr>
          <w:rStyle w:val="FootnoteReference"/>
        </w:rPr>
        <w:footnoteReference w:id="74"/>
      </w:r>
      <w:r w:rsidR="00640B54">
        <w:t xml:space="preserve"> </w:t>
      </w:r>
      <w:r w:rsidR="00F3587F">
        <w:t xml:space="preserve">which consists of a toll-free </w:t>
      </w:r>
      <w:r w:rsidR="00F63320">
        <w:t xml:space="preserve">customer service line, </w:t>
      </w:r>
      <w:r w:rsidR="00AC1481">
        <w:t xml:space="preserve">and </w:t>
      </w:r>
      <w:r w:rsidR="00F63320">
        <w:t xml:space="preserve">a 24-hour hotline for power outages and safety emergencies, along with </w:t>
      </w:r>
      <w:r w:rsidR="00C753F0">
        <w:t xml:space="preserve">a </w:t>
      </w:r>
      <w:r w:rsidR="00F63320">
        <w:t>customer</w:t>
      </w:r>
      <w:r w:rsidR="00C753F0">
        <w:t>’s</w:t>
      </w:r>
      <w:r w:rsidR="00F63320">
        <w:t xml:space="preserve"> ability to electronically message PG&amp;E </w:t>
      </w:r>
      <w:r w:rsidR="00E510C8">
        <w:t xml:space="preserve">via its website </w:t>
      </w:r>
      <w:r w:rsidR="00F63320">
        <w:t>and receive a</w:t>
      </w:r>
      <w:r w:rsidR="00E510C8">
        <w:t>n emailed</w:t>
      </w:r>
      <w:r w:rsidR="00F63320">
        <w:t xml:space="preserve"> response</w:t>
      </w:r>
      <w:r>
        <w:t>.</w:t>
      </w:r>
      <w:r>
        <w:rPr>
          <w:rStyle w:val="FootnoteReference"/>
        </w:rPr>
        <w:footnoteReference w:id="75"/>
      </w:r>
      <w:r w:rsidR="00F3587F">
        <w:t xml:space="preserve"> </w:t>
      </w:r>
      <w:r w:rsidR="009C3EA9">
        <w:t xml:space="preserve"> </w:t>
      </w:r>
      <w:r>
        <w:t xml:space="preserve">BBIC states that </w:t>
      </w:r>
      <w:r w:rsidR="005014CE">
        <w:t xml:space="preserve">a </w:t>
      </w:r>
      <w:r>
        <w:t>“properly designed App could complement the phone-based complaint process and help PG&amp;E quickly assess conditions reported in calls, document and analyze the issue, and improve public safety.”</w:t>
      </w:r>
      <w:r>
        <w:rPr>
          <w:rStyle w:val="FootnoteReference"/>
        </w:rPr>
        <w:footnoteReference w:id="76"/>
      </w:r>
    </w:p>
    <w:p w:rsidR="001D04DE" w:rsidP="0098046D" w:rsidRDefault="00AD5A9E" w14:paraId="16E187A1" w14:textId="74E2C3E9">
      <w:pPr>
        <w:pStyle w:val="Standard"/>
      </w:pPr>
      <w:r>
        <w:t xml:space="preserve">We find merit in BBIC’s suggestion.  </w:t>
      </w:r>
      <w:bookmarkStart w:name="_Hlk40357408" w:id="89"/>
      <w:bookmarkStart w:name="_Hlk45714147" w:id="90"/>
      <w:r w:rsidR="005014CE">
        <w:t xml:space="preserve">We are supportive of PG&amp;E creating its mobile app pilot, to the extent feasible, as a bridge to achieving greater integration and future synergies with its existing phone-predominant customer complaint platform. </w:t>
      </w:r>
      <w:r w:rsidR="009C3EA9">
        <w:t xml:space="preserve"> </w:t>
      </w:r>
      <w:r>
        <w:t>W</w:t>
      </w:r>
      <w:r w:rsidR="00867AED">
        <w:t>e</w:t>
      </w:r>
      <w:r>
        <w:t>, therefore,</w:t>
      </w:r>
      <w:r w:rsidR="00867AED">
        <w:t xml:space="preserve"> direct PG&amp;E to </w:t>
      </w:r>
      <w:bookmarkStart w:name="_Hlk42609430" w:id="91"/>
      <w:bookmarkEnd w:id="89"/>
      <w:r w:rsidR="00AD5E62">
        <w:t xml:space="preserve">assess feasibility, obstacles, and benefits that may exist in integrating the mobile app into the utility’s existing complaint-intake system, which is predominately a phone-based reporting platform.  PG&amp;E’s </w:t>
      </w:r>
      <w:r w:rsidR="001D04DE">
        <w:t>assessment</w:t>
      </w:r>
      <w:r w:rsidR="00AD5E62">
        <w:t xml:space="preserve"> should clearly </w:t>
      </w:r>
      <w:r w:rsidR="009B613C">
        <w:t>identify</w:t>
      </w:r>
      <w:r w:rsidR="00AD5E62">
        <w:t xml:space="preserve"> th</w:t>
      </w:r>
      <w:r w:rsidR="009B613C">
        <w:t>e</w:t>
      </w:r>
      <w:r w:rsidR="00AD5E62">
        <w:t xml:space="preserve"> problem area</w:t>
      </w:r>
      <w:r w:rsidR="009B613C">
        <w:t>s</w:t>
      </w:r>
      <w:r w:rsidR="00AD5E62">
        <w:t>, the scope of review</w:t>
      </w:r>
      <w:r w:rsidR="009B613C">
        <w:t>,</w:t>
      </w:r>
      <w:r w:rsidR="00AD5E62">
        <w:t xml:space="preserve"> methodology, and </w:t>
      </w:r>
      <w:r w:rsidR="000E670A">
        <w:t>recommendations/</w:t>
      </w:r>
      <w:r w:rsidR="00AD5E62">
        <w:t xml:space="preserve">conclusions. </w:t>
      </w:r>
      <w:r w:rsidR="009C3EA9">
        <w:t xml:space="preserve"> </w:t>
      </w:r>
      <w:r w:rsidR="005014CE">
        <w:t>A</w:t>
      </w:r>
      <w:r w:rsidR="006C081F">
        <w:t xml:space="preserve"> PG&amp;E</w:t>
      </w:r>
      <w:r w:rsidR="005014CE">
        <w:t xml:space="preserve"> </w:t>
      </w:r>
      <w:r w:rsidR="00AD5E62">
        <w:t xml:space="preserve">independent consultant, which we </w:t>
      </w:r>
      <w:r w:rsidR="005014CE">
        <w:t xml:space="preserve">further </w:t>
      </w:r>
      <w:r w:rsidR="00AD5E62">
        <w:t xml:space="preserve">address below, should be responsible for conducting this </w:t>
      </w:r>
      <w:r w:rsidR="001D04DE">
        <w:t>assessment</w:t>
      </w:r>
      <w:r w:rsidR="00AD5E62">
        <w:t>.</w:t>
      </w:r>
      <w:r w:rsidR="005014CE">
        <w:t xml:space="preserve"> </w:t>
      </w:r>
      <w:r w:rsidR="009C3EA9">
        <w:t xml:space="preserve"> </w:t>
      </w:r>
      <w:r w:rsidR="00B86A83">
        <w:t xml:space="preserve">In addition, after reviewing additional information that PG&amp;E provided in the proceeding on how the mobile app pilot </w:t>
      </w:r>
      <w:r w:rsidR="00B86A83">
        <w:lastRenderedPageBreak/>
        <w:t xml:space="preserve">will address emergency matters, we </w:t>
      </w:r>
      <w:r w:rsidR="001818ED">
        <w:t>support</w:t>
      </w:r>
      <w:r w:rsidR="00B86A83">
        <w:t xml:space="preserve"> </w:t>
      </w:r>
      <w:r w:rsidRPr="00327337" w:rsidR="00327337">
        <w:t>PG&amp;E</w:t>
      </w:r>
      <w:r w:rsidR="001818ED">
        <w:t xml:space="preserve">’s efforts to advise customers that the mobile app should not be used to report </w:t>
      </w:r>
      <w:r w:rsidR="001300A3">
        <w:t>emergenc</w:t>
      </w:r>
      <w:r w:rsidR="006C081F">
        <w:t>y/911 matters</w:t>
      </w:r>
      <w:r w:rsidR="001818ED">
        <w:t xml:space="preserve"> and encourage PG&amp;E</w:t>
      </w:r>
      <w:r w:rsidR="001300A3">
        <w:t>’s efforts</w:t>
      </w:r>
      <w:r w:rsidRPr="00327337" w:rsidR="00327337">
        <w:t xml:space="preserve"> to include </w:t>
      </w:r>
      <w:r w:rsidR="001818ED">
        <w:t xml:space="preserve">sufficient </w:t>
      </w:r>
      <w:r w:rsidRPr="00327337" w:rsidR="00327337">
        <w:t>warnings in the mobile app to advise customers to contact 911 in the event of an emergency</w:t>
      </w:r>
      <w:r w:rsidR="00327337">
        <w:t>.</w:t>
      </w:r>
      <w:r w:rsidR="001300A3">
        <w:rPr>
          <w:rStyle w:val="FootnoteReference"/>
        </w:rPr>
        <w:footnoteReference w:id="77"/>
      </w:r>
      <w:r w:rsidR="00327337">
        <w:t xml:space="preserve"> </w:t>
      </w:r>
      <w:r w:rsidR="001300A3">
        <w:t xml:space="preserve"> For example, PG&amp;E explains that the app will advise customers to call 911 if a lines-down or other emergency situation exists.</w:t>
      </w:r>
      <w:r w:rsidR="001300A3">
        <w:rPr>
          <w:rStyle w:val="FootnoteReference"/>
        </w:rPr>
        <w:footnoteReference w:id="78"/>
      </w:r>
      <w:r w:rsidR="001300A3">
        <w:t xml:space="preserve"> </w:t>
      </w:r>
    </w:p>
    <w:bookmarkEnd w:id="91"/>
    <w:p w:rsidR="00770946" w:rsidP="0087100E" w:rsidRDefault="003E60D8" w14:paraId="757C1A4B" w14:textId="0644E0C8">
      <w:pPr>
        <w:pStyle w:val="Standard"/>
      </w:pPr>
      <w:r>
        <w:t>With the addition of th</w:t>
      </w:r>
      <w:r w:rsidR="00C54BD2">
        <w:t xml:space="preserve">e </w:t>
      </w:r>
      <w:r w:rsidR="00AC1481">
        <w:t>requirement</w:t>
      </w:r>
      <w:r w:rsidR="006C081F">
        <w:t>s</w:t>
      </w:r>
      <w:r w:rsidR="00AC1481">
        <w:t xml:space="preserve"> for a</w:t>
      </w:r>
      <w:r w:rsidR="00023431">
        <w:t xml:space="preserve"> complaint intake platform</w:t>
      </w:r>
      <w:r>
        <w:t xml:space="preserve"> integration assessment</w:t>
      </w:r>
      <w:r w:rsidR="00327337">
        <w:t xml:space="preserve"> </w:t>
      </w:r>
      <w:r w:rsidR="006C081F">
        <w:t xml:space="preserve">by the independent consultant, </w:t>
      </w:r>
      <w:r w:rsidR="00327337">
        <w:t xml:space="preserve"> </w:t>
      </w:r>
      <w:r w:rsidR="006C081F">
        <w:t xml:space="preserve">all needed </w:t>
      </w:r>
      <w:r w:rsidR="00327337">
        <w:t>warning</w:t>
      </w:r>
      <w:r w:rsidR="006136E3">
        <w:t>s</w:t>
      </w:r>
      <w:r w:rsidR="00327337">
        <w:t xml:space="preserve"> </w:t>
      </w:r>
      <w:r w:rsidR="006C081F">
        <w:t>to advise customers</w:t>
      </w:r>
      <w:r w:rsidR="00327337">
        <w:t xml:space="preserve"> </w:t>
      </w:r>
      <w:r w:rsidR="006C081F">
        <w:t xml:space="preserve">not to rely on the app for emergency/911 matters, and </w:t>
      </w:r>
      <w:r w:rsidR="251BB393">
        <w:t xml:space="preserve">any additional </w:t>
      </w:r>
      <w:r w:rsidR="006C081F">
        <w:t>warning</w:t>
      </w:r>
      <w:r w:rsidR="25070E5E">
        <w:t>s</w:t>
      </w:r>
      <w:r w:rsidR="006C081F">
        <w:t xml:space="preserve"> on </w:t>
      </w:r>
      <w:r w:rsidR="00327337">
        <w:t xml:space="preserve">how to </w:t>
      </w:r>
      <w:r w:rsidR="006C081F">
        <w:t xml:space="preserve">appropriately </w:t>
      </w:r>
      <w:r w:rsidR="00327337">
        <w:t>respond to emergenc</w:t>
      </w:r>
      <w:r w:rsidR="404DE8D8">
        <w:t>y</w:t>
      </w:r>
      <w:r w:rsidR="006C081F">
        <w:t>/911 matters</w:t>
      </w:r>
      <w:r w:rsidR="00327337">
        <w:t>,</w:t>
      </w:r>
      <w:r>
        <w:t xml:space="preserve"> </w:t>
      </w:r>
      <w:r w:rsidR="00011E22">
        <w:t xml:space="preserve">we find PG&amp;E’s proposed procedure for </w:t>
      </w:r>
      <w:r w:rsidR="009B613C">
        <w:t>the intake</w:t>
      </w:r>
      <w:r w:rsidR="00011E22">
        <w:t xml:space="preserve"> of </w:t>
      </w:r>
      <w:r w:rsidR="009B613C">
        <w:t xml:space="preserve">the </w:t>
      </w:r>
      <w:r w:rsidR="00011E22">
        <w:t xml:space="preserve">mobile app submittals adequate.     </w:t>
      </w:r>
    </w:p>
    <w:p w:rsidR="00C616B7" w:rsidP="009C147C" w:rsidRDefault="0068061A" w14:paraId="2B70DE96" w14:textId="59FB9D4F">
      <w:pPr>
        <w:pStyle w:val="Heading2"/>
        <w:numPr>
          <w:ilvl w:val="1"/>
          <w:numId w:val="61"/>
        </w:numPr>
      </w:pPr>
      <w:bookmarkStart w:name="_Toc52866551" w:id="92"/>
      <w:bookmarkEnd w:id="90"/>
      <w:r w:rsidRPr="0068061A">
        <w:t>Development Period and</w:t>
      </w:r>
      <w:r w:rsidR="00871EA6">
        <w:t xml:space="preserve"> </w:t>
      </w:r>
      <w:r w:rsidR="005648CA">
        <w:t xml:space="preserve">Pilot </w:t>
      </w:r>
      <w:r w:rsidR="00871EA6">
        <w:t>Launch</w:t>
      </w:r>
      <w:r w:rsidRPr="0068061A">
        <w:t xml:space="preserve"> Date</w:t>
      </w:r>
      <w:bookmarkEnd w:id="92"/>
    </w:p>
    <w:p w:rsidR="00032F7D" w:rsidP="002E7FB8" w:rsidRDefault="006707C7" w14:paraId="172AA31C" w14:textId="0CBB18EC">
      <w:pPr>
        <w:pStyle w:val="Standard"/>
      </w:pPr>
      <w:r>
        <w:t xml:space="preserve">Based on the scope of its proposal, </w:t>
      </w:r>
      <w:r w:rsidR="00C616B7">
        <w:t>PG&amp;E</w:t>
      </w:r>
      <w:r w:rsidR="009D1B72">
        <w:t xml:space="preserve"> initially</w:t>
      </w:r>
      <w:r w:rsidR="00C616B7">
        <w:t xml:space="preserve"> estimate</w:t>
      </w:r>
      <w:r w:rsidR="00CE6851">
        <w:t xml:space="preserve">d </w:t>
      </w:r>
      <w:r w:rsidR="00C616B7">
        <w:t>that it w</w:t>
      </w:r>
      <w:r w:rsidR="00CE6851">
        <w:t>ould</w:t>
      </w:r>
      <w:r w:rsidR="00C616B7">
        <w:t xml:space="preserve"> take </w:t>
      </w:r>
      <w:r w:rsidR="00782EF1">
        <w:t xml:space="preserve">four to six </w:t>
      </w:r>
      <w:r w:rsidR="00C616B7">
        <w:t xml:space="preserve">months </w:t>
      </w:r>
      <w:r w:rsidR="00782EF1">
        <w:t xml:space="preserve">from the </w:t>
      </w:r>
      <w:r w:rsidR="003D79D3">
        <w:t>date</w:t>
      </w:r>
      <w:r w:rsidR="00782EF1">
        <w:t xml:space="preserve"> of </w:t>
      </w:r>
      <w:r w:rsidR="00C616B7">
        <w:t xml:space="preserve">Commission </w:t>
      </w:r>
      <w:r w:rsidR="00565B08">
        <w:t>authorization</w:t>
      </w:r>
      <w:r w:rsidR="00C616B7">
        <w:t xml:space="preserve"> </w:t>
      </w:r>
      <w:r w:rsidR="003D79D3">
        <w:t xml:space="preserve">of the pilot </w:t>
      </w:r>
      <w:r w:rsidR="00C616B7">
        <w:t>to prepare for the launch of the pilot.</w:t>
      </w:r>
      <w:r w:rsidR="00AF6FDE">
        <w:rPr>
          <w:rStyle w:val="FootnoteReference"/>
        </w:rPr>
        <w:footnoteReference w:id="79"/>
      </w:r>
      <w:r w:rsidR="00C616B7">
        <w:t xml:space="preserve">  </w:t>
      </w:r>
      <w:r w:rsidR="00CE6851">
        <w:t>PG&amp;E explained that t</w:t>
      </w:r>
      <w:r w:rsidR="00C616B7">
        <w:t>his w</w:t>
      </w:r>
      <w:r w:rsidR="00CE6851">
        <w:t>ould</w:t>
      </w:r>
      <w:r w:rsidR="00C616B7">
        <w:t xml:space="preserve"> allow PG&amp;E </w:t>
      </w:r>
      <w:r w:rsidR="001A4DB0">
        <w:t xml:space="preserve">time </w:t>
      </w:r>
      <w:r w:rsidR="00C616B7">
        <w:t>to develop the public</w:t>
      </w:r>
      <w:r w:rsidR="00E26F7E">
        <w:t>-</w:t>
      </w:r>
      <w:r w:rsidR="00C616B7">
        <w:t>facing mobile application, define the back-end process integration needed to support the pilot</w:t>
      </w:r>
      <w:r w:rsidR="00782EF1">
        <w:t>,</w:t>
      </w:r>
      <w:r w:rsidR="00C616B7">
        <w:t xml:space="preserve"> and identify a process for reporting status to the submitter.</w:t>
      </w:r>
      <w:r w:rsidR="005244D3">
        <w:rPr>
          <w:rStyle w:val="FootnoteReference"/>
        </w:rPr>
        <w:footnoteReference w:id="80"/>
      </w:r>
      <w:r w:rsidR="00E36F05">
        <w:t xml:space="preserve">  </w:t>
      </w:r>
      <w:r w:rsidRPr="00711295" w:rsidR="00711295">
        <w:t xml:space="preserve">PG&amp;E also </w:t>
      </w:r>
      <w:r w:rsidR="00B81EBF">
        <w:t xml:space="preserve">initially </w:t>
      </w:r>
      <w:r w:rsidRPr="00711295" w:rsidR="00B81EBF">
        <w:t>propose</w:t>
      </w:r>
      <w:r w:rsidR="00B81EBF">
        <w:t>d</w:t>
      </w:r>
      <w:r w:rsidRPr="00711295" w:rsidR="00B81EBF">
        <w:t xml:space="preserve"> that</w:t>
      </w:r>
      <w:r w:rsidRPr="00711295" w:rsidR="00711295">
        <w:t xml:space="preserve"> it be </w:t>
      </w:r>
      <w:r w:rsidRPr="00711295" w:rsidR="00711295">
        <w:lastRenderedPageBreak/>
        <w:t xml:space="preserve">authorized to launch the pilot after the end of the upcoming </w:t>
      </w:r>
      <w:r w:rsidR="001D04DE">
        <w:t>wild</w:t>
      </w:r>
      <w:r w:rsidRPr="00711295" w:rsidR="00711295">
        <w:t>fire season, approximately in the first quarter 2021.</w:t>
      </w:r>
      <w:r w:rsidRPr="00711295" w:rsidR="00711295">
        <w:rPr>
          <w:vertAlign w:val="superscript"/>
        </w:rPr>
        <w:footnoteReference w:id="81"/>
      </w:r>
    </w:p>
    <w:p w:rsidR="0060640A" w:rsidP="0087100E" w:rsidRDefault="006707C7" w14:paraId="7208C415" w14:textId="00B7CCD0">
      <w:pPr>
        <w:pStyle w:val="Standard"/>
      </w:pPr>
      <w:r>
        <w:t>In comments submitted in response to the proposed decision, PG&amp;E suggest</w:t>
      </w:r>
      <w:r w:rsidR="00C41CC8">
        <w:t>s</w:t>
      </w:r>
      <w:r>
        <w:t xml:space="preserve"> that the Commission afford PG&amp;E additional time, beyond six months, to </w:t>
      </w:r>
      <w:r w:rsidR="006F00DB">
        <w:t>launch</w:t>
      </w:r>
      <w:r>
        <w:t xml:space="preserve"> the pilot to account for the</w:t>
      </w:r>
      <w:r w:rsidR="006F00DB">
        <w:t xml:space="preserve"> additional work required to address the</w:t>
      </w:r>
      <w:r>
        <w:t xml:space="preserve"> expended scope of the pilot recommended by the proposed decision, and </w:t>
      </w:r>
      <w:r w:rsidR="006F00DB">
        <w:t xml:space="preserve">to avoid diverting </w:t>
      </w:r>
      <w:r>
        <w:t xml:space="preserve">critical resources and staff </w:t>
      </w:r>
      <w:r w:rsidR="006F00DB">
        <w:t>away from</w:t>
      </w:r>
      <w:r>
        <w:t xml:space="preserve"> wildfi</w:t>
      </w:r>
      <w:r w:rsidR="41AA14D0">
        <w:t>re mitigation</w:t>
      </w:r>
      <w:r>
        <w:t xml:space="preserve"> for the next several month</w:t>
      </w:r>
      <w:r w:rsidR="3F649F15">
        <w:t>s</w:t>
      </w:r>
      <w:r>
        <w:t>.</w:t>
      </w:r>
      <w:r w:rsidR="006F00DB">
        <w:rPr>
          <w:rStyle w:val="FootnoteReference"/>
        </w:rPr>
        <w:footnoteReference w:id="82"/>
      </w:r>
      <w:r>
        <w:t xml:space="preserve"> </w:t>
      </w:r>
      <w:r w:rsidR="006F00DB">
        <w:t xml:space="preserve">BBIC </w:t>
      </w:r>
      <w:r w:rsidR="00B0462B">
        <w:t>concedes</w:t>
      </w:r>
      <w:r w:rsidR="006F00DB">
        <w:t xml:space="preserve"> that eight months would be reasonable but oppose</w:t>
      </w:r>
      <w:r w:rsidR="63F0E513">
        <w:t>s</w:t>
      </w:r>
      <w:r w:rsidR="006F00DB">
        <w:t xml:space="preserve"> any additional time as only serving to delay the </w:t>
      </w:r>
      <w:r w:rsidR="00B0462B">
        <w:t xml:space="preserve">use of the </w:t>
      </w:r>
      <w:r w:rsidR="006F00DB">
        <w:t>safety improvements offered by the mobile app.</w:t>
      </w:r>
      <w:r w:rsidR="006F00DB">
        <w:rPr>
          <w:rStyle w:val="FootnoteReference"/>
        </w:rPr>
        <w:footnoteReference w:id="83"/>
      </w:r>
      <w:r w:rsidR="00AD5A9E">
        <w:t xml:space="preserve"> </w:t>
      </w:r>
    </w:p>
    <w:p w:rsidRPr="00380D3B" w:rsidR="00380D3B" w:rsidP="00B0462B" w:rsidRDefault="00E36F05" w14:paraId="28E95C9C" w14:textId="4F8A9709">
      <w:pPr>
        <w:pStyle w:val="Standard"/>
      </w:pPr>
      <w:bookmarkStart w:name="_Hlk45715020" w:id="95"/>
      <w:r>
        <w:t xml:space="preserve">We find </w:t>
      </w:r>
      <w:r w:rsidR="00E26F7E">
        <w:t xml:space="preserve">reasonable </w:t>
      </w:r>
      <w:r w:rsidR="004B14B5">
        <w:t xml:space="preserve">a </w:t>
      </w:r>
      <w:r>
        <w:t>timeline</w:t>
      </w:r>
      <w:r w:rsidR="00C27A31">
        <w:t xml:space="preserve"> of up to </w:t>
      </w:r>
      <w:r w:rsidR="00C41CC8">
        <w:t>10</w:t>
      </w:r>
      <w:r w:rsidR="00C27A31">
        <w:t xml:space="preserve"> months</w:t>
      </w:r>
      <w:r w:rsidR="00E26F7E">
        <w:t xml:space="preserve"> from</w:t>
      </w:r>
      <w:r w:rsidR="00380D3B">
        <w:t xml:space="preserve"> effective date of this decision</w:t>
      </w:r>
      <w:r w:rsidR="00E26F7E">
        <w:t xml:space="preserve"> to the date of </w:t>
      </w:r>
      <w:r w:rsidR="00E300AC">
        <w:t xml:space="preserve">the </w:t>
      </w:r>
      <w:r w:rsidR="00E26F7E">
        <w:t>pilot</w:t>
      </w:r>
      <w:r w:rsidR="00E300AC">
        <w:t>’s</w:t>
      </w:r>
      <w:r w:rsidR="00E26F7E">
        <w:t xml:space="preserve"> launch</w:t>
      </w:r>
      <w:r w:rsidR="00445F3A">
        <w:t>.</w:t>
      </w:r>
      <w:r w:rsidR="00871EA6">
        <w:t xml:space="preserve"> </w:t>
      </w:r>
      <w:r w:rsidR="002C1A8E">
        <w:t xml:space="preserve"> </w:t>
      </w:r>
      <w:r w:rsidR="00C41CC8">
        <w:t>This timeline will provide PG&amp;E wi</w:t>
      </w:r>
      <w:r w:rsidR="02C19838">
        <w:t>th</w:t>
      </w:r>
      <w:r w:rsidR="00C41CC8">
        <w:t xml:space="preserve"> enough time to develop the pilot consistent with </w:t>
      </w:r>
      <w:r w:rsidR="001E3DC7">
        <w:t xml:space="preserve">the </w:t>
      </w:r>
      <w:r w:rsidR="00C41CC8">
        <w:t xml:space="preserve">scope adopted herein while continuing to dedicate sufficient resources to wildfire </w:t>
      </w:r>
      <w:r w:rsidR="001E3DC7">
        <w:t>mitigation</w:t>
      </w:r>
      <w:r w:rsidR="00C41CC8">
        <w:t xml:space="preserve">. </w:t>
      </w:r>
      <w:r w:rsidR="00871EA6">
        <w:t xml:space="preserve">The </w:t>
      </w:r>
      <w:r w:rsidR="001D04DE">
        <w:t xml:space="preserve">launch of the </w:t>
      </w:r>
      <w:r w:rsidR="00871EA6">
        <w:t xml:space="preserve">pilot will </w:t>
      </w:r>
      <w:r w:rsidR="001D04DE">
        <w:t xml:space="preserve">occur </w:t>
      </w:r>
      <w:r w:rsidR="00445F3A">
        <w:t>on the date that PG&amp;E provides customers with access to the mobile app</w:t>
      </w:r>
      <w:r w:rsidR="00AF6FDE">
        <w:t xml:space="preserve"> pilot</w:t>
      </w:r>
      <w:r w:rsidR="00445F3A">
        <w:t xml:space="preserve"> and </w:t>
      </w:r>
      <w:r w:rsidR="00F96959">
        <w:t xml:space="preserve">the </w:t>
      </w:r>
      <w:r w:rsidR="00445F3A">
        <w:t xml:space="preserve">mobile app </w:t>
      </w:r>
      <w:r w:rsidR="00AF6FDE">
        <w:t xml:space="preserve">pilot </w:t>
      </w:r>
      <w:r w:rsidR="00445F3A">
        <w:t>is fully functional</w:t>
      </w:r>
      <w:r w:rsidR="00871EA6">
        <w:t>.</w:t>
      </w:r>
      <w:r w:rsidR="00380D3B">
        <w:t xml:space="preserve"> </w:t>
      </w:r>
      <w:r w:rsidRPr="00380D3B" w:rsidR="00380D3B">
        <w:t xml:space="preserve">, </w:t>
      </w:r>
      <w:r w:rsidR="00C41CC8">
        <w:t xml:space="preserve">However, we encourage </w:t>
      </w:r>
      <w:r w:rsidRPr="00380D3B" w:rsidR="00380D3B">
        <w:t xml:space="preserve">PG&amp;E </w:t>
      </w:r>
      <w:r w:rsidR="00C41CC8">
        <w:t>to</w:t>
      </w:r>
      <w:r w:rsidRPr="00380D3B" w:rsidR="00380D3B">
        <w:t xml:space="preserve"> launch the pilot as soon as practicable</w:t>
      </w:r>
      <w:r w:rsidR="00C41CC8">
        <w:t>, even before the expiration of this 10 month period, so that the proposed safety features of the mobile app can be used by customers without undue delay.</w:t>
      </w:r>
    </w:p>
    <w:p w:rsidR="00F13C12" w:rsidP="009C3EA9" w:rsidRDefault="00F13C12" w14:paraId="1FA74BF4" w14:textId="426B93BC">
      <w:pPr>
        <w:pStyle w:val="Heading2"/>
        <w:numPr>
          <w:ilvl w:val="1"/>
          <w:numId w:val="61"/>
        </w:numPr>
        <w:ind w:left="1440"/>
      </w:pPr>
      <w:bookmarkStart w:name="_Toc45796516" w:id="96"/>
      <w:bookmarkStart w:name="_Toc45823101" w:id="97"/>
      <w:bookmarkStart w:name="_Toc45824282" w:id="98"/>
      <w:bookmarkStart w:name="_Toc46751364" w:id="99"/>
      <w:bookmarkStart w:name="_Toc46751622" w:id="100"/>
      <w:bookmarkStart w:name="_Toc46762599" w:id="101"/>
      <w:bookmarkStart w:name="_Toc46762744" w:id="102"/>
      <w:bookmarkStart w:name="_Toc46762889" w:id="103"/>
      <w:bookmarkStart w:name="_Toc46763034" w:id="104"/>
      <w:bookmarkStart w:name="_Toc46940247" w:id="105"/>
      <w:bookmarkStart w:name="_Toc52866552" w:id="106"/>
      <w:bookmarkEnd w:id="95"/>
      <w:bookmarkEnd w:id="96"/>
      <w:bookmarkEnd w:id="97"/>
      <w:bookmarkEnd w:id="98"/>
      <w:bookmarkEnd w:id="99"/>
      <w:bookmarkEnd w:id="100"/>
      <w:bookmarkEnd w:id="101"/>
      <w:bookmarkEnd w:id="102"/>
      <w:bookmarkEnd w:id="103"/>
      <w:bookmarkEnd w:id="104"/>
      <w:bookmarkEnd w:id="105"/>
      <w:r>
        <w:t>Training</w:t>
      </w:r>
      <w:r w:rsidR="00194ED4">
        <w:t xml:space="preserve"> and Artificial Intelligence</w:t>
      </w:r>
      <w:bookmarkEnd w:id="106"/>
    </w:p>
    <w:p w:rsidR="00E30954" w:rsidP="0087100E" w:rsidRDefault="00F13C12" w14:paraId="6EA8ACE6" w14:textId="456AD3AE">
      <w:pPr>
        <w:pStyle w:val="Standard"/>
      </w:pPr>
      <w:r>
        <w:t xml:space="preserve">BBIC argues that the Commission should order PG&amp;E to conduct outreach and training </w:t>
      </w:r>
      <w:r w:rsidR="00B3519C">
        <w:t xml:space="preserve">across California to promote optimal </w:t>
      </w:r>
      <w:r>
        <w:t>use of the mobile app.</w:t>
      </w:r>
      <w:r>
        <w:rPr>
          <w:rStyle w:val="FootnoteReference"/>
        </w:rPr>
        <w:footnoteReference w:id="84"/>
      </w:r>
      <w:r>
        <w:t xml:space="preserve">  </w:t>
      </w:r>
      <w:r w:rsidR="009F53CC">
        <w:t xml:space="preserve">BBIC </w:t>
      </w:r>
      <w:r w:rsidR="009F53CC">
        <w:lastRenderedPageBreak/>
        <w:t>further states that the Commission “should order PG&amp;E to engage in public training as part of this Application to inform the public about how to recognize safety issues and C</w:t>
      </w:r>
      <w:r w:rsidR="00157487">
        <w:t xml:space="preserve">ommission </w:t>
      </w:r>
      <w:r w:rsidR="009F53CC">
        <w:t>rule violations on PG&amp;E’s facilities in a manner that is safe for the public and does not cause any damage o</w:t>
      </w:r>
      <w:r w:rsidR="00087B19">
        <w:t>r</w:t>
      </w:r>
      <w:r w:rsidR="009F53CC">
        <w:t xml:space="preserve"> hazards to PG&amp;E</w:t>
      </w:r>
      <w:r w:rsidR="00157487">
        <w:t>’s assets</w:t>
      </w:r>
      <w:r w:rsidR="009F53CC">
        <w:t xml:space="preserve"> or other facilities.</w:t>
      </w:r>
      <w:r w:rsidR="00AF6FDE">
        <w:t>”</w:t>
      </w:r>
      <w:r w:rsidR="009F53CC">
        <w:rPr>
          <w:rStyle w:val="FootnoteReference"/>
        </w:rPr>
        <w:footnoteReference w:id="85"/>
      </w:r>
      <w:r w:rsidR="00EB2328">
        <w:t xml:space="preserve">  As part of the public training, BBIC states that the Commission should order PG&amp;E to train the public about electric hazards, joint</w:t>
      </w:r>
      <w:r w:rsidR="00B3519C">
        <w:t>-</w:t>
      </w:r>
      <w:r w:rsidR="00EB2328">
        <w:t xml:space="preserve">use </w:t>
      </w:r>
      <w:r w:rsidR="00B3519C">
        <w:t xml:space="preserve">utility </w:t>
      </w:r>
      <w:r w:rsidR="00EB2328">
        <w:t xml:space="preserve">poles, Commission </w:t>
      </w:r>
      <w:r w:rsidR="00157487">
        <w:t>r</w:t>
      </w:r>
      <w:r w:rsidR="00EB2328">
        <w:t xml:space="preserve">ules, </w:t>
      </w:r>
      <w:r w:rsidR="00B3519C">
        <w:t xml:space="preserve">and </w:t>
      </w:r>
      <w:r w:rsidR="00EB2328">
        <w:t>safe use of the mobile app, including downed pole line safety and traffic safety.</w:t>
      </w:r>
      <w:r w:rsidR="00EB2328">
        <w:rPr>
          <w:rStyle w:val="FootnoteReference"/>
        </w:rPr>
        <w:footnoteReference w:id="86"/>
      </w:r>
      <w:r w:rsidR="00F63CD8">
        <w:t xml:space="preserve"> </w:t>
      </w:r>
      <w:r w:rsidR="00AF6FDE">
        <w:t xml:space="preserve"> </w:t>
      </w:r>
      <w:r w:rsidR="00194ED4">
        <w:t xml:space="preserve">In addition to training the public, BBIC suggests that PG&amp;E </w:t>
      </w:r>
      <w:r w:rsidR="00B55D6F">
        <w:t>employ artificial intelligence and machine learning to ensure the efficiency of the mobile app.</w:t>
      </w:r>
      <w:r w:rsidR="00B55D6F">
        <w:rPr>
          <w:rStyle w:val="FootnoteReference"/>
        </w:rPr>
        <w:footnoteReference w:id="87"/>
      </w:r>
      <w:r w:rsidR="008D0FDA">
        <w:t xml:space="preserve"> </w:t>
      </w:r>
      <w:r w:rsidR="00AF6FDE">
        <w:t xml:space="preserve"> </w:t>
      </w:r>
      <w:r w:rsidR="008D0FDA">
        <w:t>Specifically, BBIC argues that photo analysis through artificial intelligence will significantly improve the proposed mobile app.</w:t>
      </w:r>
      <w:r w:rsidR="008D0FDA">
        <w:rPr>
          <w:rStyle w:val="FootnoteReference"/>
        </w:rPr>
        <w:footnoteReference w:id="88"/>
      </w:r>
      <w:r w:rsidR="004F0A26">
        <w:t xml:space="preserve"> </w:t>
      </w:r>
    </w:p>
    <w:p w:rsidR="00106D03" w:rsidP="0087100E" w:rsidRDefault="004F0A26" w14:paraId="10900A56" w14:textId="7732FA6C">
      <w:pPr>
        <w:pStyle w:val="Standard"/>
      </w:pPr>
      <w:r>
        <w:t xml:space="preserve">In response to the issue of artificial intelligence, PG&amp;E explains that </w:t>
      </w:r>
      <w:r w:rsidR="00DD6196">
        <w:t xml:space="preserve">its existing </w:t>
      </w:r>
      <w:r>
        <w:t>artificial intelligence</w:t>
      </w:r>
      <w:r w:rsidR="00DD6196">
        <w:t xml:space="preserve"> capacity</w:t>
      </w:r>
      <w:r>
        <w:t xml:space="preserve"> is “emergent and not operational” and points out that I.19-06-015 does </w:t>
      </w:r>
      <w:r w:rsidR="00D46E51">
        <w:t xml:space="preserve">not </w:t>
      </w:r>
      <w:r>
        <w:t>require the use of artificial intelligence.</w:t>
      </w:r>
      <w:r>
        <w:rPr>
          <w:rStyle w:val="FootnoteReference"/>
        </w:rPr>
        <w:footnoteReference w:id="89"/>
      </w:r>
      <w:r>
        <w:t xml:space="preserve"> </w:t>
      </w:r>
      <w:r w:rsidR="00AF6FDE">
        <w:t xml:space="preserve"> </w:t>
      </w:r>
    </w:p>
    <w:p w:rsidR="00B55D6F" w:rsidP="0087100E" w:rsidRDefault="00E30954" w14:paraId="508CA7E0" w14:textId="642DC1BB">
      <w:pPr>
        <w:pStyle w:val="Standard"/>
      </w:pPr>
      <w:r>
        <w:t>On the topic of training, PG&amp;E argues that BBIC suggestions are misplaced.</w:t>
      </w:r>
      <w:r>
        <w:rPr>
          <w:rStyle w:val="FootnoteReference"/>
        </w:rPr>
        <w:footnoteReference w:id="90"/>
      </w:r>
      <w:r>
        <w:t xml:space="preserve">  PG&amp;E explains that to </w:t>
      </w:r>
      <w:r w:rsidR="00DD6196">
        <w:t>accommodate</w:t>
      </w:r>
      <w:r>
        <w:t xml:space="preserve"> BB</w:t>
      </w:r>
      <w:r w:rsidR="008D2C85">
        <w:t>IC</w:t>
      </w:r>
      <w:r>
        <w:t>’s suggestion</w:t>
      </w:r>
      <w:r w:rsidR="00DD6196">
        <w:t>s</w:t>
      </w:r>
      <w:r w:rsidR="00831F72">
        <w:t xml:space="preserve"> on training</w:t>
      </w:r>
      <w:r>
        <w:t xml:space="preserve"> it would need to “summarize every specification that PG&amp;E has for construction, engineering and design of its system, and place </w:t>
      </w:r>
      <w:r w:rsidR="00D46E51">
        <w:t xml:space="preserve">those </w:t>
      </w:r>
      <w:r>
        <w:t xml:space="preserve">in the web-based safety </w:t>
      </w:r>
      <w:r>
        <w:lastRenderedPageBreak/>
        <w:t>application</w:t>
      </w:r>
      <w:r w:rsidR="00D46E51">
        <w:t>.</w:t>
      </w:r>
      <w:r w:rsidR="006E0457">
        <w:t>”</w:t>
      </w:r>
      <w:r w:rsidR="006E0457">
        <w:rPr>
          <w:rStyle w:val="FootnoteReference"/>
        </w:rPr>
        <w:footnoteReference w:id="91"/>
      </w:r>
      <w:r w:rsidR="006E0457">
        <w:t xml:space="preserve">  </w:t>
      </w:r>
      <w:r w:rsidR="00D46E51">
        <w:t xml:space="preserve">PG&amp;E </w:t>
      </w:r>
      <w:r w:rsidR="00B3519C">
        <w:t xml:space="preserve">further protests </w:t>
      </w:r>
      <w:r w:rsidR="00D46E51">
        <w:t>that</w:t>
      </w:r>
      <w:r w:rsidR="00B3519C">
        <w:t xml:space="preserve"> doing so</w:t>
      </w:r>
      <w:r w:rsidR="00D46E51">
        <w:t xml:space="preserve"> </w:t>
      </w:r>
      <w:r>
        <w:t>would not only be a monumental level of effort but</w:t>
      </w:r>
      <w:r w:rsidR="00B3519C">
        <w:t xml:space="preserve"> that</w:t>
      </w:r>
      <w:r>
        <w:t xml:space="preserve"> many of the</w:t>
      </w:r>
      <w:r w:rsidR="00B3519C">
        <w:t xml:space="preserve"> implicated</w:t>
      </w:r>
      <w:r>
        <w:t xml:space="preserve"> specifications are confidential in nature</w:t>
      </w:r>
      <w:r w:rsidR="00B3519C">
        <w:t xml:space="preserve">, </w:t>
      </w:r>
      <w:r>
        <w:t>and broad disclosure would p</w:t>
      </w:r>
      <w:r w:rsidR="00DD6196">
        <w:t>ose a</w:t>
      </w:r>
      <w:r>
        <w:t xml:space="preserve"> s</w:t>
      </w:r>
      <w:r w:rsidR="00DD6196">
        <w:t>ecurity</w:t>
      </w:r>
      <w:r>
        <w:t xml:space="preserve"> </w:t>
      </w:r>
      <w:r w:rsidR="00DD6196">
        <w:t xml:space="preserve">risk to </w:t>
      </w:r>
      <w:r w:rsidR="006E0457">
        <w:t xml:space="preserve">its electrical </w:t>
      </w:r>
      <w:r>
        <w:t>system</w:t>
      </w:r>
      <w:r w:rsidR="00DD6196">
        <w:t>.</w:t>
      </w:r>
      <w:r w:rsidR="006E0457">
        <w:t xml:space="preserve"> </w:t>
      </w:r>
      <w:r w:rsidR="009C3EA9">
        <w:t xml:space="preserve"> </w:t>
      </w:r>
      <w:r>
        <w:t xml:space="preserve">PG&amp;E </w:t>
      </w:r>
      <w:r w:rsidR="00B3519C">
        <w:t xml:space="preserve">explains that it is receptive </w:t>
      </w:r>
      <w:r>
        <w:t>to</w:t>
      </w:r>
      <w:r w:rsidR="00DD6196">
        <w:t xml:space="preserve"> providing</w:t>
      </w:r>
      <w:r>
        <w:t xml:space="preserve"> training </w:t>
      </w:r>
      <w:r w:rsidR="00B3519C">
        <w:t>opportunities</w:t>
      </w:r>
      <w:r w:rsidR="00DD6196">
        <w:t xml:space="preserve"> for the public,</w:t>
      </w:r>
      <w:r w:rsidR="00B3519C">
        <w:t xml:space="preserve"> </w:t>
      </w:r>
      <w:r>
        <w:t>and intends to use the pilot to gather information on what types of training the public might benefit from.</w:t>
      </w:r>
      <w:r w:rsidR="00163A9D">
        <w:rPr>
          <w:rStyle w:val="FootnoteReference"/>
        </w:rPr>
        <w:footnoteReference w:id="92"/>
      </w:r>
      <w:r>
        <w:t xml:space="preserve"> </w:t>
      </w:r>
      <w:r w:rsidR="00FB6EFA">
        <w:t xml:space="preserve"> PG&amp;E does not propose training during the pilot phase.</w:t>
      </w:r>
    </w:p>
    <w:p w:rsidRPr="002C3D4F" w:rsidR="002C3D4F" w:rsidP="009707CB" w:rsidRDefault="004F0A26" w14:paraId="6A49B548" w14:textId="4EC3CC10">
      <w:pPr>
        <w:pStyle w:val="Standard"/>
      </w:pPr>
      <w:r>
        <w:t>While BBIC may be correct that the use of artificial intelligence could offer advantages, we find that the technology is too new</w:t>
      </w:r>
      <w:r w:rsidR="006D3B88">
        <w:t xml:space="preserve"> and the record </w:t>
      </w:r>
      <w:r w:rsidR="00790E76">
        <w:t>here</w:t>
      </w:r>
      <w:r w:rsidR="00CC7D44">
        <w:t xml:space="preserve"> </w:t>
      </w:r>
      <w:r w:rsidR="00790E76">
        <w:t xml:space="preserve">insufficient to </w:t>
      </w:r>
      <w:r>
        <w:t>order PG&amp;E to implement artificial intelligence with</w:t>
      </w:r>
      <w:r w:rsidR="00283541">
        <w:t>in</w:t>
      </w:r>
      <w:r>
        <w:t xml:space="preserve"> this mobile app</w:t>
      </w:r>
      <w:r w:rsidR="00087B19">
        <w:t xml:space="preserve"> pilot</w:t>
      </w:r>
      <w:r>
        <w:t>.</w:t>
      </w:r>
      <w:r w:rsidR="00E30954">
        <w:t xml:space="preserve"> </w:t>
      </w:r>
      <w:r w:rsidR="00163A9D">
        <w:t xml:space="preserve"> </w:t>
      </w:r>
      <w:r w:rsidR="00E30954">
        <w:t xml:space="preserve">Regarding training, </w:t>
      </w:r>
      <w:r w:rsidR="00163A9D">
        <w:t xml:space="preserve">BBIC’s suggestions are informative but overbroad.  Taking into consideration that PG&amp;E is going to use the pilot to gather more information about the need for training, </w:t>
      </w:r>
      <w:bookmarkStart w:name="_Hlk41919258" w:id="110"/>
      <w:r w:rsidR="00E30954">
        <w:t xml:space="preserve">we direct PG&amp;E to </w:t>
      </w:r>
      <w:r w:rsidR="0034019B">
        <w:t xml:space="preserve">offer and conduct </w:t>
      </w:r>
      <w:r w:rsidR="00E30954">
        <w:t xml:space="preserve">any </w:t>
      </w:r>
      <w:r w:rsidR="00DD6196">
        <w:t xml:space="preserve">and all </w:t>
      </w:r>
      <w:r w:rsidR="00E30954">
        <w:t xml:space="preserve">training </w:t>
      </w:r>
      <w:r w:rsidR="0034019B">
        <w:t xml:space="preserve">of mobile app users to the extent </w:t>
      </w:r>
      <w:r w:rsidR="00E30954">
        <w:t>necessary to promote the success of the mobile app</w:t>
      </w:r>
      <w:r w:rsidR="00087B19">
        <w:t xml:space="preserve"> pilot</w:t>
      </w:r>
      <w:bookmarkStart w:name="_Hlk42613473" w:id="111"/>
      <w:r w:rsidR="0034019B">
        <w:t xml:space="preserve">. </w:t>
      </w:r>
      <w:r w:rsidR="00CE0252">
        <w:t xml:space="preserve"> </w:t>
      </w:r>
      <w:r w:rsidR="0034019B">
        <w:t xml:space="preserve">PG&amp;E shall </w:t>
      </w:r>
      <w:r w:rsidR="00087B19">
        <w:t>report to S</w:t>
      </w:r>
      <w:r w:rsidR="008A6F5C">
        <w:t>P</w:t>
      </w:r>
      <w:r w:rsidR="00087B19">
        <w:t xml:space="preserve">D </w:t>
      </w:r>
      <w:r w:rsidR="00DD6196">
        <w:t xml:space="preserve">within </w:t>
      </w:r>
      <w:r w:rsidR="002A3A53">
        <w:t xml:space="preserve"> three months</w:t>
      </w:r>
      <w:r w:rsidR="00DD6196">
        <w:t xml:space="preserve"> from the effective date of this </w:t>
      </w:r>
      <w:r w:rsidR="007A58AE">
        <w:t>d</w:t>
      </w:r>
      <w:r w:rsidR="00DD6196">
        <w:t xml:space="preserve">ecision </w:t>
      </w:r>
      <w:r w:rsidR="00087B19">
        <w:t>on the types of training</w:t>
      </w:r>
      <w:r w:rsidR="00DD6196">
        <w:t>, and public education specifics</w:t>
      </w:r>
      <w:r w:rsidR="007A58AE">
        <w:t xml:space="preserve"> (</w:t>
      </w:r>
      <w:r w:rsidR="00DD6196">
        <w:t xml:space="preserve">including but not limited to </w:t>
      </w:r>
      <w:r w:rsidR="001F503B">
        <w:t>the format</w:t>
      </w:r>
      <w:r w:rsidR="00DD6196">
        <w:t>, location, and frequency)</w:t>
      </w:r>
      <w:r w:rsidR="00087B19">
        <w:t xml:space="preserve"> it </w:t>
      </w:r>
      <w:r w:rsidR="00DD6196">
        <w:t>expects to offer.</w:t>
      </w:r>
      <w:r w:rsidR="008445BC">
        <w:t xml:space="preserve"> </w:t>
      </w:r>
      <w:bookmarkStart w:name="_Hlk40358183" w:id="112"/>
      <w:r w:rsidR="00542826">
        <w:t xml:space="preserve"> </w:t>
      </w:r>
      <w:bookmarkEnd w:id="111"/>
      <w:r w:rsidR="008445BC">
        <w:t xml:space="preserve">The </w:t>
      </w:r>
      <w:r w:rsidRPr="00CC7D44" w:rsidR="008445BC">
        <w:t>evaluation</w:t>
      </w:r>
      <w:r w:rsidR="008445BC">
        <w:t xml:space="preserve"> of the pilot should </w:t>
      </w:r>
      <w:r w:rsidR="0034019B">
        <w:t xml:space="preserve">address </w:t>
      </w:r>
      <w:r w:rsidR="008445BC">
        <w:t xml:space="preserve">PG&amp;E’s </w:t>
      </w:r>
      <w:r w:rsidR="00486635">
        <w:t xml:space="preserve">training efforts, </w:t>
      </w:r>
      <w:r w:rsidR="0034019B">
        <w:t>including at minimum, a description</w:t>
      </w:r>
      <w:r w:rsidR="00381CC1">
        <w:t xml:space="preserve"> of subject matter covered, </w:t>
      </w:r>
      <w:r w:rsidR="00486635">
        <w:t>who participated</w:t>
      </w:r>
      <w:r w:rsidR="006A43AA">
        <w:t>,</w:t>
      </w:r>
      <w:r w:rsidR="00486635">
        <w:t xml:space="preserve"> and </w:t>
      </w:r>
      <w:r w:rsidR="00B6292B">
        <w:t>any feedback received.</w:t>
      </w:r>
    </w:p>
    <w:p w:rsidRPr="00864137" w:rsidR="00864137" w:rsidP="00157BB0" w:rsidRDefault="00864137" w14:paraId="492A3936" w14:textId="77777777">
      <w:pPr>
        <w:pStyle w:val="Heading1"/>
        <w:numPr>
          <w:ilvl w:val="0"/>
          <w:numId w:val="61"/>
        </w:numPr>
        <w:spacing w:after="0" w:line="360" w:lineRule="auto"/>
        <w:ind w:left="418" w:hanging="418"/>
      </w:pPr>
      <w:bookmarkStart w:name="_Toc52866553" w:id="113"/>
      <w:r w:rsidRPr="00864137">
        <w:t>Evaluation of Pilot</w:t>
      </w:r>
      <w:bookmarkEnd w:id="113"/>
    </w:p>
    <w:p w:rsidRPr="00864137" w:rsidR="00864137" w:rsidP="00157BB0" w:rsidRDefault="00864137" w14:paraId="73E1B045" w14:textId="7EB23203">
      <w:pPr>
        <w:pStyle w:val="Heading2"/>
        <w:numPr>
          <w:ilvl w:val="1"/>
          <w:numId w:val="63"/>
        </w:numPr>
        <w:spacing w:after="0" w:line="360" w:lineRule="auto"/>
      </w:pPr>
      <w:bookmarkStart w:name="_Toc52866554" w:id="114"/>
      <w:r w:rsidRPr="00864137">
        <w:t>PG&amp;E’s Proposal</w:t>
      </w:r>
      <w:bookmarkEnd w:id="114"/>
    </w:p>
    <w:p w:rsidRPr="00864137" w:rsidR="00864137" w:rsidP="00BA64A0" w:rsidRDefault="00864137" w14:paraId="5237CF7D" w14:textId="64789B69">
      <w:pPr>
        <w:pStyle w:val="Standard"/>
      </w:pPr>
      <w:r w:rsidRPr="00864137">
        <w:t xml:space="preserve">In its initial </w:t>
      </w:r>
      <w:r w:rsidRPr="00864137">
        <w:rPr>
          <w:i/>
          <w:iCs/>
        </w:rPr>
        <w:t>Mobile Application Pilot Implementation Report,</w:t>
      </w:r>
      <w:r w:rsidRPr="00864137">
        <w:t xml:space="preserve"> PG&amp;E states that the mobile app should, at a minimum, be evaluated according to the mobile </w:t>
      </w:r>
      <w:r w:rsidRPr="00864137">
        <w:lastRenderedPageBreak/>
        <w:t xml:space="preserve">app’s demonstrated benefit in reducing the risk of catastrophic wildfire measured against any resulting diversion of resources from other wildfire mitigation efforts. </w:t>
      </w:r>
      <w:r w:rsidR="00157BB0">
        <w:t xml:space="preserve"> </w:t>
      </w:r>
      <w:r w:rsidRPr="00864137">
        <w:t>Appropriate evaluation metrics, PG&amp;E explains, might include t</w:t>
      </w:r>
      <w:r w:rsidR="00BA64A0">
        <w:t xml:space="preserve">racking </w:t>
      </w:r>
      <w:r w:rsidRPr="00864137">
        <w:t xml:space="preserve">costs associated with carrying out the various quality assurance elements of the mobile app that </w:t>
      </w:r>
      <w:r w:rsidR="00BA64A0">
        <w:t xml:space="preserve">PG&amp;E </w:t>
      </w:r>
      <w:r w:rsidRPr="00864137">
        <w:t>describ</w:t>
      </w:r>
      <w:r w:rsidR="00BA64A0">
        <w:t>es</w:t>
      </w:r>
      <w:r w:rsidRPr="00864137">
        <w:t xml:space="preserve"> as necessary, including</w:t>
      </w:r>
      <w:r w:rsidR="00BA64A0">
        <w:t xml:space="preserve"> tracking the following</w:t>
      </w:r>
      <w:r w:rsidRPr="00864137">
        <w:t xml:space="preserve">: </w:t>
      </w:r>
    </w:p>
    <w:p w:rsidRPr="00864137" w:rsidR="00864137" w:rsidP="00157BB0" w:rsidRDefault="00864137" w14:paraId="421FCE52" w14:textId="77777777">
      <w:pPr>
        <w:pStyle w:val="ListBullet"/>
        <w:ind w:right="1440"/>
      </w:pPr>
      <w:r w:rsidRPr="00864137">
        <w:t xml:space="preserve">Submittals that do not report an ignition </w:t>
      </w:r>
      <w:proofErr w:type="gramStart"/>
      <w:r w:rsidRPr="00864137">
        <w:t>risk;</w:t>
      </w:r>
      <w:proofErr w:type="gramEnd"/>
      <w:r w:rsidRPr="00864137">
        <w:t xml:space="preserve"> </w:t>
      </w:r>
    </w:p>
    <w:p w:rsidRPr="00864137" w:rsidR="00864137" w:rsidP="00157BB0" w:rsidRDefault="00864137" w14:paraId="593AE672" w14:textId="77777777">
      <w:pPr>
        <w:pStyle w:val="ListBullet"/>
        <w:ind w:right="1440"/>
      </w:pPr>
      <w:r w:rsidRPr="00864137">
        <w:t xml:space="preserve">Emergencies that instead require a 911 </w:t>
      </w:r>
      <w:proofErr w:type="gramStart"/>
      <w:r w:rsidRPr="00864137">
        <w:t>response;</w:t>
      </w:r>
      <w:proofErr w:type="gramEnd"/>
      <w:r w:rsidRPr="00864137">
        <w:t xml:space="preserve"> </w:t>
      </w:r>
    </w:p>
    <w:p w:rsidRPr="00864137" w:rsidR="00864137" w:rsidP="00157BB0" w:rsidRDefault="00864137" w14:paraId="43A78845" w14:textId="77777777">
      <w:pPr>
        <w:pStyle w:val="ListBullet"/>
        <w:ind w:right="1440"/>
      </w:pPr>
      <w:r w:rsidRPr="00864137">
        <w:t xml:space="preserve">Issues outside of a </w:t>
      </w:r>
      <w:proofErr w:type="gramStart"/>
      <w:r w:rsidRPr="00864137">
        <w:t>HFTD;</w:t>
      </w:r>
      <w:proofErr w:type="gramEnd"/>
      <w:r w:rsidRPr="00864137">
        <w:t xml:space="preserve"> </w:t>
      </w:r>
    </w:p>
    <w:p w:rsidRPr="00864137" w:rsidR="00864137" w:rsidP="00157BB0" w:rsidRDefault="00864137" w14:paraId="0D238547" w14:textId="77777777">
      <w:pPr>
        <w:pStyle w:val="ListBullet"/>
        <w:ind w:right="1440"/>
      </w:pPr>
      <w:r w:rsidRPr="00864137">
        <w:t xml:space="preserve">Issues pertaining to assets that do not belong to PG&amp;E; and </w:t>
      </w:r>
    </w:p>
    <w:p w:rsidRPr="00864137" w:rsidR="00B616D7" w:rsidP="00157BB0" w:rsidRDefault="00864137" w14:paraId="4399463E" w14:textId="2088B9AF">
      <w:pPr>
        <w:pStyle w:val="ListBullet"/>
        <w:ind w:right="1440"/>
      </w:pPr>
      <w:r w:rsidRPr="00864137">
        <w:t>Issues that would have</w:t>
      </w:r>
      <w:r w:rsidR="00F50EA5">
        <w:t xml:space="preserve">, even in the absence of the </w:t>
      </w:r>
      <w:r w:rsidR="00812EBF">
        <w:t xml:space="preserve">mobile app </w:t>
      </w:r>
      <w:r w:rsidR="00F50EA5">
        <w:t>submittal, been</w:t>
      </w:r>
      <w:r w:rsidRPr="00864137">
        <w:t xml:space="preserve"> identified by PG&amp;E. </w:t>
      </w:r>
    </w:p>
    <w:p w:rsidRPr="00864137" w:rsidR="00864137" w:rsidP="0087100E" w:rsidRDefault="00864137" w14:paraId="2FB283AD" w14:textId="5F208DED">
      <w:pPr>
        <w:pStyle w:val="Standard"/>
      </w:pPr>
      <w:r w:rsidRPr="00864137">
        <w:t xml:space="preserve">PG&amp;E </w:t>
      </w:r>
      <w:r w:rsidR="00F50EA5">
        <w:t>suggests that these criteria and others must be tracked because</w:t>
      </w:r>
      <w:r w:rsidRPr="00864137">
        <w:t xml:space="preserve"> </w:t>
      </w:r>
      <w:r w:rsidR="00F50EA5">
        <w:t xml:space="preserve">it anticipates that </w:t>
      </w:r>
      <w:r w:rsidRPr="00864137">
        <w:t>the pilot will divert limited resources from other priority safety efforts such as wildfire risk reduction</w:t>
      </w:r>
      <w:r w:rsidR="00BA64A0">
        <w:t>.</w:t>
      </w:r>
      <w:r w:rsidR="00CE0252">
        <w:t xml:space="preserve"> </w:t>
      </w:r>
      <w:r w:rsidR="00BA64A0">
        <w:t xml:space="preserve"> </w:t>
      </w:r>
      <w:r w:rsidRPr="00864137">
        <w:t xml:space="preserve">In making this point, PG&amp;E states that, </w:t>
      </w:r>
    </w:p>
    <w:p w:rsidR="00E03640" w:rsidP="00157BB0" w:rsidRDefault="00864137" w14:paraId="69E7F1A6" w14:textId="384839E1">
      <w:pPr>
        <w:pStyle w:val="BlockQuote"/>
      </w:pPr>
      <w:r w:rsidRPr="00864137">
        <w:t>“[F]or submittals where the priority of the issue would be unclear, PG&amp;E likely would have to send a crew of qualified personnel out to investigate, … potentially diverting limited and qualified personnel away from higher priority work.”</w:t>
      </w:r>
      <w:r w:rsidRPr="00864137">
        <w:rPr>
          <w:vertAlign w:val="superscript"/>
        </w:rPr>
        <w:footnoteReference w:id="93"/>
      </w:r>
    </w:p>
    <w:p w:rsidRPr="00864137" w:rsidR="00864137" w:rsidP="00431C51" w:rsidRDefault="00864137" w14:paraId="68A26A5F" w14:textId="7C372088">
      <w:pPr>
        <w:pStyle w:val="Standard"/>
        <w:ind w:firstLine="0"/>
      </w:pPr>
      <w:r w:rsidRPr="00864137">
        <w:rPr>
          <w:i/>
          <w:iCs/>
        </w:rPr>
        <w:t xml:space="preserve"> </w:t>
      </w:r>
      <w:r w:rsidRPr="00864137">
        <w:t xml:space="preserve">PG&amp;E also states that,  </w:t>
      </w:r>
    </w:p>
    <w:p w:rsidRPr="00864137" w:rsidR="00E03640" w:rsidP="00157BB0" w:rsidRDefault="00864137" w14:paraId="67199931" w14:textId="45E13545">
      <w:pPr>
        <w:pStyle w:val="BlockQuote"/>
      </w:pPr>
      <w:r w:rsidRPr="00864137">
        <w:t xml:space="preserve">“... while the </w:t>
      </w:r>
      <w:proofErr w:type="gramStart"/>
      <w:r w:rsidRPr="00864137">
        <w:t>general public</w:t>
      </w:r>
      <w:proofErr w:type="gramEnd"/>
      <w:r w:rsidRPr="00864137">
        <w:t xml:space="preserve"> may provide a photo of an alleged issue, the photo may not be sufficiently clear or close enough to the alleged issue for PG&amp;E to identify whether there is a genuine issue. In either case, PG&amp;E personnel would be deployed to respond to potential false positives, which would divert skilled and limited personnel, both in the office and the field, from actual risk mitigation work. The impact of resource diversion is a significant concern for PG&amp;E given the likelihood that users could submit misidentified issues.”</w:t>
      </w:r>
      <w:r w:rsidRPr="00864137">
        <w:rPr>
          <w:vertAlign w:val="superscript"/>
        </w:rPr>
        <w:footnoteReference w:id="94"/>
      </w:r>
    </w:p>
    <w:p w:rsidR="0008192C" w:rsidP="0087100E" w:rsidRDefault="00864137" w14:paraId="35CB1FE9" w14:textId="77777777">
      <w:pPr>
        <w:pStyle w:val="Standard"/>
      </w:pPr>
      <w:r w:rsidRPr="00864137">
        <w:lastRenderedPageBreak/>
        <w:t xml:space="preserve">Additionally, as described above, PG&amp;E raises </w:t>
      </w:r>
      <w:r w:rsidR="001F503B">
        <w:t>concerns</w:t>
      </w:r>
      <w:r w:rsidRPr="00864137">
        <w:t xml:space="preserve"> of resulting new potential public safety risks as </w:t>
      </w:r>
      <w:r w:rsidR="00B86A83">
        <w:t>customers</w:t>
      </w:r>
      <w:r w:rsidRPr="00864137">
        <w:t xml:space="preserve"> seek close contact with PG&amp;E’s electrical assets to obtain photographs, trespass on private property, or create unsafe conditions while driving and taking photographs with the mobile app. PG&amp;E, in turn, suggests that such incidents, to the extent they occur, be tracked and evaluated to assess the pilot’s value. </w:t>
      </w:r>
      <w:r w:rsidR="0008192C">
        <w:t xml:space="preserve"> </w:t>
      </w:r>
    </w:p>
    <w:p w:rsidRPr="00864137" w:rsidR="00864137" w:rsidP="0008192C" w:rsidRDefault="0008192C" w14:paraId="0F52CF81" w14:textId="11AE44E4">
      <w:pPr>
        <w:pStyle w:val="Standard"/>
      </w:pPr>
      <w:r>
        <w:t xml:space="preserve">In conclusion, PG&amp;E states that, based on an evaluation of these incidents and metrics, </w:t>
      </w:r>
      <w:r w:rsidRPr="00864137" w:rsidR="00864137">
        <w:t xml:space="preserve">the mobile app might very well be revealed to be an unnecessary diversion of limited safety-related resources. </w:t>
      </w:r>
    </w:p>
    <w:p w:rsidRPr="00864137" w:rsidR="00864137" w:rsidP="00157BB0" w:rsidRDefault="00864137" w14:paraId="76EF50C4" w14:textId="77777777">
      <w:pPr>
        <w:pStyle w:val="Heading2"/>
        <w:numPr>
          <w:ilvl w:val="1"/>
          <w:numId w:val="63"/>
        </w:numPr>
        <w:spacing w:after="0" w:line="360" w:lineRule="auto"/>
        <w:ind w:left="1440"/>
      </w:pPr>
      <w:bookmarkStart w:name="_Toc52866555" w:id="115"/>
      <w:r w:rsidRPr="00864137">
        <w:t>Party Comments</w:t>
      </w:r>
      <w:bookmarkEnd w:id="115"/>
    </w:p>
    <w:p w:rsidRPr="00864137" w:rsidR="00864137" w:rsidP="0087100E" w:rsidRDefault="00864137" w14:paraId="55FA654A" w14:textId="40AD66C4">
      <w:pPr>
        <w:pStyle w:val="Standard"/>
      </w:pPr>
      <w:r w:rsidRPr="00864137">
        <w:t xml:space="preserve">BBIC disagrees with all PG&amp;E-proposed evaluation </w:t>
      </w:r>
      <w:r w:rsidR="0008192C">
        <w:t>metrics</w:t>
      </w:r>
      <w:r w:rsidRPr="00864137">
        <w:t xml:space="preserve"> and continues to urge the Commission to direct PG&amp;E to permanently implement a mobile app consistent with the directive in I.19-06-015</w:t>
      </w:r>
      <w:r w:rsidR="001F503B">
        <w:t xml:space="preserve"> rather than a pilot</w:t>
      </w:r>
      <w:r w:rsidRPr="00864137">
        <w:t>.  Regarding issues outside of a Tier 2 or Tier 3 HFTD</w:t>
      </w:r>
      <w:r w:rsidR="00207631">
        <w:t>s</w:t>
      </w:r>
      <w:r w:rsidRPr="00864137">
        <w:t xml:space="preserve">, BBIC argues that the scope of the pilot, limited to these </w:t>
      </w:r>
      <w:r w:rsidR="001D04DE">
        <w:t xml:space="preserve">two </w:t>
      </w:r>
      <w:r w:rsidRPr="00864137">
        <w:t>HFTDs, is too narrow.</w:t>
      </w:r>
      <w:r w:rsidRPr="00864137">
        <w:rPr>
          <w:vertAlign w:val="superscript"/>
        </w:rPr>
        <w:footnoteReference w:id="95"/>
      </w:r>
      <w:r w:rsidRPr="00864137">
        <w:t xml:space="preserve">  Regarding problematic assets</w:t>
      </w:r>
      <w:r w:rsidR="001D04DE">
        <w:t>, such as pole</w:t>
      </w:r>
      <w:r w:rsidR="001F503B">
        <w:t xml:space="preserve"> attachments</w:t>
      </w:r>
      <w:r w:rsidR="001D04DE">
        <w:t>,</w:t>
      </w:r>
      <w:r w:rsidRPr="00864137">
        <w:t xml:space="preserve"> that are not</w:t>
      </w:r>
      <w:r w:rsidR="001F503B">
        <w:t xml:space="preserve"> always</w:t>
      </w:r>
      <w:r w:rsidRPr="00864137">
        <w:t xml:space="preserve"> the property of PG&amp;E, BBIC argues that such assets should be more carefully reviewed by PG&amp;E because pole overloading can result in safety hazards.</w:t>
      </w:r>
      <w:r w:rsidRPr="00864137">
        <w:rPr>
          <w:vertAlign w:val="superscript"/>
        </w:rPr>
        <w:footnoteReference w:id="96"/>
      </w:r>
      <w:r w:rsidRPr="00864137">
        <w:t xml:space="preserve">  Regarding issues that would have otherwise been identified by PG&amp;E, BBIC criticizes PG&amp;E’s proposal to count as “failures” any</w:t>
      </w:r>
      <w:r w:rsidR="001F503B">
        <w:t xml:space="preserve"> submitted</w:t>
      </w:r>
      <w:r w:rsidRPr="00864137">
        <w:t xml:space="preserve"> photo of compromised assets that PG&amp;E is already aware </w:t>
      </w:r>
      <w:r w:rsidR="001F503B">
        <w:t xml:space="preserve">of </w:t>
      </w:r>
      <w:r w:rsidRPr="00864137">
        <w:t>or duplicates.</w:t>
      </w:r>
      <w:r w:rsidRPr="00864137">
        <w:rPr>
          <w:vertAlign w:val="superscript"/>
        </w:rPr>
        <w:footnoteReference w:id="97"/>
      </w:r>
      <w:r w:rsidRPr="00864137">
        <w:t xml:space="preserve">  BBIC states that issues that have not yet been addressed should not be counted as a “failure” because, until PG&amp;E resolves the issue, the </w:t>
      </w:r>
      <w:r w:rsidRPr="00864137">
        <w:lastRenderedPageBreak/>
        <w:t xml:space="preserve">public does not yet know that the matter has been reported, and, therefore, the issue must still be considered a valid concern. </w:t>
      </w:r>
    </w:p>
    <w:p w:rsidRPr="00864137" w:rsidR="00864137" w:rsidP="0087100E" w:rsidRDefault="00864137" w14:paraId="020CABEB" w14:textId="77EA4C04">
      <w:pPr>
        <w:pStyle w:val="Standard"/>
      </w:pPr>
      <w:r w:rsidRPr="00864137">
        <w:t xml:space="preserve">Cal Advocates, on the other hand, urges PG&amp;E to evaluate the success of the mobile app </w:t>
      </w:r>
      <w:r w:rsidR="00494D59">
        <w:t xml:space="preserve">pilot </w:t>
      </w:r>
      <w:r w:rsidRPr="00864137">
        <w:t>by tracking where safety mitigation resources would have otherwise been used, whether it caused delay in other important wildfire mitigation work, and whether the costs exceed the benefits.</w:t>
      </w:r>
      <w:r w:rsidRPr="00864137">
        <w:rPr>
          <w:vertAlign w:val="superscript"/>
        </w:rPr>
        <w:footnoteReference w:id="98"/>
      </w:r>
      <w:r w:rsidRPr="00864137">
        <w:t xml:space="preserve"> </w:t>
      </w:r>
      <w:r w:rsidR="00157BB0">
        <w:t xml:space="preserve"> </w:t>
      </w:r>
      <w:r w:rsidRPr="00864137">
        <w:t xml:space="preserve">Cal Advocates appears to agree with PG&amp;E’s assertion that, </w:t>
      </w:r>
      <w:r w:rsidR="001D04DE">
        <w:t xml:space="preserve">if the pilot is </w:t>
      </w:r>
      <w:r w:rsidRPr="00864137">
        <w:t>evaluat</w:t>
      </w:r>
      <w:r w:rsidR="001D04DE">
        <w:t xml:space="preserve">ed by the </w:t>
      </w:r>
      <w:r w:rsidRPr="00864137">
        <w:t>limited resources diverted to enable the mobile app, the</w:t>
      </w:r>
      <w:r w:rsidR="00494D59">
        <w:t xml:space="preserve"> mobile app </w:t>
      </w:r>
      <w:r w:rsidRPr="00864137">
        <w:t xml:space="preserve">may in the end prove to be misguided. </w:t>
      </w:r>
      <w:r w:rsidR="004C473F">
        <w:t xml:space="preserve"> </w:t>
      </w:r>
      <w:r w:rsidRPr="00864137">
        <w:t>BBIC responds to Cal Advocates by pointing out that, in evaluating the diversion of resources, the need for employee training linked to and the inherent inefficiency of PG&amp;E’s existing phone-predominant complaint intake platform, should be taken into account.</w:t>
      </w:r>
      <w:r w:rsidRPr="00864137">
        <w:rPr>
          <w:vertAlign w:val="superscript"/>
        </w:rPr>
        <w:footnoteReference w:id="99"/>
      </w:r>
      <w:r w:rsidRPr="00864137">
        <w:t xml:space="preserve">  </w:t>
      </w:r>
    </w:p>
    <w:p w:rsidRPr="00864137" w:rsidR="00864137" w:rsidP="0087100E" w:rsidRDefault="00864137" w14:paraId="3B2BF64B" w14:textId="4EC5CDFD">
      <w:pPr>
        <w:pStyle w:val="Standard"/>
      </w:pPr>
      <w:r w:rsidRPr="00864137">
        <w:t>In reply, PG&amp;E modifie</w:t>
      </w:r>
      <w:r w:rsidR="0008192C">
        <w:t>s</w:t>
      </w:r>
      <w:r w:rsidRPr="00864137">
        <w:t xml:space="preserve"> </w:t>
      </w:r>
      <w:r w:rsidR="00494D59">
        <w:t>the method for counting valid submittals in its</w:t>
      </w:r>
      <w:r w:rsidRPr="00864137">
        <w:t xml:space="preserve"> </w:t>
      </w:r>
      <w:r w:rsidRPr="00431C51" w:rsidR="009A38BC">
        <w:rPr>
          <w:i/>
          <w:iCs/>
        </w:rPr>
        <w:t xml:space="preserve">Revised </w:t>
      </w:r>
      <w:r w:rsidRPr="00864137">
        <w:rPr>
          <w:i/>
          <w:iCs/>
        </w:rPr>
        <w:t xml:space="preserve">Mobile Application Pilot Implementation Report </w:t>
      </w:r>
      <w:r w:rsidR="00494D59">
        <w:t xml:space="preserve">toward </w:t>
      </w:r>
      <w:r w:rsidRPr="00864137">
        <w:t>reaching a relevant and statistically significant sample.</w:t>
      </w:r>
      <w:r w:rsidRPr="00864137">
        <w:rPr>
          <w:vertAlign w:val="superscript"/>
        </w:rPr>
        <w:footnoteReference w:id="100"/>
      </w:r>
      <w:r w:rsidRPr="00864137">
        <w:t xml:space="preserve">  </w:t>
      </w:r>
      <w:r w:rsidR="001D04DE">
        <w:t xml:space="preserve">As modified, </w:t>
      </w:r>
      <w:r w:rsidRPr="00864137">
        <w:t xml:space="preserve">PG&amp;E </w:t>
      </w:r>
      <w:r w:rsidR="001D04DE">
        <w:t xml:space="preserve">proposes to </w:t>
      </w:r>
      <w:r w:rsidRPr="00864137">
        <w:t>count duplicates toward its statistically significant sample.</w:t>
      </w:r>
    </w:p>
    <w:p w:rsidRPr="00864137" w:rsidR="00864137" w:rsidP="00157BB0" w:rsidRDefault="00864137" w14:paraId="20945D43" w14:textId="77777777">
      <w:pPr>
        <w:pStyle w:val="Heading2"/>
        <w:numPr>
          <w:ilvl w:val="1"/>
          <w:numId w:val="63"/>
        </w:numPr>
        <w:spacing w:after="0" w:line="360" w:lineRule="auto"/>
        <w:ind w:left="1440"/>
      </w:pPr>
      <w:bookmarkStart w:name="_Toc52866556" w:id="116"/>
      <w:r w:rsidRPr="00864137">
        <w:t>Discussion</w:t>
      </w:r>
      <w:bookmarkEnd w:id="116"/>
    </w:p>
    <w:p w:rsidRPr="00864137" w:rsidR="00864137" w:rsidP="00F50EA5" w:rsidRDefault="00F50EA5" w14:paraId="563AA836" w14:textId="10866018">
      <w:pPr>
        <w:pStyle w:val="Standard"/>
      </w:pPr>
      <w:r>
        <w:t xml:space="preserve">All the criteria suggested by PG&amp;E should be tracked and analyzed. </w:t>
      </w:r>
      <w:r w:rsidR="00157BB0">
        <w:t xml:space="preserve"> </w:t>
      </w:r>
      <w:r>
        <w:t>We are particularly interested in</w:t>
      </w:r>
      <w:r w:rsidRPr="00F50EA5">
        <w:t xml:space="preserve"> </w:t>
      </w:r>
      <w:r>
        <w:t xml:space="preserve">the </w:t>
      </w:r>
      <w:r w:rsidRPr="00F50EA5">
        <w:t>tracking</w:t>
      </w:r>
      <w:r>
        <w:t xml:space="preserve"> of</w:t>
      </w:r>
      <w:r w:rsidRPr="00F50EA5">
        <w:t xml:space="preserve"> </w:t>
      </w:r>
      <w:r>
        <w:t>diverted</w:t>
      </w:r>
      <w:r w:rsidRPr="00F50EA5">
        <w:t xml:space="preserve"> safety-related resources necessary to create, maintain, and resolve issues throughout the term of the pilot.</w:t>
      </w:r>
      <w:r>
        <w:t xml:space="preserve">  We also agree with many of BBIC’s observations.  </w:t>
      </w:r>
      <w:r w:rsidRPr="00864137" w:rsidR="00864137">
        <w:t>We agree with BBIC that, until PG&amp;E addresses the</w:t>
      </w:r>
      <w:r w:rsidR="00494D59">
        <w:t xml:space="preserve"> </w:t>
      </w:r>
      <w:r w:rsidR="001D04DE">
        <w:t xml:space="preserve">safety </w:t>
      </w:r>
      <w:r w:rsidR="00494D59">
        <w:t>issue identified by the</w:t>
      </w:r>
      <w:r w:rsidRPr="00864137" w:rsidR="00864137">
        <w:t xml:space="preserve"> submittal, a reported </w:t>
      </w:r>
      <w:r w:rsidR="001D04DE">
        <w:t xml:space="preserve">safety </w:t>
      </w:r>
      <w:r w:rsidR="00494D59">
        <w:t>issue</w:t>
      </w:r>
      <w:r w:rsidRPr="00864137" w:rsidR="00864137">
        <w:t xml:space="preserve"> should be considered a valid concern even if it duplicates a prior submittal.  </w:t>
      </w:r>
      <w:r w:rsidRPr="00864137" w:rsidR="00864137">
        <w:lastRenderedPageBreak/>
        <w:t>Similarly, we agree with BBIC that submittals concerning pole attachments</w:t>
      </w:r>
      <w:r w:rsidR="001D04DE">
        <w:t>,</w:t>
      </w:r>
      <w:r w:rsidRPr="00864137" w:rsidR="00864137">
        <w:rPr>
          <w:vertAlign w:val="superscript"/>
        </w:rPr>
        <w:footnoteReference w:id="101"/>
      </w:r>
      <w:r w:rsidRPr="00864137" w:rsidR="00864137">
        <w:t xml:space="preserve"> </w:t>
      </w:r>
      <w:r w:rsidR="001D04DE">
        <w:t xml:space="preserve">or other property not owned by PG&amp;E, </w:t>
      </w:r>
      <w:r w:rsidRPr="00864137" w:rsidR="00864137">
        <w:t xml:space="preserve">should be given </w:t>
      </w:r>
      <w:r w:rsidR="001D04DE">
        <w:t xml:space="preserve">prompt attention </w:t>
      </w:r>
      <w:r w:rsidRPr="00864137" w:rsidR="00864137">
        <w:t xml:space="preserve">so that safety concerns are addressed in a timely fashion.  </w:t>
      </w:r>
    </w:p>
    <w:p w:rsidRPr="00F1377B" w:rsidR="00F1377B" w:rsidP="00F1377B" w:rsidRDefault="00864137" w14:paraId="30D65A74" w14:textId="24568EED">
      <w:pPr>
        <w:pStyle w:val="Standard"/>
      </w:pPr>
      <w:r w:rsidRPr="00864137">
        <w:t xml:space="preserve">Moreover, we </w:t>
      </w:r>
      <w:r w:rsidR="00494D59">
        <w:t xml:space="preserve">find that the </w:t>
      </w:r>
      <w:r w:rsidRPr="00697641">
        <w:t>appropriate frame</w:t>
      </w:r>
      <w:r w:rsidRPr="00697641" w:rsidR="0008192C">
        <w:t>work</w:t>
      </w:r>
      <w:r w:rsidR="0008192C">
        <w:t xml:space="preserve"> for</w:t>
      </w:r>
      <w:r w:rsidRPr="00864137">
        <w:t xml:space="preserve"> the pilot</w:t>
      </w:r>
      <w:r w:rsidR="009A38BC">
        <w:t>’s evaluation</w:t>
      </w:r>
      <w:r w:rsidRPr="00864137">
        <w:t xml:space="preserve"> </w:t>
      </w:r>
      <w:r w:rsidR="009A38BC">
        <w:t xml:space="preserve">include </w:t>
      </w:r>
      <w:r w:rsidRPr="00864137">
        <w:t>recognizing new opportunities for cost savings and efficiency through automating and improving PG&amp;E’s</w:t>
      </w:r>
      <w:r w:rsidR="002B3A52">
        <w:t xml:space="preserve"> </w:t>
      </w:r>
      <w:r w:rsidRPr="00864137">
        <w:t xml:space="preserve">safety processes by </w:t>
      </w:r>
      <w:r w:rsidR="0008192C">
        <w:t xml:space="preserve">relying on </w:t>
      </w:r>
      <w:r w:rsidRPr="00864137">
        <w:t>new technolog</w:t>
      </w:r>
      <w:r w:rsidR="009A38BC">
        <w:t>y, such as the mobile app,</w:t>
      </w:r>
      <w:r w:rsidRPr="00864137">
        <w:t xml:space="preserve"> to </w:t>
      </w:r>
      <w:r w:rsidR="009A38BC">
        <w:t xml:space="preserve">identify </w:t>
      </w:r>
      <w:r w:rsidRPr="00864137">
        <w:t>safety</w:t>
      </w:r>
      <w:r w:rsidR="000E7F00">
        <w:t>-</w:t>
      </w:r>
      <w:r w:rsidRPr="00864137">
        <w:t>related issues</w:t>
      </w:r>
      <w:r w:rsidR="009A38BC">
        <w:t xml:space="preserve">. </w:t>
      </w:r>
      <w:r w:rsidR="00722060">
        <w:t xml:space="preserve"> </w:t>
      </w:r>
      <w:r w:rsidRPr="00F1377B" w:rsidR="00F1377B">
        <w:t xml:space="preserve">The appropriate questions to be asking in evaluating the pilot are not just </w:t>
      </w:r>
      <w:r w:rsidRPr="00F1377B" w:rsidR="00F1377B">
        <w:rPr>
          <w:i/>
          <w:iCs/>
        </w:rPr>
        <w:t>what will the pilot cost to operate</w:t>
      </w:r>
      <w:r w:rsidRPr="00F1377B" w:rsidR="00F1377B">
        <w:t xml:space="preserve"> but also </w:t>
      </w:r>
      <w:r w:rsidRPr="00F1377B" w:rsidR="00F1377B">
        <w:rPr>
          <w:i/>
          <w:iCs/>
        </w:rPr>
        <w:t xml:space="preserve">how much will the pilot cost to operate in comparison to a call center, how many customers will participate in the pilot, has safety improved, </w:t>
      </w:r>
      <w:r w:rsidRPr="00F1377B" w:rsidR="00F1377B">
        <w:t>and</w:t>
      </w:r>
      <w:r w:rsidRPr="00F1377B" w:rsidR="00F1377B">
        <w:rPr>
          <w:i/>
          <w:iCs/>
        </w:rPr>
        <w:t xml:space="preserve"> are there additional enhancements that can be made to the pilot to improve safety-related services?</w:t>
      </w:r>
      <w:r w:rsidRPr="00F1377B" w:rsidR="00F1377B">
        <w:t xml:space="preserve"> </w:t>
      </w:r>
      <w:r w:rsidR="00722060">
        <w:t xml:space="preserve"> </w:t>
      </w:r>
      <w:r w:rsidRPr="00F1377B" w:rsidR="00F1377B">
        <w:t xml:space="preserve">We should also be asking </w:t>
      </w:r>
      <w:r w:rsidRPr="00F1377B" w:rsidR="00F1377B">
        <w:rPr>
          <w:i/>
          <w:iCs/>
        </w:rPr>
        <w:t xml:space="preserve">how much is spent to support similar programs </w:t>
      </w:r>
      <w:r w:rsidRPr="00F1377B" w:rsidR="00F1377B">
        <w:t>and</w:t>
      </w:r>
      <w:r w:rsidRPr="00F1377B" w:rsidR="00F1377B">
        <w:rPr>
          <w:i/>
          <w:iCs/>
        </w:rPr>
        <w:t xml:space="preserve"> whether the addition of a mobile app appears reasonable in comparison</w:t>
      </w:r>
      <w:r w:rsidRPr="00F1377B" w:rsidR="00F1377B">
        <w:t>?</w:t>
      </w:r>
    </w:p>
    <w:p w:rsidRPr="00864137" w:rsidR="00864137" w:rsidP="00157BB0" w:rsidRDefault="00864137" w14:paraId="18248030" w14:textId="77777777">
      <w:pPr>
        <w:pStyle w:val="Heading2"/>
        <w:numPr>
          <w:ilvl w:val="1"/>
          <w:numId w:val="63"/>
        </w:numPr>
        <w:spacing w:after="0" w:line="360" w:lineRule="auto"/>
        <w:ind w:left="1440"/>
      </w:pPr>
      <w:bookmarkStart w:name="_Toc52866557" w:id="117"/>
      <w:r w:rsidRPr="00864137">
        <w:t>Independent Evaluation</w:t>
      </w:r>
      <w:bookmarkEnd w:id="117"/>
    </w:p>
    <w:p w:rsidR="005F06BE" w:rsidP="0087100E" w:rsidRDefault="00864137" w14:paraId="0930B011" w14:textId="4EA4199E">
      <w:pPr>
        <w:pStyle w:val="Standard"/>
      </w:pPr>
      <w:bookmarkStart w:name="_Hlk45823623" w:id="118"/>
      <w:bookmarkStart w:name="_Hlk48219664" w:id="119"/>
      <w:r w:rsidRPr="00864137">
        <w:t xml:space="preserve">To ensure appropriate </w:t>
      </w:r>
      <w:r w:rsidR="0008192C">
        <w:t>evaluation</w:t>
      </w:r>
      <w:r w:rsidRPr="00864137">
        <w:t xml:space="preserve"> of PG&amp;E’s pilot, we direct PG&amp;E to </w:t>
      </w:r>
      <w:r w:rsidR="005016D4">
        <w:t>retain</w:t>
      </w:r>
      <w:r w:rsidRPr="00864137">
        <w:t xml:space="preserve"> a qualified independent consultant to perform an evaluation of the pilot within Phase 1 of this proceeding and</w:t>
      </w:r>
      <w:r w:rsidR="002B329C">
        <w:t xml:space="preserve">, in addition to the criteria </w:t>
      </w:r>
      <w:r w:rsidR="00F1377B">
        <w:t xml:space="preserve">we identified </w:t>
      </w:r>
      <w:r w:rsidR="002B329C">
        <w:t>above,</w:t>
      </w:r>
      <w:r w:rsidRPr="00864137">
        <w:t xml:space="preserve"> to</w:t>
      </w:r>
      <w:r w:rsidR="002B329C">
        <w:t xml:space="preserve"> consult with SPD</w:t>
      </w:r>
      <w:r w:rsidR="0008192C">
        <w:t xml:space="preserve">, as part of </w:t>
      </w:r>
      <w:r w:rsidR="009A38BC">
        <w:t>this evaluation</w:t>
      </w:r>
      <w:r w:rsidR="0008192C">
        <w:t>,</w:t>
      </w:r>
      <w:r w:rsidRPr="00864137">
        <w:t xml:space="preserve"> </w:t>
      </w:r>
      <w:r w:rsidR="002B329C">
        <w:t xml:space="preserve">on the merits of including </w:t>
      </w:r>
      <w:r w:rsidR="008F49E8">
        <w:t xml:space="preserve">the </w:t>
      </w:r>
      <w:r w:rsidRPr="00864137">
        <w:t xml:space="preserve">criteria </w:t>
      </w:r>
      <w:r w:rsidR="002B329C">
        <w:t xml:space="preserve">suggested </w:t>
      </w:r>
      <w:r w:rsidRPr="00864137">
        <w:t>here</w:t>
      </w:r>
      <w:r w:rsidR="005F06BE">
        <w:t>in, at Attachment A</w:t>
      </w:r>
      <w:r w:rsidRPr="00864137">
        <w:t xml:space="preserve">. </w:t>
      </w:r>
      <w:bookmarkEnd w:id="118"/>
    </w:p>
    <w:p w:rsidR="005F06BE" w:rsidP="0087100E" w:rsidRDefault="00864137" w14:paraId="2E2AF4B6" w14:textId="505C68F5">
      <w:pPr>
        <w:pStyle w:val="Standard"/>
      </w:pPr>
      <w:r w:rsidRPr="00864137">
        <w:t>The evaluation process sh</w:t>
      </w:r>
      <w:r w:rsidR="008F49E8">
        <w:t>all</w:t>
      </w:r>
      <w:r w:rsidRPr="00864137">
        <w:t xml:space="preserve"> commence no later than </w:t>
      </w:r>
      <w:r w:rsidR="00494D59">
        <w:t>1</w:t>
      </w:r>
      <w:r w:rsidR="00FC64CF">
        <w:t>2</w:t>
      </w:r>
      <w:r w:rsidR="00494D59">
        <w:t xml:space="preserve"> </w:t>
      </w:r>
      <w:r w:rsidRPr="00864137">
        <w:t xml:space="preserve">months from the date of the pilot’s launch.  </w:t>
      </w:r>
      <w:bookmarkEnd w:id="119"/>
      <w:r w:rsidRPr="00864137">
        <w:t xml:space="preserve">The </w:t>
      </w:r>
      <w:r w:rsidR="00812EBF">
        <w:t xml:space="preserve">independent </w:t>
      </w:r>
      <w:r w:rsidRPr="00864137">
        <w:t>consultant sh</w:t>
      </w:r>
      <w:r w:rsidR="008F49E8">
        <w:t xml:space="preserve">all </w:t>
      </w:r>
      <w:r w:rsidRPr="00864137">
        <w:t>provide SPD with a proposed evaluation scope of work before</w:t>
      </w:r>
      <w:r w:rsidR="00FC64CF">
        <w:t xml:space="preserve"> the end of</w:t>
      </w:r>
      <w:r w:rsidRPr="00864137">
        <w:t xml:space="preserve"> month 1</w:t>
      </w:r>
      <w:r w:rsidR="00964BCD">
        <w:t>1</w:t>
      </w:r>
      <w:r w:rsidRPr="00864137">
        <w:t xml:space="preserve"> of the pilot to </w:t>
      </w:r>
      <w:r w:rsidRPr="00864137">
        <w:lastRenderedPageBreak/>
        <w:t xml:space="preserve">allow for SPD input and </w:t>
      </w:r>
      <w:r w:rsidR="00A518A7">
        <w:t xml:space="preserve">approval of </w:t>
      </w:r>
      <w:r w:rsidRPr="00864137">
        <w:t xml:space="preserve">a final evaluation scope of work prior to the end of the pilot’s first year of operation.  </w:t>
      </w:r>
    </w:p>
    <w:p w:rsidRPr="00864137" w:rsidR="00864137" w:rsidP="0087100E" w:rsidRDefault="00864137" w14:paraId="4B568309" w14:textId="6D602ED5">
      <w:pPr>
        <w:pStyle w:val="Standard"/>
      </w:pPr>
      <w:r w:rsidRPr="00864137">
        <w:t xml:space="preserve">The </w:t>
      </w:r>
      <w:r w:rsidR="00812EBF">
        <w:t xml:space="preserve">independent </w:t>
      </w:r>
      <w:r w:rsidRPr="00864137">
        <w:t>consultant sh</w:t>
      </w:r>
      <w:r w:rsidR="005F06BE">
        <w:t>all</w:t>
      </w:r>
      <w:r w:rsidRPr="00864137">
        <w:t xml:space="preserve"> prepare a draft </w:t>
      </w:r>
      <w:r w:rsidR="008F49E8">
        <w:t xml:space="preserve">evaluation </w:t>
      </w:r>
      <w:r w:rsidRPr="00864137">
        <w:t xml:space="preserve">report with conclusions and recommendations, to be submitted to SPD for review no later than </w:t>
      </w:r>
      <w:r w:rsidR="008F49E8">
        <w:t xml:space="preserve">the end of </w:t>
      </w:r>
      <w:r w:rsidRPr="00864137">
        <w:t>month 2</w:t>
      </w:r>
      <w:r w:rsidR="00964BCD">
        <w:t>1</w:t>
      </w:r>
      <w:r w:rsidRPr="00864137">
        <w:t xml:space="preserve"> of the pilot. </w:t>
      </w:r>
    </w:p>
    <w:p w:rsidR="00EE17CA" w:rsidP="00FC64CF" w:rsidRDefault="00864137" w14:paraId="25E159AC" w14:textId="24BF7F8D">
      <w:pPr>
        <w:pStyle w:val="Standard"/>
      </w:pPr>
      <w:r w:rsidRPr="00864137">
        <w:t xml:space="preserve">In consultation with SPD, the </w:t>
      </w:r>
      <w:r w:rsidR="00812EBF">
        <w:t xml:space="preserve">independent </w:t>
      </w:r>
      <w:r w:rsidRPr="00864137">
        <w:t>consultant sh</w:t>
      </w:r>
      <w:r w:rsidR="005F06BE">
        <w:t>all</w:t>
      </w:r>
      <w:r w:rsidRPr="00864137">
        <w:t xml:space="preserve"> then produce a public draft version of its evaluation report no later than </w:t>
      </w:r>
      <w:r w:rsidR="00FC64CF">
        <w:t>the end of</w:t>
      </w:r>
      <w:r w:rsidRPr="00864137">
        <w:t xml:space="preserve"> month 2</w:t>
      </w:r>
      <w:r w:rsidR="00964BCD">
        <w:t>2</w:t>
      </w:r>
      <w:r w:rsidRPr="00864137">
        <w:t xml:space="preserve"> of the pilot</w:t>
      </w:r>
      <w:r w:rsidR="005F06BE">
        <w:t>.  This public draft version</w:t>
      </w:r>
      <w:r w:rsidRPr="00864137">
        <w:t xml:space="preserve"> shall be filed and served on the service list of this proceeding</w:t>
      </w:r>
      <w:r w:rsidR="005F06BE">
        <w:t xml:space="preserve"> and p</w:t>
      </w:r>
      <w:r w:rsidRPr="00864137">
        <w:t>arties will have an opportunity to comment on the report</w:t>
      </w:r>
      <w:r w:rsidR="005F06BE">
        <w:t xml:space="preserve"> no later than</w:t>
      </w:r>
      <w:r w:rsidR="00FC64CF">
        <w:t xml:space="preserve"> the end of</w:t>
      </w:r>
      <w:r w:rsidR="005F06BE">
        <w:t xml:space="preserve"> month 2</w:t>
      </w:r>
      <w:r w:rsidR="00964BCD">
        <w:t>3</w:t>
      </w:r>
      <w:r w:rsidRPr="00864137">
        <w:t>.  At the discretion of SPD, the</w:t>
      </w:r>
      <w:r w:rsidR="00812EBF">
        <w:t xml:space="preserve"> independent</w:t>
      </w:r>
      <w:r w:rsidRPr="00864137">
        <w:t xml:space="preserve"> consultant </w:t>
      </w:r>
      <w:r w:rsidR="005F06BE">
        <w:t>shall</w:t>
      </w:r>
      <w:r w:rsidRPr="00864137">
        <w:t xml:space="preserve"> host a public workshop and/or webinar to present its findings, conclusions, and recommendations, and receive feedback from stakeholders. </w:t>
      </w:r>
    </w:p>
    <w:p w:rsidR="00F1377B" w:rsidP="008F49E8" w:rsidRDefault="00864137" w14:paraId="72272582" w14:textId="1C40D9B0">
      <w:pPr>
        <w:pStyle w:val="Standard"/>
      </w:pPr>
      <w:r w:rsidRPr="00864137">
        <w:t xml:space="preserve">No later than the end of month 24 of the pilot, the </w:t>
      </w:r>
      <w:r w:rsidR="00812EBF">
        <w:t xml:space="preserve">independent </w:t>
      </w:r>
      <w:r w:rsidRPr="00864137">
        <w:t xml:space="preserve">consultant shall produce a final evaluation report to be filed and served on the service list of this proceeding. </w:t>
      </w:r>
    </w:p>
    <w:p w:rsidR="00EE17CA" w:rsidP="008F49E8" w:rsidRDefault="00864137" w14:paraId="1D258C5A" w14:textId="0EDFBF93">
      <w:pPr>
        <w:pStyle w:val="Standard"/>
      </w:pPr>
      <w:r w:rsidRPr="00864137">
        <w:t xml:space="preserve">The Commission </w:t>
      </w:r>
      <w:r w:rsidR="00494D59">
        <w:t xml:space="preserve">authorizes </w:t>
      </w:r>
      <w:r w:rsidRPr="00864137">
        <w:t>SPD to modify the evaluation schedule</w:t>
      </w:r>
      <w:r w:rsidR="00494D59">
        <w:t xml:space="preserve"> as needed</w:t>
      </w:r>
      <w:r w:rsidRPr="00864137">
        <w:t>.</w:t>
      </w:r>
      <w:r w:rsidR="00F4685D">
        <w:t xml:space="preserve">  </w:t>
      </w:r>
      <w:r w:rsidR="00F1377B">
        <w:t xml:space="preserve">The </w:t>
      </w:r>
      <w:r w:rsidR="00967C75">
        <w:t>timetable establishing</w:t>
      </w:r>
      <w:r w:rsidR="00EE17CA">
        <w:t xml:space="preserve"> the evaluation schedule is set forth below:</w:t>
      </w:r>
    </w:p>
    <w:p w:rsidRPr="00F1377B" w:rsidR="00EE17CA" w:rsidP="00157BB0" w:rsidRDefault="00967C75" w14:paraId="143710B0" w14:textId="4D489B82">
      <w:pPr>
        <w:pStyle w:val="Standard"/>
        <w:keepNext/>
        <w:keepLines/>
        <w:ind w:left="630" w:firstLine="90"/>
        <w:jc w:val="center"/>
        <w:rPr>
          <w:b/>
          <w:bCs/>
        </w:rPr>
      </w:pPr>
      <w:r w:rsidRPr="00697641">
        <w:rPr>
          <w:b/>
          <w:bCs/>
        </w:rPr>
        <w:lastRenderedPageBreak/>
        <w:t>Timetable Establishing Pilot Milestones</w:t>
      </w:r>
    </w:p>
    <w:tbl>
      <w:tblPr>
        <w:tblStyle w:val="TableGrid"/>
        <w:tblW w:w="0" w:type="auto"/>
        <w:tblInd w:w="625" w:type="dxa"/>
        <w:tblLook w:val="04A0" w:firstRow="1" w:lastRow="0" w:firstColumn="1" w:lastColumn="0" w:noHBand="0" w:noVBand="1"/>
      </w:tblPr>
      <w:tblGrid>
        <w:gridCol w:w="3888"/>
        <w:gridCol w:w="4302"/>
      </w:tblGrid>
      <w:tr w:rsidRPr="00EE17CA" w:rsidR="00EE17CA" w:rsidTr="00F1377B" w14:paraId="4A7694F0" w14:textId="77777777">
        <w:tc>
          <w:tcPr>
            <w:tcW w:w="3888" w:type="dxa"/>
          </w:tcPr>
          <w:p w:rsidRPr="00EE17CA" w:rsidR="00EE17CA" w:rsidP="00157BB0" w:rsidRDefault="00EE17CA" w14:paraId="480801A6" w14:textId="77777777">
            <w:pPr>
              <w:keepNext/>
              <w:keepLines/>
              <w:spacing w:line="240" w:lineRule="auto"/>
              <w:ind w:firstLine="0"/>
              <w:jc w:val="center"/>
              <w:rPr>
                <w:rFonts w:eastAsia="Calibri" w:cs="Times New Roman"/>
                <w:b/>
                <w:bCs/>
                <w:szCs w:val="26"/>
              </w:rPr>
            </w:pPr>
            <w:r w:rsidRPr="00EE17CA">
              <w:rPr>
                <w:rFonts w:eastAsia="Calibri" w:cs="Times New Roman"/>
                <w:b/>
                <w:bCs/>
                <w:szCs w:val="26"/>
              </w:rPr>
              <w:t>Milestone</w:t>
            </w:r>
          </w:p>
        </w:tc>
        <w:tc>
          <w:tcPr>
            <w:tcW w:w="4302" w:type="dxa"/>
          </w:tcPr>
          <w:p w:rsidR="00EE17CA" w:rsidP="00157BB0" w:rsidRDefault="00EE17CA" w14:paraId="50456CDA" w14:textId="5699B7B8">
            <w:pPr>
              <w:keepNext/>
              <w:keepLines/>
              <w:spacing w:line="240" w:lineRule="auto"/>
              <w:ind w:firstLine="0"/>
              <w:jc w:val="center"/>
              <w:rPr>
                <w:rFonts w:eastAsia="Calibri" w:cs="Times New Roman"/>
                <w:b/>
                <w:bCs/>
                <w:szCs w:val="26"/>
              </w:rPr>
            </w:pPr>
            <w:r w:rsidRPr="00EE17CA">
              <w:rPr>
                <w:rFonts w:eastAsia="Calibri" w:cs="Times New Roman"/>
                <w:b/>
                <w:bCs/>
                <w:szCs w:val="26"/>
              </w:rPr>
              <w:t>Date</w:t>
            </w:r>
          </w:p>
          <w:p w:rsidRPr="00431C51" w:rsidR="005F06BE" w:rsidP="00157BB0" w:rsidRDefault="005F06BE" w14:paraId="76342B85" w14:textId="5D9274DA">
            <w:pPr>
              <w:keepNext/>
              <w:keepLines/>
              <w:spacing w:line="240" w:lineRule="auto"/>
              <w:ind w:firstLine="0"/>
              <w:jc w:val="center"/>
              <w:rPr>
                <w:rFonts w:eastAsia="Calibri" w:cs="Times New Roman"/>
                <w:b/>
                <w:bCs/>
                <w:sz w:val="22"/>
              </w:rPr>
            </w:pPr>
            <w:r w:rsidRPr="00431C51">
              <w:rPr>
                <w:rFonts w:eastAsia="Calibri" w:cs="Times New Roman"/>
                <w:b/>
                <w:bCs/>
                <w:sz w:val="22"/>
              </w:rPr>
              <w:t>All dates and durations commence from PG&amp;E’s Pilot Launch Date</w:t>
            </w:r>
          </w:p>
        </w:tc>
      </w:tr>
      <w:tr w:rsidRPr="00EE17CA" w:rsidR="00EE17CA" w:rsidTr="00F1377B" w14:paraId="6CBCBF0D" w14:textId="77777777">
        <w:tc>
          <w:tcPr>
            <w:tcW w:w="3888" w:type="dxa"/>
          </w:tcPr>
          <w:p w:rsidRPr="00EE17CA" w:rsidR="00EE17CA" w:rsidP="00157BB0" w:rsidRDefault="00EE17CA" w14:paraId="423C8C56" w14:textId="77777777">
            <w:pPr>
              <w:keepNext/>
              <w:keepLines/>
              <w:spacing w:line="240" w:lineRule="auto"/>
              <w:ind w:firstLine="0"/>
              <w:rPr>
                <w:rFonts w:eastAsia="Calibri" w:cs="Times New Roman"/>
                <w:szCs w:val="26"/>
              </w:rPr>
            </w:pPr>
            <w:r w:rsidRPr="00EE17CA">
              <w:rPr>
                <w:rFonts w:eastAsia="Calibri" w:cs="Times New Roman"/>
                <w:szCs w:val="26"/>
              </w:rPr>
              <w:t xml:space="preserve">Evaluation proposed </w:t>
            </w:r>
            <w:r w:rsidRPr="00EE17CA">
              <w:rPr>
                <w:rFonts w:eastAsia="Calibri" w:cs="Times New Roman"/>
                <w:i/>
                <w:iCs/>
                <w:szCs w:val="26"/>
              </w:rPr>
              <w:t>scope of work</w:t>
            </w:r>
            <w:r w:rsidRPr="00EE17CA">
              <w:rPr>
                <w:rFonts w:eastAsia="Calibri" w:cs="Times New Roman"/>
                <w:szCs w:val="26"/>
              </w:rPr>
              <w:t xml:space="preserve"> submitted to SPD </w:t>
            </w:r>
          </w:p>
        </w:tc>
        <w:tc>
          <w:tcPr>
            <w:tcW w:w="4302" w:type="dxa"/>
          </w:tcPr>
          <w:p w:rsidRPr="00EE17CA" w:rsidR="00EE17CA" w:rsidP="00157BB0" w:rsidRDefault="00964BCD" w14:paraId="27E08E38" w14:textId="12CB5E8D">
            <w:pPr>
              <w:keepNext/>
              <w:keepLines/>
              <w:spacing w:line="240" w:lineRule="auto"/>
              <w:ind w:firstLine="0"/>
              <w:rPr>
                <w:rFonts w:eastAsia="Calibri" w:cs="Times New Roman"/>
                <w:szCs w:val="26"/>
              </w:rPr>
            </w:pPr>
            <w:r>
              <w:rPr>
                <w:rFonts w:eastAsia="Calibri" w:cs="Times New Roman"/>
                <w:szCs w:val="26"/>
              </w:rPr>
              <w:t xml:space="preserve">No later than the end of </w:t>
            </w:r>
            <w:r w:rsidR="005F06BE">
              <w:rPr>
                <w:rFonts w:eastAsia="Calibri" w:cs="Times New Roman"/>
                <w:szCs w:val="26"/>
              </w:rPr>
              <w:t>M</w:t>
            </w:r>
            <w:r w:rsidRPr="00EE17CA" w:rsidR="00EE17CA">
              <w:rPr>
                <w:rFonts w:eastAsia="Calibri" w:cs="Times New Roman"/>
                <w:szCs w:val="26"/>
              </w:rPr>
              <w:t>onth 1</w:t>
            </w:r>
            <w:r>
              <w:rPr>
                <w:rFonts w:eastAsia="Calibri" w:cs="Times New Roman"/>
                <w:szCs w:val="26"/>
              </w:rPr>
              <w:t>1</w:t>
            </w:r>
          </w:p>
        </w:tc>
      </w:tr>
      <w:tr w:rsidRPr="00EE17CA" w:rsidR="00EE17CA" w:rsidTr="00F1377B" w14:paraId="704EBF56" w14:textId="77777777">
        <w:tc>
          <w:tcPr>
            <w:tcW w:w="3888" w:type="dxa"/>
          </w:tcPr>
          <w:p w:rsidRPr="00EE17CA" w:rsidR="00EE17CA" w:rsidP="00157BB0" w:rsidRDefault="00EE17CA" w14:paraId="1FFA4538" w14:textId="77777777">
            <w:pPr>
              <w:keepNext/>
              <w:keepLines/>
              <w:spacing w:line="240" w:lineRule="auto"/>
              <w:ind w:firstLine="0"/>
              <w:rPr>
                <w:rFonts w:eastAsia="Calibri" w:cs="Times New Roman"/>
                <w:szCs w:val="26"/>
              </w:rPr>
            </w:pPr>
            <w:r w:rsidRPr="00EE17CA">
              <w:rPr>
                <w:rFonts w:eastAsia="Calibri" w:cs="Times New Roman"/>
                <w:szCs w:val="26"/>
              </w:rPr>
              <w:t xml:space="preserve">SPD review, comment, and approval of evaluation </w:t>
            </w:r>
            <w:r w:rsidRPr="00EE17CA">
              <w:rPr>
                <w:rFonts w:eastAsia="Calibri" w:cs="Times New Roman"/>
                <w:i/>
                <w:iCs/>
                <w:szCs w:val="26"/>
              </w:rPr>
              <w:t>scope of work</w:t>
            </w:r>
            <w:r w:rsidRPr="00EE17CA">
              <w:rPr>
                <w:rFonts w:eastAsia="Calibri" w:cs="Times New Roman"/>
                <w:szCs w:val="26"/>
              </w:rPr>
              <w:t xml:space="preserve"> </w:t>
            </w:r>
          </w:p>
        </w:tc>
        <w:tc>
          <w:tcPr>
            <w:tcW w:w="4302" w:type="dxa"/>
          </w:tcPr>
          <w:p w:rsidRPr="00EE17CA" w:rsidR="00EE17CA" w:rsidP="00157BB0" w:rsidRDefault="00964BCD" w14:paraId="5F3E339C" w14:textId="0CDF95F9">
            <w:pPr>
              <w:keepNext/>
              <w:keepLines/>
              <w:spacing w:line="240" w:lineRule="auto"/>
              <w:ind w:firstLine="0"/>
              <w:rPr>
                <w:rFonts w:eastAsia="Calibri" w:cs="Times New Roman"/>
                <w:szCs w:val="26"/>
              </w:rPr>
            </w:pPr>
            <w:r>
              <w:rPr>
                <w:rFonts w:eastAsia="Calibri" w:cs="Times New Roman"/>
                <w:szCs w:val="26"/>
              </w:rPr>
              <w:t xml:space="preserve">No later than the end of </w:t>
            </w:r>
            <w:r w:rsidR="005F06BE">
              <w:rPr>
                <w:rFonts w:eastAsia="Calibri" w:cs="Times New Roman"/>
                <w:szCs w:val="26"/>
              </w:rPr>
              <w:t>M</w:t>
            </w:r>
            <w:r w:rsidRPr="00EE17CA" w:rsidR="00EE17CA">
              <w:rPr>
                <w:rFonts w:eastAsia="Calibri" w:cs="Times New Roman"/>
                <w:szCs w:val="26"/>
              </w:rPr>
              <w:t>onth 1</w:t>
            </w:r>
            <w:r>
              <w:rPr>
                <w:rFonts w:eastAsia="Calibri" w:cs="Times New Roman"/>
                <w:szCs w:val="26"/>
              </w:rPr>
              <w:t>2</w:t>
            </w:r>
          </w:p>
        </w:tc>
      </w:tr>
      <w:tr w:rsidRPr="00EE17CA" w:rsidR="00EE17CA" w:rsidTr="00F1377B" w14:paraId="523C2526" w14:textId="77777777">
        <w:tc>
          <w:tcPr>
            <w:tcW w:w="3888" w:type="dxa"/>
          </w:tcPr>
          <w:p w:rsidRPr="00EE17CA" w:rsidR="00EE17CA" w:rsidP="00157BB0" w:rsidRDefault="00EE17CA" w14:paraId="180F3404" w14:textId="77777777">
            <w:pPr>
              <w:keepNext/>
              <w:keepLines/>
              <w:spacing w:line="240" w:lineRule="auto"/>
              <w:ind w:firstLine="0"/>
              <w:rPr>
                <w:rFonts w:eastAsia="Calibri" w:cs="Times New Roman"/>
                <w:szCs w:val="26"/>
              </w:rPr>
            </w:pPr>
            <w:r w:rsidRPr="00EE17CA">
              <w:rPr>
                <w:rFonts w:eastAsia="Calibri" w:cs="Times New Roman"/>
                <w:szCs w:val="26"/>
              </w:rPr>
              <w:t xml:space="preserve">Evaluation process commences </w:t>
            </w:r>
          </w:p>
        </w:tc>
        <w:tc>
          <w:tcPr>
            <w:tcW w:w="4302" w:type="dxa"/>
          </w:tcPr>
          <w:p w:rsidRPr="00EE17CA" w:rsidR="00EE17CA" w:rsidP="00157BB0" w:rsidRDefault="005F06BE" w14:paraId="1A4B34FA" w14:textId="110004B9">
            <w:pPr>
              <w:keepNext/>
              <w:keepLines/>
              <w:spacing w:line="240" w:lineRule="auto"/>
              <w:ind w:firstLine="0"/>
              <w:rPr>
                <w:rFonts w:eastAsia="Calibri" w:cs="Times New Roman"/>
                <w:szCs w:val="26"/>
              </w:rPr>
            </w:pPr>
            <w:r>
              <w:rPr>
                <w:rFonts w:eastAsia="Calibri" w:cs="Times New Roman"/>
                <w:szCs w:val="26"/>
              </w:rPr>
              <w:t>No later than the end of M</w:t>
            </w:r>
            <w:r w:rsidRPr="00EE17CA" w:rsidR="00EE17CA">
              <w:rPr>
                <w:rFonts w:eastAsia="Calibri" w:cs="Times New Roman"/>
                <w:szCs w:val="26"/>
              </w:rPr>
              <w:t>onth 1</w:t>
            </w:r>
            <w:r>
              <w:rPr>
                <w:rFonts w:eastAsia="Calibri" w:cs="Times New Roman"/>
                <w:szCs w:val="26"/>
              </w:rPr>
              <w:t>2</w:t>
            </w:r>
          </w:p>
        </w:tc>
      </w:tr>
      <w:tr w:rsidRPr="00EE17CA" w:rsidR="00EE17CA" w:rsidTr="00F1377B" w14:paraId="231470EE" w14:textId="77777777">
        <w:tc>
          <w:tcPr>
            <w:tcW w:w="3888" w:type="dxa"/>
          </w:tcPr>
          <w:p w:rsidRPr="00EE17CA" w:rsidR="00EE17CA" w:rsidP="00157BB0" w:rsidRDefault="005F06BE" w14:paraId="686A03D6" w14:textId="2AF1EE68">
            <w:pPr>
              <w:keepNext/>
              <w:keepLines/>
              <w:spacing w:line="240" w:lineRule="auto"/>
              <w:ind w:firstLine="0"/>
              <w:rPr>
                <w:rFonts w:eastAsia="Calibri" w:cs="Times New Roman"/>
                <w:szCs w:val="26"/>
              </w:rPr>
            </w:pPr>
            <w:r>
              <w:rPr>
                <w:rFonts w:eastAsia="Calibri" w:cs="Times New Roman"/>
                <w:szCs w:val="26"/>
              </w:rPr>
              <w:t>D</w:t>
            </w:r>
            <w:r w:rsidRPr="00EE17CA" w:rsidR="00EE17CA">
              <w:rPr>
                <w:rFonts w:eastAsia="Calibri" w:cs="Times New Roman"/>
                <w:szCs w:val="26"/>
              </w:rPr>
              <w:t xml:space="preserve">raft version of </w:t>
            </w:r>
            <w:r w:rsidRPr="00EE17CA" w:rsidR="00EE17CA">
              <w:rPr>
                <w:rFonts w:eastAsia="Calibri" w:cs="Times New Roman"/>
                <w:i/>
                <w:iCs/>
                <w:szCs w:val="26"/>
              </w:rPr>
              <w:t>evaluation report</w:t>
            </w:r>
            <w:r w:rsidRPr="00EE17CA" w:rsidR="00EE17CA">
              <w:rPr>
                <w:rFonts w:eastAsia="Calibri" w:cs="Times New Roman"/>
                <w:szCs w:val="26"/>
              </w:rPr>
              <w:t xml:space="preserve"> submitted to SPD</w:t>
            </w:r>
          </w:p>
        </w:tc>
        <w:tc>
          <w:tcPr>
            <w:tcW w:w="4302" w:type="dxa"/>
          </w:tcPr>
          <w:p w:rsidRPr="00EE17CA" w:rsidR="00EE17CA" w:rsidP="00157BB0" w:rsidRDefault="005F06BE" w14:paraId="46220B33" w14:textId="1726A691">
            <w:pPr>
              <w:keepNext/>
              <w:keepLines/>
              <w:spacing w:line="240" w:lineRule="auto"/>
              <w:ind w:firstLine="0"/>
              <w:rPr>
                <w:rFonts w:eastAsia="Calibri" w:cs="Times New Roman"/>
                <w:szCs w:val="26"/>
              </w:rPr>
            </w:pPr>
            <w:r>
              <w:rPr>
                <w:rFonts w:eastAsia="Calibri" w:cs="Times New Roman"/>
                <w:szCs w:val="26"/>
              </w:rPr>
              <w:t>No later than the end of Month</w:t>
            </w:r>
            <w:r w:rsidRPr="00EE17CA" w:rsidR="00EE17CA">
              <w:rPr>
                <w:rFonts w:eastAsia="Calibri" w:cs="Times New Roman"/>
                <w:szCs w:val="26"/>
              </w:rPr>
              <w:t xml:space="preserve"> 2</w:t>
            </w:r>
            <w:r w:rsidR="00964BCD">
              <w:rPr>
                <w:rFonts w:eastAsia="Calibri" w:cs="Times New Roman"/>
                <w:szCs w:val="26"/>
              </w:rPr>
              <w:t>1</w:t>
            </w:r>
          </w:p>
        </w:tc>
      </w:tr>
      <w:tr w:rsidRPr="00EE17CA" w:rsidR="00EE17CA" w:rsidTr="00F1377B" w14:paraId="20831CC7" w14:textId="77777777">
        <w:tc>
          <w:tcPr>
            <w:tcW w:w="3888" w:type="dxa"/>
          </w:tcPr>
          <w:p w:rsidRPr="00EE17CA" w:rsidR="00EE17CA" w:rsidP="00157BB0" w:rsidRDefault="00EE17CA" w14:paraId="623D2649" w14:textId="77777777">
            <w:pPr>
              <w:keepNext/>
              <w:keepLines/>
              <w:spacing w:line="240" w:lineRule="auto"/>
              <w:ind w:firstLine="0"/>
              <w:rPr>
                <w:rFonts w:eastAsia="Calibri" w:cs="Times New Roman"/>
                <w:szCs w:val="26"/>
              </w:rPr>
            </w:pPr>
            <w:r w:rsidRPr="00EE17CA">
              <w:rPr>
                <w:rFonts w:eastAsia="Calibri" w:cs="Times New Roman"/>
                <w:szCs w:val="26"/>
              </w:rPr>
              <w:t xml:space="preserve">Public draft version of </w:t>
            </w:r>
            <w:r w:rsidRPr="00EE17CA">
              <w:rPr>
                <w:rFonts w:eastAsia="Calibri" w:cs="Times New Roman"/>
                <w:i/>
                <w:iCs/>
                <w:szCs w:val="26"/>
              </w:rPr>
              <w:t>evaluation report</w:t>
            </w:r>
            <w:r w:rsidRPr="00EE17CA">
              <w:rPr>
                <w:rFonts w:eastAsia="Calibri" w:cs="Times New Roman"/>
                <w:szCs w:val="26"/>
              </w:rPr>
              <w:t xml:space="preserve"> published</w:t>
            </w:r>
          </w:p>
        </w:tc>
        <w:tc>
          <w:tcPr>
            <w:tcW w:w="4302" w:type="dxa"/>
          </w:tcPr>
          <w:p w:rsidRPr="00EE17CA" w:rsidR="00EE17CA" w:rsidP="00157BB0" w:rsidRDefault="005F06BE" w14:paraId="5EF2B7D4" w14:textId="4A29639B">
            <w:pPr>
              <w:keepNext/>
              <w:keepLines/>
              <w:spacing w:line="240" w:lineRule="auto"/>
              <w:ind w:firstLine="0"/>
              <w:rPr>
                <w:rFonts w:eastAsia="Calibri" w:cs="Times New Roman"/>
                <w:szCs w:val="26"/>
              </w:rPr>
            </w:pPr>
            <w:r>
              <w:rPr>
                <w:rFonts w:eastAsia="Calibri" w:cs="Times New Roman"/>
                <w:szCs w:val="26"/>
              </w:rPr>
              <w:t>No later than the end of M</w:t>
            </w:r>
            <w:r w:rsidRPr="00EE17CA" w:rsidR="00EE17CA">
              <w:rPr>
                <w:rFonts w:eastAsia="Calibri" w:cs="Times New Roman"/>
                <w:szCs w:val="26"/>
              </w:rPr>
              <w:t>onth 2</w:t>
            </w:r>
            <w:r w:rsidR="00964BCD">
              <w:rPr>
                <w:rFonts w:eastAsia="Calibri" w:cs="Times New Roman"/>
                <w:szCs w:val="26"/>
              </w:rPr>
              <w:t>2</w:t>
            </w:r>
          </w:p>
        </w:tc>
      </w:tr>
      <w:tr w:rsidRPr="00EE17CA" w:rsidR="00EE17CA" w:rsidTr="00F1377B" w14:paraId="79110CC8" w14:textId="77777777">
        <w:tc>
          <w:tcPr>
            <w:tcW w:w="3888" w:type="dxa"/>
          </w:tcPr>
          <w:p w:rsidRPr="00EE17CA" w:rsidR="00EE17CA" w:rsidP="00EE17CA" w:rsidRDefault="00EE17CA" w14:paraId="60F3D32F" w14:textId="6D4A7533">
            <w:pPr>
              <w:spacing w:line="240" w:lineRule="auto"/>
              <w:ind w:firstLine="0"/>
              <w:rPr>
                <w:rFonts w:eastAsia="Calibri" w:cs="Times New Roman"/>
                <w:szCs w:val="26"/>
              </w:rPr>
            </w:pPr>
            <w:r w:rsidRPr="00EE17CA">
              <w:rPr>
                <w:rFonts w:eastAsia="Calibri" w:cs="Times New Roman"/>
                <w:szCs w:val="26"/>
              </w:rPr>
              <w:t>Stakeholder comments; public workshop or webinar a</w:t>
            </w:r>
            <w:r w:rsidR="005F06BE">
              <w:rPr>
                <w:rFonts w:eastAsia="Calibri" w:cs="Times New Roman"/>
                <w:szCs w:val="26"/>
              </w:rPr>
              <w:t xml:space="preserve">t discretion of </w:t>
            </w:r>
            <w:r w:rsidRPr="00EE17CA">
              <w:rPr>
                <w:rFonts w:eastAsia="Calibri" w:cs="Times New Roman"/>
                <w:szCs w:val="26"/>
              </w:rPr>
              <w:t>SPD</w:t>
            </w:r>
          </w:p>
        </w:tc>
        <w:tc>
          <w:tcPr>
            <w:tcW w:w="4302" w:type="dxa"/>
          </w:tcPr>
          <w:p w:rsidRPr="00EE17CA" w:rsidR="00EE17CA" w:rsidP="00EE17CA" w:rsidRDefault="005F06BE" w14:paraId="04F9AA90" w14:textId="189A7474">
            <w:pPr>
              <w:spacing w:line="240" w:lineRule="auto"/>
              <w:ind w:firstLine="0"/>
              <w:rPr>
                <w:rFonts w:eastAsia="Calibri" w:cs="Times New Roman"/>
                <w:szCs w:val="26"/>
              </w:rPr>
            </w:pPr>
            <w:r>
              <w:rPr>
                <w:rFonts w:eastAsia="Calibri" w:cs="Times New Roman"/>
                <w:szCs w:val="26"/>
              </w:rPr>
              <w:t xml:space="preserve">No later than the end of </w:t>
            </w:r>
            <w:r w:rsidRPr="00EE17CA" w:rsidR="00EE17CA">
              <w:rPr>
                <w:rFonts w:eastAsia="Calibri" w:cs="Times New Roman"/>
                <w:szCs w:val="26"/>
              </w:rPr>
              <w:t>Month 2</w:t>
            </w:r>
            <w:r w:rsidR="00964BCD">
              <w:rPr>
                <w:rFonts w:eastAsia="Calibri" w:cs="Times New Roman"/>
                <w:szCs w:val="26"/>
              </w:rPr>
              <w:t>3</w:t>
            </w:r>
          </w:p>
        </w:tc>
      </w:tr>
      <w:tr w:rsidRPr="00EE17CA" w:rsidR="00EE17CA" w:rsidTr="00F1377B" w14:paraId="10988467" w14:textId="77777777">
        <w:tc>
          <w:tcPr>
            <w:tcW w:w="3888" w:type="dxa"/>
          </w:tcPr>
          <w:p w:rsidRPr="00EE17CA" w:rsidR="00EE17CA" w:rsidP="00EE17CA" w:rsidRDefault="00EE17CA" w14:paraId="1E2456E2" w14:textId="77777777">
            <w:pPr>
              <w:spacing w:line="240" w:lineRule="auto"/>
              <w:ind w:firstLine="0"/>
              <w:rPr>
                <w:rFonts w:eastAsia="Calibri" w:cs="Times New Roman"/>
                <w:szCs w:val="26"/>
              </w:rPr>
            </w:pPr>
            <w:r w:rsidRPr="00EE17CA">
              <w:rPr>
                <w:rFonts w:eastAsia="Calibri" w:cs="Times New Roman"/>
                <w:szCs w:val="26"/>
              </w:rPr>
              <w:t xml:space="preserve">Final </w:t>
            </w:r>
            <w:r w:rsidRPr="00EE17CA">
              <w:rPr>
                <w:rFonts w:eastAsia="Calibri" w:cs="Times New Roman"/>
                <w:i/>
                <w:iCs/>
                <w:szCs w:val="26"/>
              </w:rPr>
              <w:t>evaluation report</w:t>
            </w:r>
            <w:r w:rsidRPr="00EE17CA">
              <w:rPr>
                <w:rFonts w:eastAsia="Calibri" w:cs="Times New Roman"/>
                <w:szCs w:val="26"/>
              </w:rPr>
              <w:t xml:space="preserve"> published</w:t>
            </w:r>
          </w:p>
        </w:tc>
        <w:tc>
          <w:tcPr>
            <w:tcW w:w="4302" w:type="dxa"/>
          </w:tcPr>
          <w:p w:rsidRPr="00EE17CA" w:rsidR="00EE17CA" w:rsidP="00EE17CA" w:rsidRDefault="005F06BE" w14:paraId="7325EA40" w14:textId="51B18D37">
            <w:pPr>
              <w:spacing w:line="240" w:lineRule="auto"/>
              <w:ind w:firstLine="0"/>
              <w:rPr>
                <w:rFonts w:eastAsia="Calibri" w:cs="Times New Roman"/>
                <w:szCs w:val="26"/>
              </w:rPr>
            </w:pPr>
            <w:r>
              <w:rPr>
                <w:rFonts w:eastAsia="Calibri" w:cs="Times New Roman"/>
                <w:szCs w:val="26"/>
              </w:rPr>
              <w:t xml:space="preserve">No later than the end of </w:t>
            </w:r>
            <w:r w:rsidRPr="00EE17CA" w:rsidR="00EE17CA">
              <w:rPr>
                <w:rFonts w:eastAsia="Calibri" w:cs="Times New Roman"/>
                <w:szCs w:val="26"/>
              </w:rPr>
              <w:t>Month 2</w:t>
            </w:r>
            <w:r w:rsidR="00964BCD">
              <w:rPr>
                <w:rFonts w:eastAsia="Calibri" w:cs="Times New Roman"/>
                <w:szCs w:val="26"/>
              </w:rPr>
              <w:t>4</w:t>
            </w:r>
          </w:p>
        </w:tc>
      </w:tr>
    </w:tbl>
    <w:p w:rsidRPr="00157BB0" w:rsidR="00864137" w:rsidP="00385ED3" w:rsidRDefault="00864137" w14:paraId="1CE72BF2" w14:textId="77777777">
      <w:pPr>
        <w:pStyle w:val="Standard"/>
        <w:rPr>
          <w:sz w:val="10"/>
          <w:szCs w:val="10"/>
        </w:rPr>
      </w:pPr>
    </w:p>
    <w:p w:rsidRPr="00EA33F4" w:rsidR="00864137" w:rsidP="00157BB0" w:rsidRDefault="00864137" w14:paraId="6B8D9C9B" w14:textId="77777777">
      <w:pPr>
        <w:pStyle w:val="Heading1"/>
        <w:numPr>
          <w:ilvl w:val="0"/>
          <w:numId w:val="63"/>
        </w:numPr>
      </w:pPr>
      <w:bookmarkStart w:name="_Toc52866558" w:id="120"/>
      <w:r w:rsidRPr="00EA33F4">
        <w:t>Phase 2 of this Proceeding</w:t>
      </w:r>
      <w:bookmarkEnd w:id="120"/>
    </w:p>
    <w:p w:rsidRPr="00864137" w:rsidR="00864137" w:rsidP="0087100E" w:rsidRDefault="00812EBF" w14:paraId="32BDE144" w14:textId="5F01FF49">
      <w:pPr>
        <w:pStyle w:val="Standard"/>
      </w:pPr>
      <w:r>
        <w:t>As part of Phase 1 of this proceeding</w:t>
      </w:r>
      <w:r w:rsidRPr="00864137" w:rsidR="00864137">
        <w:t xml:space="preserve">, </w:t>
      </w:r>
      <w:r>
        <w:t xml:space="preserve">we direct </w:t>
      </w:r>
      <w:r w:rsidRPr="00864137" w:rsidR="00864137">
        <w:t xml:space="preserve">SPD </w:t>
      </w:r>
      <w:r>
        <w:t>to</w:t>
      </w:r>
      <w:r w:rsidRPr="00864137" w:rsidR="00864137">
        <w:t xml:space="preserve"> monitor and assess the pilot’s performance and the</w:t>
      </w:r>
      <w:r>
        <w:t xml:space="preserve"> independent</w:t>
      </w:r>
      <w:r w:rsidRPr="00864137" w:rsidR="00864137">
        <w:t xml:space="preserve"> consultant’s evaluation of the pilot</w:t>
      </w:r>
      <w:r w:rsidR="00352A61">
        <w:t xml:space="preserve"> </w:t>
      </w:r>
      <w:r w:rsidRPr="00864137" w:rsidR="00864137">
        <w:t xml:space="preserve">by taking into consideration PG&amp;E’s quarterly progress reports, the </w:t>
      </w:r>
      <w:r>
        <w:t xml:space="preserve">independent </w:t>
      </w:r>
      <w:r w:rsidRPr="00864137" w:rsidR="00864137">
        <w:t>consultant</w:t>
      </w:r>
      <w:r w:rsidR="00352A61">
        <w:t>’s</w:t>
      </w:r>
      <w:r w:rsidRPr="00864137" w:rsidR="00864137">
        <w:t xml:space="preserve"> evaluation report, stakeholder engagement, comments on the evaluation report, and staff’s observations. </w:t>
      </w:r>
    </w:p>
    <w:p w:rsidRPr="00864137" w:rsidR="00864137" w:rsidP="0087100E" w:rsidRDefault="00864137" w14:paraId="3977CA64" w14:textId="3D23B3B3">
      <w:pPr>
        <w:pStyle w:val="Standard"/>
      </w:pPr>
      <w:r w:rsidRPr="00864137">
        <w:t xml:space="preserve">Phase 2 of this proceeding will be initiated when the Assigned Commissioner issues a second scoping memo. </w:t>
      </w:r>
      <w:r w:rsidR="00CC6227">
        <w:t xml:space="preserve"> </w:t>
      </w:r>
      <w:r w:rsidRPr="00864137">
        <w:t>Phase 2</w:t>
      </w:r>
      <w:r w:rsidR="0025700F">
        <w:t xml:space="preserve"> is</w:t>
      </w:r>
      <w:r w:rsidRPr="00864137">
        <w:t xml:space="preserve"> expected to address, at minimum, the following issues: </w:t>
      </w:r>
    </w:p>
    <w:p w:rsidRPr="00864137" w:rsidR="003F1AC7" w:rsidP="00CC6227" w:rsidRDefault="00864137" w14:paraId="6B8A72F7" w14:textId="79A17F7A">
      <w:pPr>
        <w:pStyle w:val="BlockQuote"/>
        <w:ind w:right="1440"/>
      </w:pPr>
      <w:r w:rsidRPr="00864137">
        <w:rPr>
          <w:i/>
          <w:iCs/>
        </w:rPr>
        <w:t xml:space="preserve">Mobile App Evaluation. </w:t>
      </w:r>
      <w:r w:rsidRPr="00864137">
        <w:t xml:space="preserve">Whether the </w:t>
      </w:r>
      <w:r w:rsidR="00B769A9">
        <w:t>evaluation</w:t>
      </w:r>
      <w:r w:rsidRPr="00864137">
        <w:t xml:space="preserve"> of the pilot indicate</w:t>
      </w:r>
      <w:r w:rsidR="00B769A9">
        <w:t>s</w:t>
      </w:r>
      <w:r w:rsidRPr="00864137">
        <w:t xml:space="preserve"> that a mobile app improve</w:t>
      </w:r>
      <w:r w:rsidR="00B769A9">
        <w:t>s</w:t>
      </w:r>
      <w:r w:rsidRPr="00864137">
        <w:t xml:space="preserve"> </w:t>
      </w:r>
      <w:r w:rsidR="00B769A9">
        <w:t xml:space="preserve">public </w:t>
      </w:r>
      <w:r w:rsidRPr="00864137">
        <w:t>safety</w:t>
      </w:r>
      <w:r w:rsidR="00B769A9">
        <w:t>, is reasonable, and in the public interest,</w:t>
      </w:r>
      <w:r w:rsidRPr="00864137">
        <w:t xml:space="preserve"> and should be permanently adopted</w:t>
      </w:r>
      <w:r w:rsidR="00E03640">
        <w:t>?</w:t>
      </w:r>
    </w:p>
    <w:p w:rsidR="00864137" w:rsidP="00CC6227" w:rsidRDefault="003F1AC7" w14:paraId="595A8FDB" w14:textId="777C5BF2">
      <w:pPr>
        <w:pStyle w:val="Standard"/>
        <w:keepNext/>
        <w:keepLines/>
        <w:ind w:firstLine="0"/>
      </w:pPr>
      <w:r>
        <w:lastRenderedPageBreak/>
        <w:t xml:space="preserve">Should the Commission find that establishment of </w:t>
      </w:r>
      <w:r w:rsidRPr="00431C51" w:rsidR="00864137">
        <w:t>a permanent mobile app</w:t>
      </w:r>
      <w:r w:rsidR="00057E48">
        <w:t xml:space="preserve"> </w:t>
      </w:r>
      <w:r w:rsidRPr="00431C51" w:rsidR="00864137">
        <w:t xml:space="preserve">is </w:t>
      </w:r>
      <w:r>
        <w:t xml:space="preserve">justified, additional Phase 2 issues would </w:t>
      </w:r>
      <w:r w:rsidR="00106D03">
        <w:t xml:space="preserve">also </w:t>
      </w:r>
      <w:r>
        <w:t>consist of:</w:t>
      </w:r>
    </w:p>
    <w:p w:rsidRPr="00864137" w:rsidR="00864137" w:rsidP="00CC6227" w:rsidRDefault="00864137" w14:paraId="024DA106" w14:textId="4F3DCA87">
      <w:pPr>
        <w:pStyle w:val="BlockQuote"/>
        <w:ind w:right="1440"/>
      </w:pPr>
      <w:r w:rsidRPr="00864137">
        <w:rPr>
          <w:i/>
          <w:iCs/>
        </w:rPr>
        <w:t>Geographic Area.</w:t>
      </w:r>
      <w:r w:rsidRPr="00864137">
        <w:t xml:space="preserve"> Whether the permanent mobile app program should cover all or </w:t>
      </w:r>
      <w:r w:rsidR="003F1AC7">
        <w:t xml:space="preserve">some </w:t>
      </w:r>
      <w:r w:rsidRPr="00864137">
        <w:t>p</w:t>
      </w:r>
      <w:r w:rsidR="003F1AC7">
        <w:t>ortion</w:t>
      </w:r>
      <w:r w:rsidRPr="00864137">
        <w:t xml:space="preserve"> of PG&amp;E’s service territory? </w:t>
      </w:r>
    </w:p>
    <w:p w:rsidRPr="00864137" w:rsidR="00864137" w:rsidP="00CC6227" w:rsidRDefault="00864137" w14:paraId="77271C32" w14:textId="77777777">
      <w:pPr>
        <w:pStyle w:val="BlockQuote"/>
        <w:ind w:right="1440"/>
      </w:pPr>
      <w:r w:rsidRPr="00864137">
        <w:rPr>
          <w:i/>
          <w:iCs/>
        </w:rPr>
        <w:t>Mobile App Scope and Functions</w:t>
      </w:r>
      <w:r w:rsidRPr="00864137">
        <w:t>. Whether to incorporate additional functions into the mobile app, such as bill pay, energy use and rebate tracking, appointment setting, Public Safety Power Shutoff (PSPS) alerts, a method for customers to report electrical outages, and issues that are non-safety related?</w:t>
      </w:r>
    </w:p>
    <w:p w:rsidRPr="00864137" w:rsidR="00864137" w:rsidP="00CC6227" w:rsidRDefault="00864137" w14:paraId="3271B323" w14:textId="54FFC888">
      <w:pPr>
        <w:pStyle w:val="BlockQuote"/>
        <w:ind w:right="1440"/>
      </w:pPr>
      <w:r w:rsidRPr="00864137">
        <w:rPr>
          <w:i/>
          <w:iCs/>
        </w:rPr>
        <w:t>Cost Recovery</w:t>
      </w:r>
      <w:r w:rsidRPr="00864137">
        <w:t>.  Whether the mobile app should continue to be a</w:t>
      </w:r>
      <w:r w:rsidR="003F1AC7">
        <w:t>t</w:t>
      </w:r>
      <w:r w:rsidRPr="00864137">
        <w:t xml:space="preserve"> shareholder expense, as set forth in I.19-06-015, a</w:t>
      </w:r>
      <w:r w:rsidR="003F1AC7">
        <w:t>t</w:t>
      </w:r>
      <w:r w:rsidRPr="00864137">
        <w:t xml:space="preserve"> ratepayer expense, or combination of both?</w:t>
      </w:r>
    </w:p>
    <w:p w:rsidRPr="00864137" w:rsidR="00864137" w:rsidP="00CC6227" w:rsidRDefault="00864137" w14:paraId="4EF211C4" w14:textId="77777777">
      <w:pPr>
        <w:pStyle w:val="BlockQuote"/>
        <w:ind w:right="1440"/>
      </w:pPr>
      <w:r w:rsidRPr="00864137">
        <w:rPr>
          <w:i/>
          <w:iCs/>
        </w:rPr>
        <w:t>Gas Service.</w:t>
      </w:r>
      <w:r w:rsidRPr="00864137">
        <w:t xml:space="preserve"> Whether sufficient opportunities exist for gas customers to report concerns and direct question to PG&amp;E such that expanding the mobile app’s scope to include gas service and assets is justified?  </w:t>
      </w:r>
    </w:p>
    <w:p w:rsidRPr="00864137" w:rsidR="00864137" w:rsidP="00CC6227" w:rsidRDefault="00864137" w14:paraId="37A0740E" w14:textId="77777777">
      <w:pPr>
        <w:pStyle w:val="BlockQuote"/>
        <w:ind w:right="1440"/>
      </w:pPr>
      <w:r w:rsidRPr="00864137">
        <w:rPr>
          <w:i/>
          <w:iCs/>
        </w:rPr>
        <w:t>Improvements</w:t>
      </w:r>
      <w:r w:rsidRPr="00864137">
        <w:t>.  Whether further changes should be made to PG&amp;E’s mobile app?</w:t>
      </w:r>
    </w:p>
    <w:p w:rsidRPr="009707CB" w:rsidR="005939A5" w:rsidP="00157BB0" w:rsidRDefault="005939A5" w14:paraId="504307C4" w14:textId="1E9CAD44">
      <w:pPr>
        <w:pStyle w:val="Heading1"/>
        <w:numPr>
          <w:ilvl w:val="0"/>
          <w:numId w:val="63"/>
        </w:numPr>
      </w:pPr>
      <w:bookmarkStart w:name="_Toc45823111" w:id="121"/>
      <w:bookmarkStart w:name="_Toc45824297" w:id="122"/>
      <w:bookmarkStart w:name="_Toc46751380" w:id="123"/>
      <w:bookmarkStart w:name="_Toc46751637" w:id="124"/>
      <w:bookmarkStart w:name="_Toc46762607" w:id="125"/>
      <w:bookmarkStart w:name="_Toc46762752" w:id="126"/>
      <w:bookmarkStart w:name="_Toc46762897" w:id="127"/>
      <w:bookmarkStart w:name="_Toc46763042" w:id="128"/>
      <w:bookmarkStart w:name="_Toc46940255" w:id="129"/>
      <w:bookmarkStart w:name="_Toc45823113" w:id="130"/>
      <w:bookmarkStart w:name="_Toc45824299" w:id="131"/>
      <w:bookmarkStart w:name="_Toc46751382" w:id="132"/>
      <w:bookmarkStart w:name="_Toc46751639" w:id="133"/>
      <w:bookmarkStart w:name="_Toc46762609" w:id="134"/>
      <w:bookmarkStart w:name="_Toc46762754" w:id="135"/>
      <w:bookmarkStart w:name="_Toc46762899" w:id="136"/>
      <w:bookmarkStart w:name="_Toc46763044" w:id="137"/>
      <w:bookmarkStart w:name="_Toc46940257" w:id="138"/>
      <w:bookmarkStart w:name="_Toc45823114" w:id="139"/>
      <w:bookmarkStart w:name="_Toc45824300" w:id="140"/>
      <w:bookmarkStart w:name="_Toc46751383" w:id="141"/>
      <w:bookmarkStart w:name="_Toc46751640" w:id="142"/>
      <w:bookmarkStart w:name="_Toc46762610" w:id="143"/>
      <w:bookmarkStart w:name="_Toc46762755" w:id="144"/>
      <w:bookmarkStart w:name="_Toc46762900" w:id="145"/>
      <w:bookmarkStart w:name="_Toc46763045" w:id="146"/>
      <w:bookmarkStart w:name="_Toc46940258" w:id="147"/>
      <w:bookmarkStart w:name="_Toc45823115" w:id="148"/>
      <w:bookmarkStart w:name="_Toc45824301" w:id="149"/>
      <w:bookmarkStart w:name="_Toc46751384" w:id="150"/>
      <w:bookmarkStart w:name="_Toc46751641" w:id="151"/>
      <w:bookmarkStart w:name="_Toc46762611" w:id="152"/>
      <w:bookmarkStart w:name="_Toc46762756" w:id="153"/>
      <w:bookmarkStart w:name="_Toc46762901" w:id="154"/>
      <w:bookmarkStart w:name="_Toc46763046" w:id="155"/>
      <w:bookmarkStart w:name="_Toc46940259" w:id="156"/>
      <w:bookmarkStart w:name="_Toc45823116" w:id="157"/>
      <w:bookmarkStart w:name="_Toc45824302" w:id="158"/>
      <w:bookmarkStart w:name="_Toc46751385" w:id="159"/>
      <w:bookmarkStart w:name="_Toc46751642" w:id="160"/>
      <w:bookmarkStart w:name="_Toc46762612" w:id="161"/>
      <w:bookmarkStart w:name="_Toc46762757" w:id="162"/>
      <w:bookmarkStart w:name="_Toc46762902" w:id="163"/>
      <w:bookmarkStart w:name="_Toc46763047" w:id="164"/>
      <w:bookmarkStart w:name="_Toc46940260" w:id="165"/>
      <w:bookmarkStart w:name="_Toc45823117" w:id="166"/>
      <w:bookmarkStart w:name="_Toc45824303" w:id="167"/>
      <w:bookmarkStart w:name="_Toc46751386" w:id="168"/>
      <w:bookmarkStart w:name="_Toc46751643" w:id="169"/>
      <w:bookmarkStart w:name="_Toc46762613" w:id="170"/>
      <w:bookmarkStart w:name="_Toc46762758" w:id="171"/>
      <w:bookmarkStart w:name="_Toc46762903" w:id="172"/>
      <w:bookmarkStart w:name="_Toc46763048" w:id="173"/>
      <w:bookmarkStart w:name="_Toc46940261" w:id="174"/>
      <w:bookmarkStart w:name="_Toc45823118" w:id="175"/>
      <w:bookmarkStart w:name="_Toc45824304" w:id="176"/>
      <w:bookmarkStart w:name="_Toc46751387" w:id="177"/>
      <w:bookmarkStart w:name="_Toc46751644" w:id="178"/>
      <w:bookmarkStart w:name="_Toc46762614" w:id="179"/>
      <w:bookmarkStart w:name="_Toc46762759" w:id="180"/>
      <w:bookmarkStart w:name="_Toc46762904" w:id="181"/>
      <w:bookmarkStart w:name="_Toc46763049" w:id="182"/>
      <w:bookmarkStart w:name="_Toc46940262" w:id="183"/>
      <w:bookmarkStart w:name="_Toc45823119" w:id="184"/>
      <w:bookmarkStart w:name="_Toc45824305" w:id="185"/>
      <w:bookmarkStart w:name="_Toc46751388" w:id="186"/>
      <w:bookmarkStart w:name="_Toc46751645" w:id="187"/>
      <w:bookmarkStart w:name="_Toc46762615" w:id="188"/>
      <w:bookmarkStart w:name="_Toc46762760" w:id="189"/>
      <w:bookmarkStart w:name="_Toc46762905" w:id="190"/>
      <w:bookmarkStart w:name="_Toc46763050" w:id="191"/>
      <w:bookmarkStart w:name="_Toc46940263" w:id="192"/>
      <w:bookmarkStart w:name="_Toc45823120" w:id="193"/>
      <w:bookmarkStart w:name="_Toc45824306" w:id="194"/>
      <w:bookmarkStart w:name="_Toc46751389" w:id="195"/>
      <w:bookmarkStart w:name="_Toc46751646" w:id="196"/>
      <w:bookmarkStart w:name="_Toc46762616" w:id="197"/>
      <w:bookmarkStart w:name="_Toc46762761" w:id="198"/>
      <w:bookmarkStart w:name="_Toc46762906" w:id="199"/>
      <w:bookmarkStart w:name="_Toc46763051" w:id="200"/>
      <w:bookmarkStart w:name="_Toc46940264" w:id="201"/>
      <w:bookmarkStart w:name="_Toc45823121" w:id="202"/>
      <w:bookmarkStart w:name="_Toc45824307" w:id="203"/>
      <w:bookmarkStart w:name="_Toc46751390" w:id="204"/>
      <w:bookmarkStart w:name="_Toc46751647" w:id="205"/>
      <w:bookmarkStart w:name="_Toc46762617" w:id="206"/>
      <w:bookmarkStart w:name="_Toc46762762" w:id="207"/>
      <w:bookmarkStart w:name="_Toc46762907" w:id="208"/>
      <w:bookmarkStart w:name="_Toc46763052" w:id="209"/>
      <w:bookmarkStart w:name="_Toc46940265" w:id="210"/>
      <w:bookmarkStart w:name="_Toc45823122" w:id="211"/>
      <w:bookmarkStart w:name="_Toc45824308" w:id="212"/>
      <w:bookmarkStart w:name="_Toc46751391" w:id="213"/>
      <w:bookmarkStart w:name="_Toc46751648" w:id="214"/>
      <w:bookmarkStart w:name="_Toc46762618" w:id="215"/>
      <w:bookmarkStart w:name="_Toc46762763" w:id="216"/>
      <w:bookmarkStart w:name="_Toc46762908" w:id="217"/>
      <w:bookmarkStart w:name="_Toc46763053" w:id="218"/>
      <w:bookmarkStart w:name="_Toc46940266" w:id="219"/>
      <w:bookmarkStart w:name="_Toc45823123" w:id="220"/>
      <w:bookmarkStart w:name="_Toc45824309" w:id="221"/>
      <w:bookmarkStart w:name="_Toc46751392" w:id="222"/>
      <w:bookmarkStart w:name="_Toc46751649" w:id="223"/>
      <w:bookmarkStart w:name="_Toc46762619" w:id="224"/>
      <w:bookmarkStart w:name="_Toc46762764" w:id="225"/>
      <w:bookmarkStart w:name="_Toc46762909" w:id="226"/>
      <w:bookmarkStart w:name="_Toc46763054" w:id="227"/>
      <w:bookmarkStart w:name="_Toc46940267" w:id="228"/>
      <w:bookmarkStart w:name="_Toc45823124" w:id="229"/>
      <w:bookmarkStart w:name="_Toc45824310" w:id="230"/>
      <w:bookmarkStart w:name="_Toc46751393" w:id="231"/>
      <w:bookmarkStart w:name="_Toc46751650" w:id="232"/>
      <w:bookmarkStart w:name="_Toc46762620" w:id="233"/>
      <w:bookmarkStart w:name="_Toc46762765" w:id="234"/>
      <w:bookmarkStart w:name="_Toc46762910" w:id="235"/>
      <w:bookmarkStart w:name="_Toc46763055" w:id="236"/>
      <w:bookmarkStart w:name="_Toc46940268" w:id="237"/>
      <w:bookmarkStart w:name="_Toc45823125" w:id="238"/>
      <w:bookmarkStart w:name="_Toc45824311" w:id="239"/>
      <w:bookmarkStart w:name="_Toc46751394" w:id="240"/>
      <w:bookmarkStart w:name="_Toc46751651" w:id="241"/>
      <w:bookmarkStart w:name="_Toc46762621" w:id="242"/>
      <w:bookmarkStart w:name="_Toc46762766" w:id="243"/>
      <w:bookmarkStart w:name="_Toc46762911" w:id="244"/>
      <w:bookmarkStart w:name="_Toc46763056" w:id="245"/>
      <w:bookmarkStart w:name="_Toc46940269" w:id="246"/>
      <w:bookmarkStart w:name="_Toc45823126" w:id="247"/>
      <w:bookmarkStart w:name="_Toc45824312" w:id="248"/>
      <w:bookmarkStart w:name="_Toc46751395" w:id="249"/>
      <w:bookmarkStart w:name="_Toc46751652" w:id="250"/>
      <w:bookmarkStart w:name="_Toc46762622" w:id="251"/>
      <w:bookmarkStart w:name="_Toc46762767" w:id="252"/>
      <w:bookmarkStart w:name="_Toc46762912" w:id="253"/>
      <w:bookmarkStart w:name="_Toc46763057" w:id="254"/>
      <w:bookmarkStart w:name="_Toc46940270" w:id="255"/>
      <w:bookmarkStart w:name="_Toc45823127" w:id="256"/>
      <w:bookmarkStart w:name="_Toc45824313" w:id="257"/>
      <w:bookmarkStart w:name="_Toc46751396" w:id="258"/>
      <w:bookmarkStart w:name="_Toc46751653" w:id="259"/>
      <w:bookmarkStart w:name="_Toc46762623" w:id="260"/>
      <w:bookmarkStart w:name="_Toc46762768" w:id="261"/>
      <w:bookmarkStart w:name="_Toc46762913" w:id="262"/>
      <w:bookmarkStart w:name="_Toc46763058" w:id="263"/>
      <w:bookmarkStart w:name="_Toc46940271" w:id="264"/>
      <w:bookmarkStart w:name="_Toc45823128" w:id="265"/>
      <w:bookmarkStart w:name="_Toc45824314" w:id="266"/>
      <w:bookmarkStart w:name="_Toc46751397" w:id="267"/>
      <w:bookmarkStart w:name="_Toc46751654" w:id="268"/>
      <w:bookmarkStart w:name="_Toc46762624" w:id="269"/>
      <w:bookmarkStart w:name="_Toc46762769" w:id="270"/>
      <w:bookmarkStart w:name="_Toc46762914" w:id="271"/>
      <w:bookmarkStart w:name="_Toc46763059" w:id="272"/>
      <w:bookmarkStart w:name="_Toc46940272" w:id="273"/>
      <w:bookmarkStart w:name="_Toc45823129" w:id="274"/>
      <w:bookmarkStart w:name="_Toc45824315" w:id="275"/>
      <w:bookmarkStart w:name="_Toc46751398" w:id="276"/>
      <w:bookmarkStart w:name="_Toc46751655" w:id="277"/>
      <w:bookmarkStart w:name="_Toc46762625" w:id="278"/>
      <w:bookmarkStart w:name="_Toc46762770" w:id="279"/>
      <w:bookmarkStart w:name="_Toc46762915" w:id="280"/>
      <w:bookmarkStart w:name="_Toc46763060" w:id="281"/>
      <w:bookmarkStart w:name="_Toc46940273" w:id="282"/>
      <w:bookmarkStart w:name="_Toc45823130" w:id="283"/>
      <w:bookmarkStart w:name="_Toc45824316" w:id="284"/>
      <w:bookmarkStart w:name="_Toc46751399" w:id="285"/>
      <w:bookmarkStart w:name="_Toc46751656" w:id="286"/>
      <w:bookmarkStart w:name="_Toc46762626" w:id="287"/>
      <w:bookmarkStart w:name="_Toc46762771" w:id="288"/>
      <w:bookmarkStart w:name="_Toc46762916" w:id="289"/>
      <w:bookmarkStart w:name="_Toc46763061" w:id="290"/>
      <w:bookmarkStart w:name="_Toc46940274" w:id="291"/>
      <w:bookmarkStart w:name="_Toc45823131" w:id="292"/>
      <w:bookmarkStart w:name="_Toc45824317" w:id="293"/>
      <w:bookmarkStart w:name="_Toc46751400" w:id="294"/>
      <w:bookmarkStart w:name="_Toc46751657" w:id="295"/>
      <w:bookmarkStart w:name="_Toc46762627" w:id="296"/>
      <w:bookmarkStart w:name="_Toc46762772" w:id="297"/>
      <w:bookmarkStart w:name="_Toc46762917" w:id="298"/>
      <w:bookmarkStart w:name="_Toc46763062" w:id="299"/>
      <w:bookmarkStart w:name="_Toc46940275" w:id="300"/>
      <w:bookmarkStart w:name="_Toc45823132" w:id="301"/>
      <w:bookmarkStart w:name="_Toc45824318" w:id="302"/>
      <w:bookmarkStart w:name="_Toc46751401" w:id="303"/>
      <w:bookmarkStart w:name="_Toc46751658" w:id="304"/>
      <w:bookmarkStart w:name="_Toc46762628" w:id="305"/>
      <w:bookmarkStart w:name="_Toc46762773" w:id="306"/>
      <w:bookmarkStart w:name="_Toc46762918" w:id="307"/>
      <w:bookmarkStart w:name="_Toc46763063" w:id="308"/>
      <w:bookmarkStart w:name="_Toc46940276" w:id="309"/>
      <w:bookmarkStart w:name="_Toc45823133" w:id="310"/>
      <w:bookmarkStart w:name="_Toc45824319" w:id="311"/>
      <w:bookmarkStart w:name="_Toc46751402" w:id="312"/>
      <w:bookmarkStart w:name="_Toc46751659" w:id="313"/>
      <w:bookmarkStart w:name="_Toc46762629" w:id="314"/>
      <w:bookmarkStart w:name="_Toc46762774" w:id="315"/>
      <w:bookmarkStart w:name="_Toc46762919" w:id="316"/>
      <w:bookmarkStart w:name="_Toc46763064" w:id="317"/>
      <w:bookmarkStart w:name="_Toc46940277" w:id="318"/>
      <w:bookmarkStart w:name="_Toc45823134" w:id="319"/>
      <w:bookmarkStart w:name="_Toc45824320" w:id="320"/>
      <w:bookmarkStart w:name="_Toc46751403" w:id="321"/>
      <w:bookmarkStart w:name="_Toc46751660" w:id="322"/>
      <w:bookmarkStart w:name="_Toc46762630" w:id="323"/>
      <w:bookmarkStart w:name="_Toc46762775" w:id="324"/>
      <w:bookmarkStart w:name="_Toc46762920" w:id="325"/>
      <w:bookmarkStart w:name="_Toc46763065" w:id="326"/>
      <w:bookmarkStart w:name="_Toc46940278" w:id="327"/>
      <w:bookmarkStart w:name="_Toc45823135" w:id="328"/>
      <w:bookmarkStart w:name="_Toc45824321" w:id="329"/>
      <w:bookmarkStart w:name="_Toc46751404" w:id="330"/>
      <w:bookmarkStart w:name="_Toc46751661" w:id="331"/>
      <w:bookmarkStart w:name="_Toc46762631" w:id="332"/>
      <w:bookmarkStart w:name="_Toc46762776" w:id="333"/>
      <w:bookmarkStart w:name="_Toc46762921" w:id="334"/>
      <w:bookmarkStart w:name="_Toc46763066" w:id="335"/>
      <w:bookmarkStart w:name="_Toc46940279" w:id="336"/>
      <w:bookmarkStart w:name="_Toc45823136" w:id="337"/>
      <w:bookmarkStart w:name="_Toc45824322" w:id="338"/>
      <w:bookmarkStart w:name="_Toc46751405" w:id="339"/>
      <w:bookmarkStart w:name="_Toc46751662" w:id="340"/>
      <w:bookmarkStart w:name="_Toc46762632" w:id="341"/>
      <w:bookmarkStart w:name="_Toc46762777" w:id="342"/>
      <w:bookmarkStart w:name="_Toc46762922" w:id="343"/>
      <w:bookmarkStart w:name="_Toc46763067" w:id="344"/>
      <w:bookmarkStart w:name="_Toc46940280" w:id="345"/>
      <w:bookmarkStart w:name="_Toc45823137" w:id="346"/>
      <w:bookmarkStart w:name="_Toc45824323" w:id="347"/>
      <w:bookmarkStart w:name="_Toc46751406" w:id="348"/>
      <w:bookmarkStart w:name="_Toc46751663" w:id="349"/>
      <w:bookmarkStart w:name="_Toc46762633" w:id="350"/>
      <w:bookmarkStart w:name="_Toc46762778" w:id="351"/>
      <w:bookmarkStart w:name="_Toc46762923" w:id="352"/>
      <w:bookmarkStart w:name="_Toc46763068" w:id="353"/>
      <w:bookmarkStart w:name="_Toc46940281" w:id="354"/>
      <w:bookmarkStart w:name="_Toc45823138" w:id="355"/>
      <w:bookmarkStart w:name="_Toc45824324" w:id="356"/>
      <w:bookmarkStart w:name="_Toc46751407" w:id="357"/>
      <w:bookmarkStart w:name="_Toc46751664" w:id="358"/>
      <w:bookmarkStart w:name="_Toc46762634" w:id="359"/>
      <w:bookmarkStart w:name="_Toc46762779" w:id="360"/>
      <w:bookmarkStart w:name="_Toc46762924" w:id="361"/>
      <w:bookmarkStart w:name="_Toc46763069" w:id="362"/>
      <w:bookmarkStart w:name="_Toc46940282" w:id="363"/>
      <w:bookmarkStart w:name="_Toc45823139" w:id="364"/>
      <w:bookmarkStart w:name="_Toc45824325" w:id="365"/>
      <w:bookmarkStart w:name="_Toc46751408" w:id="366"/>
      <w:bookmarkStart w:name="_Toc46751665" w:id="367"/>
      <w:bookmarkStart w:name="_Toc46762635" w:id="368"/>
      <w:bookmarkStart w:name="_Toc46762780" w:id="369"/>
      <w:bookmarkStart w:name="_Toc46762925" w:id="370"/>
      <w:bookmarkStart w:name="_Toc46763070" w:id="371"/>
      <w:bookmarkStart w:name="_Toc46940283" w:id="372"/>
      <w:bookmarkStart w:name="_Toc45823140" w:id="373"/>
      <w:bookmarkStart w:name="_Toc45824326" w:id="374"/>
      <w:bookmarkStart w:name="_Toc46751409" w:id="375"/>
      <w:bookmarkStart w:name="_Toc46751666" w:id="376"/>
      <w:bookmarkStart w:name="_Toc46762636" w:id="377"/>
      <w:bookmarkStart w:name="_Toc46762781" w:id="378"/>
      <w:bookmarkStart w:name="_Toc46762926" w:id="379"/>
      <w:bookmarkStart w:name="_Toc46763071" w:id="380"/>
      <w:bookmarkStart w:name="_Toc46940284" w:id="381"/>
      <w:bookmarkStart w:name="_Toc45823141" w:id="382"/>
      <w:bookmarkStart w:name="_Toc45824327" w:id="383"/>
      <w:bookmarkStart w:name="_Toc46751410" w:id="384"/>
      <w:bookmarkStart w:name="_Toc46751667" w:id="385"/>
      <w:bookmarkStart w:name="_Toc46762637" w:id="386"/>
      <w:bookmarkStart w:name="_Toc46762782" w:id="387"/>
      <w:bookmarkStart w:name="_Toc46762927" w:id="388"/>
      <w:bookmarkStart w:name="_Toc46763072" w:id="389"/>
      <w:bookmarkStart w:name="_Toc46940285" w:id="390"/>
      <w:bookmarkStart w:name="_Toc45823142" w:id="391"/>
      <w:bookmarkStart w:name="_Toc45824328" w:id="392"/>
      <w:bookmarkStart w:name="_Toc46751411" w:id="393"/>
      <w:bookmarkStart w:name="_Toc46751668" w:id="394"/>
      <w:bookmarkStart w:name="_Toc46762638" w:id="395"/>
      <w:bookmarkStart w:name="_Toc46762783" w:id="396"/>
      <w:bookmarkStart w:name="_Toc46762928" w:id="397"/>
      <w:bookmarkStart w:name="_Toc46763073" w:id="398"/>
      <w:bookmarkStart w:name="_Toc46940286" w:id="399"/>
      <w:bookmarkStart w:name="_Toc45823143" w:id="400"/>
      <w:bookmarkStart w:name="_Toc45824329" w:id="401"/>
      <w:bookmarkStart w:name="_Toc46751412" w:id="402"/>
      <w:bookmarkStart w:name="_Toc46751669" w:id="403"/>
      <w:bookmarkStart w:name="_Toc46762639" w:id="404"/>
      <w:bookmarkStart w:name="_Toc46762784" w:id="405"/>
      <w:bookmarkStart w:name="_Toc46762929" w:id="406"/>
      <w:bookmarkStart w:name="_Toc46763074" w:id="407"/>
      <w:bookmarkStart w:name="_Toc46940287" w:id="408"/>
      <w:bookmarkStart w:name="_Toc45823144" w:id="409"/>
      <w:bookmarkStart w:name="_Toc45824330" w:id="410"/>
      <w:bookmarkStart w:name="_Toc46751413" w:id="411"/>
      <w:bookmarkStart w:name="_Toc46751670" w:id="412"/>
      <w:bookmarkStart w:name="_Toc46762640" w:id="413"/>
      <w:bookmarkStart w:name="_Toc46762785" w:id="414"/>
      <w:bookmarkStart w:name="_Toc46762930" w:id="415"/>
      <w:bookmarkStart w:name="_Toc46763075" w:id="416"/>
      <w:bookmarkStart w:name="_Toc46940288" w:id="417"/>
      <w:bookmarkStart w:name="_Toc45823145" w:id="418"/>
      <w:bookmarkStart w:name="_Toc45824331" w:id="419"/>
      <w:bookmarkStart w:name="_Toc46751414" w:id="420"/>
      <w:bookmarkStart w:name="_Toc46751671" w:id="421"/>
      <w:bookmarkStart w:name="_Toc46762641" w:id="422"/>
      <w:bookmarkStart w:name="_Toc46762786" w:id="423"/>
      <w:bookmarkStart w:name="_Toc46762931" w:id="424"/>
      <w:bookmarkStart w:name="_Toc46763076" w:id="425"/>
      <w:bookmarkStart w:name="_Toc46940289" w:id="426"/>
      <w:bookmarkStart w:name="_Toc45823146" w:id="427"/>
      <w:bookmarkStart w:name="_Toc45824332" w:id="428"/>
      <w:bookmarkStart w:name="_Toc46751415" w:id="429"/>
      <w:bookmarkStart w:name="_Toc46751672" w:id="430"/>
      <w:bookmarkStart w:name="_Toc46762642" w:id="431"/>
      <w:bookmarkStart w:name="_Toc46762787" w:id="432"/>
      <w:bookmarkStart w:name="_Toc46762932" w:id="433"/>
      <w:bookmarkStart w:name="_Toc46763077" w:id="434"/>
      <w:bookmarkStart w:name="_Toc46940290" w:id="435"/>
      <w:bookmarkStart w:name="_Toc45823147" w:id="436"/>
      <w:bookmarkStart w:name="_Toc45824333" w:id="437"/>
      <w:bookmarkStart w:name="_Toc46751416" w:id="438"/>
      <w:bookmarkStart w:name="_Toc46751673" w:id="439"/>
      <w:bookmarkStart w:name="_Toc46762643" w:id="440"/>
      <w:bookmarkStart w:name="_Toc46762788" w:id="441"/>
      <w:bookmarkStart w:name="_Toc46762933" w:id="442"/>
      <w:bookmarkStart w:name="_Toc46763078" w:id="443"/>
      <w:bookmarkStart w:name="_Toc46940291" w:id="444"/>
      <w:bookmarkStart w:name="_Toc45823148" w:id="445"/>
      <w:bookmarkStart w:name="_Toc45824334" w:id="446"/>
      <w:bookmarkStart w:name="_Toc46751417" w:id="447"/>
      <w:bookmarkStart w:name="_Toc46751674" w:id="448"/>
      <w:bookmarkStart w:name="_Toc46762644" w:id="449"/>
      <w:bookmarkStart w:name="_Toc46762789" w:id="450"/>
      <w:bookmarkStart w:name="_Toc46762934" w:id="451"/>
      <w:bookmarkStart w:name="_Toc46763079" w:id="452"/>
      <w:bookmarkStart w:name="_Toc46940292" w:id="453"/>
      <w:bookmarkStart w:name="_Toc45823149" w:id="454"/>
      <w:bookmarkStart w:name="_Toc45824335" w:id="455"/>
      <w:bookmarkStart w:name="_Toc46751418" w:id="456"/>
      <w:bookmarkStart w:name="_Toc46751675" w:id="457"/>
      <w:bookmarkStart w:name="_Toc46762645" w:id="458"/>
      <w:bookmarkStart w:name="_Toc46762790" w:id="459"/>
      <w:bookmarkStart w:name="_Toc46762935" w:id="460"/>
      <w:bookmarkStart w:name="_Toc46763080" w:id="461"/>
      <w:bookmarkStart w:name="_Toc46940293" w:id="462"/>
      <w:bookmarkStart w:name="_Toc45823150" w:id="463"/>
      <w:bookmarkStart w:name="_Toc45824336" w:id="464"/>
      <w:bookmarkStart w:name="_Toc46751419" w:id="465"/>
      <w:bookmarkStart w:name="_Toc46751676" w:id="466"/>
      <w:bookmarkStart w:name="_Toc46762646" w:id="467"/>
      <w:bookmarkStart w:name="_Toc46762791" w:id="468"/>
      <w:bookmarkStart w:name="_Toc46762936" w:id="469"/>
      <w:bookmarkStart w:name="_Toc46763081" w:id="470"/>
      <w:bookmarkStart w:name="_Toc46940294" w:id="471"/>
      <w:bookmarkStart w:name="_Toc45823151" w:id="472"/>
      <w:bookmarkStart w:name="_Toc45824337" w:id="473"/>
      <w:bookmarkStart w:name="_Toc46751420" w:id="474"/>
      <w:bookmarkStart w:name="_Toc46751677" w:id="475"/>
      <w:bookmarkStart w:name="_Toc46762647" w:id="476"/>
      <w:bookmarkStart w:name="_Toc46762792" w:id="477"/>
      <w:bookmarkStart w:name="_Toc46762937" w:id="478"/>
      <w:bookmarkStart w:name="_Toc46763082" w:id="479"/>
      <w:bookmarkStart w:name="_Toc46940295" w:id="480"/>
      <w:bookmarkStart w:name="_Toc45823152" w:id="481"/>
      <w:bookmarkStart w:name="_Toc45824338" w:id="482"/>
      <w:bookmarkStart w:name="_Toc46751421" w:id="483"/>
      <w:bookmarkStart w:name="_Toc46751678" w:id="484"/>
      <w:bookmarkStart w:name="_Toc46762648" w:id="485"/>
      <w:bookmarkStart w:name="_Toc46762793" w:id="486"/>
      <w:bookmarkStart w:name="_Toc46762938" w:id="487"/>
      <w:bookmarkStart w:name="_Toc46763083" w:id="488"/>
      <w:bookmarkStart w:name="_Toc46940296" w:id="489"/>
      <w:bookmarkStart w:name="_Toc45823153" w:id="490"/>
      <w:bookmarkStart w:name="_Toc45824339" w:id="491"/>
      <w:bookmarkStart w:name="_Toc46751422" w:id="492"/>
      <w:bookmarkStart w:name="_Toc46751679" w:id="493"/>
      <w:bookmarkStart w:name="_Toc46762649" w:id="494"/>
      <w:bookmarkStart w:name="_Toc46762794" w:id="495"/>
      <w:bookmarkStart w:name="_Toc46762939" w:id="496"/>
      <w:bookmarkStart w:name="_Toc46763084" w:id="497"/>
      <w:bookmarkStart w:name="_Toc46940297" w:id="498"/>
      <w:bookmarkStart w:name="_Toc45823154" w:id="499"/>
      <w:bookmarkStart w:name="_Toc45824340" w:id="500"/>
      <w:bookmarkStart w:name="_Toc46751423" w:id="501"/>
      <w:bookmarkStart w:name="_Toc46751680" w:id="502"/>
      <w:bookmarkStart w:name="_Toc46762650" w:id="503"/>
      <w:bookmarkStart w:name="_Toc46762795" w:id="504"/>
      <w:bookmarkStart w:name="_Toc46762940" w:id="505"/>
      <w:bookmarkStart w:name="_Toc46763085" w:id="506"/>
      <w:bookmarkStart w:name="_Toc46940298" w:id="507"/>
      <w:bookmarkStart w:name="_Toc45823155" w:id="508"/>
      <w:bookmarkStart w:name="_Toc45824341" w:id="509"/>
      <w:bookmarkStart w:name="_Toc46751424" w:id="510"/>
      <w:bookmarkStart w:name="_Toc46751681" w:id="511"/>
      <w:bookmarkStart w:name="_Toc46762651" w:id="512"/>
      <w:bookmarkStart w:name="_Toc46762796" w:id="513"/>
      <w:bookmarkStart w:name="_Toc46762941" w:id="514"/>
      <w:bookmarkStart w:name="_Toc46763086" w:id="515"/>
      <w:bookmarkStart w:name="_Toc46940299" w:id="516"/>
      <w:bookmarkStart w:name="_Toc45823156" w:id="517"/>
      <w:bookmarkStart w:name="_Toc45824342" w:id="518"/>
      <w:bookmarkStart w:name="_Toc46751425" w:id="519"/>
      <w:bookmarkStart w:name="_Toc46751682" w:id="520"/>
      <w:bookmarkStart w:name="_Toc46762652" w:id="521"/>
      <w:bookmarkStart w:name="_Toc46762797" w:id="522"/>
      <w:bookmarkStart w:name="_Toc46762942" w:id="523"/>
      <w:bookmarkStart w:name="_Toc46763087" w:id="524"/>
      <w:bookmarkStart w:name="_Toc46940300" w:id="525"/>
      <w:bookmarkStart w:name="_Toc45823157" w:id="526"/>
      <w:bookmarkStart w:name="_Toc45824343" w:id="527"/>
      <w:bookmarkStart w:name="_Toc46751426" w:id="528"/>
      <w:bookmarkStart w:name="_Toc46751683" w:id="529"/>
      <w:bookmarkStart w:name="_Toc46762653" w:id="530"/>
      <w:bookmarkStart w:name="_Toc46762798" w:id="531"/>
      <w:bookmarkStart w:name="_Toc46762943" w:id="532"/>
      <w:bookmarkStart w:name="_Toc46763088" w:id="533"/>
      <w:bookmarkStart w:name="_Toc46940301" w:id="534"/>
      <w:bookmarkStart w:name="_Toc45823158" w:id="535"/>
      <w:bookmarkStart w:name="_Toc45824344" w:id="536"/>
      <w:bookmarkStart w:name="_Toc46751427" w:id="537"/>
      <w:bookmarkStart w:name="_Toc46751684" w:id="538"/>
      <w:bookmarkStart w:name="_Toc46762654" w:id="539"/>
      <w:bookmarkStart w:name="_Toc46762799" w:id="540"/>
      <w:bookmarkStart w:name="_Toc46762944" w:id="541"/>
      <w:bookmarkStart w:name="_Toc46763089" w:id="542"/>
      <w:bookmarkStart w:name="_Toc46940302" w:id="543"/>
      <w:bookmarkStart w:name="_Toc45823159" w:id="544"/>
      <w:bookmarkStart w:name="_Toc45824345" w:id="545"/>
      <w:bookmarkStart w:name="_Toc46751428" w:id="546"/>
      <w:bookmarkStart w:name="_Toc46751685" w:id="547"/>
      <w:bookmarkStart w:name="_Toc46762655" w:id="548"/>
      <w:bookmarkStart w:name="_Toc46762800" w:id="549"/>
      <w:bookmarkStart w:name="_Toc46762945" w:id="550"/>
      <w:bookmarkStart w:name="_Toc46763090" w:id="551"/>
      <w:bookmarkStart w:name="_Toc46940303" w:id="552"/>
      <w:bookmarkStart w:name="_Toc45823160" w:id="553"/>
      <w:bookmarkStart w:name="_Toc45824346" w:id="554"/>
      <w:bookmarkStart w:name="_Toc46751429" w:id="555"/>
      <w:bookmarkStart w:name="_Toc46751686" w:id="556"/>
      <w:bookmarkStart w:name="_Toc46762656" w:id="557"/>
      <w:bookmarkStart w:name="_Toc46762801" w:id="558"/>
      <w:bookmarkStart w:name="_Toc46762946" w:id="559"/>
      <w:bookmarkStart w:name="_Toc46763091" w:id="560"/>
      <w:bookmarkStart w:name="_Toc46940304" w:id="561"/>
      <w:bookmarkStart w:name="_Toc45823161" w:id="562"/>
      <w:bookmarkStart w:name="_Toc45824347" w:id="563"/>
      <w:bookmarkStart w:name="_Toc46751430" w:id="564"/>
      <w:bookmarkStart w:name="_Toc46751687" w:id="565"/>
      <w:bookmarkStart w:name="_Toc46762657" w:id="566"/>
      <w:bookmarkStart w:name="_Toc46762802" w:id="567"/>
      <w:bookmarkStart w:name="_Toc46762947" w:id="568"/>
      <w:bookmarkStart w:name="_Toc46763092" w:id="569"/>
      <w:bookmarkStart w:name="_Toc46940305" w:id="570"/>
      <w:bookmarkStart w:name="_Toc45823162" w:id="571"/>
      <w:bookmarkStart w:name="_Toc45824348" w:id="572"/>
      <w:bookmarkStart w:name="_Toc46751431" w:id="573"/>
      <w:bookmarkStart w:name="_Toc46751688" w:id="574"/>
      <w:bookmarkStart w:name="_Toc46762658" w:id="575"/>
      <w:bookmarkStart w:name="_Toc46762803" w:id="576"/>
      <w:bookmarkStart w:name="_Toc46762948" w:id="577"/>
      <w:bookmarkStart w:name="_Toc46763093" w:id="578"/>
      <w:bookmarkStart w:name="_Toc46940306" w:id="579"/>
      <w:bookmarkStart w:name="_Toc45823163" w:id="580"/>
      <w:bookmarkStart w:name="_Toc45824349" w:id="581"/>
      <w:bookmarkStart w:name="_Toc46751432" w:id="582"/>
      <w:bookmarkStart w:name="_Toc46751689" w:id="583"/>
      <w:bookmarkStart w:name="_Toc46762659" w:id="584"/>
      <w:bookmarkStart w:name="_Toc46762804" w:id="585"/>
      <w:bookmarkStart w:name="_Toc46762949" w:id="586"/>
      <w:bookmarkStart w:name="_Toc46763094" w:id="587"/>
      <w:bookmarkStart w:name="_Toc46940307" w:id="588"/>
      <w:bookmarkStart w:name="_Toc45823164" w:id="589"/>
      <w:bookmarkStart w:name="_Toc45824350" w:id="590"/>
      <w:bookmarkStart w:name="_Toc46751433" w:id="591"/>
      <w:bookmarkStart w:name="_Toc46751690" w:id="592"/>
      <w:bookmarkStart w:name="_Toc46762660" w:id="593"/>
      <w:bookmarkStart w:name="_Toc46762805" w:id="594"/>
      <w:bookmarkStart w:name="_Toc46762950" w:id="595"/>
      <w:bookmarkStart w:name="_Toc46763095" w:id="596"/>
      <w:bookmarkStart w:name="_Toc46940308" w:id="597"/>
      <w:bookmarkStart w:name="_Toc45823165" w:id="598"/>
      <w:bookmarkStart w:name="_Toc45824351" w:id="599"/>
      <w:bookmarkStart w:name="_Toc46751434" w:id="600"/>
      <w:bookmarkStart w:name="_Toc46751691" w:id="601"/>
      <w:bookmarkStart w:name="_Toc46762661" w:id="602"/>
      <w:bookmarkStart w:name="_Toc46762806" w:id="603"/>
      <w:bookmarkStart w:name="_Toc46762951" w:id="604"/>
      <w:bookmarkStart w:name="_Toc46763096" w:id="605"/>
      <w:bookmarkStart w:name="_Toc46940309" w:id="606"/>
      <w:bookmarkStart w:name="_Toc45823166" w:id="607"/>
      <w:bookmarkStart w:name="_Toc45824352" w:id="608"/>
      <w:bookmarkStart w:name="_Toc46751435" w:id="609"/>
      <w:bookmarkStart w:name="_Toc46751692" w:id="610"/>
      <w:bookmarkStart w:name="_Toc46762662" w:id="611"/>
      <w:bookmarkStart w:name="_Toc46762807" w:id="612"/>
      <w:bookmarkStart w:name="_Toc46762952" w:id="613"/>
      <w:bookmarkStart w:name="_Toc46763097" w:id="614"/>
      <w:bookmarkStart w:name="_Toc46940310" w:id="615"/>
      <w:bookmarkStart w:name="_Toc45823167" w:id="616"/>
      <w:bookmarkStart w:name="_Toc45824353" w:id="617"/>
      <w:bookmarkStart w:name="_Toc46751436" w:id="618"/>
      <w:bookmarkStart w:name="_Toc46751693" w:id="619"/>
      <w:bookmarkStart w:name="_Toc46762663" w:id="620"/>
      <w:bookmarkStart w:name="_Toc46762808" w:id="621"/>
      <w:bookmarkStart w:name="_Toc46762953" w:id="622"/>
      <w:bookmarkStart w:name="_Toc46763098" w:id="623"/>
      <w:bookmarkStart w:name="_Toc46940311" w:id="624"/>
      <w:bookmarkStart w:name="_Toc45823168" w:id="625"/>
      <w:bookmarkStart w:name="_Toc45824354" w:id="626"/>
      <w:bookmarkStart w:name="_Toc46751437" w:id="627"/>
      <w:bookmarkStart w:name="_Toc46751694" w:id="628"/>
      <w:bookmarkStart w:name="_Toc46762664" w:id="629"/>
      <w:bookmarkStart w:name="_Toc46762809" w:id="630"/>
      <w:bookmarkStart w:name="_Toc46762954" w:id="631"/>
      <w:bookmarkStart w:name="_Toc46763099" w:id="632"/>
      <w:bookmarkStart w:name="_Toc46940312" w:id="633"/>
      <w:bookmarkStart w:name="_Toc45823169" w:id="634"/>
      <w:bookmarkStart w:name="_Toc45824355" w:id="635"/>
      <w:bookmarkStart w:name="_Toc46751438" w:id="636"/>
      <w:bookmarkStart w:name="_Toc46751695" w:id="637"/>
      <w:bookmarkStart w:name="_Toc46762665" w:id="638"/>
      <w:bookmarkStart w:name="_Toc46762810" w:id="639"/>
      <w:bookmarkStart w:name="_Toc46762955" w:id="640"/>
      <w:bookmarkStart w:name="_Toc46763100" w:id="641"/>
      <w:bookmarkStart w:name="_Toc46940313" w:id="642"/>
      <w:bookmarkStart w:name="_Toc45823170" w:id="643"/>
      <w:bookmarkStart w:name="_Toc45824356" w:id="644"/>
      <w:bookmarkStart w:name="_Toc46751439" w:id="645"/>
      <w:bookmarkStart w:name="_Toc46751696" w:id="646"/>
      <w:bookmarkStart w:name="_Toc46762666" w:id="647"/>
      <w:bookmarkStart w:name="_Toc46762811" w:id="648"/>
      <w:bookmarkStart w:name="_Toc46762956" w:id="649"/>
      <w:bookmarkStart w:name="_Toc46763101" w:id="650"/>
      <w:bookmarkStart w:name="_Toc46940314" w:id="651"/>
      <w:bookmarkStart w:name="_Toc45823171" w:id="652"/>
      <w:bookmarkStart w:name="_Toc45824357" w:id="653"/>
      <w:bookmarkStart w:name="_Toc46751440" w:id="654"/>
      <w:bookmarkStart w:name="_Toc46751697" w:id="655"/>
      <w:bookmarkStart w:name="_Toc46762667" w:id="656"/>
      <w:bookmarkStart w:name="_Toc46762812" w:id="657"/>
      <w:bookmarkStart w:name="_Toc46762957" w:id="658"/>
      <w:bookmarkStart w:name="_Toc46763102" w:id="659"/>
      <w:bookmarkStart w:name="_Toc46940315" w:id="660"/>
      <w:bookmarkStart w:name="_Toc45823172" w:id="661"/>
      <w:bookmarkStart w:name="_Toc45824358" w:id="662"/>
      <w:bookmarkStart w:name="_Toc46751441" w:id="663"/>
      <w:bookmarkStart w:name="_Toc46751698" w:id="664"/>
      <w:bookmarkStart w:name="_Toc46762668" w:id="665"/>
      <w:bookmarkStart w:name="_Toc46762813" w:id="666"/>
      <w:bookmarkStart w:name="_Toc46762958" w:id="667"/>
      <w:bookmarkStart w:name="_Toc46763103" w:id="668"/>
      <w:bookmarkStart w:name="_Toc46940316" w:id="669"/>
      <w:bookmarkStart w:name="_Toc45823173" w:id="670"/>
      <w:bookmarkStart w:name="_Toc45824359" w:id="671"/>
      <w:bookmarkStart w:name="_Toc46751442" w:id="672"/>
      <w:bookmarkStart w:name="_Toc46751699" w:id="673"/>
      <w:bookmarkStart w:name="_Toc46762669" w:id="674"/>
      <w:bookmarkStart w:name="_Toc46762814" w:id="675"/>
      <w:bookmarkStart w:name="_Toc46762959" w:id="676"/>
      <w:bookmarkStart w:name="_Toc46763104" w:id="677"/>
      <w:bookmarkStart w:name="_Toc46940317" w:id="678"/>
      <w:bookmarkStart w:name="_Toc45823174" w:id="679"/>
      <w:bookmarkStart w:name="_Toc45824360" w:id="680"/>
      <w:bookmarkStart w:name="_Toc46751443" w:id="681"/>
      <w:bookmarkStart w:name="_Toc46751700" w:id="682"/>
      <w:bookmarkStart w:name="_Toc46762670" w:id="683"/>
      <w:bookmarkStart w:name="_Toc46762815" w:id="684"/>
      <w:bookmarkStart w:name="_Toc46762960" w:id="685"/>
      <w:bookmarkStart w:name="_Toc46763105" w:id="686"/>
      <w:bookmarkStart w:name="_Toc46940318" w:id="687"/>
      <w:bookmarkStart w:name="_Toc45823175" w:id="688"/>
      <w:bookmarkStart w:name="_Toc45824361" w:id="689"/>
      <w:bookmarkStart w:name="_Toc46751444" w:id="690"/>
      <w:bookmarkStart w:name="_Toc46751701" w:id="691"/>
      <w:bookmarkStart w:name="_Toc46762671" w:id="692"/>
      <w:bookmarkStart w:name="_Toc46762816" w:id="693"/>
      <w:bookmarkStart w:name="_Toc46762961" w:id="694"/>
      <w:bookmarkStart w:name="_Toc46763106" w:id="695"/>
      <w:bookmarkStart w:name="_Toc46940319" w:id="696"/>
      <w:bookmarkStart w:name="_Toc45823176" w:id="697"/>
      <w:bookmarkStart w:name="_Toc45824362" w:id="698"/>
      <w:bookmarkStart w:name="_Toc46751445" w:id="699"/>
      <w:bookmarkStart w:name="_Toc46751702" w:id="700"/>
      <w:bookmarkStart w:name="_Toc46762672" w:id="701"/>
      <w:bookmarkStart w:name="_Toc46762817" w:id="702"/>
      <w:bookmarkStart w:name="_Toc46762962" w:id="703"/>
      <w:bookmarkStart w:name="_Toc46763107" w:id="704"/>
      <w:bookmarkStart w:name="_Toc46940320" w:id="705"/>
      <w:bookmarkStart w:name="_Toc45823177" w:id="706"/>
      <w:bookmarkStart w:name="_Toc45824363" w:id="707"/>
      <w:bookmarkStart w:name="_Toc46751446" w:id="708"/>
      <w:bookmarkStart w:name="_Toc46751703" w:id="709"/>
      <w:bookmarkStart w:name="_Toc46762673" w:id="710"/>
      <w:bookmarkStart w:name="_Toc46762818" w:id="711"/>
      <w:bookmarkStart w:name="_Toc46762963" w:id="712"/>
      <w:bookmarkStart w:name="_Toc46763108" w:id="713"/>
      <w:bookmarkStart w:name="_Toc46940321" w:id="714"/>
      <w:bookmarkStart w:name="_Toc45823178" w:id="715"/>
      <w:bookmarkStart w:name="_Toc45824364" w:id="716"/>
      <w:bookmarkStart w:name="_Toc46751447" w:id="717"/>
      <w:bookmarkStart w:name="_Toc46751704" w:id="718"/>
      <w:bookmarkStart w:name="_Toc46762674" w:id="719"/>
      <w:bookmarkStart w:name="_Toc46762819" w:id="720"/>
      <w:bookmarkStart w:name="_Toc46762964" w:id="721"/>
      <w:bookmarkStart w:name="_Toc46763109" w:id="722"/>
      <w:bookmarkStart w:name="_Toc46940322" w:id="723"/>
      <w:bookmarkStart w:name="_Toc45823179" w:id="724"/>
      <w:bookmarkStart w:name="_Toc45824365" w:id="725"/>
      <w:bookmarkStart w:name="_Toc46751448" w:id="726"/>
      <w:bookmarkStart w:name="_Toc46751705" w:id="727"/>
      <w:bookmarkStart w:name="_Toc46762675" w:id="728"/>
      <w:bookmarkStart w:name="_Toc46762820" w:id="729"/>
      <w:bookmarkStart w:name="_Toc46762965" w:id="730"/>
      <w:bookmarkStart w:name="_Toc46763110" w:id="731"/>
      <w:bookmarkStart w:name="_Toc46940323" w:id="732"/>
      <w:bookmarkStart w:name="_Toc45823180" w:id="733"/>
      <w:bookmarkStart w:name="_Toc45824366" w:id="734"/>
      <w:bookmarkStart w:name="_Toc46751449" w:id="735"/>
      <w:bookmarkStart w:name="_Toc46751706" w:id="736"/>
      <w:bookmarkStart w:name="_Toc46762676" w:id="737"/>
      <w:bookmarkStart w:name="_Toc46762821" w:id="738"/>
      <w:bookmarkStart w:name="_Toc46762966" w:id="739"/>
      <w:bookmarkStart w:name="_Toc46763111" w:id="740"/>
      <w:bookmarkStart w:name="_Toc46940324" w:id="741"/>
      <w:bookmarkStart w:name="_Toc45823181" w:id="742"/>
      <w:bookmarkStart w:name="_Toc45824367" w:id="743"/>
      <w:bookmarkStart w:name="_Toc46751450" w:id="744"/>
      <w:bookmarkStart w:name="_Toc46751707" w:id="745"/>
      <w:bookmarkStart w:name="_Toc46762677" w:id="746"/>
      <w:bookmarkStart w:name="_Toc46762822" w:id="747"/>
      <w:bookmarkStart w:name="_Toc46762967" w:id="748"/>
      <w:bookmarkStart w:name="_Toc46763112" w:id="749"/>
      <w:bookmarkStart w:name="_Toc46940325" w:id="750"/>
      <w:bookmarkStart w:name="_Toc45823182" w:id="751"/>
      <w:bookmarkStart w:name="_Toc45824368" w:id="752"/>
      <w:bookmarkStart w:name="_Toc46751451" w:id="753"/>
      <w:bookmarkStart w:name="_Toc46751708" w:id="754"/>
      <w:bookmarkStart w:name="_Toc46762678" w:id="755"/>
      <w:bookmarkStart w:name="_Toc46762823" w:id="756"/>
      <w:bookmarkStart w:name="_Toc46762968" w:id="757"/>
      <w:bookmarkStart w:name="_Toc46763113" w:id="758"/>
      <w:bookmarkStart w:name="_Toc46940326" w:id="759"/>
      <w:bookmarkStart w:name="_Toc45823183" w:id="760"/>
      <w:bookmarkStart w:name="_Toc45824369" w:id="761"/>
      <w:bookmarkStart w:name="_Toc46751452" w:id="762"/>
      <w:bookmarkStart w:name="_Toc46751709" w:id="763"/>
      <w:bookmarkStart w:name="_Toc46762679" w:id="764"/>
      <w:bookmarkStart w:name="_Toc46762824" w:id="765"/>
      <w:bookmarkStart w:name="_Toc46762969" w:id="766"/>
      <w:bookmarkStart w:name="_Toc46763114" w:id="767"/>
      <w:bookmarkStart w:name="_Toc46940327" w:id="768"/>
      <w:bookmarkStart w:name="_Toc45823184" w:id="769"/>
      <w:bookmarkStart w:name="_Toc45824370" w:id="770"/>
      <w:bookmarkStart w:name="_Toc46751453" w:id="771"/>
      <w:bookmarkStart w:name="_Toc46751710" w:id="772"/>
      <w:bookmarkStart w:name="_Toc46762680" w:id="773"/>
      <w:bookmarkStart w:name="_Toc46762825" w:id="774"/>
      <w:bookmarkStart w:name="_Toc46762970" w:id="775"/>
      <w:bookmarkStart w:name="_Toc46763115" w:id="776"/>
      <w:bookmarkStart w:name="_Toc46940328" w:id="777"/>
      <w:bookmarkStart w:name="_Toc45823185" w:id="778"/>
      <w:bookmarkStart w:name="_Toc45824371" w:id="779"/>
      <w:bookmarkStart w:name="_Toc46751454" w:id="780"/>
      <w:bookmarkStart w:name="_Toc46751711" w:id="781"/>
      <w:bookmarkStart w:name="_Toc46762681" w:id="782"/>
      <w:bookmarkStart w:name="_Toc46762826" w:id="783"/>
      <w:bookmarkStart w:name="_Toc46762971" w:id="784"/>
      <w:bookmarkStart w:name="_Toc46763116" w:id="785"/>
      <w:bookmarkStart w:name="_Toc46940329" w:id="786"/>
      <w:bookmarkStart w:name="_Toc45823186" w:id="787"/>
      <w:bookmarkStart w:name="_Toc45824372" w:id="788"/>
      <w:bookmarkStart w:name="_Toc46751455" w:id="789"/>
      <w:bookmarkStart w:name="_Toc46751712" w:id="790"/>
      <w:bookmarkStart w:name="_Toc46762682" w:id="791"/>
      <w:bookmarkStart w:name="_Toc46762827" w:id="792"/>
      <w:bookmarkStart w:name="_Toc46762972" w:id="793"/>
      <w:bookmarkStart w:name="_Toc46763117" w:id="794"/>
      <w:bookmarkStart w:name="_Toc46940330" w:id="795"/>
      <w:bookmarkStart w:name="_Toc45823187" w:id="796"/>
      <w:bookmarkStart w:name="_Toc45824373" w:id="797"/>
      <w:bookmarkStart w:name="_Toc46751456" w:id="798"/>
      <w:bookmarkStart w:name="_Toc46751713" w:id="799"/>
      <w:bookmarkStart w:name="_Toc46762683" w:id="800"/>
      <w:bookmarkStart w:name="_Toc46762828" w:id="801"/>
      <w:bookmarkStart w:name="_Toc46762973" w:id="802"/>
      <w:bookmarkStart w:name="_Toc46763118" w:id="803"/>
      <w:bookmarkStart w:name="_Toc46940331" w:id="804"/>
      <w:bookmarkStart w:name="_Toc45823188" w:id="805"/>
      <w:bookmarkStart w:name="_Toc45824374" w:id="806"/>
      <w:bookmarkStart w:name="_Toc46751457" w:id="807"/>
      <w:bookmarkStart w:name="_Toc46751714" w:id="808"/>
      <w:bookmarkStart w:name="_Toc46762684" w:id="809"/>
      <w:bookmarkStart w:name="_Toc46762829" w:id="810"/>
      <w:bookmarkStart w:name="_Toc46762974" w:id="811"/>
      <w:bookmarkStart w:name="_Toc46763119" w:id="812"/>
      <w:bookmarkStart w:name="_Toc46940332" w:id="813"/>
      <w:bookmarkStart w:name="_Toc45823189" w:id="814"/>
      <w:bookmarkStart w:name="_Toc45824375" w:id="815"/>
      <w:bookmarkStart w:name="_Toc46751458" w:id="816"/>
      <w:bookmarkStart w:name="_Toc46751715" w:id="817"/>
      <w:bookmarkStart w:name="_Toc46762685" w:id="818"/>
      <w:bookmarkStart w:name="_Toc46762830" w:id="819"/>
      <w:bookmarkStart w:name="_Toc46762975" w:id="820"/>
      <w:bookmarkStart w:name="_Toc46763120" w:id="821"/>
      <w:bookmarkStart w:name="_Toc46940333" w:id="822"/>
      <w:bookmarkStart w:name="_Toc45823190" w:id="823"/>
      <w:bookmarkStart w:name="_Toc45824376" w:id="824"/>
      <w:bookmarkStart w:name="_Toc46751459" w:id="825"/>
      <w:bookmarkStart w:name="_Toc46751716" w:id="826"/>
      <w:bookmarkStart w:name="_Toc46762686" w:id="827"/>
      <w:bookmarkStart w:name="_Toc46762831" w:id="828"/>
      <w:bookmarkStart w:name="_Toc46762976" w:id="829"/>
      <w:bookmarkStart w:name="_Toc46763121" w:id="830"/>
      <w:bookmarkStart w:name="_Toc46940334" w:id="831"/>
      <w:bookmarkStart w:name="_Toc45823191" w:id="832"/>
      <w:bookmarkStart w:name="_Toc45824377" w:id="833"/>
      <w:bookmarkStart w:name="_Toc46751460" w:id="834"/>
      <w:bookmarkStart w:name="_Toc46751717" w:id="835"/>
      <w:bookmarkStart w:name="_Toc46762687" w:id="836"/>
      <w:bookmarkStart w:name="_Toc46762832" w:id="837"/>
      <w:bookmarkStart w:name="_Toc46762977" w:id="838"/>
      <w:bookmarkStart w:name="_Toc46763122" w:id="839"/>
      <w:bookmarkStart w:name="_Toc46940335" w:id="840"/>
      <w:bookmarkStart w:name="_Toc45823192" w:id="841"/>
      <w:bookmarkStart w:name="_Toc45824378" w:id="842"/>
      <w:bookmarkStart w:name="_Toc46751461" w:id="843"/>
      <w:bookmarkStart w:name="_Toc46751718" w:id="844"/>
      <w:bookmarkStart w:name="_Toc46762688" w:id="845"/>
      <w:bookmarkStart w:name="_Toc46762833" w:id="846"/>
      <w:bookmarkStart w:name="_Toc46762978" w:id="847"/>
      <w:bookmarkStart w:name="_Toc46763123" w:id="848"/>
      <w:bookmarkStart w:name="_Toc46940336" w:id="849"/>
      <w:bookmarkStart w:name="_Toc45823193" w:id="850"/>
      <w:bookmarkStart w:name="_Toc45824379" w:id="851"/>
      <w:bookmarkStart w:name="_Toc46751462" w:id="852"/>
      <w:bookmarkStart w:name="_Toc46751719" w:id="853"/>
      <w:bookmarkStart w:name="_Toc46762689" w:id="854"/>
      <w:bookmarkStart w:name="_Toc46762834" w:id="855"/>
      <w:bookmarkStart w:name="_Toc46762979" w:id="856"/>
      <w:bookmarkStart w:name="_Toc46763124" w:id="857"/>
      <w:bookmarkStart w:name="_Toc46940337" w:id="858"/>
      <w:bookmarkStart w:name="_Toc45823194" w:id="859"/>
      <w:bookmarkStart w:name="_Toc45824380" w:id="860"/>
      <w:bookmarkStart w:name="_Toc46751463" w:id="861"/>
      <w:bookmarkStart w:name="_Toc46751720" w:id="862"/>
      <w:bookmarkStart w:name="_Toc46762690" w:id="863"/>
      <w:bookmarkStart w:name="_Toc46762835" w:id="864"/>
      <w:bookmarkStart w:name="_Toc46762980" w:id="865"/>
      <w:bookmarkStart w:name="_Toc46763125" w:id="866"/>
      <w:bookmarkStart w:name="_Toc46940338" w:id="867"/>
      <w:bookmarkStart w:name="_Toc45823195" w:id="868"/>
      <w:bookmarkStart w:name="_Toc45824381" w:id="869"/>
      <w:bookmarkStart w:name="_Toc46751464" w:id="870"/>
      <w:bookmarkStart w:name="_Toc46751721" w:id="871"/>
      <w:bookmarkStart w:name="_Toc46762691" w:id="872"/>
      <w:bookmarkStart w:name="_Toc46762836" w:id="873"/>
      <w:bookmarkStart w:name="_Toc46762981" w:id="874"/>
      <w:bookmarkStart w:name="_Toc46763126" w:id="875"/>
      <w:bookmarkStart w:name="_Toc46940339" w:id="876"/>
      <w:bookmarkStart w:name="_Toc45823196" w:id="877"/>
      <w:bookmarkStart w:name="_Toc45824382" w:id="878"/>
      <w:bookmarkStart w:name="_Toc46751465" w:id="879"/>
      <w:bookmarkStart w:name="_Toc46751722" w:id="880"/>
      <w:bookmarkStart w:name="_Toc46762692" w:id="881"/>
      <w:bookmarkStart w:name="_Toc46762837" w:id="882"/>
      <w:bookmarkStart w:name="_Toc46762982" w:id="883"/>
      <w:bookmarkStart w:name="_Toc46763127" w:id="884"/>
      <w:bookmarkStart w:name="_Toc46940340" w:id="885"/>
      <w:bookmarkStart w:name="_Toc45823197" w:id="886"/>
      <w:bookmarkStart w:name="_Toc45824383" w:id="887"/>
      <w:bookmarkStart w:name="_Toc46751466" w:id="888"/>
      <w:bookmarkStart w:name="_Toc46751723" w:id="889"/>
      <w:bookmarkStart w:name="_Toc46762693" w:id="890"/>
      <w:bookmarkStart w:name="_Toc46762838" w:id="891"/>
      <w:bookmarkStart w:name="_Toc46762983" w:id="892"/>
      <w:bookmarkStart w:name="_Toc46763128" w:id="893"/>
      <w:bookmarkStart w:name="_Toc46940341" w:id="894"/>
      <w:bookmarkStart w:name="_Toc45823198" w:id="895"/>
      <w:bookmarkStart w:name="_Toc45824384" w:id="896"/>
      <w:bookmarkStart w:name="_Toc46751467" w:id="897"/>
      <w:bookmarkStart w:name="_Toc46751724" w:id="898"/>
      <w:bookmarkStart w:name="_Toc46762694" w:id="899"/>
      <w:bookmarkStart w:name="_Toc46762839" w:id="900"/>
      <w:bookmarkStart w:name="_Toc46762984" w:id="901"/>
      <w:bookmarkStart w:name="_Toc46763129" w:id="902"/>
      <w:bookmarkStart w:name="_Toc46940342" w:id="903"/>
      <w:bookmarkStart w:name="_Toc45823199" w:id="904"/>
      <w:bookmarkStart w:name="_Toc45824385" w:id="905"/>
      <w:bookmarkStart w:name="_Toc46751468" w:id="906"/>
      <w:bookmarkStart w:name="_Toc46751725" w:id="907"/>
      <w:bookmarkStart w:name="_Toc46762695" w:id="908"/>
      <w:bookmarkStart w:name="_Toc46762840" w:id="909"/>
      <w:bookmarkStart w:name="_Toc46762985" w:id="910"/>
      <w:bookmarkStart w:name="_Toc46763130" w:id="911"/>
      <w:bookmarkStart w:name="_Toc46940343" w:id="912"/>
      <w:bookmarkStart w:name="_Toc45823200" w:id="913"/>
      <w:bookmarkStart w:name="_Toc45824386" w:id="914"/>
      <w:bookmarkStart w:name="_Toc46751469" w:id="915"/>
      <w:bookmarkStart w:name="_Toc46751726" w:id="916"/>
      <w:bookmarkStart w:name="_Toc46762696" w:id="917"/>
      <w:bookmarkStart w:name="_Toc46762841" w:id="918"/>
      <w:bookmarkStart w:name="_Toc46762986" w:id="919"/>
      <w:bookmarkStart w:name="_Toc46763131" w:id="920"/>
      <w:bookmarkStart w:name="_Toc46940344" w:id="921"/>
      <w:bookmarkStart w:name="_Toc45823201" w:id="922"/>
      <w:bookmarkStart w:name="_Toc45824387" w:id="923"/>
      <w:bookmarkStart w:name="_Toc46751470" w:id="924"/>
      <w:bookmarkStart w:name="_Toc46751727" w:id="925"/>
      <w:bookmarkStart w:name="_Toc46762697" w:id="926"/>
      <w:bookmarkStart w:name="_Toc46762842" w:id="927"/>
      <w:bookmarkStart w:name="_Toc46762987" w:id="928"/>
      <w:bookmarkStart w:name="_Toc46763132" w:id="929"/>
      <w:bookmarkStart w:name="_Toc46940345" w:id="930"/>
      <w:bookmarkStart w:name="_Toc45823202" w:id="931"/>
      <w:bookmarkStart w:name="_Toc45824388" w:id="932"/>
      <w:bookmarkStart w:name="_Toc46751471" w:id="933"/>
      <w:bookmarkStart w:name="_Toc46751728" w:id="934"/>
      <w:bookmarkStart w:name="_Toc46762698" w:id="935"/>
      <w:bookmarkStart w:name="_Toc46762843" w:id="936"/>
      <w:bookmarkStart w:name="_Toc46762988" w:id="937"/>
      <w:bookmarkStart w:name="_Toc46763133" w:id="938"/>
      <w:bookmarkStart w:name="_Toc46940346" w:id="939"/>
      <w:bookmarkStart w:name="_Toc45823203" w:id="940"/>
      <w:bookmarkStart w:name="_Toc45824389" w:id="941"/>
      <w:bookmarkStart w:name="_Toc46751472" w:id="942"/>
      <w:bookmarkStart w:name="_Toc46751729" w:id="943"/>
      <w:bookmarkStart w:name="_Toc46762699" w:id="944"/>
      <w:bookmarkStart w:name="_Toc46762844" w:id="945"/>
      <w:bookmarkStart w:name="_Toc46762989" w:id="946"/>
      <w:bookmarkStart w:name="_Toc46763134" w:id="947"/>
      <w:bookmarkStart w:name="_Toc46940347" w:id="948"/>
      <w:bookmarkStart w:name="_Toc45823204" w:id="949"/>
      <w:bookmarkStart w:name="_Toc45824390" w:id="950"/>
      <w:bookmarkStart w:name="_Toc46751473" w:id="951"/>
      <w:bookmarkStart w:name="_Toc46751730" w:id="952"/>
      <w:bookmarkStart w:name="_Toc46762700" w:id="953"/>
      <w:bookmarkStart w:name="_Toc46762845" w:id="954"/>
      <w:bookmarkStart w:name="_Toc46762990" w:id="955"/>
      <w:bookmarkStart w:name="_Toc46763135" w:id="956"/>
      <w:bookmarkStart w:name="_Toc46940348" w:id="957"/>
      <w:bookmarkStart w:name="_Toc45823205" w:id="958"/>
      <w:bookmarkStart w:name="_Toc45824391" w:id="959"/>
      <w:bookmarkStart w:name="_Toc46751474" w:id="960"/>
      <w:bookmarkStart w:name="_Toc46751731" w:id="961"/>
      <w:bookmarkStart w:name="_Toc46762701" w:id="962"/>
      <w:bookmarkStart w:name="_Toc46762846" w:id="963"/>
      <w:bookmarkStart w:name="_Toc46762991" w:id="964"/>
      <w:bookmarkStart w:name="_Toc46763136" w:id="965"/>
      <w:bookmarkStart w:name="_Toc46940349" w:id="966"/>
      <w:bookmarkStart w:name="_Toc45823206" w:id="967"/>
      <w:bookmarkStart w:name="_Toc45824392" w:id="968"/>
      <w:bookmarkStart w:name="_Toc46751475" w:id="969"/>
      <w:bookmarkStart w:name="_Toc46751732" w:id="970"/>
      <w:bookmarkStart w:name="_Toc46762702" w:id="971"/>
      <w:bookmarkStart w:name="_Toc46762847" w:id="972"/>
      <w:bookmarkStart w:name="_Toc46762992" w:id="973"/>
      <w:bookmarkStart w:name="_Toc46763137" w:id="974"/>
      <w:bookmarkStart w:name="_Toc46940350" w:id="975"/>
      <w:bookmarkStart w:name="_Toc45823207" w:id="976"/>
      <w:bookmarkStart w:name="_Toc45824393" w:id="977"/>
      <w:bookmarkStart w:name="_Toc46751476" w:id="978"/>
      <w:bookmarkStart w:name="_Toc46751733" w:id="979"/>
      <w:bookmarkStart w:name="_Toc46762703" w:id="980"/>
      <w:bookmarkStart w:name="_Toc46762848" w:id="981"/>
      <w:bookmarkStart w:name="_Toc46762993" w:id="982"/>
      <w:bookmarkStart w:name="_Toc46763138" w:id="983"/>
      <w:bookmarkStart w:name="_Toc46940351" w:id="984"/>
      <w:bookmarkStart w:name="_Toc45823208" w:id="985"/>
      <w:bookmarkStart w:name="_Toc45824394" w:id="986"/>
      <w:bookmarkStart w:name="_Toc46751477" w:id="987"/>
      <w:bookmarkStart w:name="_Toc46751734" w:id="988"/>
      <w:bookmarkStart w:name="_Toc46762704" w:id="989"/>
      <w:bookmarkStart w:name="_Toc46762849" w:id="990"/>
      <w:bookmarkStart w:name="_Toc46762994" w:id="991"/>
      <w:bookmarkStart w:name="_Toc46763139" w:id="992"/>
      <w:bookmarkStart w:name="_Toc46940352" w:id="993"/>
      <w:bookmarkStart w:name="_Toc45823209" w:id="994"/>
      <w:bookmarkStart w:name="_Toc45824395" w:id="995"/>
      <w:bookmarkStart w:name="_Toc46751478" w:id="996"/>
      <w:bookmarkStart w:name="_Toc46751735" w:id="997"/>
      <w:bookmarkStart w:name="_Toc46762705" w:id="998"/>
      <w:bookmarkStart w:name="_Toc46762850" w:id="999"/>
      <w:bookmarkStart w:name="_Toc46762995" w:id="1000"/>
      <w:bookmarkStart w:name="_Toc46763140" w:id="1001"/>
      <w:bookmarkStart w:name="_Toc46940353" w:id="1002"/>
      <w:bookmarkStart w:name="_Toc45823210" w:id="1003"/>
      <w:bookmarkStart w:name="_Toc45824396" w:id="1004"/>
      <w:bookmarkStart w:name="_Toc46751479" w:id="1005"/>
      <w:bookmarkStart w:name="_Toc46751736" w:id="1006"/>
      <w:bookmarkStart w:name="_Toc46762706" w:id="1007"/>
      <w:bookmarkStart w:name="_Toc46762851" w:id="1008"/>
      <w:bookmarkStart w:name="_Toc46762996" w:id="1009"/>
      <w:bookmarkStart w:name="_Toc46763141" w:id="1010"/>
      <w:bookmarkStart w:name="_Toc46940354" w:id="1011"/>
      <w:bookmarkStart w:name="_Toc45823211" w:id="1012"/>
      <w:bookmarkStart w:name="_Toc45824397" w:id="1013"/>
      <w:bookmarkStart w:name="_Toc46751480" w:id="1014"/>
      <w:bookmarkStart w:name="_Toc46751737" w:id="1015"/>
      <w:bookmarkStart w:name="_Toc46762707" w:id="1016"/>
      <w:bookmarkStart w:name="_Toc46762852" w:id="1017"/>
      <w:bookmarkStart w:name="_Toc46762997" w:id="1018"/>
      <w:bookmarkStart w:name="_Toc46763142" w:id="1019"/>
      <w:bookmarkStart w:name="_Toc46940355" w:id="1020"/>
      <w:bookmarkStart w:name="_Toc45823212" w:id="1021"/>
      <w:bookmarkStart w:name="_Toc45824398" w:id="1022"/>
      <w:bookmarkStart w:name="_Toc46751481" w:id="1023"/>
      <w:bookmarkStart w:name="_Toc46751738" w:id="1024"/>
      <w:bookmarkStart w:name="_Toc46762708" w:id="1025"/>
      <w:bookmarkStart w:name="_Toc46762853" w:id="1026"/>
      <w:bookmarkStart w:name="_Toc46762998" w:id="1027"/>
      <w:bookmarkStart w:name="_Toc46763143" w:id="1028"/>
      <w:bookmarkStart w:name="_Toc46940356" w:id="1029"/>
      <w:bookmarkStart w:name="_Toc45823213" w:id="1030"/>
      <w:bookmarkStart w:name="_Toc45824399" w:id="1031"/>
      <w:bookmarkStart w:name="_Toc46751482" w:id="1032"/>
      <w:bookmarkStart w:name="_Toc46751739" w:id="1033"/>
      <w:bookmarkStart w:name="_Toc46762709" w:id="1034"/>
      <w:bookmarkStart w:name="_Toc46762854" w:id="1035"/>
      <w:bookmarkStart w:name="_Toc46762999" w:id="1036"/>
      <w:bookmarkStart w:name="_Toc46763144" w:id="1037"/>
      <w:bookmarkStart w:name="_Toc46940357" w:id="1038"/>
      <w:bookmarkStart w:name="_Toc45823214" w:id="1039"/>
      <w:bookmarkStart w:name="_Toc45824400" w:id="1040"/>
      <w:bookmarkStart w:name="_Toc46751483" w:id="1041"/>
      <w:bookmarkStart w:name="_Toc46751740" w:id="1042"/>
      <w:bookmarkStart w:name="_Toc46762710" w:id="1043"/>
      <w:bookmarkStart w:name="_Toc46762855" w:id="1044"/>
      <w:bookmarkStart w:name="_Toc46763000" w:id="1045"/>
      <w:bookmarkStart w:name="_Toc46763145" w:id="1046"/>
      <w:bookmarkStart w:name="_Toc46940358" w:id="1047"/>
      <w:bookmarkStart w:name="_Toc45823215" w:id="1048"/>
      <w:bookmarkStart w:name="_Toc45824401" w:id="1049"/>
      <w:bookmarkStart w:name="_Toc46751484" w:id="1050"/>
      <w:bookmarkStart w:name="_Toc46751741" w:id="1051"/>
      <w:bookmarkStart w:name="_Toc46762711" w:id="1052"/>
      <w:bookmarkStart w:name="_Toc46762856" w:id="1053"/>
      <w:bookmarkStart w:name="_Toc46763001" w:id="1054"/>
      <w:bookmarkStart w:name="_Toc46763146" w:id="1055"/>
      <w:bookmarkStart w:name="_Toc46940359" w:id="1056"/>
      <w:bookmarkStart w:name="_Toc45823216" w:id="1057"/>
      <w:bookmarkStart w:name="_Toc45824402" w:id="1058"/>
      <w:bookmarkStart w:name="_Toc46751485" w:id="1059"/>
      <w:bookmarkStart w:name="_Toc46751742" w:id="1060"/>
      <w:bookmarkStart w:name="_Toc46762712" w:id="1061"/>
      <w:bookmarkStart w:name="_Toc46762857" w:id="1062"/>
      <w:bookmarkStart w:name="_Toc46763002" w:id="1063"/>
      <w:bookmarkStart w:name="_Toc46763147" w:id="1064"/>
      <w:bookmarkStart w:name="_Toc46940360" w:id="1065"/>
      <w:bookmarkStart w:name="_Toc45823217" w:id="1066"/>
      <w:bookmarkStart w:name="_Toc45824403" w:id="1067"/>
      <w:bookmarkStart w:name="_Toc46751486" w:id="1068"/>
      <w:bookmarkStart w:name="_Toc46751743" w:id="1069"/>
      <w:bookmarkStart w:name="_Toc46762713" w:id="1070"/>
      <w:bookmarkStart w:name="_Toc46762858" w:id="1071"/>
      <w:bookmarkStart w:name="_Toc46763003" w:id="1072"/>
      <w:bookmarkStart w:name="_Toc46763148" w:id="1073"/>
      <w:bookmarkStart w:name="_Toc46940361" w:id="1074"/>
      <w:bookmarkStart w:name="_Toc45823218" w:id="1075"/>
      <w:bookmarkStart w:name="_Toc45824404" w:id="1076"/>
      <w:bookmarkStart w:name="_Toc46751487" w:id="1077"/>
      <w:bookmarkStart w:name="_Toc46751744" w:id="1078"/>
      <w:bookmarkStart w:name="_Toc46762714" w:id="1079"/>
      <w:bookmarkStart w:name="_Toc46762859" w:id="1080"/>
      <w:bookmarkStart w:name="_Toc46763004" w:id="1081"/>
      <w:bookmarkStart w:name="_Toc46763149" w:id="1082"/>
      <w:bookmarkStart w:name="_Toc46940362" w:id="1083"/>
      <w:bookmarkStart w:name="_Toc45823219" w:id="1084"/>
      <w:bookmarkStart w:name="_Toc45824405" w:id="1085"/>
      <w:bookmarkStart w:name="_Toc46751488" w:id="1086"/>
      <w:bookmarkStart w:name="_Toc46751745" w:id="1087"/>
      <w:bookmarkStart w:name="_Toc46762715" w:id="1088"/>
      <w:bookmarkStart w:name="_Toc46762860" w:id="1089"/>
      <w:bookmarkStart w:name="_Toc46763005" w:id="1090"/>
      <w:bookmarkStart w:name="_Toc46763150" w:id="1091"/>
      <w:bookmarkStart w:name="_Toc46940363" w:id="1092"/>
      <w:bookmarkStart w:name="_Toc45823220" w:id="1093"/>
      <w:bookmarkStart w:name="_Toc45824406" w:id="1094"/>
      <w:bookmarkStart w:name="_Toc46751489" w:id="1095"/>
      <w:bookmarkStart w:name="_Toc46751746" w:id="1096"/>
      <w:bookmarkStart w:name="_Toc46762716" w:id="1097"/>
      <w:bookmarkStart w:name="_Toc46762861" w:id="1098"/>
      <w:bookmarkStart w:name="_Toc46763006" w:id="1099"/>
      <w:bookmarkStart w:name="_Toc46763151" w:id="1100"/>
      <w:bookmarkStart w:name="_Toc46940364" w:id="1101"/>
      <w:bookmarkStart w:name="_Toc45823222" w:id="1102"/>
      <w:bookmarkStart w:name="_Toc45824408" w:id="1103"/>
      <w:bookmarkStart w:name="_Toc46751491" w:id="1104"/>
      <w:bookmarkStart w:name="_Toc46751748" w:id="1105"/>
      <w:bookmarkStart w:name="_Toc46762718" w:id="1106"/>
      <w:bookmarkStart w:name="_Toc46762863" w:id="1107"/>
      <w:bookmarkStart w:name="_Toc46763008" w:id="1108"/>
      <w:bookmarkStart w:name="_Toc46763153" w:id="1109"/>
      <w:bookmarkStart w:name="_Toc46940366" w:id="1110"/>
      <w:bookmarkStart w:name="_Toc45823223" w:id="1111"/>
      <w:bookmarkStart w:name="_Toc45824409" w:id="1112"/>
      <w:bookmarkStart w:name="_Toc46751492" w:id="1113"/>
      <w:bookmarkStart w:name="_Toc46751749" w:id="1114"/>
      <w:bookmarkStart w:name="_Toc46762719" w:id="1115"/>
      <w:bookmarkStart w:name="_Toc46762864" w:id="1116"/>
      <w:bookmarkStart w:name="_Toc46763009" w:id="1117"/>
      <w:bookmarkStart w:name="_Toc46763154" w:id="1118"/>
      <w:bookmarkStart w:name="_Toc46940367" w:id="1119"/>
      <w:bookmarkStart w:name="_Toc8123723" w:id="1120"/>
      <w:bookmarkStart w:name="_Toc52866559" w:id="1121"/>
      <w:bookmarkEnd w:id="110"/>
      <w:bookmarkEnd w:id="112"/>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r w:rsidRPr="009707CB">
        <w:t>Comments on Proposed Decision</w:t>
      </w:r>
      <w:bookmarkEnd w:id="1120"/>
      <w:bookmarkEnd w:id="1121"/>
    </w:p>
    <w:p w:rsidR="00CC6227" w:rsidP="00CC6227" w:rsidRDefault="00CC6227" w14:paraId="7ABCEC75" w14:textId="4727F921">
      <w:pPr>
        <w:pStyle w:val="Standard"/>
      </w:pPr>
      <w:bookmarkStart w:name="_Toc8123724" w:id="1122"/>
      <w:r w:rsidRPr="00CC6227">
        <w:t xml:space="preserve">The proposed decision of ALJ </w:t>
      </w:r>
      <w:r>
        <w:t>DeAngelis</w:t>
      </w:r>
      <w:r w:rsidRPr="00CC6227">
        <w:t xml:space="preserve"> in this matter was mailed to the parties in accordance with Section 311 of the Public Utilities Code and comments were allowed under Rule 14.3 of the Commission’s Rules of Practice and Procedure.  Comments were filed on </w:t>
      </w:r>
      <w:r w:rsidR="00EB11A0">
        <w:t>September 23, 2020</w:t>
      </w:r>
      <w:r w:rsidR="0010484A">
        <w:t xml:space="preserve"> </w:t>
      </w:r>
      <w:r w:rsidRPr="00CC6227">
        <w:t xml:space="preserve">and reply comments were filed on </w:t>
      </w:r>
      <w:r w:rsidR="00EB11A0">
        <w:t>September 28, 2020</w:t>
      </w:r>
      <w:r w:rsidR="0010484A">
        <w:t xml:space="preserve"> </w:t>
      </w:r>
      <w:r w:rsidRPr="00CC6227">
        <w:t>by</w:t>
      </w:r>
      <w:r w:rsidR="0010484A">
        <w:t xml:space="preserve"> </w:t>
      </w:r>
      <w:r w:rsidR="00EB11A0">
        <w:t>PG&amp;E and BBIC</w:t>
      </w:r>
      <w:r w:rsidRPr="00CC6227">
        <w:t>.</w:t>
      </w:r>
      <w:r w:rsidRPr="00EB11A0" w:rsidR="00EB11A0">
        <w:rPr>
          <w:rFonts w:ascii="Palatino Linotype" w:hAnsi="Palatino Linotype" w:cs="Palatino Linotype"/>
          <w:color w:val="000000"/>
          <w:szCs w:val="26"/>
        </w:rPr>
        <w:t xml:space="preserve"> </w:t>
      </w:r>
      <w:r w:rsidRPr="00EB11A0" w:rsidR="00EB11A0">
        <w:t xml:space="preserve">Based on these comments, </w:t>
      </w:r>
      <w:r w:rsidR="002C6964">
        <w:t xml:space="preserve">the following </w:t>
      </w:r>
      <w:r w:rsidRPr="00EB11A0" w:rsidR="00EB11A0">
        <w:t>changes to the proposed decision were made to improve clarity</w:t>
      </w:r>
      <w:r w:rsidR="0010169F">
        <w:t xml:space="preserve"> and make </w:t>
      </w:r>
      <w:r w:rsidRPr="00EB11A0" w:rsidR="00EB11A0">
        <w:t>modification</w:t>
      </w:r>
      <w:r w:rsidR="002C6964">
        <w:t>s</w:t>
      </w:r>
      <w:r w:rsidRPr="00EB11A0" w:rsidR="00EB11A0">
        <w:t xml:space="preserve"> consistent with the law:</w:t>
      </w:r>
    </w:p>
    <w:p w:rsidR="0010169F" w:rsidP="0010169F" w:rsidRDefault="002C6964" w14:paraId="26CFA549" w14:textId="39FED222">
      <w:pPr>
        <w:pStyle w:val="Standard"/>
        <w:numPr>
          <w:ilvl w:val="0"/>
          <w:numId w:val="64"/>
        </w:numPr>
      </w:pPr>
      <w:bookmarkStart w:name="_Hlk52736406" w:id="1123"/>
      <w:r>
        <w:t>A</w:t>
      </w:r>
      <w:r w:rsidRPr="0010169F" w:rsidR="0010169F">
        <w:t>dditional reporting, beyond the pilot phase, may be considered in the evaluation of the pilot o</w:t>
      </w:r>
      <w:r w:rsidR="0010169F">
        <w:t>r</w:t>
      </w:r>
      <w:r w:rsidRPr="0010169F" w:rsidR="0010169F">
        <w:t xml:space="preserve"> a future decision. </w:t>
      </w:r>
    </w:p>
    <w:p w:rsidR="0010169F" w:rsidP="0010169F" w:rsidRDefault="002C6964" w14:paraId="00DEF5C9" w14:textId="2AA74B6D">
      <w:pPr>
        <w:pStyle w:val="Standard"/>
        <w:numPr>
          <w:ilvl w:val="0"/>
          <w:numId w:val="64"/>
        </w:numPr>
      </w:pPr>
      <w:r>
        <w:t>A</w:t>
      </w:r>
      <w:r w:rsidR="0010169F">
        <w:t xml:space="preserve">ny </w:t>
      </w:r>
      <w:r w:rsidRPr="0010169F" w:rsidR="0010169F">
        <w:t xml:space="preserve">outreach and training associated with the </w:t>
      </w:r>
      <w:r w:rsidR="0010169F">
        <w:t xml:space="preserve">pilot </w:t>
      </w:r>
      <w:r w:rsidRPr="0010169F" w:rsidR="0010169F">
        <w:t>are “continued operation” cost</w:t>
      </w:r>
      <w:r w:rsidR="0010484A">
        <w:t>s</w:t>
      </w:r>
      <w:r w:rsidRPr="0010169F" w:rsidR="0010169F">
        <w:t xml:space="preserve"> and allocated to shareholders.</w:t>
      </w:r>
    </w:p>
    <w:p w:rsidR="0010169F" w:rsidP="0010169F" w:rsidRDefault="0010484A" w14:paraId="51A1FD37" w14:textId="4CFAAABD">
      <w:pPr>
        <w:pStyle w:val="Standard"/>
        <w:numPr>
          <w:ilvl w:val="0"/>
          <w:numId w:val="64"/>
        </w:numPr>
      </w:pPr>
      <w:r>
        <w:lastRenderedPageBreak/>
        <w:t>T</w:t>
      </w:r>
      <w:r w:rsidR="0010169F">
        <w:t xml:space="preserve">he </w:t>
      </w:r>
      <w:r w:rsidRPr="0010169F" w:rsidR="0010169F">
        <w:t>deadline</w:t>
      </w:r>
      <w:r>
        <w:t xml:space="preserve"> is extended</w:t>
      </w:r>
      <w:r w:rsidRPr="0010169F" w:rsidR="0010169F">
        <w:t xml:space="preserve"> to three months from effective date of this decision for PG&amp;E to submit its proposal for </w:t>
      </w:r>
      <w:r>
        <w:t xml:space="preserve">pilot </w:t>
      </w:r>
      <w:r w:rsidRPr="0010169F" w:rsidR="0010169F">
        <w:t>training to SPD</w:t>
      </w:r>
      <w:r>
        <w:t>.</w:t>
      </w:r>
    </w:p>
    <w:p w:rsidR="0010169F" w:rsidP="0010169F" w:rsidRDefault="002C6964" w14:paraId="75E3B5F5" w14:textId="6E988296">
      <w:pPr>
        <w:pStyle w:val="Standard"/>
        <w:numPr>
          <w:ilvl w:val="0"/>
          <w:numId w:val="64"/>
        </w:numPr>
      </w:pPr>
      <w:r>
        <w:t>T</w:t>
      </w:r>
      <w:r w:rsidR="0010169F">
        <w:t xml:space="preserve">he need for additional training, </w:t>
      </w:r>
      <w:r w:rsidR="0010484A">
        <w:t xml:space="preserve">the </w:t>
      </w:r>
      <w:r w:rsidR="00DF72DF">
        <w:t xml:space="preserve">submittal </w:t>
      </w:r>
      <w:r w:rsidR="0010169F">
        <w:t>classification system,</w:t>
      </w:r>
      <w:r w:rsidR="00DF72DF">
        <w:t xml:space="preserve"> tracking of the status of the submittal, integration of </w:t>
      </w:r>
      <w:r w:rsidR="6EF0EF47">
        <w:t xml:space="preserve">the </w:t>
      </w:r>
      <w:r w:rsidR="00DF72DF">
        <w:t xml:space="preserve">app into the existing complaint system, and other criteria </w:t>
      </w:r>
      <w:r w:rsidR="0010169F">
        <w:t>may be considered in evaluation of the pilot.</w:t>
      </w:r>
    </w:p>
    <w:p w:rsidR="0010169F" w:rsidP="0010169F" w:rsidRDefault="002C6964" w14:paraId="46225199" w14:textId="5E32BFAF">
      <w:pPr>
        <w:pStyle w:val="Standard"/>
        <w:numPr>
          <w:ilvl w:val="0"/>
          <w:numId w:val="64"/>
        </w:numPr>
      </w:pPr>
      <w:r>
        <w:t>T</w:t>
      </w:r>
      <w:r w:rsidR="0010169F">
        <w:t xml:space="preserve">he pilot will include sufficient warnings in the app to </w:t>
      </w:r>
      <w:r w:rsidR="2216B7C7">
        <w:t xml:space="preserve">warn customers against </w:t>
      </w:r>
      <w:r w:rsidR="0010169F">
        <w:t>us</w:t>
      </w:r>
      <w:r w:rsidR="762FB262">
        <w:t>ing the app</w:t>
      </w:r>
      <w:r w:rsidR="0010169F">
        <w:t xml:space="preserve"> for emergency/911 matters.</w:t>
      </w:r>
    </w:p>
    <w:p w:rsidRPr="0010169F" w:rsidR="0010169F" w:rsidP="0010169F" w:rsidRDefault="002C6964" w14:paraId="130F0EDC" w14:textId="5EF2798D">
      <w:pPr>
        <w:pStyle w:val="Standard"/>
        <w:numPr>
          <w:ilvl w:val="0"/>
          <w:numId w:val="64"/>
        </w:numPr>
      </w:pPr>
      <w:r>
        <w:t xml:space="preserve">The </w:t>
      </w:r>
      <w:r w:rsidRPr="0010169F" w:rsidR="0010169F">
        <w:t>record retention</w:t>
      </w:r>
      <w:r w:rsidR="0010484A">
        <w:t xml:space="preserve"> for the pilot </w:t>
      </w:r>
      <w:r w:rsidRPr="0010169F" w:rsidR="0010169F">
        <w:t xml:space="preserve">may exceed </w:t>
      </w:r>
      <w:r w:rsidR="0010169F">
        <w:t xml:space="preserve">four </w:t>
      </w:r>
      <w:r w:rsidRPr="0010169F" w:rsidR="0010169F">
        <w:t xml:space="preserve">years if </w:t>
      </w:r>
      <w:r w:rsidR="0010169F">
        <w:t>required under the law</w:t>
      </w:r>
      <w:r w:rsidRPr="0010169F" w:rsidR="0010169F">
        <w:t>.</w:t>
      </w:r>
    </w:p>
    <w:p w:rsidR="0010169F" w:rsidP="0010169F" w:rsidRDefault="002C6964" w14:paraId="45004940" w14:textId="764D9B18">
      <w:pPr>
        <w:pStyle w:val="Standard"/>
        <w:numPr>
          <w:ilvl w:val="0"/>
          <w:numId w:val="64"/>
        </w:numPr>
      </w:pPr>
      <w:r>
        <w:t>A</w:t>
      </w:r>
      <w:r w:rsidRPr="00DF72DF" w:rsidR="00DF72DF">
        <w:t>cknowledge that certain information, such as</w:t>
      </w:r>
      <w:r>
        <w:t xml:space="preserve"> specific</w:t>
      </w:r>
      <w:r w:rsidRPr="00DF72DF" w:rsidR="00DF72DF">
        <w:t xml:space="preserve"> </w:t>
      </w:r>
      <w:r w:rsidR="00DF72DF">
        <w:t>c</w:t>
      </w:r>
      <w:r>
        <w:t xml:space="preserve">ustomer </w:t>
      </w:r>
      <w:r w:rsidR="00DF72DF">
        <w:t xml:space="preserve">data, cannot </w:t>
      </w:r>
      <w:r w:rsidRPr="00DF72DF" w:rsidR="00DF72DF">
        <w:t>be publicly disclosed, consistent with</w:t>
      </w:r>
      <w:r w:rsidR="00DF72DF">
        <w:t xml:space="preserve"> the </w:t>
      </w:r>
      <w:r w:rsidRPr="00DF72DF" w:rsidR="00DF72DF">
        <w:t>law</w:t>
      </w:r>
      <w:r w:rsidR="00DF72DF">
        <w:t>.</w:t>
      </w:r>
    </w:p>
    <w:p w:rsidR="00DF72DF" w:rsidP="0010169F" w:rsidRDefault="002C6964" w14:paraId="2D74C2BB" w14:textId="7625024A">
      <w:pPr>
        <w:pStyle w:val="Standard"/>
        <w:numPr>
          <w:ilvl w:val="0"/>
          <w:numId w:val="64"/>
        </w:numPr>
      </w:pPr>
      <w:r>
        <w:t>R</w:t>
      </w:r>
      <w:r w:rsidR="00DF72DF">
        <w:t xml:space="preserve">ecognize that </w:t>
      </w:r>
      <w:r w:rsidRPr="00DF72DF" w:rsidR="00DF72DF">
        <w:t>PG&amp;E</w:t>
      </w:r>
      <w:r>
        <w:t>’s</w:t>
      </w:r>
      <w:r w:rsidR="00DF72DF">
        <w:t xml:space="preserve"> text message</w:t>
      </w:r>
      <w:r w:rsidRPr="00DF72DF" w:rsidR="00DF72DF">
        <w:t xml:space="preserve"> invit</w:t>
      </w:r>
      <w:r w:rsidR="00DF72DF">
        <w:t xml:space="preserve">ations to participate in the pilot must be consistent with </w:t>
      </w:r>
      <w:r w:rsidRPr="00DF72DF" w:rsidR="00DF72DF">
        <w:t>state and federal law</w:t>
      </w:r>
      <w:r w:rsidR="00DF72DF">
        <w:t>s.</w:t>
      </w:r>
    </w:p>
    <w:p w:rsidR="00DF72DF" w:rsidP="002C6964" w:rsidRDefault="002C6964" w14:paraId="7A33C65F" w14:textId="1DE1025F">
      <w:pPr>
        <w:pStyle w:val="Standard"/>
        <w:numPr>
          <w:ilvl w:val="0"/>
          <w:numId w:val="64"/>
        </w:numPr>
      </w:pPr>
      <w:r>
        <w:t>T</w:t>
      </w:r>
      <w:r w:rsidR="00DF72DF">
        <w:t xml:space="preserve">he use of the mobile app by PG&amp;E’s vegetation </w:t>
      </w:r>
      <w:r w:rsidR="57DBF914">
        <w:t xml:space="preserve">management </w:t>
      </w:r>
      <w:r w:rsidR="00DF72DF">
        <w:t xml:space="preserve">consultants </w:t>
      </w:r>
      <w:r w:rsidR="4933E539">
        <w:t xml:space="preserve">and others </w:t>
      </w:r>
      <w:r w:rsidR="00DF72DF">
        <w:t>is discretionary</w:t>
      </w:r>
      <w:r w:rsidR="00A14514">
        <w:t xml:space="preserve"> and must be consistent with safety protocols</w:t>
      </w:r>
      <w:r w:rsidR="00DF72DF">
        <w:t>.</w:t>
      </w:r>
    </w:p>
    <w:p w:rsidR="00DF72DF" w:rsidP="0010169F" w:rsidRDefault="002C6964" w14:paraId="3BC5A334" w14:textId="4E122A8A">
      <w:pPr>
        <w:pStyle w:val="Standard"/>
        <w:numPr>
          <w:ilvl w:val="0"/>
          <w:numId w:val="64"/>
        </w:numPr>
      </w:pPr>
      <w:r>
        <w:t>E</w:t>
      </w:r>
      <w:r w:rsidRPr="00DF72DF" w:rsidR="00DF72DF">
        <w:t xml:space="preserve">xtend </w:t>
      </w:r>
      <w:r w:rsidR="0010484A">
        <w:t xml:space="preserve">the </w:t>
      </w:r>
      <w:r w:rsidR="00DF72DF">
        <w:t>l</w:t>
      </w:r>
      <w:r w:rsidRPr="00DF72DF" w:rsidR="00DF72DF">
        <w:t>aunch date</w:t>
      </w:r>
      <w:r>
        <w:t xml:space="preserve"> of the pilot</w:t>
      </w:r>
      <w:r w:rsidRPr="00DF72DF" w:rsidR="00DF72DF">
        <w:t xml:space="preserve"> to on or before 10 months from effective date of </w:t>
      </w:r>
      <w:r w:rsidR="00A14514">
        <w:t xml:space="preserve">this </w:t>
      </w:r>
      <w:r w:rsidRPr="00DF72DF" w:rsidR="00DF72DF">
        <w:t>decision.</w:t>
      </w:r>
    </w:p>
    <w:p w:rsidR="00EB11A0" w:rsidP="00DD7273" w:rsidRDefault="00DF72DF" w14:paraId="3C0E0A08" w14:textId="7232B9F3">
      <w:pPr>
        <w:pStyle w:val="Standard"/>
        <w:numPr>
          <w:ilvl w:val="0"/>
          <w:numId w:val="64"/>
        </w:numPr>
      </w:pPr>
      <w:r>
        <w:t>PG&amp;E may purchase a commercially</w:t>
      </w:r>
      <w:r w:rsidR="5FBEBE76">
        <w:t xml:space="preserve"> </w:t>
      </w:r>
      <w:r>
        <w:t>available app and, if so, retain the source code and other design features confidential, if required pursuant to the purchase agreement.</w:t>
      </w:r>
    </w:p>
    <w:bookmarkEnd w:id="1123"/>
    <w:p w:rsidRPr="00CC6227" w:rsidR="00EB11A0" w:rsidP="00CC6227" w:rsidRDefault="00EB11A0" w14:paraId="160A76A4" w14:textId="77777777">
      <w:pPr>
        <w:pStyle w:val="Standard"/>
        <w:rPr>
          <w:rFonts w:ascii="Arial" w:hAnsi="Arial" w:eastAsiaTheme="majorEastAsia" w:cstheme="majorBidi"/>
          <w:b/>
          <w:szCs w:val="32"/>
        </w:rPr>
      </w:pPr>
    </w:p>
    <w:p w:rsidRPr="009707CB" w:rsidR="005939A5" w:rsidP="00157BB0" w:rsidRDefault="005939A5" w14:paraId="785BC384" w14:textId="637AD7FD">
      <w:pPr>
        <w:pStyle w:val="Heading1"/>
        <w:numPr>
          <w:ilvl w:val="0"/>
          <w:numId w:val="63"/>
        </w:numPr>
      </w:pPr>
      <w:bookmarkStart w:name="_Toc52866560" w:id="1124"/>
      <w:r w:rsidRPr="009707CB">
        <w:t>Assignment of Proceeding</w:t>
      </w:r>
      <w:bookmarkEnd w:id="1122"/>
      <w:bookmarkEnd w:id="1124"/>
    </w:p>
    <w:p w:rsidRPr="001E44D2" w:rsidR="005939A5" w:rsidP="0087100E" w:rsidRDefault="0064704B" w14:paraId="7368A79F" w14:textId="6DE304EF">
      <w:pPr>
        <w:pStyle w:val="Standard"/>
      </w:pPr>
      <w:r>
        <w:t>Clifford Recht</w:t>
      </w:r>
      <w:r w:rsidR="00CE1CE6">
        <w:t xml:space="preserve">schaffen </w:t>
      </w:r>
      <w:r w:rsidR="005939A5">
        <w:t xml:space="preserve">is the assigned Commissioner and </w:t>
      </w:r>
      <w:r>
        <w:t xml:space="preserve">Regina </w:t>
      </w:r>
      <w:r w:rsidRPr="001E44D2">
        <w:t>DeAngelis</w:t>
      </w:r>
      <w:r w:rsidRPr="001E44D2" w:rsidR="005939A5">
        <w:t xml:space="preserve"> is the assigned Administrative Law Judge in this proceeding.</w:t>
      </w:r>
    </w:p>
    <w:p w:rsidRPr="001E44D2" w:rsidR="005939A5" w:rsidP="00431C51" w:rsidRDefault="005939A5" w14:paraId="10F36498" w14:textId="471AD2E1">
      <w:pPr>
        <w:pStyle w:val="Dummy"/>
        <w:spacing w:line="360" w:lineRule="auto"/>
      </w:pPr>
      <w:bookmarkStart w:name="_Toc8123725" w:id="1125"/>
      <w:bookmarkStart w:name="_Toc52866561" w:id="1126"/>
      <w:r w:rsidRPr="001E44D2">
        <w:lastRenderedPageBreak/>
        <w:t>Findings of Fact</w:t>
      </w:r>
      <w:bookmarkEnd w:id="1125"/>
      <w:bookmarkEnd w:id="1126"/>
    </w:p>
    <w:p w:rsidRPr="00431C51" w:rsidR="001E44D2" w:rsidP="00CC6227" w:rsidRDefault="001E44D2" w14:paraId="074A9EFF" w14:textId="1151A470">
      <w:pPr>
        <w:pStyle w:val="FoF"/>
      </w:pPr>
      <w:r w:rsidRPr="00431C51">
        <w:t>The Commission in I.19-06-015 ordered PG&amp;E to “file an application within 30 days after the issuance of this Order to develop an open source, publicly-available asset management</w:t>
      </w:r>
      <w:r w:rsidR="00D5355E">
        <w:t xml:space="preserve"> </w:t>
      </w:r>
      <w:r w:rsidRPr="00431C51">
        <w:t>database and mobile app as described in this Order.”</w:t>
      </w:r>
    </w:p>
    <w:p w:rsidRPr="00431C51" w:rsidR="001E44D2" w:rsidP="00CC6227" w:rsidRDefault="001E44D2" w14:paraId="4081F7F0" w14:textId="3A8A15AF">
      <w:pPr>
        <w:pStyle w:val="FoF"/>
      </w:pPr>
      <w:r w:rsidRPr="00431C51">
        <w:t xml:space="preserve">I.19-06-015 included certain requirements of the mobile app but did not address all details </w:t>
      </w:r>
      <w:r w:rsidR="00124A78">
        <w:t xml:space="preserve">or components needed for </w:t>
      </w:r>
      <w:r w:rsidRPr="00431C51">
        <w:t>the mobile app.</w:t>
      </w:r>
    </w:p>
    <w:p w:rsidRPr="00431C51" w:rsidR="001E44D2" w:rsidP="00CC6227" w:rsidRDefault="001E44D2" w14:paraId="1A7579E7" w14:textId="1FA6F08E">
      <w:pPr>
        <w:pStyle w:val="FoF"/>
      </w:pPr>
      <w:r w:rsidRPr="00431C51">
        <w:t>The Commission in I.19-06-015 does not directly address the scope of the mobile app but suggest</w:t>
      </w:r>
      <w:r w:rsidR="00124A78">
        <w:t>s</w:t>
      </w:r>
      <w:r w:rsidRPr="00431C51">
        <w:t xml:space="preserve"> that the mobile app be designed to track “safety concerns.”</w:t>
      </w:r>
    </w:p>
    <w:p w:rsidRPr="00431C51" w:rsidR="001E44D2" w:rsidP="00CC6227" w:rsidRDefault="001E44D2" w14:paraId="27D25229" w14:textId="51B3705A">
      <w:pPr>
        <w:pStyle w:val="FoF"/>
      </w:pPr>
      <w:bookmarkStart w:name="_Hlk47934556" w:id="1127"/>
      <w:r w:rsidRPr="00431C51">
        <w:t>The scope of the mobile app pilot</w:t>
      </w:r>
      <w:r w:rsidRPr="00BB6A26">
        <w:t xml:space="preserve">, </w:t>
      </w:r>
      <w:r w:rsidRPr="00AD558B">
        <w:t xml:space="preserve">while </w:t>
      </w:r>
      <w:r w:rsidRPr="00AD558B" w:rsidR="00BB6A26">
        <w:t xml:space="preserve">including </w:t>
      </w:r>
      <w:r w:rsidRPr="00AD558B">
        <w:t>wildfire mitigation,</w:t>
      </w:r>
      <w:r w:rsidRPr="00BB6A26">
        <w:t xml:space="preserve"> should broadly encompass</w:t>
      </w:r>
      <w:r w:rsidRPr="00431C51">
        <w:t xml:space="preserve"> safety concerns in general. </w:t>
      </w:r>
    </w:p>
    <w:bookmarkEnd w:id="1127"/>
    <w:p w:rsidRPr="00431C51" w:rsidR="001E44D2" w:rsidP="00CC6227" w:rsidRDefault="001E44D2" w14:paraId="4AA6AE0F" w14:textId="222FCBA5">
      <w:pPr>
        <w:pStyle w:val="FoF"/>
      </w:pPr>
      <w:r w:rsidRPr="00431C51">
        <w:t xml:space="preserve"> In I.19-06-015, the Commission directed PG&amp;E to seek approval of a mobile app and did not contemplate the appropriateness of a pilot.</w:t>
      </w:r>
    </w:p>
    <w:p w:rsidRPr="00431C51" w:rsidR="001E44D2" w:rsidP="00CC6227" w:rsidRDefault="001E44D2" w14:paraId="77705401" w14:textId="2C34C525">
      <w:pPr>
        <w:pStyle w:val="FoF"/>
      </w:pPr>
      <w:r w:rsidRPr="00431C51">
        <w:t xml:space="preserve">Advantages exist to relying on a pilot to test the mobile app’s effectiveness and to determine whether any public safety risks related to the mobile app users’ behavior exist.   </w:t>
      </w:r>
    </w:p>
    <w:p w:rsidRPr="00431C51" w:rsidR="001E44D2" w:rsidP="00CC6227" w:rsidRDefault="001E44D2" w14:paraId="2B53B369" w14:textId="61EFD884">
      <w:pPr>
        <w:pStyle w:val="FoF"/>
      </w:pPr>
      <w:r w:rsidRPr="00431C51">
        <w:t xml:space="preserve">A pilot program will allow the Commission to determine areas where the mobile app could benefit from modifications and assess the reallocation of limited resources from other </w:t>
      </w:r>
      <w:r w:rsidR="00124A78">
        <w:t xml:space="preserve">PG&amp;E </w:t>
      </w:r>
      <w:r w:rsidRPr="00431C51">
        <w:t xml:space="preserve">safety programs.  </w:t>
      </w:r>
    </w:p>
    <w:p w:rsidRPr="00431C51" w:rsidR="001E44D2" w:rsidP="00CC6227" w:rsidRDefault="001E44D2" w14:paraId="45167F2A" w14:textId="10F47BED">
      <w:pPr>
        <w:pStyle w:val="FoF"/>
      </w:pPr>
      <w:r w:rsidRPr="00431C51">
        <w:t xml:space="preserve">A native app offers the necessary functionality for PG&amp;E’s mobile app. </w:t>
      </w:r>
    </w:p>
    <w:p w:rsidRPr="00431C51" w:rsidR="001E44D2" w:rsidP="00CC6227" w:rsidRDefault="001E44D2" w14:paraId="0B1934B2" w14:textId="6B585DE6">
      <w:pPr>
        <w:pStyle w:val="FoF"/>
      </w:pPr>
      <w:r w:rsidRPr="00431C51">
        <w:t xml:space="preserve">The Commission in I.19-06-015 places special emphasis on smartphones as the basis for PG&amp;E’s mobile app. </w:t>
      </w:r>
    </w:p>
    <w:p w:rsidRPr="00431C51" w:rsidR="001E44D2" w:rsidP="00CC6227" w:rsidRDefault="001E44D2" w14:paraId="61073A3F" w14:textId="4952313F">
      <w:pPr>
        <w:pStyle w:val="FoF"/>
      </w:pPr>
      <w:r w:rsidRPr="00431C51">
        <w:t>The costs associated with the development and continued operation</w:t>
      </w:r>
      <w:r w:rsidR="00BB6A26">
        <w:t>, including evaluation,</w:t>
      </w:r>
      <w:r w:rsidRPr="00431C51">
        <w:t xml:space="preserve"> of the mobile app pilot are a shareholder expense.  </w:t>
      </w:r>
    </w:p>
    <w:p w:rsidRPr="00431C51" w:rsidR="001E44D2" w:rsidP="00CC6227" w:rsidRDefault="001E44D2" w14:paraId="6D527BD2" w14:textId="30A8155A">
      <w:pPr>
        <w:pStyle w:val="FoF"/>
      </w:pPr>
      <w:r w:rsidRPr="00431C51">
        <w:t xml:space="preserve"> The costs to respond to mobile app submittals/safety reports are a ratepayer expense.  </w:t>
      </w:r>
    </w:p>
    <w:p w:rsidRPr="00431C51" w:rsidR="001E44D2" w:rsidP="00CC6227" w:rsidRDefault="001E44D2" w14:paraId="10650793" w14:textId="76C81B29">
      <w:pPr>
        <w:pStyle w:val="FoF"/>
      </w:pPr>
      <w:r w:rsidRPr="00431C51">
        <w:lastRenderedPageBreak/>
        <w:t xml:space="preserve"> A mobile app with a publicly-available interface but with PG&amp;E preserving ownership over the original source code is an acceptable interpretation of the Commission’s directive in I.19-06-015 for an “open source” code, while also addressing c</w:t>
      </w:r>
      <w:r w:rsidR="007E6975">
        <w:t>ybersecurity concerns</w:t>
      </w:r>
      <w:r w:rsidRPr="00431C51">
        <w:t>, provided that PG&amp;E shares the design of the mobile app and relevant</w:t>
      </w:r>
      <w:r w:rsidR="007E6975">
        <w:t xml:space="preserve"> non-confidential</w:t>
      </w:r>
      <w:r w:rsidRPr="00431C51">
        <w:t xml:space="preserve"> materials with others upon request</w:t>
      </w:r>
      <w:r w:rsidR="00DE6820">
        <w:t>, unless otherwise confidential under the law</w:t>
      </w:r>
      <w:r w:rsidRPr="00431C51">
        <w:t>.</w:t>
      </w:r>
    </w:p>
    <w:p w:rsidRPr="00431C51" w:rsidR="001E44D2" w:rsidP="00CC6227" w:rsidRDefault="001E44D2" w14:paraId="4F413F40" w14:textId="32596717">
      <w:pPr>
        <w:pStyle w:val="FoF"/>
      </w:pPr>
      <w:r w:rsidRPr="00431C51">
        <w:t xml:space="preserve">PG&amp;E should upload information received through the mobile app to a secure database including photos and location details, as well as status, e.g., whether the reported safety issue identified a problem and how PG&amp;E has or will resolve the issue. </w:t>
      </w:r>
      <w:r w:rsidR="00742A04">
        <w:t xml:space="preserve"> </w:t>
      </w:r>
      <w:r w:rsidRPr="00431C51">
        <w:t xml:space="preserve">PG&amp;E should also make this information </w:t>
      </w:r>
      <w:r w:rsidRPr="00431C51" w:rsidR="00E23554">
        <w:t>publicly available</w:t>
      </w:r>
      <w:r w:rsidRPr="00431C51">
        <w:t xml:space="preserve"> on its website and mobile app within 30 days of the safety issue being reported</w:t>
      </w:r>
      <w:r w:rsidR="00DE6820">
        <w:t>, unless otherwise confidential under the law</w:t>
      </w:r>
      <w:r w:rsidRPr="00431C51">
        <w:t>.</w:t>
      </w:r>
    </w:p>
    <w:p w:rsidRPr="00431C51" w:rsidR="001E44D2" w:rsidP="00CC6227" w:rsidRDefault="001E44D2" w14:paraId="15246494" w14:textId="1DBF12D6">
      <w:pPr>
        <w:pStyle w:val="FoF"/>
      </w:pPr>
      <w:r w:rsidRPr="00431C51">
        <w:t>PG&amp;E’s proposed asset management</w:t>
      </w:r>
      <w:r w:rsidR="00D5355E">
        <w:t xml:space="preserve"> </w:t>
      </w:r>
      <w:r w:rsidRPr="00431C51">
        <w:t xml:space="preserve">database is generally adequate with the </w:t>
      </w:r>
      <w:r w:rsidR="00F4422C">
        <w:t>following modifications:</w:t>
      </w:r>
      <w:r w:rsidRPr="00431C51">
        <w:t xml:space="preserve"> (1) </w:t>
      </w:r>
      <w:r w:rsidR="00F4422C">
        <w:t xml:space="preserve">PG&amp;E shall preserve </w:t>
      </w:r>
      <w:r w:rsidRPr="00431C51">
        <w:t xml:space="preserve">any and all data </w:t>
      </w:r>
      <w:r w:rsidR="00F4422C">
        <w:t xml:space="preserve">it </w:t>
      </w:r>
      <w:r w:rsidRPr="00431C51">
        <w:t>deem</w:t>
      </w:r>
      <w:r w:rsidR="00F4422C">
        <w:t>s</w:t>
      </w:r>
      <w:r w:rsidRPr="00431C51">
        <w:t xml:space="preserve"> invalid and/or reject</w:t>
      </w:r>
      <w:r w:rsidR="00F4422C">
        <w:t>s</w:t>
      </w:r>
      <w:r w:rsidRPr="00431C51">
        <w:t xml:space="preserve"> (including </w:t>
      </w:r>
      <w:r w:rsidR="00F91BC4">
        <w:t xml:space="preserve">submittals </w:t>
      </w:r>
      <w:r w:rsidRPr="00431C51">
        <w:t>deemed emergenc</w:t>
      </w:r>
      <w:r w:rsidR="00F91BC4">
        <w:t>ies</w:t>
      </w:r>
      <w:r w:rsidRPr="00431C51">
        <w:t>) for a period of four years from the launch date</w:t>
      </w:r>
      <w:r w:rsidRPr="00431C51">
        <w:rPr>
          <w:vertAlign w:val="superscript"/>
        </w:rPr>
        <w:t xml:space="preserve"> </w:t>
      </w:r>
      <w:r w:rsidR="00C92F72">
        <w:rPr>
          <w:vertAlign w:val="superscript"/>
        </w:rPr>
        <w:t xml:space="preserve"> </w:t>
      </w:r>
      <w:r w:rsidRPr="00DD7273" w:rsidR="00C92F72">
        <w:t>(unless a longer period of time required</w:t>
      </w:r>
      <w:r w:rsidR="00C92F72">
        <w:t xml:space="preserve"> by law</w:t>
      </w:r>
      <w:r w:rsidRPr="00DD7273" w:rsidR="00C92F72">
        <w:t>)</w:t>
      </w:r>
      <w:r w:rsidR="00C92F72">
        <w:rPr>
          <w:vertAlign w:val="superscript"/>
        </w:rPr>
        <w:t xml:space="preserve"> </w:t>
      </w:r>
      <w:r w:rsidRPr="00431C51">
        <w:t>of the pilot for Commission evaluation purposes, (2)  PG&amp;E</w:t>
      </w:r>
      <w:r w:rsidR="00F4422C">
        <w:t xml:space="preserve"> shall</w:t>
      </w:r>
      <w:r w:rsidRPr="00431C51">
        <w:t xml:space="preserve"> include the G</w:t>
      </w:r>
      <w:r w:rsidR="00C3700C">
        <w:t>P</w:t>
      </w:r>
      <w:r w:rsidRPr="00431C51">
        <w:t>S coordinates of the reported asset in its asset management</w:t>
      </w:r>
      <w:r w:rsidR="00D5355E">
        <w:t xml:space="preserve"> </w:t>
      </w:r>
      <w:r w:rsidRPr="00431C51">
        <w:t xml:space="preserve">database, and (3) PG&amp;E may add additional information fields without </w:t>
      </w:r>
      <w:r w:rsidR="002447B1">
        <w:t>prior</w:t>
      </w:r>
      <w:r w:rsidRPr="00431C51">
        <w:t xml:space="preserve"> Commission approval. </w:t>
      </w:r>
    </w:p>
    <w:p w:rsidRPr="00431C51" w:rsidR="001E44D2" w:rsidP="00CC6227" w:rsidRDefault="001E44D2" w14:paraId="30332B94" w14:textId="3FE2CF71">
      <w:pPr>
        <w:pStyle w:val="FoF"/>
      </w:pPr>
      <w:r w:rsidRPr="00431C51">
        <w:t>Publicly posting the photos and related information regarding the safety report submitted via the mobile app will promote transparency, enforcement of the Commission’s rules, and safety generally.</w:t>
      </w:r>
      <w:r w:rsidR="00012E0B">
        <w:t xml:space="preserve"> </w:t>
      </w:r>
      <w:r w:rsidRPr="00431C51">
        <w:t xml:space="preserve"> This information should be publicly posted within 30 days of receipt of a safety report and include the safety report, any photos, PG&amp;E’s determinations, PG&amp;E’s analysis, G</w:t>
      </w:r>
      <w:r w:rsidR="00C3700C">
        <w:t>P</w:t>
      </w:r>
      <w:r w:rsidRPr="00431C51">
        <w:t>S coordinates of the asset that is the subject of the safety report, and corrective action taken or that will be taken</w:t>
      </w:r>
      <w:r w:rsidR="00DE6820">
        <w:t>, unless otherwise confidential under the law</w:t>
      </w:r>
      <w:r w:rsidRPr="00431C51">
        <w:t xml:space="preserve">.  </w:t>
      </w:r>
    </w:p>
    <w:p w:rsidRPr="00431C51" w:rsidR="001E44D2" w:rsidP="00CC6227" w:rsidRDefault="001E44D2" w14:paraId="5A1EC4A8" w14:textId="422AC469">
      <w:pPr>
        <w:pStyle w:val="FoF"/>
      </w:pPr>
      <w:r w:rsidRPr="00431C51">
        <w:lastRenderedPageBreak/>
        <w:t>The customer base and geographic area</w:t>
      </w:r>
      <w:r w:rsidR="00106D03">
        <w:t xml:space="preserve"> to be</w:t>
      </w:r>
      <w:r w:rsidRPr="00431C51">
        <w:t xml:space="preserve"> targeted by PG&amp;E</w:t>
      </w:r>
      <w:r w:rsidR="00BB6A26">
        <w:t>’s mobile app pilot should include</w:t>
      </w:r>
      <w:r w:rsidR="00106D03">
        <w:t xml:space="preserve"> all customers in</w:t>
      </w:r>
      <w:r w:rsidRPr="00431C51">
        <w:t xml:space="preserve"> Tier 2 and Tier 3 HFTD</w:t>
      </w:r>
      <w:r w:rsidR="00207631">
        <w:t>s</w:t>
      </w:r>
      <w:r w:rsidRPr="00431C51">
        <w:t xml:space="preserve">, </w:t>
      </w:r>
      <w:r w:rsidR="00BB6A26">
        <w:t xml:space="preserve">which </w:t>
      </w:r>
      <w:r w:rsidRPr="00431C51">
        <w:t xml:space="preserve">represent a large portion of PG&amp;E’s total service territory and a sufficient area to conduct the pilot. </w:t>
      </w:r>
    </w:p>
    <w:p w:rsidRPr="00431C51" w:rsidR="001E44D2" w:rsidP="00CC6227" w:rsidRDefault="001E44D2" w14:paraId="696B4BA7" w14:textId="53AB3138">
      <w:pPr>
        <w:pStyle w:val="FoF"/>
      </w:pPr>
      <w:r w:rsidRPr="00431C51">
        <w:t xml:space="preserve">The duration </w:t>
      </w:r>
      <w:r w:rsidR="00124A78">
        <w:t>of the mobile app pilot will be</w:t>
      </w:r>
      <w:r w:rsidR="00BB6A26">
        <w:t xml:space="preserve"> </w:t>
      </w:r>
      <w:r w:rsidRPr="00431C51">
        <w:t xml:space="preserve">until Phase 2 of this proceeding is completed. </w:t>
      </w:r>
      <w:r w:rsidR="00012E0B">
        <w:t xml:space="preserve"> </w:t>
      </w:r>
      <w:r w:rsidRPr="001E44D2">
        <w:t xml:space="preserve">This </w:t>
      </w:r>
      <w:proofErr w:type="gramStart"/>
      <w:r w:rsidRPr="00431C51">
        <w:t>period of time</w:t>
      </w:r>
      <w:proofErr w:type="gramEnd"/>
      <w:r w:rsidRPr="00431C51">
        <w:t xml:space="preserve"> will be initiated on the pilot launch date.</w:t>
      </w:r>
      <w:r w:rsidRPr="00607457" w:rsidR="00607457">
        <w:t xml:space="preserve"> </w:t>
      </w:r>
      <w:r w:rsidR="00607457">
        <w:t xml:space="preserve">While </w:t>
      </w:r>
      <w:r w:rsidRPr="00431C51" w:rsidR="00607457">
        <w:t xml:space="preserve">this </w:t>
      </w:r>
      <w:r w:rsidR="00607457">
        <w:t xml:space="preserve">duration is </w:t>
      </w:r>
      <w:r w:rsidRPr="00431C51" w:rsidR="00607457">
        <w:t>long</w:t>
      </w:r>
      <w:r w:rsidR="00607457">
        <w:t>er</w:t>
      </w:r>
      <w:r w:rsidRPr="00431C51" w:rsidR="00607457">
        <w:t xml:space="preserve"> </w:t>
      </w:r>
      <w:r w:rsidR="00607457">
        <w:t>than</w:t>
      </w:r>
      <w:r w:rsidRPr="00431C51" w:rsidR="00607457">
        <w:t xml:space="preserve"> recommended by PG&amp;E</w:t>
      </w:r>
      <w:r w:rsidR="00607457">
        <w:t>,</w:t>
      </w:r>
      <w:r w:rsidRPr="00431C51" w:rsidR="00607457">
        <w:t xml:space="preserve"> a longer </w:t>
      </w:r>
      <w:proofErr w:type="gramStart"/>
      <w:r w:rsidRPr="00431C51" w:rsidR="00607457">
        <w:t>period of time</w:t>
      </w:r>
      <w:proofErr w:type="gramEnd"/>
      <w:r w:rsidRPr="00431C51" w:rsidR="00607457">
        <w:t xml:space="preserve"> is needed to incorporate a</w:t>
      </w:r>
      <w:r w:rsidR="00607457">
        <w:t>n evaluation</w:t>
      </w:r>
      <w:r w:rsidRPr="00431C51" w:rsidR="00607457">
        <w:t xml:space="preserve"> process into the pilot term.  </w:t>
      </w:r>
    </w:p>
    <w:p w:rsidRPr="00431C51" w:rsidR="001E44D2" w:rsidP="00CC6227" w:rsidRDefault="001E44D2" w14:paraId="544231B7" w14:textId="2030A830">
      <w:pPr>
        <w:pStyle w:val="FoF"/>
      </w:pPr>
      <w:r w:rsidRPr="00431C51">
        <w:t xml:space="preserve">The launch date of the pilot is when PG&amp;E provides customers with access to the mobile app pilot and </w:t>
      </w:r>
      <w:r w:rsidR="0070690E">
        <w:t xml:space="preserve">the </w:t>
      </w:r>
      <w:r w:rsidRPr="00431C51">
        <w:t xml:space="preserve">mobile app pilot is fully functional.  </w:t>
      </w:r>
    </w:p>
    <w:p w:rsidRPr="00431C51" w:rsidR="001E44D2" w:rsidP="00CC6227" w:rsidRDefault="001E44D2" w14:paraId="0A7A107A" w14:textId="0D0A975A">
      <w:pPr>
        <w:pStyle w:val="FoF"/>
      </w:pPr>
      <w:r w:rsidRPr="00431C51">
        <w:t xml:space="preserve">During the first 12 months of the pilot, PG&amp;E shall test the mobile app in all seasons, including one full wildfire season. </w:t>
      </w:r>
      <w:r w:rsidR="00012E0B">
        <w:t xml:space="preserve"> </w:t>
      </w:r>
      <w:r w:rsidRPr="00431C51">
        <w:t xml:space="preserve">During the second 12 months, the pilot will be evaluated and recommendations made for improving it.  </w:t>
      </w:r>
    </w:p>
    <w:p w:rsidRPr="00431C51" w:rsidR="001E44D2" w:rsidP="00CC6227" w:rsidRDefault="001E44D2" w14:paraId="07D6C761" w14:textId="45C82005">
      <w:pPr>
        <w:pStyle w:val="FoF"/>
      </w:pPr>
      <w:bookmarkStart w:name="_Hlk45713611" w:id="1128"/>
      <w:r w:rsidRPr="00431C51">
        <w:t>The mobile app pilot should include the goal of attaining 384 unique submittals or safety reports to properly evaluate the pilot</w:t>
      </w:r>
      <w:r w:rsidR="00F4422C">
        <w:t>,</w:t>
      </w:r>
      <w:r w:rsidRPr="00431C51">
        <w:t xml:space="preserve"> but any failure to reach this quantity will not halt the program.  </w:t>
      </w:r>
    </w:p>
    <w:p w:rsidRPr="00431C51" w:rsidR="001E44D2" w:rsidP="00CC6227" w:rsidRDefault="001E44D2" w14:paraId="55AB8A69" w14:textId="17A12CC7">
      <w:pPr>
        <w:pStyle w:val="FoF"/>
      </w:pPr>
      <w:r w:rsidRPr="00431C51">
        <w:t xml:space="preserve">PG&amp;E should coordinate with SPD, to the extent necessary, to ensure that 384 unique submittals </w:t>
      </w:r>
      <w:r w:rsidR="00F4422C">
        <w:t>are</w:t>
      </w:r>
      <w:r w:rsidRPr="00431C51">
        <w:t xml:space="preserve"> obtained, and, to achieve this goal, PG&amp;E may need to contact more customers, use different methods to contact customers, repeatedly contact customers, and engage in marketing, education, outreach, and training</w:t>
      </w:r>
      <w:bookmarkEnd w:id="1128"/>
      <w:r w:rsidRPr="00431C51">
        <w:t xml:space="preserve">. </w:t>
      </w:r>
    </w:p>
    <w:p w:rsidRPr="00431C51" w:rsidR="001E44D2" w:rsidP="00CC6227" w:rsidRDefault="001E44D2" w14:paraId="30E9C47F" w14:textId="545D69A1">
      <w:pPr>
        <w:pStyle w:val="FoF"/>
      </w:pPr>
      <w:r w:rsidRPr="00431C51">
        <w:t xml:space="preserve">PG&amp;E’s mobile app pilot, to the extent feasible, should be integrated with its existing phone-predominant customer complaint platform. </w:t>
      </w:r>
    </w:p>
    <w:p w:rsidRPr="00431C51" w:rsidR="001E44D2" w:rsidP="00CC6227" w:rsidRDefault="001E44D2" w14:paraId="6B1E2179" w14:textId="74CF9C5E">
      <w:pPr>
        <w:pStyle w:val="FoF"/>
      </w:pPr>
      <w:bookmarkStart w:name="_Hlk47456398" w:id="1129"/>
      <w:r w:rsidRPr="00431C51">
        <w:t>The launch date for the</w:t>
      </w:r>
      <w:r w:rsidR="00124A78">
        <w:t xml:space="preserve"> mobile app</w:t>
      </w:r>
      <w:r w:rsidRPr="00431C51">
        <w:t xml:space="preserve"> pilot will be within </w:t>
      </w:r>
      <w:r w:rsidR="00C41CC8">
        <w:t>10</w:t>
      </w:r>
      <w:r w:rsidRPr="00431C51">
        <w:t xml:space="preserve"> months from </w:t>
      </w:r>
      <w:r w:rsidR="00BB0A3F">
        <w:t xml:space="preserve">the </w:t>
      </w:r>
      <w:r w:rsidRPr="00431C51">
        <w:t>effective date of this decision</w:t>
      </w:r>
      <w:bookmarkEnd w:id="1129"/>
      <w:r w:rsidRPr="00431C51">
        <w:t xml:space="preserve">. </w:t>
      </w:r>
    </w:p>
    <w:p w:rsidRPr="00431C51" w:rsidR="001E44D2" w:rsidP="00CC6227" w:rsidRDefault="001E44D2" w14:paraId="7DF70561" w14:textId="1B41FAB5">
      <w:pPr>
        <w:pStyle w:val="FoF"/>
      </w:pPr>
      <w:r w:rsidRPr="00431C51">
        <w:t xml:space="preserve"> PG&amp;E should offer and conduct any and all training of mobile app users to the extent necessary to promote the success of the mobile app pilot and shall </w:t>
      </w:r>
      <w:r w:rsidRPr="00431C51">
        <w:lastRenderedPageBreak/>
        <w:t xml:space="preserve">report to SPD within </w:t>
      </w:r>
      <w:r w:rsidR="002A3A53">
        <w:t>three months</w:t>
      </w:r>
      <w:r w:rsidRPr="00431C51">
        <w:t xml:space="preserve"> from the effective date of this decision on the types of training and public education specifics (including but not limited to </w:t>
      </w:r>
      <w:r w:rsidR="001F503B">
        <w:t>format</w:t>
      </w:r>
      <w:r w:rsidRPr="00431C51">
        <w:t xml:space="preserve">, location, and frequency) it expects to offer.  </w:t>
      </w:r>
    </w:p>
    <w:p w:rsidRPr="00431C51" w:rsidR="001E44D2" w:rsidP="00CC6227" w:rsidRDefault="00F4422C" w14:paraId="08966622" w14:textId="2AB81957">
      <w:pPr>
        <w:pStyle w:val="FoF"/>
      </w:pPr>
      <w:r>
        <w:t>There is v</w:t>
      </w:r>
      <w:r w:rsidRPr="00431C51" w:rsidR="001E44D2">
        <w:t xml:space="preserve">alue in tracking the diversion of PG&amp;E’s safety-related resources necessary to create, maintain, and resolve issues throughout the term of the mobile app pilot.  </w:t>
      </w:r>
    </w:p>
    <w:p w:rsidR="001E44D2" w:rsidP="00CC6227" w:rsidRDefault="001E44D2" w14:paraId="04F51ACC" w14:textId="4204343F">
      <w:pPr>
        <w:pStyle w:val="FoF"/>
      </w:pPr>
      <w:r w:rsidRPr="00431C51">
        <w:t xml:space="preserve"> PG&amp;E should include </w:t>
      </w:r>
      <w:r w:rsidR="0054518D">
        <w:t xml:space="preserve">all necessary </w:t>
      </w:r>
      <w:r w:rsidRPr="00431C51">
        <w:t xml:space="preserve">warnings </w:t>
      </w:r>
      <w:r w:rsidR="0030276C">
        <w:t>as part of</w:t>
      </w:r>
      <w:r w:rsidRPr="00431C51">
        <w:t xml:space="preserve"> the mobile app to advise customers to contact 911 in the event of an emergency. </w:t>
      </w:r>
    </w:p>
    <w:p w:rsidR="000E7F00" w:rsidP="00CC6227" w:rsidRDefault="000E7F00" w14:paraId="42C58705" w14:textId="5C4B2A44">
      <w:pPr>
        <w:pStyle w:val="FoF"/>
      </w:pPr>
      <w:bookmarkStart w:name="_Hlk45823668" w:id="1130"/>
      <w:r w:rsidRPr="00864137">
        <w:t xml:space="preserve">To ensure appropriate appraisal of PG&amp;E’s pilot, PG&amp;E </w:t>
      </w:r>
      <w:r>
        <w:t>should</w:t>
      </w:r>
      <w:r w:rsidRPr="00864137">
        <w:t xml:space="preserve"> en</w:t>
      </w:r>
      <w:r w:rsidR="00812EBF">
        <w:t>gage</w:t>
      </w:r>
      <w:r w:rsidRPr="00864137">
        <w:t xml:space="preserve"> a qualified independent consultant to perform an evaluation of the pilot within Phase 1 of this proceeding and include the criteria prescribed</w:t>
      </w:r>
      <w:r w:rsidR="00614F30">
        <w:t xml:space="preserve"> and recommended</w:t>
      </w:r>
      <w:r w:rsidRPr="00864137">
        <w:t xml:space="preserve"> here and other</w:t>
      </w:r>
      <w:r w:rsidR="00614F30">
        <w:t xml:space="preserve"> criteria</w:t>
      </w:r>
      <w:r w:rsidRPr="00864137">
        <w:t xml:space="preserve"> as appropriate and consult with SPD.</w:t>
      </w:r>
    </w:p>
    <w:bookmarkEnd w:id="1130"/>
    <w:p w:rsidRPr="001E44D2" w:rsidR="00C70578" w:rsidP="00CC6227" w:rsidRDefault="00F40140" w14:paraId="4FF62208" w14:textId="041E193C">
      <w:pPr>
        <w:pStyle w:val="FoF"/>
        <w:ind w:firstLine="547"/>
      </w:pPr>
      <w:r w:rsidRPr="001E44D2">
        <w:t>A</w:t>
      </w:r>
      <w:r>
        <w:t xml:space="preserve"> Phase 2 </w:t>
      </w:r>
      <w:r w:rsidR="00C70578">
        <w:t>of this proceeding will</w:t>
      </w:r>
      <w:r w:rsidR="00F91BC4">
        <w:t xml:space="preserve">, among other things, </w:t>
      </w:r>
      <w:r w:rsidRPr="002D0133" w:rsidR="000E76B9">
        <w:t xml:space="preserve">evaluate the pilot and consider </w:t>
      </w:r>
      <w:r w:rsidRPr="002D0133" w:rsidR="00C70578">
        <w:t>adopt</w:t>
      </w:r>
      <w:r w:rsidRPr="002D0133" w:rsidR="000E76B9">
        <w:t>ing</w:t>
      </w:r>
      <w:r w:rsidR="00C70578">
        <w:t xml:space="preserve"> a permanent </w:t>
      </w:r>
      <w:r w:rsidR="00F91BC4">
        <w:t xml:space="preserve">mobile app </w:t>
      </w:r>
      <w:r w:rsidR="00C70578">
        <w:t>program</w:t>
      </w:r>
      <w:r w:rsidR="00515410">
        <w:t>,</w:t>
      </w:r>
      <w:r w:rsidR="00C70578">
        <w:t xml:space="preserve"> if warranted.</w:t>
      </w:r>
    </w:p>
    <w:p w:rsidRPr="00CB50E5" w:rsidR="00CB50E5" w:rsidP="00431C51" w:rsidRDefault="005939A5" w14:paraId="1081B5E7" w14:textId="455F6DCD">
      <w:pPr>
        <w:pStyle w:val="Dummy"/>
        <w:spacing w:line="360" w:lineRule="auto"/>
      </w:pPr>
      <w:bookmarkStart w:name="_Toc8123726" w:id="1131"/>
      <w:bookmarkStart w:name="_Toc52866562" w:id="1132"/>
      <w:bookmarkStart w:name="_Hlk42083993" w:id="1133"/>
      <w:r>
        <w:t>Conclusions of Law</w:t>
      </w:r>
      <w:bookmarkEnd w:id="1131"/>
      <w:bookmarkEnd w:id="1132"/>
    </w:p>
    <w:p w:rsidRPr="00CC6227" w:rsidR="00F91BC4" w:rsidP="00CC6227" w:rsidRDefault="00F91BC4" w14:paraId="0A85AAA9" w14:textId="6106047F">
      <w:pPr>
        <w:pStyle w:val="CoL"/>
        <w:numPr>
          <w:ilvl w:val="1"/>
          <w:numId w:val="63"/>
        </w:numPr>
        <w:ind w:left="0" w:firstLine="270"/>
      </w:pPr>
      <w:r w:rsidRPr="00CC6227">
        <w:t xml:space="preserve">The scope of a mobile app pilot to broadly encompass safety concerns, in general, is supported by the Commission in I.19-06-015, when stating that for each submittal/safety report received via the mobile app, PG&amp;E should explain “whether the problem presents a safety concern or is a violation of safety regulations.”  </w:t>
      </w:r>
    </w:p>
    <w:p w:rsidRPr="00CC6227" w:rsidR="00F91BC4" w:rsidP="00CC6227" w:rsidRDefault="00F91BC4" w14:paraId="44F0C473" w14:textId="7E79B3FF">
      <w:pPr>
        <w:pStyle w:val="CoL"/>
        <w:numPr>
          <w:ilvl w:val="1"/>
          <w:numId w:val="63"/>
        </w:numPr>
        <w:ind w:left="0" w:firstLine="270"/>
      </w:pPr>
      <w:r w:rsidRPr="00CC6227">
        <w:t xml:space="preserve">All aspects of PG&amp;E’s proposal for its mobile app pilot should be revised to conform with a broader </w:t>
      </w:r>
      <w:r w:rsidRPr="00CC6227" w:rsidR="00BB6A26">
        <w:t>scope</w:t>
      </w:r>
      <w:r w:rsidRPr="00CC6227">
        <w:t xml:space="preserve"> to encompass safety concerns generally. </w:t>
      </w:r>
    </w:p>
    <w:p w:rsidRPr="00CC6227" w:rsidR="00F91BC4" w:rsidP="00CC6227" w:rsidRDefault="00F91BC4" w14:paraId="63AD4C50" w14:textId="0080E32B">
      <w:pPr>
        <w:pStyle w:val="CoL"/>
        <w:numPr>
          <w:ilvl w:val="1"/>
          <w:numId w:val="63"/>
        </w:numPr>
        <w:ind w:left="0" w:firstLine="270"/>
      </w:pPr>
      <w:r w:rsidRPr="00CC6227">
        <w:t xml:space="preserve">It is reasonable to approve a pilot as the first step in the development of a </w:t>
      </w:r>
      <w:r w:rsidRPr="00CC6227" w:rsidR="00614F30">
        <w:t xml:space="preserve">PG&amp;E </w:t>
      </w:r>
      <w:r w:rsidRPr="00CC6227">
        <w:t xml:space="preserve">mobile app.  </w:t>
      </w:r>
    </w:p>
    <w:p w:rsidRPr="00CC6227" w:rsidR="00F91BC4" w:rsidP="00CC6227" w:rsidRDefault="00F91BC4" w14:paraId="0A557F6B" w14:textId="74C81260">
      <w:pPr>
        <w:pStyle w:val="CoL"/>
        <w:numPr>
          <w:ilvl w:val="1"/>
          <w:numId w:val="63"/>
        </w:numPr>
        <w:ind w:left="0" w:firstLine="270"/>
      </w:pPr>
      <w:r w:rsidRPr="00CC6227">
        <w:t xml:space="preserve">PG&amp;E should file and serve in this proceeding quarterly status reports on its pilot activities and progress during the duration of the pilot to better facilitate </w:t>
      </w:r>
      <w:r w:rsidRPr="00CC6227">
        <w:lastRenderedPageBreak/>
        <w:t>the Commission’s tracking of the pilot’s development, with the first report due three months after the effective date of this decision.</w:t>
      </w:r>
      <w:r w:rsidR="00862DCD">
        <w:t xml:space="preserve">  Further reporting requirements may be considered in the evaluation of the pilot or in a future decision. </w:t>
      </w:r>
    </w:p>
    <w:p w:rsidRPr="00CC6227" w:rsidR="00F91BC4" w:rsidP="00CC6227" w:rsidRDefault="00F91BC4" w14:paraId="50BD5106" w14:textId="77777777">
      <w:pPr>
        <w:pStyle w:val="CoL"/>
        <w:numPr>
          <w:ilvl w:val="1"/>
          <w:numId w:val="63"/>
        </w:numPr>
        <w:ind w:left="0" w:firstLine="270"/>
      </w:pPr>
      <w:r w:rsidRPr="00CC6227">
        <w:t>It is reasonable for PG&amp;E to develop a native app within its pilot program.</w:t>
      </w:r>
    </w:p>
    <w:p w:rsidRPr="00CC6227" w:rsidR="00F91BC4" w:rsidP="00CC6227" w:rsidRDefault="00F91BC4" w14:paraId="0D05E3FF" w14:textId="11BAD44A">
      <w:pPr>
        <w:pStyle w:val="CoL"/>
        <w:numPr>
          <w:ilvl w:val="1"/>
          <w:numId w:val="63"/>
        </w:numPr>
        <w:ind w:left="0" w:firstLine="270"/>
      </w:pPr>
      <w:r w:rsidRPr="00CC6227">
        <w:t>It is reasonable for PG&amp;E to develop two separate apps, one for iPhones and one for Android operating system</w:t>
      </w:r>
      <w:r w:rsidRPr="00CC6227" w:rsidR="007507D5">
        <w:t>-</w:t>
      </w:r>
      <w:r w:rsidRPr="00CC6227">
        <w:t xml:space="preserve">based smartphones. </w:t>
      </w:r>
    </w:p>
    <w:p w:rsidRPr="00CC6227" w:rsidR="00F91BC4" w:rsidP="00CC6227" w:rsidRDefault="00F91BC4" w14:paraId="360862FD" w14:textId="055B2D4E">
      <w:pPr>
        <w:pStyle w:val="CoL"/>
        <w:numPr>
          <w:ilvl w:val="1"/>
          <w:numId w:val="63"/>
        </w:numPr>
        <w:ind w:left="0" w:firstLine="270"/>
      </w:pPr>
      <w:r w:rsidRPr="00CC6227">
        <w:t>PG&amp;E may develop a web-based application that conforms to all the Commission’s requirements for the native app and a</w:t>
      </w:r>
      <w:r w:rsidR="00884E5B">
        <w:t>t</w:t>
      </w:r>
      <w:r w:rsidR="00C8239C">
        <w:t xml:space="preserve"> </w:t>
      </w:r>
      <w:r w:rsidRPr="00CC6227">
        <w:t xml:space="preserve">shareholder expense.  </w:t>
      </w:r>
    </w:p>
    <w:p w:rsidRPr="00CC6227" w:rsidR="00F91BC4" w:rsidP="00CC6227" w:rsidRDefault="00F91BC4" w14:paraId="7ACA43F8" w14:textId="15E5CA60">
      <w:pPr>
        <w:pStyle w:val="CoL"/>
        <w:numPr>
          <w:ilvl w:val="1"/>
          <w:numId w:val="63"/>
        </w:numPr>
        <w:ind w:left="0" w:firstLine="270"/>
      </w:pPr>
      <w:r w:rsidRPr="00CC6227">
        <w:t>It is reasonable for the costs associated with the development and continued operation</w:t>
      </w:r>
      <w:r w:rsidRPr="00CC6227" w:rsidR="00BB6A26">
        <w:t>, including the evaluation,</w:t>
      </w:r>
      <w:r w:rsidRPr="00CC6227">
        <w:t xml:space="preserve"> </w:t>
      </w:r>
      <w:r w:rsidR="00C6295E">
        <w:t>outreach, and training, associated with</w:t>
      </w:r>
      <w:r w:rsidRPr="00CC6227">
        <w:t xml:space="preserve"> </w:t>
      </w:r>
      <w:r w:rsidRPr="00CC6227" w:rsidR="00614F30">
        <w:t>PG&amp;E’s</w:t>
      </w:r>
      <w:r w:rsidRPr="00CC6227">
        <w:t xml:space="preserve"> mobile app pilot to be a</w:t>
      </w:r>
      <w:r w:rsidRPr="00CC6227" w:rsidR="007507D5">
        <w:t>t</w:t>
      </w:r>
      <w:r w:rsidRPr="00CC6227">
        <w:t xml:space="preserve"> shareholder expense</w:t>
      </w:r>
      <w:r w:rsidRPr="00CC6227" w:rsidR="007C736A">
        <w:t>,</w:t>
      </w:r>
      <w:r w:rsidRPr="00CC6227">
        <w:t xml:space="preserve"> and </w:t>
      </w:r>
      <w:r w:rsidRPr="00CC6227" w:rsidR="007C736A">
        <w:t xml:space="preserve">for the </w:t>
      </w:r>
      <w:r w:rsidRPr="00CC6227">
        <w:t>costs to respond to a submittal/safety report to be a</w:t>
      </w:r>
      <w:r w:rsidRPr="00CC6227" w:rsidR="007507D5">
        <w:t>t</w:t>
      </w:r>
      <w:r w:rsidRPr="00CC6227">
        <w:t xml:space="preserve"> ratepayer expense.  </w:t>
      </w:r>
    </w:p>
    <w:p w:rsidRPr="00CC6227" w:rsidR="007C736A" w:rsidP="00CC6227" w:rsidRDefault="00F91BC4" w14:paraId="1F5B32DB" w14:textId="77777777">
      <w:pPr>
        <w:pStyle w:val="CoL"/>
        <w:numPr>
          <w:ilvl w:val="1"/>
          <w:numId w:val="63"/>
        </w:numPr>
        <w:ind w:left="0" w:firstLine="270"/>
      </w:pPr>
      <w:r w:rsidRPr="00CC6227">
        <w:t xml:space="preserve">It is reasonable for PG&amp;E to upload information received through the mobile app to a secure database, including photos and location details, as well as status, e.g., whether the reported safety issue identified a problem and how PG&amp;E has or will resolve the issue. </w:t>
      </w:r>
    </w:p>
    <w:p w:rsidRPr="00CC6227" w:rsidR="00F91BC4" w:rsidP="00CC6227" w:rsidRDefault="00F91BC4" w14:paraId="2C190A57" w14:textId="3D4BA613">
      <w:pPr>
        <w:pStyle w:val="CoL"/>
        <w:numPr>
          <w:ilvl w:val="1"/>
          <w:numId w:val="63"/>
        </w:numPr>
        <w:ind w:left="0" w:firstLine="270"/>
      </w:pPr>
      <w:r>
        <w:t>It is reasonable to find PG&amp;E’s proposed asset management</w:t>
      </w:r>
      <w:r w:rsidR="00D5355E">
        <w:t xml:space="preserve"> </w:t>
      </w:r>
      <w:r>
        <w:t xml:space="preserve">database generally adequate with the </w:t>
      </w:r>
      <w:r w:rsidR="00F4422C">
        <w:t>following modifications:</w:t>
      </w:r>
      <w:r>
        <w:t xml:space="preserve"> (1)</w:t>
      </w:r>
      <w:r w:rsidR="00F4422C">
        <w:t xml:space="preserve"> PG&amp;E shall preserve</w:t>
      </w:r>
      <w:r>
        <w:t xml:space="preserve"> any and all data </w:t>
      </w:r>
      <w:r w:rsidR="00F4422C">
        <w:t xml:space="preserve">it </w:t>
      </w:r>
      <w:r>
        <w:t>deem</w:t>
      </w:r>
      <w:r w:rsidR="00F4422C">
        <w:t>s</w:t>
      </w:r>
      <w:r>
        <w:t xml:space="preserve"> invalid and/or reject</w:t>
      </w:r>
      <w:r w:rsidR="00F4422C">
        <w:t>s</w:t>
      </w:r>
      <w:r>
        <w:t xml:space="preserve"> (including submittals deemed emergenc</w:t>
      </w:r>
      <w:r w:rsidR="0030276C">
        <w:t>ies</w:t>
      </w:r>
      <w:r>
        <w:t>) for a period of four years from the launch date of the pilot</w:t>
      </w:r>
      <w:r w:rsidR="00C92F72">
        <w:t xml:space="preserve"> (unless a longer period of time </w:t>
      </w:r>
      <w:r w:rsidR="4A2CFCC6">
        <w:t xml:space="preserve">is </w:t>
      </w:r>
      <w:r w:rsidR="00C92F72">
        <w:t>require by law)</w:t>
      </w:r>
      <w:r>
        <w:t xml:space="preserve"> for Commission evaluation purposes, (2)  PG&amp;E </w:t>
      </w:r>
      <w:r w:rsidR="00F4422C">
        <w:t xml:space="preserve">shall </w:t>
      </w:r>
      <w:r>
        <w:t>include the G</w:t>
      </w:r>
      <w:r w:rsidR="00C3700C">
        <w:t>P</w:t>
      </w:r>
      <w:r>
        <w:t>S coordinates of the reported asset in its asset management</w:t>
      </w:r>
      <w:r w:rsidR="00D5355E">
        <w:t xml:space="preserve"> </w:t>
      </w:r>
      <w:r>
        <w:t xml:space="preserve">database, and (3) PG&amp;E may add additional information fields without </w:t>
      </w:r>
      <w:r w:rsidR="002447B1">
        <w:t xml:space="preserve">prior </w:t>
      </w:r>
      <w:r>
        <w:t xml:space="preserve">Commission approval. </w:t>
      </w:r>
    </w:p>
    <w:p w:rsidRPr="00CC6227" w:rsidR="00F91BC4" w:rsidP="00CC6227" w:rsidRDefault="00F91BC4" w14:paraId="57AE854B" w14:textId="7DD0CFB2">
      <w:pPr>
        <w:pStyle w:val="CoL"/>
        <w:numPr>
          <w:ilvl w:val="1"/>
          <w:numId w:val="63"/>
        </w:numPr>
        <w:ind w:left="0" w:firstLine="270"/>
      </w:pPr>
      <w:r w:rsidRPr="00CC6227">
        <w:lastRenderedPageBreak/>
        <w:t xml:space="preserve">It is reasonable for PG&amp;E to publicly post within 30 days of receipt of a safety report </w:t>
      </w:r>
      <w:r w:rsidRPr="00CC6227" w:rsidR="0030276C">
        <w:t>via the mobile app</w:t>
      </w:r>
      <w:r w:rsidRPr="00CC6227">
        <w:t xml:space="preserve"> information regarding the safety report to promote transparency, enforcement of the Commission’s rules, and safety generally. </w:t>
      </w:r>
      <w:r w:rsidR="003972E6">
        <w:t xml:space="preserve"> </w:t>
      </w:r>
      <w:r w:rsidRPr="00CC6227">
        <w:t>This information should include the safety report, any photos, PG&amp;E</w:t>
      </w:r>
      <w:r w:rsidRPr="00CC6227" w:rsidR="0030276C">
        <w:t>’s</w:t>
      </w:r>
      <w:r w:rsidRPr="00CC6227">
        <w:t xml:space="preserve"> determinations, PG&amp;E’s analysis, G</w:t>
      </w:r>
      <w:r w:rsidRPr="00CC6227" w:rsidR="00C3700C">
        <w:t>P</w:t>
      </w:r>
      <w:r w:rsidRPr="00CC6227">
        <w:t>S coordinates of the asset that is the subject of the safety report, and corrective action taken or that will be taken</w:t>
      </w:r>
      <w:r w:rsidR="00DE6820">
        <w:t>, unless otherwise confidential under the law</w:t>
      </w:r>
      <w:r w:rsidRPr="00CC6227">
        <w:t xml:space="preserve">.  </w:t>
      </w:r>
    </w:p>
    <w:p w:rsidRPr="00CC6227" w:rsidR="00F91BC4" w:rsidP="00CC6227" w:rsidRDefault="00F91BC4" w14:paraId="5D3C7858" w14:textId="0A943A66">
      <w:pPr>
        <w:pStyle w:val="CoL"/>
        <w:numPr>
          <w:ilvl w:val="1"/>
          <w:numId w:val="63"/>
        </w:numPr>
        <w:ind w:left="0" w:firstLine="270"/>
      </w:pPr>
      <w:r>
        <w:t xml:space="preserve">To ensure that PG&amp;E’s pilot attracts a sufficient number of customers, it is reasonable for PG&amp;E, in addition to sending email invitations to </w:t>
      </w:r>
      <w:r w:rsidR="0030276C">
        <w:t xml:space="preserve">a subset of </w:t>
      </w:r>
      <w:r>
        <w:t xml:space="preserve">customers, </w:t>
      </w:r>
      <w:r w:rsidR="046A9F15">
        <w:t xml:space="preserve">(1) </w:t>
      </w:r>
      <w:r>
        <w:t>to</w:t>
      </w:r>
      <w:r w:rsidR="656F4357">
        <w:t xml:space="preserve"> </w:t>
      </w:r>
      <w:r>
        <w:t>send invitations to customers via text message</w:t>
      </w:r>
      <w:r w:rsidR="00D1103D">
        <w:t>, if consistent with</w:t>
      </w:r>
      <w:r w:rsidRPr="32551A96" w:rsidR="00D1103D">
        <w:rPr>
          <w:rFonts w:asciiTheme="minorHAnsi" w:hAnsiTheme="minorHAnsi"/>
          <w:sz w:val="22"/>
        </w:rPr>
        <w:t xml:space="preserve"> </w:t>
      </w:r>
      <w:r w:rsidR="00D1103D">
        <w:t xml:space="preserve">any required permission from the customer pursuant to </w:t>
      </w:r>
      <w:r w:rsidR="3F52E19D">
        <w:t xml:space="preserve">state and federal law, such as the </w:t>
      </w:r>
      <w:r w:rsidR="00D1103D">
        <w:t>Telephone Consumer Protection Act,</w:t>
      </w:r>
      <w:r w:rsidR="0030276C">
        <w:t>(to the extent PG&amp;E has access to cellphone numbers)</w:t>
      </w:r>
      <w:r>
        <w:t xml:space="preserve"> and</w:t>
      </w:r>
      <w:r w:rsidR="0683CF88">
        <w:t xml:space="preserve"> (2)</w:t>
      </w:r>
      <w:r>
        <w:t xml:space="preserve"> to include an invitation to all Tier 2 and Tier 3 HFTD customers as part of a direct mail bill insert</w:t>
      </w:r>
      <w:r w:rsidR="00745434">
        <w:t xml:space="preserve"> or postcard</w:t>
      </w:r>
      <w:r>
        <w:t xml:space="preserve">. </w:t>
      </w:r>
    </w:p>
    <w:p w:rsidRPr="00CC6227" w:rsidR="00F91BC4" w:rsidP="00CC6227" w:rsidRDefault="00F91BC4" w14:paraId="73E1A999" w14:textId="5592C961">
      <w:pPr>
        <w:pStyle w:val="CoL"/>
        <w:numPr>
          <w:ilvl w:val="1"/>
          <w:numId w:val="63"/>
        </w:numPr>
        <w:ind w:left="0" w:firstLine="270"/>
      </w:pPr>
      <w:r w:rsidRPr="00CC6227">
        <w:t>It is reasonable for all customers located in Tier 2 and Tier 3 HFTD</w:t>
      </w:r>
      <w:r w:rsidRPr="00CC6227" w:rsidR="00207631">
        <w:t>s</w:t>
      </w:r>
      <w:r w:rsidRPr="00CC6227">
        <w:t xml:space="preserve"> </w:t>
      </w:r>
      <w:r w:rsidRPr="00CC6227" w:rsidR="00615394">
        <w:t>to be included in the mobile app pilot</w:t>
      </w:r>
      <w:r w:rsidRPr="00CC6227">
        <w:t xml:space="preserve">. </w:t>
      </w:r>
    </w:p>
    <w:p w:rsidRPr="00CC6227" w:rsidR="00F91BC4" w:rsidP="00DD7273" w:rsidRDefault="00F91BC4" w14:paraId="3334466C" w14:textId="7391205C">
      <w:pPr>
        <w:pStyle w:val="CoL"/>
        <w:numPr>
          <w:ilvl w:val="1"/>
          <w:numId w:val="63"/>
        </w:numPr>
        <w:ind w:left="0" w:firstLine="270"/>
      </w:pPr>
      <w:r>
        <w:t>To promote broader participation in the pilot, it is reasonable for PG&amp;E to conduct outreach to target and make available the mobile app pilot to all PG&amp;E contractors performing vegetation management in the field, relevant staff at CAL FIRE, and relevant staff at cable companies and telecommunication providers with whom PG&amp;E operates under joint pole agreements</w:t>
      </w:r>
      <w:r w:rsidR="00974343">
        <w:t xml:space="preserve"> but use of the mobile app by these entities is discretionary and any use during working hours must be consistent with applicable scope of work</w:t>
      </w:r>
      <w:r w:rsidR="00461CBD">
        <w:t xml:space="preserve"> and safety protocols</w:t>
      </w:r>
      <w:r w:rsidR="00974343">
        <w:t>.</w:t>
      </w:r>
    </w:p>
    <w:p w:rsidRPr="00CC6227" w:rsidR="00F91BC4" w:rsidP="00CC6227" w:rsidRDefault="003C6D70" w14:paraId="777E702D" w14:textId="68BAEF79">
      <w:pPr>
        <w:pStyle w:val="CoL"/>
        <w:numPr>
          <w:ilvl w:val="1"/>
          <w:numId w:val="63"/>
        </w:numPr>
        <w:ind w:left="0" w:firstLine="270"/>
      </w:pPr>
      <w:r w:rsidRPr="00CC6227">
        <w:t>The duration of the pilot will be u</w:t>
      </w:r>
      <w:r w:rsidRPr="00CC6227" w:rsidR="00F91BC4">
        <w:t>ntil Phase 2 of this proceeding is completed so that PG&amp;E</w:t>
      </w:r>
      <w:r w:rsidRPr="00CC6227" w:rsidR="00073C83">
        <w:t xml:space="preserve"> has adequate time to</w:t>
      </w:r>
      <w:r w:rsidRPr="00CC6227" w:rsidR="00F91BC4">
        <w:t xml:space="preserve"> test</w:t>
      </w:r>
      <w:r w:rsidRPr="00CC6227" w:rsidR="00073C83">
        <w:t xml:space="preserve"> </w:t>
      </w:r>
      <w:r w:rsidRPr="00CC6227" w:rsidR="00F91BC4">
        <w:t xml:space="preserve">the mobile app in all seasons, </w:t>
      </w:r>
      <w:r w:rsidRPr="00CC6227" w:rsidR="00F91BC4">
        <w:lastRenderedPageBreak/>
        <w:t xml:space="preserve">including one full wildfire season, </w:t>
      </w:r>
      <w:r w:rsidRPr="00CC6227" w:rsidR="00614F30">
        <w:t xml:space="preserve">and </w:t>
      </w:r>
      <w:r w:rsidRPr="00CC6227" w:rsidR="00073C83">
        <w:t>sufficient time</w:t>
      </w:r>
      <w:r w:rsidRPr="00CC6227" w:rsidR="00F91BC4">
        <w:t xml:space="preserve"> </w:t>
      </w:r>
      <w:r w:rsidRPr="00CC6227">
        <w:t xml:space="preserve">is allotted </w:t>
      </w:r>
      <w:r w:rsidRPr="00CC6227" w:rsidR="00F91BC4">
        <w:t xml:space="preserve">for the Commission to evaluate the pilot. </w:t>
      </w:r>
    </w:p>
    <w:p w:rsidRPr="00CC6227" w:rsidR="00F91BC4" w:rsidP="00CC6227" w:rsidRDefault="00F91BC4" w14:paraId="48A27179" w14:textId="4378A152">
      <w:pPr>
        <w:pStyle w:val="CoL"/>
        <w:numPr>
          <w:ilvl w:val="1"/>
          <w:numId w:val="63"/>
        </w:numPr>
        <w:ind w:left="0" w:firstLine="270"/>
      </w:pPr>
      <w:r w:rsidRPr="00CC6227">
        <w:t>The goal of attaining 384 unique submittals or safety reports from the mobile app to properly evaluate the pilot is reasonable</w:t>
      </w:r>
      <w:r w:rsidRPr="00CC6227" w:rsidR="00F4422C">
        <w:t xml:space="preserve"> but not determinative of the success of the pilot</w:t>
      </w:r>
      <w:r w:rsidRPr="00CC6227">
        <w:t xml:space="preserve">.  </w:t>
      </w:r>
    </w:p>
    <w:p w:rsidRPr="00CC6227" w:rsidR="00F91BC4" w:rsidP="00CC6227" w:rsidRDefault="00F91BC4" w14:paraId="1AE80401" w14:textId="2F61CFA2">
      <w:pPr>
        <w:pStyle w:val="CoL"/>
        <w:numPr>
          <w:ilvl w:val="1"/>
          <w:numId w:val="63"/>
        </w:numPr>
        <w:ind w:left="0" w:firstLine="270"/>
      </w:pPr>
      <w:r w:rsidRPr="00CC6227">
        <w:t xml:space="preserve">It is reasonable </w:t>
      </w:r>
      <w:r w:rsidR="0023242F">
        <w:t xml:space="preserve">that </w:t>
      </w:r>
      <w:r w:rsidR="006C081F">
        <w:t xml:space="preserve">a </w:t>
      </w:r>
      <w:r w:rsidRPr="00CC6227">
        <w:t xml:space="preserve">PG&amp;E </w:t>
      </w:r>
      <w:r w:rsidR="006C081F">
        <w:t xml:space="preserve">independent consultant </w:t>
      </w:r>
      <w:r w:rsidRPr="00CC6227">
        <w:t>assess the feasibility, obstacles, and benefits that exist in integrating the mobile app into the utility’s existing complaint-intake system.</w:t>
      </w:r>
    </w:p>
    <w:p w:rsidRPr="00CC6227" w:rsidR="00F91BC4" w:rsidP="00CC6227" w:rsidRDefault="00F91BC4" w14:paraId="51EE540F" w14:textId="56675484">
      <w:pPr>
        <w:pStyle w:val="CoL"/>
        <w:numPr>
          <w:ilvl w:val="1"/>
          <w:numId w:val="63"/>
        </w:numPr>
        <w:ind w:left="0" w:firstLine="270"/>
      </w:pPr>
      <w:r w:rsidRPr="00CC6227">
        <w:t>It is reasonable to set the launch date for the</w:t>
      </w:r>
      <w:r w:rsidRPr="00CC6227" w:rsidR="00614F30">
        <w:t xml:space="preserve"> PG&amp;E mobile app</w:t>
      </w:r>
      <w:r w:rsidRPr="00CC6227">
        <w:t xml:space="preserve"> pilot within </w:t>
      </w:r>
      <w:r w:rsidR="00C41CC8">
        <w:t>10</w:t>
      </w:r>
      <w:r w:rsidRPr="00CC6227">
        <w:t xml:space="preserve"> months from effective date of this decision.</w:t>
      </w:r>
    </w:p>
    <w:p w:rsidRPr="00CC6227" w:rsidR="00F91BC4" w:rsidP="00CC6227" w:rsidRDefault="00F91BC4" w14:paraId="3F1B980B" w14:textId="55221D8D">
      <w:pPr>
        <w:pStyle w:val="CoL"/>
        <w:numPr>
          <w:ilvl w:val="1"/>
          <w:numId w:val="63"/>
        </w:numPr>
        <w:ind w:left="0" w:firstLine="270"/>
      </w:pPr>
      <w:r w:rsidRPr="00CC6227">
        <w:t>It is reasonable for PG&amp;E to offer training to</w:t>
      </w:r>
      <w:r w:rsidRPr="00CC6227" w:rsidR="00073C83">
        <w:t xml:space="preserve"> user</w:t>
      </w:r>
      <w:r w:rsidRPr="00CC6227" w:rsidR="007507D5">
        <w:t>s</w:t>
      </w:r>
      <w:r w:rsidRPr="00CC6227" w:rsidR="00073C83">
        <w:t xml:space="preserve"> of the</w:t>
      </w:r>
      <w:r w:rsidRPr="00CC6227">
        <w:t xml:space="preserve"> mobile app </w:t>
      </w:r>
      <w:r w:rsidRPr="00CC6227" w:rsidR="00073C83">
        <w:t xml:space="preserve">pilot </w:t>
      </w:r>
      <w:r w:rsidRPr="00CC6227">
        <w:t>to promote the success of the</w:t>
      </w:r>
      <w:r w:rsidRPr="00CC6227" w:rsidR="00073C83">
        <w:t xml:space="preserve"> </w:t>
      </w:r>
      <w:r w:rsidRPr="00CC6227">
        <w:t xml:space="preserve">pilot and report to SPD within </w:t>
      </w:r>
      <w:r w:rsidR="002A3A53">
        <w:t>three months</w:t>
      </w:r>
      <w:r w:rsidRPr="00CC6227">
        <w:t xml:space="preserve"> from the effective date of this decision on the types of training and public education specifics (including but not limited to </w:t>
      </w:r>
      <w:r w:rsidRPr="00CC6227" w:rsidR="00073C83">
        <w:t xml:space="preserve">the </w:t>
      </w:r>
      <w:r w:rsidRPr="00CC6227" w:rsidR="001F503B">
        <w:t>format</w:t>
      </w:r>
      <w:r w:rsidRPr="00CC6227">
        <w:t xml:space="preserve">, location, and frequency) </w:t>
      </w:r>
      <w:r w:rsidRPr="00CC6227" w:rsidR="00073C83">
        <w:t xml:space="preserve">PG&amp;E </w:t>
      </w:r>
      <w:r w:rsidRPr="00CC6227">
        <w:t xml:space="preserve">expects to offer.  </w:t>
      </w:r>
    </w:p>
    <w:p w:rsidRPr="00CC6227" w:rsidR="00F91BC4" w:rsidP="00CC6227" w:rsidRDefault="00F91BC4" w14:paraId="20A4BA9C" w14:textId="39EFBA10">
      <w:pPr>
        <w:pStyle w:val="CoL"/>
        <w:numPr>
          <w:ilvl w:val="1"/>
          <w:numId w:val="63"/>
        </w:numPr>
        <w:ind w:left="0" w:firstLine="270"/>
      </w:pPr>
      <w:r w:rsidRPr="00CC6227">
        <w:t xml:space="preserve">It is reasonable to track the diversion of PG&amp;E’s safety-related resources necessary to create, maintain, and resolve issues </w:t>
      </w:r>
      <w:r w:rsidRPr="00CC6227" w:rsidR="00073C83">
        <w:t xml:space="preserve">reported via the mobile app </w:t>
      </w:r>
      <w:r w:rsidRPr="00CC6227">
        <w:t xml:space="preserve">throughout the term of the mobile app pilot.  </w:t>
      </w:r>
    </w:p>
    <w:p w:rsidRPr="00CC6227" w:rsidR="00CF2105" w:rsidP="00CC6227" w:rsidRDefault="00F91BC4" w14:paraId="79DE46F6" w14:textId="08AC4F85">
      <w:pPr>
        <w:pStyle w:val="CoL"/>
        <w:numPr>
          <w:ilvl w:val="1"/>
          <w:numId w:val="63"/>
        </w:numPr>
        <w:ind w:left="0" w:firstLine="270"/>
      </w:pPr>
      <w:r w:rsidRPr="00CC6227">
        <w:t xml:space="preserve">It is reasonable for PG&amp;E to include </w:t>
      </w:r>
      <w:r w:rsidR="0054518D">
        <w:t xml:space="preserve">all necessary </w:t>
      </w:r>
      <w:r w:rsidRPr="00CC6227">
        <w:t>warnings in the mobile app to advise customers to contact 911 in the event of an emergency.</w:t>
      </w:r>
    </w:p>
    <w:p w:rsidRPr="00CC6227" w:rsidR="000E7F00" w:rsidP="00CC6227" w:rsidRDefault="000E7F00" w14:paraId="20ADDBCC" w14:textId="44939D4D">
      <w:pPr>
        <w:pStyle w:val="CoL"/>
        <w:numPr>
          <w:ilvl w:val="1"/>
          <w:numId w:val="63"/>
        </w:numPr>
        <w:ind w:left="0" w:firstLine="270"/>
      </w:pPr>
      <w:r w:rsidRPr="00CC6227">
        <w:t xml:space="preserve">To ensure appropriate appraisal of PG&amp;E’s pilot, it is reasonable for PG&amp;E to enlist a qualified independent consultant to perform an evaluation of the pilot within Phase 1 of this proceeding and </w:t>
      </w:r>
      <w:r w:rsidRPr="00CC6227" w:rsidR="003C6D70">
        <w:t xml:space="preserve">to consider the </w:t>
      </w:r>
      <w:r w:rsidRPr="00CC6227" w:rsidR="00614F30">
        <w:t>required and recommended</w:t>
      </w:r>
      <w:r w:rsidRPr="00CC6227" w:rsidR="003C6D70">
        <w:t xml:space="preserve"> evaluation </w:t>
      </w:r>
      <w:r w:rsidRPr="00CC6227">
        <w:t xml:space="preserve">criteria </w:t>
      </w:r>
      <w:r w:rsidRPr="00CC6227" w:rsidR="003C6D70">
        <w:t xml:space="preserve">and </w:t>
      </w:r>
      <w:r w:rsidRPr="00CC6227">
        <w:t>others as appropriate in consultation with SPD.</w:t>
      </w:r>
    </w:p>
    <w:p w:rsidRPr="001E2A62" w:rsidR="00355056" w:rsidP="00CC6227" w:rsidRDefault="00073C83" w14:paraId="0025A77D" w14:textId="0E84475D">
      <w:pPr>
        <w:pStyle w:val="CoL"/>
        <w:numPr>
          <w:ilvl w:val="1"/>
          <w:numId w:val="63"/>
        </w:numPr>
        <w:ind w:left="0" w:firstLine="270"/>
      </w:pPr>
      <w:r w:rsidRPr="00CC6227">
        <w:lastRenderedPageBreak/>
        <w:t xml:space="preserve">It is reasonable to consider a permanent </w:t>
      </w:r>
      <w:r w:rsidRPr="00CC6227" w:rsidR="00614F30">
        <w:t xml:space="preserve">PG&amp;E </w:t>
      </w:r>
      <w:r w:rsidRPr="00CC6227">
        <w:t xml:space="preserve">mobile app in </w:t>
      </w:r>
      <w:r w:rsidRPr="00CC6227" w:rsidR="00614F30">
        <w:t>P</w:t>
      </w:r>
      <w:r w:rsidRPr="00CC6227">
        <w:t xml:space="preserve">hase 2 of this proceeding. </w:t>
      </w:r>
      <w:bookmarkEnd w:id="1133"/>
    </w:p>
    <w:p w:rsidR="00BB0243" w:rsidP="0087100E" w:rsidRDefault="005939A5" w14:paraId="6280B9DA" w14:textId="77777777">
      <w:pPr>
        <w:pStyle w:val="Mainex"/>
      </w:pPr>
      <w:bookmarkStart w:name="_Toc52866563" w:id="1134"/>
      <w:r>
        <w:t>O</w:t>
      </w:r>
      <w:r w:rsidR="00722850">
        <w:t>RDER</w:t>
      </w:r>
      <w:bookmarkEnd w:id="1134"/>
    </w:p>
    <w:p w:rsidR="00BB0243" w:rsidP="0087100E" w:rsidRDefault="00BB0243" w14:paraId="7F66C53C" w14:textId="77777777">
      <w:pPr>
        <w:keepNext/>
      </w:pPr>
      <w:r w:rsidRPr="00BB0243">
        <w:rPr>
          <w:b/>
        </w:rPr>
        <w:t>IT IS ORDERED</w:t>
      </w:r>
      <w:r>
        <w:t xml:space="preserve"> that:</w:t>
      </w:r>
    </w:p>
    <w:p w:rsidR="007B37A9" w:rsidP="00CC6227" w:rsidRDefault="00E93E27" w14:paraId="52B023A7" w14:textId="46222CBC">
      <w:pPr>
        <w:pStyle w:val="OP"/>
      </w:pPr>
      <w:r w:rsidRPr="00AB7C18">
        <w:t>Pacific Gas and Electric Company’s</w:t>
      </w:r>
      <w:r w:rsidR="00F27EB7">
        <w:t xml:space="preserve"> (PG&amp;E’s)</w:t>
      </w:r>
      <w:r w:rsidRPr="00AB7C18">
        <w:t xml:space="preserve"> Application for a proposed mobile application</w:t>
      </w:r>
      <w:r w:rsidR="00606729">
        <w:t xml:space="preserve"> (</w:t>
      </w:r>
      <w:r w:rsidR="006C727B">
        <w:t xml:space="preserve">mobile </w:t>
      </w:r>
      <w:r w:rsidR="00606729">
        <w:t>app)</w:t>
      </w:r>
      <w:r w:rsidRPr="00AB7C18">
        <w:t xml:space="preserve"> and supporting systems pilot is approved with the modifications set forth herein.  </w:t>
      </w:r>
      <w:r w:rsidRPr="00E93E27">
        <w:t>P</w:t>
      </w:r>
      <w:r w:rsidR="00F27EB7">
        <w:t xml:space="preserve">G&amp;E </w:t>
      </w:r>
      <w:r w:rsidRPr="00E93E27">
        <w:t>shall</w:t>
      </w:r>
      <w:r w:rsidR="00F27EB7">
        <w:t xml:space="preserve">, at a minimum, make the following modifications to the mobile app pilot: </w:t>
      </w:r>
    </w:p>
    <w:p w:rsidR="00E93E27" w:rsidP="00CC6227" w:rsidRDefault="00E93E27" w14:paraId="0F891899" w14:textId="5240C204">
      <w:pPr>
        <w:pStyle w:val="OP"/>
        <w:numPr>
          <w:ilvl w:val="1"/>
          <w:numId w:val="5"/>
        </w:numPr>
        <w:spacing w:after="120" w:line="240" w:lineRule="auto"/>
        <w:ind w:left="1080" w:right="1440" w:hanging="360"/>
      </w:pPr>
      <w:r w:rsidRPr="00E93E27">
        <w:t xml:space="preserve">expand the </w:t>
      </w:r>
      <w:r w:rsidR="00492391">
        <w:t>scope</w:t>
      </w:r>
      <w:r w:rsidRPr="00E93E27">
        <w:t xml:space="preserve"> of the mobile app pilot to encompass all safety matters pertaining to </w:t>
      </w:r>
      <w:r w:rsidR="0031599F">
        <w:t>PG&amp;E</w:t>
      </w:r>
      <w:r w:rsidRPr="00E93E27">
        <w:t xml:space="preserve">’s electric </w:t>
      </w:r>
      <w:r w:rsidR="007B37A9">
        <w:t>infrastructure</w:t>
      </w:r>
      <w:r w:rsidRPr="00E93E27">
        <w:t xml:space="preserve">. </w:t>
      </w:r>
    </w:p>
    <w:p w:rsidR="00F27EB7" w:rsidP="00CC6227" w:rsidRDefault="00F27EB7" w14:paraId="0AC9CAAF" w14:textId="2A06D681">
      <w:pPr>
        <w:pStyle w:val="OP"/>
        <w:numPr>
          <w:ilvl w:val="1"/>
          <w:numId w:val="5"/>
        </w:numPr>
        <w:spacing w:after="120" w:line="240" w:lineRule="auto"/>
        <w:ind w:left="1080" w:right="1440" w:hanging="360"/>
      </w:pPr>
      <w:r w:rsidRPr="00F27EB7">
        <w:t>implement a native application for its mobile app pilot and develop two separate apps, one for iPhones and one for Android operating system</w:t>
      </w:r>
      <w:r w:rsidR="007507D5">
        <w:t>-</w:t>
      </w:r>
      <w:r w:rsidRPr="00F27EB7">
        <w:t>based smartphones.</w:t>
      </w:r>
    </w:p>
    <w:p w:rsidR="006C727B" w:rsidP="00CC6227" w:rsidRDefault="006C727B" w14:paraId="06A12F8B" w14:textId="0C2B6BA5">
      <w:pPr>
        <w:pStyle w:val="OP"/>
        <w:numPr>
          <w:ilvl w:val="1"/>
          <w:numId w:val="5"/>
        </w:numPr>
        <w:spacing w:after="120" w:line="240" w:lineRule="auto"/>
        <w:ind w:left="1080" w:right="1440" w:hanging="360"/>
      </w:pPr>
      <w:r w:rsidRPr="006C727B">
        <w:t>develop a publicly-available interface for the mobile app but preserve ownership over the original source code</w:t>
      </w:r>
      <w:r>
        <w:t xml:space="preserve"> and </w:t>
      </w:r>
      <w:r w:rsidRPr="006C727B">
        <w:t>share the design of the mobile app and relevant materials with others upon request</w:t>
      </w:r>
      <w:r w:rsidR="00DE6820">
        <w:t>, unless otherwise confidential under a purchase agreement for a commercially available app</w:t>
      </w:r>
      <w:r w:rsidR="00BC1556">
        <w:t>.</w:t>
      </w:r>
    </w:p>
    <w:p w:rsidRPr="006C727B" w:rsidR="006C727B" w:rsidP="00CC6227" w:rsidRDefault="006C727B" w14:paraId="74A24E95" w14:textId="25AE1448">
      <w:pPr>
        <w:pStyle w:val="ListParagraph"/>
        <w:numPr>
          <w:ilvl w:val="1"/>
          <w:numId w:val="5"/>
        </w:numPr>
        <w:spacing w:after="120" w:line="240" w:lineRule="auto"/>
        <w:ind w:left="1080" w:right="1440" w:hanging="360"/>
        <w:contextualSpacing w:val="0"/>
        <w:rPr>
          <w:rFonts w:ascii="Book Antiqua" w:hAnsi="Book Antiqua"/>
          <w:sz w:val="26"/>
        </w:rPr>
      </w:pPr>
      <w:r w:rsidRPr="006C727B">
        <w:rPr>
          <w:rFonts w:ascii="Book Antiqua" w:hAnsi="Book Antiqua"/>
          <w:sz w:val="26"/>
        </w:rPr>
        <w:t xml:space="preserve">within 30 days of </w:t>
      </w:r>
      <w:r w:rsidR="007D0D85">
        <w:rPr>
          <w:rFonts w:ascii="Book Antiqua" w:hAnsi="Book Antiqua"/>
          <w:sz w:val="26"/>
        </w:rPr>
        <w:t>a</w:t>
      </w:r>
      <w:r w:rsidRPr="006C727B">
        <w:rPr>
          <w:rFonts w:ascii="Book Antiqua" w:hAnsi="Book Antiqua"/>
          <w:sz w:val="26"/>
        </w:rPr>
        <w:t xml:space="preserve"> safety issue </w:t>
      </w:r>
      <w:r w:rsidR="0031599F">
        <w:rPr>
          <w:rFonts w:ascii="Book Antiqua" w:hAnsi="Book Antiqua"/>
          <w:sz w:val="26"/>
        </w:rPr>
        <w:t xml:space="preserve">being </w:t>
      </w:r>
      <w:r w:rsidRPr="006C727B">
        <w:rPr>
          <w:rFonts w:ascii="Book Antiqua" w:hAnsi="Book Antiqua"/>
          <w:sz w:val="26"/>
        </w:rPr>
        <w:t>report</w:t>
      </w:r>
      <w:r w:rsidR="0031599F">
        <w:rPr>
          <w:rFonts w:ascii="Book Antiqua" w:hAnsi="Book Antiqua"/>
          <w:sz w:val="26"/>
        </w:rPr>
        <w:t>ed to PG&amp;E</w:t>
      </w:r>
      <w:r w:rsidRPr="006C727B">
        <w:rPr>
          <w:rFonts w:ascii="Book Antiqua" w:hAnsi="Book Antiqua"/>
          <w:sz w:val="26"/>
        </w:rPr>
        <w:t xml:space="preserve"> via the mobile app, upload information received to the asset management</w:t>
      </w:r>
      <w:r w:rsidR="00D5355E">
        <w:rPr>
          <w:rFonts w:ascii="Book Antiqua" w:hAnsi="Book Antiqua"/>
          <w:sz w:val="26"/>
        </w:rPr>
        <w:t xml:space="preserve"> </w:t>
      </w:r>
      <w:r w:rsidRPr="006C727B">
        <w:rPr>
          <w:rFonts w:ascii="Book Antiqua" w:hAnsi="Book Antiqua"/>
          <w:sz w:val="26"/>
        </w:rPr>
        <w:t>database and make this information publicly-available on its website and mobile app</w:t>
      </w:r>
      <w:r w:rsidR="00C018DA">
        <w:rPr>
          <w:rFonts w:ascii="Book Antiqua" w:hAnsi="Book Antiqua"/>
          <w:sz w:val="26"/>
        </w:rPr>
        <w:t>, unless otherwise confidential under the law</w:t>
      </w:r>
      <w:r w:rsidRPr="006C727B">
        <w:rPr>
          <w:rFonts w:ascii="Book Antiqua" w:hAnsi="Book Antiqua"/>
          <w:sz w:val="26"/>
        </w:rPr>
        <w:t xml:space="preserve">. </w:t>
      </w:r>
    </w:p>
    <w:p w:rsidRPr="006C727B" w:rsidR="006C727B" w:rsidP="00CC6227" w:rsidRDefault="006C727B" w14:paraId="638CB89A" w14:textId="041A3199">
      <w:pPr>
        <w:pStyle w:val="ListParagraph"/>
        <w:numPr>
          <w:ilvl w:val="1"/>
          <w:numId w:val="5"/>
        </w:numPr>
        <w:spacing w:after="120" w:line="240" w:lineRule="auto"/>
        <w:ind w:left="1080" w:right="1440" w:hanging="360"/>
        <w:contextualSpacing w:val="0"/>
        <w:rPr>
          <w:rFonts w:ascii="Book Antiqua" w:hAnsi="Book Antiqua"/>
          <w:sz w:val="26"/>
        </w:rPr>
      </w:pPr>
      <w:r w:rsidRPr="006C727B">
        <w:rPr>
          <w:rFonts w:ascii="Book Antiqua" w:hAnsi="Book Antiqua"/>
          <w:sz w:val="26"/>
        </w:rPr>
        <w:t>preserve all data submitted via the mobile app deemed invalid and/or rejected (including emergency matters) for a period of four years from the launch date of the mobile app pilot for Commission evaluation purposes</w:t>
      </w:r>
      <w:r w:rsidR="00137D3D">
        <w:rPr>
          <w:rFonts w:ascii="Book Antiqua" w:hAnsi="Book Antiqua"/>
          <w:sz w:val="26"/>
        </w:rPr>
        <w:t>, unless preservation for a longer period of time is require by law</w:t>
      </w:r>
      <w:r w:rsidRPr="006C727B">
        <w:rPr>
          <w:rFonts w:ascii="Book Antiqua" w:hAnsi="Book Antiqua"/>
          <w:sz w:val="26"/>
        </w:rPr>
        <w:t>.</w:t>
      </w:r>
    </w:p>
    <w:p w:rsidRPr="006C727B" w:rsidR="006C727B" w:rsidP="00CC6227" w:rsidRDefault="006C727B" w14:paraId="0C799AA4" w14:textId="75D41775">
      <w:pPr>
        <w:pStyle w:val="ListParagraph"/>
        <w:numPr>
          <w:ilvl w:val="1"/>
          <w:numId w:val="5"/>
        </w:numPr>
        <w:spacing w:after="120" w:line="240" w:lineRule="auto"/>
        <w:ind w:left="1080" w:right="1440" w:hanging="360"/>
        <w:contextualSpacing w:val="0"/>
        <w:rPr>
          <w:rFonts w:ascii="Book Antiqua" w:hAnsi="Book Antiqua"/>
          <w:sz w:val="26"/>
        </w:rPr>
      </w:pPr>
      <w:r w:rsidRPr="006C727B">
        <w:rPr>
          <w:rFonts w:ascii="Book Antiqua" w:hAnsi="Book Antiqua"/>
          <w:sz w:val="26"/>
        </w:rPr>
        <w:t>within 30 days of receipt of a safety report via the mobile app, make available to the public the safety report</w:t>
      </w:r>
      <w:r>
        <w:rPr>
          <w:rFonts w:ascii="Book Antiqua" w:hAnsi="Book Antiqua"/>
          <w:sz w:val="26"/>
        </w:rPr>
        <w:t xml:space="preserve">, </w:t>
      </w:r>
      <w:r w:rsidRPr="006C727B">
        <w:rPr>
          <w:rFonts w:ascii="Book Antiqua" w:hAnsi="Book Antiqua"/>
          <w:sz w:val="26"/>
        </w:rPr>
        <w:t>PG&amp;E’s determination, PG&amp;E’s analysis, G</w:t>
      </w:r>
      <w:r w:rsidR="00C3700C">
        <w:rPr>
          <w:rFonts w:ascii="Book Antiqua" w:hAnsi="Book Antiqua"/>
          <w:sz w:val="26"/>
        </w:rPr>
        <w:t>P</w:t>
      </w:r>
      <w:r w:rsidRPr="006C727B">
        <w:rPr>
          <w:rFonts w:ascii="Book Antiqua" w:hAnsi="Book Antiqua"/>
          <w:sz w:val="26"/>
        </w:rPr>
        <w:t xml:space="preserve">S coordinates, </w:t>
      </w:r>
      <w:r w:rsidRPr="006C727B">
        <w:rPr>
          <w:rFonts w:ascii="Book Antiqua" w:hAnsi="Book Antiqua"/>
          <w:sz w:val="26"/>
        </w:rPr>
        <w:lastRenderedPageBreak/>
        <w:t xml:space="preserve">corrective action, </w:t>
      </w:r>
      <w:r w:rsidR="0031599F">
        <w:rPr>
          <w:rFonts w:ascii="Book Antiqua" w:hAnsi="Book Antiqua"/>
          <w:sz w:val="26"/>
        </w:rPr>
        <w:t xml:space="preserve">review status, </w:t>
      </w:r>
      <w:r w:rsidRPr="006C727B">
        <w:rPr>
          <w:rFonts w:ascii="Book Antiqua" w:hAnsi="Book Antiqua"/>
          <w:sz w:val="26"/>
        </w:rPr>
        <w:t>and photos</w:t>
      </w:r>
      <w:r w:rsidR="00A243B9">
        <w:rPr>
          <w:rFonts w:ascii="Book Antiqua" w:hAnsi="Book Antiqua"/>
          <w:sz w:val="26"/>
        </w:rPr>
        <w:t>, unless confidential under the law</w:t>
      </w:r>
      <w:r w:rsidRPr="006C727B">
        <w:rPr>
          <w:rFonts w:ascii="Book Antiqua" w:hAnsi="Book Antiqua"/>
          <w:sz w:val="26"/>
        </w:rPr>
        <w:t xml:space="preserve">. </w:t>
      </w:r>
    </w:p>
    <w:p w:rsidR="006C727B" w:rsidP="00CC6227" w:rsidRDefault="006C727B" w14:paraId="2A7D9672" w14:textId="46CDAB20">
      <w:pPr>
        <w:pStyle w:val="ListParagraph"/>
        <w:numPr>
          <w:ilvl w:val="1"/>
          <w:numId w:val="5"/>
        </w:numPr>
        <w:spacing w:after="120" w:line="240" w:lineRule="auto"/>
        <w:ind w:left="1080" w:right="1440" w:hanging="360"/>
        <w:contextualSpacing w:val="0"/>
        <w:rPr>
          <w:rFonts w:ascii="Book Antiqua" w:hAnsi="Book Antiqua"/>
          <w:sz w:val="26"/>
        </w:rPr>
      </w:pPr>
      <w:r w:rsidRPr="006C727B">
        <w:rPr>
          <w:rFonts w:ascii="Book Antiqua" w:hAnsi="Book Antiqua"/>
          <w:sz w:val="26"/>
        </w:rPr>
        <w:t xml:space="preserve">include all customers </w:t>
      </w:r>
      <w:r>
        <w:rPr>
          <w:rFonts w:ascii="Book Antiqua" w:hAnsi="Book Antiqua"/>
          <w:sz w:val="26"/>
        </w:rPr>
        <w:t xml:space="preserve">located </w:t>
      </w:r>
      <w:r w:rsidRPr="006C727B">
        <w:rPr>
          <w:rFonts w:ascii="Book Antiqua" w:hAnsi="Book Antiqua"/>
          <w:sz w:val="26"/>
        </w:rPr>
        <w:t xml:space="preserve">in Tier 2 and Tier 3 High Fire Threat Districts. </w:t>
      </w:r>
    </w:p>
    <w:p w:rsidRPr="006C727B" w:rsidR="006C727B" w:rsidP="00CC6227" w:rsidRDefault="006C727B" w14:paraId="5C32FBCD" w14:textId="10653260">
      <w:pPr>
        <w:pStyle w:val="ListParagraph"/>
        <w:numPr>
          <w:ilvl w:val="1"/>
          <w:numId w:val="5"/>
        </w:numPr>
        <w:spacing w:after="120" w:line="240" w:lineRule="auto"/>
        <w:ind w:left="1080" w:right="1440" w:hanging="360"/>
        <w:contextualSpacing w:val="0"/>
        <w:rPr>
          <w:rFonts w:ascii="Book Antiqua" w:hAnsi="Book Antiqua"/>
          <w:sz w:val="26"/>
        </w:rPr>
      </w:pPr>
      <w:r w:rsidRPr="006C727B">
        <w:rPr>
          <w:rFonts w:ascii="Book Antiqua" w:hAnsi="Book Antiqua"/>
          <w:sz w:val="26"/>
        </w:rPr>
        <w:t>conduct outreach to target and make the mobile app available to all</w:t>
      </w:r>
      <w:r>
        <w:rPr>
          <w:rFonts w:ascii="Book Antiqua" w:hAnsi="Book Antiqua"/>
          <w:sz w:val="26"/>
        </w:rPr>
        <w:t xml:space="preserve"> </w:t>
      </w:r>
      <w:r w:rsidRPr="006C727B">
        <w:rPr>
          <w:rFonts w:ascii="Book Antiqua" w:hAnsi="Book Antiqua"/>
          <w:sz w:val="26"/>
        </w:rPr>
        <w:t xml:space="preserve">contractors performing vegetation management in the field, relevant staff at </w:t>
      </w:r>
      <w:r w:rsidR="00AE404B">
        <w:rPr>
          <w:rFonts w:ascii="Book Antiqua" w:hAnsi="Book Antiqua"/>
          <w:sz w:val="26"/>
        </w:rPr>
        <w:t>CAL FIRE</w:t>
      </w:r>
      <w:r w:rsidRPr="006C727B">
        <w:rPr>
          <w:rFonts w:ascii="Book Antiqua" w:hAnsi="Book Antiqua"/>
          <w:sz w:val="26"/>
        </w:rPr>
        <w:t>, and relevant staff at cable companies and telecommunication providers with whom PG&amp;E operates under joint pole agreements</w:t>
      </w:r>
      <w:r w:rsidR="00974343">
        <w:rPr>
          <w:rFonts w:ascii="Book Antiqua" w:hAnsi="Book Antiqua"/>
          <w:sz w:val="26"/>
        </w:rPr>
        <w:t>, with the use of the mobile app by these entities being discretionary</w:t>
      </w:r>
      <w:r w:rsidRPr="006C727B">
        <w:rPr>
          <w:rFonts w:ascii="Book Antiqua" w:hAnsi="Book Antiqua"/>
          <w:sz w:val="26"/>
        </w:rPr>
        <w:t>.</w:t>
      </w:r>
    </w:p>
    <w:p w:rsidRPr="006C727B" w:rsidR="006C727B" w:rsidP="00CC6227" w:rsidRDefault="006C727B" w14:paraId="7DCBB427" w14:textId="2149AC01">
      <w:pPr>
        <w:pStyle w:val="ListParagraph"/>
        <w:numPr>
          <w:ilvl w:val="1"/>
          <w:numId w:val="5"/>
        </w:numPr>
        <w:spacing w:after="120" w:line="240" w:lineRule="auto"/>
        <w:ind w:left="1080" w:right="1440" w:hanging="360"/>
        <w:contextualSpacing w:val="0"/>
        <w:rPr>
          <w:rFonts w:ascii="Book Antiqua" w:hAnsi="Book Antiqua"/>
          <w:sz w:val="26"/>
        </w:rPr>
      </w:pPr>
      <w:r w:rsidRPr="006C727B">
        <w:rPr>
          <w:rFonts w:ascii="Book Antiqua" w:hAnsi="Book Antiqua"/>
          <w:sz w:val="26"/>
        </w:rPr>
        <w:t>offer the mobile app</w:t>
      </w:r>
      <w:r>
        <w:rPr>
          <w:rFonts w:ascii="Book Antiqua" w:hAnsi="Book Antiqua"/>
          <w:sz w:val="26"/>
        </w:rPr>
        <w:t xml:space="preserve"> </w:t>
      </w:r>
      <w:r w:rsidRPr="006C727B">
        <w:rPr>
          <w:rFonts w:ascii="Book Antiqua" w:hAnsi="Book Antiqua"/>
          <w:sz w:val="26"/>
        </w:rPr>
        <w:t xml:space="preserve">pilot until Phase 2 of this proceeding is completed.  </w:t>
      </w:r>
    </w:p>
    <w:p w:rsidRPr="006C727B" w:rsidR="006C727B" w:rsidP="00CC6227" w:rsidRDefault="006C727B" w14:paraId="5D432F48" w14:textId="7862DC82">
      <w:pPr>
        <w:pStyle w:val="ListParagraph"/>
        <w:numPr>
          <w:ilvl w:val="1"/>
          <w:numId w:val="5"/>
        </w:numPr>
        <w:spacing w:after="120" w:line="240" w:lineRule="auto"/>
        <w:ind w:left="1080" w:right="1440" w:hanging="360"/>
        <w:contextualSpacing w:val="0"/>
        <w:rPr>
          <w:rFonts w:ascii="Book Antiqua" w:hAnsi="Book Antiqua"/>
          <w:sz w:val="26"/>
        </w:rPr>
      </w:pPr>
      <w:r w:rsidRPr="006C727B">
        <w:rPr>
          <w:rFonts w:ascii="Book Antiqua" w:hAnsi="Book Antiqua"/>
          <w:sz w:val="26"/>
        </w:rPr>
        <w:t>launch the mobile app</w:t>
      </w:r>
      <w:r>
        <w:rPr>
          <w:rFonts w:ascii="Book Antiqua" w:hAnsi="Book Antiqua"/>
          <w:sz w:val="26"/>
        </w:rPr>
        <w:t xml:space="preserve"> </w:t>
      </w:r>
      <w:r w:rsidRPr="006C727B">
        <w:rPr>
          <w:rFonts w:ascii="Book Antiqua" w:hAnsi="Book Antiqua"/>
          <w:sz w:val="26"/>
        </w:rPr>
        <w:t xml:space="preserve">pilot as soon as practicable but within </w:t>
      </w:r>
      <w:r w:rsidR="00C41CC8">
        <w:rPr>
          <w:rFonts w:ascii="Book Antiqua" w:hAnsi="Book Antiqua"/>
          <w:sz w:val="26"/>
        </w:rPr>
        <w:t>10</w:t>
      </w:r>
      <w:r w:rsidRPr="006C727B">
        <w:rPr>
          <w:rFonts w:ascii="Book Antiqua" w:hAnsi="Book Antiqua"/>
          <w:sz w:val="26"/>
        </w:rPr>
        <w:t xml:space="preserve"> months from the effective date of this decision. </w:t>
      </w:r>
    </w:p>
    <w:p w:rsidRPr="006C727B" w:rsidR="006C727B" w:rsidP="00CC6227" w:rsidRDefault="006C727B" w14:paraId="46B44617" w14:textId="40C6602E">
      <w:pPr>
        <w:pStyle w:val="ListParagraph"/>
        <w:numPr>
          <w:ilvl w:val="1"/>
          <w:numId w:val="5"/>
        </w:numPr>
        <w:spacing w:after="120" w:line="240" w:lineRule="auto"/>
        <w:ind w:left="1080" w:right="1440" w:hanging="360"/>
        <w:contextualSpacing w:val="0"/>
        <w:rPr>
          <w:rFonts w:ascii="Book Antiqua" w:hAnsi="Book Antiqua"/>
          <w:sz w:val="26"/>
        </w:rPr>
      </w:pPr>
      <w:r w:rsidRPr="006C727B">
        <w:rPr>
          <w:rFonts w:ascii="Book Antiqua" w:hAnsi="Book Antiqua"/>
          <w:sz w:val="26"/>
        </w:rPr>
        <w:t>coordinate with the Commission’s Safety Policy Division, to the extent necessary, to ensure 384 unique submittals</w:t>
      </w:r>
      <w:r>
        <w:rPr>
          <w:rFonts w:ascii="Book Antiqua" w:hAnsi="Book Antiqua"/>
          <w:sz w:val="26"/>
        </w:rPr>
        <w:t xml:space="preserve">/safety reports </w:t>
      </w:r>
      <w:r w:rsidRPr="006C727B">
        <w:rPr>
          <w:rFonts w:ascii="Book Antiqua" w:hAnsi="Book Antiqua"/>
          <w:sz w:val="26"/>
        </w:rPr>
        <w:t xml:space="preserve">are </w:t>
      </w:r>
      <w:r>
        <w:rPr>
          <w:rFonts w:ascii="Book Antiqua" w:hAnsi="Book Antiqua"/>
          <w:sz w:val="26"/>
        </w:rPr>
        <w:t>received</w:t>
      </w:r>
      <w:r w:rsidRPr="006C727B">
        <w:rPr>
          <w:rFonts w:ascii="Book Antiqua" w:hAnsi="Book Antiqua"/>
          <w:sz w:val="26"/>
        </w:rPr>
        <w:t xml:space="preserve">.  </w:t>
      </w:r>
    </w:p>
    <w:p w:rsidRPr="006C727B" w:rsidR="006C727B" w:rsidP="00CC6227" w:rsidRDefault="0054518D" w14:paraId="6427D508" w14:textId="03B24DF5">
      <w:pPr>
        <w:pStyle w:val="ListParagraph"/>
        <w:numPr>
          <w:ilvl w:val="1"/>
          <w:numId w:val="5"/>
        </w:numPr>
        <w:spacing w:after="120" w:line="240" w:lineRule="auto"/>
        <w:ind w:left="1080" w:right="1440" w:hanging="360"/>
        <w:contextualSpacing w:val="0"/>
        <w:rPr>
          <w:rFonts w:ascii="Book Antiqua" w:hAnsi="Book Antiqua"/>
          <w:sz w:val="26"/>
        </w:rPr>
      </w:pPr>
      <w:r>
        <w:rPr>
          <w:rFonts w:ascii="Book Antiqua" w:hAnsi="Book Antiqua"/>
          <w:sz w:val="26"/>
        </w:rPr>
        <w:t>enhance</w:t>
      </w:r>
      <w:r w:rsidRPr="006C727B" w:rsidR="006C727B">
        <w:rPr>
          <w:rFonts w:ascii="Book Antiqua" w:hAnsi="Book Antiqua"/>
          <w:sz w:val="26"/>
        </w:rPr>
        <w:t>, if necessary</w:t>
      </w:r>
      <w:r w:rsidR="000E7352">
        <w:rPr>
          <w:rFonts w:ascii="Book Antiqua" w:hAnsi="Book Antiqua"/>
          <w:sz w:val="26"/>
        </w:rPr>
        <w:t>,</w:t>
      </w:r>
      <w:r w:rsidR="00137D3D">
        <w:rPr>
          <w:rFonts w:ascii="Book Antiqua" w:hAnsi="Book Antiqua"/>
          <w:sz w:val="26"/>
        </w:rPr>
        <w:t xml:space="preserve"> beyond the existing warnings</w:t>
      </w:r>
      <w:r w:rsidRPr="006C727B" w:rsidR="006C727B">
        <w:rPr>
          <w:rFonts w:ascii="Book Antiqua" w:hAnsi="Book Antiqua"/>
          <w:sz w:val="26"/>
        </w:rPr>
        <w:t>, the</w:t>
      </w:r>
      <w:r w:rsidR="006C727B">
        <w:rPr>
          <w:rFonts w:ascii="Book Antiqua" w:hAnsi="Book Antiqua"/>
          <w:sz w:val="26"/>
        </w:rPr>
        <w:t xml:space="preserve"> </w:t>
      </w:r>
      <w:r w:rsidRPr="006C727B" w:rsidR="006C727B">
        <w:rPr>
          <w:rFonts w:ascii="Book Antiqua" w:hAnsi="Book Antiqua"/>
          <w:sz w:val="26"/>
        </w:rPr>
        <w:t xml:space="preserve">mobile app submittal process to clearly advise customers that the mobile app is not to be used in emergency situations when calling 911 </w:t>
      </w:r>
      <w:r w:rsidR="007D0D85">
        <w:rPr>
          <w:rFonts w:ascii="Book Antiqua" w:hAnsi="Book Antiqua"/>
          <w:sz w:val="26"/>
        </w:rPr>
        <w:t>would be</w:t>
      </w:r>
      <w:r w:rsidRPr="006C727B" w:rsidR="006C727B">
        <w:rPr>
          <w:rFonts w:ascii="Book Antiqua" w:hAnsi="Book Antiqua"/>
          <w:sz w:val="26"/>
        </w:rPr>
        <w:t xml:space="preserve"> more appropriate.  </w:t>
      </w:r>
    </w:p>
    <w:p w:rsidRPr="006C727B" w:rsidR="006C727B" w:rsidP="00CC6227" w:rsidRDefault="006C727B" w14:paraId="58E77D8A" w14:textId="6A6564AD">
      <w:pPr>
        <w:pStyle w:val="ListParagraph"/>
        <w:numPr>
          <w:ilvl w:val="1"/>
          <w:numId w:val="5"/>
        </w:numPr>
        <w:spacing w:after="120" w:line="240" w:lineRule="auto"/>
        <w:ind w:left="1080" w:right="1440" w:hanging="360"/>
        <w:contextualSpacing w:val="0"/>
        <w:rPr>
          <w:rFonts w:ascii="Book Antiqua" w:hAnsi="Book Antiqua"/>
          <w:sz w:val="26"/>
        </w:rPr>
      </w:pPr>
      <w:r w:rsidRPr="006C727B">
        <w:rPr>
          <w:rFonts w:ascii="Book Antiqua" w:hAnsi="Book Antiqua"/>
          <w:sz w:val="26"/>
        </w:rPr>
        <w:t xml:space="preserve">offer training to </w:t>
      </w:r>
      <w:r>
        <w:rPr>
          <w:rFonts w:ascii="Book Antiqua" w:hAnsi="Book Antiqua"/>
          <w:sz w:val="26"/>
        </w:rPr>
        <w:t xml:space="preserve">users </w:t>
      </w:r>
      <w:r w:rsidRPr="006C727B">
        <w:rPr>
          <w:rFonts w:ascii="Book Antiqua" w:hAnsi="Book Antiqua"/>
          <w:sz w:val="26"/>
        </w:rPr>
        <w:t xml:space="preserve">to promote the success of the mobile app pilot and report </w:t>
      </w:r>
      <w:r w:rsidRPr="006C727B" w:rsidR="007D0D85">
        <w:rPr>
          <w:rFonts w:ascii="Book Antiqua" w:hAnsi="Book Antiqua"/>
          <w:sz w:val="26"/>
        </w:rPr>
        <w:t xml:space="preserve">on training and public education </w:t>
      </w:r>
      <w:r w:rsidR="007D0D85">
        <w:rPr>
          <w:rFonts w:ascii="Book Antiqua" w:hAnsi="Book Antiqua"/>
          <w:sz w:val="26"/>
        </w:rPr>
        <w:t xml:space="preserve">efforts and status </w:t>
      </w:r>
      <w:r w:rsidRPr="006C727B">
        <w:rPr>
          <w:rFonts w:ascii="Book Antiqua" w:hAnsi="Book Antiqua"/>
          <w:sz w:val="26"/>
        </w:rPr>
        <w:t xml:space="preserve">to the Commission’s Safety Policy Division within </w:t>
      </w:r>
      <w:r w:rsidR="002A3A53">
        <w:rPr>
          <w:rFonts w:ascii="Book Antiqua" w:hAnsi="Book Antiqua"/>
          <w:sz w:val="26"/>
        </w:rPr>
        <w:t>three months</w:t>
      </w:r>
      <w:r w:rsidRPr="006C727B">
        <w:rPr>
          <w:rFonts w:ascii="Book Antiqua" w:hAnsi="Book Antiqua"/>
          <w:sz w:val="26"/>
        </w:rPr>
        <w:t xml:space="preserve"> from the effective date of this decision</w:t>
      </w:r>
      <w:r w:rsidR="007D0D85">
        <w:rPr>
          <w:rFonts w:ascii="Book Antiqua" w:hAnsi="Book Antiqua"/>
          <w:sz w:val="26"/>
        </w:rPr>
        <w:t>.</w:t>
      </w:r>
      <w:r w:rsidRPr="006C727B">
        <w:rPr>
          <w:rFonts w:ascii="Book Antiqua" w:hAnsi="Book Antiqua"/>
          <w:sz w:val="26"/>
        </w:rPr>
        <w:t xml:space="preserve">  </w:t>
      </w:r>
    </w:p>
    <w:p w:rsidRPr="006C727B" w:rsidR="00606729" w:rsidP="00CC6227" w:rsidRDefault="006C727B" w14:paraId="53EC0A2B" w14:textId="6EA59BDE">
      <w:pPr>
        <w:pStyle w:val="ListParagraph"/>
        <w:numPr>
          <w:ilvl w:val="1"/>
          <w:numId w:val="5"/>
        </w:numPr>
        <w:spacing w:after="120" w:line="240" w:lineRule="auto"/>
        <w:ind w:left="1080" w:right="1440" w:hanging="360"/>
        <w:contextualSpacing w:val="0"/>
      </w:pPr>
      <w:r>
        <w:rPr>
          <w:rFonts w:ascii="Book Antiqua" w:hAnsi="Book Antiqua"/>
          <w:sz w:val="26"/>
        </w:rPr>
        <w:t>categorize a submittal/safety report</w:t>
      </w:r>
      <w:r w:rsidRPr="006C727B">
        <w:rPr>
          <w:rFonts w:ascii="Book Antiqua" w:hAnsi="Book Antiqua"/>
          <w:sz w:val="26"/>
        </w:rPr>
        <w:t xml:space="preserve"> a valid concern even if it duplicates a prior submittal</w:t>
      </w:r>
      <w:r>
        <w:rPr>
          <w:rFonts w:ascii="Book Antiqua" w:hAnsi="Book Antiqua"/>
          <w:sz w:val="26"/>
        </w:rPr>
        <w:t xml:space="preserve">/safety report </w:t>
      </w:r>
      <w:r w:rsidRPr="006C727B">
        <w:rPr>
          <w:rFonts w:ascii="Book Antiqua" w:hAnsi="Book Antiqua"/>
          <w:sz w:val="26"/>
        </w:rPr>
        <w:t xml:space="preserve">until </w:t>
      </w:r>
      <w:r>
        <w:rPr>
          <w:rFonts w:ascii="Book Antiqua" w:hAnsi="Book Antiqua"/>
          <w:sz w:val="26"/>
        </w:rPr>
        <w:t>it</w:t>
      </w:r>
      <w:r w:rsidRPr="006C727B">
        <w:rPr>
          <w:rFonts w:ascii="Book Antiqua" w:hAnsi="Book Antiqua"/>
          <w:sz w:val="26"/>
        </w:rPr>
        <w:t xml:space="preserve"> is addressed by PG&amp;E.</w:t>
      </w:r>
    </w:p>
    <w:p w:rsidR="00E93E27" w:rsidP="0087100E" w:rsidRDefault="00E93E27" w14:paraId="19815517" w14:textId="5FF6B305">
      <w:pPr>
        <w:pStyle w:val="OP"/>
      </w:pPr>
      <w:r w:rsidRPr="00E93E27">
        <w:t xml:space="preserve">Pacific Gas and Electric Company </w:t>
      </w:r>
      <w:r w:rsidR="006C727B">
        <w:t xml:space="preserve">(PG&amp;E) </w:t>
      </w:r>
      <w:r w:rsidRPr="00E93E27">
        <w:t xml:space="preserve">shall file </w:t>
      </w:r>
      <w:r w:rsidR="0031599F">
        <w:t>and serve on</w:t>
      </w:r>
      <w:r w:rsidR="004179DE">
        <w:t xml:space="preserve"> the service list </w:t>
      </w:r>
      <w:r w:rsidR="005A635F">
        <w:t>f</w:t>
      </w:r>
      <w:r w:rsidR="007F5F3C">
        <w:t>o</w:t>
      </w:r>
      <w:r w:rsidR="004179DE">
        <w:t xml:space="preserve">r </w:t>
      </w:r>
      <w:r w:rsidR="0031599F">
        <w:t xml:space="preserve">this proceeding </w:t>
      </w:r>
      <w:r w:rsidRPr="00E93E27">
        <w:t xml:space="preserve">quarterly status reports on </w:t>
      </w:r>
      <w:r w:rsidR="006C727B">
        <w:t xml:space="preserve">its </w:t>
      </w:r>
      <w:r w:rsidRPr="00E93E27" w:rsidR="006C727B">
        <w:t>activities and progress</w:t>
      </w:r>
      <w:r w:rsidR="006C727B">
        <w:t xml:space="preserve"> on</w:t>
      </w:r>
      <w:r w:rsidRPr="00E93E27" w:rsidR="006C727B">
        <w:t xml:space="preserve"> </w:t>
      </w:r>
      <w:r w:rsidR="006C727B">
        <w:t>the</w:t>
      </w:r>
      <w:r w:rsidRPr="00E93E27">
        <w:t xml:space="preserve"> mobile application pilot. </w:t>
      </w:r>
      <w:r w:rsidR="00EA3ED6">
        <w:t xml:space="preserve"> </w:t>
      </w:r>
      <w:r w:rsidRPr="00E93E27">
        <w:t xml:space="preserve">The first report shall be due three months after the effective date of this decision. </w:t>
      </w:r>
      <w:r w:rsidR="00EA3ED6">
        <w:t xml:space="preserve"> </w:t>
      </w:r>
      <w:r w:rsidRPr="00E93E27">
        <w:t>This directive expires at the end of the pilot.</w:t>
      </w:r>
    </w:p>
    <w:p w:rsidR="0031599F" w:rsidP="0031599F" w:rsidRDefault="007D0D85" w14:paraId="62B0BD55" w14:textId="77777777">
      <w:pPr>
        <w:pStyle w:val="OP"/>
      </w:pPr>
      <w:r w:rsidRPr="00E93E27">
        <w:lastRenderedPageBreak/>
        <w:t>Pacific Gas and Electric Company</w:t>
      </w:r>
      <w:r>
        <w:t xml:space="preserve"> shall</w:t>
      </w:r>
      <w:bookmarkStart w:name="_Hlk48220937" w:id="1135"/>
      <w:r w:rsidR="00084FB6">
        <w:t xml:space="preserve">, in consultation with </w:t>
      </w:r>
      <w:r w:rsidR="00D01520">
        <w:t>the Commission’s Safety Policy Division</w:t>
      </w:r>
      <w:r w:rsidR="00084FB6">
        <w:t>,</w:t>
      </w:r>
      <w:r>
        <w:t xml:space="preserve"> </w:t>
      </w:r>
      <w:bookmarkEnd w:id="1135"/>
      <w:r>
        <w:t>undertake an evaluation of its</w:t>
      </w:r>
      <w:r w:rsidR="00D01520">
        <w:t xml:space="preserve"> mobile application (mobile app)</w:t>
      </w:r>
      <w:r>
        <w:t xml:space="preserve"> pilot effort</w:t>
      </w:r>
      <w:r w:rsidR="00967C75">
        <w:t>, and in so doing</w:t>
      </w:r>
      <w:r w:rsidR="00084FB6">
        <w:t>,</w:t>
      </w:r>
      <w:r w:rsidR="00967C75">
        <w:t xml:space="preserve"> shall </w:t>
      </w:r>
      <w:r w:rsidR="0010539C">
        <w:t>retain</w:t>
      </w:r>
      <w:r w:rsidRPr="00864137" w:rsidR="0010539C">
        <w:t xml:space="preserve"> a qualified independent consultan</w:t>
      </w:r>
      <w:r w:rsidR="00D01520">
        <w:t>t</w:t>
      </w:r>
      <w:r w:rsidR="00084FB6">
        <w:t xml:space="preserve">. </w:t>
      </w:r>
    </w:p>
    <w:p w:rsidRPr="00E93E27" w:rsidR="004443D5" w:rsidP="0031599F" w:rsidRDefault="00E93E27" w14:paraId="4B4AA441" w14:textId="3DF959C9">
      <w:pPr>
        <w:pStyle w:val="OP"/>
      </w:pPr>
      <w:r w:rsidRPr="00E93E27">
        <w:t>Pacific Gas and Electric Company’s (PG&amp;E) independent consultant shal</w:t>
      </w:r>
      <w:r w:rsidR="0031599F">
        <w:t xml:space="preserve">l, in consultation with the Commission’s Safety Policy Division, </w:t>
      </w:r>
      <w:r w:rsidR="00D01520">
        <w:t xml:space="preserve">undertake an evaluation to </w:t>
      </w:r>
      <w:r w:rsidRPr="00E93E27">
        <w:t>assess the feasibility, obstacles, benefits</w:t>
      </w:r>
      <w:r w:rsidR="0031599F">
        <w:t xml:space="preserve"> </w:t>
      </w:r>
      <w:r w:rsidRPr="00E93E27">
        <w:t>for integrating the mobile app</w:t>
      </w:r>
      <w:r w:rsidR="002D0947">
        <w:t>lication</w:t>
      </w:r>
      <w:r w:rsidR="00BC1556">
        <w:t xml:space="preserve"> (mobile app)</w:t>
      </w:r>
      <w:r w:rsidR="002D0947">
        <w:t xml:space="preserve"> </w:t>
      </w:r>
      <w:r w:rsidRPr="00E93E27">
        <w:t xml:space="preserve">into the </w:t>
      </w:r>
      <w:r w:rsidR="0031599F">
        <w:t>PG&amp;E</w:t>
      </w:r>
      <w:r w:rsidRPr="00E93E27">
        <w:t>’s existing complaint-intake system</w:t>
      </w:r>
      <w:r w:rsidRPr="00AD558B" w:rsidR="007B37A9">
        <w:t>.</w:t>
      </w:r>
      <w:r w:rsidR="00BC26A2">
        <w:t xml:space="preserve"> </w:t>
      </w:r>
      <w:r w:rsidRPr="00AD558B" w:rsidR="002D0947">
        <w:t xml:space="preserve"> </w:t>
      </w:r>
      <w:r w:rsidRPr="00492391" w:rsidR="00BC1556">
        <w:t>T</w:t>
      </w:r>
      <w:r w:rsidR="00BC1556">
        <w:t>his evaluation</w:t>
      </w:r>
      <w:r w:rsidR="009D5F91">
        <w:t xml:space="preserve"> </w:t>
      </w:r>
      <w:r w:rsidR="00BC1556">
        <w:t xml:space="preserve">shall be </w:t>
      </w:r>
      <w:r w:rsidR="009D5F91">
        <w:t xml:space="preserve">included </w:t>
      </w:r>
      <w:r w:rsidR="00BC1556">
        <w:t>as part of the independent consultant’</w:t>
      </w:r>
      <w:r w:rsidR="0031599F">
        <w:t xml:space="preserve">s </w:t>
      </w:r>
      <w:r w:rsidR="00BC1556">
        <w:t>evaluation of the mobile app pilot.</w:t>
      </w:r>
    </w:p>
    <w:p w:rsidR="0031599F" w:rsidP="0031599F" w:rsidRDefault="00D01520" w14:paraId="55B843CE" w14:textId="4E731581">
      <w:pPr>
        <w:pStyle w:val="OP"/>
      </w:pPr>
      <w:r w:rsidRPr="00864137">
        <w:t xml:space="preserve">The Commission </w:t>
      </w:r>
      <w:r>
        <w:t>authorizes</w:t>
      </w:r>
      <w:r w:rsidR="004179DE">
        <w:t xml:space="preserve"> its</w:t>
      </w:r>
      <w:r w:rsidR="0031599F">
        <w:t xml:space="preserve"> </w:t>
      </w:r>
      <w:r w:rsidRPr="00864137">
        <w:t>S</w:t>
      </w:r>
      <w:r w:rsidR="0031599F">
        <w:t xml:space="preserve">afety Policy </w:t>
      </w:r>
      <w:r w:rsidRPr="00864137">
        <w:t>D</w:t>
      </w:r>
      <w:r w:rsidR="0031599F">
        <w:t>ivision</w:t>
      </w:r>
      <w:r w:rsidRPr="00864137">
        <w:t xml:space="preserve"> to modify the evaluation schedule</w:t>
      </w:r>
      <w:r>
        <w:t xml:space="preserve"> </w:t>
      </w:r>
      <w:r w:rsidR="005A635F">
        <w:t xml:space="preserve">set forth herein </w:t>
      </w:r>
      <w:r w:rsidR="004179DE">
        <w:t xml:space="preserve">of the </w:t>
      </w:r>
      <w:r w:rsidRPr="005A635F" w:rsidR="005A635F">
        <w:t>Pacific Gas and Electric Company</w:t>
      </w:r>
      <w:r w:rsidR="005A635F">
        <w:t xml:space="preserve"> </w:t>
      </w:r>
      <w:r w:rsidR="004179DE">
        <w:t xml:space="preserve">mobile application pilot </w:t>
      </w:r>
      <w:r>
        <w:t xml:space="preserve">as may be necessary and appropriate.  </w:t>
      </w:r>
      <w:r w:rsidRPr="00864137">
        <w:t xml:space="preserve">  </w:t>
      </w:r>
    </w:p>
    <w:p w:rsidR="009D5F91" w:rsidP="0031599F" w:rsidRDefault="009D5F91" w14:paraId="2931E541" w14:textId="670E7905">
      <w:pPr>
        <w:pStyle w:val="OP"/>
      </w:pPr>
      <w:bookmarkStart w:name="_Hlk48647760" w:id="1136"/>
      <w:r w:rsidRPr="00E93E27">
        <w:t xml:space="preserve">Pacific Gas and Electric Company’s </w:t>
      </w:r>
      <w:bookmarkEnd w:id="1136"/>
      <w:r w:rsidRPr="00E93E27">
        <w:t>costs associated with the development</w:t>
      </w:r>
      <w:r w:rsidR="00C6295E">
        <w:t xml:space="preserve"> and </w:t>
      </w:r>
      <w:r w:rsidRPr="00E93E27">
        <w:t>continued operation</w:t>
      </w:r>
      <w:r>
        <w:t>,</w:t>
      </w:r>
      <w:r w:rsidR="00C6295E">
        <w:t xml:space="preserve"> including </w:t>
      </w:r>
      <w:r>
        <w:t>evaluation</w:t>
      </w:r>
      <w:r w:rsidR="00C6295E">
        <w:t>, outreach, and training, associated with</w:t>
      </w:r>
      <w:r w:rsidRPr="00E93E27">
        <w:t xml:space="preserve"> the mobile application pilot shall be a</w:t>
      </w:r>
      <w:r>
        <w:t>t</w:t>
      </w:r>
      <w:r w:rsidRPr="00E93E27">
        <w:t xml:space="preserve"> shareholder expense</w:t>
      </w:r>
      <w:r w:rsidR="00BC26A2">
        <w:t>.</w:t>
      </w:r>
      <w:r w:rsidRPr="001E2A62">
        <w:t xml:space="preserve"> </w:t>
      </w:r>
    </w:p>
    <w:p w:rsidR="00F6397D" w:rsidP="0087100E" w:rsidRDefault="00E23CBB" w14:paraId="14AC89AF" w14:textId="75F3E8AB">
      <w:pPr>
        <w:pStyle w:val="OP"/>
      </w:pPr>
      <w:r w:rsidRPr="001E2A62">
        <w:t>Application</w:t>
      </w:r>
      <w:r w:rsidR="00977583">
        <w:t xml:space="preserve"> 19-07-019</w:t>
      </w:r>
      <w:r w:rsidRPr="001E2A62">
        <w:t xml:space="preserve"> </w:t>
      </w:r>
      <w:r w:rsidR="00E426D7">
        <w:t>remains open</w:t>
      </w:r>
      <w:r w:rsidRPr="001E2A62">
        <w:t>.</w:t>
      </w:r>
    </w:p>
    <w:p w:rsidR="008F0116" w:rsidP="0087100E" w:rsidRDefault="008F0116" w14:paraId="3A2AB0C7" w14:textId="77777777">
      <w:r>
        <w:t>This order is effective today.</w:t>
      </w:r>
    </w:p>
    <w:p w:rsidR="0087100E" w:rsidP="0087100E" w:rsidRDefault="008F0116" w14:paraId="4CD3E9F0" w14:textId="443A74AB">
      <w:r>
        <w:t>Dated</w:t>
      </w:r>
      <w:r w:rsidR="00F1138C">
        <w:t xml:space="preserve"> October 8, 2020</w:t>
      </w:r>
      <w:r>
        <w:t>, at San Francisco, California</w:t>
      </w:r>
    </w:p>
    <w:p w:rsidR="00F1138C" w:rsidP="00F1138C" w:rsidRDefault="00F1138C" w14:paraId="59EC51D4" w14:textId="77777777">
      <w:pPr>
        <w:pStyle w:val="Standard"/>
        <w:ind w:left="720" w:firstLine="0"/>
        <w:rPr>
          <w:b/>
          <w:bCs/>
          <w:sz w:val="28"/>
          <w:szCs w:val="28"/>
        </w:rPr>
      </w:pPr>
    </w:p>
    <w:p w:rsidRPr="00F1138C" w:rsidR="00F1138C" w:rsidP="00F1138C" w:rsidRDefault="00F1138C" w14:paraId="4159F50D" w14:textId="77777777">
      <w:pPr>
        <w:autoSpaceDE w:val="0"/>
        <w:autoSpaceDN w:val="0"/>
        <w:adjustRightInd w:val="0"/>
        <w:spacing w:line="240" w:lineRule="auto"/>
        <w:ind w:left="4320" w:firstLine="0"/>
        <w:jc w:val="both"/>
        <w:rPr>
          <w:rFonts w:eastAsia="Times New Roman" w:cs="Palatino"/>
          <w:szCs w:val="26"/>
        </w:rPr>
      </w:pPr>
      <w:bookmarkStart w:name="_Hlk17215919" w:id="1137"/>
      <w:r w:rsidRPr="00F1138C">
        <w:rPr>
          <w:rFonts w:eastAsia="Times New Roman" w:cs="Courier New"/>
          <w:szCs w:val="26"/>
        </w:rPr>
        <w:t>MARYBEL BATJER</w:t>
      </w:r>
    </w:p>
    <w:p w:rsidRPr="00F1138C" w:rsidR="00F1138C" w:rsidP="00F1138C" w:rsidRDefault="00F1138C" w14:paraId="331ABA62" w14:textId="77777777">
      <w:pPr>
        <w:autoSpaceDE w:val="0"/>
        <w:autoSpaceDN w:val="0"/>
        <w:adjustRightInd w:val="0"/>
        <w:spacing w:line="240" w:lineRule="auto"/>
        <w:jc w:val="both"/>
        <w:rPr>
          <w:rFonts w:eastAsia="Times New Roman" w:cs="Palatino"/>
          <w:szCs w:val="26"/>
        </w:rPr>
      </w:pPr>
      <w:r w:rsidRPr="00F1138C">
        <w:rPr>
          <w:rFonts w:eastAsia="Times New Roman" w:cs="Palatino"/>
          <w:szCs w:val="26"/>
        </w:rPr>
        <w:tab/>
      </w:r>
      <w:r w:rsidRPr="00F1138C">
        <w:rPr>
          <w:rFonts w:eastAsia="Times New Roman" w:cs="Palatino"/>
          <w:szCs w:val="26"/>
        </w:rPr>
        <w:tab/>
      </w:r>
      <w:r w:rsidRPr="00F1138C">
        <w:rPr>
          <w:rFonts w:eastAsia="Times New Roman" w:cs="Palatino"/>
          <w:szCs w:val="26"/>
        </w:rPr>
        <w:tab/>
      </w:r>
      <w:r w:rsidRPr="00F1138C">
        <w:rPr>
          <w:rFonts w:eastAsia="Times New Roman" w:cs="Palatino"/>
          <w:szCs w:val="26"/>
        </w:rPr>
        <w:tab/>
      </w:r>
      <w:r w:rsidRPr="00F1138C">
        <w:rPr>
          <w:rFonts w:eastAsia="Times New Roman" w:cs="Palatino"/>
          <w:szCs w:val="26"/>
        </w:rPr>
        <w:tab/>
        <w:t xml:space="preserve">                       President</w:t>
      </w:r>
    </w:p>
    <w:p w:rsidRPr="00F1138C" w:rsidR="00F1138C" w:rsidP="00F1138C" w:rsidRDefault="00F1138C" w14:paraId="236D0018" w14:textId="77777777">
      <w:pPr>
        <w:autoSpaceDE w:val="0"/>
        <w:autoSpaceDN w:val="0"/>
        <w:adjustRightInd w:val="0"/>
        <w:spacing w:line="240" w:lineRule="auto"/>
        <w:ind w:left="4320" w:firstLine="0"/>
        <w:jc w:val="both"/>
        <w:rPr>
          <w:rFonts w:eastAsia="Times New Roman" w:cs="Courier New"/>
          <w:szCs w:val="26"/>
        </w:rPr>
      </w:pPr>
      <w:r w:rsidRPr="00F1138C">
        <w:rPr>
          <w:rFonts w:eastAsia="Times New Roman" w:cs="Courier New"/>
          <w:szCs w:val="26"/>
        </w:rPr>
        <w:t>LIANE M. RANDOLPH</w:t>
      </w:r>
    </w:p>
    <w:p w:rsidRPr="00F1138C" w:rsidR="00F1138C" w:rsidP="00F1138C" w:rsidRDefault="00F1138C" w14:paraId="27A95EEE" w14:textId="77777777">
      <w:pPr>
        <w:autoSpaceDE w:val="0"/>
        <w:autoSpaceDN w:val="0"/>
        <w:adjustRightInd w:val="0"/>
        <w:spacing w:line="240" w:lineRule="auto"/>
        <w:ind w:left="4320" w:firstLine="0"/>
        <w:jc w:val="both"/>
        <w:rPr>
          <w:rFonts w:eastAsia="Times New Roman" w:cs="Arial"/>
          <w:sz w:val="28"/>
          <w:szCs w:val="28"/>
        </w:rPr>
      </w:pPr>
      <w:r w:rsidRPr="00F1138C">
        <w:rPr>
          <w:rFonts w:eastAsia="Times New Roman" w:cs="Arial"/>
          <w:sz w:val="28"/>
          <w:szCs w:val="28"/>
        </w:rPr>
        <w:t>MARTHA GUZMAN ACEVES</w:t>
      </w:r>
    </w:p>
    <w:p w:rsidRPr="00F1138C" w:rsidR="00F1138C" w:rsidP="00F1138C" w:rsidRDefault="00F1138C" w14:paraId="27AB8B82" w14:textId="77777777">
      <w:pPr>
        <w:autoSpaceDE w:val="0"/>
        <w:autoSpaceDN w:val="0"/>
        <w:adjustRightInd w:val="0"/>
        <w:spacing w:line="240" w:lineRule="auto"/>
        <w:ind w:left="4320" w:firstLine="0"/>
        <w:jc w:val="both"/>
        <w:rPr>
          <w:rFonts w:eastAsia="Times New Roman" w:cs="Arial"/>
          <w:sz w:val="28"/>
          <w:szCs w:val="28"/>
        </w:rPr>
      </w:pPr>
      <w:r w:rsidRPr="00F1138C">
        <w:rPr>
          <w:rFonts w:eastAsia="Times New Roman" w:cs="Arial"/>
          <w:sz w:val="28"/>
          <w:szCs w:val="28"/>
        </w:rPr>
        <w:t>CLIFFORD RECHTSCHAFFEN</w:t>
      </w:r>
    </w:p>
    <w:p w:rsidRPr="00F1138C" w:rsidR="00F1138C" w:rsidP="00F1138C" w:rsidRDefault="00F1138C" w14:paraId="7B13B2CB" w14:textId="77777777">
      <w:pPr>
        <w:autoSpaceDE w:val="0"/>
        <w:autoSpaceDN w:val="0"/>
        <w:adjustRightInd w:val="0"/>
        <w:spacing w:line="240" w:lineRule="auto"/>
        <w:ind w:left="4320" w:firstLine="0"/>
        <w:jc w:val="both"/>
        <w:rPr>
          <w:rFonts w:eastAsia="Times New Roman" w:cs="Arial"/>
          <w:sz w:val="28"/>
          <w:szCs w:val="28"/>
        </w:rPr>
      </w:pPr>
      <w:r w:rsidRPr="00F1138C">
        <w:rPr>
          <w:rFonts w:eastAsia="Times New Roman" w:cs="Arial"/>
          <w:sz w:val="28"/>
          <w:szCs w:val="28"/>
        </w:rPr>
        <w:t>GENEVIEVE SHIROMA</w:t>
      </w:r>
    </w:p>
    <w:p w:rsidRPr="00F1138C" w:rsidR="00F1138C" w:rsidP="00F1138C" w:rsidRDefault="00F1138C" w14:paraId="3DBF1B45" w14:textId="77777777">
      <w:pPr>
        <w:autoSpaceDE w:val="0"/>
        <w:autoSpaceDN w:val="0"/>
        <w:adjustRightInd w:val="0"/>
        <w:spacing w:line="240" w:lineRule="auto"/>
        <w:ind w:left="4320"/>
        <w:jc w:val="both"/>
        <w:rPr>
          <w:rFonts w:eastAsia="Times New Roman" w:cs="Palatino"/>
          <w:szCs w:val="26"/>
        </w:rPr>
      </w:pPr>
      <w:r w:rsidRPr="00F1138C">
        <w:rPr>
          <w:rFonts w:eastAsia="Times New Roman" w:cs="Palatino"/>
          <w:szCs w:val="26"/>
        </w:rPr>
        <w:t xml:space="preserve">                 Commissioners</w:t>
      </w:r>
      <w:bookmarkEnd w:id="1137"/>
    </w:p>
    <w:p w:rsidR="00F1138C" w:rsidP="00F1138C" w:rsidRDefault="00F1138C" w14:paraId="12C5D4B4" w14:textId="57B7D7FA">
      <w:pPr>
        <w:pStyle w:val="Standard"/>
        <w:rPr>
          <w:b/>
          <w:bCs/>
          <w:sz w:val="28"/>
          <w:szCs w:val="28"/>
        </w:rPr>
        <w:sectPr w:rsidR="00F1138C" w:rsidSect="00F1138C">
          <w:headerReference w:type="default" r:id="rId15"/>
          <w:footerReference w:type="default" r:id="rId16"/>
          <w:pgSz w:w="12240" w:h="15840"/>
          <w:pgMar w:top="1578" w:right="1440" w:bottom="1440" w:left="1440" w:header="720" w:footer="720" w:gutter="0"/>
          <w:pgNumType w:start="2"/>
          <w:cols w:space="720"/>
          <w:docGrid w:linePitch="360"/>
        </w:sectPr>
      </w:pPr>
    </w:p>
    <w:p w:rsidRPr="00FA4CD6" w:rsidR="0087100E" w:rsidP="00D57E31" w:rsidRDefault="0087100E" w14:paraId="6377849E" w14:textId="7FF91C76">
      <w:pPr>
        <w:pStyle w:val="Standard"/>
        <w:ind w:left="720" w:firstLine="0"/>
        <w:jc w:val="center"/>
        <w:rPr>
          <w:b/>
          <w:bCs/>
          <w:szCs w:val="26"/>
        </w:rPr>
      </w:pPr>
      <w:r w:rsidRPr="00FA4CD6">
        <w:rPr>
          <w:b/>
          <w:bCs/>
          <w:szCs w:val="26"/>
        </w:rPr>
        <w:lastRenderedPageBreak/>
        <w:t>Attachment A</w:t>
      </w:r>
      <w:r w:rsidRPr="00FA4CD6" w:rsidR="00DC0A5E">
        <w:rPr>
          <w:b/>
          <w:bCs/>
          <w:szCs w:val="26"/>
        </w:rPr>
        <w:t xml:space="preserve"> – A.19-0</w:t>
      </w:r>
      <w:r w:rsidRPr="00FA4CD6" w:rsidR="007F5F3C">
        <w:rPr>
          <w:b/>
          <w:bCs/>
          <w:szCs w:val="26"/>
        </w:rPr>
        <w:t>7</w:t>
      </w:r>
      <w:r w:rsidRPr="00FA4CD6" w:rsidR="00DC0A5E">
        <w:rPr>
          <w:b/>
          <w:bCs/>
          <w:szCs w:val="26"/>
        </w:rPr>
        <w:t>-019</w:t>
      </w:r>
    </w:p>
    <w:p w:rsidRPr="00DD7273" w:rsidR="00F4685D" w:rsidP="00FA4CD6" w:rsidRDefault="008802F9" w14:paraId="0B308BE0" w14:textId="7F6F1A43">
      <w:pPr>
        <w:pStyle w:val="Standard"/>
        <w:spacing w:after="120" w:line="240" w:lineRule="auto"/>
        <w:ind w:left="720" w:firstLine="0"/>
        <w:jc w:val="center"/>
        <w:rPr>
          <w:b/>
          <w:bCs/>
          <w:sz w:val="22"/>
        </w:rPr>
      </w:pPr>
      <w:r w:rsidRPr="00DD7273">
        <w:rPr>
          <w:b/>
          <w:bCs/>
          <w:sz w:val="22"/>
        </w:rPr>
        <w:t xml:space="preserve">SAFETY POLICY DIVISION </w:t>
      </w:r>
      <w:r w:rsidRPr="00DD7273" w:rsidR="00AD558B">
        <w:rPr>
          <w:b/>
          <w:bCs/>
          <w:sz w:val="22"/>
        </w:rPr>
        <w:t xml:space="preserve">INITIAL </w:t>
      </w:r>
      <w:r w:rsidRPr="00DD7273" w:rsidR="000C6F71">
        <w:rPr>
          <w:b/>
          <w:bCs/>
          <w:sz w:val="22"/>
        </w:rPr>
        <w:t xml:space="preserve">GUIDANCE </w:t>
      </w:r>
      <w:r w:rsidRPr="00FA4CD6" w:rsidR="00F9760F">
        <w:rPr>
          <w:b/>
          <w:bCs/>
          <w:sz w:val="22"/>
        </w:rPr>
        <w:t xml:space="preserve">- </w:t>
      </w:r>
      <w:r w:rsidRPr="00DD7273" w:rsidR="00AE1F0C">
        <w:rPr>
          <w:b/>
          <w:bCs/>
          <w:sz w:val="22"/>
        </w:rPr>
        <w:t>EVALUATION OF</w:t>
      </w:r>
      <w:r w:rsidRPr="00FA4CD6" w:rsidR="00F9760F">
        <w:rPr>
          <w:b/>
          <w:bCs/>
          <w:sz w:val="22"/>
        </w:rPr>
        <w:t xml:space="preserve"> </w:t>
      </w:r>
      <w:r w:rsidRPr="00DD7273" w:rsidR="00AE1F0C">
        <w:rPr>
          <w:b/>
          <w:bCs/>
          <w:sz w:val="22"/>
        </w:rPr>
        <w:t>MOBILE APP PILOT</w:t>
      </w:r>
    </w:p>
    <w:p w:rsidRPr="00FA4CD6" w:rsidR="00DC0A5E" w:rsidP="00FA4CD6" w:rsidRDefault="00DC0A5E" w14:paraId="25EA650F" w14:textId="595F929F">
      <w:pPr>
        <w:pStyle w:val="Standard"/>
        <w:spacing w:after="120" w:line="240" w:lineRule="auto"/>
        <w:ind w:firstLine="0"/>
        <w:rPr>
          <w:sz w:val="22"/>
        </w:rPr>
      </w:pPr>
      <w:r w:rsidRPr="00FA4CD6">
        <w:rPr>
          <w:sz w:val="22"/>
        </w:rPr>
        <w:t>PG&amp;E</w:t>
      </w:r>
      <w:r w:rsidRPr="00FA4CD6" w:rsidR="00EB11A0">
        <w:rPr>
          <w:sz w:val="22"/>
        </w:rPr>
        <w:t>’s</w:t>
      </w:r>
      <w:r w:rsidRPr="00FA4CD6">
        <w:rPr>
          <w:sz w:val="22"/>
        </w:rPr>
        <w:t xml:space="preserve"> </w:t>
      </w:r>
      <w:r w:rsidRPr="00FA4CD6" w:rsidR="008802F9">
        <w:rPr>
          <w:sz w:val="22"/>
        </w:rPr>
        <w:t xml:space="preserve">independent </w:t>
      </w:r>
      <w:r w:rsidRPr="00FA4CD6" w:rsidR="00113CA2">
        <w:rPr>
          <w:sz w:val="22"/>
        </w:rPr>
        <w:t>consultant</w:t>
      </w:r>
      <w:r w:rsidRPr="00FA4CD6">
        <w:rPr>
          <w:sz w:val="22"/>
        </w:rPr>
        <w:t>, in consultation with</w:t>
      </w:r>
      <w:r w:rsidRPr="00FA4CD6" w:rsidR="008802F9">
        <w:rPr>
          <w:sz w:val="22"/>
        </w:rPr>
        <w:t xml:space="preserve"> </w:t>
      </w:r>
      <w:r w:rsidRPr="00FA4CD6">
        <w:rPr>
          <w:sz w:val="22"/>
        </w:rPr>
        <w:t xml:space="preserve">the Commission’s </w:t>
      </w:r>
      <w:r w:rsidRPr="00FA4CD6" w:rsidR="00AD558B">
        <w:rPr>
          <w:sz w:val="22"/>
        </w:rPr>
        <w:t>Safety Policy Division (SPD)</w:t>
      </w:r>
      <w:r w:rsidRPr="00FA4CD6">
        <w:rPr>
          <w:sz w:val="22"/>
        </w:rPr>
        <w:t>,</w:t>
      </w:r>
      <w:r w:rsidRPr="00FA4CD6" w:rsidR="00AD558B">
        <w:rPr>
          <w:sz w:val="22"/>
        </w:rPr>
        <w:t xml:space="preserve"> </w:t>
      </w:r>
      <w:r w:rsidRPr="00FA4CD6" w:rsidR="007E02D1">
        <w:rPr>
          <w:sz w:val="22"/>
        </w:rPr>
        <w:t>sh</w:t>
      </w:r>
      <w:r w:rsidRPr="00FA4CD6" w:rsidR="00697641">
        <w:rPr>
          <w:sz w:val="22"/>
        </w:rPr>
        <w:t>ould</w:t>
      </w:r>
      <w:r w:rsidRPr="00FA4CD6" w:rsidR="00A7041E">
        <w:rPr>
          <w:sz w:val="22"/>
        </w:rPr>
        <w:t xml:space="preserve"> </w:t>
      </w:r>
      <w:r w:rsidRPr="00FA4CD6" w:rsidR="008802F9">
        <w:rPr>
          <w:sz w:val="22"/>
        </w:rPr>
        <w:t>consider the following</w:t>
      </w:r>
      <w:r w:rsidRPr="00FA4CD6" w:rsidR="00F1377B">
        <w:rPr>
          <w:sz w:val="22"/>
        </w:rPr>
        <w:t xml:space="preserve"> criteria</w:t>
      </w:r>
      <w:r w:rsidRPr="00FA4CD6" w:rsidR="00D04F7C">
        <w:rPr>
          <w:sz w:val="22"/>
        </w:rPr>
        <w:t>, among others,</w:t>
      </w:r>
      <w:r w:rsidRPr="00FA4CD6" w:rsidR="00AD558B">
        <w:rPr>
          <w:sz w:val="22"/>
        </w:rPr>
        <w:t xml:space="preserve"> in the independent consultant’s </w:t>
      </w:r>
      <w:r w:rsidRPr="00FA4CD6" w:rsidR="00A4774C">
        <w:rPr>
          <w:sz w:val="22"/>
        </w:rPr>
        <w:t>evaluation</w:t>
      </w:r>
      <w:r w:rsidRPr="00FA4CD6" w:rsidR="00697641">
        <w:rPr>
          <w:sz w:val="22"/>
        </w:rPr>
        <w:t xml:space="preserve"> of the mobile application (mobile app) pilot</w:t>
      </w:r>
      <w:r w:rsidRPr="00FA4CD6" w:rsidR="00F55493">
        <w:rPr>
          <w:sz w:val="22"/>
        </w:rPr>
        <w:t>:</w:t>
      </w:r>
      <w:r w:rsidRPr="00FA4CD6" w:rsidR="008802F9">
        <w:rPr>
          <w:sz w:val="22"/>
        </w:rPr>
        <w:t xml:space="preserve"> </w:t>
      </w:r>
    </w:p>
    <w:p w:rsidRPr="00FA4CD6" w:rsidR="004D3CC9" w:rsidP="00FA4CD6" w:rsidRDefault="000E7352" w14:paraId="326E1E3E" w14:textId="32FC24DA">
      <w:pPr>
        <w:pStyle w:val="Standard"/>
        <w:numPr>
          <w:ilvl w:val="0"/>
          <w:numId w:val="58"/>
        </w:numPr>
        <w:spacing w:after="120" w:line="240" w:lineRule="auto"/>
        <w:ind w:left="1080"/>
        <w:rPr>
          <w:sz w:val="22"/>
        </w:rPr>
      </w:pPr>
      <w:r w:rsidRPr="00FA4CD6">
        <w:rPr>
          <w:sz w:val="22"/>
        </w:rPr>
        <w:t>O</w:t>
      </w:r>
      <w:r w:rsidRPr="00FA4CD6" w:rsidR="004D3CC9">
        <w:rPr>
          <w:sz w:val="22"/>
        </w:rPr>
        <w:t>utreach and training efforts</w:t>
      </w:r>
      <w:r w:rsidRPr="00FA4CD6" w:rsidR="00FC52E8">
        <w:rPr>
          <w:sz w:val="22"/>
        </w:rPr>
        <w:t xml:space="preserve">; the need for additional </w:t>
      </w:r>
      <w:r w:rsidRPr="00FA4CD6" w:rsidR="004D681D">
        <w:rPr>
          <w:sz w:val="22"/>
        </w:rPr>
        <w:t xml:space="preserve">types of </w:t>
      </w:r>
      <w:r w:rsidRPr="00FA4CD6" w:rsidR="00FC52E8">
        <w:rPr>
          <w:sz w:val="22"/>
        </w:rPr>
        <w:t>training</w:t>
      </w:r>
      <w:r w:rsidRPr="00FA4CD6" w:rsidR="004D681D">
        <w:rPr>
          <w:sz w:val="22"/>
        </w:rPr>
        <w:t>,</w:t>
      </w:r>
      <w:r w:rsidRPr="00FA4CD6" w:rsidR="00FC52E8">
        <w:rPr>
          <w:sz w:val="22"/>
        </w:rPr>
        <w:t xml:space="preserve"> if permanently adopted</w:t>
      </w:r>
      <w:r w:rsidRPr="00FA4CD6" w:rsidR="0010484A">
        <w:rPr>
          <w:sz w:val="22"/>
        </w:rPr>
        <w:t>.</w:t>
      </w:r>
    </w:p>
    <w:p w:rsidRPr="00FA4CD6" w:rsidR="00AC4B8F" w:rsidP="00FA4CD6" w:rsidRDefault="00AD558B" w14:paraId="7439E2EB" w14:textId="47D33514">
      <w:pPr>
        <w:pStyle w:val="Standard"/>
        <w:numPr>
          <w:ilvl w:val="0"/>
          <w:numId w:val="58"/>
        </w:numPr>
        <w:spacing w:after="120" w:line="240" w:lineRule="auto"/>
        <w:ind w:left="1080"/>
        <w:rPr>
          <w:sz w:val="22"/>
        </w:rPr>
      </w:pPr>
      <w:r w:rsidRPr="00FA4CD6">
        <w:rPr>
          <w:sz w:val="22"/>
        </w:rPr>
        <w:t xml:space="preserve">Extent of </w:t>
      </w:r>
      <w:r w:rsidRPr="00FA4CD6" w:rsidR="00D04F7C">
        <w:rPr>
          <w:sz w:val="22"/>
        </w:rPr>
        <w:t xml:space="preserve">use by PG&amp;E’s </w:t>
      </w:r>
      <w:r w:rsidRPr="00FA4CD6">
        <w:rPr>
          <w:sz w:val="22"/>
        </w:rPr>
        <w:t>customer</w:t>
      </w:r>
      <w:r w:rsidRPr="00FA4CD6" w:rsidR="00D04F7C">
        <w:rPr>
          <w:sz w:val="22"/>
        </w:rPr>
        <w:t>s</w:t>
      </w:r>
      <w:r w:rsidRPr="00FA4CD6" w:rsidR="0055427F">
        <w:rPr>
          <w:sz w:val="22"/>
        </w:rPr>
        <w:t xml:space="preserve"> and whether app is user-friendly</w:t>
      </w:r>
      <w:r w:rsidRPr="00FA4CD6" w:rsidR="0010484A">
        <w:rPr>
          <w:sz w:val="22"/>
        </w:rPr>
        <w:t>.</w:t>
      </w:r>
    </w:p>
    <w:p w:rsidRPr="00FA4CD6" w:rsidR="004D3CC9" w:rsidP="00FA4CD6" w:rsidRDefault="00AD558B" w14:paraId="1F8F27B4" w14:textId="27CA91CF">
      <w:pPr>
        <w:pStyle w:val="ListParagraph"/>
        <w:numPr>
          <w:ilvl w:val="0"/>
          <w:numId w:val="58"/>
        </w:numPr>
        <w:spacing w:after="120" w:line="240" w:lineRule="auto"/>
        <w:ind w:left="1080"/>
        <w:contextualSpacing w:val="0"/>
        <w:rPr>
          <w:rFonts w:ascii="Book Antiqua" w:hAnsi="Book Antiqua"/>
        </w:rPr>
      </w:pPr>
      <w:r w:rsidRPr="00FA4CD6">
        <w:rPr>
          <w:rFonts w:ascii="Book Antiqua" w:hAnsi="Book Antiqua"/>
        </w:rPr>
        <w:t>Extent of us</w:t>
      </w:r>
      <w:r w:rsidRPr="00FA4CD6" w:rsidR="0010484A">
        <w:rPr>
          <w:rFonts w:ascii="Book Antiqua" w:hAnsi="Book Antiqua"/>
        </w:rPr>
        <w:t xml:space="preserve">e </w:t>
      </w:r>
      <w:r w:rsidRPr="00FA4CD6">
        <w:rPr>
          <w:rFonts w:ascii="Book Antiqua" w:hAnsi="Book Antiqua"/>
        </w:rPr>
        <w:t xml:space="preserve">by </w:t>
      </w:r>
      <w:r w:rsidRPr="00FA4CD6" w:rsidR="004D3CC9">
        <w:rPr>
          <w:rFonts w:ascii="Book Antiqua" w:hAnsi="Book Antiqua"/>
        </w:rPr>
        <w:t xml:space="preserve">CAL FIRE, cable companies, telecommunication providers, and </w:t>
      </w:r>
      <w:r w:rsidRPr="00FA4CD6" w:rsidR="003D7BB7">
        <w:rPr>
          <w:rFonts w:ascii="Book Antiqua" w:hAnsi="Book Antiqua"/>
        </w:rPr>
        <w:t xml:space="preserve">PG&amp;E </w:t>
      </w:r>
      <w:r w:rsidRPr="00FA4CD6" w:rsidR="004D3CC9">
        <w:rPr>
          <w:rFonts w:ascii="Book Antiqua" w:hAnsi="Book Antiqua"/>
        </w:rPr>
        <w:t>vegetation management consultants</w:t>
      </w:r>
      <w:r w:rsidRPr="00FA4CD6" w:rsidR="00D04F7C">
        <w:rPr>
          <w:rFonts w:ascii="Book Antiqua" w:hAnsi="Book Antiqua"/>
        </w:rPr>
        <w:t>.</w:t>
      </w:r>
    </w:p>
    <w:p w:rsidRPr="00FA4CD6" w:rsidR="00AC4B8F" w:rsidP="00FA4CD6" w:rsidRDefault="00D04F7C" w14:paraId="62C1CF97" w14:textId="79A35718">
      <w:pPr>
        <w:pStyle w:val="Standard"/>
        <w:numPr>
          <w:ilvl w:val="0"/>
          <w:numId w:val="58"/>
        </w:numPr>
        <w:spacing w:after="120" w:line="240" w:lineRule="auto"/>
        <w:ind w:left="1080"/>
        <w:rPr>
          <w:sz w:val="22"/>
        </w:rPr>
      </w:pPr>
      <w:r w:rsidRPr="00FA4CD6">
        <w:rPr>
          <w:sz w:val="22"/>
        </w:rPr>
        <w:t>Effectiveness</w:t>
      </w:r>
      <w:r w:rsidRPr="00FA4CD6" w:rsidR="004D3CC9">
        <w:rPr>
          <w:sz w:val="22"/>
        </w:rPr>
        <w:t xml:space="preserve"> </w:t>
      </w:r>
      <w:r w:rsidRPr="00FA4CD6">
        <w:rPr>
          <w:sz w:val="22"/>
        </w:rPr>
        <w:t xml:space="preserve">at </w:t>
      </w:r>
      <w:r w:rsidRPr="00FA4CD6" w:rsidR="00AC4B8F">
        <w:rPr>
          <w:sz w:val="22"/>
        </w:rPr>
        <w:t>identifying s</w:t>
      </w:r>
      <w:r w:rsidRPr="00FA4CD6" w:rsidR="008802F9">
        <w:rPr>
          <w:sz w:val="22"/>
        </w:rPr>
        <w:t>afety risks</w:t>
      </w:r>
      <w:r w:rsidRPr="00FA4CD6">
        <w:rPr>
          <w:sz w:val="22"/>
        </w:rPr>
        <w:t>.</w:t>
      </w:r>
    </w:p>
    <w:p w:rsidRPr="00FA4CD6" w:rsidR="008802F9" w:rsidP="00FA4CD6" w:rsidRDefault="00AD558B" w14:paraId="071BA729" w14:textId="6D453AD6">
      <w:pPr>
        <w:pStyle w:val="Standard"/>
        <w:numPr>
          <w:ilvl w:val="0"/>
          <w:numId w:val="58"/>
        </w:numPr>
        <w:spacing w:after="120" w:line="240" w:lineRule="auto"/>
        <w:ind w:left="1080"/>
        <w:rPr>
          <w:sz w:val="22"/>
        </w:rPr>
      </w:pPr>
      <w:r w:rsidRPr="00FA4CD6">
        <w:rPr>
          <w:sz w:val="22"/>
        </w:rPr>
        <w:t>E</w:t>
      </w:r>
      <w:r w:rsidRPr="00FA4CD6" w:rsidR="00823163">
        <w:rPr>
          <w:sz w:val="22"/>
        </w:rPr>
        <w:t>vidence of unintended consequences, such as diverting safety resources from greater to lesser safety risks</w:t>
      </w:r>
      <w:r w:rsidRPr="00FA4CD6" w:rsidR="00D04F7C">
        <w:rPr>
          <w:sz w:val="22"/>
        </w:rPr>
        <w:t>.</w:t>
      </w:r>
    </w:p>
    <w:p w:rsidRPr="00FA4CD6" w:rsidR="00AD558B" w:rsidP="00FA4CD6" w:rsidRDefault="00AD558B" w14:paraId="0AA5011D" w14:textId="0A513FC3">
      <w:pPr>
        <w:pStyle w:val="Standard"/>
        <w:numPr>
          <w:ilvl w:val="0"/>
          <w:numId w:val="58"/>
        </w:numPr>
        <w:spacing w:after="120" w:line="240" w:lineRule="auto"/>
        <w:ind w:left="1080"/>
        <w:rPr>
          <w:sz w:val="22"/>
        </w:rPr>
      </w:pPr>
      <w:r w:rsidRPr="00FA4CD6">
        <w:rPr>
          <w:sz w:val="22"/>
        </w:rPr>
        <w:t>L</w:t>
      </w:r>
      <w:r w:rsidRPr="00FA4CD6" w:rsidR="004D3CC9">
        <w:rPr>
          <w:sz w:val="22"/>
        </w:rPr>
        <w:t>essons learned</w:t>
      </w:r>
      <w:r w:rsidRPr="00FA4CD6" w:rsidR="00D04F7C">
        <w:rPr>
          <w:sz w:val="22"/>
        </w:rPr>
        <w:t xml:space="preserve"> from pilot</w:t>
      </w:r>
      <w:r w:rsidRPr="00FA4CD6" w:rsidR="007563E7">
        <w:rPr>
          <w:sz w:val="22"/>
        </w:rPr>
        <w:t>.</w:t>
      </w:r>
    </w:p>
    <w:p w:rsidRPr="00FA4CD6" w:rsidR="00AD558B" w:rsidP="00FA4CD6" w:rsidRDefault="00AD558B" w14:paraId="34298EB3" w14:textId="6A07E20C">
      <w:pPr>
        <w:pStyle w:val="Standard"/>
        <w:numPr>
          <w:ilvl w:val="0"/>
          <w:numId w:val="58"/>
        </w:numPr>
        <w:spacing w:after="120" w:line="240" w:lineRule="auto"/>
        <w:ind w:left="1080"/>
        <w:rPr>
          <w:sz w:val="22"/>
        </w:rPr>
      </w:pPr>
      <w:r w:rsidRPr="00FA4CD6">
        <w:rPr>
          <w:sz w:val="22"/>
        </w:rPr>
        <w:t>A</w:t>
      </w:r>
      <w:r w:rsidRPr="00FA4CD6" w:rsidR="00F4685D">
        <w:rPr>
          <w:sz w:val="22"/>
        </w:rPr>
        <w:t>voided costs (</w:t>
      </w:r>
      <w:r w:rsidRPr="00FA4CD6">
        <w:rPr>
          <w:sz w:val="22"/>
        </w:rPr>
        <w:t xml:space="preserve">e.g., </w:t>
      </w:r>
      <w:r w:rsidRPr="00FA4CD6" w:rsidR="00F4685D">
        <w:rPr>
          <w:sz w:val="22"/>
        </w:rPr>
        <w:t>avoided loss assets, avoided service outages, avoided private property losses, avoided regulatory sanctions)</w:t>
      </w:r>
      <w:r w:rsidRPr="00FA4CD6" w:rsidR="00D04F7C">
        <w:rPr>
          <w:sz w:val="22"/>
        </w:rPr>
        <w:t>.</w:t>
      </w:r>
    </w:p>
    <w:p w:rsidRPr="00FA4CD6" w:rsidR="00AD558B" w:rsidP="00FA4CD6" w:rsidRDefault="00F4685D" w14:paraId="5C8F3E0D" w14:textId="29232B3C">
      <w:pPr>
        <w:pStyle w:val="Standard"/>
        <w:numPr>
          <w:ilvl w:val="0"/>
          <w:numId w:val="58"/>
        </w:numPr>
        <w:spacing w:after="120" w:line="240" w:lineRule="auto"/>
        <w:ind w:left="1080"/>
        <w:rPr>
          <w:sz w:val="22"/>
        </w:rPr>
      </w:pPr>
      <w:r w:rsidRPr="00FA4CD6">
        <w:rPr>
          <w:sz w:val="22"/>
        </w:rPr>
        <w:t>Estimated minutes of avoided service outage disruption</w:t>
      </w:r>
      <w:r w:rsidRPr="00FA4CD6" w:rsidR="002F7A54">
        <w:rPr>
          <w:sz w:val="22"/>
        </w:rPr>
        <w:t>s</w:t>
      </w:r>
      <w:r w:rsidRPr="00FA4CD6">
        <w:rPr>
          <w:sz w:val="22"/>
        </w:rPr>
        <w:t xml:space="preserve"> over an impacted area of </w:t>
      </w:r>
      <w:r w:rsidRPr="00FA4CD6" w:rsidR="002F7A54">
        <w:rPr>
          <w:sz w:val="22"/>
        </w:rPr>
        <w:t xml:space="preserve">service </w:t>
      </w:r>
      <w:r w:rsidRPr="00FA4CD6">
        <w:rPr>
          <w:sz w:val="22"/>
        </w:rPr>
        <w:t>territory</w:t>
      </w:r>
      <w:r w:rsidRPr="00FA4CD6" w:rsidR="00D04F7C">
        <w:rPr>
          <w:sz w:val="22"/>
        </w:rPr>
        <w:t>.</w:t>
      </w:r>
    </w:p>
    <w:p w:rsidRPr="00FA4CD6" w:rsidR="00DC0A5E" w:rsidP="00FA4CD6" w:rsidRDefault="00F4685D" w14:paraId="5804616A" w14:textId="4D378923">
      <w:pPr>
        <w:pStyle w:val="Standard"/>
        <w:numPr>
          <w:ilvl w:val="0"/>
          <w:numId w:val="58"/>
        </w:numPr>
        <w:spacing w:after="120" w:line="240" w:lineRule="auto"/>
        <w:ind w:left="1080"/>
        <w:rPr>
          <w:sz w:val="22"/>
        </w:rPr>
      </w:pPr>
      <w:r w:rsidRPr="00FA4CD6">
        <w:rPr>
          <w:sz w:val="22"/>
        </w:rPr>
        <w:t>Estimated spillover benefit</w:t>
      </w:r>
      <w:r w:rsidRPr="00FA4CD6" w:rsidR="002F7A54">
        <w:rPr>
          <w:sz w:val="22"/>
        </w:rPr>
        <w:t>s</w:t>
      </w:r>
      <w:r w:rsidRPr="00FA4CD6">
        <w:rPr>
          <w:sz w:val="22"/>
        </w:rPr>
        <w:t xml:space="preserve"> and positive externalities (</w:t>
      </w:r>
      <w:r w:rsidRPr="00FA4CD6" w:rsidR="00DC0A5E">
        <w:rPr>
          <w:sz w:val="22"/>
        </w:rPr>
        <w:t xml:space="preserve">e.g., </w:t>
      </w:r>
      <w:r w:rsidRPr="00FA4CD6">
        <w:rPr>
          <w:sz w:val="22"/>
        </w:rPr>
        <w:t>improved</w:t>
      </w:r>
      <w:r w:rsidRPr="00FA4CD6" w:rsidR="009539C2">
        <w:rPr>
          <w:sz w:val="22"/>
        </w:rPr>
        <w:t xml:space="preserve"> </w:t>
      </w:r>
      <w:r w:rsidRPr="00FA4CD6">
        <w:rPr>
          <w:sz w:val="22"/>
        </w:rPr>
        <w:t xml:space="preserve">public image and customer </w:t>
      </w:r>
      <w:r w:rsidRPr="00FA4CD6" w:rsidR="00D04F7C">
        <w:rPr>
          <w:sz w:val="22"/>
        </w:rPr>
        <w:t>perception,</w:t>
      </w:r>
      <w:r w:rsidRPr="00FA4CD6">
        <w:rPr>
          <w:sz w:val="22"/>
        </w:rPr>
        <w:t xml:space="preserve"> favorable media coverage)</w:t>
      </w:r>
      <w:r w:rsidRPr="00FA4CD6" w:rsidR="00D04F7C">
        <w:rPr>
          <w:sz w:val="22"/>
        </w:rPr>
        <w:t>.</w:t>
      </w:r>
    </w:p>
    <w:p w:rsidRPr="00FA4CD6" w:rsidR="0087100E" w:rsidP="00FA4CD6" w:rsidRDefault="0087100E" w14:paraId="1AD1028F" w14:textId="6694E2DF">
      <w:pPr>
        <w:pStyle w:val="Standard"/>
        <w:numPr>
          <w:ilvl w:val="0"/>
          <w:numId w:val="58"/>
        </w:numPr>
        <w:spacing w:after="120" w:line="240" w:lineRule="auto"/>
        <w:ind w:left="1080"/>
        <w:rPr>
          <w:sz w:val="22"/>
        </w:rPr>
      </w:pPr>
      <w:r w:rsidRPr="00FA4CD6">
        <w:rPr>
          <w:sz w:val="22"/>
        </w:rPr>
        <w:t xml:space="preserve">Number of </w:t>
      </w:r>
      <w:r w:rsidRPr="00FA4CD6" w:rsidR="008D3DF4">
        <w:rPr>
          <w:sz w:val="22"/>
        </w:rPr>
        <w:t xml:space="preserve">safety </w:t>
      </w:r>
      <w:r w:rsidRPr="00FA4CD6">
        <w:rPr>
          <w:sz w:val="22"/>
        </w:rPr>
        <w:t>reports</w:t>
      </w:r>
      <w:r w:rsidRPr="00FA4CD6" w:rsidR="0055427F">
        <w:rPr>
          <w:sz w:val="22"/>
        </w:rPr>
        <w:t>:</w:t>
      </w:r>
      <w:r w:rsidRPr="00FA4CD6">
        <w:rPr>
          <w:sz w:val="22"/>
        </w:rPr>
        <w:t xml:space="preserve"> </w:t>
      </w:r>
      <w:r w:rsidRPr="00FA4CD6" w:rsidR="009D4F0B">
        <w:rPr>
          <w:sz w:val="22"/>
        </w:rPr>
        <w:t xml:space="preserve">(1) </w:t>
      </w:r>
      <w:r w:rsidRPr="00FA4CD6">
        <w:rPr>
          <w:sz w:val="22"/>
        </w:rPr>
        <w:t>submitted</w:t>
      </w:r>
      <w:r w:rsidRPr="00FA4CD6" w:rsidR="002F7A54">
        <w:rPr>
          <w:sz w:val="22"/>
        </w:rPr>
        <w:t xml:space="preserve"> and</w:t>
      </w:r>
      <w:r w:rsidRPr="00FA4CD6">
        <w:rPr>
          <w:sz w:val="22"/>
        </w:rPr>
        <w:t xml:space="preserve"> categorized by </w:t>
      </w:r>
      <w:r w:rsidRPr="00FA4CD6" w:rsidR="00670456">
        <w:rPr>
          <w:sz w:val="22"/>
        </w:rPr>
        <w:t xml:space="preserve">different types of </w:t>
      </w:r>
      <w:r w:rsidRPr="00FA4CD6" w:rsidR="002F7A54">
        <w:rPr>
          <w:sz w:val="22"/>
        </w:rPr>
        <w:t>customers</w:t>
      </w:r>
      <w:r w:rsidRPr="00FA4CD6" w:rsidR="00D04F7C">
        <w:rPr>
          <w:sz w:val="22"/>
        </w:rPr>
        <w:t>,</w:t>
      </w:r>
      <w:r w:rsidRPr="00FA4CD6" w:rsidR="009D4F0B">
        <w:rPr>
          <w:sz w:val="22"/>
        </w:rPr>
        <w:t xml:space="preserve"> (2) </w:t>
      </w:r>
      <w:r w:rsidRPr="00FA4CD6" w:rsidR="005B312C">
        <w:rPr>
          <w:sz w:val="22"/>
        </w:rPr>
        <w:t xml:space="preserve">with </w:t>
      </w:r>
      <w:r w:rsidRPr="00FA4CD6">
        <w:rPr>
          <w:sz w:val="22"/>
        </w:rPr>
        <w:t xml:space="preserve">a </w:t>
      </w:r>
      <w:r w:rsidRPr="00FA4CD6" w:rsidR="005B312C">
        <w:rPr>
          <w:sz w:val="22"/>
        </w:rPr>
        <w:t>“</w:t>
      </w:r>
      <w:r w:rsidRPr="00FA4CD6">
        <w:rPr>
          <w:sz w:val="22"/>
        </w:rPr>
        <w:t>valid</w:t>
      </w:r>
      <w:r w:rsidRPr="00FA4CD6" w:rsidR="005B312C">
        <w:rPr>
          <w:sz w:val="22"/>
        </w:rPr>
        <w:t>”</w:t>
      </w:r>
      <w:r w:rsidRPr="00FA4CD6">
        <w:rPr>
          <w:sz w:val="22"/>
        </w:rPr>
        <w:t xml:space="preserve"> link to a safety issue</w:t>
      </w:r>
      <w:r w:rsidRPr="00FA4CD6" w:rsidR="009D4F0B">
        <w:rPr>
          <w:sz w:val="22"/>
        </w:rPr>
        <w:t xml:space="preserve">, (3) that are </w:t>
      </w:r>
      <w:r w:rsidRPr="00FA4CD6">
        <w:rPr>
          <w:sz w:val="22"/>
        </w:rPr>
        <w:t>duplicative safety issues</w:t>
      </w:r>
      <w:r w:rsidRPr="00FA4CD6" w:rsidR="009D4F0B">
        <w:rPr>
          <w:sz w:val="22"/>
        </w:rPr>
        <w:t xml:space="preserve">, (4) that </w:t>
      </w:r>
      <w:r w:rsidRPr="00FA4CD6">
        <w:rPr>
          <w:sz w:val="22"/>
        </w:rPr>
        <w:t>result in a site visit</w:t>
      </w:r>
      <w:r w:rsidRPr="00FA4CD6" w:rsidR="00D04F7C">
        <w:rPr>
          <w:sz w:val="22"/>
        </w:rPr>
        <w:t>,</w:t>
      </w:r>
      <w:r w:rsidRPr="00FA4CD6">
        <w:rPr>
          <w:sz w:val="22"/>
        </w:rPr>
        <w:t xml:space="preserve"> </w:t>
      </w:r>
      <w:r w:rsidRPr="00FA4CD6" w:rsidR="009D4F0B">
        <w:rPr>
          <w:sz w:val="22"/>
        </w:rPr>
        <w:t xml:space="preserve">(5) </w:t>
      </w:r>
      <w:r w:rsidRPr="00FA4CD6">
        <w:rPr>
          <w:sz w:val="22"/>
        </w:rPr>
        <w:t>assigned to PG&amp;E</w:t>
      </w:r>
      <w:r w:rsidRPr="00FA4CD6" w:rsidR="00D04F7C">
        <w:rPr>
          <w:sz w:val="22"/>
        </w:rPr>
        <w:t>’s</w:t>
      </w:r>
      <w:r w:rsidRPr="00FA4CD6">
        <w:rPr>
          <w:sz w:val="22"/>
        </w:rPr>
        <w:t xml:space="preserve"> field-service responder</w:t>
      </w:r>
      <w:r w:rsidRPr="00FA4CD6" w:rsidR="00D04F7C">
        <w:rPr>
          <w:sz w:val="22"/>
        </w:rPr>
        <w:t>s, (6) that</w:t>
      </w:r>
      <w:r w:rsidRPr="00FA4CD6">
        <w:rPr>
          <w:sz w:val="22"/>
        </w:rPr>
        <w:t xml:space="preserve"> result in a site visit to address an issue apart from a safety issue</w:t>
      </w:r>
      <w:r w:rsidRPr="00FA4CD6" w:rsidR="00D04F7C">
        <w:rPr>
          <w:sz w:val="22"/>
        </w:rPr>
        <w:t>,</w:t>
      </w:r>
      <w:r w:rsidRPr="00FA4CD6" w:rsidR="007E02D1">
        <w:rPr>
          <w:sz w:val="22"/>
        </w:rPr>
        <w:t xml:space="preserve"> and</w:t>
      </w:r>
      <w:r w:rsidRPr="00FA4CD6" w:rsidR="00D04F7C">
        <w:rPr>
          <w:sz w:val="22"/>
        </w:rPr>
        <w:t xml:space="preserve"> (</w:t>
      </w:r>
      <w:r w:rsidRPr="00FA4CD6" w:rsidR="002F7A54">
        <w:rPr>
          <w:sz w:val="22"/>
        </w:rPr>
        <w:t>7</w:t>
      </w:r>
      <w:r w:rsidRPr="00FA4CD6" w:rsidR="00D04F7C">
        <w:rPr>
          <w:sz w:val="22"/>
        </w:rPr>
        <w:t xml:space="preserve">) that </w:t>
      </w:r>
      <w:r w:rsidRPr="00FA4CD6" w:rsidR="007E02D1">
        <w:rPr>
          <w:sz w:val="22"/>
        </w:rPr>
        <w:t xml:space="preserve">would be </w:t>
      </w:r>
      <w:r w:rsidRPr="00FA4CD6">
        <w:rPr>
          <w:sz w:val="22"/>
        </w:rPr>
        <w:t>more appropriately addressed by calling 91</w:t>
      </w:r>
      <w:r w:rsidRPr="00FA4CD6" w:rsidR="00D04F7C">
        <w:rPr>
          <w:sz w:val="22"/>
        </w:rPr>
        <w:t>1</w:t>
      </w:r>
    </w:p>
    <w:p w:rsidRPr="00FA4CD6" w:rsidR="001818ED" w:rsidP="00FA4CD6" w:rsidRDefault="001818ED" w14:paraId="08B83ECE" w14:textId="54D60888">
      <w:pPr>
        <w:pStyle w:val="Standard"/>
        <w:numPr>
          <w:ilvl w:val="0"/>
          <w:numId w:val="58"/>
        </w:numPr>
        <w:spacing w:after="120" w:line="240" w:lineRule="auto"/>
        <w:ind w:left="1080"/>
        <w:rPr>
          <w:sz w:val="22"/>
        </w:rPr>
      </w:pPr>
      <w:r w:rsidRPr="00FA4CD6">
        <w:rPr>
          <w:sz w:val="22"/>
        </w:rPr>
        <w:t>Number of emergency submittals; the reason classified as emergency; process employed by PG&amp;E to discourage use of app for emergencies</w:t>
      </w:r>
      <w:r w:rsidRPr="00FA4CD6" w:rsidR="00137D3D">
        <w:rPr>
          <w:sz w:val="22"/>
        </w:rPr>
        <w:t xml:space="preserve">; and process employed by PG&amp;E to address emergencies reported via the app despite PG&amp;E’s warnings to not use for emergencies. </w:t>
      </w:r>
    </w:p>
    <w:p w:rsidRPr="00FA4CD6" w:rsidR="007563E7" w:rsidP="00FA4CD6" w:rsidRDefault="007563E7" w14:paraId="488DA944" w14:textId="78D07913">
      <w:pPr>
        <w:pStyle w:val="ListParagraph"/>
        <w:numPr>
          <w:ilvl w:val="0"/>
          <w:numId w:val="58"/>
        </w:numPr>
        <w:spacing w:after="120" w:line="240" w:lineRule="auto"/>
        <w:ind w:left="1080"/>
        <w:contextualSpacing w:val="0"/>
        <w:rPr>
          <w:rFonts w:ascii="Book Antiqua" w:hAnsi="Book Antiqua"/>
        </w:rPr>
      </w:pPr>
      <w:r w:rsidRPr="00FA4CD6">
        <w:rPr>
          <w:rFonts w:ascii="Book Antiqua" w:hAnsi="Book Antiqua"/>
        </w:rPr>
        <w:t xml:space="preserve">Benefits of including a tracking system </w:t>
      </w:r>
      <w:r w:rsidRPr="00FA4CD6" w:rsidR="0055427F">
        <w:rPr>
          <w:rFonts w:ascii="Book Antiqua" w:hAnsi="Book Antiqua"/>
        </w:rPr>
        <w:t xml:space="preserve">feature </w:t>
      </w:r>
      <w:r w:rsidRPr="00FA4CD6">
        <w:rPr>
          <w:rFonts w:ascii="Book Antiqua" w:hAnsi="Book Antiqua"/>
        </w:rPr>
        <w:t>for customers to identify detailed status of submittal</w:t>
      </w:r>
      <w:r w:rsidRPr="00FA4CD6" w:rsidR="004D681D">
        <w:rPr>
          <w:rFonts w:ascii="Book Antiqua" w:hAnsi="Book Antiqua"/>
        </w:rPr>
        <w:t xml:space="preserve"> while PG&amp;E process</w:t>
      </w:r>
      <w:r w:rsidRPr="00FA4CD6" w:rsidR="001706F8">
        <w:rPr>
          <w:rFonts w:ascii="Book Antiqua" w:hAnsi="Book Antiqua"/>
        </w:rPr>
        <w:t xml:space="preserve">es </w:t>
      </w:r>
      <w:r w:rsidRPr="00FA4CD6" w:rsidR="004D681D">
        <w:rPr>
          <w:rFonts w:ascii="Book Antiqua" w:hAnsi="Book Antiqua"/>
        </w:rPr>
        <w:t>and addresses</w:t>
      </w:r>
      <w:r w:rsidRPr="00FA4CD6" w:rsidR="001706F8">
        <w:rPr>
          <w:rFonts w:ascii="Book Antiqua" w:hAnsi="Book Antiqua"/>
        </w:rPr>
        <w:t xml:space="preserve"> the submittal</w:t>
      </w:r>
      <w:r w:rsidRPr="00FA4CD6">
        <w:rPr>
          <w:rFonts w:ascii="Book Antiqua" w:hAnsi="Book Antiqua"/>
        </w:rPr>
        <w:t xml:space="preserve">. </w:t>
      </w:r>
    </w:p>
    <w:p w:rsidRPr="00FA4CD6" w:rsidR="007563E7" w:rsidP="00FA4CD6" w:rsidRDefault="00681C23" w14:paraId="32122319" w14:textId="514ED816">
      <w:pPr>
        <w:pStyle w:val="Standard"/>
        <w:numPr>
          <w:ilvl w:val="0"/>
          <w:numId w:val="58"/>
        </w:numPr>
        <w:spacing w:after="120" w:line="240" w:lineRule="auto"/>
        <w:ind w:left="1080"/>
        <w:rPr>
          <w:sz w:val="22"/>
        </w:rPr>
      </w:pPr>
      <w:r w:rsidRPr="00FA4CD6">
        <w:rPr>
          <w:sz w:val="22"/>
        </w:rPr>
        <w:t>Integration with</w:t>
      </w:r>
      <w:r w:rsidRPr="00FA4CD6" w:rsidR="009539C2">
        <w:rPr>
          <w:sz w:val="22"/>
        </w:rPr>
        <w:t xml:space="preserve"> </w:t>
      </w:r>
      <w:r w:rsidRPr="00FA4CD6">
        <w:rPr>
          <w:sz w:val="22"/>
        </w:rPr>
        <w:t>existing complaint in-take system.</w:t>
      </w:r>
    </w:p>
    <w:p w:rsidRPr="00FA4CD6" w:rsidR="0055427F" w:rsidP="00FA4CD6" w:rsidRDefault="0055427F" w14:paraId="1132F235" w14:textId="34E56B60">
      <w:pPr>
        <w:pStyle w:val="Standard"/>
        <w:numPr>
          <w:ilvl w:val="0"/>
          <w:numId w:val="58"/>
        </w:numPr>
        <w:spacing w:after="120" w:line="240" w:lineRule="auto"/>
        <w:ind w:left="1080"/>
        <w:rPr>
          <w:sz w:val="22"/>
        </w:rPr>
      </w:pPr>
      <w:r w:rsidRPr="00FA4CD6">
        <w:rPr>
          <w:sz w:val="22"/>
        </w:rPr>
        <w:t>How PG&amp;E classified and communicated its standards to categorize whether and what type of safety issues identified.</w:t>
      </w:r>
    </w:p>
    <w:p w:rsidRPr="00FA4CD6" w:rsidR="001818ED" w:rsidP="00FA4CD6" w:rsidRDefault="00401D88" w14:paraId="63FDA50E" w14:textId="5D5674EC">
      <w:pPr>
        <w:pStyle w:val="Standard"/>
        <w:numPr>
          <w:ilvl w:val="0"/>
          <w:numId w:val="58"/>
        </w:numPr>
        <w:spacing w:after="120" w:line="240" w:lineRule="auto"/>
        <w:ind w:left="1080"/>
        <w:rPr>
          <w:sz w:val="22"/>
        </w:rPr>
      </w:pPr>
      <w:r w:rsidRPr="00FA4CD6">
        <w:rPr>
          <w:sz w:val="22"/>
        </w:rPr>
        <w:t>Whether PG&amp;E allocated sufficient resources and funding to promote the success of the app.</w:t>
      </w:r>
    </w:p>
    <w:p w:rsidRPr="00FA4CD6" w:rsidR="00A7041E" w:rsidP="00A7041E" w:rsidRDefault="00A7041E" w14:paraId="4B430EBD" w14:textId="66994678">
      <w:pPr>
        <w:pStyle w:val="Standard"/>
        <w:spacing w:line="240" w:lineRule="auto"/>
        <w:ind w:left="1350" w:firstLine="0"/>
        <w:rPr>
          <w:sz w:val="22"/>
        </w:rPr>
      </w:pPr>
    </w:p>
    <w:p w:rsidRPr="00FA4CD6" w:rsidR="00A7041E" w:rsidP="00A7041E" w:rsidRDefault="00A7041E" w14:paraId="21315352" w14:textId="3180A5B0">
      <w:pPr>
        <w:pStyle w:val="Standard"/>
        <w:spacing w:line="240" w:lineRule="auto"/>
        <w:ind w:left="1350" w:firstLine="0"/>
        <w:jc w:val="center"/>
        <w:rPr>
          <w:b/>
          <w:bCs/>
          <w:sz w:val="22"/>
        </w:rPr>
      </w:pPr>
      <w:r w:rsidRPr="00FA4CD6">
        <w:rPr>
          <w:b/>
          <w:bCs/>
          <w:sz w:val="22"/>
        </w:rPr>
        <w:t>(END OF ATTACHMENT A)</w:t>
      </w:r>
    </w:p>
    <w:sectPr w:rsidRPr="00FA4CD6" w:rsidR="00A7041E" w:rsidSect="00FA4CD6">
      <w:headerReference w:type="default" r:id="rId17"/>
      <w:footerReference w:type="default" r:id="rId18"/>
      <w:pgSz w:w="12240" w:h="15840"/>
      <w:pgMar w:top="1260" w:right="1440" w:bottom="1440" w:left="1440" w:header="720" w:footer="720"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4549DA" w14:textId="77777777" w:rsidR="000C7B09" w:rsidRDefault="000C7B09" w:rsidP="0098138E">
      <w:pPr>
        <w:spacing w:line="240" w:lineRule="auto"/>
      </w:pPr>
      <w:r>
        <w:separator/>
      </w:r>
    </w:p>
  </w:endnote>
  <w:endnote w:type="continuationSeparator" w:id="0">
    <w:p w14:paraId="29A01EFA" w14:textId="77777777" w:rsidR="000C7B09" w:rsidRDefault="000C7B09" w:rsidP="0098138E">
      <w:pPr>
        <w:spacing w:line="240" w:lineRule="auto"/>
      </w:pPr>
      <w:r>
        <w:continuationSeparator/>
      </w:r>
    </w:p>
  </w:endnote>
  <w:endnote w:type="continuationNotice" w:id="1">
    <w:p w14:paraId="3AC067DA" w14:textId="77777777" w:rsidR="000C7B09" w:rsidRDefault="000C7B0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2BAB5" w14:textId="19349CE7" w:rsidR="00A7041E" w:rsidRDefault="00F1138C" w:rsidP="007E0FEE">
    <w:pPr>
      <w:tabs>
        <w:tab w:val="center" w:pos="4680"/>
      </w:tabs>
      <w:ind w:firstLine="0"/>
      <w:rPr>
        <w:noProof/>
      </w:rPr>
    </w:pPr>
    <w:sdt>
      <w:sdtPr>
        <w:id w:val="1545870028"/>
        <w:docPartObj>
          <w:docPartGallery w:val="Page Numbers (Bottom of Page)"/>
          <w:docPartUnique/>
        </w:docPartObj>
      </w:sdtPr>
      <w:sdtEndPr>
        <w:rPr>
          <w:noProof/>
        </w:rPr>
      </w:sdtEndPr>
      <w:sdtContent>
        <w:r w:rsidR="00C01D2E" w:rsidRPr="00C01D2E">
          <w:rPr>
            <w:sz w:val="18"/>
            <w:szCs w:val="18"/>
          </w:rPr>
          <w:t>348578954</w:t>
        </w:r>
        <w:r w:rsidR="00A7041E">
          <w:rPr>
            <w:rFonts w:ascii="Arial" w:hAnsi="Arial" w:cs="Arial"/>
            <w:sz w:val="16"/>
            <w:szCs w:val="16"/>
          </w:rPr>
          <w:tab/>
        </w:r>
        <w:r w:rsidR="00A7041E">
          <w:t xml:space="preserve">- </w:t>
        </w:r>
        <w:r w:rsidR="00A7041E">
          <w:fldChar w:fldCharType="begin"/>
        </w:r>
        <w:r w:rsidR="00A7041E">
          <w:instrText xml:space="preserve"> PAGE   \* MERGEFORMAT </w:instrText>
        </w:r>
        <w:r w:rsidR="00A7041E">
          <w:fldChar w:fldCharType="separate"/>
        </w:r>
        <w:r w:rsidR="00A7041E">
          <w:rPr>
            <w:noProof/>
          </w:rPr>
          <w:t>2</w:t>
        </w:r>
        <w:r w:rsidR="00A7041E">
          <w:rPr>
            <w:noProof/>
          </w:rPr>
          <w:fldChar w:fldCharType="end"/>
        </w:r>
      </w:sdtContent>
    </w:sdt>
    <w:r w:rsidR="00A7041E">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23663" w14:textId="77777777" w:rsidR="00A7041E" w:rsidRDefault="00A7041E" w:rsidP="007E0FEE">
    <w:pPr>
      <w:ind w:firstLine="0"/>
      <w:jc w:val="center"/>
    </w:pPr>
    <w:r>
      <w:t xml:space="preserve">- </w:t>
    </w:r>
    <w:sdt>
      <w:sdtPr>
        <w:id w:val="17931696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A26DC" w14:textId="5C73F28D" w:rsidR="00A7041E" w:rsidRDefault="00A7041E" w:rsidP="007E0FEE">
    <w:pPr>
      <w:ind w:firstLine="0"/>
      <w:jc w:val="center"/>
    </w:pPr>
    <w:r>
      <w:t xml:space="preserve">- </w:t>
    </w:r>
    <w:r>
      <w:fldChar w:fldCharType="begin"/>
    </w:r>
    <w:r>
      <w:instrText xml:space="preserve"> PAGE   \* MERGEFORMAT </w:instrText>
    </w:r>
    <w:r>
      <w:fldChar w:fldCharType="separate"/>
    </w:r>
    <w:r>
      <w:rPr>
        <w:noProof/>
      </w:rPr>
      <w:t>1</w:t>
    </w:r>
    <w:r>
      <w:rPr>
        <w:noProof/>
      </w:rPr>
      <w:fldChar w:fldCharType="end"/>
    </w:r>
    <w:r>
      <w:rPr>
        <w:noProof/>
      </w:rPr>
      <w:t xml:space="preserve"> </w:t>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4AA33" w14:textId="15F20EB1" w:rsidR="00A7041E" w:rsidRPr="00FA4CD6" w:rsidRDefault="00A7041E" w:rsidP="00FA4CD6">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83C2A" w14:textId="77777777" w:rsidR="000C7B09" w:rsidRDefault="000C7B09" w:rsidP="00DF58E7">
      <w:pPr>
        <w:spacing w:line="240" w:lineRule="auto"/>
        <w:ind w:firstLine="0"/>
      </w:pPr>
      <w:r>
        <w:separator/>
      </w:r>
    </w:p>
  </w:footnote>
  <w:footnote w:type="continuationSeparator" w:id="0">
    <w:p w14:paraId="049D6771" w14:textId="77777777" w:rsidR="000C7B09" w:rsidRDefault="000C7B09" w:rsidP="00DF58E7">
      <w:pPr>
        <w:spacing w:line="240" w:lineRule="auto"/>
        <w:ind w:firstLine="0"/>
      </w:pPr>
      <w:r>
        <w:continuationSeparator/>
      </w:r>
    </w:p>
  </w:footnote>
  <w:footnote w:type="continuationNotice" w:id="1">
    <w:p w14:paraId="07D40E41" w14:textId="77777777" w:rsidR="000C7B09" w:rsidRPr="00DF58E7" w:rsidRDefault="000C7B09" w:rsidP="00DF58E7">
      <w:pPr>
        <w:spacing w:line="240" w:lineRule="auto"/>
        <w:ind w:firstLine="0"/>
        <w:jc w:val="right"/>
        <w:rPr>
          <w:i/>
          <w:sz w:val="22"/>
        </w:rPr>
      </w:pPr>
      <w:r w:rsidRPr="00DF58E7">
        <w:rPr>
          <w:i/>
          <w:sz w:val="22"/>
        </w:rPr>
        <w:t xml:space="preserve">Footnote </w:t>
      </w:r>
      <w:proofErr w:type="gramStart"/>
      <w:r w:rsidRPr="00DF58E7">
        <w:rPr>
          <w:i/>
          <w:sz w:val="22"/>
        </w:rPr>
        <w:t>continued on</w:t>
      </w:r>
      <w:proofErr w:type="gramEnd"/>
      <w:r w:rsidRPr="00DF58E7">
        <w:rPr>
          <w:i/>
          <w:sz w:val="22"/>
        </w:rPr>
        <w:t xml:space="preserve"> next page.</w:t>
      </w:r>
    </w:p>
  </w:footnote>
  <w:footnote w:id="2">
    <w:p w14:paraId="408585D5" w14:textId="58C7091F" w:rsidR="00A7041E" w:rsidRDefault="00A7041E" w:rsidP="0044384B">
      <w:pPr>
        <w:pStyle w:val="FootnoteText"/>
      </w:pPr>
      <w:r>
        <w:rPr>
          <w:rStyle w:val="FootnoteReference"/>
        </w:rPr>
        <w:footnoteRef/>
      </w:r>
      <w:r>
        <w:t xml:space="preserve">  </w:t>
      </w:r>
      <w:r w:rsidRPr="005F699F">
        <w:t>I.19-06-015</w:t>
      </w:r>
      <w:r>
        <w:t xml:space="preserve">, </w:t>
      </w:r>
      <w:r w:rsidRPr="00431C51">
        <w:rPr>
          <w:i/>
          <w:iCs/>
        </w:rPr>
        <w:t xml:space="preserve">Order Instituting Investigation on the Commission’s Own Motion into the Maintenance, Operations and Practices of Pacific Gas and Electric Company (U39E) with Respect to its Electric Facilities; and Order to Show Cause Why the Commission Should not Impose Penalties and/or Other Remedies for the Role PG&amp;E’s Electrical Facilities had in Igniting Fires in its Service Territory in 2017 </w:t>
      </w:r>
      <w:r>
        <w:t>(June 27, 2019)</w:t>
      </w:r>
      <w:r w:rsidRPr="00CE0122">
        <w:t>.</w:t>
      </w:r>
      <w:r>
        <w:t xml:space="preserve"> </w:t>
      </w:r>
      <w:r w:rsidRPr="0044384B">
        <w:t xml:space="preserve"> </w:t>
      </w:r>
      <w:r>
        <w:t xml:space="preserve">I.19-06-015 can be found on the Commission’s website at: </w:t>
      </w:r>
      <w:bookmarkStart w:id="6" w:name="_Hlk48557221"/>
      <w:r>
        <w:fldChar w:fldCharType="begin"/>
      </w:r>
      <w:r>
        <w:instrText xml:space="preserve"> HYPERLINK "</w:instrText>
      </w:r>
      <w:r w:rsidRPr="00F4422C">
        <w:instrText>https://apps.cpuc.ca.gov/apex/f?p=401:56:0::NO:RP,57,RIR:P5_PROCEEDING_SELECT:I1906015</w:instrText>
      </w:r>
      <w:r>
        <w:instrText xml:space="preserve">" </w:instrText>
      </w:r>
      <w:r>
        <w:fldChar w:fldCharType="separate"/>
      </w:r>
      <w:r w:rsidRPr="00802249">
        <w:rPr>
          <w:rStyle w:val="Hyperlink"/>
        </w:rPr>
        <w:t>https://apps.cpuc.ca.gov/apex/f?p=401:56:0::NO:RP,57,RIR:P5_PROCEEDING_SELECT:I1906015</w:t>
      </w:r>
      <w:bookmarkEnd w:id="6"/>
      <w:r>
        <w:fldChar w:fldCharType="end"/>
      </w:r>
      <w:r>
        <w:t xml:space="preserve">. </w:t>
      </w:r>
    </w:p>
  </w:footnote>
  <w:footnote w:id="3">
    <w:p w14:paraId="4DBB33DF" w14:textId="051E755B" w:rsidR="00A7041E" w:rsidRDefault="00A7041E">
      <w:pPr>
        <w:pStyle w:val="FootnoteText"/>
      </w:pPr>
      <w:r>
        <w:rPr>
          <w:rStyle w:val="FootnoteReference"/>
        </w:rPr>
        <w:footnoteRef/>
      </w:r>
      <w:r>
        <w:t xml:space="preserve">  PG&amp;E’s Application can be found at the proceeding’s “Docket Card” on the Commission’s website at: </w:t>
      </w:r>
      <w:hyperlink r:id="rId1" w:history="1">
        <w:r w:rsidRPr="00B33CDE">
          <w:rPr>
            <w:rStyle w:val="Hyperlink"/>
          </w:rPr>
          <w:t>https://apps.cpuc.ca.gov/apex/f?p=401:5:0::NO:RP,5,RIR,57,RIR</w:t>
        </w:r>
      </w:hyperlink>
      <w:r>
        <w:t>.</w:t>
      </w:r>
    </w:p>
  </w:footnote>
  <w:footnote w:id="4">
    <w:p w14:paraId="3F4A788C" w14:textId="7C88CB3E" w:rsidR="00A7041E" w:rsidRDefault="00A7041E">
      <w:pPr>
        <w:pStyle w:val="FootnoteText"/>
      </w:pPr>
      <w:r>
        <w:rPr>
          <w:rStyle w:val="FootnoteReference"/>
        </w:rPr>
        <w:footnoteRef/>
      </w:r>
      <w:r>
        <w:t xml:space="preserve">  A.19-07-019 at 2 and 9. </w:t>
      </w:r>
    </w:p>
  </w:footnote>
  <w:footnote w:id="5">
    <w:p w14:paraId="26FF7372" w14:textId="3505B169" w:rsidR="00A7041E" w:rsidRDefault="00A7041E">
      <w:pPr>
        <w:pStyle w:val="FootnoteText"/>
      </w:pPr>
      <w:r>
        <w:rPr>
          <w:rStyle w:val="FootnoteReference"/>
        </w:rPr>
        <w:footnoteRef/>
      </w:r>
      <w:r>
        <w:t xml:space="preserve">  I.19-06-015 uses the phrase “asset management database.”  In this decision, the phrase “support systems” is also used to refer to all interrelated technologies and processes, including any databases necessary to enable the required functionality of the mobile app.</w:t>
      </w:r>
    </w:p>
  </w:footnote>
  <w:footnote w:id="6">
    <w:p w14:paraId="30FC9510" w14:textId="3673E0A9" w:rsidR="00A7041E" w:rsidRDefault="00A7041E">
      <w:pPr>
        <w:pStyle w:val="FootnoteText"/>
      </w:pPr>
      <w:r>
        <w:rPr>
          <w:rStyle w:val="FootnoteReference"/>
        </w:rPr>
        <w:footnoteRef/>
      </w:r>
      <w:r>
        <w:t xml:space="preserve">  </w:t>
      </w:r>
      <w:bookmarkStart w:id="20" w:name="_Hlk38876543"/>
      <w:r>
        <w:t>I.19-06-015 at 18.</w:t>
      </w:r>
      <w:bookmarkEnd w:id="20"/>
    </w:p>
  </w:footnote>
  <w:footnote w:id="7">
    <w:p w14:paraId="1CE22F8E" w14:textId="167E933B" w:rsidR="00A7041E" w:rsidRDefault="00A7041E">
      <w:pPr>
        <w:pStyle w:val="FootnoteText"/>
      </w:pPr>
      <w:r>
        <w:rPr>
          <w:rStyle w:val="FootnoteReference"/>
        </w:rPr>
        <w:footnoteRef/>
      </w:r>
      <w:r>
        <w:t xml:space="preserve">  </w:t>
      </w:r>
      <w:r w:rsidRPr="006807F9">
        <w:t>Commission’s Rules of Practice and Procedure at Rule 1.15 (Footnote not in original)</w:t>
      </w:r>
      <w:r>
        <w:t xml:space="preserve">. The method for determining “30 days” is set forth in the </w:t>
      </w:r>
      <w:bookmarkStart w:id="21" w:name="_Hlk46133621"/>
      <w:r>
        <w:t xml:space="preserve">Commission’s Rules of Practice and Procedure at </w:t>
      </w:r>
      <w:r w:rsidRPr="00431C51">
        <w:t xml:space="preserve">Rule 1.15, </w:t>
      </w:r>
      <w:bookmarkEnd w:id="21"/>
      <w:r w:rsidRPr="00431C51">
        <w:rPr>
          <w:i/>
          <w:iCs/>
        </w:rPr>
        <w:t>Computation of Time</w:t>
      </w:r>
      <w:r w:rsidRPr="00431C51">
        <w:t>, and is available on the Commission’s website at</w:t>
      </w:r>
      <w:r>
        <w:rPr>
          <w:b/>
          <w:bCs/>
        </w:rPr>
        <w:t xml:space="preserve">: </w:t>
      </w:r>
      <w:hyperlink r:id="rId2" w:history="1">
        <w:r w:rsidRPr="00B30810">
          <w:rPr>
            <w:rStyle w:val="Hyperlink"/>
            <w:b/>
            <w:bCs/>
          </w:rPr>
          <w:t>https://docs.cpuc.ca.gov/SearchRes.aspx?docformat=ALL&amp;DocID=209618807</w:t>
        </w:r>
      </w:hyperlink>
      <w:r>
        <w:rPr>
          <w:b/>
          <w:bCs/>
        </w:rPr>
        <w:t xml:space="preserve">. </w:t>
      </w:r>
    </w:p>
  </w:footnote>
  <w:footnote w:id="8">
    <w:p w14:paraId="552CE72E" w14:textId="10E2FE20" w:rsidR="00A7041E" w:rsidRDefault="00A7041E" w:rsidP="00C3700C">
      <w:pPr>
        <w:pStyle w:val="FootnoteText"/>
      </w:pPr>
      <w:r>
        <w:rPr>
          <w:rStyle w:val="FootnoteReference"/>
        </w:rPr>
        <w:footnoteRef/>
      </w:r>
      <w:r>
        <w:t xml:space="preserve">  </w:t>
      </w:r>
      <w:r w:rsidRPr="004D39D5">
        <w:t>The references in I.19-06-015 to Geographic Information System (GIS) was intended to be to Global Position System (GPS).  GPS provides the coordinates of a particular photo or asset.  GIS, on the other hand, is a software program that captures and stores data that has been transmitted from systems, such as GPS.</w:t>
      </w:r>
    </w:p>
  </w:footnote>
  <w:footnote w:id="9">
    <w:p w14:paraId="481FAFD5" w14:textId="0C994EA7" w:rsidR="00A7041E" w:rsidRDefault="00A7041E">
      <w:pPr>
        <w:pStyle w:val="FootnoteText"/>
      </w:pPr>
      <w:r>
        <w:rPr>
          <w:rStyle w:val="FootnoteReference"/>
        </w:rPr>
        <w:footnoteRef/>
      </w:r>
      <w:r>
        <w:t xml:space="preserve">  </w:t>
      </w:r>
      <w:r w:rsidRPr="001A4ECE">
        <w:t>I.19-06-015 at 18.</w:t>
      </w:r>
    </w:p>
  </w:footnote>
  <w:footnote w:id="10">
    <w:p w14:paraId="64EF4693" w14:textId="706B0859" w:rsidR="00A7041E" w:rsidRDefault="00A7041E">
      <w:pPr>
        <w:pStyle w:val="FootnoteText"/>
      </w:pPr>
      <w:r>
        <w:rPr>
          <w:rStyle w:val="FootnoteReference"/>
        </w:rPr>
        <w:footnoteRef/>
      </w:r>
      <w:r>
        <w:t xml:space="preserve">  August 28, 2019 Cal Advocates Protest at 2. This protest and all other documents filed in this proceeding can be found on the Commission’s website at:</w:t>
      </w:r>
      <w:r w:rsidRPr="00E91C31">
        <w:t xml:space="preserve"> https://apps.cpuc.ca.gov/apex/f?p=401:5:0::NO:RP,5,RIR,57,RIR</w:t>
      </w:r>
      <w:r>
        <w:t>.</w:t>
      </w:r>
    </w:p>
  </w:footnote>
  <w:footnote w:id="11">
    <w:p w14:paraId="712AAF77" w14:textId="552C3A90" w:rsidR="00A7041E" w:rsidRDefault="00A7041E">
      <w:pPr>
        <w:pStyle w:val="FootnoteText"/>
      </w:pPr>
      <w:r>
        <w:rPr>
          <w:rStyle w:val="FootnoteReference"/>
        </w:rPr>
        <w:footnoteRef/>
      </w:r>
      <w:r>
        <w:t xml:space="preserve">  In Decision (D.) 17-12-024, the Commission approved HFTDs and related maps.</w:t>
      </w:r>
      <w:r w:rsidRPr="00E91C31">
        <w:t xml:space="preserve"> </w:t>
      </w:r>
      <w:r>
        <w:t xml:space="preserve">This decision is available on the Commission’s website at: </w:t>
      </w:r>
      <w:r w:rsidRPr="00E91C31">
        <w:t>https://docs.cpuc.ca.gov/DecisionsSearchForm.aspx</w:t>
      </w:r>
      <w:r>
        <w:t>.</w:t>
      </w:r>
    </w:p>
  </w:footnote>
  <w:footnote w:id="12">
    <w:p w14:paraId="5F0F624B" w14:textId="560B6553" w:rsidR="00A7041E" w:rsidRDefault="00A7041E">
      <w:pPr>
        <w:pStyle w:val="FootnoteText"/>
      </w:pPr>
      <w:r>
        <w:rPr>
          <w:rStyle w:val="FootnoteReference"/>
        </w:rPr>
        <w:footnoteRef/>
      </w:r>
      <w:r>
        <w:t xml:space="preserve">  November 14, 2019 Scoping Memo at 4. The scoping memo is available on the Commission’s website at:</w:t>
      </w:r>
      <w:r w:rsidRPr="00156B0F">
        <w:t xml:space="preserve"> </w:t>
      </w:r>
      <w:hyperlink r:id="rId3" w:history="1">
        <w:r w:rsidRPr="00802249">
          <w:rPr>
            <w:rStyle w:val="Hyperlink"/>
          </w:rPr>
          <w:t>https://docs.cpuc.ca.gov/SearchRes.aspx?DocFormat=ALL&amp;DocID=319752909</w:t>
        </w:r>
      </w:hyperlink>
      <w:r>
        <w:t xml:space="preserve">. </w:t>
      </w:r>
    </w:p>
  </w:footnote>
  <w:footnote w:id="13">
    <w:p w14:paraId="2ACDC32F" w14:textId="714B8606" w:rsidR="00A7041E" w:rsidRPr="00142066" w:rsidRDefault="00A7041E">
      <w:pPr>
        <w:pStyle w:val="FootnoteText"/>
      </w:pPr>
      <w:r>
        <w:rPr>
          <w:rStyle w:val="FootnoteReference"/>
        </w:rPr>
        <w:footnoteRef/>
      </w:r>
      <w:r>
        <w:t xml:space="preserve">  PG&amp;E’s January 17, 2020 </w:t>
      </w:r>
      <w:r w:rsidRPr="00A96DD9">
        <w:rPr>
          <w:i/>
          <w:iCs/>
        </w:rPr>
        <w:t>Mobile Application Pilot Implementation Report</w:t>
      </w:r>
      <w:r>
        <w:rPr>
          <w:i/>
          <w:iCs/>
        </w:rPr>
        <w:t xml:space="preserve"> </w:t>
      </w:r>
      <w:r w:rsidRPr="00431C51">
        <w:t xml:space="preserve">is available on the Commission’s website at: </w:t>
      </w:r>
      <w:hyperlink r:id="rId4" w:history="1">
        <w:r w:rsidRPr="00802249">
          <w:rPr>
            <w:rStyle w:val="Hyperlink"/>
          </w:rPr>
          <w:t>https://docs.cpuc.ca.gov/SearchRes.aspx?DocFormat=ALL&amp;DocID=328473978</w:t>
        </w:r>
      </w:hyperlink>
      <w:r>
        <w:t xml:space="preserve">. </w:t>
      </w:r>
    </w:p>
  </w:footnote>
  <w:footnote w:id="14">
    <w:p w14:paraId="1EE5C0CE" w14:textId="70CCBFE3" w:rsidR="00A7041E" w:rsidRDefault="00A7041E">
      <w:pPr>
        <w:pStyle w:val="FootnoteText"/>
      </w:pPr>
      <w:r>
        <w:rPr>
          <w:rStyle w:val="FootnoteReference"/>
        </w:rPr>
        <w:footnoteRef/>
      </w:r>
      <w:r>
        <w:t xml:space="preserve">  The SPD report was provided to the service list of this proceeding by the May 8, 2020 ALJ ruling and is available at the “Docket Card” for this proceeding on the Commission’s website at:</w:t>
      </w:r>
      <w:r w:rsidRPr="00154AC9">
        <w:t xml:space="preserve"> </w:t>
      </w:r>
      <w:hyperlink r:id="rId5" w:history="1">
        <w:r w:rsidRPr="00802249">
          <w:rPr>
            <w:rStyle w:val="Hyperlink"/>
          </w:rPr>
          <w:t>https://docs.cpuc.ca.gov/SearchRes.aspx?DocFormat=ALL&amp;DocID=336534046</w:t>
        </w:r>
      </w:hyperlink>
      <w:r>
        <w:t xml:space="preserve">. </w:t>
      </w:r>
    </w:p>
  </w:footnote>
  <w:footnote w:id="15">
    <w:p w14:paraId="751626AC" w14:textId="16BA12EE" w:rsidR="00A7041E" w:rsidRDefault="00A7041E">
      <w:pPr>
        <w:pStyle w:val="FootnoteText"/>
      </w:pPr>
      <w:r>
        <w:rPr>
          <w:rStyle w:val="FootnoteReference"/>
        </w:rPr>
        <w:footnoteRef/>
      </w:r>
      <w:r>
        <w:t xml:space="preserve">  The Commission considers rules and regulations pertaining to PSPS events in Rulemaking 18-12-005, which is available on the Commission’s website at:</w:t>
      </w:r>
      <w:r w:rsidRPr="00304052">
        <w:t xml:space="preserve"> </w:t>
      </w:r>
      <w:hyperlink r:id="rId6" w:history="1">
        <w:r w:rsidRPr="00802249">
          <w:rPr>
            <w:rStyle w:val="Hyperlink"/>
          </w:rPr>
          <w:t>https://apps.cpuc.ca.gov/apex/f?p=401:56:0::NO:RP,57,RIR:P5_PROCEEDING_SELECT:R1812005</w:t>
        </w:r>
      </w:hyperlink>
      <w:r>
        <w:t xml:space="preserve">. </w:t>
      </w:r>
    </w:p>
  </w:footnote>
  <w:footnote w:id="16">
    <w:p w14:paraId="0B26B7C7" w14:textId="64AC3428" w:rsidR="00A7041E" w:rsidRDefault="00A7041E">
      <w:pPr>
        <w:pStyle w:val="FootnoteText"/>
      </w:pPr>
      <w:r>
        <w:rPr>
          <w:rStyle w:val="FootnoteReference"/>
        </w:rPr>
        <w:footnoteRef/>
      </w:r>
      <w:r>
        <w:t xml:space="preserve">  PG&amp;E’s </w:t>
      </w:r>
      <w:r w:rsidRPr="00CD1FF6">
        <w:rPr>
          <w:i/>
          <w:iCs/>
        </w:rPr>
        <w:t>Revised Mobile Application Pilot Implementation Report</w:t>
      </w:r>
      <w:r w:rsidRPr="00CD1FF6">
        <w:t xml:space="preserve"> </w:t>
      </w:r>
      <w:r>
        <w:t>file on</w:t>
      </w:r>
      <w:r w:rsidRPr="00CD1FF6">
        <w:t xml:space="preserve"> March 20, 2020</w:t>
      </w:r>
      <w:r>
        <w:t xml:space="preserve"> is available on the Commission’s website at the “Docket Card” for this proceeding at:</w:t>
      </w:r>
      <w:r w:rsidRPr="00CD1FF6">
        <w:t xml:space="preserve"> </w:t>
      </w:r>
      <w:hyperlink r:id="rId7" w:history="1">
        <w:r w:rsidRPr="00802249">
          <w:rPr>
            <w:rStyle w:val="Hyperlink"/>
          </w:rPr>
          <w:t>https://docs.cpuc.ca.gov/SearchRes.aspx?DocFormat=ALL&amp;DocID=335710543</w:t>
        </w:r>
      </w:hyperlink>
      <w:r>
        <w:t xml:space="preserve">. </w:t>
      </w:r>
    </w:p>
  </w:footnote>
  <w:footnote w:id="17">
    <w:p w14:paraId="6212735A" w14:textId="3111EE07" w:rsidR="00A7041E" w:rsidRDefault="00A7041E">
      <w:pPr>
        <w:pStyle w:val="FootnoteText"/>
      </w:pPr>
      <w:r>
        <w:rPr>
          <w:rStyle w:val="FootnoteReference"/>
        </w:rPr>
        <w:footnoteRef/>
      </w:r>
      <w:r>
        <w:t xml:space="preserve"> June 9, 2020 ALJ Ruling available on the Commission’s website at:</w:t>
      </w:r>
      <w:r w:rsidRPr="00473605">
        <w:t xml:space="preserve"> https://docs.cpuc.ca.gov/SearchRes.aspx?DocFormat=ALL&amp;DocID=339545369</w:t>
      </w:r>
      <w:r>
        <w:t xml:space="preserve">. </w:t>
      </w:r>
    </w:p>
  </w:footnote>
  <w:footnote w:id="18">
    <w:p w14:paraId="2CA4639D" w14:textId="51C3E23F" w:rsidR="00A7041E" w:rsidRDefault="00A7041E">
      <w:pPr>
        <w:pStyle w:val="FootnoteText"/>
      </w:pPr>
      <w:r>
        <w:rPr>
          <w:rStyle w:val="FootnoteReference"/>
        </w:rPr>
        <w:footnoteRef/>
      </w:r>
      <w:r>
        <w:t xml:space="preserve"> PG&amp;E June 17, 2020 Response is available on the Commission’s website at: </w:t>
      </w:r>
      <w:r w:rsidRPr="00473605">
        <w:t>https://docs.cpuc.ca.gov/SearchRes.aspx?DocFormat=ALL&amp;DocID=340738721</w:t>
      </w:r>
      <w:r>
        <w:t>.</w:t>
      </w:r>
    </w:p>
  </w:footnote>
  <w:footnote w:id="19">
    <w:p w14:paraId="4A736558" w14:textId="12AD8912" w:rsidR="00A7041E" w:rsidRDefault="00A7041E">
      <w:pPr>
        <w:pStyle w:val="FootnoteText"/>
      </w:pPr>
      <w:r>
        <w:rPr>
          <w:rStyle w:val="FootnoteReference"/>
        </w:rPr>
        <w:footnoteRef/>
      </w:r>
      <w:r>
        <w:t xml:space="preserve">  I.19-06-015, Ordering Paragraph 13.</w:t>
      </w:r>
    </w:p>
  </w:footnote>
  <w:footnote w:id="20">
    <w:p w14:paraId="3C8CB20F" w14:textId="26703ECC" w:rsidR="00A7041E" w:rsidRDefault="00A7041E">
      <w:pPr>
        <w:pStyle w:val="FootnoteText"/>
      </w:pPr>
      <w:r>
        <w:rPr>
          <w:rStyle w:val="FootnoteReference"/>
        </w:rPr>
        <w:footnoteRef/>
      </w:r>
      <w:r>
        <w:t xml:space="preserve"> </w:t>
      </w:r>
      <w:bookmarkStart w:id="32" w:name="_Hlk47934082"/>
      <w:r>
        <w:t xml:space="preserve"> The references in I.19-06-015 to Geographic Information System (GIS) was intended to be to Global Position System (GPS).  GPS provides the coordinates of a particular photo or asset.  GIS, on the other hand, is a software program that captures and stores data that has been transmitted from systems, such as GPS.</w:t>
      </w:r>
    </w:p>
    <w:bookmarkEnd w:id="32"/>
  </w:footnote>
  <w:footnote w:id="21">
    <w:p w14:paraId="4803C90B" w14:textId="3B25E7FC" w:rsidR="00A7041E" w:rsidRDefault="00A7041E">
      <w:pPr>
        <w:pStyle w:val="FootnoteText"/>
      </w:pPr>
      <w:r>
        <w:rPr>
          <w:rStyle w:val="FootnoteReference"/>
        </w:rPr>
        <w:footnoteRef/>
      </w:r>
      <w:r>
        <w:t xml:space="preserve"> </w:t>
      </w:r>
      <w:bookmarkStart w:id="33" w:name="_Hlk33608619"/>
      <w:r>
        <w:t xml:space="preserve"> I.19-06-015 at 18.</w:t>
      </w:r>
      <w:bookmarkEnd w:id="33"/>
    </w:p>
  </w:footnote>
  <w:footnote w:id="22">
    <w:p w14:paraId="083F8D86" w14:textId="38417A26" w:rsidR="00A7041E" w:rsidRDefault="00A7041E">
      <w:pPr>
        <w:pStyle w:val="FootnoteText"/>
      </w:pPr>
      <w:r>
        <w:rPr>
          <w:rStyle w:val="FootnoteReference"/>
        </w:rPr>
        <w:footnoteRef/>
      </w:r>
      <w:r>
        <w:t xml:space="preserve">  I.19-06-015 at 18.</w:t>
      </w:r>
    </w:p>
  </w:footnote>
  <w:footnote w:id="23">
    <w:p w14:paraId="139309E9" w14:textId="3B942261" w:rsidR="00A7041E" w:rsidRDefault="00A7041E">
      <w:pPr>
        <w:pStyle w:val="FootnoteText"/>
      </w:pPr>
      <w:r>
        <w:rPr>
          <w:rStyle w:val="FootnoteReference"/>
        </w:rPr>
        <w:footnoteRef/>
      </w:r>
      <w:r>
        <w:t xml:space="preserve">  I.19-06-015 at 18.</w:t>
      </w:r>
    </w:p>
  </w:footnote>
  <w:footnote w:id="24">
    <w:p w14:paraId="37FED6FE" w14:textId="3CF7B702" w:rsidR="00A7041E" w:rsidRDefault="00A7041E" w:rsidP="006432AF">
      <w:pPr>
        <w:pStyle w:val="FootnoteText"/>
        <w:tabs>
          <w:tab w:val="left" w:pos="2145"/>
        </w:tabs>
      </w:pPr>
      <w:r>
        <w:rPr>
          <w:rStyle w:val="FootnoteReference"/>
        </w:rPr>
        <w:footnoteRef/>
      </w:r>
      <w:r>
        <w:t xml:space="preserve">  I.19-06-015 at 1.</w:t>
      </w:r>
      <w:r>
        <w:tab/>
      </w:r>
    </w:p>
  </w:footnote>
  <w:footnote w:id="25">
    <w:p w14:paraId="3009D368" w14:textId="0634A46B" w:rsidR="00A7041E" w:rsidRDefault="00A7041E" w:rsidP="003D334C">
      <w:pPr>
        <w:pStyle w:val="FootnoteText"/>
      </w:pPr>
      <w:r>
        <w:rPr>
          <w:rStyle w:val="FootnoteReference"/>
        </w:rPr>
        <w:footnoteRef/>
      </w:r>
      <w:r>
        <w:t xml:space="preserve">  PG&amp;E </w:t>
      </w:r>
      <w:r w:rsidRPr="00431C51">
        <w:rPr>
          <w:i/>
          <w:iCs/>
        </w:rPr>
        <w:t>Mobile Application Pilot Implementation Report</w:t>
      </w:r>
      <w:r>
        <w:t xml:space="preserve"> (January 17, 2020) at 1.</w:t>
      </w:r>
    </w:p>
  </w:footnote>
  <w:footnote w:id="26">
    <w:p w14:paraId="77D0F057" w14:textId="2C94446F" w:rsidR="00A7041E" w:rsidRDefault="00A7041E">
      <w:pPr>
        <w:pStyle w:val="FootnoteText"/>
      </w:pPr>
      <w:r>
        <w:rPr>
          <w:rStyle w:val="FootnoteReference"/>
        </w:rPr>
        <w:footnoteRef/>
      </w:r>
      <w:r>
        <w:t xml:space="preserve">  August 28, 2019 Cal Advocates Protest at 2.</w:t>
      </w:r>
    </w:p>
  </w:footnote>
  <w:footnote w:id="27">
    <w:p w14:paraId="04001474" w14:textId="2377F2B1" w:rsidR="00A7041E" w:rsidRDefault="00A7041E" w:rsidP="003D334C">
      <w:pPr>
        <w:pStyle w:val="FootnoteText"/>
      </w:pPr>
      <w:r>
        <w:rPr>
          <w:rStyle w:val="FootnoteReference"/>
        </w:rPr>
        <w:footnoteRef/>
      </w:r>
      <w:r>
        <w:t xml:space="preserve">  February 21, 2020 BBIC Comments at 10.  “PG&amp;E’s undersized, invitation-only proposal for a one season web-enabled pilot exemplifies PG&amp;E’s safety issues and the company’s safety culture problem.” February 21, 2020 Comments at 14; March 6, 2020 BBIC Reply Comments at 3-4.</w:t>
      </w:r>
    </w:p>
  </w:footnote>
  <w:footnote w:id="28">
    <w:p w14:paraId="121D4730" w14:textId="07449324" w:rsidR="00A7041E" w:rsidRDefault="00A7041E" w:rsidP="003D334C">
      <w:pPr>
        <w:pStyle w:val="FootnoteText"/>
      </w:pPr>
      <w:r>
        <w:rPr>
          <w:rStyle w:val="FootnoteReference"/>
        </w:rPr>
        <w:footnoteRef/>
      </w:r>
      <w:r>
        <w:t xml:space="preserve">  February 21, 2020 BBIC Comments at 10; March 6, 2020 BBIC Reply Comments at 5. “PG&amp;E misunderstands BBIC’s position which is that the App must be considered within the broader context of PG&amp;E’s responsibility to offer safe, reliable service with adequate facilities at just and reasonable rates, including its efforts to prevent catastrophic wildfire.”</w:t>
      </w:r>
    </w:p>
  </w:footnote>
  <w:footnote w:id="29">
    <w:p w14:paraId="0840B3E3" w14:textId="4BA62546" w:rsidR="00A7041E" w:rsidRDefault="00A7041E" w:rsidP="003D334C">
      <w:pPr>
        <w:pStyle w:val="FootnoteText"/>
      </w:pPr>
      <w:r>
        <w:rPr>
          <w:rStyle w:val="FootnoteReference"/>
        </w:rPr>
        <w:footnoteRef/>
      </w:r>
      <w:r>
        <w:t xml:space="preserve">  February 21, 2020 BBIC Comments at 15; March 6, 2020 BBIC Reply Comments at 3-4.</w:t>
      </w:r>
    </w:p>
  </w:footnote>
  <w:footnote w:id="30">
    <w:p w14:paraId="0CC85969" w14:textId="3FF0D861" w:rsidR="00A7041E" w:rsidRDefault="00A7041E" w:rsidP="00BF20DB">
      <w:pPr>
        <w:pStyle w:val="FootnoteText"/>
      </w:pPr>
      <w:r>
        <w:rPr>
          <w:rStyle w:val="FootnoteReference"/>
        </w:rPr>
        <w:footnoteRef/>
      </w:r>
      <w:r>
        <w:t xml:space="preserve">  February 21, 2020 BBIC Comments at 11.</w:t>
      </w:r>
    </w:p>
  </w:footnote>
  <w:footnote w:id="31">
    <w:p w14:paraId="1344498C" w14:textId="15A9D4F0" w:rsidR="00A7041E" w:rsidRDefault="00A7041E" w:rsidP="007C68A9">
      <w:pPr>
        <w:pStyle w:val="FootnoteText"/>
      </w:pPr>
      <w:r>
        <w:rPr>
          <w:rStyle w:val="FootnoteReference"/>
        </w:rPr>
        <w:footnoteRef/>
      </w:r>
      <w:r>
        <w:t xml:space="preserve">  The terms “safety report” and “submittal” are used interchangeably in this decision to refer to the information describing the safety concerns related to PG&amp;E’s electric infrastructure provided by the customer to PG&amp;E via the mobile app.</w:t>
      </w:r>
    </w:p>
  </w:footnote>
  <w:footnote w:id="32">
    <w:p w14:paraId="60CADB75" w14:textId="2F5AAA8B" w:rsidR="00A7041E" w:rsidRDefault="00A7041E">
      <w:pPr>
        <w:pStyle w:val="FootnoteText"/>
      </w:pPr>
      <w:r>
        <w:rPr>
          <w:rStyle w:val="FootnoteReference"/>
        </w:rPr>
        <w:footnoteRef/>
      </w:r>
      <w:r>
        <w:t xml:space="preserve">  </w:t>
      </w:r>
      <w:r w:rsidRPr="00077570">
        <w:t>I.19-06-015 at 18.</w:t>
      </w:r>
    </w:p>
  </w:footnote>
  <w:footnote w:id="33">
    <w:p w14:paraId="68E3CA9E" w14:textId="7178EFB3" w:rsidR="00A7041E" w:rsidRDefault="00A7041E">
      <w:pPr>
        <w:pStyle w:val="FootnoteText"/>
      </w:pPr>
      <w:r>
        <w:rPr>
          <w:rStyle w:val="FootnoteReference"/>
        </w:rPr>
        <w:footnoteRef/>
      </w:r>
      <w:r>
        <w:t xml:space="preserve">  June 17, 2020 PG&amp;E Response at 3.</w:t>
      </w:r>
    </w:p>
  </w:footnote>
  <w:footnote w:id="34">
    <w:p w14:paraId="5C33EEE0" w14:textId="4790948C" w:rsidR="00A7041E" w:rsidRDefault="00A7041E" w:rsidP="002D4FDC">
      <w:pPr>
        <w:pStyle w:val="FootnoteText"/>
      </w:pPr>
      <w:r>
        <w:rPr>
          <w:rStyle w:val="FootnoteReference"/>
        </w:rPr>
        <w:footnoteRef/>
      </w:r>
      <w:r>
        <w:t xml:space="preserve"> </w:t>
      </w:r>
      <w:bookmarkStart w:id="38" w:name="_Hlk34812263"/>
      <w:r>
        <w:t xml:space="preserve"> </w:t>
      </w:r>
      <w:r w:rsidRPr="0029062F">
        <w:t>I.19-06-015 at 18.</w:t>
      </w:r>
      <w:bookmarkEnd w:id="38"/>
    </w:p>
  </w:footnote>
  <w:footnote w:id="35">
    <w:p w14:paraId="35355939" w14:textId="109F95B4" w:rsidR="00A7041E" w:rsidRDefault="00A7041E">
      <w:pPr>
        <w:pStyle w:val="FootnoteText"/>
      </w:pPr>
      <w:r>
        <w:rPr>
          <w:rStyle w:val="FootnoteReference"/>
        </w:rPr>
        <w:footnoteRef/>
      </w:r>
      <w:r>
        <w:t xml:space="preserve">  Application 19-07-019 at 3.</w:t>
      </w:r>
    </w:p>
  </w:footnote>
  <w:footnote w:id="36">
    <w:p w14:paraId="30F34FFF" w14:textId="553EE1DF" w:rsidR="00A7041E" w:rsidRDefault="00A7041E">
      <w:pPr>
        <w:pStyle w:val="FootnoteText"/>
      </w:pPr>
      <w:r>
        <w:rPr>
          <w:rStyle w:val="FootnoteReference"/>
        </w:rPr>
        <w:footnoteRef/>
      </w:r>
      <w:r>
        <w:t xml:space="preserve">  Application 19-07-019 at 8.</w:t>
      </w:r>
    </w:p>
  </w:footnote>
  <w:footnote w:id="37">
    <w:p w14:paraId="6F2A52AA" w14:textId="17CE5714" w:rsidR="00A7041E" w:rsidRDefault="00A7041E" w:rsidP="009A0F2A">
      <w:pPr>
        <w:pStyle w:val="FootnoteText"/>
      </w:pPr>
      <w:r>
        <w:rPr>
          <w:rStyle w:val="FootnoteReference"/>
        </w:rPr>
        <w:footnoteRef/>
      </w:r>
      <w:r>
        <w:t xml:space="preserve">  March 6, 2020 PG&amp;E Reply Comments at 4. </w:t>
      </w:r>
    </w:p>
  </w:footnote>
  <w:footnote w:id="38">
    <w:p w14:paraId="470A93AA" w14:textId="61EF5276" w:rsidR="00A7041E" w:rsidRDefault="00A7041E">
      <w:pPr>
        <w:pStyle w:val="FootnoteText"/>
      </w:pPr>
      <w:r>
        <w:rPr>
          <w:rStyle w:val="FootnoteReference"/>
        </w:rPr>
        <w:footnoteRef/>
      </w:r>
      <w:r>
        <w:t xml:space="preserve">  </w:t>
      </w:r>
      <w:r w:rsidRPr="0029062F">
        <w:t xml:space="preserve">February 21, 2020 BBIC Comments </w:t>
      </w:r>
      <w:r>
        <w:t>at 2.</w:t>
      </w:r>
    </w:p>
  </w:footnote>
  <w:footnote w:id="39">
    <w:p w14:paraId="141EF6D2" w14:textId="353B5B8C" w:rsidR="00A7041E" w:rsidRDefault="00A7041E">
      <w:pPr>
        <w:pStyle w:val="FootnoteText"/>
      </w:pPr>
      <w:r>
        <w:rPr>
          <w:rStyle w:val="FootnoteReference"/>
        </w:rPr>
        <w:footnoteRef/>
      </w:r>
      <w:r>
        <w:t xml:space="preserve">  March 6, 2020 BBIC Reply Comments at 3.</w:t>
      </w:r>
    </w:p>
  </w:footnote>
  <w:footnote w:id="40">
    <w:p w14:paraId="5B184613" w14:textId="2D5CEAF6" w:rsidR="00A7041E" w:rsidRDefault="00A7041E" w:rsidP="005B4485">
      <w:pPr>
        <w:pStyle w:val="FootnoteText"/>
      </w:pPr>
      <w:r>
        <w:rPr>
          <w:rStyle w:val="FootnoteReference"/>
        </w:rPr>
        <w:footnoteRef/>
      </w:r>
      <w:r>
        <w:t xml:space="preserve">  I.19-06-015 at 18.</w:t>
      </w:r>
    </w:p>
  </w:footnote>
  <w:footnote w:id="41">
    <w:p w14:paraId="163856B9" w14:textId="2B0AB208" w:rsidR="00A7041E" w:rsidRDefault="00A7041E" w:rsidP="0041149E">
      <w:pPr>
        <w:pStyle w:val="FootnoteText"/>
      </w:pPr>
      <w:r>
        <w:rPr>
          <w:rStyle w:val="FootnoteReference"/>
        </w:rPr>
        <w:footnoteRef/>
      </w:r>
      <w:r>
        <w:t xml:space="preserve">  March 6, 2020 PG&amp;E Reply Comments at 7.</w:t>
      </w:r>
    </w:p>
  </w:footnote>
  <w:footnote w:id="42">
    <w:p w14:paraId="0A63B9AC" w14:textId="511BE069" w:rsidR="00A7041E" w:rsidRDefault="00A7041E" w:rsidP="0041149E">
      <w:pPr>
        <w:pStyle w:val="FootnoteText"/>
      </w:pPr>
      <w:r>
        <w:rPr>
          <w:rStyle w:val="FootnoteReference"/>
        </w:rPr>
        <w:footnoteRef/>
      </w:r>
      <w:r>
        <w:t xml:space="preserve">  February 21, 2020 BBIC Comments at 8, citing to the Commission’s GIS Data and Broadband Maps, Data (as of December 31, 2019) at: </w:t>
      </w:r>
      <w:hyperlink r:id="rId8" w:history="1">
        <w:r w:rsidRPr="00802249">
          <w:rPr>
            <w:rStyle w:val="Hyperlink"/>
          </w:rPr>
          <w:t>https://www.cpuc.ca.gov/Broadband_Availability/</w:t>
        </w:r>
      </w:hyperlink>
      <w:r>
        <w:t xml:space="preserve"> </w:t>
      </w:r>
    </w:p>
  </w:footnote>
  <w:footnote w:id="43">
    <w:p w14:paraId="599FAE8A" w14:textId="01D90636" w:rsidR="00A7041E" w:rsidRDefault="00A7041E" w:rsidP="004B222D">
      <w:pPr>
        <w:pStyle w:val="FootnoteText"/>
      </w:pPr>
      <w:r>
        <w:rPr>
          <w:rStyle w:val="FootnoteReference"/>
        </w:rPr>
        <w:footnoteRef/>
      </w:r>
      <w:r>
        <w:t xml:space="preserve"> </w:t>
      </w:r>
      <w:bookmarkStart w:id="46" w:name="_Hlk41992996"/>
      <w:r>
        <w:t xml:space="preserve"> I.19-06-015 at 18.</w:t>
      </w:r>
      <w:bookmarkEnd w:id="46"/>
    </w:p>
  </w:footnote>
  <w:footnote w:id="44">
    <w:p w14:paraId="76703A0B" w14:textId="46963FD8" w:rsidR="00A7041E" w:rsidRDefault="00A7041E" w:rsidP="0042309B">
      <w:pPr>
        <w:pStyle w:val="FootnoteText"/>
      </w:pPr>
      <w:r>
        <w:rPr>
          <w:rStyle w:val="FootnoteReference"/>
        </w:rPr>
        <w:footnoteRef/>
      </w:r>
      <w:r>
        <w:t xml:space="preserve"> </w:t>
      </w:r>
      <w:bookmarkStart w:id="47" w:name="_Hlk45567655"/>
      <w:r>
        <w:t xml:space="preserve"> </w:t>
      </w:r>
      <w:r w:rsidRPr="00CD5067">
        <w:t>I.19-06-015 at 18.</w:t>
      </w:r>
      <w:bookmarkEnd w:id="47"/>
    </w:p>
  </w:footnote>
  <w:footnote w:id="45">
    <w:p w14:paraId="18BDDF5F" w14:textId="0D1C1AB6" w:rsidR="00A7041E" w:rsidRDefault="00A7041E" w:rsidP="0029062F">
      <w:pPr>
        <w:pStyle w:val="FootnoteText"/>
      </w:pPr>
      <w:r>
        <w:rPr>
          <w:rStyle w:val="FootnoteReference"/>
        </w:rPr>
        <w:footnoteRef/>
      </w:r>
      <w:r>
        <w:t xml:space="preserve">  I.19-06-015 at 18 and Ordering Paragraph 13 at 21.</w:t>
      </w:r>
    </w:p>
  </w:footnote>
  <w:footnote w:id="46">
    <w:p w14:paraId="1F838122" w14:textId="30554A99" w:rsidR="00A7041E" w:rsidRDefault="00A7041E">
      <w:pPr>
        <w:pStyle w:val="FootnoteText"/>
      </w:pPr>
      <w:r>
        <w:rPr>
          <w:rStyle w:val="FootnoteReference"/>
        </w:rPr>
        <w:footnoteRef/>
      </w:r>
      <w:r>
        <w:t xml:space="preserve">  Application 19-07-019 at 9, fn. 15.</w:t>
      </w:r>
    </w:p>
  </w:footnote>
  <w:footnote w:id="47">
    <w:p w14:paraId="688D393F" w14:textId="531B9856" w:rsidR="00A7041E" w:rsidRDefault="00A7041E">
      <w:pPr>
        <w:pStyle w:val="FootnoteText"/>
      </w:pPr>
      <w:r>
        <w:rPr>
          <w:rStyle w:val="FootnoteReference"/>
        </w:rPr>
        <w:footnoteRef/>
      </w:r>
      <w:r>
        <w:t xml:space="preserve">  </w:t>
      </w:r>
      <w:r w:rsidRPr="00AB5E86">
        <w:t>I.19-06-015 at 18.</w:t>
      </w:r>
    </w:p>
  </w:footnote>
  <w:footnote w:id="48">
    <w:p w14:paraId="202A6066" w14:textId="00FB983D" w:rsidR="00A7041E" w:rsidRDefault="00A7041E">
      <w:pPr>
        <w:pStyle w:val="FootnoteText"/>
      </w:pPr>
      <w:r>
        <w:rPr>
          <w:rStyle w:val="FootnoteReference"/>
        </w:rPr>
        <w:footnoteRef/>
      </w:r>
      <w:r>
        <w:t xml:space="preserve">  February 21, 2020 BBIC Comments at 6.</w:t>
      </w:r>
    </w:p>
  </w:footnote>
  <w:footnote w:id="49">
    <w:p w14:paraId="54CDD3A8" w14:textId="09C34270" w:rsidR="00A7041E" w:rsidRDefault="00A7041E">
      <w:pPr>
        <w:pStyle w:val="FootnoteText"/>
      </w:pPr>
      <w:r>
        <w:rPr>
          <w:rStyle w:val="FootnoteReference"/>
        </w:rPr>
        <w:footnoteRef/>
      </w:r>
      <w:r>
        <w:t xml:space="preserve">  I.19-06-015 at 18. (Emphasis added.)</w:t>
      </w:r>
    </w:p>
  </w:footnote>
  <w:footnote w:id="50">
    <w:p w14:paraId="1F3E3830" w14:textId="22D8689A" w:rsidR="00A7041E" w:rsidRDefault="00A7041E" w:rsidP="00DD517A">
      <w:pPr>
        <w:pStyle w:val="FootnoteText"/>
      </w:pPr>
      <w:r>
        <w:rPr>
          <w:rStyle w:val="FootnoteReference"/>
        </w:rPr>
        <w:footnoteRef/>
      </w:r>
      <w:r>
        <w:t xml:space="preserve">  I.19-06-015 at 18.</w:t>
      </w:r>
    </w:p>
  </w:footnote>
  <w:footnote w:id="51">
    <w:p w14:paraId="18E4B70A" w14:textId="47AC2735" w:rsidR="00A7041E" w:rsidRDefault="00A7041E">
      <w:pPr>
        <w:pStyle w:val="FootnoteText"/>
      </w:pPr>
      <w:r>
        <w:rPr>
          <w:rStyle w:val="FootnoteReference"/>
        </w:rPr>
        <w:footnoteRef/>
      </w:r>
      <w:r>
        <w:t xml:space="preserve">  PG&amp;E </w:t>
      </w:r>
      <w:r w:rsidRPr="00431C51">
        <w:rPr>
          <w:i/>
          <w:iCs/>
        </w:rPr>
        <w:t>Mobile Application Pilot Implementation Report</w:t>
      </w:r>
      <w:r>
        <w:t xml:space="preserve"> (January 17, 2020) at 26.</w:t>
      </w:r>
    </w:p>
  </w:footnote>
  <w:footnote w:id="52">
    <w:p w14:paraId="4C06387A" w14:textId="5CA67DE2" w:rsidR="00A7041E" w:rsidRDefault="00A7041E" w:rsidP="00636466">
      <w:pPr>
        <w:pStyle w:val="FootnoteText"/>
      </w:pPr>
      <w:r>
        <w:rPr>
          <w:rStyle w:val="FootnoteReference"/>
        </w:rPr>
        <w:footnoteRef/>
      </w:r>
      <w:r>
        <w:t xml:space="preserve">  The launch date is further discussed in </w:t>
      </w:r>
      <w:r w:rsidRPr="00431C51">
        <w:t xml:space="preserve">Section </w:t>
      </w:r>
      <w:r>
        <w:t xml:space="preserve">2.5, </w:t>
      </w:r>
      <w:r w:rsidRPr="00431C51">
        <w:t>herein.</w:t>
      </w:r>
      <w:r w:rsidRPr="00142066">
        <w:rPr>
          <w:sz w:val="26"/>
          <w:szCs w:val="22"/>
        </w:rPr>
        <w:t xml:space="preserve"> </w:t>
      </w:r>
      <w:r w:rsidRPr="00431C51">
        <w:t xml:space="preserve">The launch date </w:t>
      </w:r>
      <w:r>
        <w:t xml:space="preserve">is the </w:t>
      </w:r>
      <w:r w:rsidRPr="00431C51">
        <w:t xml:space="preserve">date that PG&amp;E provides customers with access to the mobile app and mobile app is fully functional. </w:t>
      </w:r>
      <w:r>
        <w:t>The four year period applies unless a longer period applies pursuant to Commission directive or other applicable law.</w:t>
      </w:r>
      <w:r w:rsidRPr="00431C51">
        <w:t xml:space="preserve"> </w:t>
      </w:r>
    </w:p>
  </w:footnote>
  <w:footnote w:id="53">
    <w:p w14:paraId="6B303A4E" w14:textId="024DCA85" w:rsidR="00A7041E" w:rsidRDefault="00A7041E">
      <w:pPr>
        <w:pStyle w:val="FootnoteText"/>
      </w:pPr>
      <w:r>
        <w:rPr>
          <w:rStyle w:val="FootnoteReference"/>
        </w:rPr>
        <w:footnoteRef/>
      </w:r>
      <w:r>
        <w:t xml:space="preserve">  GIS or </w:t>
      </w:r>
      <w:r w:rsidRPr="003914A7">
        <w:rPr>
          <w:lang w:val="en"/>
        </w:rPr>
        <w:t>geographic information system</w:t>
      </w:r>
      <w:r>
        <w:rPr>
          <w:lang w:val="en"/>
        </w:rPr>
        <w:t xml:space="preserve"> </w:t>
      </w:r>
      <w:r w:rsidRPr="003914A7">
        <w:rPr>
          <w:lang w:val="en"/>
        </w:rPr>
        <w:t>is a computer syst</w:t>
      </w:r>
      <w:r>
        <w:rPr>
          <w:lang w:val="en"/>
        </w:rPr>
        <w:t>e</w:t>
      </w:r>
      <w:r w:rsidRPr="003914A7">
        <w:rPr>
          <w:lang w:val="en"/>
        </w:rPr>
        <w:t xml:space="preserve">m for capturing, storing, checking, and displaying data related to </w:t>
      </w:r>
      <w:r>
        <w:rPr>
          <w:lang w:val="en"/>
        </w:rPr>
        <w:t xml:space="preserve">geographic </w:t>
      </w:r>
      <w:r w:rsidRPr="003914A7">
        <w:rPr>
          <w:lang w:val="en"/>
        </w:rPr>
        <w:t xml:space="preserve">positions on </w:t>
      </w:r>
      <w:r>
        <w:rPr>
          <w:lang w:val="en"/>
        </w:rPr>
        <w:t>e</w:t>
      </w:r>
      <w:r w:rsidRPr="003914A7">
        <w:rPr>
          <w:lang w:val="en"/>
        </w:rPr>
        <w:t>arth's surface.</w:t>
      </w:r>
    </w:p>
  </w:footnote>
  <w:footnote w:id="54">
    <w:p w14:paraId="05C9E361" w14:textId="7426FCDC" w:rsidR="00A7041E" w:rsidRDefault="00A7041E">
      <w:pPr>
        <w:pStyle w:val="FootnoteText"/>
      </w:pPr>
      <w:r>
        <w:rPr>
          <w:rStyle w:val="FootnoteReference"/>
        </w:rPr>
        <w:footnoteRef/>
      </w:r>
      <w:r>
        <w:t xml:space="preserve">  March 6, 2020 PG&amp;E Reply Comments at 5.</w:t>
      </w:r>
    </w:p>
  </w:footnote>
  <w:footnote w:id="55">
    <w:p w14:paraId="591A402F" w14:textId="16BF6B1A" w:rsidR="00A7041E" w:rsidRDefault="00A7041E">
      <w:pPr>
        <w:pStyle w:val="FootnoteText"/>
      </w:pPr>
      <w:r>
        <w:rPr>
          <w:rStyle w:val="FootnoteReference"/>
        </w:rPr>
        <w:footnoteRef/>
      </w:r>
      <w:r>
        <w:t xml:space="preserve">  February 21, 2020 BBIC Comments at 3-4. </w:t>
      </w:r>
    </w:p>
  </w:footnote>
  <w:footnote w:id="56">
    <w:p w14:paraId="7F5CF31C" w14:textId="6A99DBA6" w:rsidR="00A7041E" w:rsidRDefault="00A7041E">
      <w:pPr>
        <w:pStyle w:val="FootnoteText"/>
      </w:pPr>
      <w:r>
        <w:rPr>
          <w:rStyle w:val="FootnoteReference"/>
        </w:rPr>
        <w:footnoteRef/>
      </w:r>
      <w:r>
        <w:t xml:space="preserve"> </w:t>
      </w:r>
      <w:bookmarkStart w:id="67" w:name="_Hlk33440663"/>
      <w:r>
        <w:t xml:space="preserve"> February 21, 2020 BBIC Comments at 13.  </w:t>
      </w:r>
      <w:bookmarkEnd w:id="67"/>
      <w:r>
        <w:t xml:space="preserve">As Professor Sandoval stated at the February 12, 2020 workshop, “Californians are smart, capable, and engaged in preventing utility fire and infrastructure risk issues.” </w:t>
      </w:r>
      <w:r w:rsidRPr="00FC4E8A">
        <w:t xml:space="preserve">February 21, 2020 BBIC Comments at 13.  </w:t>
      </w:r>
    </w:p>
  </w:footnote>
  <w:footnote w:id="57">
    <w:p w14:paraId="53D6521E" w14:textId="5E450E32" w:rsidR="00A7041E" w:rsidRDefault="00A7041E">
      <w:pPr>
        <w:pStyle w:val="FootnoteText"/>
      </w:pPr>
      <w:r>
        <w:rPr>
          <w:rStyle w:val="FootnoteReference"/>
        </w:rPr>
        <w:footnoteRef/>
      </w:r>
      <w:r>
        <w:t xml:space="preserve"> </w:t>
      </w:r>
      <w:bookmarkStart w:id="72" w:name="_Hlk33534269"/>
      <w:r>
        <w:t xml:space="preserve"> PG&amp;E </w:t>
      </w:r>
      <w:r w:rsidRPr="00431C51">
        <w:rPr>
          <w:i/>
          <w:iCs/>
        </w:rPr>
        <w:t>Mobile Application Pilot Implementation Report</w:t>
      </w:r>
      <w:r>
        <w:t xml:space="preserve"> (January 17, 2020) </w:t>
      </w:r>
      <w:bookmarkEnd w:id="72"/>
      <w:r>
        <w:t>at 27.</w:t>
      </w:r>
    </w:p>
  </w:footnote>
  <w:footnote w:id="58">
    <w:p w14:paraId="47DD77F6" w14:textId="1A3E8D53" w:rsidR="00A7041E" w:rsidRDefault="00A7041E">
      <w:pPr>
        <w:pStyle w:val="FootnoteText"/>
      </w:pPr>
      <w:r>
        <w:rPr>
          <w:rStyle w:val="FootnoteReference"/>
        </w:rPr>
        <w:footnoteRef/>
      </w:r>
      <w:r>
        <w:t xml:space="preserve">  February 21, 2020 BBIC Comments at 9. </w:t>
      </w:r>
    </w:p>
  </w:footnote>
  <w:footnote w:id="59">
    <w:p w14:paraId="10E6DE38" w14:textId="6CC077F9" w:rsidR="00A7041E" w:rsidRDefault="00A7041E">
      <w:pPr>
        <w:pStyle w:val="FootnoteText"/>
      </w:pPr>
      <w:r>
        <w:rPr>
          <w:rStyle w:val="FootnoteReference"/>
        </w:rPr>
        <w:footnoteRef/>
      </w:r>
      <w:r>
        <w:t xml:space="preserve"> </w:t>
      </w:r>
      <w:bookmarkStart w:id="74" w:name="_Hlk33535663"/>
      <w:r>
        <w:t xml:space="preserve"> February 21, 2020 BBIC Comments at 11.</w:t>
      </w:r>
      <w:bookmarkEnd w:id="74"/>
      <w:r>
        <w:t xml:space="preserve">  </w:t>
      </w:r>
    </w:p>
  </w:footnote>
  <w:footnote w:id="60">
    <w:p w14:paraId="62354852" w14:textId="2EC78EF5" w:rsidR="00A7041E" w:rsidRDefault="00A7041E">
      <w:pPr>
        <w:pStyle w:val="FootnoteText"/>
      </w:pPr>
      <w:r>
        <w:rPr>
          <w:rStyle w:val="FootnoteReference"/>
        </w:rPr>
        <w:footnoteRef/>
      </w:r>
      <w:r>
        <w:t xml:space="preserve">  </w:t>
      </w:r>
      <w:r w:rsidRPr="003365E0">
        <w:t xml:space="preserve">February 21, 2020 BBIC Comments at </w:t>
      </w:r>
      <w:r>
        <w:t>9</w:t>
      </w:r>
      <w:r w:rsidRPr="003365E0">
        <w:t>.</w:t>
      </w:r>
    </w:p>
  </w:footnote>
  <w:footnote w:id="61">
    <w:p w14:paraId="18496156" w14:textId="77777777" w:rsidR="00A7041E" w:rsidRDefault="00A7041E" w:rsidP="00233423">
      <w:pPr>
        <w:pStyle w:val="FootnoteText"/>
      </w:pPr>
      <w:r>
        <w:rPr>
          <w:rStyle w:val="FootnoteReference"/>
        </w:rPr>
        <w:footnoteRef/>
      </w:r>
      <w:r>
        <w:t xml:space="preserve"> </w:t>
      </w:r>
      <w:r w:rsidRPr="00373C00">
        <w:t>See, Declaratory Ruling, CG Docket No. 02-278, FCC 16-88, In the Matter of Rules and Regulations Implementing the Telephone Consumer Protection Act of 1991, released August 4, 2016.</w:t>
      </w:r>
    </w:p>
  </w:footnote>
  <w:footnote w:id="62">
    <w:p w14:paraId="0656F429" w14:textId="2CDE30B7" w:rsidR="00A7041E" w:rsidRDefault="00A7041E" w:rsidP="00FE4336">
      <w:pPr>
        <w:pStyle w:val="FootnoteText"/>
      </w:pPr>
      <w:r>
        <w:rPr>
          <w:rStyle w:val="FootnoteReference"/>
        </w:rPr>
        <w:footnoteRef/>
      </w:r>
      <w:r>
        <w:t xml:space="preserve">  Scoping Memo at 7, “</w:t>
      </w:r>
      <w:r w:rsidRPr="00FE4336">
        <w:t>Pacific Gas and Electric Company shall seek input on its development of</w:t>
      </w:r>
      <w:r>
        <w:t xml:space="preserve"> </w:t>
      </w:r>
      <w:r w:rsidRPr="00FE4336">
        <w:t>the mobile app pilot from the California Department of Forestry and Fire</w:t>
      </w:r>
      <w:r>
        <w:t xml:space="preserve"> </w:t>
      </w:r>
      <w:r w:rsidRPr="00FE4336">
        <w:t>Protection, vegetation</w:t>
      </w:r>
      <w:r>
        <w:t xml:space="preserve"> </w:t>
      </w:r>
      <w:r w:rsidRPr="00FE4336">
        <w:t>management consultants and other investor-owned and</w:t>
      </w:r>
      <w:r>
        <w:t xml:space="preserve"> </w:t>
      </w:r>
      <w:r w:rsidRPr="00FE4336">
        <w:t>municipal utilities.</w:t>
      </w:r>
      <w:r>
        <w:t>”</w:t>
      </w:r>
    </w:p>
  </w:footnote>
  <w:footnote w:id="63">
    <w:p w14:paraId="0B39CD59" w14:textId="62FFA71B" w:rsidR="00A7041E" w:rsidRDefault="00A7041E" w:rsidP="009C613E">
      <w:pPr>
        <w:pStyle w:val="FootnoteText"/>
      </w:pPr>
      <w:r>
        <w:rPr>
          <w:rStyle w:val="FootnoteReference"/>
        </w:rPr>
        <w:footnoteRef/>
      </w:r>
      <w:r>
        <w:t xml:space="preserve">  </w:t>
      </w:r>
      <w:r w:rsidRPr="00BB087D">
        <w:t xml:space="preserve">PG&amp;E </w:t>
      </w:r>
      <w:r w:rsidRPr="00431C51">
        <w:rPr>
          <w:i/>
          <w:iCs/>
        </w:rPr>
        <w:t>Mobile Application Pilot Implementation Report</w:t>
      </w:r>
      <w:r w:rsidRPr="00BB087D">
        <w:t xml:space="preserve"> (January 17, 2020)</w:t>
      </w:r>
      <w:r>
        <w:t xml:space="preserve"> at 29.</w:t>
      </w:r>
    </w:p>
  </w:footnote>
  <w:footnote w:id="64">
    <w:p w14:paraId="4387832F" w14:textId="098D4575" w:rsidR="00A7041E" w:rsidRDefault="00A7041E" w:rsidP="009C613E">
      <w:pPr>
        <w:pStyle w:val="FootnoteText"/>
      </w:pPr>
      <w:r>
        <w:rPr>
          <w:rStyle w:val="FootnoteReference"/>
        </w:rPr>
        <w:footnoteRef/>
      </w:r>
      <w:r>
        <w:t xml:space="preserve"> </w:t>
      </w:r>
      <w:bookmarkStart w:id="82" w:name="_Hlk33537941"/>
      <w:r>
        <w:t xml:space="preserve"> February 21 Cal Advocates Comments at 3.</w:t>
      </w:r>
      <w:bookmarkEnd w:id="82"/>
    </w:p>
  </w:footnote>
  <w:footnote w:id="65">
    <w:p w14:paraId="1F5A6567" w14:textId="0BAE420B" w:rsidR="00A7041E" w:rsidRDefault="00A7041E" w:rsidP="00BB7E42">
      <w:pPr>
        <w:pStyle w:val="FootnoteText"/>
      </w:pPr>
      <w:r>
        <w:rPr>
          <w:rStyle w:val="FootnoteReference"/>
        </w:rPr>
        <w:footnoteRef/>
      </w:r>
      <w:r>
        <w:t xml:space="preserve">  </w:t>
      </w:r>
      <w:r w:rsidRPr="00BB087D">
        <w:t xml:space="preserve">February 21, 2020 BBIC Comments at </w:t>
      </w:r>
      <w:r>
        <w:t xml:space="preserve">9; March 6, 2020 BBIC Reply Comments at 6. </w:t>
      </w:r>
    </w:p>
  </w:footnote>
  <w:footnote w:id="66">
    <w:p w14:paraId="319E25DB" w14:textId="37285DBD" w:rsidR="00A7041E" w:rsidRDefault="00A7041E" w:rsidP="009C613E">
      <w:pPr>
        <w:pStyle w:val="FootnoteText"/>
      </w:pPr>
      <w:r>
        <w:rPr>
          <w:rStyle w:val="FootnoteReference"/>
        </w:rPr>
        <w:footnoteRef/>
      </w:r>
      <w:r>
        <w:t xml:space="preserve">  March 6, 2020 BBIC Reply Comments at 6. </w:t>
      </w:r>
    </w:p>
  </w:footnote>
  <w:footnote w:id="67">
    <w:p w14:paraId="1B1F12A9" w14:textId="22A0E8EA" w:rsidR="00A7041E" w:rsidRDefault="00A7041E" w:rsidP="009C613E">
      <w:pPr>
        <w:pStyle w:val="FootnoteText"/>
      </w:pPr>
      <w:r>
        <w:rPr>
          <w:rStyle w:val="FootnoteReference"/>
        </w:rPr>
        <w:footnoteRef/>
      </w:r>
      <w:r>
        <w:t xml:space="preserve">  March 20, 2020 PG&amp;E </w:t>
      </w:r>
      <w:r w:rsidRPr="00462F6A">
        <w:t>Revision to Mobile Application Pilot Plan</w:t>
      </w:r>
      <w:r>
        <w:t xml:space="preserve"> at 1.</w:t>
      </w:r>
    </w:p>
  </w:footnote>
  <w:footnote w:id="68">
    <w:p w14:paraId="29ACCCFD" w14:textId="3EF5E635" w:rsidR="00A7041E" w:rsidRDefault="00A7041E">
      <w:pPr>
        <w:pStyle w:val="FootnoteText"/>
      </w:pPr>
      <w:r>
        <w:rPr>
          <w:rStyle w:val="FootnoteReference"/>
        </w:rPr>
        <w:footnoteRef/>
      </w:r>
      <w:r>
        <w:t xml:space="preserve">  The total of 384 unique submittals assumes that at least some of the 186 pilot participants, referred to in Section 2.1, will submit multiple submittals. </w:t>
      </w:r>
    </w:p>
  </w:footnote>
  <w:footnote w:id="69">
    <w:p w14:paraId="06AD8DFE" w14:textId="7A8D544B" w:rsidR="00A7041E" w:rsidRDefault="00A7041E">
      <w:pPr>
        <w:pStyle w:val="FootnoteText"/>
      </w:pPr>
      <w:r>
        <w:rPr>
          <w:rStyle w:val="FootnoteReference"/>
        </w:rPr>
        <w:footnoteRef/>
      </w:r>
      <w:r>
        <w:t xml:space="preserve"> </w:t>
      </w:r>
      <w:bookmarkStart w:id="86" w:name="_Hlk33537213"/>
      <w:r>
        <w:t xml:space="preserve"> </w:t>
      </w:r>
      <w:r w:rsidRPr="009162D0">
        <w:t xml:space="preserve">PG&amp;E </w:t>
      </w:r>
      <w:r w:rsidRPr="00431C51">
        <w:rPr>
          <w:i/>
          <w:iCs/>
        </w:rPr>
        <w:t>Mobile Application Pilot Implementation Report</w:t>
      </w:r>
      <w:r w:rsidRPr="009162D0">
        <w:t xml:space="preserve"> </w:t>
      </w:r>
      <w:r>
        <w:t xml:space="preserve">(January 17, 2020) </w:t>
      </w:r>
      <w:bookmarkEnd w:id="86"/>
      <w:r>
        <w:t>at 30.</w:t>
      </w:r>
    </w:p>
  </w:footnote>
  <w:footnote w:id="70">
    <w:p w14:paraId="6F1F0FD7" w14:textId="1AE7C7AC" w:rsidR="00A7041E" w:rsidRDefault="00A7041E">
      <w:pPr>
        <w:pStyle w:val="FootnoteText"/>
      </w:pPr>
      <w:r>
        <w:rPr>
          <w:rStyle w:val="FootnoteReference"/>
        </w:rPr>
        <w:footnoteRef/>
      </w:r>
      <w:r>
        <w:t xml:space="preserve">  </w:t>
      </w:r>
      <w:r w:rsidRPr="005244D3">
        <w:t xml:space="preserve">February 21, 2020 BBIC Comments </w:t>
      </w:r>
      <w:r>
        <w:t>at 11.</w:t>
      </w:r>
    </w:p>
  </w:footnote>
  <w:footnote w:id="71">
    <w:p w14:paraId="4D3FDB12" w14:textId="6A21636E" w:rsidR="00A7041E" w:rsidRDefault="00A7041E">
      <w:pPr>
        <w:pStyle w:val="FootnoteText"/>
      </w:pPr>
      <w:r>
        <w:rPr>
          <w:rStyle w:val="FootnoteReference"/>
        </w:rPr>
        <w:footnoteRef/>
      </w:r>
      <w:r>
        <w:t xml:space="preserve">  </w:t>
      </w:r>
      <w:r w:rsidRPr="005244D3">
        <w:t xml:space="preserve">PG&amp;E </w:t>
      </w:r>
      <w:r w:rsidRPr="00431C51">
        <w:rPr>
          <w:i/>
          <w:iCs/>
        </w:rPr>
        <w:t>Mobile Application Pilot Implementation Report</w:t>
      </w:r>
      <w:r w:rsidRPr="005244D3">
        <w:t xml:space="preserve"> (January 17, 2020)</w:t>
      </w:r>
      <w:r>
        <w:t xml:space="preserve"> at 22-25.</w:t>
      </w:r>
    </w:p>
  </w:footnote>
  <w:footnote w:id="72">
    <w:p w14:paraId="74D20495" w14:textId="5A64E023" w:rsidR="00A7041E" w:rsidRDefault="00A7041E">
      <w:pPr>
        <w:pStyle w:val="FootnoteText"/>
      </w:pPr>
      <w:r>
        <w:rPr>
          <w:rStyle w:val="FootnoteReference"/>
        </w:rPr>
        <w:footnoteRef/>
      </w:r>
      <w:r>
        <w:t xml:space="preserve">  PG&amp;E Response June 17, 2020 at 2. PG&amp;E explains that the mobile app is not appropriate for use by customers to report emergency/911 matters, and PG&amp;E will take steps to include warnings in the mobile app to advise customers to contact 911 in the event of an emergency. PG&amp;E explains that</w:t>
      </w:r>
      <w:r w:rsidRPr="00AC0CBA">
        <w:rPr>
          <w:rFonts w:ascii="Times New Roman" w:hAnsi="Times New Roman" w:cs="Times New Roman"/>
          <w:color w:val="000000"/>
          <w:sz w:val="23"/>
          <w:szCs w:val="23"/>
        </w:rPr>
        <w:t xml:space="preserve"> </w:t>
      </w:r>
      <w:r>
        <w:t>r</w:t>
      </w:r>
      <w:r w:rsidRPr="00AC0CBA">
        <w:t>eporting emergencies through the mobile app would</w:t>
      </w:r>
      <w:r>
        <w:t xml:space="preserve"> merely result in </w:t>
      </w:r>
      <w:r w:rsidRPr="00AC0CBA">
        <w:t xml:space="preserve">a more circuitous pathway to reach local emergency dispatch. </w:t>
      </w:r>
      <w:r>
        <w:t xml:space="preserve"> That is to say that r</w:t>
      </w:r>
      <w:r w:rsidRPr="00AC0CBA">
        <w:t>ather than contacting the local emergency dispatch directly</w:t>
      </w:r>
      <w:r>
        <w:t xml:space="preserve"> by calling 911</w:t>
      </w:r>
      <w:r w:rsidRPr="00AC0CBA">
        <w:t xml:space="preserve">, the </w:t>
      </w:r>
      <w:r>
        <w:t>customer</w:t>
      </w:r>
      <w:r w:rsidRPr="00AC0CBA">
        <w:t xml:space="preserve"> would submit a </w:t>
      </w:r>
      <w:r>
        <w:t xml:space="preserve">safety </w:t>
      </w:r>
      <w:r w:rsidRPr="00AC0CBA">
        <w:t>report</w:t>
      </w:r>
      <w:r>
        <w:t xml:space="preserve"> (with an emergency matter)</w:t>
      </w:r>
      <w:r w:rsidRPr="00AC0CBA">
        <w:t xml:space="preserve"> to PG&amp;E</w:t>
      </w:r>
      <w:r>
        <w:t xml:space="preserve"> via the mobile app</w:t>
      </w:r>
      <w:r w:rsidRPr="00AC0CBA">
        <w:t>.</w:t>
      </w:r>
      <w:r>
        <w:t xml:space="preserve"> </w:t>
      </w:r>
      <w:r w:rsidRPr="00AC0CBA">
        <w:t xml:space="preserve"> PG&amp;E would then in turn analyze that request and either contact the local emergency dispatch via 911, or request that the customer contact emergency dispatch. </w:t>
      </w:r>
      <w:r>
        <w:t>PG&amp;E advises that the d</w:t>
      </w:r>
      <w:r w:rsidRPr="00AC0CBA">
        <w:t xml:space="preserve">elay </w:t>
      </w:r>
      <w:r>
        <w:t xml:space="preserve">caused by relying on the mobile app </w:t>
      </w:r>
      <w:r w:rsidRPr="00AC0CBA">
        <w:t>in the reporting of an emergency increases the risk of injury or death.</w:t>
      </w:r>
      <w:r>
        <w:t xml:space="preserve">  </w:t>
      </w:r>
    </w:p>
  </w:footnote>
  <w:footnote w:id="73">
    <w:p w14:paraId="7BD8FB85" w14:textId="3B96DC92" w:rsidR="00A7041E" w:rsidRDefault="00A7041E">
      <w:pPr>
        <w:pStyle w:val="FootnoteText"/>
      </w:pPr>
      <w:r>
        <w:rPr>
          <w:rStyle w:val="FootnoteReference"/>
        </w:rPr>
        <w:footnoteRef/>
      </w:r>
      <w:r>
        <w:t xml:space="preserve">  PG&amp;E Response June 17, 2020 at 4. PG&amp;E states that a non-emergency matter reported via the mobile app may include, among other things, </w:t>
      </w:r>
      <w:r w:rsidRPr="000D5FE6">
        <w:t xml:space="preserve">a situation where an issue is identified </w:t>
      </w:r>
      <w:r>
        <w:t>with</w:t>
      </w:r>
      <w:r w:rsidRPr="000D5FE6">
        <w:t xml:space="preserve"> PG&amp;E’s infrastructure that requires an immediate response by PG&amp;E personnel, aligned with General Order 95 Rule 18 (Level 1 priority).</w:t>
      </w:r>
      <w:r>
        <w:t xml:space="preserve">  </w:t>
      </w:r>
    </w:p>
  </w:footnote>
  <w:footnote w:id="74">
    <w:p w14:paraId="203D8ACA" w14:textId="25988E4E" w:rsidR="00A7041E" w:rsidRDefault="00A7041E" w:rsidP="00640B54">
      <w:pPr>
        <w:pStyle w:val="FootnoteText"/>
      </w:pPr>
      <w:r>
        <w:rPr>
          <w:rStyle w:val="FootnoteReference"/>
        </w:rPr>
        <w:footnoteRef/>
      </w:r>
      <w:r>
        <w:t xml:space="preserve">  The PG&amp;E existing complaint intake platform can be found on PG&amp;E’s website at: </w:t>
      </w:r>
      <w:hyperlink r:id="rId9" w:history="1">
        <w:r w:rsidRPr="002A4B4A">
          <w:rPr>
            <w:rStyle w:val="Hyperlink"/>
          </w:rPr>
          <w:t>https://www.pge.com/en_US/residential/customer-service/help/contact-pge-landing/contact-us.page</w:t>
        </w:r>
      </w:hyperlink>
      <w:r>
        <w:t>.</w:t>
      </w:r>
    </w:p>
  </w:footnote>
  <w:footnote w:id="75">
    <w:p w14:paraId="67E67179" w14:textId="689801D4" w:rsidR="00A7041E" w:rsidRDefault="00A7041E">
      <w:pPr>
        <w:pStyle w:val="FootnoteText"/>
      </w:pPr>
      <w:r>
        <w:rPr>
          <w:rStyle w:val="FootnoteReference"/>
        </w:rPr>
        <w:footnoteRef/>
      </w:r>
      <w:r>
        <w:t xml:space="preserve">  March 6, 2020 BBIC Reply Comments at 7.</w:t>
      </w:r>
    </w:p>
  </w:footnote>
  <w:footnote w:id="76">
    <w:p w14:paraId="317B54EC" w14:textId="2A8B0466" w:rsidR="00A7041E" w:rsidRDefault="00A7041E">
      <w:pPr>
        <w:pStyle w:val="FootnoteText"/>
      </w:pPr>
      <w:r>
        <w:rPr>
          <w:rStyle w:val="FootnoteReference"/>
        </w:rPr>
        <w:footnoteRef/>
      </w:r>
      <w:r>
        <w:t xml:space="preserve">  March 6, 2020 BBIC Reply Comments at 3.</w:t>
      </w:r>
    </w:p>
  </w:footnote>
  <w:footnote w:id="77">
    <w:p w14:paraId="672FF3F0" w14:textId="2AC9A617" w:rsidR="00A7041E" w:rsidRDefault="00A7041E">
      <w:pPr>
        <w:pStyle w:val="FootnoteText"/>
      </w:pPr>
      <w:r>
        <w:rPr>
          <w:rStyle w:val="FootnoteReference"/>
        </w:rPr>
        <w:footnoteRef/>
      </w:r>
      <w:r>
        <w:t xml:space="preserve"> </w:t>
      </w:r>
      <w:r w:rsidRPr="001300A3">
        <w:t>PG&amp;E June 17, 2020 Respon</w:t>
      </w:r>
      <w:r>
        <w:t>se.</w:t>
      </w:r>
    </w:p>
  </w:footnote>
  <w:footnote w:id="78">
    <w:p w14:paraId="46066D8E" w14:textId="325C3D03" w:rsidR="00A7041E" w:rsidRDefault="00A7041E">
      <w:pPr>
        <w:pStyle w:val="FootnoteText"/>
      </w:pPr>
      <w:r>
        <w:rPr>
          <w:rStyle w:val="FootnoteReference"/>
        </w:rPr>
        <w:footnoteRef/>
      </w:r>
      <w:r>
        <w:t xml:space="preserve"> </w:t>
      </w:r>
      <w:r w:rsidRPr="001300A3">
        <w:t xml:space="preserve">PG&amp;E June 17, 2020 Response </w:t>
      </w:r>
      <w:r>
        <w:t>at 2, PG&amp;E states: “</w:t>
      </w:r>
      <w:r w:rsidRPr="001300A3">
        <w:t xml:space="preserve">PG&amp;E will discourage emergency reporting solely via the mobile app through the language and training provided in the app itself. For example, opening the app PG&amp;E will ask the reporting party a set of confirming questions, to validate that the report is not an emergency: </w:t>
      </w:r>
      <w:r>
        <w:t>‘</w:t>
      </w:r>
      <w:r w:rsidRPr="001300A3">
        <w:t xml:space="preserve">Is the line down, sparking or on fire”. If yes, </w:t>
      </w:r>
      <w:r w:rsidRPr="001300A3">
        <w:rPr>
          <w:b/>
          <w:bCs/>
        </w:rPr>
        <w:t xml:space="preserve">leave the area immediately </w:t>
      </w:r>
      <w:r w:rsidRPr="001300A3">
        <w:t xml:space="preserve">and </w:t>
      </w:r>
      <w:r w:rsidRPr="001300A3">
        <w:rPr>
          <w:b/>
          <w:bCs/>
        </w:rPr>
        <w:t xml:space="preserve">call 9-1-1 </w:t>
      </w:r>
      <w:r w:rsidRPr="001300A3">
        <w:t>to dispatch emergency first responders. Then, call PG&amp;E’s report line at 1-800-PGE-5000</w:t>
      </w:r>
      <w:r>
        <w:t>’ “</w:t>
      </w:r>
      <w:r w:rsidRPr="001300A3">
        <w:t>.</w:t>
      </w:r>
    </w:p>
  </w:footnote>
  <w:footnote w:id="79">
    <w:p w14:paraId="7FF28BDF" w14:textId="2BA0F18F" w:rsidR="00A7041E" w:rsidRDefault="00A7041E">
      <w:pPr>
        <w:pStyle w:val="FootnoteText"/>
      </w:pPr>
      <w:r>
        <w:rPr>
          <w:rStyle w:val="FootnoteReference"/>
        </w:rPr>
        <w:footnoteRef/>
      </w:r>
      <w:r>
        <w:t xml:space="preserve">  </w:t>
      </w:r>
      <w:r w:rsidRPr="00AF6FDE">
        <w:t xml:space="preserve">PG&amp;E </w:t>
      </w:r>
      <w:r w:rsidRPr="00AF6FDE">
        <w:rPr>
          <w:i/>
          <w:iCs/>
        </w:rPr>
        <w:t>Mobile Application Pilot Implementation Report</w:t>
      </w:r>
      <w:r w:rsidRPr="00AF6FDE">
        <w:t xml:space="preserve"> (January 17, 2020) at 27.</w:t>
      </w:r>
    </w:p>
  </w:footnote>
  <w:footnote w:id="80">
    <w:p w14:paraId="2F95F719" w14:textId="585FBE15" w:rsidR="00A7041E" w:rsidRDefault="00A7041E">
      <w:pPr>
        <w:pStyle w:val="FootnoteText"/>
      </w:pPr>
      <w:r>
        <w:rPr>
          <w:rStyle w:val="FootnoteReference"/>
        </w:rPr>
        <w:footnoteRef/>
      </w:r>
      <w:r>
        <w:t xml:space="preserve"> </w:t>
      </w:r>
      <w:bookmarkStart w:id="93" w:name="_Hlk33537774"/>
      <w:bookmarkStart w:id="94" w:name="_Hlk45570357"/>
      <w:r>
        <w:t xml:space="preserve"> </w:t>
      </w:r>
      <w:r w:rsidRPr="005244D3">
        <w:t xml:space="preserve">PG&amp;E </w:t>
      </w:r>
      <w:r w:rsidRPr="00431C51">
        <w:rPr>
          <w:i/>
          <w:iCs/>
        </w:rPr>
        <w:t>Mobile Application Pilot Implementation Report</w:t>
      </w:r>
      <w:r w:rsidRPr="005244D3">
        <w:t xml:space="preserve"> (January 17, 2020)</w:t>
      </w:r>
      <w:r>
        <w:t xml:space="preserve"> </w:t>
      </w:r>
      <w:bookmarkEnd w:id="93"/>
      <w:r>
        <w:t>at 27.</w:t>
      </w:r>
      <w:bookmarkEnd w:id="94"/>
    </w:p>
  </w:footnote>
  <w:footnote w:id="81">
    <w:p w14:paraId="61154DE0" w14:textId="2527EF25" w:rsidR="00A7041E" w:rsidRDefault="00A7041E" w:rsidP="00711295">
      <w:pPr>
        <w:pStyle w:val="FootnoteText"/>
      </w:pPr>
      <w:r>
        <w:rPr>
          <w:rStyle w:val="FootnoteReference"/>
        </w:rPr>
        <w:footnoteRef/>
      </w:r>
      <w:r>
        <w:t xml:space="preserve">  March 20, 2020 PG&amp;E Revision to Mobile Application Pilot Plan at 2.</w:t>
      </w:r>
    </w:p>
  </w:footnote>
  <w:footnote w:id="82">
    <w:p w14:paraId="32185004" w14:textId="496100DF" w:rsidR="00A7041E" w:rsidRDefault="00A7041E">
      <w:pPr>
        <w:pStyle w:val="FootnoteText"/>
      </w:pPr>
      <w:r>
        <w:rPr>
          <w:rStyle w:val="FootnoteReference"/>
        </w:rPr>
        <w:footnoteRef/>
      </w:r>
      <w:r>
        <w:t xml:space="preserve"> September 23, 2020 PG&amp;E Comments at 3-4.</w:t>
      </w:r>
    </w:p>
  </w:footnote>
  <w:footnote w:id="83">
    <w:p w14:paraId="783BD7F6" w14:textId="6271888D" w:rsidR="00A7041E" w:rsidRDefault="00A7041E">
      <w:pPr>
        <w:pStyle w:val="FootnoteText"/>
      </w:pPr>
      <w:r>
        <w:rPr>
          <w:rStyle w:val="FootnoteReference"/>
        </w:rPr>
        <w:footnoteRef/>
      </w:r>
      <w:r>
        <w:t xml:space="preserve"> September 28, 2020 BBIC Reply Comments at 3-4.</w:t>
      </w:r>
    </w:p>
  </w:footnote>
  <w:footnote w:id="84">
    <w:p w14:paraId="6C6097E6" w14:textId="080E21A8" w:rsidR="00A7041E" w:rsidRDefault="00A7041E">
      <w:pPr>
        <w:pStyle w:val="FootnoteText"/>
      </w:pPr>
      <w:r>
        <w:rPr>
          <w:rStyle w:val="FootnoteReference"/>
        </w:rPr>
        <w:footnoteRef/>
      </w:r>
      <w:r>
        <w:t xml:space="preserve"> </w:t>
      </w:r>
      <w:bookmarkStart w:id="107" w:name="_Hlk33537108"/>
      <w:r>
        <w:t xml:space="preserve"> February 21, 2020 BBIC Comments at 12</w:t>
      </w:r>
      <w:bookmarkEnd w:id="107"/>
      <w:r>
        <w:t>.</w:t>
      </w:r>
    </w:p>
  </w:footnote>
  <w:footnote w:id="85">
    <w:p w14:paraId="2DF9E318" w14:textId="212DDAE3" w:rsidR="00A7041E" w:rsidRDefault="00A7041E">
      <w:pPr>
        <w:pStyle w:val="FootnoteText"/>
      </w:pPr>
      <w:r>
        <w:rPr>
          <w:rStyle w:val="FootnoteReference"/>
        </w:rPr>
        <w:footnoteRef/>
      </w:r>
      <w:r>
        <w:t xml:space="preserve">  February 21, 2020 BBIC Comments at 15.</w:t>
      </w:r>
    </w:p>
  </w:footnote>
  <w:footnote w:id="86">
    <w:p w14:paraId="55345C6C" w14:textId="4A6E0C48" w:rsidR="00A7041E" w:rsidRDefault="00A7041E">
      <w:pPr>
        <w:pStyle w:val="FootnoteText"/>
      </w:pPr>
      <w:r>
        <w:rPr>
          <w:rStyle w:val="FootnoteReference"/>
        </w:rPr>
        <w:footnoteRef/>
      </w:r>
      <w:r>
        <w:t xml:space="preserve">  </w:t>
      </w:r>
      <w:bookmarkStart w:id="108" w:name="_Hlk33605681"/>
      <w:bookmarkStart w:id="109" w:name="_Hlk33605217"/>
      <w:r>
        <w:t xml:space="preserve">February 21, 2020 BBIC Comments at </w:t>
      </w:r>
      <w:bookmarkEnd w:id="108"/>
      <w:r>
        <w:t>16</w:t>
      </w:r>
      <w:bookmarkEnd w:id="109"/>
      <w:r>
        <w:t xml:space="preserve">; March 6, 2020 BBIC Reply Comments at 5, stating “Training the public about how to identify hazards and lack of compliance with CPUC rules will facilitate public complaints whether by telephone or through a photo App, and increase transparency and accountability that improves public safety.” </w:t>
      </w:r>
    </w:p>
  </w:footnote>
  <w:footnote w:id="87">
    <w:p w14:paraId="0C96D8C7" w14:textId="7ADA0ED4" w:rsidR="00A7041E" w:rsidRDefault="00A7041E">
      <w:pPr>
        <w:pStyle w:val="FootnoteText"/>
      </w:pPr>
      <w:r>
        <w:rPr>
          <w:rStyle w:val="FootnoteReference"/>
        </w:rPr>
        <w:footnoteRef/>
      </w:r>
      <w:r>
        <w:t xml:space="preserve">  March 6, 2020 BBIC Reply Comments at 6.</w:t>
      </w:r>
    </w:p>
  </w:footnote>
  <w:footnote w:id="88">
    <w:p w14:paraId="4108D83D" w14:textId="1A77D1B4" w:rsidR="00A7041E" w:rsidRDefault="00A7041E">
      <w:pPr>
        <w:pStyle w:val="FootnoteText"/>
      </w:pPr>
      <w:r>
        <w:rPr>
          <w:rStyle w:val="FootnoteReference"/>
        </w:rPr>
        <w:footnoteRef/>
      </w:r>
      <w:r>
        <w:t xml:space="preserve">  March 6, 2020 BBIC Reply Comments at 6. </w:t>
      </w:r>
    </w:p>
  </w:footnote>
  <w:footnote w:id="89">
    <w:p w14:paraId="75F15BA2" w14:textId="01B4B572" w:rsidR="00A7041E" w:rsidRDefault="00A7041E">
      <w:pPr>
        <w:pStyle w:val="FootnoteText"/>
      </w:pPr>
      <w:r>
        <w:rPr>
          <w:rStyle w:val="FootnoteReference"/>
        </w:rPr>
        <w:footnoteRef/>
      </w:r>
      <w:r>
        <w:t xml:space="preserve">  March 6, 2020 PG&amp;E Reply Comments at 5.</w:t>
      </w:r>
    </w:p>
  </w:footnote>
  <w:footnote w:id="90">
    <w:p w14:paraId="092FE171" w14:textId="0CA17BBB" w:rsidR="00A7041E" w:rsidRDefault="00A7041E">
      <w:pPr>
        <w:pStyle w:val="FootnoteText"/>
      </w:pPr>
      <w:r>
        <w:rPr>
          <w:rStyle w:val="FootnoteReference"/>
        </w:rPr>
        <w:footnoteRef/>
      </w:r>
      <w:r>
        <w:t xml:space="preserve">  March 6, 2020 PG&amp;E Reply Comments at 6.</w:t>
      </w:r>
    </w:p>
  </w:footnote>
  <w:footnote w:id="91">
    <w:p w14:paraId="08DE71D0" w14:textId="2A1479F2" w:rsidR="00A7041E" w:rsidRDefault="00A7041E" w:rsidP="006E0457">
      <w:pPr>
        <w:pStyle w:val="FootnoteText"/>
      </w:pPr>
      <w:r>
        <w:rPr>
          <w:rStyle w:val="FootnoteReference"/>
        </w:rPr>
        <w:footnoteRef/>
      </w:r>
      <w:r>
        <w:t xml:space="preserve">  March 6, 2020 PG&amp;E Reply Comments at 6.</w:t>
      </w:r>
    </w:p>
  </w:footnote>
  <w:footnote w:id="92">
    <w:p w14:paraId="60FA2453" w14:textId="01EF03DC" w:rsidR="00A7041E" w:rsidRDefault="00A7041E">
      <w:pPr>
        <w:pStyle w:val="FootnoteText"/>
      </w:pPr>
      <w:r>
        <w:rPr>
          <w:rStyle w:val="FootnoteReference"/>
        </w:rPr>
        <w:footnoteRef/>
      </w:r>
      <w:r>
        <w:t xml:space="preserve">  March 6, 2020 PG&amp;E Reply Comments at 6.</w:t>
      </w:r>
    </w:p>
  </w:footnote>
  <w:footnote w:id="93">
    <w:p w14:paraId="6D240B9D" w14:textId="6BC56B4F" w:rsidR="00A7041E" w:rsidRDefault="00A7041E" w:rsidP="00864137">
      <w:pPr>
        <w:pStyle w:val="FootnoteText"/>
      </w:pPr>
      <w:r>
        <w:rPr>
          <w:rStyle w:val="FootnoteReference"/>
        </w:rPr>
        <w:footnoteRef/>
      </w:r>
      <w:r>
        <w:t xml:space="preserve">  Application 19-07-019 at 8.</w:t>
      </w:r>
    </w:p>
  </w:footnote>
  <w:footnote w:id="94">
    <w:p w14:paraId="1ADE8989" w14:textId="0FB2AE56" w:rsidR="00A7041E" w:rsidRDefault="00A7041E" w:rsidP="00864137">
      <w:pPr>
        <w:pStyle w:val="FootnoteText"/>
      </w:pPr>
      <w:r>
        <w:rPr>
          <w:rStyle w:val="FootnoteReference"/>
        </w:rPr>
        <w:footnoteRef/>
      </w:r>
      <w:r>
        <w:t xml:space="preserve">  Application 19-07-019 at 6-7.</w:t>
      </w:r>
    </w:p>
  </w:footnote>
  <w:footnote w:id="95">
    <w:p w14:paraId="664F1E37" w14:textId="3E829915" w:rsidR="00A7041E" w:rsidRDefault="00A7041E" w:rsidP="00864137">
      <w:pPr>
        <w:pStyle w:val="FootnoteText"/>
      </w:pPr>
      <w:r>
        <w:rPr>
          <w:rStyle w:val="FootnoteReference"/>
        </w:rPr>
        <w:footnoteRef/>
      </w:r>
      <w:r>
        <w:t xml:space="preserve">  </w:t>
      </w:r>
      <w:r w:rsidRPr="00977583">
        <w:t>February 21, 2020 BBIC Comments at</w:t>
      </w:r>
      <w:r>
        <w:t xml:space="preserve"> 9.</w:t>
      </w:r>
    </w:p>
  </w:footnote>
  <w:footnote w:id="96">
    <w:p w14:paraId="04470ED5" w14:textId="33379F09" w:rsidR="00A7041E" w:rsidRDefault="00A7041E" w:rsidP="00864137">
      <w:pPr>
        <w:pStyle w:val="FootnoteText"/>
      </w:pPr>
      <w:r>
        <w:rPr>
          <w:rStyle w:val="FootnoteReference"/>
        </w:rPr>
        <w:footnoteRef/>
      </w:r>
      <w:r>
        <w:t xml:space="preserve">  </w:t>
      </w:r>
      <w:r w:rsidRPr="00E21ED9">
        <w:t>February 21, 2020 BBIC Comments at 1</w:t>
      </w:r>
      <w:r>
        <w:t>1</w:t>
      </w:r>
      <w:r w:rsidRPr="00E21ED9">
        <w:t>.</w:t>
      </w:r>
    </w:p>
  </w:footnote>
  <w:footnote w:id="97">
    <w:p w14:paraId="3510B59B" w14:textId="77DCDF07" w:rsidR="00A7041E" w:rsidRDefault="00A7041E" w:rsidP="00864137">
      <w:pPr>
        <w:pStyle w:val="FootnoteText"/>
      </w:pPr>
      <w:r>
        <w:rPr>
          <w:rStyle w:val="FootnoteReference"/>
        </w:rPr>
        <w:footnoteRef/>
      </w:r>
      <w:r>
        <w:t xml:space="preserve">  February 21, 2020 BBIC Comments at 17.</w:t>
      </w:r>
    </w:p>
  </w:footnote>
  <w:footnote w:id="98">
    <w:p w14:paraId="5D13C5F0" w14:textId="0E21265A" w:rsidR="00A7041E" w:rsidRDefault="00A7041E" w:rsidP="00864137">
      <w:pPr>
        <w:pStyle w:val="FootnoteText"/>
      </w:pPr>
      <w:r>
        <w:rPr>
          <w:rStyle w:val="FootnoteReference"/>
        </w:rPr>
        <w:footnoteRef/>
      </w:r>
      <w:r>
        <w:t xml:space="preserve">  </w:t>
      </w:r>
      <w:r w:rsidRPr="00BB087D">
        <w:t>February 21</w:t>
      </w:r>
      <w:r>
        <w:t>, 2020</w:t>
      </w:r>
      <w:r w:rsidRPr="00BB087D">
        <w:t xml:space="preserve"> Cal Advocates Comments at </w:t>
      </w:r>
      <w:r>
        <w:t>2</w:t>
      </w:r>
      <w:r w:rsidRPr="00BB087D">
        <w:t>.</w:t>
      </w:r>
    </w:p>
  </w:footnote>
  <w:footnote w:id="99">
    <w:p w14:paraId="5A9D5EBA" w14:textId="28C915ED" w:rsidR="00A7041E" w:rsidRDefault="00A7041E" w:rsidP="00864137">
      <w:pPr>
        <w:pStyle w:val="FootnoteText"/>
      </w:pPr>
      <w:r>
        <w:rPr>
          <w:rStyle w:val="FootnoteReference"/>
        </w:rPr>
        <w:footnoteRef/>
      </w:r>
      <w:r>
        <w:t xml:space="preserve">  March 6, 2020 BBIC Reply Comments at 6-7.</w:t>
      </w:r>
    </w:p>
  </w:footnote>
  <w:footnote w:id="100">
    <w:p w14:paraId="6247FDE7" w14:textId="455AE6A9" w:rsidR="00A7041E" w:rsidRDefault="00A7041E" w:rsidP="00864137">
      <w:pPr>
        <w:pStyle w:val="FootnoteText"/>
      </w:pPr>
      <w:r>
        <w:rPr>
          <w:rStyle w:val="FootnoteReference"/>
        </w:rPr>
        <w:footnoteRef/>
      </w:r>
      <w:r>
        <w:t xml:space="preserve">  March 20, 2020 PG&amp;E Revision to Mobile Application Pilot Plan at 2.</w:t>
      </w:r>
    </w:p>
  </w:footnote>
  <w:footnote w:id="101">
    <w:p w14:paraId="7EE47C2D" w14:textId="7B858B94" w:rsidR="00A7041E" w:rsidRDefault="00A7041E" w:rsidP="00864137">
      <w:pPr>
        <w:pStyle w:val="FootnoteText"/>
      </w:pPr>
      <w:r>
        <w:rPr>
          <w:rStyle w:val="FootnoteReference"/>
        </w:rPr>
        <w:footnoteRef/>
      </w:r>
      <w:r>
        <w:t xml:space="preserve">  A utility pole attachment may consist of various assorted electric and other public utility hardware, some of which may not directly facilitate delivery of service, but which allow for support capacity such as weather-information gathering equipment.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32BD2" w14:textId="7A23D3FC" w:rsidR="00A7041E" w:rsidRPr="00F92385" w:rsidRDefault="00A7041E" w:rsidP="00F92385">
    <w:pPr>
      <w:pStyle w:val="Header"/>
      <w:ind w:firstLine="0"/>
      <w:rPr>
        <w:i/>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D65DC" w14:textId="5E16D2F1" w:rsidR="00A7041E" w:rsidRDefault="00A7041E" w:rsidP="00EE4315">
    <w:pPr>
      <w:pStyle w:val="Header"/>
      <w:tabs>
        <w:tab w:val="clear" w:pos="4680"/>
      </w:tabs>
      <w:ind w:firstLine="0"/>
      <w:rPr>
        <w:b/>
      </w:rPr>
    </w:pPr>
    <w:r>
      <w:t>A.19-07-</w:t>
    </w:r>
    <w:proofErr w:type="gramStart"/>
    <w:r>
      <w:t>019  ALJ</w:t>
    </w:r>
    <w:proofErr w:type="gramEnd"/>
    <w:r>
      <w:t>/RMD/gp2</w:t>
    </w:r>
    <w:r>
      <w:tab/>
    </w:r>
  </w:p>
  <w:p w14:paraId="6A954B9F" w14:textId="77777777" w:rsidR="00A7041E" w:rsidRPr="00B3087D" w:rsidRDefault="00A7041E" w:rsidP="00B3087D">
    <w:pPr>
      <w:pStyle w:val="Header"/>
      <w:tabs>
        <w:tab w:val="clear" w:pos="4680"/>
      </w:tabs>
      <w:ind w:firstLine="0"/>
      <w:rPr>
        <w:i/>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9DE2B" w14:textId="4E2AD829" w:rsidR="00A7041E" w:rsidRPr="00F1138C" w:rsidRDefault="00A7041E" w:rsidP="00B3087D">
    <w:pPr>
      <w:pStyle w:val="Header"/>
      <w:tabs>
        <w:tab w:val="clear" w:pos="4680"/>
      </w:tabs>
      <w:ind w:firstLine="0"/>
      <w:rPr>
        <w:b/>
      </w:rPr>
    </w:pPr>
    <w:r>
      <w:t>A.19-07-</w:t>
    </w:r>
    <w:proofErr w:type="gramStart"/>
    <w:r>
      <w:t>019  ALJ</w:t>
    </w:r>
    <w:proofErr w:type="gramEnd"/>
    <w:r>
      <w:t>/RMD/gp2</w:t>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81E05" w14:textId="1B7B3782" w:rsidR="00A7041E" w:rsidRDefault="00A7041E" w:rsidP="00EE4315">
    <w:pPr>
      <w:pStyle w:val="Header"/>
      <w:tabs>
        <w:tab w:val="clear" w:pos="4680"/>
      </w:tabs>
      <w:ind w:firstLine="0"/>
      <w:rPr>
        <w:b/>
      </w:rPr>
    </w:pPr>
    <w:r>
      <w:t>A.19-07-</w:t>
    </w:r>
    <w:proofErr w:type="gramStart"/>
    <w:r>
      <w:t>019  ALJ</w:t>
    </w:r>
    <w:proofErr w:type="gramEnd"/>
    <w:r>
      <w:t>/RMD/gp2</w:t>
    </w:r>
    <w:r>
      <w:tab/>
    </w:r>
  </w:p>
  <w:p w14:paraId="0F22B071" w14:textId="77777777" w:rsidR="00A7041E" w:rsidRPr="00B3087D" w:rsidRDefault="00A7041E" w:rsidP="00B3087D">
    <w:pPr>
      <w:pStyle w:val="Header"/>
      <w:tabs>
        <w:tab w:val="clear" w:pos="4680"/>
      </w:tabs>
      <w:ind w:firstLine="0"/>
      <w:rPr>
        <w:i/>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A1C77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FA1811"/>
    <w:multiLevelType w:val="hybridMultilevel"/>
    <w:tmpl w:val="7B5CDFDE"/>
    <w:lvl w:ilvl="0" w:tplc="479A3526">
      <w:start w:val="2"/>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356E20"/>
    <w:multiLevelType w:val="multilevel"/>
    <w:tmpl w:val="255A7426"/>
    <w:lvl w:ilvl="0">
      <w:start w:val="2"/>
      <w:numFmt w:val="decimal"/>
      <w:lvlText w:val="%1"/>
      <w:lvlJc w:val="left"/>
      <w:pPr>
        <w:ind w:left="360" w:hanging="360"/>
      </w:pPr>
      <w:rPr>
        <w:rFonts w:hint="default"/>
      </w:rPr>
    </w:lvl>
    <w:lvl w:ilvl="1">
      <w:start w:val="1"/>
      <w:numFmt w:val="decimal"/>
      <w:lvlText w:val="%1.%2"/>
      <w:lvlJc w:val="left"/>
      <w:pPr>
        <w:ind w:left="1350" w:hanging="720"/>
      </w:pPr>
      <w:rPr>
        <w:rFonts w:hint="default"/>
      </w:rPr>
    </w:lvl>
    <w:lvl w:ilvl="2">
      <w:start w:val="1"/>
      <w:numFmt w:val="decimalZero"/>
      <w:lvlText w:val="%1.%2.%3"/>
      <w:lvlJc w:val="left"/>
      <w:pPr>
        <w:ind w:left="1980" w:hanging="720"/>
      </w:pPr>
      <w:rPr>
        <w:rFonts w:hint="default"/>
      </w:rPr>
    </w:lvl>
    <w:lvl w:ilvl="3">
      <w:start w:val="1"/>
      <w:numFmt w:val="decimalZero"/>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3" w15:restartNumberingAfterBreak="0">
    <w:nsid w:val="08474425"/>
    <w:multiLevelType w:val="hybridMultilevel"/>
    <w:tmpl w:val="8E0610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695351"/>
    <w:multiLevelType w:val="hybridMultilevel"/>
    <w:tmpl w:val="27787F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6C1C14"/>
    <w:multiLevelType w:val="multilevel"/>
    <w:tmpl w:val="18F4A5AC"/>
    <w:styleLink w:val="FoFCoLOP"/>
    <w:lvl w:ilvl="0">
      <w:start w:val="1"/>
      <w:numFmt w:val="decimal"/>
      <w:lvlText w:val="%1."/>
      <w:lvlJc w:val="right"/>
      <w:pPr>
        <w:ind w:left="-27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6" w15:restartNumberingAfterBreak="0">
    <w:nsid w:val="153546B1"/>
    <w:multiLevelType w:val="multilevel"/>
    <w:tmpl w:val="7DCC9AFA"/>
    <w:lvl w:ilvl="0">
      <w:start w:val="4"/>
      <w:numFmt w:val="decimal"/>
      <w:lvlText w:val="%1."/>
      <w:lvlJc w:val="left"/>
      <w:pPr>
        <w:ind w:left="420" w:hanging="420"/>
      </w:pPr>
      <w:rPr>
        <w:rFonts w:hint="default"/>
      </w:rPr>
    </w:lvl>
    <w:lvl w:ilvl="1">
      <w:start w:val="1"/>
      <w:numFmt w:val="decimal"/>
      <w:lvlText w:val="%2."/>
      <w:lvlJc w:val="left"/>
      <w:pPr>
        <w:ind w:left="1350" w:hanging="720"/>
      </w:pPr>
      <w:rPr>
        <w:rFonts w:ascii="Book Antiqua" w:eastAsiaTheme="minorHAnsi" w:hAnsi="Book Antiqua" w:cstheme="minorBidi"/>
      </w:rPr>
    </w:lvl>
    <w:lvl w:ilvl="2">
      <w:start w:val="1"/>
      <w:numFmt w:val="decimalZero"/>
      <w:lvlText w:val="%1.%2.%3."/>
      <w:lvlJc w:val="left"/>
      <w:pPr>
        <w:ind w:left="1980" w:hanging="720"/>
      </w:pPr>
      <w:rPr>
        <w:rFonts w:hint="default"/>
      </w:rPr>
    </w:lvl>
    <w:lvl w:ilvl="3">
      <w:start w:val="1"/>
      <w:numFmt w:val="decimalZero"/>
      <w:lvlText w:val="%1.%2.%3.%4."/>
      <w:lvlJc w:val="left"/>
      <w:pPr>
        <w:ind w:left="2970" w:hanging="1080"/>
      </w:pPr>
      <w:rPr>
        <w:rFonts w:hint="default"/>
      </w:rPr>
    </w:lvl>
    <w:lvl w:ilvl="4">
      <w:start w:val="1"/>
      <w:numFmt w:val="decimal"/>
      <w:lvlText w:val="%1.%2.%3.%4.%5."/>
      <w:lvlJc w:val="left"/>
      <w:pPr>
        <w:ind w:left="3960" w:hanging="144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7" w15:restartNumberingAfterBreak="0">
    <w:nsid w:val="15F056CB"/>
    <w:multiLevelType w:val="multilevel"/>
    <w:tmpl w:val="18F4A5AC"/>
    <w:numStyleLink w:val="FoFCoLOP"/>
  </w:abstractNum>
  <w:abstractNum w:abstractNumId="8" w15:restartNumberingAfterBreak="0">
    <w:nsid w:val="1BC50F06"/>
    <w:multiLevelType w:val="hybridMultilevel"/>
    <w:tmpl w:val="0F9427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E2242C9"/>
    <w:multiLevelType w:val="multilevel"/>
    <w:tmpl w:val="81169AF6"/>
    <w:numStyleLink w:val="Headings"/>
  </w:abstractNum>
  <w:abstractNum w:abstractNumId="10" w15:restartNumberingAfterBreak="0">
    <w:nsid w:val="1E4E4983"/>
    <w:multiLevelType w:val="hybridMultilevel"/>
    <w:tmpl w:val="E28818E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F2E5F5D"/>
    <w:multiLevelType w:val="multilevel"/>
    <w:tmpl w:val="7026C5EA"/>
    <w:lvl w:ilvl="0">
      <w:start w:val="8"/>
      <w:numFmt w:val="decimal"/>
      <w:lvlText w:val="%1"/>
      <w:lvlJc w:val="left"/>
      <w:pPr>
        <w:ind w:left="770" w:hanging="770"/>
      </w:pPr>
      <w:rPr>
        <w:rFonts w:hint="default"/>
        <w:b/>
      </w:rPr>
    </w:lvl>
    <w:lvl w:ilvl="1">
      <w:start w:val="4"/>
      <w:numFmt w:val="decimal"/>
      <w:lvlText w:val="%1.%2"/>
      <w:lvlJc w:val="left"/>
      <w:pPr>
        <w:ind w:left="1250" w:hanging="770"/>
      </w:pPr>
      <w:rPr>
        <w:rFonts w:hint="default"/>
        <w:b/>
      </w:rPr>
    </w:lvl>
    <w:lvl w:ilvl="2">
      <w:start w:val="2"/>
      <w:numFmt w:val="decimal"/>
      <w:lvlText w:val="%1.%2.%3"/>
      <w:lvlJc w:val="left"/>
      <w:pPr>
        <w:ind w:left="1730" w:hanging="770"/>
      </w:pPr>
      <w:rPr>
        <w:rFonts w:hint="default"/>
        <w:b/>
      </w:rPr>
    </w:lvl>
    <w:lvl w:ilvl="3">
      <w:start w:val="1"/>
      <w:numFmt w:val="decimal"/>
      <w:lvlText w:val="%1.%2.%3.%4"/>
      <w:lvlJc w:val="left"/>
      <w:pPr>
        <w:ind w:left="2520" w:hanging="1080"/>
      </w:pPr>
      <w:rPr>
        <w:rFonts w:hint="default"/>
        <w:b/>
      </w:rPr>
    </w:lvl>
    <w:lvl w:ilvl="4">
      <w:start w:val="1"/>
      <w:numFmt w:val="decimal"/>
      <w:lvlText w:val="%1.%2.%3.%4.%5"/>
      <w:lvlJc w:val="left"/>
      <w:pPr>
        <w:ind w:left="3000" w:hanging="1080"/>
      </w:pPr>
      <w:rPr>
        <w:rFonts w:hint="default"/>
        <w:b/>
      </w:rPr>
    </w:lvl>
    <w:lvl w:ilvl="5">
      <w:start w:val="1"/>
      <w:numFmt w:val="decimal"/>
      <w:lvlText w:val="%1.%2.%3.%4.%5.%6"/>
      <w:lvlJc w:val="left"/>
      <w:pPr>
        <w:ind w:left="3840" w:hanging="1440"/>
      </w:pPr>
      <w:rPr>
        <w:rFonts w:hint="default"/>
        <w:b/>
      </w:rPr>
    </w:lvl>
    <w:lvl w:ilvl="6">
      <w:start w:val="1"/>
      <w:numFmt w:val="decimal"/>
      <w:lvlText w:val="%1.%2.%3.%4.%5.%6.%7"/>
      <w:lvlJc w:val="left"/>
      <w:pPr>
        <w:ind w:left="4680" w:hanging="1800"/>
      </w:pPr>
      <w:rPr>
        <w:rFonts w:hint="default"/>
        <w:b/>
      </w:rPr>
    </w:lvl>
    <w:lvl w:ilvl="7">
      <w:start w:val="1"/>
      <w:numFmt w:val="decimal"/>
      <w:lvlText w:val="%1.%2.%3.%4.%5.%6.%7.%8"/>
      <w:lvlJc w:val="left"/>
      <w:pPr>
        <w:ind w:left="5160" w:hanging="1800"/>
      </w:pPr>
      <w:rPr>
        <w:rFonts w:hint="default"/>
        <w:b/>
      </w:rPr>
    </w:lvl>
    <w:lvl w:ilvl="8">
      <w:start w:val="1"/>
      <w:numFmt w:val="decimal"/>
      <w:lvlText w:val="%1.%2.%3.%4.%5.%6.%7.%8.%9"/>
      <w:lvlJc w:val="left"/>
      <w:pPr>
        <w:ind w:left="6000" w:hanging="2160"/>
      </w:pPr>
      <w:rPr>
        <w:rFonts w:hint="default"/>
        <w:b/>
      </w:rPr>
    </w:lvl>
  </w:abstractNum>
  <w:abstractNum w:abstractNumId="12" w15:restartNumberingAfterBreak="0">
    <w:nsid w:val="249227FB"/>
    <w:multiLevelType w:val="hybridMultilevel"/>
    <w:tmpl w:val="FF2E45F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5364999"/>
    <w:multiLevelType w:val="hybridMultilevel"/>
    <w:tmpl w:val="908E322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5D16E50"/>
    <w:multiLevelType w:val="hybridMultilevel"/>
    <w:tmpl w:val="647C75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EB3ADC"/>
    <w:multiLevelType w:val="multilevel"/>
    <w:tmpl w:val="9DF66450"/>
    <w:lvl w:ilvl="0">
      <w:start w:val="2"/>
      <w:numFmt w:val="decimal"/>
      <w:lvlText w:val="%1."/>
      <w:lvlJc w:val="left"/>
      <w:pPr>
        <w:ind w:left="420" w:hanging="420"/>
      </w:pPr>
      <w:rPr>
        <w:rFonts w:hint="default"/>
      </w:rPr>
    </w:lvl>
    <w:lvl w:ilvl="1">
      <w:start w:val="2"/>
      <w:numFmt w:val="decimal"/>
      <w:lvlText w:val="%1.%2."/>
      <w:lvlJc w:val="left"/>
      <w:pPr>
        <w:ind w:left="1350" w:hanging="720"/>
      </w:pPr>
      <w:rPr>
        <w:rFonts w:hint="default"/>
      </w:rPr>
    </w:lvl>
    <w:lvl w:ilvl="2">
      <w:start w:val="1"/>
      <w:numFmt w:val="decimalZero"/>
      <w:lvlText w:val="%1.%2.%3."/>
      <w:lvlJc w:val="left"/>
      <w:pPr>
        <w:ind w:left="1980" w:hanging="720"/>
      </w:pPr>
      <w:rPr>
        <w:rFonts w:hint="default"/>
      </w:rPr>
    </w:lvl>
    <w:lvl w:ilvl="3">
      <w:start w:val="1"/>
      <w:numFmt w:val="decimalZero"/>
      <w:lvlText w:val="%1.%2.%3.%4."/>
      <w:lvlJc w:val="left"/>
      <w:pPr>
        <w:ind w:left="2970" w:hanging="1080"/>
      </w:pPr>
      <w:rPr>
        <w:rFonts w:hint="default"/>
      </w:rPr>
    </w:lvl>
    <w:lvl w:ilvl="4">
      <w:start w:val="1"/>
      <w:numFmt w:val="decimal"/>
      <w:lvlText w:val="%1.%2.%3.%4.%5."/>
      <w:lvlJc w:val="left"/>
      <w:pPr>
        <w:ind w:left="3960" w:hanging="144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16" w15:restartNumberingAfterBreak="0">
    <w:nsid w:val="28B72F71"/>
    <w:multiLevelType w:val="hybridMultilevel"/>
    <w:tmpl w:val="69E84D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0281F14"/>
    <w:multiLevelType w:val="hybridMultilevel"/>
    <w:tmpl w:val="0F9427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15D6E82"/>
    <w:multiLevelType w:val="hybridMultilevel"/>
    <w:tmpl w:val="D246842A"/>
    <w:lvl w:ilvl="0" w:tplc="2B64263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015DBC"/>
    <w:multiLevelType w:val="hybridMultilevel"/>
    <w:tmpl w:val="4896FFDC"/>
    <w:lvl w:ilvl="0" w:tplc="9F9A5E1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1F6D42"/>
    <w:multiLevelType w:val="multilevel"/>
    <w:tmpl w:val="81169AF6"/>
    <w:styleLink w:val="Headings"/>
    <w:lvl w:ilvl="0">
      <w:start w:val="1"/>
      <w:numFmt w:val="decimal"/>
      <w:pStyle w:val="Heading1"/>
      <w:lvlText w:val="%1."/>
      <w:lvlJc w:val="left"/>
      <w:pPr>
        <w:ind w:left="360" w:hanging="36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pStyle w:val="Heading2"/>
      <w:lvlText w:val="%1.%2."/>
      <w:lvlJc w:val="left"/>
      <w:pPr>
        <w:tabs>
          <w:tab w:val="num" w:pos="630"/>
        </w:tabs>
        <w:ind w:left="1278" w:hanging="648"/>
      </w:pPr>
      <w:rPr>
        <w:rFonts w:ascii="Arial" w:hAnsi="Arial" w:hint="default"/>
        <w:b/>
        <w:i w:val="0"/>
        <w:caps w:val="0"/>
        <w:strike w:val="0"/>
        <w:dstrike w:val="0"/>
        <w:vanish w:val="0"/>
        <w:color w:val="auto"/>
        <w:kern w:val="0"/>
        <w:sz w:val="26"/>
        <w:u w:val="none"/>
        <w:vertAlign w:val="baseline"/>
        <w14:cntxtAlts w14:val="0"/>
      </w:rPr>
    </w:lvl>
    <w:lvl w:ilvl="2">
      <w:start w:val="1"/>
      <w:numFmt w:val="decimal"/>
      <w:pStyle w:val="Heading3"/>
      <w:lvlText w:val="%1.%2.%3."/>
      <w:lvlJc w:val="left"/>
      <w:pPr>
        <w:tabs>
          <w:tab w:val="num" w:pos="1440"/>
        </w:tabs>
        <w:ind w:left="2304" w:hanging="864"/>
      </w:pPr>
      <w:rPr>
        <w:rFonts w:ascii="Arial" w:hAnsi="Arial" w:hint="default"/>
        <w:b/>
        <w:i w:val="0"/>
        <w:caps w:val="0"/>
        <w:strike w:val="0"/>
        <w:dstrike w:val="0"/>
        <w:vanish w:val="0"/>
        <w:color w:val="auto"/>
        <w:kern w:val="0"/>
        <w:sz w:val="26"/>
        <w:u w:val="none"/>
        <w:vertAlign w:val="baseline"/>
        <w14:cntxtAlts w14:val="0"/>
      </w:rPr>
    </w:lvl>
    <w:lvl w:ilvl="3">
      <w:start w:val="1"/>
      <w:numFmt w:val="decimal"/>
      <w:pStyle w:val="Heading4"/>
      <w:lvlText w:val="%1.%2.%3.%4."/>
      <w:lvlJc w:val="left"/>
      <w:pPr>
        <w:tabs>
          <w:tab w:val="num" w:pos="2160"/>
        </w:tabs>
        <w:ind w:left="3240" w:hanging="1080"/>
      </w:pPr>
      <w:rPr>
        <w:rFonts w:ascii="Arial" w:hAnsi="Arial" w:hint="default"/>
        <w:b/>
        <w:i w:val="0"/>
        <w:caps w:val="0"/>
        <w:strike w:val="0"/>
        <w:dstrike w:val="0"/>
        <w:vanish w:val="0"/>
        <w:kern w:val="0"/>
        <w:sz w:val="26"/>
        <w:vertAlign w:val="baseline"/>
        <w14:cntxtAlts w14:val="0"/>
      </w:rPr>
    </w:lvl>
    <w:lvl w:ilvl="4">
      <w:start w:val="1"/>
      <w:numFmt w:val="decimal"/>
      <w:pStyle w:val="Heading5"/>
      <w:lvlText w:val="%1.%2.%3.%4.%5."/>
      <w:lvlJc w:val="left"/>
      <w:pPr>
        <w:tabs>
          <w:tab w:val="num" w:pos="2880"/>
        </w:tabs>
        <w:ind w:left="4176" w:hanging="1296"/>
      </w:pPr>
      <w:rPr>
        <w:rFonts w:ascii="Arial" w:hAnsi="Arial" w:hint="default"/>
        <w:b/>
        <w:i w:val="0"/>
        <w:sz w:val="26"/>
      </w:rPr>
    </w:lvl>
    <w:lvl w:ilvl="5">
      <w:start w:val="1"/>
      <w:numFmt w:val="decimal"/>
      <w:pStyle w:val="Heading6"/>
      <w:lvlText w:val="%1.%2.%3.%4.%5.%6."/>
      <w:lvlJc w:val="left"/>
      <w:pPr>
        <w:tabs>
          <w:tab w:val="num" w:pos="3600"/>
        </w:tabs>
        <w:ind w:left="5112" w:hanging="1512"/>
      </w:pPr>
      <w:rPr>
        <w:rFonts w:ascii="Arial" w:hAnsi="Arial" w:hint="default"/>
        <w:b/>
        <w:i w:val="0"/>
        <w:sz w:val="26"/>
      </w:rPr>
    </w:lvl>
    <w:lvl w:ilvl="6">
      <w:start w:val="1"/>
      <w:numFmt w:val="decimal"/>
      <w:lvlText w:val="%1.%2.%3.%4.%5.%6.%7."/>
      <w:lvlJc w:val="left"/>
      <w:pPr>
        <w:tabs>
          <w:tab w:val="num" w:pos="4320"/>
        </w:tabs>
        <w:ind w:left="5760" w:hanging="1440"/>
      </w:pPr>
      <w:rPr>
        <w:rFonts w:ascii="Arial" w:hAnsi="Arial" w:hint="default"/>
        <w:b/>
        <w:i w:val="0"/>
        <w:sz w:val="26"/>
      </w:rPr>
    </w:lvl>
    <w:lvl w:ilvl="7">
      <w:start w:val="1"/>
      <w:numFmt w:val="lowerLetter"/>
      <w:pStyle w:val="ListAlpha"/>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21" w15:restartNumberingAfterBreak="0">
    <w:nsid w:val="3359114A"/>
    <w:multiLevelType w:val="multilevel"/>
    <w:tmpl w:val="FA6C88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49859E6"/>
    <w:multiLevelType w:val="multilevel"/>
    <w:tmpl w:val="3A2400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6837496"/>
    <w:multiLevelType w:val="hybridMultilevel"/>
    <w:tmpl w:val="0F9427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69C36D9"/>
    <w:multiLevelType w:val="hybridMultilevel"/>
    <w:tmpl w:val="0F9427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C6E1AF1"/>
    <w:multiLevelType w:val="multilevel"/>
    <w:tmpl w:val="703633C0"/>
    <w:lvl w:ilvl="0">
      <w:start w:val="8"/>
      <w:numFmt w:val="decimal"/>
      <w:lvlText w:val="%1"/>
      <w:lvlJc w:val="left"/>
      <w:pPr>
        <w:ind w:left="770" w:hanging="770"/>
      </w:pPr>
      <w:rPr>
        <w:rFonts w:hint="default"/>
      </w:rPr>
    </w:lvl>
    <w:lvl w:ilvl="1">
      <w:start w:val="4"/>
      <w:numFmt w:val="decimal"/>
      <w:lvlText w:val="%1.%2"/>
      <w:lvlJc w:val="left"/>
      <w:pPr>
        <w:ind w:left="1090" w:hanging="770"/>
      </w:pPr>
      <w:rPr>
        <w:rFonts w:hint="default"/>
      </w:rPr>
    </w:lvl>
    <w:lvl w:ilvl="2">
      <w:start w:val="3"/>
      <w:numFmt w:val="decimal"/>
      <w:lvlText w:val="%1.%2.%3"/>
      <w:lvlJc w:val="left"/>
      <w:pPr>
        <w:ind w:left="1410" w:hanging="770"/>
      </w:pPr>
      <w:rPr>
        <w:rFonts w:hint="default"/>
      </w:rPr>
    </w:lvl>
    <w:lvl w:ilvl="3">
      <w:start w:val="1"/>
      <w:numFmt w:val="decimal"/>
      <w:lvlText w:val="%1.%2.%3.%4"/>
      <w:lvlJc w:val="left"/>
      <w:pPr>
        <w:ind w:left="2040" w:hanging="1080"/>
      </w:pPr>
      <w:rPr>
        <w:rFonts w:hint="default"/>
      </w:rPr>
    </w:lvl>
    <w:lvl w:ilvl="4">
      <w:start w:val="1"/>
      <w:numFmt w:val="decimal"/>
      <w:lvlText w:val="%1.%2.%3.%4.%5"/>
      <w:lvlJc w:val="left"/>
      <w:pPr>
        <w:ind w:left="2360" w:hanging="1080"/>
      </w:pPr>
      <w:rPr>
        <w:rFonts w:hint="default"/>
      </w:rPr>
    </w:lvl>
    <w:lvl w:ilvl="5">
      <w:start w:val="1"/>
      <w:numFmt w:val="decimal"/>
      <w:lvlText w:val="%1.%2.%3.%4.%5.%6"/>
      <w:lvlJc w:val="left"/>
      <w:pPr>
        <w:ind w:left="3040" w:hanging="1440"/>
      </w:pPr>
      <w:rPr>
        <w:rFonts w:hint="default"/>
      </w:rPr>
    </w:lvl>
    <w:lvl w:ilvl="6">
      <w:start w:val="1"/>
      <w:numFmt w:val="decimal"/>
      <w:lvlText w:val="%1.%2.%3.%4.%5.%6.%7"/>
      <w:lvlJc w:val="left"/>
      <w:pPr>
        <w:ind w:left="3720" w:hanging="1800"/>
      </w:pPr>
      <w:rPr>
        <w:rFonts w:hint="default"/>
      </w:rPr>
    </w:lvl>
    <w:lvl w:ilvl="7">
      <w:start w:val="1"/>
      <w:numFmt w:val="decimal"/>
      <w:lvlText w:val="%1.%2.%3.%4.%5.%6.%7.%8"/>
      <w:lvlJc w:val="left"/>
      <w:pPr>
        <w:ind w:left="4040" w:hanging="1800"/>
      </w:pPr>
      <w:rPr>
        <w:rFonts w:hint="default"/>
      </w:rPr>
    </w:lvl>
    <w:lvl w:ilvl="8">
      <w:start w:val="1"/>
      <w:numFmt w:val="decimal"/>
      <w:lvlText w:val="%1.%2.%3.%4.%5.%6.%7.%8.%9"/>
      <w:lvlJc w:val="left"/>
      <w:pPr>
        <w:ind w:left="4720" w:hanging="2160"/>
      </w:pPr>
      <w:rPr>
        <w:rFonts w:hint="default"/>
      </w:rPr>
    </w:lvl>
  </w:abstractNum>
  <w:abstractNum w:abstractNumId="26" w15:restartNumberingAfterBreak="0">
    <w:nsid w:val="3DDF6462"/>
    <w:multiLevelType w:val="hybridMultilevel"/>
    <w:tmpl w:val="0DF02A9A"/>
    <w:lvl w:ilvl="0" w:tplc="36D844A6">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E2F591F"/>
    <w:multiLevelType w:val="hybridMultilevel"/>
    <w:tmpl w:val="A1441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40D6B17"/>
    <w:multiLevelType w:val="hybridMultilevel"/>
    <w:tmpl w:val="0F9427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6903853"/>
    <w:multiLevelType w:val="hybridMultilevel"/>
    <w:tmpl w:val="5B6800DA"/>
    <w:lvl w:ilvl="0" w:tplc="166EE4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F30979"/>
    <w:multiLevelType w:val="hybridMultilevel"/>
    <w:tmpl w:val="2460E63E"/>
    <w:lvl w:ilvl="0" w:tplc="5F8E4D24">
      <w:start w:val="1"/>
      <w:numFmt w:val="decimal"/>
      <w:lvlText w:val="%1."/>
      <w:lvlJc w:val="left"/>
      <w:pPr>
        <w:ind w:left="720" w:hanging="360"/>
      </w:pPr>
      <w:rPr>
        <w:rFonts w:ascii="Book Antiqua" w:eastAsiaTheme="minorHAnsi" w:hAnsi="Book Antiqua" w:cstheme="minorHAns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2C3FC0"/>
    <w:multiLevelType w:val="hybridMultilevel"/>
    <w:tmpl w:val="0F9427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F367E7C"/>
    <w:multiLevelType w:val="multilevel"/>
    <w:tmpl w:val="45C4C120"/>
    <w:lvl w:ilvl="0">
      <w:start w:val="1"/>
      <w:numFmt w:val="decimal"/>
      <w:lvlText w:val="%1."/>
      <w:lvlJc w:val="left"/>
      <w:pPr>
        <w:ind w:left="360" w:hanging="36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2."/>
      <w:lvlJc w:val="left"/>
      <w:pPr>
        <w:tabs>
          <w:tab w:val="num" w:pos="630"/>
        </w:tabs>
        <w:ind w:left="1278" w:hanging="648"/>
      </w:pPr>
      <w:rPr>
        <w:rFonts w:ascii="Arial" w:hAnsi="Arial" w:hint="default"/>
        <w:b/>
        <w:i w:val="0"/>
        <w:caps w:val="0"/>
        <w:strike w:val="0"/>
        <w:dstrike w:val="0"/>
        <w:vanish w:val="0"/>
        <w:color w:val="auto"/>
        <w:kern w:val="0"/>
        <w:sz w:val="26"/>
        <w:u w:val="none"/>
        <w:vertAlign w:val="baseline"/>
        <w14:cntxtAlts w14:val="0"/>
      </w:rPr>
    </w:lvl>
    <w:lvl w:ilvl="2">
      <w:start w:val="1"/>
      <w:numFmt w:val="decimal"/>
      <w:lvlText w:val="%1.%2.%3."/>
      <w:lvlJc w:val="left"/>
      <w:pPr>
        <w:tabs>
          <w:tab w:val="num" w:pos="1440"/>
        </w:tabs>
        <w:ind w:left="2304" w:hanging="864"/>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1.%2.%3.%4."/>
      <w:lvlJc w:val="left"/>
      <w:pPr>
        <w:tabs>
          <w:tab w:val="num" w:pos="2160"/>
        </w:tabs>
        <w:ind w:left="3240" w:hanging="1080"/>
      </w:pPr>
      <w:rPr>
        <w:rFonts w:ascii="Arial" w:hAnsi="Arial" w:hint="default"/>
        <w:b/>
        <w:i w:val="0"/>
        <w:caps w:val="0"/>
        <w:strike w:val="0"/>
        <w:dstrike w:val="0"/>
        <w:vanish w:val="0"/>
        <w:kern w:val="0"/>
        <w:sz w:val="26"/>
        <w:vertAlign w:val="baseline"/>
        <w14:cntxtAlts w14:val="0"/>
      </w:rPr>
    </w:lvl>
    <w:lvl w:ilvl="4">
      <w:start w:val="1"/>
      <w:numFmt w:val="decimal"/>
      <w:lvlText w:val="%1.%2.%3.%4.%5."/>
      <w:lvlJc w:val="left"/>
      <w:pPr>
        <w:tabs>
          <w:tab w:val="num" w:pos="2880"/>
        </w:tabs>
        <w:ind w:left="4176" w:hanging="1296"/>
      </w:pPr>
      <w:rPr>
        <w:rFonts w:ascii="Arial" w:hAnsi="Arial" w:hint="default"/>
        <w:b/>
        <w:i w:val="0"/>
        <w:sz w:val="26"/>
      </w:rPr>
    </w:lvl>
    <w:lvl w:ilvl="5">
      <w:start w:val="1"/>
      <w:numFmt w:val="decimal"/>
      <w:lvlText w:val="%1.%2.%3.%4.%5.%6."/>
      <w:lvlJc w:val="left"/>
      <w:pPr>
        <w:tabs>
          <w:tab w:val="num" w:pos="3600"/>
        </w:tabs>
        <w:ind w:left="5112" w:hanging="1512"/>
      </w:pPr>
      <w:rPr>
        <w:rFonts w:ascii="Arial" w:hAnsi="Arial" w:hint="default"/>
        <w:b/>
        <w:i w:val="0"/>
        <w:sz w:val="26"/>
      </w:rPr>
    </w:lvl>
    <w:lvl w:ilvl="6">
      <w:start w:val="1"/>
      <w:numFmt w:val="decimal"/>
      <w:lvlText w:val="%1.%2.%3.%4.%5.%6.%7."/>
      <w:lvlJc w:val="left"/>
      <w:pPr>
        <w:tabs>
          <w:tab w:val="num" w:pos="4320"/>
        </w:tabs>
        <w:ind w:left="5760" w:hanging="1440"/>
      </w:pPr>
      <w:rPr>
        <w:rFonts w:ascii="Arial" w:hAnsi="Arial" w:hint="default"/>
        <w:b/>
        <w:i w:val="0"/>
        <w:sz w:val="26"/>
      </w:rPr>
    </w:lvl>
    <w:lvl w:ilvl="7">
      <w:start w:val="1"/>
      <w:numFmt w:val="decimal"/>
      <w:lvlText w:val="(%8)"/>
      <w:lvlJc w:val="left"/>
      <w:pPr>
        <w:ind w:left="1080" w:hanging="360"/>
      </w:pPr>
      <w:rPr>
        <w:rFonts w:hint="default"/>
        <w:sz w:val="26"/>
      </w:rPr>
    </w:lvl>
    <w:lvl w:ilvl="8">
      <w:start w:val="1"/>
      <w:numFmt w:val="none"/>
      <w:lvlText w:val=""/>
      <w:lvlJc w:val="left"/>
      <w:pPr>
        <w:ind w:left="3240" w:hanging="360"/>
      </w:pPr>
      <w:rPr>
        <w:rFonts w:hint="default"/>
      </w:rPr>
    </w:lvl>
  </w:abstractNum>
  <w:abstractNum w:abstractNumId="33" w15:restartNumberingAfterBreak="0">
    <w:nsid w:val="4F3914ED"/>
    <w:multiLevelType w:val="hybridMultilevel"/>
    <w:tmpl w:val="A6B27A72"/>
    <w:lvl w:ilvl="0" w:tplc="05643FFA">
      <w:start w:val="2"/>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DD021D"/>
    <w:multiLevelType w:val="hybridMultilevel"/>
    <w:tmpl w:val="65CA7160"/>
    <w:lvl w:ilvl="0" w:tplc="123852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1F1637E"/>
    <w:multiLevelType w:val="hybridMultilevel"/>
    <w:tmpl w:val="0F9427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260649F"/>
    <w:multiLevelType w:val="hybridMultilevel"/>
    <w:tmpl w:val="A03E0FB0"/>
    <w:lvl w:ilvl="0" w:tplc="5E78A8F8">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29F51B0"/>
    <w:multiLevelType w:val="hybridMultilevel"/>
    <w:tmpl w:val="0F9427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3006330"/>
    <w:multiLevelType w:val="hybridMultilevel"/>
    <w:tmpl w:val="01F2FBB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38849F1"/>
    <w:multiLevelType w:val="hybridMultilevel"/>
    <w:tmpl w:val="0F9427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7186E60"/>
    <w:multiLevelType w:val="hybridMultilevel"/>
    <w:tmpl w:val="0F9427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7E52C8B"/>
    <w:multiLevelType w:val="hybridMultilevel"/>
    <w:tmpl w:val="0F9427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58614CFD"/>
    <w:multiLevelType w:val="hybridMultilevel"/>
    <w:tmpl w:val="7ACC4A3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90A2459"/>
    <w:multiLevelType w:val="hybridMultilevel"/>
    <w:tmpl w:val="69E84D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9D042D7"/>
    <w:multiLevelType w:val="multilevel"/>
    <w:tmpl w:val="18F4A5AC"/>
    <w:numStyleLink w:val="FoFCoLOP"/>
  </w:abstractNum>
  <w:abstractNum w:abstractNumId="45" w15:restartNumberingAfterBreak="0">
    <w:nsid w:val="5A9E2171"/>
    <w:multiLevelType w:val="multilevel"/>
    <w:tmpl w:val="BD4C7B80"/>
    <w:lvl w:ilvl="0">
      <w:start w:val="1"/>
      <w:numFmt w:val="decimal"/>
      <w:lvlText w:val="%1."/>
      <w:lvlJc w:val="left"/>
      <w:pPr>
        <w:ind w:left="360" w:hanging="36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2."/>
      <w:lvlJc w:val="left"/>
      <w:pPr>
        <w:ind w:left="144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lvlText w:val="%1.%2.%3."/>
      <w:lvlJc w:val="left"/>
      <w:pPr>
        <w:tabs>
          <w:tab w:val="num" w:pos="792"/>
        </w:tabs>
        <w:ind w:left="1440" w:hanging="720"/>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3.%2.%1.%4."/>
      <w:lvlJc w:val="left"/>
      <w:pPr>
        <w:ind w:left="1440" w:hanging="720"/>
      </w:pPr>
      <w:rPr>
        <w:rFonts w:ascii="Arial" w:hAnsi="Arial" w:hint="default"/>
        <w:b/>
        <w:i w:val="0"/>
        <w:caps w:val="0"/>
        <w:strike w:val="0"/>
        <w:dstrike w:val="0"/>
        <w:vanish w:val="0"/>
        <w:kern w:val="0"/>
        <w:sz w:val="26"/>
        <w:vertAlign w:val="baseline"/>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5EDC5D73"/>
    <w:multiLevelType w:val="hybridMultilevel"/>
    <w:tmpl w:val="F216D4D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1E445BF"/>
    <w:multiLevelType w:val="multilevel"/>
    <w:tmpl w:val="7026C5EA"/>
    <w:lvl w:ilvl="0">
      <w:start w:val="8"/>
      <w:numFmt w:val="decimal"/>
      <w:lvlText w:val="%1"/>
      <w:lvlJc w:val="left"/>
      <w:pPr>
        <w:ind w:left="770" w:hanging="770"/>
      </w:pPr>
      <w:rPr>
        <w:rFonts w:hint="default"/>
        <w:b/>
      </w:rPr>
    </w:lvl>
    <w:lvl w:ilvl="1">
      <w:start w:val="4"/>
      <w:numFmt w:val="decimal"/>
      <w:lvlText w:val="%1.%2"/>
      <w:lvlJc w:val="left"/>
      <w:pPr>
        <w:ind w:left="1250" w:hanging="770"/>
      </w:pPr>
      <w:rPr>
        <w:rFonts w:hint="default"/>
        <w:b/>
      </w:rPr>
    </w:lvl>
    <w:lvl w:ilvl="2">
      <w:start w:val="2"/>
      <w:numFmt w:val="decimal"/>
      <w:lvlText w:val="%1.%2.%3"/>
      <w:lvlJc w:val="left"/>
      <w:pPr>
        <w:ind w:left="1730" w:hanging="770"/>
      </w:pPr>
      <w:rPr>
        <w:rFonts w:hint="default"/>
        <w:b/>
      </w:rPr>
    </w:lvl>
    <w:lvl w:ilvl="3">
      <w:start w:val="1"/>
      <w:numFmt w:val="decimal"/>
      <w:lvlText w:val="%1.%2.%3.%4"/>
      <w:lvlJc w:val="left"/>
      <w:pPr>
        <w:ind w:left="2520" w:hanging="1080"/>
      </w:pPr>
      <w:rPr>
        <w:rFonts w:hint="default"/>
        <w:b/>
      </w:rPr>
    </w:lvl>
    <w:lvl w:ilvl="4">
      <w:start w:val="1"/>
      <w:numFmt w:val="decimal"/>
      <w:lvlText w:val="%1.%2.%3.%4.%5"/>
      <w:lvlJc w:val="left"/>
      <w:pPr>
        <w:ind w:left="3000" w:hanging="1080"/>
      </w:pPr>
      <w:rPr>
        <w:rFonts w:hint="default"/>
        <w:b/>
      </w:rPr>
    </w:lvl>
    <w:lvl w:ilvl="5">
      <w:start w:val="1"/>
      <w:numFmt w:val="decimal"/>
      <w:lvlText w:val="%1.%2.%3.%4.%5.%6"/>
      <w:lvlJc w:val="left"/>
      <w:pPr>
        <w:ind w:left="3840" w:hanging="1440"/>
      </w:pPr>
      <w:rPr>
        <w:rFonts w:hint="default"/>
        <w:b/>
      </w:rPr>
    </w:lvl>
    <w:lvl w:ilvl="6">
      <w:start w:val="1"/>
      <w:numFmt w:val="decimal"/>
      <w:lvlText w:val="%1.%2.%3.%4.%5.%6.%7"/>
      <w:lvlJc w:val="left"/>
      <w:pPr>
        <w:ind w:left="4680" w:hanging="1800"/>
      </w:pPr>
      <w:rPr>
        <w:rFonts w:hint="default"/>
        <w:b/>
      </w:rPr>
    </w:lvl>
    <w:lvl w:ilvl="7">
      <w:start w:val="1"/>
      <w:numFmt w:val="decimal"/>
      <w:lvlText w:val="%1.%2.%3.%4.%5.%6.%7.%8"/>
      <w:lvlJc w:val="left"/>
      <w:pPr>
        <w:ind w:left="5160" w:hanging="1800"/>
      </w:pPr>
      <w:rPr>
        <w:rFonts w:hint="default"/>
        <w:b/>
      </w:rPr>
    </w:lvl>
    <w:lvl w:ilvl="8">
      <w:start w:val="1"/>
      <w:numFmt w:val="decimal"/>
      <w:lvlText w:val="%1.%2.%3.%4.%5.%6.%7.%8.%9"/>
      <w:lvlJc w:val="left"/>
      <w:pPr>
        <w:ind w:left="6000" w:hanging="2160"/>
      </w:pPr>
      <w:rPr>
        <w:rFonts w:hint="default"/>
        <w:b/>
      </w:rPr>
    </w:lvl>
  </w:abstractNum>
  <w:abstractNum w:abstractNumId="48" w15:restartNumberingAfterBreak="0">
    <w:nsid w:val="633838C8"/>
    <w:multiLevelType w:val="hybridMultilevel"/>
    <w:tmpl w:val="2CDA18CA"/>
    <w:lvl w:ilvl="0" w:tplc="0409000F">
      <w:start w:val="1"/>
      <w:numFmt w:val="decimal"/>
      <w:lvlText w:val="%1."/>
      <w:lvlJc w:val="left"/>
      <w:pPr>
        <w:ind w:left="135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6E4B0FCA"/>
    <w:multiLevelType w:val="multilevel"/>
    <w:tmpl w:val="DAD48F6C"/>
    <w:lvl w:ilvl="0">
      <w:start w:val="1"/>
      <w:numFmt w:val="decimal"/>
      <w:lvlText w:val="%1."/>
      <w:lvlJc w:val="left"/>
      <w:pPr>
        <w:ind w:left="360" w:hanging="36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2."/>
      <w:lvlJc w:val="left"/>
      <w:pPr>
        <w:tabs>
          <w:tab w:val="num" w:pos="630"/>
        </w:tabs>
        <w:ind w:left="1278" w:hanging="648"/>
      </w:pPr>
      <w:rPr>
        <w:rFonts w:ascii="Arial" w:hAnsi="Arial" w:hint="default"/>
        <w:b/>
        <w:i w:val="0"/>
        <w:caps w:val="0"/>
        <w:strike w:val="0"/>
        <w:dstrike w:val="0"/>
        <w:vanish w:val="0"/>
        <w:color w:val="auto"/>
        <w:kern w:val="0"/>
        <w:sz w:val="26"/>
        <w:u w:val="none"/>
        <w:vertAlign w:val="baseline"/>
        <w14:cntxtAlts w14:val="0"/>
      </w:rPr>
    </w:lvl>
    <w:lvl w:ilvl="2">
      <w:start w:val="1"/>
      <w:numFmt w:val="decimal"/>
      <w:lvlText w:val="%1.%2.%3."/>
      <w:lvlJc w:val="left"/>
      <w:pPr>
        <w:tabs>
          <w:tab w:val="num" w:pos="1440"/>
        </w:tabs>
        <w:ind w:left="2304" w:hanging="864"/>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1.%2.%3.%4."/>
      <w:lvlJc w:val="left"/>
      <w:pPr>
        <w:tabs>
          <w:tab w:val="num" w:pos="2160"/>
        </w:tabs>
        <w:ind w:left="3240" w:hanging="1080"/>
      </w:pPr>
      <w:rPr>
        <w:rFonts w:ascii="Arial" w:hAnsi="Arial" w:hint="default"/>
        <w:b/>
        <w:i w:val="0"/>
        <w:caps w:val="0"/>
        <w:strike w:val="0"/>
        <w:dstrike w:val="0"/>
        <w:vanish w:val="0"/>
        <w:kern w:val="0"/>
        <w:sz w:val="26"/>
        <w:vertAlign w:val="baseline"/>
        <w14:cntxtAlts w14:val="0"/>
      </w:rPr>
    </w:lvl>
    <w:lvl w:ilvl="4">
      <w:start w:val="1"/>
      <w:numFmt w:val="decimal"/>
      <w:lvlText w:val="%1.%2.%3.%4.%5."/>
      <w:lvlJc w:val="left"/>
      <w:pPr>
        <w:tabs>
          <w:tab w:val="num" w:pos="2880"/>
        </w:tabs>
        <w:ind w:left="4176" w:hanging="1296"/>
      </w:pPr>
      <w:rPr>
        <w:rFonts w:ascii="Arial" w:hAnsi="Arial" w:hint="default"/>
        <w:b/>
        <w:i w:val="0"/>
        <w:sz w:val="26"/>
      </w:rPr>
    </w:lvl>
    <w:lvl w:ilvl="5">
      <w:start w:val="1"/>
      <w:numFmt w:val="decimal"/>
      <w:lvlText w:val="%1.%2.%3.%4.%5.%6."/>
      <w:lvlJc w:val="left"/>
      <w:pPr>
        <w:tabs>
          <w:tab w:val="num" w:pos="3600"/>
        </w:tabs>
        <w:ind w:left="5112" w:hanging="1512"/>
      </w:pPr>
      <w:rPr>
        <w:rFonts w:ascii="Arial" w:hAnsi="Arial" w:hint="default"/>
        <w:b/>
        <w:i w:val="0"/>
        <w:sz w:val="26"/>
      </w:rPr>
    </w:lvl>
    <w:lvl w:ilvl="6">
      <w:start w:val="1"/>
      <w:numFmt w:val="decimal"/>
      <w:lvlText w:val="%1.%2.%3.%4.%5.%6.%7."/>
      <w:lvlJc w:val="left"/>
      <w:pPr>
        <w:tabs>
          <w:tab w:val="num" w:pos="4320"/>
        </w:tabs>
        <w:ind w:left="5760" w:hanging="1440"/>
      </w:pPr>
      <w:rPr>
        <w:rFonts w:ascii="Arial" w:hAnsi="Arial" w:hint="default"/>
        <w:b/>
        <w:i w:val="0"/>
        <w:sz w:val="26"/>
      </w:rPr>
    </w:lvl>
    <w:lvl w:ilvl="7">
      <w:start w:val="1"/>
      <w:numFmt w:val="decimal"/>
      <w:lvlText w:val="%8."/>
      <w:lvlJc w:val="left"/>
      <w:pPr>
        <w:ind w:left="1080" w:hanging="360"/>
      </w:pPr>
      <w:rPr>
        <w:rFonts w:hint="default"/>
        <w:sz w:val="26"/>
      </w:rPr>
    </w:lvl>
    <w:lvl w:ilvl="8">
      <w:start w:val="1"/>
      <w:numFmt w:val="none"/>
      <w:lvlText w:val=""/>
      <w:lvlJc w:val="left"/>
      <w:pPr>
        <w:ind w:left="3240" w:hanging="360"/>
      </w:pPr>
      <w:rPr>
        <w:rFonts w:hint="default"/>
      </w:rPr>
    </w:lvl>
  </w:abstractNum>
  <w:abstractNum w:abstractNumId="50" w15:restartNumberingAfterBreak="0">
    <w:nsid w:val="6FDF7E1C"/>
    <w:multiLevelType w:val="hybridMultilevel"/>
    <w:tmpl w:val="2F5AD6F8"/>
    <w:lvl w:ilvl="0" w:tplc="721C313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1080499"/>
    <w:multiLevelType w:val="hybridMultilevel"/>
    <w:tmpl w:val="193EA1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89A0AFE"/>
    <w:multiLevelType w:val="multilevel"/>
    <w:tmpl w:val="18F4A5AC"/>
    <w:numStyleLink w:val="FoFCoLOP"/>
  </w:abstractNum>
  <w:num w:numId="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4"/>
  </w:num>
  <w:num w:numId="4">
    <w:abstractNumId w:val="7"/>
  </w:num>
  <w:num w:numId="5">
    <w:abstractNumId w:val="52"/>
  </w:num>
  <w:num w:numId="6">
    <w:abstractNumId w:val="20"/>
  </w:num>
  <w:num w:numId="7">
    <w:abstractNumId w:val="9"/>
  </w:num>
  <w:num w:numId="8">
    <w:abstractNumId w:val="50"/>
  </w:num>
  <w:num w:numId="9">
    <w:abstractNumId w:val="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6"/>
  </w:num>
  <w:num w:numId="16">
    <w:abstractNumId w:val="12"/>
  </w:num>
  <w:num w:numId="17">
    <w:abstractNumId w:val="38"/>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30"/>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44"/>
    <w:lvlOverride w:ilvl="0">
      <w:startOverride w:val="4"/>
    </w:lvlOverride>
  </w:num>
  <w:num w:numId="26">
    <w:abstractNumId w:val="44"/>
    <w:lvlOverride w:ilvl="0">
      <w:startOverride w:val="46"/>
    </w:lvlOverride>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46"/>
  </w:num>
  <w:num w:numId="31">
    <w:abstractNumId w:val="27"/>
  </w:num>
  <w:num w:numId="32">
    <w:abstractNumId w:val="43"/>
  </w:num>
  <w:num w:numId="33">
    <w:abstractNumId w:val="16"/>
  </w:num>
  <w:num w:numId="34">
    <w:abstractNumId w:val="17"/>
  </w:num>
  <w:num w:numId="35">
    <w:abstractNumId w:val="41"/>
  </w:num>
  <w:num w:numId="36">
    <w:abstractNumId w:val="23"/>
  </w:num>
  <w:num w:numId="37">
    <w:abstractNumId w:val="37"/>
  </w:num>
  <w:num w:numId="38">
    <w:abstractNumId w:val="28"/>
  </w:num>
  <w:num w:numId="39">
    <w:abstractNumId w:val="8"/>
  </w:num>
  <w:num w:numId="40">
    <w:abstractNumId w:val="31"/>
  </w:num>
  <w:num w:numId="41">
    <w:abstractNumId w:val="24"/>
  </w:num>
  <w:num w:numId="42">
    <w:abstractNumId w:val="35"/>
  </w:num>
  <w:num w:numId="43">
    <w:abstractNumId w:val="39"/>
  </w:num>
  <w:num w:numId="44">
    <w:abstractNumId w:val="40"/>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 w:numId="47">
    <w:abstractNumId w:val="47"/>
  </w:num>
  <w:num w:numId="48">
    <w:abstractNumId w:val="25"/>
  </w:num>
  <w:num w:numId="49">
    <w:abstractNumId w:val="3"/>
  </w:num>
  <w:num w:numId="50">
    <w:abstractNumId w:val="1"/>
  </w:num>
  <w:num w:numId="51">
    <w:abstractNumId w:val="18"/>
  </w:num>
  <w:num w:numId="52">
    <w:abstractNumId w:val="36"/>
  </w:num>
  <w:num w:numId="53">
    <w:abstractNumId w:val="42"/>
  </w:num>
  <w:num w:numId="54">
    <w:abstractNumId w:val="33"/>
  </w:num>
  <w:num w:numId="55">
    <w:abstractNumId w:val="34"/>
  </w:num>
  <w:num w:numId="56">
    <w:abstractNumId w:val="14"/>
  </w:num>
  <w:num w:numId="57">
    <w:abstractNumId w:val="51"/>
  </w:num>
  <w:num w:numId="58">
    <w:abstractNumId w:val="48"/>
  </w:num>
  <w:num w:numId="59">
    <w:abstractNumId w:val="49"/>
  </w:num>
  <w:num w:numId="60">
    <w:abstractNumId w:val="2"/>
  </w:num>
  <w:num w:numId="61">
    <w:abstractNumId w:val="15"/>
  </w:num>
  <w:num w:numId="62">
    <w:abstractNumId w:val="32"/>
  </w:num>
  <w:num w:numId="63">
    <w:abstractNumId w:val="6"/>
  </w:num>
  <w:num w:numId="64">
    <w:abstractNumId w:val="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00E"/>
    <w:rsid w:val="00000F6A"/>
    <w:rsid w:val="0000276B"/>
    <w:rsid w:val="00003B05"/>
    <w:rsid w:val="00003FD4"/>
    <w:rsid w:val="0000455D"/>
    <w:rsid w:val="0000493C"/>
    <w:rsid w:val="00005AEF"/>
    <w:rsid w:val="00005FFC"/>
    <w:rsid w:val="0000620E"/>
    <w:rsid w:val="00007F01"/>
    <w:rsid w:val="00011D7A"/>
    <w:rsid w:val="00011E22"/>
    <w:rsid w:val="0001221D"/>
    <w:rsid w:val="00012E0B"/>
    <w:rsid w:val="0001301F"/>
    <w:rsid w:val="0001472C"/>
    <w:rsid w:val="00014847"/>
    <w:rsid w:val="00015551"/>
    <w:rsid w:val="00017495"/>
    <w:rsid w:val="000178E8"/>
    <w:rsid w:val="00017F11"/>
    <w:rsid w:val="0002139D"/>
    <w:rsid w:val="00023194"/>
    <w:rsid w:val="00023431"/>
    <w:rsid w:val="000234A1"/>
    <w:rsid w:val="00025025"/>
    <w:rsid w:val="00025BEF"/>
    <w:rsid w:val="00026911"/>
    <w:rsid w:val="00027462"/>
    <w:rsid w:val="000327E5"/>
    <w:rsid w:val="00032F7D"/>
    <w:rsid w:val="00033142"/>
    <w:rsid w:val="0003351B"/>
    <w:rsid w:val="00033792"/>
    <w:rsid w:val="00034696"/>
    <w:rsid w:val="0003512F"/>
    <w:rsid w:val="000352C5"/>
    <w:rsid w:val="000365B7"/>
    <w:rsid w:val="000376A6"/>
    <w:rsid w:val="0004025F"/>
    <w:rsid w:val="000406EB"/>
    <w:rsid w:val="000420A8"/>
    <w:rsid w:val="000420D4"/>
    <w:rsid w:val="00042F96"/>
    <w:rsid w:val="00043281"/>
    <w:rsid w:val="0004339F"/>
    <w:rsid w:val="00043F72"/>
    <w:rsid w:val="00045399"/>
    <w:rsid w:val="000477AE"/>
    <w:rsid w:val="00050037"/>
    <w:rsid w:val="00051E21"/>
    <w:rsid w:val="00052F31"/>
    <w:rsid w:val="000533E6"/>
    <w:rsid w:val="00053EA2"/>
    <w:rsid w:val="00055362"/>
    <w:rsid w:val="0005733C"/>
    <w:rsid w:val="00057C1E"/>
    <w:rsid w:val="00057E48"/>
    <w:rsid w:val="00062C38"/>
    <w:rsid w:val="0006310F"/>
    <w:rsid w:val="0006341D"/>
    <w:rsid w:val="0006359B"/>
    <w:rsid w:val="000639CC"/>
    <w:rsid w:val="000642AD"/>
    <w:rsid w:val="00064CDA"/>
    <w:rsid w:val="00064FD4"/>
    <w:rsid w:val="0006552F"/>
    <w:rsid w:val="00065770"/>
    <w:rsid w:val="00066A0F"/>
    <w:rsid w:val="00067DF4"/>
    <w:rsid w:val="0007115A"/>
    <w:rsid w:val="00071E20"/>
    <w:rsid w:val="00073C83"/>
    <w:rsid w:val="00074112"/>
    <w:rsid w:val="00075C5A"/>
    <w:rsid w:val="00076224"/>
    <w:rsid w:val="00077570"/>
    <w:rsid w:val="0008192C"/>
    <w:rsid w:val="000838AD"/>
    <w:rsid w:val="00084FB6"/>
    <w:rsid w:val="000853E9"/>
    <w:rsid w:val="0008633C"/>
    <w:rsid w:val="00086E21"/>
    <w:rsid w:val="0008743B"/>
    <w:rsid w:val="00087ADB"/>
    <w:rsid w:val="00087B19"/>
    <w:rsid w:val="0009498C"/>
    <w:rsid w:val="00095130"/>
    <w:rsid w:val="000973C8"/>
    <w:rsid w:val="00097A3D"/>
    <w:rsid w:val="000A0846"/>
    <w:rsid w:val="000A130F"/>
    <w:rsid w:val="000A137D"/>
    <w:rsid w:val="000A1664"/>
    <w:rsid w:val="000A2AA9"/>
    <w:rsid w:val="000A451D"/>
    <w:rsid w:val="000A56F2"/>
    <w:rsid w:val="000A5B78"/>
    <w:rsid w:val="000A5F52"/>
    <w:rsid w:val="000A6E05"/>
    <w:rsid w:val="000A77E3"/>
    <w:rsid w:val="000A780D"/>
    <w:rsid w:val="000B0B69"/>
    <w:rsid w:val="000B12FA"/>
    <w:rsid w:val="000B206F"/>
    <w:rsid w:val="000B2612"/>
    <w:rsid w:val="000B27E8"/>
    <w:rsid w:val="000B3AF2"/>
    <w:rsid w:val="000B6DE3"/>
    <w:rsid w:val="000B79A2"/>
    <w:rsid w:val="000C04A9"/>
    <w:rsid w:val="000C08BF"/>
    <w:rsid w:val="000C106E"/>
    <w:rsid w:val="000C2052"/>
    <w:rsid w:val="000C3B9A"/>
    <w:rsid w:val="000C4F14"/>
    <w:rsid w:val="000C6F71"/>
    <w:rsid w:val="000C78B4"/>
    <w:rsid w:val="000C7B09"/>
    <w:rsid w:val="000C7B5F"/>
    <w:rsid w:val="000D19F3"/>
    <w:rsid w:val="000D25A8"/>
    <w:rsid w:val="000D2AA2"/>
    <w:rsid w:val="000D43A3"/>
    <w:rsid w:val="000D4862"/>
    <w:rsid w:val="000D51C4"/>
    <w:rsid w:val="000D5FE6"/>
    <w:rsid w:val="000D67E2"/>
    <w:rsid w:val="000D6EC9"/>
    <w:rsid w:val="000D73CF"/>
    <w:rsid w:val="000D7A8F"/>
    <w:rsid w:val="000E16BF"/>
    <w:rsid w:val="000E35BB"/>
    <w:rsid w:val="000E4C53"/>
    <w:rsid w:val="000E5F02"/>
    <w:rsid w:val="000E670A"/>
    <w:rsid w:val="000E6B95"/>
    <w:rsid w:val="000E7071"/>
    <w:rsid w:val="000E70AC"/>
    <w:rsid w:val="000E7352"/>
    <w:rsid w:val="000E76B9"/>
    <w:rsid w:val="000E7D4D"/>
    <w:rsid w:val="000E7F00"/>
    <w:rsid w:val="000F16FF"/>
    <w:rsid w:val="000F2A41"/>
    <w:rsid w:val="000F2A95"/>
    <w:rsid w:val="000F2B75"/>
    <w:rsid w:val="000F2BD9"/>
    <w:rsid w:val="000F330E"/>
    <w:rsid w:val="000F35D1"/>
    <w:rsid w:val="000F4191"/>
    <w:rsid w:val="000F4CCD"/>
    <w:rsid w:val="000F4D08"/>
    <w:rsid w:val="000F6234"/>
    <w:rsid w:val="000F685B"/>
    <w:rsid w:val="000F6FDC"/>
    <w:rsid w:val="000F7B74"/>
    <w:rsid w:val="00100E4D"/>
    <w:rsid w:val="00100FC7"/>
    <w:rsid w:val="001011AE"/>
    <w:rsid w:val="0010169F"/>
    <w:rsid w:val="0010289F"/>
    <w:rsid w:val="001028C0"/>
    <w:rsid w:val="00103E6E"/>
    <w:rsid w:val="00103F89"/>
    <w:rsid w:val="001040B4"/>
    <w:rsid w:val="0010417F"/>
    <w:rsid w:val="0010484A"/>
    <w:rsid w:val="0010539C"/>
    <w:rsid w:val="00106D03"/>
    <w:rsid w:val="00107CC1"/>
    <w:rsid w:val="00112547"/>
    <w:rsid w:val="00112DE9"/>
    <w:rsid w:val="00113CA2"/>
    <w:rsid w:val="001145E8"/>
    <w:rsid w:val="00116332"/>
    <w:rsid w:val="0011780E"/>
    <w:rsid w:val="00121089"/>
    <w:rsid w:val="00121176"/>
    <w:rsid w:val="00121308"/>
    <w:rsid w:val="0012163D"/>
    <w:rsid w:val="00121979"/>
    <w:rsid w:val="00123417"/>
    <w:rsid w:val="00123511"/>
    <w:rsid w:val="00124A78"/>
    <w:rsid w:val="00125D62"/>
    <w:rsid w:val="00126FBF"/>
    <w:rsid w:val="001300A3"/>
    <w:rsid w:val="00130350"/>
    <w:rsid w:val="00130376"/>
    <w:rsid w:val="00131568"/>
    <w:rsid w:val="00131FF3"/>
    <w:rsid w:val="00132CE7"/>
    <w:rsid w:val="00133020"/>
    <w:rsid w:val="001350CF"/>
    <w:rsid w:val="001362A4"/>
    <w:rsid w:val="00137D3D"/>
    <w:rsid w:val="001410A8"/>
    <w:rsid w:val="00141451"/>
    <w:rsid w:val="00142066"/>
    <w:rsid w:val="0014225F"/>
    <w:rsid w:val="001429AD"/>
    <w:rsid w:val="00142C61"/>
    <w:rsid w:val="0014758D"/>
    <w:rsid w:val="00147842"/>
    <w:rsid w:val="0015060D"/>
    <w:rsid w:val="00150631"/>
    <w:rsid w:val="001507E1"/>
    <w:rsid w:val="00150D8C"/>
    <w:rsid w:val="0015117A"/>
    <w:rsid w:val="00151DD9"/>
    <w:rsid w:val="0015249E"/>
    <w:rsid w:val="0015260A"/>
    <w:rsid w:val="00152EB6"/>
    <w:rsid w:val="0015314C"/>
    <w:rsid w:val="001536B0"/>
    <w:rsid w:val="00153CC4"/>
    <w:rsid w:val="00153E13"/>
    <w:rsid w:val="00154AC9"/>
    <w:rsid w:val="001556F1"/>
    <w:rsid w:val="00155BAC"/>
    <w:rsid w:val="001567EB"/>
    <w:rsid w:val="00156B0F"/>
    <w:rsid w:val="00157487"/>
    <w:rsid w:val="00157BB0"/>
    <w:rsid w:val="00157FE1"/>
    <w:rsid w:val="00160332"/>
    <w:rsid w:val="00160BEF"/>
    <w:rsid w:val="00160D82"/>
    <w:rsid w:val="00161708"/>
    <w:rsid w:val="001621D7"/>
    <w:rsid w:val="00162633"/>
    <w:rsid w:val="00162E52"/>
    <w:rsid w:val="00163949"/>
    <w:rsid w:val="00163994"/>
    <w:rsid w:val="00163A9D"/>
    <w:rsid w:val="00163E7C"/>
    <w:rsid w:val="001642CC"/>
    <w:rsid w:val="001644B7"/>
    <w:rsid w:val="001665EA"/>
    <w:rsid w:val="001706F8"/>
    <w:rsid w:val="00173341"/>
    <w:rsid w:val="001737E1"/>
    <w:rsid w:val="00177012"/>
    <w:rsid w:val="0017763D"/>
    <w:rsid w:val="001778B9"/>
    <w:rsid w:val="001801C1"/>
    <w:rsid w:val="00181158"/>
    <w:rsid w:val="001818ED"/>
    <w:rsid w:val="001826A2"/>
    <w:rsid w:val="001829DC"/>
    <w:rsid w:val="0018379F"/>
    <w:rsid w:val="00183B62"/>
    <w:rsid w:val="00184F0C"/>
    <w:rsid w:val="001909FA"/>
    <w:rsid w:val="00190A2B"/>
    <w:rsid w:val="001920DC"/>
    <w:rsid w:val="00192355"/>
    <w:rsid w:val="00192AF5"/>
    <w:rsid w:val="0019311F"/>
    <w:rsid w:val="00193CA6"/>
    <w:rsid w:val="001941B9"/>
    <w:rsid w:val="001949D4"/>
    <w:rsid w:val="00194CD3"/>
    <w:rsid w:val="00194ED4"/>
    <w:rsid w:val="0019524D"/>
    <w:rsid w:val="00196ACF"/>
    <w:rsid w:val="00196B94"/>
    <w:rsid w:val="001A0163"/>
    <w:rsid w:val="001A07A6"/>
    <w:rsid w:val="001A0E1A"/>
    <w:rsid w:val="001A2AA4"/>
    <w:rsid w:val="001A3161"/>
    <w:rsid w:val="001A4169"/>
    <w:rsid w:val="001A4801"/>
    <w:rsid w:val="001A493B"/>
    <w:rsid w:val="001A4DB0"/>
    <w:rsid w:val="001A4ECE"/>
    <w:rsid w:val="001A51DE"/>
    <w:rsid w:val="001A550F"/>
    <w:rsid w:val="001A5530"/>
    <w:rsid w:val="001A5915"/>
    <w:rsid w:val="001A5A66"/>
    <w:rsid w:val="001A62D9"/>
    <w:rsid w:val="001A74D4"/>
    <w:rsid w:val="001B13C1"/>
    <w:rsid w:val="001B143F"/>
    <w:rsid w:val="001B15C1"/>
    <w:rsid w:val="001B1AEA"/>
    <w:rsid w:val="001B29D6"/>
    <w:rsid w:val="001B3233"/>
    <w:rsid w:val="001B3468"/>
    <w:rsid w:val="001B38EB"/>
    <w:rsid w:val="001B5835"/>
    <w:rsid w:val="001B5F1C"/>
    <w:rsid w:val="001B6282"/>
    <w:rsid w:val="001B68C6"/>
    <w:rsid w:val="001B6B7C"/>
    <w:rsid w:val="001B72D8"/>
    <w:rsid w:val="001B74C3"/>
    <w:rsid w:val="001B7A4E"/>
    <w:rsid w:val="001C0795"/>
    <w:rsid w:val="001C09F8"/>
    <w:rsid w:val="001C1953"/>
    <w:rsid w:val="001C1F9F"/>
    <w:rsid w:val="001C2109"/>
    <w:rsid w:val="001C363F"/>
    <w:rsid w:val="001C3BB0"/>
    <w:rsid w:val="001C4D4C"/>
    <w:rsid w:val="001C4F65"/>
    <w:rsid w:val="001D04DE"/>
    <w:rsid w:val="001D0AA3"/>
    <w:rsid w:val="001D12AD"/>
    <w:rsid w:val="001D1AE6"/>
    <w:rsid w:val="001D3513"/>
    <w:rsid w:val="001D4529"/>
    <w:rsid w:val="001D568D"/>
    <w:rsid w:val="001D698E"/>
    <w:rsid w:val="001E028D"/>
    <w:rsid w:val="001E09ED"/>
    <w:rsid w:val="001E1A6C"/>
    <w:rsid w:val="001E2621"/>
    <w:rsid w:val="001E27D0"/>
    <w:rsid w:val="001E293F"/>
    <w:rsid w:val="001E2A33"/>
    <w:rsid w:val="001E2A62"/>
    <w:rsid w:val="001E3DC7"/>
    <w:rsid w:val="001E4139"/>
    <w:rsid w:val="001E44D2"/>
    <w:rsid w:val="001E46AB"/>
    <w:rsid w:val="001E530E"/>
    <w:rsid w:val="001E6826"/>
    <w:rsid w:val="001E6996"/>
    <w:rsid w:val="001E6D1A"/>
    <w:rsid w:val="001F27D3"/>
    <w:rsid w:val="001F2819"/>
    <w:rsid w:val="001F3881"/>
    <w:rsid w:val="001F503B"/>
    <w:rsid w:val="001F5815"/>
    <w:rsid w:val="001F5D15"/>
    <w:rsid w:val="001F6713"/>
    <w:rsid w:val="001F6813"/>
    <w:rsid w:val="00201977"/>
    <w:rsid w:val="00203232"/>
    <w:rsid w:val="00203DCC"/>
    <w:rsid w:val="002043EC"/>
    <w:rsid w:val="00204D65"/>
    <w:rsid w:val="00205E92"/>
    <w:rsid w:val="00207631"/>
    <w:rsid w:val="00207A54"/>
    <w:rsid w:val="00212559"/>
    <w:rsid w:val="00214205"/>
    <w:rsid w:val="0021437E"/>
    <w:rsid w:val="00216BCF"/>
    <w:rsid w:val="00216C73"/>
    <w:rsid w:val="00217090"/>
    <w:rsid w:val="002204C0"/>
    <w:rsid w:val="00221473"/>
    <w:rsid w:val="0022345C"/>
    <w:rsid w:val="00223A5F"/>
    <w:rsid w:val="00223F50"/>
    <w:rsid w:val="00225F34"/>
    <w:rsid w:val="00226228"/>
    <w:rsid w:val="002266B0"/>
    <w:rsid w:val="00226832"/>
    <w:rsid w:val="002279C0"/>
    <w:rsid w:val="002310B0"/>
    <w:rsid w:val="0023242F"/>
    <w:rsid w:val="00233423"/>
    <w:rsid w:val="00233AEC"/>
    <w:rsid w:val="002353A3"/>
    <w:rsid w:val="00235D02"/>
    <w:rsid w:val="002362FE"/>
    <w:rsid w:val="002369B5"/>
    <w:rsid w:val="00240FAD"/>
    <w:rsid w:val="0024136E"/>
    <w:rsid w:val="0024196A"/>
    <w:rsid w:val="00241A79"/>
    <w:rsid w:val="00241CA8"/>
    <w:rsid w:val="00241CD7"/>
    <w:rsid w:val="00241EE9"/>
    <w:rsid w:val="00242993"/>
    <w:rsid w:val="00243DC0"/>
    <w:rsid w:val="002447B1"/>
    <w:rsid w:val="00245098"/>
    <w:rsid w:val="002456A0"/>
    <w:rsid w:val="00245BA5"/>
    <w:rsid w:val="002471BE"/>
    <w:rsid w:val="00247477"/>
    <w:rsid w:val="00250A85"/>
    <w:rsid w:val="00250F63"/>
    <w:rsid w:val="00252B75"/>
    <w:rsid w:val="00252E1A"/>
    <w:rsid w:val="002534CA"/>
    <w:rsid w:val="002536E1"/>
    <w:rsid w:val="00256247"/>
    <w:rsid w:val="0025700F"/>
    <w:rsid w:val="00257C38"/>
    <w:rsid w:val="002604B1"/>
    <w:rsid w:val="00261411"/>
    <w:rsid w:val="00261781"/>
    <w:rsid w:val="00263E9F"/>
    <w:rsid w:val="002671AB"/>
    <w:rsid w:val="0026785C"/>
    <w:rsid w:val="002701FB"/>
    <w:rsid w:val="00270440"/>
    <w:rsid w:val="002708D0"/>
    <w:rsid w:val="00271C2D"/>
    <w:rsid w:val="002724AB"/>
    <w:rsid w:val="00274D54"/>
    <w:rsid w:val="0027500C"/>
    <w:rsid w:val="002769EC"/>
    <w:rsid w:val="0028105B"/>
    <w:rsid w:val="0028111F"/>
    <w:rsid w:val="00283541"/>
    <w:rsid w:val="00285D30"/>
    <w:rsid w:val="00287711"/>
    <w:rsid w:val="00290349"/>
    <w:rsid w:val="0029062F"/>
    <w:rsid w:val="002920DD"/>
    <w:rsid w:val="00292DB7"/>
    <w:rsid w:val="00293418"/>
    <w:rsid w:val="00293DEE"/>
    <w:rsid w:val="002947DF"/>
    <w:rsid w:val="00295F6D"/>
    <w:rsid w:val="002A0B5D"/>
    <w:rsid w:val="002A1952"/>
    <w:rsid w:val="002A1FDC"/>
    <w:rsid w:val="002A3A53"/>
    <w:rsid w:val="002A4684"/>
    <w:rsid w:val="002A5C16"/>
    <w:rsid w:val="002B0693"/>
    <w:rsid w:val="002B329C"/>
    <w:rsid w:val="002B3A52"/>
    <w:rsid w:val="002B4A04"/>
    <w:rsid w:val="002B5504"/>
    <w:rsid w:val="002B5FF0"/>
    <w:rsid w:val="002C03A6"/>
    <w:rsid w:val="002C0CD9"/>
    <w:rsid w:val="002C1203"/>
    <w:rsid w:val="002C1A8E"/>
    <w:rsid w:val="002C2BF2"/>
    <w:rsid w:val="002C3D4F"/>
    <w:rsid w:val="002C5008"/>
    <w:rsid w:val="002C547F"/>
    <w:rsid w:val="002C6529"/>
    <w:rsid w:val="002C6964"/>
    <w:rsid w:val="002C77D1"/>
    <w:rsid w:val="002C7CDF"/>
    <w:rsid w:val="002C7FE9"/>
    <w:rsid w:val="002D0133"/>
    <w:rsid w:val="002D0833"/>
    <w:rsid w:val="002D0947"/>
    <w:rsid w:val="002D1038"/>
    <w:rsid w:val="002D2675"/>
    <w:rsid w:val="002D2D29"/>
    <w:rsid w:val="002D2D50"/>
    <w:rsid w:val="002D3F49"/>
    <w:rsid w:val="002D4BDB"/>
    <w:rsid w:val="002D4EFD"/>
    <w:rsid w:val="002D4FDC"/>
    <w:rsid w:val="002D538B"/>
    <w:rsid w:val="002D5546"/>
    <w:rsid w:val="002D55D3"/>
    <w:rsid w:val="002D5A48"/>
    <w:rsid w:val="002D67BF"/>
    <w:rsid w:val="002D6D81"/>
    <w:rsid w:val="002D6E77"/>
    <w:rsid w:val="002D76CC"/>
    <w:rsid w:val="002E1BFE"/>
    <w:rsid w:val="002E21E5"/>
    <w:rsid w:val="002E5BCC"/>
    <w:rsid w:val="002E65A5"/>
    <w:rsid w:val="002E6BB0"/>
    <w:rsid w:val="002E7D9B"/>
    <w:rsid w:val="002E7FB8"/>
    <w:rsid w:val="002F3BAD"/>
    <w:rsid w:val="002F64DD"/>
    <w:rsid w:val="002F6707"/>
    <w:rsid w:val="002F6793"/>
    <w:rsid w:val="002F67BF"/>
    <w:rsid w:val="002F6C4F"/>
    <w:rsid w:val="002F7A54"/>
    <w:rsid w:val="00300BCE"/>
    <w:rsid w:val="00301B93"/>
    <w:rsid w:val="0030272C"/>
    <w:rsid w:val="0030276C"/>
    <w:rsid w:val="00302F01"/>
    <w:rsid w:val="00304052"/>
    <w:rsid w:val="00304117"/>
    <w:rsid w:val="00304A8E"/>
    <w:rsid w:val="00307FEF"/>
    <w:rsid w:val="00310CFB"/>
    <w:rsid w:val="00312764"/>
    <w:rsid w:val="003133AA"/>
    <w:rsid w:val="00313692"/>
    <w:rsid w:val="003149DF"/>
    <w:rsid w:val="003154BB"/>
    <w:rsid w:val="0031599F"/>
    <w:rsid w:val="00316071"/>
    <w:rsid w:val="00316A94"/>
    <w:rsid w:val="003203FC"/>
    <w:rsid w:val="00320DD3"/>
    <w:rsid w:val="003215F6"/>
    <w:rsid w:val="0032206F"/>
    <w:rsid w:val="00323BE3"/>
    <w:rsid w:val="00327337"/>
    <w:rsid w:val="00327B76"/>
    <w:rsid w:val="00327C8A"/>
    <w:rsid w:val="00330A49"/>
    <w:rsid w:val="003340CB"/>
    <w:rsid w:val="003355B1"/>
    <w:rsid w:val="00335672"/>
    <w:rsid w:val="0033592A"/>
    <w:rsid w:val="0033644A"/>
    <w:rsid w:val="003365E0"/>
    <w:rsid w:val="00336EBE"/>
    <w:rsid w:val="00337C1D"/>
    <w:rsid w:val="0034019B"/>
    <w:rsid w:val="0034334D"/>
    <w:rsid w:val="00343487"/>
    <w:rsid w:val="00343E5C"/>
    <w:rsid w:val="0034484A"/>
    <w:rsid w:val="00344D7D"/>
    <w:rsid w:val="00345569"/>
    <w:rsid w:val="00345D3C"/>
    <w:rsid w:val="0034667C"/>
    <w:rsid w:val="003473B5"/>
    <w:rsid w:val="00347A32"/>
    <w:rsid w:val="00347E07"/>
    <w:rsid w:val="003504EB"/>
    <w:rsid w:val="0035115E"/>
    <w:rsid w:val="00351791"/>
    <w:rsid w:val="003518ED"/>
    <w:rsid w:val="00351FDA"/>
    <w:rsid w:val="00352A61"/>
    <w:rsid w:val="00352C1C"/>
    <w:rsid w:val="00355056"/>
    <w:rsid w:val="003558FD"/>
    <w:rsid w:val="003573E3"/>
    <w:rsid w:val="00357B6C"/>
    <w:rsid w:val="0036017B"/>
    <w:rsid w:val="00362755"/>
    <w:rsid w:val="00362C28"/>
    <w:rsid w:val="00362F85"/>
    <w:rsid w:val="003630DD"/>
    <w:rsid w:val="003638BC"/>
    <w:rsid w:val="003643BA"/>
    <w:rsid w:val="00366479"/>
    <w:rsid w:val="00366740"/>
    <w:rsid w:val="00366925"/>
    <w:rsid w:val="00370CE5"/>
    <w:rsid w:val="003722DD"/>
    <w:rsid w:val="003724FD"/>
    <w:rsid w:val="00373B93"/>
    <w:rsid w:val="00374525"/>
    <w:rsid w:val="003758DF"/>
    <w:rsid w:val="00375B81"/>
    <w:rsid w:val="00375C9E"/>
    <w:rsid w:val="003761CC"/>
    <w:rsid w:val="00377140"/>
    <w:rsid w:val="003773C5"/>
    <w:rsid w:val="00380D3B"/>
    <w:rsid w:val="00381CC1"/>
    <w:rsid w:val="003855EC"/>
    <w:rsid w:val="00385632"/>
    <w:rsid w:val="00385ED3"/>
    <w:rsid w:val="00386241"/>
    <w:rsid w:val="00386B41"/>
    <w:rsid w:val="003914A7"/>
    <w:rsid w:val="00392A81"/>
    <w:rsid w:val="003934C2"/>
    <w:rsid w:val="00394A93"/>
    <w:rsid w:val="0039549A"/>
    <w:rsid w:val="00395D0F"/>
    <w:rsid w:val="00395EE2"/>
    <w:rsid w:val="003968AC"/>
    <w:rsid w:val="003972E6"/>
    <w:rsid w:val="003976C6"/>
    <w:rsid w:val="003A0856"/>
    <w:rsid w:val="003A20D4"/>
    <w:rsid w:val="003A2D52"/>
    <w:rsid w:val="003A38F0"/>
    <w:rsid w:val="003A4461"/>
    <w:rsid w:val="003A5F13"/>
    <w:rsid w:val="003A76DC"/>
    <w:rsid w:val="003B0FAD"/>
    <w:rsid w:val="003B22EA"/>
    <w:rsid w:val="003B4443"/>
    <w:rsid w:val="003B4824"/>
    <w:rsid w:val="003B713B"/>
    <w:rsid w:val="003C2A66"/>
    <w:rsid w:val="003C4769"/>
    <w:rsid w:val="003C4C64"/>
    <w:rsid w:val="003C4D09"/>
    <w:rsid w:val="003C6D70"/>
    <w:rsid w:val="003C6E48"/>
    <w:rsid w:val="003C7196"/>
    <w:rsid w:val="003C7570"/>
    <w:rsid w:val="003D16CF"/>
    <w:rsid w:val="003D1A17"/>
    <w:rsid w:val="003D2F69"/>
    <w:rsid w:val="003D334C"/>
    <w:rsid w:val="003D349D"/>
    <w:rsid w:val="003D35B8"/>
    <w:rsid w:val="003D6CB9"/>
    <w:rsid w:val="003D79D3"/>
    <w:rsid w:val="003D7BB7"/>
    <w:rsid w:val="003E01CC"/>
    <w:rsid w:val="003E057A"/>
    <w:rsid w:val="003E0AB3"/>
    <w:rsid w:val="003E1A59"/>
    <w:rsid w:val="003E3624"/>
    <w:rsid w:val="003E4A70"/>
    <w:rsid w:val="003E5604"/>
    <w:rsid w:val="003E60D8"/>
    <w:rsid w:val="003E7576"/>
    <w:rsid w:val="003E75BA"/>
    <w:rsid w:val="003E7E51"/>
    <w:rsid w:val="003F1AC7"/>
    <w:rsid w:val="003F25E2"/>
    <w:rsid w:val="003F34AD"/>
    <w:rsid w:val="003F4329"/>
    <w:rsid w:val="003F531A"/>
    <w:rsid w:val="003F657F"/>
    <w:rsid w:val="003F6584"/>
    <w:rsid w:val="003F6F27"/>
    <w:rsid w:val="003F6F4F"/>
    <w:rsid w:val="003F78CA"/>
    <w:rsid w:val="003F7D24"/>
    <w:rsid w:val="0040000B"/>
    <w:rsid w:val="00401323"/>
    <w:rsid w:val="00401880"/>
    <w:rsid w:val="00401D88"/>
    <w:rsid w:val="00402486"/>
    <w:rsid w:val="0040375C"/>
    <w:rsid w:val="0040389D"/>
    <w:rsid w:val="004038A9"/>
    <w:rsid w:val="00403DB0"/>
    <w:rsid w:val="0040441B"/>
    <w:rsid w:val="00404973"/>
    <w:rsid w:val="00406AD6"/>
    <w:rsid w:val="0040797C"/>
    <w:rsid w:val="0041149E"/>
    <w:rsid w:val="00411958"/>
    <w:rsid w:val="00411C4B"/>
    <w:rsid w:val="00412305"/>
    <w:rsid w:val="00412534"/>
    <w:rsid w:val="0041269B"/>
    <w:rsid w:val="004127F3"/>
    <w:rsid w:val="00412C83"/>
    <w:rsid w:val="00413204"/>
    <w:rsid w:val="00416066"/>
    <w:rsid w:val="004179DE"/>
    <w:rsid w:val="00417A9E"/>
    <w:rsid w:val="00417FB9"/>
    <w:rsid w:val="00420D1B"/>
    <w:rsid w:val="004220B7"/>
    <w:rsid w:val="0042309B"/>
    <w:rsid w:val="00426014"/>
    <w:rsid w:val="004267AD"/>
    <w:rsid w:val="004302DB"/>
    <w:rsid w:val="00431C51"/>
    <w:rsid w:val="004321B1"/>
    <w:rsid w:val="00432894"/>
    <w:rsid w:val="00432ADF"/>
    <w:rsid w:val="00432B8A"/>
    <w:rsid w:val="004335EC"/>
    <w:rsid w:val="0043363E"/>
    <w:rsid w:val="00435187"/>
    <w:rsid w:val="00435EE2"/>
    <w:rsid w:val="00435F58"/>
    <w:rsid w:val="00436248"/>
    <w:rsid w:val="004375CA"/>
    <w:rsid w:val="004411C2"/>
    <w:rsid w:val="00441345"/>
    <w:rsid w:val="004417CA"/>
    <w:rsid w:val="00442C10"/>
    <w:rsid w:val="0044384B"/>
    <w:rsid w:val="00444070"/>
    <w:rsid w:val="004443D5"/>
    <w:rsid w:val="00444D30"/>
    <w:rsid w:val="00445F3A"/>
    <w:rsid w:val="00446225"/>
    <w:rsid w:val="00447D43"/>
    <w:rsid w:val="00450895"/>
    <w:rsid w:val="0045094F"/>
    <w:rsid w:val="00452081"/>
    <w:rsid w:val="00452DD2"/>
    <w:rsid w:val="004539F7"/>
    <w:rsid w:val="004545FE"/>
    <w:rsid w:val="00455259"/>
    <w:rsid w:val="00456709"/>
    <w:rsid w:val="00456BD3"/>
    <w:rsid w:val="00457B33"/>
    <w:rsid w:val="00457E55"/>
    <w:rsid w:val="00460598"/>
    <w:rsid w:val="00460B7D"/>
    <w:rsid w:val="0046128B"/>
    <w:rsid w:val="00461CBD"/>
    <w:rsid w:val="00462CA2"/>
    <w:rsid w:val="00462F6A"/>
    <w:rsid w:val="00463E60"/>
    <w:rsid w:val="00464FD4"/>
    <w:rsid w:val="00465700"/>
    <w:rsid w:val="00466A2E"/>
    <w:rsid w:val="00466BFA"/>
    <w:rsid w:val="0047045B"/>
    <w:rsid w:val="0047192B"/>
    <w:rsid w:val="0047220C"/>
    <w:rsid w:val="00472A52"/>
    <w:rsid w:val="0047321C"/>
    <w:rsid w:val="00473605"/>
    <w:rsid w:val="0047430F"/>
    <w:rsid w:val="004757BA"/>
    <w:rsid w:val="0047708F"/>
    <w:rsid w:val="004774FB"/>
    <w:rsid w:val="00477BEF"/>
    <w:rsid w:val="00480414"/>
    <w:rsid w:val="00480CB0"/>
    <w:rsid w:val="004820C1"/>
    <w:rsid w:val="00482788"/>
    <w:rsid w:val="0048401A"/>
    <w:rsid w:val="00485B2F"/>
    <w:rsid w:val="00485F98"/>
    <w:rsid w:val="00486635"/>
    <w:rsid w:val="0048786C"/>
    <w:rsid w:val="00492391"/>
    <w:rsid w:val="00492DAA"/>
    <w:rsid w:val="00493667"/>
    <w:rsid w:val="00494CA0"/>
    <w:rsid w:val="00494D59"/>
    <w:rsid w:val="00497D86"/>
    <w:rsid w:val="004A24E6"/>
    <w:rsid w:val="004A252D"/>
    <w:rsid w:val="004A665E"/>
    <w:rsid w:val="004A6F63"/>
    <w:rsid w:val="004B14B5"/>
    <w:rsid w:val="004B222D"/>
    <w:rsid w:val="004B34EA"/>
    <w:rsid w:val="004B5494"/>
    <w:rsid w:val="004B6F8F"/>
    <w:rsid w:val="004B703D"/>
    <w:rsid w:val="004B75BF"/>
    <w:rsid w:val="004B7B6A"/>
    <w:rsid w:val="004C2EA3"/>
    <w:rsid w:val="004C39C0"/>
    <w:rsid w:val="004C3B9A"/>
    <w:rsid w:val="004C473F"/>
    <w:rsid w:val="004C50D6"/>
    <w:rsid w:val="004C56E0"/>
    <w:rsid w:val="004C694D"/>
    <w:rsid w:val="004C773A"/>
    <w:rsid w:val="004C79C4"/>
    <w:rsid w:val="004C7D3A"/>
    <w:rsid w:val="004D01E1"/>
    <w:rsid w:val="004D099F"/>
    <w:rsid w:val="004D0C04"/>
    <w:rsid w:val="004D149A"/>
    <w:rsid w:val="004D2B0B"/>
    <w:rsid w:val="004D3305"/>
    <w:rsid w:val="004D39D5"/>
    <w:rsid w:val="004D3AF6"/>
    <w:rsid w:val="004D3CC9"/>
    <w:rsid w:val="004D5ABE"/>
    <w:rsid w:val="004D681D"/>
    <w:rsid w:val="004D68B8"/>
    <w:rsid w:val="004D78E2"/>
    <w:rsid w:val="004D7AEA"/>
    <w:rsid w:val="004D7F46"/>
    <w:rsid w:val="004E356E"/>
    <w:rsid w:val="004E49A3"/>
    <w:rsid w:val="004E5694"/>
    <w:rsid w:val="004F0482"/>
    <w:rsid w:val="004F06AC"/>
    <w:rsid w:val="004F07FC"/>
    <w:rsid w:val="004F0A26"/>
    <w:rsid w:val="004F12FE"/>
    <w:rsid w:val="004F1344"/>
    <w:rsid w:val="004F2F16"/>
    <w:rsid w:val="004F40DC"/>
    <w:rsid w:val="004F4853"/>
    <w:rsid w:val="004F6575"/>
    <w:rsid w:val="004F724A"/>
    <w:rsid w:val="00500211"/>
    <w:rsid w:val="0050084E"/>
    <w:rsid w:val="005014CE"/>
    <w:rsid w:val="00501630"/>
    <w:rsid w:val="005016AC"/>
    <w:rsid w:val="005016D4"/>
    <w:rsid w:val="005018A8"/>
    <w:rsid w:val="00501A84"/>
    <w:rsid w:val="00503A03"/>
    <w:rsid w:val="005048C9"/>
    <w:rsid w:val="00505A39"/>
    <w:rsid w:val="005070E5"/>
    <w:rsid w:val="005079D9"/>
    <w:rsid w:val="005122D8"/>
    <w:rsid w:val="0051261E"/>
    <w:rsid w:val="00512B33"/>
    <w:rsid w:val="00513316"/>
    <w:rsid w:val="00513824"/>
    <w:rsid w:val="00515410"/>
    <w:rsid w:val="0051566C"/>
    <w:rsid w:val="005159E5"/>
    <w:rsid w:val="00515E91"/>
    <w:rsid w:val="005162FA"/>
    <w:rsid w:val="00517190"/>
    <w:rsid w:val="0052151C"/>
    <w:rsid w:val="005217F3"/>
    <w:rsid w:val="005224B2"/>
    <w:rsid w:val="005227EC"/>
    <w:rsid w:val="0052344F"/>
    <w:rsid w:val="00523C5F"/>
    <w:rsid w:val="005240BF"/>
    <w:rsid w:val="005244D3"/>
    <w:rsid w:val="00524DD0"/>
    <w:rsid w:val="00526B81"/>
    <w:rsid w:val="00531003"/>
    <w:rsid w:val="005312BB"/>
    <w:rsid w:val="005329DF"/>
    <w:rsid w:val="00534676"/>
    <w:rsid w:val="00534D0A"/>
    <w:rsid w:val="00535347"/>
    <w:rsid w:val="0053596C"/>
    <w:rsid w:val="005366CD"/>
    <w:rsid w:val="00537C12"/>
    <w:rsid w:val="00537E87"/>
    <w:rsid w:val="00537F06"/>
    <w:rsid w:val="0054003D"/>
    <w:rsid w:val="0054074D"/>
    <w:rsid w:val="00542093"/>
    <w:rsid w:val="0054264D"/>
    <w:rsid w:val="00542826"/>
    <w:rsid w:val="00543A73"/>
    <w:rsid w:val="00544052"/>
    <w:rsid w:val="0054518D"/>
    <w:rsid w:val="00545491"/>
    <w:rsid w:val="00545858"/>
    <w:rsid w:val="005466C3"/>
    <w:rsid w:val="00547C1F"/>
    <w:rsid w:val="00547D9F"/>
    <w:rsid w:val="00550887"/>
    <w:rsid w:val="00551656"/>
    <w:rsid w:val="0055188C"/>
    <w:rsid w:val="00551CAD"/>
    <w:rsid w:val="00551FD4"/>
    <w:rsid w:val="005531A5"/>
    <w:rsid w:val="005538C5"/>
    <w:rsid w:val="0055427F"/>
    <w:rsid w:val="00554380"/>
    <w:rsid w:val="00555127"/>
    <w:rsid w:val="0055547D"/>
    <w:rsid w:val="0055683D"/>
    <w:rsid w:val="0055750B"/>
    <w:rsid w:val="00560775"/>
    <w:rsid w:val="00560AE1"/>
    <w:rsid w:val="00561C1A"/>
    <w:rsid w:val="00562BC7"/>
    <w:rsid w:val="00562F5D"/>
    <w:rsid w:val="00563547"/>
    <w:rsid w:val="00563E14"/>
    <w:rsid w:val="005648CA"/>
    <w:rsid w:val="005649DF"/>
    <w:rsid w:val="00564C9D"/>
    <w:rsid w:val="005659BF"/>
    <w:rsid w:val="00565B08"/>
    <w:rsid w:val="00567719"/>
    <w:rsid w:val="00567B53"/>
    <w:rsid w:val="0057191A"/>
    <w:rsid w:val="00571F7F"/>
    <w:rsid w:val="005723D2"/>
    <w:rsid w:val="005723F3"/>
    <w:rsid w:val="00572F34"/>
    <w:rsid w:val="00573DB5"/>
    <w:rsid w:val="00573FCB"/>
    <w:rsid w:val="0057440F"/>
    <w:rsid w:val="00574598"/>
    <w:rsid w:val="00575166"/>
    <w:rsid w:val="00575AA4"/>
    <w:rsid w:val="005760B6"/>
    <w:rsid w:val="00576121"/>
    <w:rsid w:val="00576272"/>
    <w:rsid w:val="0057670D"/>
    <w:rsid w:val="00577C28"/>
    <w:rsid w:val="00577F20"/>
    <w:rsid w:val="005807DD"/>
    <w:rsid w:val="00582369"/>
    <w:rsid w:val="00584886"/>
    <w:rsid w:val="00584E20"/>
    <w:rsid w:val="00584EA1"/>
    <w:rsid w:val="00585390"/>
    <w:rsid w:val="0058674F"/>
    <w:rsid w:val="00586879"/>
    <w:rsid w:val="00591340"/>
    <w:rsid w:val="005917F4"/>
    <w:rsid w:val="00591F24"/>
    <w:rsid w:val="00592346"/>
    <w:rsid w:val="005939A5"/>
    <w:rsid w:val="005939D8"/>
    <w:rsid w:val="00593EA2"/>
    <w:rsid w:val="00594AFC"/>
    <w:rsid w:val="00594B2B"/>
    <w:rsid w:val="0059757B"/>
    <w:rsid w:val="005979A0"/>
    <w:rsid w:val="005A0108"/>
    <w:rsid w:val="005A148C"/>
    <w:rsid w:val="005A4255"/>
    <w:rsid w:val="005A434D"/>
    <w:rsid w:val="005A50BC"/>
    <w:rsid w:val="005A5290"/>
    <w:rsid w:val="005A54F4"/>
    <w:rsid w:val="005A60F6"/>
    <w:rsid w:val="005A635F"/>
    <w:rsid w:val="005A7D88"/>
    <w:rsid w:val="005B16CC"/>
    <w:rsid w:val="005B25B8"/>
    <w:rsid w:val="005B283C"/>
    <w:rsid w:val="005B312C"/>
    <w:rsid w:val="005B37BC"/>
    <w:rsid w:val="005B386F"/>
    <w:rsid w:val="005B3EA3"/>
    <w:rsid w:val="005B4485"/>
    <w:rsid w:val="005B4FC4"/>
    <w:rsid w:val="005B57BB"/>
    <w:rsid w:val="005B619F"/>
    <w:rsid w:val="005B6720"/>
    <w:rsid w:val="005B6810"/>
    <w:rsid w:val="005B6B88"/>
    <w:rsid w:val="005B71B4"/>
    <w:rsid w:val="005B752E"/>
    <w:rsid w:val="005B79C5"/>
    <w:rsid w:val="005C097C"/>
    <w:rsid w:val="005C1131"/>
    <w:rsid w:val="005C13DF"/>
    <w:rsid w:val="005C17A5"/>
    <w:rsid w:val="005C273A"/>
    <w:rsid w:val="005C306F"/>
    <w:rsid w:val="005C46C9"/>
    <w:rsid w:val="005C51BC"/>
    <w:rsid w:val="005C6ADA"/>
    <w:rsid w:val="005D18A7"/>
    <w:rsid w:val="005D1A38"/>
    <w:rsid w:val="005D1CE7"/>
    <w:rsid w:val="005D2296"/>
    <w:rsid w:val="005D39D0"/>
    <w:rsid w:val="005D3B42"/>
    <w:rsid w:val="005D45D3"/>
    <w:rsid w:val="005D5436"/>
    <w:rsid w:val="005D7726"/>
    <w:rsid w:val="005E26F2"/>
    <w:rsid w:val="005E2D6D"/>
    <w:rsid w:val="005E3A69"/>
    <w:rsid w:val="005E3B63"/>
    <w:rsid w:val="005E3C1D"/>
    <w:rsid w:val="005E50DA"/>
    <w:rsid w:val="005E76D7"/>
    <w:rsid w:val="005F06BE"/>
    <w:rsid w:val="005F1EF0"/>
    <w:rsid w:val="005F2309"/>
    <w:rsid w:val="005F251F"/>
    <w:rsid w:val="005F2E97"/>
    <w:rsid w:val="005F463E"/>
    <w:rsid w:val="005F5142"/>
    <w:rsid w:val="005F53B4"/>
    <w:rsid w:val="005F5F90"/>
    <w:rsid w:val="005F638C"/>
    <w:rsid w:val="005F68AB"/>
    <w:rsid w:val="005F699F"/>
    <w:rsid w:val="005F6B5E"/>
    <w:rsid w:val="005F7BC4"/>
    <w:rsid w:val="00602A4B"/>
    <w:rsid w:val="00602B1B"/>
    <w:rsid w:val="006050BD"/>
    <w:rsid w:val="006051E9"/>
    <w:rsid w:val="00605608"/>
    <w:rsid w:val="0060640A"/>
    <w:rsid w:val="00606729"/>
    <w:rsid w:val="0060721A"/>
    <w:rsid w:val="00607457"/>
    <w:rsid w:val="00607BF0"/>
    <w:rsid w:val="006107C7"/>
    <w:rsid w:val="00610AB0"/>
    <w:rsid w:val="0061199F"/>
    <w:rsid w:val="00612E62"/>
    <w:rsid w:val="006136E3"/>
    <w:rsid w:val="00613E3E"/>
    <w:rsid w:val="00614418"/>
    <w:rsid w:val="00614F30"/>
    <w:rsid w:val="00615394"/>
    <w:rsid w:val="00616EFF"/>
    <w:rsid w:val="0061773F"/>
    <w:rsid w:val="0062025B"/>
    <w:rsid w:val="006203F8"/>
    <w:rsid w:val="006219AE"/>
    <w:rsid w:val="00621EE3"/>
    <w:rsid w:val="0062284D"/>
    <w:rsid w:val="00622E42"/>
    <w:rsid w:val="00623535"/>
    <w:rsid w:val="006236D7"/>
    <w:rsid w:val="006244E4"/>
    <w:rsid w:val="00625DAF"/>
    <w:rsid w:val="00625E67"/>
    <w:rsid w:val="0062789B"/>
    <w:rsid w:val="0063057B"/>
    <w:rsid w:val="00632207"/>
    <w:rsid w:val="00632468"/>
    <w:rsid w:val="00633C63"/>
    <w:rsid w:val="0063491C"/>
    <w:rsid w:val="0063515D"/>
    <w:rsid w:val="00635306"/>
    <w:rsid w:val="006354DB"/>
    <w:rsid w:val="006355DD"/>
    <w:rsid w:val="00635A70"/>
    <w:rsid w:val="00636466"/>
    <w:rsid w:val="00636E1E"/>
    <w:rsid w:val="006400AB"/>
    <w:rsid w:val="006407A5"/>
    <w:rsid w:val="00640B54"/>
    <w:rsid w:val="00640E57"/>
    <w:rsid w:val="006422E5"/>
    <w:rsid w:val="00642AE9"/>
    <w:rsid w:val="006432AF"/>
    <w:rsid w:val="006439F1"/>
    <w:rsid w:val="0064492A"/>
    <w:rsid w:val="00644AFF"/>
    <w:rsid w:val="00646E17"/>
    <w:rsid w:val="0064704B"/>
    <w:rsid w:val="00652344"/>
    <w:rsid w:val="00655EDD"/>
    <w:rsid w:val="00656A72"/>
    <w:rsid w:val="00662732"/>
    <w:rsid w:val="00664478"/>
    <w:rsid w:val="00664CC4"/>
    <w:rsid w:val="00664DE1"/>
    <w:rsid w:val="00665F5A"/>
    <w:rsid w:val="006676AA"/>
    <w:rsid w:val="00667C2A"/>
    <w:rsid w:val="00667CDC"/>
    <w:rsid w:val="006702C7"/>
    <w:rsid w:val="00670456"/>
    <w:rsid w:val="006707C7"/>
    <w:rsid w:val="006725C2"/>
    <w:rsid w:val="00673A1C"/>
    <w:rsid w:val="00674689"/>
    <w:rsid w:val="0067589C"/>
    <w:rsid w:val="00676106"/>
    <w:rsid w:val="00677495"/>
    <w:rsid w:val="00677F85"/>
    <w:rsid w:val="00677FCB"/>
    <w:rsid w:val="0068061A"/>
    <w:rsid w:val="006807F9"/>
    <w:rsid w:val="00680957"/>
    <w:rsid w:val="006812C1"/>
    <w:rsid w:val="00681C23"/>
    <w:rsid w:val="006820F9"/>
    <w:rsid w:val="00683AD5"/>
    <w:rsid w:val="00685F8A"/>
    <w:rsid w:val="0068666C"/>
    <w:rsid w:val="00686996"/>
    <w:rsid w:val="006905A4"/>
    <w:rsid w:val="00690F76"/>
    <w:rsid w:val="00691103"/>
    <w:rsid w:val="006915CE"/>
    <w:rsid w:val="00691B26"/>
    <w:rsid w:val="00693BFC"/>
    <w:rsid w:val="006946C4"/>
    <w:rsid w:val="00696C3D"/>
    <w:rsid w:val="00697641"/>
    <w:rsid w:val="006A0FBF"/>
    <w:rsid w:val="006A22C6"/>
    <w:rsid w:val="006A24CC"/>
    <w:rsid w:val="006A43AA"/>
    <w:rsid w:val="006A440A"/>
    <w:rsid w:val="006A6F64"/>
    <w:rsid w:val="006B0209"/>
    <w:rsid w:val="006B14C9"/>
    <w:rsid w:val="006B1898"/>
    <w:rsid w:val="006B321D"/>
    <w:rsid w:val="006B39E6"/>
    <w:rsid w:val="006B3D8D"/>
    <w:rsid w:val="006B50EE"/>
    <w:rsid w:val="006B6391"/>
    <w:rsid w:val="006B66E4"/>
    <w:rsid w:val="006C04D2"/>
    <w:rsid w:val="006C081F"/>
    <w:rsid w:val="006C090F"/>
    <w:rsid w:val="006C2005"/>
    <w:rsid w:val="006C2174"/>
    <w:rsid w:val="006C2187"/>
    <w:rsid w:val="006C2D24"/>
    <w:rsid w:val="006C3655"/>
    <w:rsid w:val="006C4254"/>
    <w:rsid w:val="006C4884"/>
    <w:rsid w:val="006C48F3"/>
    <w:rsid w:val="006C4E5C"/>
    <w:rsid w:val="006C4F28"/>
    <w:rsid w:val="006C5360"/>
    <w:rsid w:val="006C727B"/>
    <w:rsid w:val="006D0F92"/>
    <w:rsid w:val="006D110F"/>
    <w:rsid w:val="006D119E"/>
    <w:rsid w:val="006D180D"/>
    <w:rsid w:val="006D1C78"/>
    <w:rsid w:val="006D31E0"/>
    <w:rsid w:val="006D3B88"/>
    <w:rsid w:val="006D3CA9"/>
    <w:rsid w:val="006D40B5"/>
    <w:rsid w:val="006D465A"/>
    <w:rsid w:val="006D7382"/>
    <w:rsid w:val="006D7E2B"/>
    <w:rsid w:val="006E0457"/>
    <w:rsid w:val="006E0DF9"/>
    <w:rsid w:val="006E1B69"/>
    <w:rsid w:val="006E1E6D"/>
    <w:rsid w:val="006E284E"/>
    <w:rsid w:val="006E4509"/>
    <w:rsid w:val="006E5E28"/>
    <w:rsid w:val="006E5FCF"/>
    <w:rsid w:val="006E6574"/>
    <w:rsid w:val="006E6CCE"/>
    <w:rsid w:val="006F00DB"/>
    <w:rsid w:val="006F0FB8"/>
    <w:rsid w:val="006F104B"/>
    <w:rsid w:val="006F1E52"/>
    <w:rsid w:val="006F1EB7"/>
    <w:rsid w:val="006F2FD3"/>
    <w:rsid w:val="00706476"/>
    <w:rsid w:val="007065E6"/>
    <w:rsid w:val="0070690E"/>
    <w:rsid w:val="00710C11"/>
    <w:rsid w:val="00711295"/>
    <w:rsid w:val="00711C45"/>
    <w:rsid w:val="00712D9F"/>
    <w:rsid w:val="00712FA3"/>
    <w:rsid w:val="00713E95"/>
    <w:rsid w:val="00714CF2"/>
    <w:rsid w:val="0071532D"/>
    <w:rsid w:val="00715474"/>
    <w:rsid w:val="007156B9"/>
    <w:rsid w:val="00715982"/>
    <w:rsid w:val="00715FC7"/>
    <w:rsid w:val="00717D6C"/>
    <w:rsid w:val="00720817"/>
    <w:rsid w:val="00722060"/>
    <w:rsid w:val="00722850"/>
    <w:rsid w:val="00723CA4"/>
    <w:rsid w:val="00723E53"/>
    <w:rsid w:val="00725BB8"/>
    <w:rsid w:val="00726607"/>
    <w:rsid w:val="007274D8"/>
    <w:rsid w:val="00731B47"/>
    <w:rsid w:val="0073353F"/>
    <w:rsid w:val="00735F92"/>
    <w:rsid w:val="007365C0"/>
    <w:rsid w:val="00736D23"/>
    <w:rsid w:val="00736E29"/>
    <w:rsid w:val="00736EF4"/>
    <w:rsid w:val="007373B3"/>
    <w:rsid w:val="00741140"/>
    <w:rsid w:val="00742397"/>
    <w:rsid w:val="00742A04"/>
    <w:rsid w:val="00742E45"/>
    <w:rsid w:val="007435C7"/>
    <w:rsid w:val="007440B4"/>
    <w:rsid w:val="0074435F"/>
    <w:rsid w:val="007447AF"/>
    <w:rsid w:val="00745434"/>
    <w:rsid w:val="007469DD"/>
    <w:rsid w:val="007507D5"/>
    <w:rsid w:val="00750816"/>
    <w:rsid w:val="00750DE6"/>
    <w:rsid w:val="00752366"/>
    <w:rsid w:val="00754F2A"/>
    <w:rsid w:val="007563E7"/>
    <w:rsid w:val="00756421"/>
    <w:rsid w:val="00757B45"/>
    <w:rsid w:val="00762056"/>
    <w:rsid w:val="00762178"/>
    <w:rsid w:val="007625BB"/>
    <w:rsid w:val="00763113"/>
    <w:rsid w:val="00764614"/>
    <w:rsid w:val="0076533A"/>
    <w:rsid w:val="007656B0"/>
    <w:rsid w:val="007657C1"/>
    <w:rsid w:val="00765D3A"/>
    <w:rsid w:val="0076612A"/>
    <w:rsid w:val="00766B3C"/>
    <w:rsid w:val="00766CF4"/>
    <w:rsid w:val="00767A4D"/>
    <w:rsid w:val="00770946"/>
    <w:rsid w:val="00771AC2"/>
    <w:rsid w:val="00771E5D"/>
    <w:rsid w:val="00772D88"/>
    <w:rsid w:val="00772DFE"/>
    <w:rsid w:val="0077413C"/>
    <w:rsid w:val="0077485F"/>
    <w:rsid w:val="00776059"/>
    <w:rsid w:val="00777061"/>
    <w:rsid w:val="00782EF1"/>
    <w:rsid w:val="00783F51"/>
    <w:rsid w:val="007851E9"/>
    <w:rsid w:val="007862C6"/>
    <w:rsid w:val="00787D21"/>
    <w:rsid w:val="00790406"/>
    <w:rsid w:val="00790E76"/>
    <w:rsid w:val="007917D6"/>
    <w:rsid w:val="007918E0"/>
    <w:rsid w:val="00791ED8"/>
    <w:rsid w:val="00792693"/>
    <w:rsid w:val="00793DCD"/>
    <w:rsid w:val="007954B8"/>
    <w:rsid w:val="007A03AB"/>
    <w:rsid w:val="007A131F"/>
    <w:rsid w:val="007A2367"/>
    <w:rsid w:val="007A2611"/>
    <w:rsid w:val="007A26C6"/>
    <w:rsid w:val="007A325C"/>
    <w:rsid w:val="007A32BD"/>
    <w:rsid w:val="007A3C01"/>
    <w:rsid w:val="007A3FB9"/>
    <w:rsid w:val="007A406D"/>
    <w:rsid w:val="007A58AE"/>
    <w:rsid w:val="007A62B0"/>
    <w:rsid w:val="007A6366"/>
    <w:rsid w:val="007B02EE"/>
    <w:rsid w:val="007B040F"/>
    <w:rsid w:val="007B12C3"/>
    <w:rsid w:val="007B37A9"/>
    <w:rsid w:val="007B5773"/>
    <w:rsid w:val="007B6A10"/>
    <w:rsid w:val="007B7FF9"/>
    <w:rsid w:val="007C0B9B"/>
    <w:rsid w:val="007C2D73"/>
    <w:rsid w:val="007C3302"/>
    <w:rsid w:val="007C37E0"/>
    <w:rsid w:val="007C3E03"/>
    <w:rsid w:val="007C4B0D"/>
    <w:rsid w:val="007C4EB6"/>
    <w:rsid w:val="007C5302"/>
    <w:rsid w:val="007C5955"/>
    <w:rsid w:val="007C5A0C"/>
    <w:rsid w:val="007C68A9"/>
    <w:rsid w:val="007C736A"/>
    <w:rsid w:val="007C7396"/>
    <w:rsid w:val="007D0D85"/>
    <w:rsid w:val="007D1157"/>
    <w:rsid w:val="007D2625"/>
    <w:rsid w:val="007D2BDB"/>
    <w:rsid w:val="007D4CA5"/>
    <w:rsid w:val="007D61CC"/>
    <w:rsid w:val="007E02D1"/>
    <w:rsid w:val="007E07F3"/>
    <w:rsid w:val="007E0FEE"/>
    <w:rsid w:val="007E2556"/>
    <w:rsid w:val="007E4C45"/>
    <w:rsid w:val="007E613A"/>
    <w:rsid w:val="007E6975"/>
    <w:rsid w:val="007E707C"/>
    <w:rsid w:val="007F0268"/>
    <w:rsid w:val="007F0A41"/>
    <w:rsid w:val="007F1D14"/>
    <w:rsid w:val="007F2017"/>
    <w:rsid w:val="007F2E01"/>
    <w:rsid w:val="007F5F3C"/>
    <w:rsid w:val="007F66B8"/>
    <w:rsid w:val="00801395"/>
    <w:rsid w:val="00801764"/>
    <w:rsid w:val="00801A1E"/>
    <w:rsid w:val="00801CD4"/>
    <w:rsid w:val="008026D2"/>
    <w:rsid w:val="00802D3C"/>
    <w:rsid w:val="00804990"/>
    <w:rsid w:val="00804E36"/>
    <w:rsid w:val="008052E5"/>
    <w:rsid w:val="008057B0"/>
    <w:rsid w:val="00806632"/>
    <w:rsid w:val="008078C5"/>
    <w:rsid w:val="00810348"/>
    <w:rsid w:val="0081193E"/>
    <w:rsid w:val="00811C1B"/>
    <w:rsid w:val="00812EBF"/>
    <w:rsid w:val="00813B7D"/>
    <w:rsid w:val="0081674F"/>
    <w:rsid w:val="00817A20"/>
    <w:rsid w:val="00817CB1"/>
    <w:rsid w:val="0082044A"/>
    <w:rsid w:val="00820CE6"/>
    <w:rsid w:val="008215F6"/>
    <w:rsid w:val="0082306B"/>
    <w:rsid w:val="00823163"/>
    <w:rsid w:val="00823DB0"/>
    <w:rsid w:val="00823E22"/>
    <w:rsid w:val="00823E75"/>
    <w:rsid w:val="00825684"/>
    <w:rsid w:val="008260B5"/>
    <w:rsid w:val="00826CE3"/>
    <w:rsid w:val="0082755F"/>
    <w:rsid w:val="008310BA"/>
    <w:rsid w:val="008312D9"/>
    <w:rsid w:val="00831875"/>
    <w:rsid w:val="00831DD7"/>
    <w:rsid w:val="00831F72"/>
    <w:rsid w:val="00833172"/>
    <w:rsid w:val="008336B0"/>
    <w:rsid w:val="008339BB"/>
    <w:rsid w:val="00834011"/>
    <w:rsid w:val="00834BEA"/>
    <w:rsid w:val="0083501B"/>
    <w:rsid w:val="00837323"/>
    <w:rsid w:val="0084241D"/>
    <w:rsid w:val="008429AD"/>
    <w:rsid w:val="00842B2F"/>
    <w:rsid w:val="00843309"/>
    <w:rsid w:val="008445BC"/>
    <w:rsid w:val="00844752"/>
    <w:rsid w:val="00845C10"/>
    <w:rsid w:val="00846212"/>
    <w:rsid w:val="0084624E"/>
    <w:rsid w:val="008464BE"/>
    <w:rsid w:val="00850E61"/>
    <w:rsid w:val="0085112B"/>
    <w:rsid w:val="00852901"/>
    <w:rsid w:val="008530EF"/>
    <w:rsid w:val="00853425"/>
    <w:rsid w:val="008548EA"/>
    <w:rsid w:val="0085659B"/>
    <w:rsid w:val="00856A87"/>
    <w:rsid w:val="00857BD2"/>
    <w:rsid w:val="0086079D"/>
    <w:rsid w:val="00860933"/>
    <w:rsid w:val="0086103C"/>
    <w:rsid w:val="00862208"/>
    <w:rsid w:val="00862DCD"/>
    <w:rsid w:val="00863770"/>
    <w:rsid w:val="00864137"/>
    <w:rsid w:val="0086419A"/>
    <w:rsid w:val="00864880"/>
    <w:rsid w:val="008649EF"/>
    <w:rsid w:val="00867AED"/>
    <w:rsid w:val="0087023B"/>
    <w:rsid w:val="00870B29"/>
    <w:rsid w:val="00870C5A"/>
    <w:rsid w:val="00870EFB"/>
    <w:rsid w:val="0087100E"/>
    <w:rsid w:val="00871EA6"/>
    <w:rsid w:val="008730EB"/>
    <w:rsid w:val="00873815"/>
    <w:rsid w:val="00874088"/>
    <w:rsid w:val="00874763"/>
    <w:rsid w:val="00874945"/>
    <w:rsid w:val="00874F20"/>
    <w:rsid w:val="00875A31"/>
    <w:rsid w:val="00876552"/>
    <w:rsid w:val="00876B1E"/>
    <w:rsid w:val="008770E1"/>
    <w:rsid w:val="008802F9"/>
    <w:rsid w:val="00880485"/>
    <w:rsid w:val="00884E5B"/>
    <w:rsid w:val="008858F1"/>
    <w:rsid w:val="008864A3"/>
    <w:rsid w:val="00887AD5"/>
    <w:rsid w:val="00887C3A"/>
    <w:rsid w:val="00887FEE"/>
    <w:rsid w:val="008905BE"/>
    <w:rsid w:val="00891688"/>
    <w:rsid w:val="008928C8"/>
    <w:rsid w:val="00892ED2"/>
    <w:rsid w:val="008934A1"/>
    <w:rsid w:val="00893AD6"/>
    <w:rsid w:val="008950DF"/>
    <w:rsid w:val="00895B78"/>
    <w:rsid w:val="0089673F"/>
    <w:rsid w:val="00896D82"/>
    <w:rsid w:val="008974BD"/>
    <w:rsid w:val="00897609"/>
    <w:rsid w:val="00897822"/>
    <w:rsid w:val="00897D85"/>
    <w:rsid w:val="008A01BB"/>
    <w:rsid w:val="008A0CA6"/>
    <w:rsid w:val="008A179F"/>
    <w:rsid w:val="008A17BD"/>
    <w:rsid w:val="008A3BAD"/>
    <w:rsid w:val="008A60E4"/>
    <w:rsid w:val="008A691C"/>
    <w:rsid w:val="008A6F5C"/>
    <w:rsid w:val="008A732B"/>
    <w:rsid w:val="008B0864"/>
    <w:rsid w:val="008B08DB"/>
    <w:rsid w:val="008B131D"/>
    <w:rsid w:val="008B1777"/>
    <w:rsid w:val="008B1DE7"/>
    <w:rsid w:val="008B56C1"/>
    <w:rsid w:val="008C2D6F"/>
    <w:rsid w:val="008C4031"/>
    <w:rsid w:val="008C5EDD"/>
    <w:rsid w:val="008C7413"/>
    <w:rsid w:val="008C751D"/>
    <w:rsid w:val="008C765C"/>
    <w:rsid w:val="008D0FDA"/>
    <w:rsid w:val="008D16B7"/>
    <w:rsid w:val="008D2813"/>
    <w:rsid w:val="008D2C85"/>
    <w:rsid w:val="008D2E49"/>
    <w:rsid w:val="008D3547"/>
    <w:rsid w:val="008D3D52"/>
    <w:rsid w:val="008D3DF4"/>
    <w:rsid w:val="008D429F"/>
    <w:rsid w:val="008D46B1"/>
    <w:rsid w:val="008D4C5D"/>
    <w:rsid w:val="008D518E"/>
    <w:rsid w:val="008D5FFF"/>
    <w:rsid w:val="008E030E"/>
    <w:rsid w:val="008E0890"/>
    <w:rsid w:val="008E0E2D"/>
    <w:rsid w:val="008E1943"/>
    <w:rsid w:val="008E19BA"/>
    <w:rsid w:val="008E6474"/>
    <w:rsid w:val="008E66F9"/>
    <w:rsid w:val="008E670E"/>
    <w:rsid w:val="008E6AE6"/>
    <w:rsid w:val="008E7BA9"/>
    <w:rsid w:val="008F0116"/>
    <w:rsid w:val="008F143D"/>
    <w:rsid w:val="008F1B40"/>
    <w:rsid w:val="008F248E"/>
    <w:rsid w:val="008F2C9B"/>
    <w:rsid w:val="008F301E"/>
    <w:rsid w:val="008F413D"/>
    <w:rsid w:val="008F499E"/>
    <w:rsid w:val="008F49E8"/>
    <w:rsid w:val="008F5DF1"/>
    <w:rsid w:val="00900C51"/>
    <w:rsid w:val="00901760"/>
    <w:rsid w:val="009034D6"/>
    <w:rsid w:val="009046FA"/>
    <w:rsid w:val="0090512A"/>
    <w:rsid w:val="00907A8A"/>
    <w:rsid w:val="009103A0"/>
    <w:rsid w:val="00910D10"/>
    <w:rsid w:val="00912DB8"/>
    <w:rsid w:val="00912F13"/>
    <w:rsid w:val="009130AA"/>
    <w:rsid w:val="009162D0"/>
    <w:rsid w:val="00921177"/>
    <w:rsid w:val="00921AD3"/>
    <w:rsid w:val="00922399"/>
    <w:rsid w:val="00923600"/>
    <w:rsid w:val="00927065"/>
    <w:rsid w:val="00927486"/>
    <w:rsid w:val="00930DFD"/>
    <w:rsid w:val="009313FB"/>
    <w:rsid w:val="009318EE"/>
    <w:rsid w:val="0093240D"/>
    <w:rsid w:val="009327B3"/>
    <w:rsid w:val="00932865"/>
    <w:rsid w:val="0093632F"/>
    <w:rsid w:val="00937638"/>
    <w:rsid w:val="00937AB4"/>
    <w:rsid w:val="0094058F"/>
    <w:rsid w:val="00940CA0"/>
    <w:rsid w:val="00946608"/>
    <w:rsid w:val="00946611"/>
    <w:rsid w:val="00947373"/>
    <w:rsid w:val="00947D93"/>
    <w:rsid w:val="00953178"/>
    <w:rsid w:val="009537E2"/>
    <w:rsid w:val="009539C2"/>
    <w:rsid w:val="00953C68"/>
    <w:rsid w:val="00953E7A"/>
    <w:rsid w:val="00954F0F"/>
    <w:rsid w:val="00955817"/>
    <w:rsid w:val="00957706"/>
    <w:rsid w:val="00961797"/>
    <w:rsid w:val="00963268"/>
    <w:rsid w:val="00964BCD"/>
    <w:rsid w:val="0096518E"/>
    <w:rsid w:val="00966558"/>
    <w:rsid w:val="00967C75"/>
    <w:rsid w:val="00967CDF"/>
    <w:rsid w:val="009707CB"/>
    <w:rsid w:val="009710AA"/>
    <w:rsid w:val="00971E1E"/>
    <w:rsid w:val="00972624"/>
    <w:rsid w:val="00973940"/>
    <w:rsid w:val="00974343"/>
    <w:rsid w:val="00974435"/>
    <w:rsid w:val="00976E23"/>
    <w:rsid w:val="0097720E"/>
    <w:rsid w:val="00977583"/>
    <w:rsid w:val="0098046D"/>
    <w:rsid w:val="0098109B"/>
    <w:rsid w:val="0098138E"/>
    <w:rsid w:val="0098140B"/>
    <w:rsid w:val="009818EF"/>
    <w:rsid w:val="0098218B"/>
    <w:rsid w:val="00982A00"/>
    <w:rsid w:val="00983B6B"/>
    <w:rsid w:val="00985817"/>
    <w:rsid w:val="0098655A"/>
    <w:rsid w:val="0098742E"/>
    <w:rsid w:val="00990FFA"/>
    <w:rsid w:val="0099177E"/>
    <w:rsid w:val="00992160"/>
    <w:rsid w:val="009928DD"/>
    <w:rsid w:val="00992D10"/>
    <w:rsid w:val="009937DD"/>
    <w:rsid w:val="00997088"/>
    <w:rsid w:val="00997AED"/>
    <w:rsid w:val="009A0290"/>
    <w:rsid w:val="009A0E76"/>
    <w:rsid w:val="009A0F2A"/>
    <w:rsid w:val="009A28B2"/>
    <w:rsid w:val="009A2E71"/>
    <w:rsid w:val="009A349E"/>
    <w:rsid w:val="009A38BC"/>
    <w:rsid w:val="009A4253"/>
    <w:rsid w:val="009A54CF"/>
    <w:rsid w:val="009A6BA5"/>
    <w:rsid w:val="009B177D"/>
    <w:rsid w:val="009B1A24"/>
    <w:rsid w:val="009B1A7E"/>
    <w:rsid w:val="009B3370"/>
    <w:rsid w:val="009B613C"/>
    <w:rsid w:val="009B66A6"/>
    <w:rsid w:val="009B69A4"/>
    <w:rsid w:val="009B732F"/>
    <w:rsid w:val="009C00B8"/>
    <w:rsid w:val="009C0272"/>
    <w:rsid w:val="009C07E1"/>
    <w:rsid w:val="009C0D6D"/>
    <w:rsid w:val="009C147C"/>
    <w:rsid w:val="009C1871"/>
    <w:rsid w:val="009C29F2"/>
    <w:rsid w:val="009C3EA9"/>
    <w:rsid w:val="009C5A4A"/>
    <w:rsid w:val="009C613E"/>
    <w:rsid w:val="009C6D70"/>
    <w:rsid w:val="009D1B72"/>
    <w:rsid w:val="009D3F2F"/>
    <w:rsid w:val="009D4543"/>
    <w:rsid w:val="009D4784"/>
    <w:rsid w:val="009D4C01"/>
    <w:rsid w:val="009D4F0B"/>
    <w:rsid w:val="009D5036"/>
    <w:rsid w:val="009D5558"/>
    <w:rsid w:val="009D5EDD"/>
    <w:rsid w:val="009D5F91"/>
    <w:rsid w:val="009D62D0"/>
    <w:rsid w:val="009E0EB1"/>
    <w:rsid w:val="009E1F87"/>
    <w:rsid w:val="009E246D"/>
    <w:rsid w:val="009E2DDD"/>
    <w:rsid w:val="009E3091"/>
    <w:rsid w:val="009E3DE0"/>
    <w:rsid w:val="009E4FE8"/>
    <w:rsid w:val="009E647E"/>
    <w:rsid w:val="009E7199"/>
    <w:rsid w:val="009E7C7F"/>
    <w:rsid w:val="009F09D2"/>
    <w:rsid w:val="009F0BB7"/>
    <w:rsid w:val="009F1FB4"/>
    <w:rsid w:val="009F2473"/>
    <w:rsid w:val="009F31D5"/>
    <w:rsid w:val="009F3B42"/>
    <w:rsid w:val="009F3C32"/>
    <w:rsid w:val="009F4DDD"/>
    <w:rsid w:val="009F53CC"/>
    <w:rsid w:val="009F7447"/>
    <w:rsid w:val="00A011BC"/>
    <w:rsid w:val="00A01B8D"/>
    <w:rsid w:val="00A0240B"/>
    <w:rsid w:val="00A040FF"/>
    <w:rsid w:val="00A042CD"/>
    <w:rsid w:val="00A04707"/>
    <w:rsid w:val="00A04B5B"/>
    <w:rsid w:val="00A054BC"/>
    <w:rsid w:val="00A06684"/>
    <w:rsid w:val="00A06E4B"/>
    <w:rsid w:val="00A07498"/>
    <w:rsid w:val="00A11FC2"/>
    <w:rsid w:val="00A12A25"/>
    <w:rsid w:val="00A14514"/>
    <w:rsid w:val="00A14ED4"/>
    <w:rsid w:val="00A154DD"/>
    <w:rsid w:val="00A164A6"/>
    <w:rsid w:val="00A1671D"/>
    <w:rsid w:val="00A17ADE"/>
    <w:rsid w:val="00A17CE0"/>
    <w:rsid w:val="00A201C1"/>
    <w:rsid w:val="00A20E40"/>
    <w:rsid w:val="00A2388E"/>
    <w:rsid w:val="00A23C2D"/>
    <w:rsid w:val="00A243B9"/>
    <w:rsid w:val="00A25715"/>
    <w:rsid w:val="00A26626"/>
    <w:rsid w:val="00A30551"/>
    <w:rsid w:val="00A32B25"/>
    <w:rsid w:val="00A337B9"/>
    <w:rsid w:val="00A341AA"/>
    <w:rsid w:val="00A34BE6"/>
    <w:rsid w:val="00A34DB5"/>
    <w:rsid w:val="00A357D3"/>
    <w:rsid w:val="00A35842"/>
    <w:rsid w:val="00A36752"/>
    <w:rsid w:val="00A416F8"/>
    <w:rsid w:val="00A42306"/>
    <w:rsid w:val="00A44633"/>
    <w:rsid w:val="00A448BC"/>
    <w:rsid w:val="00A44B83"/>
    <w:rsid w:val="00A451D8"/>
    <w:rsid w:val="00A45E3A"/>
    <w:rsid w:val="00A468D6"/>
    <w:rsid w:val="00A4774C"/>
    <w:rsid w:val="00A4777C"/>
    <w:rsid w:val="00A47FE3"/>
    <w:rsid w:val="00A50617"/>
    <w:rsid w:val="00A51692"/>
    <w:rsid w:val="00A518A7"/>
    <w:rsid w:val="00A53A6B"/>
    <w:rsid w:val="00A5562E"/>
    <w:rsid w:val="00A55ACD"/>
    <w:rsid w:val="00A57BB5"/>
    <w:rsid w:val="00A6015D"/>
    <w:rsid w:val="00A60D21"/>
    <w:rsid w:val="00A618D1"/>
    <w:rsid w:val="00A61A00"/>
    <w:rsid w:val="00A65BB1"/>
    <w:rsid w:val="00A65C36"/>
    <w:rsid w:val="00A6670B"/>
    <w:rsid w:val="00A66A1B"/>
    <w:rsid w:val="00A67C89"/>
    <w:rsid w:val="00A7041E"/>
    <w:rsid w:val="00A70656"/>
    <w:rsid w:val="00A70ADF"/>
    <w:rsid w:val="00A7211D"/>
    <w:rsid w:val="00A72991"/>
    <w:rsid w:val="00A72CAB"/>
    <w:rsid w:val="00A74794"/>
    <w:rsid w:val="00A74DE6"/>
    <w:rsid w:val="00A752F7"/>
    <w:rsid w:val="00A779B8"/>
    <w:rsid w:val="00A816A0"/>
    <w:rsid w:val="00A81C01"/>
    <w:rsid w:val="00A8207C"/>
    <w:rsid w:val="00A82B24"/>
    <w:rsid w:val="00A837E1"/>
    <w:rsid w:val="00A8455F"/>
    <w:rsid w:val="00A85774"/>
    <w:rsid w:val="00A85D26"/>
    <w:rsid w:val="00A8678C"/>
    <w:rsid w:val="00A87B1B"/>
    <w:rsid w:val="00A87F21"/>
    <w:rsid w:val="00A87F48"/>
    <w:rsid w:val="00A924FC"/>
    <w:rsid w:val="00A9338F"/>
    <w:rsid w:val="00A939DF"/>
    <w:rsid w:val="00A94681"/>
    <w:rsid w:val="00A94B93"/>
    <w:rsid w:val="00A96DD9"/>
    <w:rsid w:val="00A9787B"/>
    <w:rsid w:val="00AA1590"/>
    <w:rsid w:val="00AA165F"/>
    <w:rsid w:val="00AA1E1D"/>
    <w:rsid w:val="00AA306C"/>
    <w:rsid w:val="00AA3AB7"/>
    <w:rsid w:val="00AA52A6"/>
    <w:rsid w:val="00AA6F0F"/>
    <w:rsid w:val="00AA7792"/>
    <w:rsid w:val="00AA7B9A"/>
    <w:rsid w:val="00AB0202"/>
    <w:rsid w:val="00AB1CD4"/>
    <w:rsid w:val="00AB218B"/>
    <w:rsid w:val="00AB2B66"/>
    <w:rsid w:val="00AB41AB"/>
    <w:rsid w:val="00AB4F15"/>
    <w:rsid w:val="00AB5E86"/>
    <w:rsid w:val="00AB707D"/>
    <w:rsid w:val="00AB7889"/>
    <w:rsid w:val="00AB7AD2"/>
    <w:rsid w:val="00AC0630"/>
    <w:rsid w:val="00AC0CBA"/>
    <w:rsid w:val="00AC0F03"/>
    <w:rsid w:val="00AC0FE2"/>
    <w:rsid w:val="00AC1481"/>
    <w:rsid w:val="00AC4B8F"/>
    <w:rsid w:val="00AC4D5B"/>
    <w:rsid w:val="00AC4E8E"/>
    <w:rsid w:val="00AC4EA0"/>
    <w:rsid w:val="00AC6E07"/>
    <w:rsid w:val="00AC6E4D"/>
    <w:rsid w:val="00AC783F"/>
    <w:rsid w:val="00AD0181"/>
    <w:rsid w:val="00AD0285"/>
    <w:rsid w:val="00AD1EF8"/>
    <w:rsid w:val="00AD4549"/>
    <w:rsid w:val="00AD558B"/>
    <w:rsid w:val="00AD5A9E"/>
    <w:rsid w:val="00AD5D39"/>
    <w:rsid w:val="00AD5E62"/>
    <w:rsid w:val="00AD662E"/>
    <w:rsid w:val="00AE1143"/>
    <w:rsid w:val="00AE1B29"/>
    <w:rsid w:val="00AE1F0C"/>
    <w:rsid w:val="00AE2523"/>
    <w:rsid w:val="00AE3FCA"/>
    <w:rsid w:val="00AE404B"/>
    <w:rsid w:val="00AE442B"/>
    <w:rsid w:val="00AE5704"/>
    <w:rsid w:val="00AE5CCE"/>
    <w:rsid w:val="00AE77CF"/>
    <w:rsid w:val="00AF1F39"/>
    <w:rsid w:val="00AF3E53"/>
    <w:rsid w:val="00AF4227"/>
    <w:rsid w:val="00AF42A1"/>
    <w:rsid w:val="00AF4CF4"/>
    <w:rsid w:val="00AF5543"/>
    <w:rsid w:val="00AF6468"/>
    <w:rsid w:val="00AF6FDE"/>
    <w:rsid w:val="00B00DC3"/>
    <w:rsid w:val="00B01F7E"/>
    <w:rsid w:val="00B02115"/>
    <w:rsid w:val="00B035A9"/>
    <w:rsid w:val="00B039E0"/>
    <w:rsid w:val="00B03BF5"/>
    <w:rsid w:val="00B04489"/>
    <w:rsid w:val="00B044EB"/>
    <w:rsid w:val="00B044FA"/>
    <w:rsid w:val="00B0462B"/>
    <w:rsid w:val="00B059E6"/>
    <w:rsid w:val="00B0624C"/>
    <w:rsid w:val="00B0669D"/>
    <w:rsid w:val="00B06DE9"/>
    <w:rsid w:val="00B076D3"/>
    <w:rsid w:val="00B07733"/>
    <w:rsid w:val="00B111B4"/>
    <w:rsid w:val="00B12810"/>
    <w:rsid w:val="00B12F99"/>
    <w:rsid w:val="00B13453"/>
    <w:rsid w:val="00B145AF"/>
    <w:rsid w:val="00B16719"/>
    <w:rsid w:val="00B201F2"/>
    <w:rsid w:val="00B20D4F"/>
    <w:rsid w:val="00B2195A"/>
    <w:rsid w:val="00B23B38"/>
    <w:rsid w:val="00B2500B"/>
    <w:rsid w:val="00B3087D"/>
    <w:rsid w:val="00B30FA4"/>
    <w:rsid w:val="00B34667"/>
    <w:rsid w:val="00B34794"/>
    <w:rsid w:val="00B347FF"/>
    <w:rsid w:val="00B34FB6"/>
    <w:rsid w:val="00B3519C"/>
    <w:rsid w:val="00B3632B"/>
    <w:rsid w:val="00B3697F"/>
    <w:rsid w:val="00B375ED"/>
    <w:rsid w:val="00B405B6"/>
    <w:rsid w:val="00B40C58"/>
    <w:rsid w:val="00B4190D"/>
    <w:rsid w:val="00B422E5"/>
    <w:rsid w:val="00B4288D"/>
    <w:rsid w:val="00B42942"/>
    <w:rsid w:val="00B42B1E"/>
    <w:rsid w:val="00B43917"/>
    <w:rsid w:val="00B44636"/>
    <w:rsid w:val="00B44A94"/>
    <w:rsid w:val="00B463FD"/>
    <w:rsid w:val="00B46DE5"/>
    <w:rsid w:val="00B47E30"/>
    <w:rsid w:val="00B51803"/>
    <w:rsid w:val="00B53C3D"/>
    <w:rsid w:val="00B54027"/>
    <w:rsid w:val="00B54649"/>
    <w:rsid w:val="00B54CB9"/>
    <w:rsid w:val="00B55D6F"/>
    <w:rsid w:val="00B6010F"/>
    <w:rsid w:val="00B60346"/>
    <w:rsid w:val="00B60421"/>
    <w:rsid w:val="00B604B0"/>
    <w:rsid w:val="00B60BDF"/>
    <w:rsid w:val="00B61636"/>
    <w:rsid w:val="00B616D7"/>
    <w:rsid w:val="00B61B8F"/>
    <w:rsid w:val="00B6292B"/>
    <w:rsid w:val="00B62F90"/>
    <w:rsid w:val="00B632DC"/>
    <w:rsid w:val="00B6381D"/>
    <w:rsid w:val="00B641F9"/>
    <w:rsid w:val="00B644C3"/>
    <w:rsid w:val="00B651F8"/>
    <w:rsid w:val="00B65340"/>
    <w:rsid w:val="00B657F0"/>
    <w:rsid w:val="00B6775F"/>
    <w:rsid w:val="00B67A43"/>
    <w:rsid w:val="00B70886"/>
    <w:rsid w:val="00B709B2"/>
    <w:rsid w:val="00B7166C"/>
    <w:rsid w:val="00B71FEF"/>
    <w:rsid w:val="00B7200F"/>
    <w:rsid w:val="00B75FB5"/>
    <w:rsid w:val="00B7616F"/>
    <w:rsid w:val="00B769A9"/>
    <w:rsid w:val="00B772E1"/>
    <w:rsid w:val="00B77323"/>
    <w:rsid w:val="00B77B8B"/>
    <w:rsid w:val="00B807B7"/>
    <w:rsid w:val="00B80FDD"/>
    <w:rsid w:val="00B810F8"/>
    <w:rsid w:val="00B81590"/>
    <w:rsid w:val="00B81618"/>
    <w:rsid w:val="00B81EBF"/>
    <w:rsid w:val="00B844F1"/>
    <w:rsid w:val="00B84E93"/>
    <w:rsid w:val="00B84F62"/>
    <w:rsid w:val="00B85094"/>
    <w:rsid w:val="00B852BF"/>
    <w:rsid w:val="00B86A83"/>
    <w:rsid w:val="00B870D9"/>
    <w:rsid w:val="00B876DD"/>
    <w:rsid w:val="00B90436"/>
    <w:rsid w:val="00B904AE"/>
    <w:rsid w:val="00B9058B"/>
    <w:rsid w:val="00B91EF0"/>
    <w:rsid w:val="00B92E68"/>
    <w:rsid w:val="00B93346"/>
    <w:rsid w:val="00B933EC"/>
    <w:rsid w:val="00B93B91"/>
    <w:rsid w:val="00B943D9"/>
    <w:rsid w:val="00B94EF2"/>
    <w:rsid w:val="00B951FE"/>
    <w:rsid w:val="00B95597"/>
    <w:rsid w:val="00B957EC"/>
    <w:rsid w:val="00B96E0F"/>
    <w:rsid w:val="00B97E75"/>
    <w:rsid w:val="00BA0780"/>
    <w:rsid w:val="00BA45C7"/>
    <w:rsid w:val="00BA59D8"/>
    <w:rsid w:val="00BA5D3A"/>
    <w:rsid w:val="00BA6488"/>
    <w:rsid w:val="00BA64A0"/>
    <w:rsid w:val="00BA6BC6"/>
    <w:rsid w:val="00BA7260"/>
    <w:rsid w:val="00BB0243"/>
    <w:rsid w:val="00BB0326"/>
    <w:rsid w:val="00BB055E"/>
    <w:rsid w:val="00BB087D"/>
    <w:rsid w:val="00BB0A3F"/>
    <w:rsid w:val="00BB0C97"/>
    <w:rsid w:val="00BB1C6F"/>
    <w:rsid w:val="00BB22E4"/>
    <w:rsid w:val="00BB3821"/>
    <w:rsid w:val="00BB46AD"/>
    <w:rsid w:val="00BB505E"/>
    <w:rsid w:val="00BB5D30"/>
    <w:rsid w:val="00BB6707"/>
    <w:rsid w:val="00BB69DF"/>
    <w:rsid w:val="00BB6A26"/>
    <w:rsid w:val="00BB75C5"/>
    <w:rsid w:val="00BB7615"/>
    <w:rsid w:val="00BB7A48"/>
    <w:rsid w:val="00BB7E42"/>
    <w:rsid w:val="00BC01A9"/>
    <w:rsid w:val="00BC0254"/>
    <w:rsid w:val="00BC0405"/>
    <w:rsid w:val="00BC0D32"/>
    <w:rsid w:val="00BC11BE"/>
    <w:rsid w:val="00BC1556"/>
    <w:rsid w:val="00BC18C8"/>
    <w:rsid w:val="00BC26A2"/>
    <w:rsid w:val="00BC396B"/>
    <w:rsid w:val="00BC4B56"/>
    <w:rsid w:val="00BC5C4D"/>
    <w:rsid w:val="00BC6EBA"/>
    <w:rsid w:val="00BC7261"/>
    <w:rsid w:val="00BD167F"/>
    <w:rsid w:val="00BD18A4"/>
    <w:rsid w:val="00BD35FD"/>
    <w:rsid w:val="00BD6BC3"/>
    <w:rsid w:val="00BE534A"/>
    <w:rsid w:val="00BE5E9B"/>
    <w:rsid w:val="00BE6435"/>
    <w:rsid w:val="00BE6B01"/>
    <w:rsid w:val="00BF057C"/>
    <w:rsid w:val="00BF066D"/>
    <w:rsid w:val="00BF1616"/>
    <w:rsid w:val="00BF20DB"/>
    <w:rsid w:val="00BF23D6"/>
    <w:rsid w:val="00BF2ABD"/>
    <w:rsid w:val="00BF379D"/>
    <w:rsid w:val="00BF3CFA"/>
    <w:rsid w:val="00BF4295"/>
    <w:rsid w:val="00BF46BB"/>
    <w:rsid w:val="00BF57A8"/>
    <w:rsid w:val="00BF606B"/>
    <w:rsid w:val="00BF66DF"/>
    <w:rsid w:val="00BF6BB4"/>
    <w:rsid w:val="00BF7BEF"/>
    <w:rsid w:val="00C00D71"/>
    <w:rsid w:val="00C0119B"/>
    <w:rsid w:val="00C018DA"/>
    <w:rsid w:val="00C01D2E"/>
    <w:rsid w:val="00C023EE"/>
    <w:rsid w:val="00C026A1"/>
    <w:rsid w:val="00C026B4"/>
    <w:rsid w:val="00C034F6"/>
    <w:rsid w:val="00C04F7C"/>
    <w:rsid w:val="00C068CC"/>
    <w:rsid w:val="00C06A20"/>
    <w:rsid w:val="00C07238"/>
    <w:rsid w:val="00C07CAE"/>
    <w:rsid w:val="00C100D8"/>
    <w:rsid w:val="00C10897"/>
    <w:rsid w:val="00C10B5F"/>
    <w:rsid w:val="00C10F76"/>
    <w:rsid w:val="00C10FB9"/>
    <w:rsid w:val="00C12CED"/>
    <w:rsid w:val="00C1321F"/>
    <w:rsid w:val="00C14598"/>
    <w:rsid w:val="00C15E49"/>
    <w:rsid w:val="00C16151"/>
    <w:rsid w:val="00C16417"/>
    <w:rsid w:val="00C16B39"/>
    <w:rsid w:val="00C20E86"/>
    <w:rsid w:val="00C21B90"/>
    <w:rsid w:val="00C21FB2"/>
    <w:rsid w:val="00C232D3"/>
    <w:rsid w:val="00C24022"/>
    <w:rsid w:val="00C26BCE"/>
    <w:rsid w:val="00C27A31"/>
    <w:rsid w:val="00C302B2"/>
    <w:rsid w:val="00C32288"/>
    <w:rsid w:val="00C32F63"/>
    <w:rsid w:val="00C334D5"/>
    <w:rsid w:val="00C3352B"/>
    <w:rsid w:val="00C3486B"/>
    <w:rsid w:val="00C3540A"/>
    <w:rsid w:val="00C3700C"/>
    <w:rsid w:val="00C37742"/>
    <w:rsid w:val="00C37FB2"/>
    <w:rsid w:val="00C406EF"/>
    <w:rsid w:val="00C41CC8"/>
    <w:rsid w:val="00C41E67"/>
    <w:rsid w:val="00C43526"/>
    <w:rsid w:val="00C44674"/>
    <w:rsid w:val="00C44B5D"/>
    <w:rsid w:val="00C45CEA"/>
    <w:rsid w:val="00C46A1B"/>
    <w:rsid w:val="00C503AB"/>
    <w:rsid w:val="00C514E3"/>
    <w:rsid w:val="00C53886"/>
    <w:rsid w:val="00C54BD2"/>
    <w:rsid w:val="00C54BF4"/>
    <w:rsid w:val="00C54E39"/>
    <w:rsid w:val="00C55DDE"/>
    <w:rsid w:val="00C55EFB"/>
    <w:rsid w:val="00C56A8A"/>
    <w:rsid w:val="00C571B1"/>
    <w:rsid w:val="00C57EBD"/>
    <w:rsid w:val="00C616B7"/>
    <w:rsid w:val="00C617B3"/>
    <w:rsid w:val="00C61902"/>
    <w:rsid w:val="00C61A40"/>
    <w:rsid w:val="00C62741"/>
    <w:rsid w:val="00C6295E"/>
    <w:rsid w:val="00C63336"/>
    <w:rsid w:val="00C63FCB"/>
    <w:rsid w:val="00C64A5F"/>
    <w:rsid w:val="00C64E2A"/>
    <w:rsid w:val="00C65F11"/>
    <w:rsid w:val="00C664FA"/>
    <w:rsid w:val="00C66A50"/>
    <w:rsid w:val="00C70419"/>
    <w:rsid w:val="00C70578"/>
    <w:rsid w:val="00C714AD"/>
    <w:rsid w:val="00C71D54"/>
    <w:rsid w:val="00C741D3"/>
    <w:rsid w:val="00C753F0"/>
    <w:rsid w:val="00C76B5F"/>
    <w:rsid w:val="00C76CA1"/>
    <w:rsid w:val="00C8239C"/>
    <w:rsid w:val="00C82A2A"/>
    <w:rsid w:val="00C8381C"/>
    <w:rsid w:val="00C83AAA"/>
    <w:rsid w:val="00C84368"/>
    <w:rsid w:val="00C84F68"/>
    <w:rsid w:val="00C86113"/>
    <w:rsid w:val="00C86809"/>
    <w:rsid w:val="00C913A1"/>
    <w:rsid w:val="00C91577"/>
    <w:rsid w:val="00C918A2"/>
    <w:rsid w:val="00C92093"/>
    <w:rsid w:val="00C921D3"/>
    <w:rsid w:val="00C92F72"/>
    <w:rsid w:val="00C931C1"/>
    <w:rsid w:val="00C943E8"/>
    <w:rsid w:val="00C94A21"/>
    <w:rsid w:val="00C94E9F"/>
    <w:rsid w:val="00C953A9"/>
    <w:rsid w:val="00C95F57"/>
    <w:rsid w:val="00C9673C"/>
    <w:rsid w:val="00CA01AD"/>
    <w:rsid w:val="00CA0E7F"/>
    <w:rsid w:val="00CA1B76"/>
    <w:rsid w:val="00CA1CBE"/>
    <w:rsid w:val="00CA3621"/>
    <w:rsid w:val="00CA4740"/>
    <w:rsid w:val="00CA4CD1"/>
    <w:rsid w:val="00CA57E0"/>
    <w:rsid w:val="00CA5C5A"/>
    <w:rsid w:val="00CA600D"/>
    <w:rsid w:val="00CA796C"/>
    <w:rsid w:val="00CA7A18"/>
    <w:rsid w:val="00CA7EC4"/>
    <w:rsid w:val="00CB0AC6"/>
    <w:rsid w:val="00CB2471"/>
    <w:rsid w:val="00CB2DA6"/>
    <w:rsid w:val="00CB40C7"/>
    <w:rsid w:val="00CB50E5"/>
    <w:rsid w:val="00CB51A1"/>
    <w:rsid w:val="00CB7C43"/>
    <w:rsid w:val="00CC0316"/>
    <w:rsid w:val="00CC06E3"/>
    <w:rsid w:val="00CC17D3"/>
    <w:rsid w:val="00CC2002"/>
    <w:rsid w:val="00CC23DC"/>
    <w:rsid w:val="00CC2CE1"/>
    <w:rsid w:val="00CC40B6"/>
    <w:rsid w:val="00CC43A6"/>
    <w:rsid w:val="00CC6060"/>
    <w:rsid w:val="00CC6227"/>
    <w:rsid w:val="00CC6563"/>
    <w:rsid w:val="00CC6A99"/>
    <w:rsid w:val="00CC7367"/>
    <w:rsid w:val="00CC7D44"/>
    <w:rsid w:val="00CD0DA3"/>
    <w:rsid w:val="00CD13EA"/>
    <w:rsid w:val="00CD1BCA"/>
    <w:rsid w:val="00CD1E46"/>
    <w:rsid w:val="00CD1FF6"/>
    <w:rsid w:val="00CD3997"/>
    <w:rsid w:val="00CD3EAB"/>
    <w:rsid w:val="00CD4C1F"/>
    <w:rsid w:val="00CD5067"/>
    <w:rsid w:val="00CD51FD"/>
    <w:rsid w:val="00CD659F"/>
    <w:rsid w:val="00CE0122"/>
    <w:rsid w:val="00CE0252"/>
    <w:rsid w:val="00CE0E63"/>
    <w:rsid w:val="00CE13CD"/>
    <w:rsid w:val="00CE14D3"/>
    <w:rsid w:val="00CE16D4"/>
    <w:rsid w:val="00CE1CE6"/>
    <w:rsid w:val="00CE305B"/>
    <w:rsid w:val="00CE333B"/>
    <w:rsid w:val="00CE3EC8"/>
    <w:rsid w:val="00CE47F6"/>
    <w:rsid w:val="00CE572F"/>
    <w:rsid w:val="00CE5B20"/>
    <w:rsid w:val="00CE6082"/>
    <w:rsid w:val="00CE61BD"/>
    <w:rsid w:val="00CE629F"/>
    <w:rsid w:val="00CE659F"/>
    <w:rsid w:val="00CE6851"/>
    <w:rsid w:val="00CF16EA"/>
    <w:rsid w:val="00CF2105"/>
    <w:rsid w:val="00CF21BB"/>
    <w:rsid w:val="00CF26E9"/>
    <w:rsid w:val="00CF2FA0"/>
    <w:rsid w:val="00CF3488"/>
    <w:rsid w:val="00CF35A3"/>
    <w:rsid w:val="00CF36D5"/>
    <w:rsid w:val="00CF515B"/>
    <w:rsid w:val="00CF7056"/>
    <w:rsid w:val="00D00AA3"/>
    <w:rsid w:val="00D0126C"/>
    <w:rsid w:val="00D014D1"/>
    <w:rsid w:val="00D01520"/>
    <w:rsid w:val="00D01D0A"/>
    <w:rsid w:val="00D02E81"/>
    <w:rsid w:val="00D0455F"/>
    <w:rsid w:val="00D04C6F"/>
    <w:rsid w:val="00D04F7C"/>
    <w:rsid w:val="00D04FE2"/>
    <w:rsid w:val="00D060B2"/>
    <w:rsid w:val="00D077D3"/>
    <w:rsid w:val="00D07F73"/>
    <w:rsid w:val="00D10D04"/>
    <w:rsid w:val="00D1103D"/>
    <w:rsid w:val="00D13283"/>
    <w:rsid w:val="00D1552C"/>
    <w:rsid w:val="00D170E6"/>
    <w:rsid w:val="00D2041C"/>
    <w:rsid w:val="00D20B14"/>
    <w:rsid w:val="00D21CB1"/>
    <w:rsid w:val="00D21DB8"/>
    <w:rsid w:val="00D22069"/>
    <w:rsid w:val="00D2230F"/>
    <w:rsid w:val="00D226B8"/>
    <w:rsid w:val="00D22B4D"/>
    <w:rsid w:val="00D22C6E"/>
    <w:rsid w:val="00D22D08"/>
    <w:rsid w:val="00D22DC3"/>
    <w:rsid w:val="00D25ADE"/>
    <w:rsid w:val="00D26A1A"/>
    <w:rsid w:val="00D3399F"/>
    <w:rsid w:val="00D34485"/>
    <w:rsid w:val="00D35B0D"/>
    <w:rsid w:val="00D3640B"/>
    <w:rsid w:val="00D3693C"/>
    <w:rsid w:val="00D40E21"/>
    <w:rsid w:val="00D43297"/>
    <w:rsid w:val="00D437AD"/>
    <w:rsid w:val="00D43A4B"/>
    <w:rsid w:val="00D43C71"/>
    <w:rsid w:val="00D4404C"/>
    <w:rsid w:val="00D44DB6"/>
    <w:rsid w:val="00D453DB"/>
    <w:rsid w:val="00D45527"/>
    <w:rsid w:val="00D46424"/>
    <w:rsid w:val="00D46E51"/>
    <w:rsid w:val="00D4700E"/>
    <w:rsid w:val="00D472D9"/>
    <w:rsid w:val="00D50119"/>
    <w:rsid w:val="00D5130F"/>
    <w:rsid w:val="00D51454"/>
    <w:rsid w:val="00D5162D"/>
    <w:rsid w:val="00D5355E"/>
    <w:rsid w:val="00D5470E"/>
    <w:rsid w:val="00D548F5"/>
    <w:rsid w:val="00D55BED"/>
    <w:rsid w:val="00D55D8F"/>
    <w:rsid w:val="00D56C4A"/>
    <w:rsid w:val="00D56CE4"/>
    <w:rsid w:val="00D57756"/>
    <w:rsid w:val="00D57E31"/>
    <w:rsid w:val="00D605DD"/>
    <w:rsid w:val="00D608F1"/>
    <w:rsid w:val="00D61FE7"/>
    <w:rsid w:val="00D62A3E"/>
    <w:rsid w:val="00D630E5"/>
    <w:rsid w:val="00D6353C"/>
    <w:rsid w:val="00D6444D"/>
    <w:rsid w:val="00D6564E"/>
    <w:rsid w:val="00D6753C"/>
    <w:rsid w:val="00D67667"/>
    <w:rsid w:val="00D7175B"/>
    <w:rsid w:val="00D718A1"/>
    <w:rsid w:val="00D71AEF"/>
    <w:rsid w:val="00D7255E"/>
    <w:rsid w:val="00D726D1"/>
    <w:rsid w:val="00D733B1"/>
    <w:rsid w:val="00D74B50"/>
    <w:rsid w:val="00D75A2C"/>
    <w:rsid w:val="00D75C7F"/>
    <w:rsid w:val="00D76828"/>
    <w:rsid w:val="00D8024F"/>
    <w:rsid w:val="00D8041E"/>
    <w:rsid w:val="00D805B7"/>
    <w:rsid w:val="00D80EAC"/>
    <w:rsid w:val="00D812D8"/>
    <w:rsid w:val="00D81F69"/>
    <w:rsid w:val="00D82A43"/>
    <w:rsid w:val="00D83860"/>
    <w:rsid w:val="00D848C3"/>
    <w:rsid w:val="00D8497F"/>
    <w:rsid w:val="00D85420"/>
    <w:rsid w:val="00D85A9E"/>
    <w:rsid w:val="00D85AB2"/>
    <w:rsid w:val="00D8717E"/>
    <w:rsid w:val="00D871C1"/>
    <w:rsid w:val="00D87C09"/>
    <w:rsid w:val="00D87DC3"/>
    <w:rsid w:val="00D9019F"/>
    <w:rsid w:val="00D9060C"/>
    <w:rsid w:val="00D91230"/>
    <w:rsid w:val="00D91899"/>
    <w:rsid w:val="00D91DC7"/>
    <w:rsid w:val="00D93E31"/>
    <w:rsid w:val="00D94021"/>
    <w:rsid w:val="00D9434C"/>
    <w:rsid w:val="00D94550"/>
    <w:rsid w:val="00D94A5B"/>
    <w:rsid w:val="00D954F2"/>
    <w:rsid w:val="00D9600B"/>
    <w:rsid w:val="00D97022"/>
    <w:rsid w:val="00DA1521"/>
    <w:rsid w:val="00DA264D"/>
    <w:rsid w:val="00DA2BF6"/>
    <w:rsid w:val="00DA3814"/>
    <w:rsid w:val="00DA472F"/>
    <w:rsid w:val="00DA6384"/>
    <w:rsid w:val="00DA7697"/>
    <w:rsid w:val="00DA7B5D"/>
    <w:rsid w:val="00DB03FB"/>
    <w:rsid w:val="00DB368E"/>
    <w:rsid w:val="00DB4140"/>
    <w:rsid w:val="00DB5B71"/>
    <w:rsid w:val="00DB6831"/>
    <w:rsid w:val="00DB719A"/>
    <w:rsid w:val="00DB76FC"/>
    <w:rsid w:val="00DC003B"/>
    <w:rsid w:val="00DC0A5E"/>
    <w:rsid w:val="00DC2C21"/>
    <w:rsid w:val="00DC2FBB"/>
    <w:rsid w:val="00DC5567"/>
    <w:rsid w:val="00DC5A12"/>
    <w:rsid w:val="00DC6151"/>
    <w:rsid w:val="00DC619D"/>
    <w:rsid w:val="00DC6EA1"/>
    <w:rsid w:val="00DC7217"/>
    <w:rsid w:val="00DD0BF8"/>
    <w:rsid w:val="00DD2101"/>
    <w:rsid w:val="00DD2CC0"/>
    <w:rsid w:val="00DD517A"/>
    <w:rsid w:val="00DD56F5"/>
    <w:rsid w:val="00DD6196"/>
    <w:rsid w:val="00DD7273"/>
    <w:rsid w:val="00DE036D"/>
    <w:rsid w:val="00DE04FD"/>
    <w:rsid w:val="00DE25FA"/>
    <w:rsid w:val="00DE35AC"/>
    <w:rsid w:val="00DE3B70"/>
    <w:rsid w:val="00DE561C"/>
    <w:rsid w:val="00DE61F1"/>
    <w:rsid w:val="00DE6820"/>
    <w:rsid w:val="00DE6856"/>
    <w:rsid w:val="00DF1FAF"/>
    <w:rsid w:val="00DF29E4"/>
    <w:rsid w:val="00DF309A"/>
    <w:rsid w:val="00DF331E"/>
    <w:rsid w:val="00DF53B5"/>
    <w:rsid w:val="00DF58E7"/>
    <w:rsid w:val="00DF6E94"/>
    <w:rsid w:val="00DF72DF"/>
    <w:rsid w:val="00E00412"/>
    <w:rsid w:val="00E015B3"/>
    <w:rsid w:val="00E016EA"/>
    <w:rsid w:val="00E030FC"/>
    <w:rsid w:val="00E03640"/>
    <w:rsid w:val="00E04289"/>
    <w:rsid w:val="00E04321"/>
    <w:rsid w:val="00E0435E"/>
    <w:rsid w:val="00E10434"/>
    <w:rsid w:val="00E11876"/>
    <w:rsid w:val="00E1219C"/>
    <w:rsid w:val="00E124D7"/>
    <w:rsid w:val="00E12527"/>
    <w:rsid w:val="00E12767"/>
    <w:rsid w:val="00E1629E"/>
    <w:rsid w:val="00E16360"/>
    <w:rsid w:val="00E16DA8"/>
    <w:rsid w:val="00E20B10"/>
    <w:rsid w:val="00E20B62"/>
    <w:rsid w:val="00E21ED9"/>
    <w:rsid w:val="00E22C1C"/>
    <w:rsid w:val="00E23554"/>
    <w:rsid w:val="00E23CBB"/>
    <w:rsid w:val="00E26B62"/>
    <w:rsid w:val="00E26F7E"/>
    <w:rsid w:val="00E2729F"/>
    <w:rsid w:val="00E27383"/>
    <w:rsid w:val="00E300AC"/>
    <w:rsid w:val="00E30954"/>
    <w:rsid w:val="00E30CBD"/>
    <w:rsid w:val="00E31B0D"/>
    <w:rsid w:val="00E326E6"/>
    <w:rsid w:val="00E32BF8"/>
    <w:rsid w:val="00E33666"/>
    <w:rsid w:val="00E33AD9"/>
    <w:rsid w:val="00E34891"/>
    <w:rsid w:val="00E36F05"/>
    <w:rsid w:val="00E37B59"/>
    <w:rsid w:val="00E426D7"/>
    <w:rsid w:val="00E448E3"/>
    <w:rsid w:val="00E459BA"/>
    <w:rsid w:val="00E46A40"/>
    <w:rsid w:val="00E47F03"/>
    <w:rsid w:val="00E47FC7"/>
    <w:rsid w:val="00E50AA8"/>
    <w:rsid w:val="00E510C8"/>
    <w:rsid w:val="00E51501"/>
    <w:rsid w:val="00E5179A"/>
    <w:rsid w:val="00E54769"/>
    <w:rsid w:val="00E55358"/>
    <w:rsid w:val="00E56BFC"/>
    <w:rsid w:val="00E57FE0"/>
    <w:rsid w:val="00E61B5D"/>
    <w:rsid w:val="00E62F6F"/>
    <w:rsid w:val="00E63098"/>
    <w:rsid w:val="00E648E5"/>
    <w:rsid w:val="00E65F98"/>
    <w:rsid w:val="00E67F64"/>
    <w:rsid w:val="00E67FE1"/>
    <w:rsid w:val="00E71659"/>
    <w:rsid w:val="00E73F60"/>
    <w:rsid w:val="00E73F62"/>
    <w:rsid w:val="00E74C9B"/>
    <w:rsid w:val="00E762CA"/>
    <w:rsid w:val="00E7797F"/>
    <w:rsid w:val="00E8019B"/>
    <w:rsid w:val="00E8501B"/>
    <w:rsid w:val="00E85574"/>
    <w:rsid w:val="00E85959"/>
    <w:rsid w:val="00E85F24"/>
    <w:rsid w:val="00E863CD"/>
    <w:rsid w:val="00E86588"/>
    <w:rsid w:val="00E87115"/>
    <w:rsid w:val="00E875D0"/>
    <w:rsid w:val="00E91C31"/>
    <w:rsid w:val="00E92876"/>
    <w:rsid w:val="00E93E27"/>
    <w:rsid w:val="00E9403F"/>
    <w:rsid w:val="00E944CA"/>
    <w:rsid w:val="00E94526"/>
    <w:rsid w:val="00E94C2B"/>
    <w:rsid w:val="00E94F20"/>
    <w:rsid w:val="00E9648D"/>
    <w:rsid w:val="00E9695B"/>
    <w:rsid w:val="00EA241A"/>
    <w:rsid w:val="00EA33F4"/>
    <w:rsid w:val="00EA36C6"/>
    <w:rsid w:val="00EA3ED6"/>
    <w:rsid w:val="00EA63C5"/>
    <w:rsid w:val="00EA718D"/>
    <w:rsid w:val="00EA7606"/>
    <w:rsid w:val="00EB0250"/>
    <w:rsid w:val="00EB0E44"/>
    <w:rsid w:val="00EB11A0"/>
    <w:rsid w:val="00EB2328"/>
    <w:rsid w:val="00EB3CDD"/>
    <w:rsid w:val="00EB5BE7"/>
    <w:rsid w:val="00EB5E46"/>
    <w:rsid w:val="00EB7EEC"/>
    <w:rsid w:val="00EC0260"/>
    <w:rsid w:val="00EC0DFB"/>
    <w:rsid w:val="00EC20B4"/>
    <w:rsid w:val="00EC3CA1"/>
    <w:rsid w:val="00EC4D1C"/>
    <w:rsid w:val="00EC7E33"/>
    <w:rsid w:val="00ED1A48"/>
    <w:rsid w:val="00ED22BF"/>
    <w:rsid w:val="00ED4531"/>
    <w:rsid w:val="00ED4EBF"/>
    <w:rsid w:val="00ED5725"/>
    <w:rsid w:val="00ED6765"/>
    <w:rsid w:val="00ED6D32"/>
    <w:rsid w:val="00ED7031"/>
    <w:rsid w:val="00ED748F"/>
    <w:rsid w:val="00ED7D92"/>
    <w:rsid w:val="00ED7F91"/>
    <w:rsid w:val="00EE0068"/>
    <w:rsid w:val="00EE17CA"/>
    <w:rsid w:val="00EE23D7"/>
    <w:rsid w:val="00EE2CDD"/>
    <w:rsid w:val="00EE3060"/>
    <w:rsid w:val="00EE4315"/>
    <w:rsid w:val="00EE4378"/>
    <w:rsid w:val="00EE6753"/>
    <w:rsid w:val="00EE6DF6"/>
    <w:rsid w:val="00EE6EE3"/>
    <w:rsid w:val="00EF0501"/>
    <w:rsid w:val="00EF0853"/>
    <w:rsid w:val="00EF18A2"/>
    <w:rsid w:val="00EF19BD"/>
    <w:rsid w:val="00EF1CA3"/>
    <w:rsid w:val="00EF4083"/>
    <w:rsid w:val="00EF46D7"/>
    <w:rsid w:val="00EF5B14"/>
    <w:rsid w:val="00EF5DCC"/>
    <w:rsid w:val="00EF605E"/>
    <w:rsid w:val="00EF78B1"/>
    <w:rsid w:val="00F00AD1"/>
    <w:rsid w:val="00F00DE5"/>
    <w:rsid w:val="00F01440"/>
    <w:rsid w:val="00F01989"/>
    <w:rsid w:val="00F0268A"/>
    <w:rsid w:val="00F028F4"/>
    <w:rsid w:val="00F02D6C"/>
    <w:rsid w:val="00F051F5"/>
    <w:rsid w:val="00F061FA"/>
    <w:rsid w:val="00F07BA5"/>
    <w:rsid w:val="00F1138C"/>
    <w:rsid w:val="00F117AE"/>
    <w:rsid w:val="00F11C20"/>
    <w:rsid w:val="00F1364F"/>
    <w:rsid w:val="00F1377B"/>
    <w:rsid w:val="00F13C12"/>
    <w:rsid w:val="00F142D9"/>
    <w:rsid w:val="00F14835"/>
    <w:rsid w:val="00F203F3"/>
    <w:rsid w:val="00F20931"/>
    <w:rsid w:val="00F21600"/>
    <w:rsid w:val="00F222D7"/>
    <w:rsid w:val="00F23764"/>
    <w:rsid w:val="00F239A1"/>
    <w:rsid w:val="00F23DE7"/>
    <w:rsid w:val="00F2560A"/>
    <w:rsid w:val="00F26ED3"/>
    <w:rsid w:val="00F27CE7"/>
    <w:rsid w:val="00F27EB7"/>
    <w:rsid w:val="00F27EE0"/>
    <w:rsid w:val="00F30674"/>
    <w:rsid w:val="00F30854"/>
    <w:rsid w:val="00F314BE"/>
    <w:rsid w:val="00F32716"/>
    <w:rsid w:val="00F33196"/>
    <w:rsid w:val="00F33EB2"/>
    <w:rsid w:val="00F34BF9"/>
    <w:rsid w:val="00F3587F"/>
    <w:rsid w:val="00F35F46"/>
    <w:rsid w:val="00F369F6"/>
    <w:rsid w:val="00F40140"/>
    <w:rsid w:val="00F415E1"/>
    <w:rsid w:val="00F4197A"/>
    <w:rsid w:val="00F43004"/>
    <w:rsid w:val="00F43159"/>
    <w:rsid w:val="00F43269"/>
    <w:rsid w:val="00F437C7"/>
    <w:rsid w:val="00F4422C"/>
    <w:rsid w:val="00F45DD6"/>
    <w:rsid w:val="00F45F40"/>
    <w:rsid w:val="00F4685D"/>
    <w:rsid w:val="00F46A24"/>
    <w:rsid w:val="00F50EA5"/>
    <w:rsid w:val="00F515C4"/>
    <w:rsid w:val="00F51DC7"/>
    <w:rsid w:val="00F53011"/>
    <w:rsid w:val="00F530F6"/>
    <w:rsid w:val="00F530F7"/>
    <w:rsid w:val="00F53630"/>
    <w:rsid w:val="00F53886"/>
    <w:rsid w:val="00F542C8"/>
    <w:rsid w:val="00F54F15"/>
    <w:rsid w:val="00F54FE3"/>
    <w:rsid w:val="00F55493"/>
    <w:rsid w:val="00F557A6"/>
    <w:rsid w:val="00F55DDE"/>
    <w:rsid w:val="00F60607"/>
    <w:rsid w:val="00F61148"/>
    <w:rsid w:val="00F61F97"/>
    <w:rsid w:val="00F62065"/>
    <w:rsid w:val="00F628A1"/>
    <w:rsid w:val="00F62B7A"/>
    <w:rsid w:val="00F63320"/>
    <w:rsid w:val="00F637DD"/>
    <w:rsid w:val="00F6397D"/>
    <w:rsid w:val="00F63CD8"/>
    <w:rsid w:val="00F64F48"/>
    <w:rsid w:val="00F651C3"/>
    <w:rsid w:val="00F66746"/>
    <w:rsid w:val="00F66880"/>
    <w:rsid w:val="00F70111"/>
    <w:rsid w:val="00F713F5"/>
    <w:rsid w:val="00F7293E"/>
    <w:rsid w:val="00F7385F"/>
    <w:rsid w:val="00F7545D"/>
    <w:rsid w:val="00F75715"/>
    <w:rsid w:val="00F76650"/>
    <w:rsid w:val="00F774C3"/>
    <w:rsid w:val="00F7757F"/>
    <w:rsid w:val="00F800F4"/>
    <w:rsid w:val="00F802F5"/>
    <w:rsid w:val="00F81031"/>
    <w:rsid w:val="00F81BB1"/>
    <w:rsid w:val="00F81F18"/>
    <w:rsid w:val="00F8282E"/>
    <w:rsid w:val="00F83C8A"/>
    <w:rsid w:val="00F83DCB"/>
    <w:rsid w:val="00F847B5"/>
    <w:rsid w:val="00F849E9"/>
    <w:rsid w:val="00F85838"/>
    <w:rsid w:val="00F859FD"/>
    <w:rsid w:val="00F85DE1"/>
    <w:rsid w:val="00F87838"/>
    <w:rsid w:val="00F87CE1"/>
    <w:rsid w:val="00F9102D"/>
    <w:rsid w:val="00F9187B"/>
    <w:rsid w:val="00F91BC4"/>
    <w:rsid w:val="00F920F4"/>
    <w:rsid w:val="00F92385"/>
    <w:rsid w:val="00F92723"/>
    <w:rsid w:val="00F94723"/>
    <w:rsid w:val="00F95737"/>
    <w:rsid w:val="00F95D2B"/>
    <w:rsid w:val="00F96959"/>
    <w:rsid w:val="00F96C48"/>
    <w:rsid w:val="00F9760F"/>
    <w:rsid w:val="00FA030F"/>
    <w:rsid w:val="00FA13F3"/>
    <w:rsid w:val="00FA1720"/>
    <w:rsid w:val="00FA1B4F"/>
    <w:rsid w:val="00FA1FFE"/>
    <w:rsid w:val="00FA4690"/>
    <w:rsid w:val="00FA4CD6"/>
    <w:rsid w:val="00FA60F3"/>
    <w:rsid w:val="00FA6A5A"/>
    <w:rsid w:val="00FA6D92"/>
    <w:rsid w:val="00FA7288"/>
    <w:rsid w:val="00FB145D"/>
    <w:rsid w:val="00FB17B1"/>
    <w:rsid w:val="00FB1D00"/>
    <w:rsid w:val="00FB1E4F"/>
    <w:rsid w:val="00FB3147"/>
    <w:rsid w:val="00FB47E9"/>
    <w:rsid w:val="00FB55E5"/>
    <w:rsid w:val="00FB5A2D"/>
    <w:rsid w:val="00FB6EFA"/>
    <w:rsid w:val="00FB7B56"/>
    <w:rsid w:val="00FC0801"/>
    <w:rsid w:val="00FC113E"/>
    <w:rsid w:val="00FC340E"/>
    <w:rsid w:val="00FC40DC"/>
    <w:rsid w:val="00FC47F9"/>
    <w:rsid w:val="00FC4CD3"/>
    <w:rsid w:val="00FC4DA1"/>
    <w:rsid w:val="00FC4E8A"/>
    <w:rsid w:val="00FC52E8"/>
    <w:rsid w:val="00FC5CB2"/>
    <w:rsid w:val="00FC64CF"/>
    <w:rsid w:val="00FC655C"/>
    <w:rsid w:val="00FC684C"/>
    <w:rsid w:val="00FC6E81"/>
    <w:rsid w:val="00FC7706"/>
    <w:rsid w:val="00FD0979"/>
    <w:rsid w:val="00FD097C"/>
    <w:rsid w:val="00FD2258"/>
    <w:rsid w:val="00FD2AF0"/>
    <w:rsid w:val="00FD32DB"/>
    <w:rsid w:val="00FD3B07"/>
    <w:rsid w:val="00FD4FB7"/>
    <w:rsid w:val="00FD5C45"/>
    <w:rsid w:val="00FE04E7"/>
    <w:rsid w:val="00FE179B"/>
    <w:rsid w:val="00FE2597"/>
    <w:rsid w:val="00FE2EDC"/>
    <w:rsid w:val="00FE3936"/>
    <w:rsid w:val="00FE4336"/>
    <w:rsid w:val="00FE4823"/>
    <w:rsid w:val="00FE4E46"/>
    <w:rsid w:val="00FE5580"/>
    <w:rsid w:val="00FE5703"/>
    <w:rsid w:val="00FE67EF"/>
    <w:rsid w:val="00FE79F0"/>
    <w:rsid w:val="00FF01DD"/>
    <w:rsid w:val="00FF0F7E"/>
    <w:rsid w:val="00FF110C"/>
    <w:rsid w:val="00FF1122"/>
    <w:rsid w:val="00FF1503"/>
    <w:rsid w:val="00FF19AC"/>
    <w:rsid w:val="00FF20E1"/>
    <w:rsid w:val="00FF274F"/>
    <w:rsid w:val="00FF2760"/>
    <w:rsid w:val="00FF280C"/>
    <w:rsid w:val="00FF30B2"/>
    <w:rsid w:val="00FF4290"/>
    <w:rsid w:val="00FF4D0F"/>
    <w:rsid w:val="00FF5345"/>
    <w:rsid w:val="00FF5D44"/>
    <w:rsid w:val="00FF690D"/>
    <w:rsid w:val="00FF6DCE"/>
    <w:rsid w:val="00FF7DF7"/>
    <w:rsid w:val="02C19838"/>
    <w:rsid w:val="046A9F15"/>
    <w:rsid w:val="047C0AE2"/>
    <w:rsid w:val="0683CF88"/>
    <w:rsid w:val="08DA77DA"/>
    <w:rsid w:val="0B3B053A"/>
    <w:rsid w:val="0BE7C3FD"/>
    <w:rsid w:val="103E359E"/>
    <w:rsid w:val="1051D4BE"/>
    <w:rsid w:val="204A594A"/>
    <w:rsid w:val="213C1C45"/>
    <w:rsid w:val="2216B7C7"/>
    <w:rsid w:val="25070E5E"/>
    <w:rsid w:val="251BB393"/>
    <w:rsid w:val="2838D442"/>
    <w:rsid w:val="2A3B082B"/>
    <w:rsid w:val="2D94B538"/>
    <w:rsid w:val="2F98A654"/>
    <w:rsid w:val="31B9BB80"/>
    <w:rsid w:val="32551A96"/>
    <w:rsid w:val="3558A77D"/>
    <w:rsid w:val="3AB8E4B0"/>
    <w:rsid w:val="3B805566"/>
    <w:rsid w:val="3C659476"/>
    <w:rsid w:val="3D4B1471"/>
    <w:rsid w:val="3D796F37"/>
    <w:rsid w:val="3F52E19D"/>
    <w:rsid w:val="3F649F15"/>
    <w:rsid w:val="402518CA"/>
    <w:rsid w:val="404DE8D8"/>
    <w:rsid w:val="41AA14D0"/>
    <w:rsid w:val="44958481"/>
    <w:rsid w:val="45C76666"/>
    <w:rsid w:val="45DE0CE1"/>
    <w:rsid w:val="4652D58B"/>
    <w:rsid w:val="4933E539"/>
    <w:rsid w:val="4A2CFCC6"/>
    <w:rsid w:val="4C391B3C"/>
    <w:rsid w:val="4D78BDEC"/>
    <w:rsid w:val="536A3795"/>
    <w:rsid w:val="5476FA02"/>
    <w:rsid w:val="57DBF914"/>
    <w:rsid w:val="59ACDE7F"/>
    <w:rsid w:val="5BBBFC39"/>
    <w:rsid w:val="5BFB6326"/>
    <w:rsid w:val="5FBEBE76"/>
    <w:rsid w:val="616D686C"/>
    <w:rsid w:val="629249D0"/>
    <w:rsid w:val="63F0E513"/>
    <w:rsid w:val="64C19E5C"/>
    <w:rsid w:val="656F4357"/>
    <w:rsid w:val="661872B6"/>
    <w:rsid w:val="67AA5519"/>
    <w:rsid w:val="681427D0"/>
    <w:rsid w:val="68BBB232"/>
    <w:rsid w:val="6A61B058"/>
    <w:rsid w:val="6EF0EF47"/>
    <w:rsid w:val="71E9FA56"/>
    <w:rsid w:val="72B4169E"/>
    <w:rsid w:val="73075CAF"/>
    <w:rsid w:val="762FB262"/>
    <w:rsid w:val="76FE740B"/>
    <w:rsid w:val="7A9DB619"/>
    <w:rsid w:val="7B945DD9"/>
    <w:rsid w:val="7C23F08D"/>
    <w:rsid w:val="7D1A7FB9"/>
    <w:rsid w:val="7FBC5E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48F2CF"/>
  <w15:chartTrackingRefBased/>
  <w15:docId w15:val="{D1EA97D5-4AF5-41F9-A3E6-FC5EEBE7DCB6}"/>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4"/>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E7F00"/>
    <w:pPr>
      <w:spacing w:after="0" w:line="360" w:lineRule="auto"/>
      <w:ind w:firstLine="720"/>
    </w:pPr>
    <w:rPr>
      <w:rFonts w:ascii="Book Antiqua" w:hAnsi="Book Antiqua"/>
      <w:sz w:val="26"/>
    </w:rPr>
  </w:style>
  <w:style w:type="paragraph" w:styleId="Heading1">
    <w:name w:val="heading 1"/>
    <w:basedOn w:val="Dummy"/>
    <w:next w:val="Standard"/>
    <w:link w:val="Heading1Char"/>
    <w:uiPriority w:val="4"/>
    <w:qFormat/>
    <w:rsid w:val="000A56F2"/>
    <w:pPr>
      <w:numPr>
        <w:numId w:val="7"/>
      </w:numPr>
    </w:pPr>
    <w:rPr>
      <w:rFonts w:eastAsiaTheme="majorEastAsia" w:cstheme="majorBidi"/>
      <w:szCs w:val="32"/>
    </w:rPr>
  </w:style>
  <w:style w:type="paragraph" w:styleId="Heading2">
    <w:name w:val="heading 2"/>
    <w:basedOn w:val="Dummy"/>
    <w:next w:val="Standard"/>
    <w:link w:val="Heading2Char"/>
    <w:uiPriority w:val="4"/>
    <w:qFormat/>
    <w:rsid w:val="000A56F2"/>
    <w:pPr>
      <w:numPr>
        <w:ilvl w:val="1"/>
        <w:numId w:val="7"/>
      </w:numPr>
      <w:outlineLvl w:val="1"/>
    </w:pPr>
  </w:style>
  <w:style w:type="paragraph" w:styleId="Heading3">
    <w:name w:val="heading 3"/>
    <w:basedOn w:val="Dummy"/>
    <w:next w:val="Standard"/>
    <w:link w:val="Heading3Char"/>
    <w:uiPriority w:val="4"/>
    <w:qFormat/>
    <w:rsid w:val="000A56F2"/>
    <w:pPr>
      <w:numPr>
        <w:ilvl w:val="2"/>
        <w:numId w:val="7"/>
      </w:numPr>
      <w:outlineLvl w:val="2"/>
    </w:pPr>
    <w:rPr>
      <w:rFonts w:eastAsiaTheme="majorEastAsia" w:cstheme="majorBidi"/>
      <w:szCs w:val="24"/>
    </w:rPr>
  </w:style>
  <w:style w:type="paragraph" w:styleId="Heading4">
    <w:name w:val="heading 4"/>
    <w:basedOn w:val="Dummy"/>
    <w:next w:val="Standard"/>
    <w:link w:val="Heading4Char"/>
    <w:uiPriority w:val="4"/>
    <w:rsid w:val="000A56F2"/>
    <w:pPr>
      <w:numPr>
        <w:ilvl w:val="3"/>
        <w:numId w:val="7"/>
      </w:numPr>
      <w:outlineLvl w:val="3"/>
    </w:pPr>
    <w:rPr>
      <w:rFonts w:eastAsiaTheme="majorEastAsia" w:cstheme="majorBidi"/>
      <w:iCs/>
    </w:rPr>
  </w:style>
  <w:style w:type="paragraph" w:styleId="Heading5">
    <w:name w:val="heading 5"/>
    <w:basedOn w:val="Dummy"/>
    <w:next w:val="Standard"/>
    <w:link w:val="Heading5Char"/>
    <w:uiPriority w:val="4"/>
    <w:rsid w:val="000A56F2"/>
    <w:pPr>
      <w:numPr>
        <w:ilvl w:val="4"/>
        <w:numId w:val="7"/>
      </w:numPr>
      <w:outlineLvl w:val="4"/>
    </w:pPr>
    <w:rPr>
      <w:rFonts w:eastAsiaTheme="majorEastAsia" w:cstheme="majorBidi"/>
    </w:rPr>
  </w:style>
  <w:style w:type="paragraph" w:styleId="Heading6">
    <w:name w:val="heading 6"/>
    <w:basedOn w:val="Dummy"/>
    <w:next w:val="Standard"/>
    <w:link w:val="Heading6Char"/>
    <w:uiPriority w:val="4"/>
    <w:rsid w:val="000A56F2"/>
    <w:pPr>
      <w:numPr>
        <w:ilvl w:val="5"/>
        <w:numId w:val="7"/>
      </w:numPr>
      <w:spacing w:before="4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36017B"/>
    <w:rPr>
      <w:rFonts w:ascii="Arial" w:eastAsiaTheme="majorEastAsia" w:hAnsi="Arial" w:cstheme="majorBidi"/>
      <w:b/>
      <w:sz w:val="26"/>
      <w:szCs w:val="32"/>
    </w:rPr>
  </w:style>
  <w:style w:type="paragraph" w:styleId="TOCHeading">
    <w:name w:val="TOC Heading"/>
    <w:next w:val="Normal"/>
    <w:uiPriority w:val="39"/>
    <w:unhideWhenUsed/>
    <w:rsid w:val="001E2A62"/>
    <w:pPr>
      <w:spacing w:line="240" w:lineRule="auto"/>
      <w:jc w:val="center"/>
    </w:pPr>
    <w:rPr>
      <w:rFonts w:ascii="Arial" w:eastAsiaTheme="majorEastAsia" w:hAnsi="Arial" w:cstheme="majorBidi"/>
      <w:b/>
      <w:sz w:val="26"/>
      <w:szCs w:val="32"/>
    </w:rPr>
  </w:style>
  <w:style w:type="paragraph" w:styleId="Title">
    <w:name w:val="Title"/>
    <w:basedOn w:val="Dummy"/>
    <w:next w:val="Normal"/>
    <w:link w:val="TitleChar"/>
    <w:uiPriority w:val="10"/>
    <w:semiHidden/>
    <w:rsid w:val="0012108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semiHidden/>
    <w:rsid w:val="0036017B"/>
    <w:rPr>
      <w:rFonts w:ascii="Arial" w:eastAsiaTheme="majorEastAsia" w:hAnsi="Arial" w:cstheme="majorBidi"/>
      <w:b/>
      <w:caps/>
      <w:sz w:val="26"/>
      <w:szCs w:val="56"/>
    </w:rPr>
  </w:style>
  <w:style w:type="paragraph" w:customStyle="1" w:styleId="Dummy">
    <w:name w:val="Dummy"/>
    <w:next w:val="Normal"/>
    <w:uiPriority w:val="19"/>
    <w:rsid w:val="00F62B7A"/>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uiPriority w:val="4"/>
    <w:rsid w:val="00ED5725"/>
    <w:rPr>
      <w:rFonts w:ascii="Arial" w:hAnsi="Arial" w:cs="Arial"/>
      <w:b/>
      <w:sz w:val="26"/>
      <w:szCs w:val="26"/>
    </w:rPr>
  </w:style>
  <w:style w:type="character" w:customStyle="1" w:styleId="Heading3Char">
    <w:name w:val="Heading 3 Char"/>
    <w:basedOn w:val="DefaultParagraphFont"/>
    <w:link w:val="Heading3"/>
    <w:uiPriority w:val="4"/>
    <w:rsid w:val="00722850"/>
    <w:rPr>
      <w:rFonts w:ascii="Arial" w:eastAsiaTheme="majorEastAsia" w:hAnsi="Arial" w:cstheme="majorBidi"/>
      <w:b/>
      <w:sz w:val="26"/>
      <w:szCs w:val="24"/>
    </w:rPr>
  </w:style>
  <w:style w:type="character" w:customStyle="1" w:styleId="Heading4Char">
    <w:name w:val="Heading 4 Char"/>
    <w:basedOn w:val="DefaultParagraphFont"/>
    <w:link w:val="Heading4"/>
    <w:uiPriority w:val="4"/>
    <w:rsid w:val="007A406D"/>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8A179F"/>
    <w:rPr>
      <w:rFonts w:ascii="Arial" w:eastAsiaTheme="majorEastAsia" w:hAnsi="Arial" w:cstheme="majorBidi"/>
      <w:b/>
      <w:sz w:val="26"/>
      <w:szCs w:val="26"/>
    </w:rPr>
  </w:style>
  <w:style w:type="paragraph" w:customStyle="1" w:styleId="Main">
    <w:name w:val="Main"/>
    <w:next w:val="Normal"/>
    <w:uiPriority w:val="19"/>
    <w:rsid w:val="00F62B7A"/>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0A6E05"/>
    <w:pPr>
      <w:keepNext/>
      <w:spacing w:line="360" w:lineRule="auto"/>
      <w:outlineLvl w:val="0"/>
    </w:pPr>
    <w:rPr>
      <w:spacing w:val="120"/>
    </w:rPr>
  </w:style>
  <w:style w:type="paragraph" w:styleId="TOC2">
    <w:name w:val="toc 2"/>
    <w:basedOn w:val="Normal"/>
    <w:next w:val="Normal"/>
    <w:uiPriority w:val="39"/>
    <w:unhideWhenUsed/>
    <w:rsid w:val="00ED5725"/>
    <w:pPr>
      <w:spacing w:line="240" w:lineRule="auto"/>
      <w:ind w:left="864" w:hanging="648"/>
    </w:pPr>
    <w:rPr>
      <w:rFonts w:eastAsiaTheme="minorEastAsia" w:cs="Times New Roman"/>
    </w:rPr>
  </w:style>
  <w:style w:type="paragraph" w:styleId="TOC1">
    <w:name w:val="toc 1"/>
    <w:basedOn w:val="Normal"/>
    <w:next w:val="Normal"/>
    <w:uiPriority w:val="39"/>
    <w:unhideWhenUsed/>
    <w:rsid w:val="00ED5725"/>
    <w:pPr>
      <w:spacing w:line="240" w:lineRule="auto"/>
      <w:ind w:left="432" w:hanging="432"/>
    </w:pPr>
    <w:rPr>
      <w:rFonts w:eastAsiaTheme="minorEastAsia" w:cs="Times New Roman"/>
    </w:rPr>
  </w:style>
  <w:style w:type="paragraph" w:styleId="TOC3">
    <w:name w:val="toc 3"/>
    <w:basedOn w:val="Normal"/>
    <w:next w:val="Normal"/>
    <w:uiPriority w:val="39"/>
    <w:unhideWhenUsed/>
    <w:rsid w:val="008C7413"/>
    <w:pPr>
      <w:spacing w:line="240" w:lineRule="auto"/>
      <w:ind w:left="1296" w:hanging="864"/>
    </w:pPr>
    <w:rPr>
      <w:rFonts w:eastAsiaTheme="minorEastAsia" w:cs="Times New Roman"/>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8E6AE6"/>
    <w:pPr>
      <w:numPr>
        <w:numId w:val="2"/>
      </w:numPr>
    </w:pPr>
  </w:style>
  <w:style w:type="paragraph" w:styleId="TOC9">
    <w:name w:val="toc 9"/>
    <w:basedOn w:val="Normal"/>
    <w:next w:val="Normal"/>
    <w:autoRedefine/>
    <w:uiPriority w:val="39"/>
    <w:semiHidden/>
    <w:unhideWhenUsed/>
    <w:rsid w:val="00D82A43"/>
    <w:pPr>
      <w:spacing w:after="100"/>
      <w:ind w:left="2080"/>
    </w:pPr>
  </w:style>
  <w:style w:type="paragraph" w:styleId="Header">
    <w:name w:val="header"/>
    <w:basedOn w:val="Normal"/>
    <w:link w:val="HeaderChar"/>
    <w:uiPriority w:val="99"/>
    <w:semiHidden/>
    <w:rsid w:val="0098138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A56F2"/>
    <w:rPr>
      <w:rFonts w:ascii="Book Antiqua" w:hAnsi="Book Antiqua"/>
      <w:sz w:val="26"/>
    </w:rPr>
  </w:style>
  <w:style w:type="paragraph" w:styleId="Footer">
    <w:name w:val="footer"/>
    <w:basedOn w:val="Normal"/>
    <w:link w:val="FooterChar"/>
    <w:uiPriority w:val="99"/>
    <w:rsid w:val="00EE3060"/>
    <w:pPr>
      <w:tabs>
        <w:tab w:val="center" w:pos="4680"/>
        <w:tab w:val="right" w:pos="9360"/>
      </w:tabs>
      <w:spacing w:line="240" w:lineRule="auto"/>
    </w:pPr>
  </w:style>
  <w:style w:type="character" w:customStyle="1" w:styleId="FooterChar">
    <w:name w:val="Footer Char"/>
    <w:basedOn w:val="DefaultParagraphFont"/>
    <w:link w:val="Footer"/>
    <w:uiPriority w:val="99"/>
    <w:rsid w:val="007657C1"/>
    <w:rPr>
      <w:rFonts w:ascii="Book Antiqua" w:hAnsi="Book Antiqua"/>
      <w:sz w:val="26"/>
    </w:rPr>
  </w:style>
  <w:style w:type="paragraph" w:customStyle="1" w:styleId="BlockQuote">
    <w:name w:val="Block Quote"/>
    <w:basedOn w:val="Standard"/>
    <w:uiPriority w:val="5"/>
    <w:qFormat/>
    <w:rsid w:val="00EA36C6"/>
    <w:pPr>
      <w:spacing w:after="120" w:line="240" w:lineRule="auto"/>
      <w:ind w:left="720" w:right="720" w:firstLine="0"/>
    </w:pPr>
  </w:style>
  <w:style w:type="paragraph" w:styleId="FootnoteText">
    <w:name w:val="footnote text"/>
    <w:basedOn w:val="Normal"/>
    <w:link w:val="FootnoteTextChar"/>
    <w:uiPriority w:val="40"/>
    <w:rsid w:val="00B01F7E"/>
    <w:pPr>
      <w:spacing w:after="120" w:line="240" w:lineRule="auto"/>
      <w:ind w:firstLine="0"/>
    </w:pPr>
    <w:rPr>
      <w:sz w:val="22"/>
      <w:szCs w:val="20"/>
    </w:rPr>
  </w:style>
  <w:style w:type="character" w:customStyle="1" w:styleId="FootnoteTextChar">
    <w:name w:val="Footnote Text Char"/>
    <w:basedOn w:val="DefaultParagraphFont"/>
    <w:link w:val="FootnoteText"/>
    <w:uiPriority w:val="40"/>
    <w:rsid w:val="007657C1"/>
    <w:rPr>
      <w:rFonts w:ascii="Book Antiqua" w:hAnsi="Book Antiqua"/>
      <w:szCs w:val="20"/>
    </w:rPr>
  </w:style>
  <w:style w:type="character" w:styleId="FootnoteReference">
    <w:name w:val="footnote reference"/>
    <w:basedOn w:val="DefaultParagraphFont"/>
    <w:uiPriority w:val="99"/>
    <w:semiHidden/>
    <w:unhideWhenUsed/>
    <w:rsid w:val="00DF58E7"/>
    <w:rPr>
      <w:vertAlign w:val="superscript"/>
    </w:rPr>
  </w:style>
  <w:style w:type="paragraph" w:customStyle="1" w:styleId="FoF">
    <w:name w:val="FoF"/>
    <w:basedOn w:val="Standard"/>
    <w:uiPriority w:val="6"/>
    <w:qFormat/>
    <w:rsid w:val="001E2A62"/>
    <w:pPr>
      <w:numPr>
        <w:numId w:val="13"/>
      </w:numPr>
    </w:pPr>
  </w:style>
  <w:style w:type="paragraph" w:customStyle="1" w:styleId="CoL">
    <w:name w:val="CoL"/>
    <w:basedOn w:val="Standard"/>
    <w:uiPriority w:val="7"/>
    <w:qFormat/>
    <w:rsid w:val="001E2A62"/>
    <w:pPr>
      <w:ind w:firstLine="547"/>
    </w:pPr>
  </w:style>
  <w:style w:type="paragraph" w:styleId="NoSpacing">
    <w:name w:val="No Spacing"/>
    <w:basedOn w:val="Standard"/>
    <w:uiPriority w:val="1"/>
    <w:rsid w:val="001E2A62"/>
    <w:pPr>
      <w:spacing w:line="240" w:lineRule="auto"/>
      <w:ind w:firstLine="0"/>
    </w:pPr>
  </w:style>
  <w:style w:type="paragraph" w:customStyle="1" w:styleId="OP">
    <w:name w:val="OP"/>
    <w:basedOn w:val="Standard"/>
    <w:uiPriority w:val="8"/>
    <w:qFormat/>
    <w:rsid w:val="001E2A62"/>
    <w:pPr>
      <w:ind w:left="-270" w:firstLine="540"/>
    </w:pPr>
  </w:style>
  <w:style w:type="paragraph" w:styleId="BalloonText">
    <w:name w:val="Balloon Text"/>
    <w:basedOn w:val="Normal"/>
    <w:link w:val="BalloonTextChar"/>
    <w:uiPriority w:val="99"/>
    <w:semiHidden/>
    <w:unhideWhenUsed/>
    <w:rsid w:val="004C7D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numbering" w:customStyle="1" w:styleId="Headings">
    <w:name w:val="Headings"/>
    <w:uiPriority w:val="99"/>
    <w:rsid w:val="000A56F2"/>
    <w:pPr>
      <w:numPr>
        <w:numId w:val="6"/>
      </w:numPr>
    </w:pPr>
  </w:style>
  <w:style w:type="paragraph" w:customStyle="1" w:styleId="Standard">
    <w:name w:val="Standard"/>
    <w:basedOn w:val="Normal"/>
    <w:qFormat/>
    <w:rsid w:val="007A406D"/>
  </w:style>
  <w:style w:type="paragraph" w:customStyle="1" w:styleId="ListAlpha">
    <w:name w:val="List Alpha"/>
    <w:basedOn w:val="Standard"/>
    <w:uiPriority w:val="4"/>
    <w:qFormat/>
    <w:rsid w:val="000A56F2"/>
    <w:pPr>
      <w:numPr>
        <w:ilvl w:val="7"/>
        <w:numId w:val="7"/>
      </w:numPr>
      <w:spacing w:after="120" w:line="240" w:lineRule="auto"/>
    </w:pPr>
  </w:style>
  <w:style w:type="paragraph" w:styleId="ListBullet">
    <w:name w:val="List Bullet"/>
    <w:basedOn w:val="Standard"/>
    <w:uiPriority w:val="4"/>
    <w:qFormat/>
    <w:rsid w:val="001F2819"/>
    <w:pPr>
      <w:numPr>
        <w:numId w:val="9"/>
      </w:numPr>
      <w:tabs>
        <w:tab w:val="clear" w:pos="360"/>
      </w:tabs>
      <w:spacing w:after="120" w:line="240" w:lineRule="auto"/>
      <w:ind w:left="1080"/>
    </w:pPr>
  </w:style>
  <w:style w:type="character" w:customStyle="1" w:styleId="Heading6Char">
    <w:name w:val="Heading 6 Char"/>
    <w:basedOn w:val="DefaultParagraphFont"/>
    <w:link w:val="Heading6"/>
    <w:uiPriority w:val="4"/>
    <w:rsid w:val="000A56F2"/>
    <w:rPr>
      <w:rFonts w:ascii="Arial" w:eastAsiaTheme="majorEastAsia" w:hAnsi="Arial" w:cstheme="majorBidi"/>
      <w:b/>
      <w:sz w:val="26"/>
      <w:szCs w:val="26"/>
    </w:rPr>
  </w:style>
  <w:style w:type="paragraph" w:styleId="TOC4">
    <w:name w:val="toc 4"/>
    <w:basedOn w:val="Normal"/>
    <w:next w:val="Normal"/>
    <w:autoRedefine/>
    <w:uiPriority w:val="39"/>
    <w:unhideWhenUsed/>
    <w:rsid w:val="008C7413"/>
    <w:pPr>
      <w:spacing w:line="240" w:lineRule="auto"/>
      <w:ind w:left="1728" w:hanging="1080"/>
    </w:pPr>
  </w:style>
  <w:style w:type="paragraph" w:styleId="TOC5">
    <w:name w:val="toc 5"/>
    <w:basedOn w:val="Normal"/>
    <w:next w:val="Normal"/>
    <w:autoRedefine/>
    <w:uiPriority w:val="39"/>
    <w:unhideWhenUsed/>
    <w:rsid w:val="008C7413"/>
    <w:pPr>
      <w:spacing w:line="240" w:lineRule="auto"/>
      <w:ind w:left="2160" w:hanging="1296"/>
    </w:pPr>
  </w:style>
  <w:style w:type="paragraph" w:styleId="TOC6">
    <w:name w:val="toc 6"/>
    <w:basedOn w:val="Normal"/>
    <w:next w:val="Normal"/>
    <w:autoRedefine/>
    <w:uiPriority w:val="39"/>
    <w:unhideWhenUsed/>
    <w:rsid w:val="008C7413"/>
    <w:pPr>
      <w:spacing w:line="240" w:lineRule="auto"/>
      <w:ind w:left="2592" w:hanging="1512"/>
    </w:pPr>
  </w:style>
  <w:style w:type="character" w:styleId="CommentReference">
    <w:name w:val="annotation reference"/>
    <w:basedOn w:val="DefaultParagraphFont"/>
    <w:uiPriority w:val="99"/>
    <w:semiHidden/>
    <w:unhideWhenUsed/>
    <w:rsid w:val="00196B94"/>
    <w:rPr>
      <w:sz w:val="16"/>
      <w:szCs w:val="16"/>
    </w:rPr>
  </w:style>
  <w:style w:type="paragraph" w:styleId="CommentText">
    <w:name w:val="annotation text"/>
    <w:basedOn w:val="Normal"/>
    <w:link w:val="CommentTextChar"/>
    <w:uiPriority w:val="99"/>
    <w:unhideWhenUsed/>
    <w:rsid w:val="00196B94"/>
    <w:pPr>
      <w:spacing w:line="240" w:lineRule="auto"/>
    </w:pPr>
    <w:rPr>
      <w:sz w:val="20"/>
      <w:szCs w:val="20"/>
    </w:rPr>
  </w:style>
  <w:style w:type="character" w:customStyle="1" w:styleId="CommentTextChar">
    <w:name w:val="Comment Text Char"/>
    <w:basedOn w:val="DefaultParagraphFont"/>
    <w:link w:val="CommentText"/>
    <w:uiPriority w:val="99"/>
    <w:rsid w:val="00196B94"/>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196B94"/>
    <w:rPr>
      <w:b/>
      <w:bCs/>
    </w:rPr>
  </w:style>
  <w:style w:type="character" w:customStyle="1" w:styleId="CommentSubjectChar">
    <w:name w:val="Comment Subject Char"/>
    <w:basedOn w:val="CommentTextChar"/>
    <w:link w:val="CommentSubject"/>
    <w:uiPriority w:val="99"/>
    <w:semiHidden/>
    <w:rsid w:val="00196B94"/>
    <w:rPr>
      <w:rFonts w:ascii="Book Antiqua" w:hAnsi="Book Antiqua"/>
      <w:b/>
      <w:bCs/>
      <w:sz w:val="20"/>
      <w:szCs w:val="20"/>
    </w:rPr>
  </w:style>
  <w:style w:type="character" w:styleId="UnresolvedMention">
    <w:name w:val="Unresolved Mention"/>
    <w:basedOn w:val="DefaultParagraphFont"/>
    <w:uiPriority w:val="99"/>
    <w:semiHidden/>
    <w:unhideWhenUsed/>
    <w:rsid w:val="00635306"/>
    <w:rPr>
      <w:color w:val="605E5C"/>
      <w:shd w:val="clear" w:color="auto" w:fill="E1DFDD"/>
    </w:rPr>
  </w:style>
  <w:style w:type="paragraph" w:styleId="Revision">
    <w:name w:val="Revision"/>
    <w:hidden/>
    <w:uiPriority w:val="99"/>
    <w:semiHidden/>
    <w:rsid w:val="00204D65"/>
    <w:pPr>
      <w:spacing w:after="0" w:line="240" w:lineRule="auto"/>
    </w:pPr>
    <w:rPr>
      <w:rFonts w:ascii="Book Antiqua" w:hAnsi="Book Antiqua"/>
      <w:sz w:val="26"/>
    </w:rPr>
  </w:style>
  <w:style w:type="paragraph" w:customStyle="1" w:styleId="xmsolistparagraph">
    <w:name w:val="x_msolistparagraph"/>
    <w:basedOn w:val="Normal"/>
    <w:rsid w:val="008E6474"/>
    <w:pPr>
      <w:spacing w:line="240" w:lineRule="auto"/>
      <w:ind w:left="720" w:firstLine="0"/>
    </w:pPr>
    <w:rPr>
      <w:rFonts w:ascii="Calibri" w:hAnsi="Calibri" w:cs="Calibri"/>
      <w:sz w:val="22"/>
    </w:rPr>
  </w:style>
  <w:style w:type="paragraph" w:styleId="ListParagraph">
    <w:name w:val="List Paragraph"/>
    <w:basedOn w:val="Normal"/>
    <w:uiPriority w:val="34"/>
    <w:qFormat/>
    <w:rsid w:val="008E6474"/>
    <w:pPr>
      <w:spacing w:after="160" w:line="259" w:lineRule="auto"/>
      <w:ind w:left="720" w:firstLine="0"/>
      <w:contextualSpacing/>
    </w:pPr>
    <w:rPr>
      <w:rFonts w:asciiTheme="minorHAnsi" w:hAnsiTheme="minorHAnsi"/>
      <w:sz w:val="22"/>
    </w:rPr>
  </w:style>
  <w:style w:type="character" w:styleId="FollowedHyperlink">
    <w:name w:val="FollowedHyperlink"/>
    <w:basedOn w:val="DefaultParagraphFont"/>
    <w:uiPriority w:val="99"/>
    <w:semiHidden/>
    <w:unhideWhenUsed/>
    <w:rsid w:val="00640B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6437">
      <w:bodyDiv w:val="1"/>
      <w:marLeft w:val="0"/>
      <w:marRight w:val="0"/>
      <w:marTop w:val="0"/>
      <w:marBottom w:val="0"/>
      <w:divBdr>
        <w:top w:val="none" w:sz="0" w:space="0" w:color="auto"/>
        <w:left w:val="none" w:sz="0" w:space="0" w:color="auto"/>
        <w:bottom w:val="none" w:sz="0" w:space="0" w:color="auto"/>
        <w:right w:val="none" w:sz="0" w:space="0" w:color="auto"/>
      </w:divBdr>
    </w:div>
    <w:div w:id="559631769">
      <w:bodyDiv w:val="1"/>
      <w:marLeft w:val="0"/>
      <w:marRight w:val="0"/>
      <w:marTop w:val="0"/>
      <w:marBottom w:val="0"/>
      <w:divBdr>
        <w:top w:val="none" w:sz="0" w:space="0" w:color="auto"/>
        <w:left w:val="none" w:sz="0" w:space="0" w:color="auto"/>
        <w:bottom w:val="none" w:sz="0" w:space="0" w:color="auto"/>
        <w:right w:val="none" w:sz="0" w:space="0" w:color="auto"/>
      </w:divBdr>
    </w:div>
    <w:div w:id="797914806">
      <w:bodyDiv w:val="1"/>
      <w:marLeft w:val="0"/>
      <w:marRight w:val="0"/>
      <w:marTop w:val="0"/>
      <w:marBottom w:val="0"/>
      <w:divBdr>
        <w:top w:val="none" w:sz="0" w:space="0" w:color="auto"/>
        <w:left w:val="none" w:sz="0" w:space="0" w:color="auto"/>
        <w:bottom w:val="none" w:sz="0" w:space="0" w:color="auto"/>
        <w:right w:val="none" w:sz="0" w:space="0" w:color="auto"/>
      </w:divBdr>
    </w:div>
    <w:div w:id="1274049032">
      <w:bodyDiv w:val="1"/>
      <w:marLeft w:val="0"/>
      <w:marRight w:val="0"/>
      <w:marTop w:val="0"/>
      <w:marBottom w:val="0"/>
      <w:divBdr>
        <w:top w:val="none" w:sz="0" w:space="0" w:color="auto"/>
        <w:left w:val="none" w:sz="0" w:space="0" w:color="auto"/>
        <w:bottom w:val="none" w:sz="0" w:space="0" w:color="auto"/>
        <w:right w:val="none" w:sz="0" w:space="0" w:color="auto"/>
      </w:divBdr>
    </w:div>
    <w:div w:id="1480927330">
      <w:bodyDiv w:val="1"/>
      <w:marLeft w:val="0"/>
      <w:marRight w:val="0"/>
      <w:marTop w:val="0"/>
      <w:marBottom w:val="0"/>
      <w:divBdr>
        <w:top w:val="none" w:sz="0" w:space="0" w:color="auto"/>
        <w:left w:val="none" w:sz="0" w:space="0" w:color="auto"/>
        <w:bottom w:val="none" w:sz="0" w:space="0" w:color="auto"/>
        <w:right w:val="none" w:sz="0" w:space="0" w:color="auto"/>
      </w:divBdr>
    </w:div>
    <w:div w:id="1539513706">
      <w:bodyDiv w:val="1"/>
      <w:marLeft w:val="0"/>
      <w:marRight w:val="0"/>
      <w:marTop w:val="0"/>
      <w:marBottom w:val="0"/>
      <w:divBdr>
        <w:top w:val="none" w:sz="0" w:space="0" w:color="auto"/>
        <w:left w:val="none" w:sz="0" w:space="0" w:color="auto"/>
        <w:bottom w:val="none" w:sz="0" w:space="0" w:color="auto"/>
        <w:right w:val="none" w:sz="0" w:space="0" w:color="auto"/>
      </w:divBdr>
    </w:div>
    <w:div w:id="1617909946">
      <w:bodyDiv w:val="1"/>
      <w:marLeft w:val="0"/>
      <w:marRight w:val="0"/>
      <w:marTop w:val="0"/>
      <w:marBottom w:val="0"/>
      <w:divBdr>
        <w:top w:val="none" w:sz="0" w:space="0" w:color="auto"/>
        <w:left w:val="none" w:sz="0" w:space="0" w:color="auto"/>
        <w:bottom w:val="none" w:sz="0" w:space="0" w:color="auto"/>
        <w:right w:val="none" w:sz="0" w:space="0" w:color="auto"/>
      </w:divBdr>
    </w:div>
    <w:div w:id="1679191145">
      <w:bodyDiv w:val="1"/>
      <w:marLeft w:val="0"/>
      <w:marRight w:val="0"/>
      <w:marTop w:val="0"/>
      <w:marBottom w:val="0"/>
      <w:divBdr>
        <w:top w:val="none" w:sz="0" w:space="0" w:color="auto"/>
        <w:left w:val="none" w:sz="0" w:space="0" w:color="auto"/>
        <w:bottom w:val="none" w:sz="0" w:space="0" w:color="auto"/>
        <w:right w:val="none" w:sz="0" w:space="0" w:color="auto"/>
      </w:divBdr>
    </w:div>
    <w:div w:id="170328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cpuc.ca.gov/Broadband_Availability/" TargetMode="External"/><Relationship Id="rId3" Type="http://schemas.openxmlformats.org/officeDocument/2006/relationships/hyperlink" Target="https://docs.cpuc.ca.gov/SearchRes.aspx?DocFormat=ALL&amp;DocID=319752909" TargetMode="External"/><Relationship Id="rId7" Type="http://schemas.openxmlformats.org/officeDocument/2006/relationships/hyperlink" Target="https://docs.cpuc.ca.gov/SearchRes.aspx?DocFormat=ALL&amp;DocID=335710543" TargetMode="External"/><Relationship Id="rId2" Type="http://schemas.openxmlformats.org/officeDocument/2006/relationships/hyperlink" Target="https://docs.cpuc.ca.gov/SearchRes.aspx?docformat=ALL&amp;DocID=209618807" TargetMode="External"/><Relationship Id="rId1" Type="http://schemas.openxmlformats.org/officeDocument/2006/relationships/hyperlink" Target="https://apps.cpuc.ca.gov/apex/f?p=401:5:0::NO:RP,5,RIR,57,RIR" TargetMode="External"/><Relationship Id="rId6" Type="http://schemas.openxmlformats.org/officeDocument/2006/relationships/hyperlink" Target="https://apps.cpuc.ca.gov/apex/f?p=401:56:0::NO:RP,57,RIR:P5_PROCEEDING_SELECT:R1812005" TargetMode="External"/><Relationship Id="rId5" Type="http://schemas.openxmlformats.org/officeDocument/2006/relationships/hyperlink" Target="https://docs.cpuc.ca.gov/SearchRes.aspx?DocFormat=ALL&amp;DocID=336534046" TargetMode="External"/><Relationship Id="rId4" Type="http://schemas.openxmlformats.org/officeDocument/2006/relationships/hyperlink" Target="https://docs.cpuc.ca.gov/SearchRes.aspx?DocFormat=ALL&amp;DocID=328473978" TargetMode="External"/><Relationship Id="rId9" Type="http://schemas.openxmlformats.org/officeDocument/2006/relationships/hyperlink" Target="https://www.pge.com/en_US/residential/customer-service/help/contact-pge-landing/contact-us.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74B9C9BB9AE7A44A4C3DD02212E2B69" ma:contentTypeVersion="5" ma:contentTypeDescription="Create a new document." ma:contentTypeScope="" ma:versionID="074bdc5dcef6d44391d2174c97016c56">
  <xsd:schema xmlns:xsd="http://www.w3.org/2001/XMLSchema" xmlns:xs="http://www.w3.org/2001/XMLSchema" xmlns:p="http://schemas.microsoft.com/office/2006/metadata/properties" xmlns:ns3="f50c81ab-97f2-4536-bab4-0ab034ad8fa4" xmlns:ns4="d4920503-46e7-4a32-ae15-e26e36d54b73" targetNamespace="http://schemas.microsoft.com/office/2006/metadata/properties" ma:root="true" ma:fieldsID="652138c4b102d944365ae47d075e2ca7" ns3:_="" ns4:_="">
    <xsd:import namespace="f50c81ab-97f2-4536-bab4-0ab034ad8fa4"/>
    <xsd:import namespace="d4920503-46e7-4a32-ae15-e26e36d54b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c81ab-97f2-4536-bab4-0ab034ad8f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20503-46e7-4a32-ae15-e26e36d54b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A7382B-3F17-493C-A8FF-32D536DA6BF7}">
  <ds:schemaRefs>
    <ds:schemaRef ds:uri="http://schemas.openxmlformats.org/officeDocument/2006/bibliography"/>
  </ds:schemaRefs>
</ds:datastoreItem>
</file>

<file path=customXml/itemProps2.xml><?xml version="1.0" encoding="utf-8"?>
<ds:datastoreItem xmlns:ds="http://schemas.openxmlformats.org/officeDocument/2006/customXml" ds:itemID="{129135E3-D678-4F21-80E7-D700C2C695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6305C9-54FF-4758-B221-AEC6BB1C52D3}">
  <ds:schemaRefs>
    <ds:schemaRef ds:uri="http://schemas.microsoft.com/sharepoint/v3/contenttype/forms"/>
  </ds:schemaRefs>
</ds:datastoreItem>
</file>

<file path=customXml/itemProps4.xml><?xml version="1.0" encoding="utf-8"?>
<ds:datastoreItem xmlns:ds="http://schemas.openxmlformats.org/officeDocument/2006/customXml" ds:itemID="{A2876BB1-CC25-418E-ACD6-6A9FF5E99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c81ab-97f2-4536-bab4-0ab034ad8fa4"/>
    <ds:schemaRef ds:uri="d4920503-46e7-4a32-ae15-e26e36d54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53</ap:Pages>
  <ap:Words>12426</ap:Words>
  <ap:Characters>70832</ap:Characters>
  <ap:Application>Microsoft Office Word</ap:Application>
  <ap:DocSecurity>0</ap:DocSecurity>
  <ap:Lines>590</ap:Lines>
  <ap:Paragraphs>166</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83092</ap:CharactersWithSpaces>
  <ap:SharedDoc>false</ap:SharedDoc>
  <ap:HLinks>
    <vt:vector baseType="variant" size="234">
      <vt:variant>
        <vt:i4>1179703</vt:i4>
      </vt:variant>
      <vt:variant>
        <vt:i4>170</vt:i4>
      </vt:variant>
      <vt:variant>
        <vt:i4>0</vt:i4>
      </vt:variant>
      <vt:variant>
        <vt:i4>5</vt:i4>
      </vt:variant>
      <vt:variant>
        <vt:lpwstr/>
      </vt:variant>
      <vt:variant>
        <vt:lpwstr>_Toc50014460</vt:lpwstr>
      </vt:variant>
      <vt:variant>
        <vt:i4>1769524</vt:i4>
      </vt:variant>
      <vt:variant>
        <vt:i4>164</vt:i4>
      </vt:variant>
      <vt:variant>
        <vt:i4>0</vt:i4>
      </vt:variant>
      <vt:variant>
        <vt:i4>5</vt:i4>
      </vt:variant>
      <vt:variant>
        <vt:lpwstr/>
      </vt:variant>
      <vt:variant>
        <vt:lpwstr>_Toc50014459</vt:lpwstr>
      </vt:variant>
      <vt:variant>
        <vt:i4>1703988</vt:i4>
      </vt:variant>
      <vt:variant>
        <vt:i4>158</vt:i4>
      </vt:variant>
      <vt:variant>
        <vt:i4>0</vt:i4>
      </vt:variant>
      <vt:variant>
        <vt:i4>5</vt:i4>
      </vt:variant>
      <vt:variant>
        <vt:lpwstr/>
      </vt:variant>
      <vt:variant>
        <vt:lpwstr>_Toc50014458</vt:lpwstr>
      </vt:variant>
      <vt:variant>
        <vt:i4>1376308</vt:i4>
      </vt:variant>
      <vt:variant>
        <vt:i4>152</vt:i4>
      </vt:variant>
      <vt:variant>
        <vt:i4>0</vt:i4>
      </vt:variant>
      <vt:variant>
        <vt:i4>5</vt:i4>
      </vt:variant>
      <vt:variant>
        <vt:lpwstr/>
      </vt:variant>
      <vt:variant>
        <vt:lpwstr>_Toc50014457</vt:lpwstr>
      </vt:variant>
      <vt:variant>
        <vt:i4>1310772</vt:i4>
      </vt:variant>
      <vt:variant>
        <vt:i4>146</vt:i4>
      </vt:variant>
      <vt:variant>
        <vt:i4>0</vt:i4>
      </vt:variant>
      <vt:variant>
        <vt:i4>5</vt:i4>
      </vt:variant>
      <vt:variant>
        <vt:lpwstr/>
      </vt:variant>
      <vt:variant>
        <vt:lpwstr>_Toc50014456</vt:lpwstr>
      </vt:variant>
      <vt:variant>
        <vt:i4>1507380</vt:i4>
      </vt:variant>
      <vt:variant>
        <vt:i4>140</vt:i4>
      </vt:variant>
      <vt:variant>
        <vt:i4>0</vt:i4>
      </vt:variant>
      <vt:variant>
        <vt:i4>5</vt:i4>
      </vt:variant>
      <vt:variant>
        <vt:lpwstr/>
      </vt:variant>
      <vt:variant>
        <vt:lpwstr>_Toc50014455</vt:lpwstr>
      </vt:variant>
      <vt:variant>
        <vt:i4>1441844</vt:i4>
      </vt:variant>
      <vt:variant>
        <vt:i4>134</vt:i4>
      </vt:variant>
      <vt:variant>
        <vt:i4>0</vt:i4>
      </vt:variant>
      <vt:variant>
        <vt:i4>5</vt:i4>
      </vt:variant>
      <vt:variant>
        <vt:lpwstr/>
      </vt:variant>
      <vt:variant>
        <vt:lpwstr>_Toc50014454</vt:lpwstr>
      </vt:variant>
      <vt:variant>
        <vt:i4>1114164</vt:i4>
      </vt:variant>
      <vt:variant>
        <vt:i4>128</vt:i4>
      </vt:variant>
      <vt:variant>
        <vt:i4>0</vt:i4>
      </vt:variant>
      <vt:variant>
        <vt:i4>5</vt:i4>
      </vt:variant>
      <vt:variant>
        <vt:lpwstr/>
      </vt:variant>
      <vt:variant>
        <vt:lpwstr>_Toc50014453</vt:lpwstr>
      </vt:variant>
      <vt:variant>
        <vt:i4>1048628</vt:i4>
      </vt:variant>
      <vt:variant>
        <vt:i4>122</vt:i4>
      </vt:variant>
      <vt:variant>
        <vt:i4>0</vt:i4>
      </vt:variant>
      <vt:variant>
        <vt:i4>5</vt:i4>
      </vt:variant>
      <vt:variant>
        <vt:lpwstr/>
      </vt:variant>
      <vt:variant>
        <vt:lpwstr>_Toc50014452</vt:lpwstr>
      </vt:variant>
      <vt:variant>
        <vt:i4>1245236</vt:i4>
      </vt:variant>
      <vt:variant>
        <vt:i4>116</vt:i4>
      </vt:variant>
      <vt:variant>
        <vt:i4>0</vt:i4>
      </vt:variant>
      <vt:variant>
        <vt:i4>5</vt:i4>
      </vt:variant>
      <vt:variant>
        <vt:lpwstr/>
      </vt:variant>
      <vt:variant>
        <vt:lpwstr>_Toc50014451</vt:lpwstr>
      </vt:variant>
      <vt:variant>
        <vt:i4>1179700</vt:i4>
      </vt:variant>
      <vt:variant>
        <vt:i4>110</vt:i4>
      </vt:variant>
      <vt:variant>
        <vt:i4>0</vt:i4>
      </vt:variant>
      <vt:variant>
        <vt:i4>5</vt:i4>
      </vt:variant>
      <vt:variant>
        <vt:lpwstr/>
      </vt:variant>
      <vt:variant>
        <vt:lpwstr>_Toc50014450</vt:lpwstr>
      </vt:variant>
      <vt:variant>
        <vt:i4>1769525</vt:i4>
      </vt:variant>
      <vt:variant>
        <vt:i4>104</vt:i4>
      </vt:variant>
      <vt:variant>
        <vt:i4>0</vt:i4>
      </vt:variant>
      <vt:variant>
        <vt:i4>5</vt:i4>
      </vt:variant>
      <vt:variant>
        <vt:lpwstr/>
      </vt:variant>
      <vt:variant>
        <vt:lpwstr>_Toc50014449</vt:lpwstr>
      </vt:variant>
      <vt:variant>
        <vt:i4>1703989</vt:i4>
      </vt:variant>
      <vt:variant>
        <vt:i4>98</vt:i4>
      </vt:variant>
      <vt:variant>
        <vt:i4>0</vt:i4>
      </vt:variant>
      <vt:variant>
        <vt:i4>5</vt:i4>
      </vt:variant>
      <vt:variant>
        <vt:lpwstr/>
      </vt:variant>
      <vt:variant>
        <vt:lpwstr>_Toc50014448</vt:lpwstr>
      </vt:variant>
      <vt:variant>
        <vt:i4>1376309</vt:i4>
      </vt:variant>
      <vt:variant>
        <vt:i4>92</vt:i4>
      </vt:variant>
      <vt:variant>
        <vt:i4>0</vt:i4>
      </vt:variant>
      <vt:variant>
        <vt:i4>5</vt:i4>
      </vt:variant>
      <vt:variant>
        <vt:lpwstr/>
      </vt:variant>
      <vt:variant>
        <vt:lpwstr>_Toc50014447</vt:lpwstr>
      </vt:variant>
      <vt:variant>
        <vt:i4>1310773</vt:i4>
      </vt:variant>
      <vt:variant>
        <vt:i4>86</vt:i4>
      </vt:variant>
      <vt:variant>
        <vt:i4>0</vt:i4>
      </vt:variant>
      <vt:variant>
        <vt:i4>5</vt:i4>
      </vt:variant>
      <vt:variant>
        <vt:lpwstr/>
      </vt:variant>
      <vt:variant>
        <vt:lpwstr>_Toc50014446</vt:lpwstr>
      </vt:variant>
      <vt:variant>
        <vt:i4>1507381</vt:i4>
      </vt:variant>
      <vt:variant>
        <vt:i4>80</vt:i4>
      </vt:variant>
      <vt:variant>
        <vt:i4>0</vt:i4>
      </vt:variant>
      <vt:variant>
        <vt:i4>5</vt:i4>
      </vt:variant>
      <vt:variant>
        <vt:lpwstr/>
      </vt:variant>
      <vt:variant>
        <vt:lpwstr>_Toc50014445</vt:lpwstr>
      </vt:variant>
      <vt:variant>
        <vt:i4>1441845</vt:i4>
      </vt:variant>
      <vt:variant>
        <vt:i4>74</vt:i4>
      </vt:variant>
      <vt:variant>
        <vt:i4>0</vt:i4>
      </vt:variant>
      <vt:variant>
        <vt:i4>5</vt:i4>
      </vt:variant>
      <vt:variant>
        <vt:lpwstr/>
      </vt:variant>
      <vt:variant>
        <vt:lpwstr>_Toc50014444</vt:lpwstr>
      </vt:variant>
      <vt:variant>
        <vt:i4>1114165</vt:i4>
      </vt:variant>
      <vt:variant>
        <vt:i4>68</vt:i4>
      </vt:variant>
      <vt:variant>
        <vt:i4>0</vt:i4>
      </vt:variant>
      <vt:variant>
        <vt:i4>5</vt:i4>
      </vt:variant>
      <vt:variant>
        <vt:lpwstr/>
      </vt:variant>
      <vt:variant>
        <vt:lpwstr>_Toc50014443</vt:lpwstr>
      </vt:variant>
      <vt:variant>
        <vt:i4>1048629</vt:i4>
      </vt:variant>
      <vt:variant>
        <vt:i4>62</vt:i4>
      </vt:variant>
      <vt:variant>
        <vt:i4>0</vt:i4>
      </vt:variant>
      <vt:variant>
        <vt:i4>5</vt:i4>
      </vt:variant>
      <vt:variant>
        <vt:lpwstr/>
      </vt:variant>
      <vt:variant>
        <vt:lpwstr>_Toc50014442</vt:lpwstr>
      </vt:variant>
      <vt:variant>
        <vt:i4>1245237</vt:i4>
      </vt:variant>
      <vt:variant>
        <vt:i4>56</vt:i4>
      </vt:variant>
      <vt:variant>
        <vt:i4>0</vt:i4>
      </vt:variant>
      <vt:variant>
        <vt:i4>5</vt:i4>
      </vt:variant>
      <vt:variant>
        <vt:lpwstr/>
      </vt:variant>
      <vt:variant>
        <vt:lpwstr>_Toc50014441</vt:lpwstr>
      </vt:variant>
      <vt:variant>
        <vt:i4>1179701</vt:i4>
      </vt:variant>
      <vt:variant>
        <vt:i4>50</vt:i4>
      </vt:variant>
      <vt:variant>
        <vt:i4>0</vt:i4>
      </vt:variant>
      <vt:variant>
        <vt:i4>5</vt:i4>
      </vt:variant>
      <vt:variant>
        <vt:lpwstr/>
      </vt:variant>
      <vt:variant>
        <vt:lpwstr>_Toc50014440</vt:lpwstr>
      </vt:variant>
      <vt:variant>
        <vt:i4>1769522</vt:i4>
      </vt:variant>
      <vt:variant>
        <vt:i4>44</vt:i4>
      </vt:variant>
      <vt:variant>
        <vt:i4>0</vt:i4>
      </vt:variant>
      <vt:variant>
        <vt:i4>5</vt:i4>
      </vt:variant>
      <vt:variant>
        <vt:lpwstr/>
      </vt:variant>
      <vt:variant>
        <vt:lpwstr>_Toc50014439</vt:lpwstr>
      </vt:variant>
      <vt:variant>
        <vt:i4>1703986</vt:i4>
      </vt:variant>
      <vt:variant>
        <vt:i4>38</vt:i4>
      </vt:variant>
      <vt:variant>
        <vt:i4>0</vt:i4>
      </vt:variant>
      <vt:variant>
        <vt:i4>5</vt:i4>
      </vt:variant>
      <vt:variant>
        <vt:lpwstr/>
      </vt:variant>
      <vt:variant>
        <vt:lpwstr>_Toc50014438</vt:lpwstr>
      </vt:variant>
      <vt:variant>
        <vt:i4>1376306</vt:i4>
      </vt:variant>
      <vt:variant>
        <vt:i4>32</vt:i4>
      </vt:variant>
      <vt:variant>
        <vt:i4>0</vt:i4>
      </vt:variant>
      <vt:variant>
        <vt:i4>5</vt:i4>
      </vt:variant>
      <vt:variant>
        <vt:lpwstr/>
      </vt:variant>
      <vt:variant>
        <vt:lpwstr>_Toc50014437</vt:lpwstr>
      </vt:variant>
      <vt:variant>
        <vt:i4>1310770</vt:i4>
      </vt:variant>
      <vt:variant>
        <vt:i4>26</vt:i4>
      </vt:variant>
      <vt:variant>
        <vt:i4>0</vt:i4>
      </vt:variant>
      <vt:variant>
        <vt:i4>5</vt:i4>
      </vt:variant>
      <vt:variant>
        <vt:lpwstr/>
      </vt:variant>
      <vt:variant>
        <vt:lpwstr>_Toc50014436</vt:lpwstr>
      </vt:variant>
      <vt:variant>
        <vt:i4>1507378</vt:i4>
      </vt:variant>
      <vt:variant>
        <vt:i4>20</vt:i4>
      </vt:variant>
      <vt:variant>
        <vt:i4>0</vt:i4>
      </vt:variant>
      <vt:variant>
        <vt:i4>5</vt:i4>
      </vt:variant>
      <vt:variant>
        <vt:lpwstr/>
      </vt:variant>
      <vt:variant>
        <vt:lpwstr>_Toc50014435</vt:lpwstr>
      </vt:variant>
      <vt:variant>
        <vt:i4>1441842</vt:i4>
      </vt:variant>
      <vt:variant>
        <vt:i4>14</vt:i4>
      </vt:variant>
      <vt:variant>
        <vt:i4>0</vt:i4>
      </vt:variant>
      <vt:variant>
        <vt:i4>5</vt:i4>
      </vt:variant>
      <vt:variant>
        <vt:lpwstr/>
      </vt:variant>
      <vt:variant>
        <vt:lpwstr>_Toc50014434</vt:lpwstr>
      </vt:variant>
      <vt:variant>
        <vt:i4>1114162</vt:i4>
      </vt:variant>
      <vt:variant>
        <vt:i4>8</vt:i4>
      </vt:variant>
      <vt:variant>
        <vt:i4>0</vt:i4>
      </vt:variant>
      <vt:variant>
        <vt:i4>5</vt:i4>
      </vt:variant>
      <vt:variant>
        <vt:lpwstr/>
      </vt:variant>
      <vt:variant>
        <vt:lpwstr>_Toc50014433</vt:lpwstr>
      </vt:variant>
      <vt:variant>
        <vt:i4>1048626</vt:i4>
      </vt:variant>
      <vt:variant>
        <vt:i4>2</vt:i4>
      </vt:variant>
      <vt:variant>
        <vt:i4>0</vt:i4>
      </vt:variant>
      <vt:variant>
        <vt:i4>5</vt:i4>
      </vt:variant>
      <vt:variant>
        <vt:lpwstr/>
      </vt:variant>
      <vt:variant>
        <vt:lpwstr>_Toc50014432</vt:lpwstr>
      </vt:variant>
      <vt:variant>
        <vt:i4>7602242</vt:i4>
      </vt:variant>
      <vt:variant>
        <vt:i4>27</vt:i4>
      </vt:variant>
      <vt:variant>
        <vt:i4>0</vt:i4>
      </vt:variant>
      <vt:variant>
        <vt:i4>5</vt:i4>
      </vt:variant>
      <vt:variant>
        <vt:lpwstr>https://www.pge.com/en_US/residential/customer-service/help/contact-pge-landing/contact-us.page</vt:lpwstr>
      </vt:variant>
      <vt:variant>
        <vt:lpwstr/>
      </vt:variant>
      <vt:variant>
        <vt:i4>1114226</vt:i4>
      </vt:variant>
      <vt:variant>
        <vt:i4>24</vt:i4>
      </vt:variant>
      <vt:variant>
        <vt:i4>0</vt:i4>
      </vt:variant>
      <vt:variant>
        <vt:i4>5</vt:i4>
      </vt:variant>
      <vt:variant>
        <vt:lpwstr>https://www.cpuc.ca.gov/Broadband_Availability/</vt:lpwstr>
      </vt:variant>
      <vt:variant>
        <vt:lpwstr/>
      </vt:variant>
      <vt:variant>
        <vt:i4>5046357</vt:i4>
      </vt:variant>
      <vt:variant>
        <vt:i4>21</vt:i4>
      </vt:variant>
      <vt:variant>
        <vt:i4>0</vt:i4>
      </vt:variant>
      <vt:variant>
        <vt:i4>5</vt:i4>
      </vt:variant>
      <vt:variant>
        <vt:lpwstr>https://docs.cpuc.ca.gov/SearchRes.aspx?DocFormat=ALL&amp;DocID=335710543</vt:lpwstr>
      </vt:variant>
      <vt:variant>
        <vt:lpwstr/>
      </vt:variant>
      <vt:variant>
        <vt:i4>5570567</vt:i4>
      </vt:variant>
      <vt:variant>
        <vt:i4>18</vt:i4>
      </vt:variant>
      <vt:variant>
        <vt:i4>0</vt:i4>
      </vt:variant>
      <vt:variant>
        <vt:i4>5</vt:i4>
      </vt:variant>
      <vt:variant>
        <vt:lpwstr>https://apps.cpuc.ca.gov/apex/f?p=401:56:0::NO:RP,57,RIR:P5_PROCEEDING_SELECT:R1812005</vt:lpwstr>
      </vt:variant>
      <vt:variant>
        <vt:lpwstr/>
      </vt:variant>
      <vt:variant>
        <vt:i4>4915281</vt:i4>
      </vt:variant>
      <vt:variant>
        <vt:i4>15</vt:i4>
      </vt:variant>
      <vt:variant>
        <vt:i4>0</vt:i4>
      </vt:variant>
      <vt:variant>
        <vt:i4>5</vt:i4>
      </vt:variant>
      <vt:variant>
        <vt:lpwstr>https://docs.cpuc.ca.gov/SearchRes.aspx?DocFormat=ALL&amp;DocID=336534046</vt:lpwstr>
      </vt:variant>
      <vt:variant>
        <vt:lpwstr/>
      </vt:variant>
      <vt:variant>
        <vt:i4>5177426</vt:i4>
      </vt:variant>
      <vt:variant>
        <vt:i4>12</vt:i4>
      </vt:variant>
      <vt:variant>
        <vt:i4>0</vt:i4>
      </vt:variant>
      <vt:variant>
        <vt:i4>5</vt:i4>
      </vt:variant>
      <vt:variant>
        <vt:lpwstr>https://docs.cpuc.ca.gov/SearchRes.aspx?DocFormat=ALL&amp;DocID=328473978</vt:lpwstr>
      </vt:variant>
      <vt:variant>
        <vt:lpwstr/>
      </vt:variant>
      <vt:variant>
        <vt:i4>4784209</vt:i4>
      </vt:variant>
      <vt:variant>
        <vt:i4>9</vt:i4>
      </vt:variant>
      <vt:variant>
        <vt:i4>0</vt:i4>
      </vt:variant>
      <vt:variant>
        <vt:i4>5</vt:i4>
      </vt:variant>
      <vt:variant>
        <vt:lpwstr>https://docs.cpuc.ca.gov/SearchRes.aspx?DocFormat=ALL&amp;DocID=319752909</vt:lpwstr>
      </vt:variant>
      <vt:variant>
        <vt:lpwstr/>
      </vt:variant>
      <vt:variant>
        <vt:i4>4390997</vt:i4>
      </vt:variant>
      <vt:variant>
        <vt:i4>6</vt:i4>
      </vt:variant>
      <vt:variant>
        <vt:i4>0</vt:i4>
      </vt:variant>
      <vt:variant>
        <vt:i4>5</vt:i4>
      </vt:variant>
      <vt:variant>
        <vt:lpwstr>https://docs.cpuc.ca.gov/SearchRes.aspx?docformat=ALL&amp;DocID=209618807</vt:lpwstr>
      </vt:variant>
      <vt:variant>
        <vt:lpwstr/>
      </vt:variant>
      <vt:variant>
        <vt:i4>1572952</vt:i4>
      </vt:variant>
      <vt:variant>
        <vt:i4>3</vt:i4>
      </vt:variant>
      <vt:variant>
        <vt:i4>0</vt:i4>
      </vt:variant>
      <vt:variant>
        <vt:i4>5</vt:i4>
      </vt:variant>
      <vt:variant>
        <vt:lpwstr>https://apps.cpuc.ca.gov/apex/f?p=401:5:0::NO:RP,5,RIR,57,RIR</vt:lpwstr>
      </vt:variant>
      <vt:variant>
        <vt:lpwstr/>
      </vt:variant>
      <vt:variant>
        <vt:i4>5505048</vt:i4>
      </vt:variant>
      <vt:variant>
        <vt:i4>0</vt:i4>
      </vt:variant>
      <vt:variant>
        <vt:i4>0</vt:i4>
      </vt:variant>
      <vt:variant>
        <vt:i4>5</vt:i4>
      </vt:variant>
      <vt:variant>
        <vt:lpwstr>https://apps.cpuc.ca.gov/apex/f?p=401:56:0::NO:RP,57,RIR:P5_PROCEEDING_SELECT:I1906015</vt:lpwstr>
      </vt:variant>
      <vt:variant>
        <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2020-10-06T15:46:00Z</cp:lastPrinted>
  <dcterms:created xsi:type="dcterms:W3CDTF">2020-10-13T09:00:10Z</dcterms:created>
  <dcterms:modified xsi:type="dcterms:W3CDTF">2020-10-13T09:00:10Z</dcterms:modified>
</cp:coreProperties>
</file>