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52E7F" w:rsidR="00CF06BE" w:rsidP="00BC2C28" w:rsidRDefault="00CF06BE" w14:paraId="20E9D671" w14:textId="77777777">
      <w:pPr>
        <w:tabs>
          <w:tab w:val="left" w:pos="8010"/>
          <w:tab w:val="left" w:pos="8550"/>
          <w:tab w:val="left" w:pos="9270"/>
        </w:tabs>
        <w:jc w:val="center"/>
        <w:rPr>
          <w:rFonts w:ascii="Palatino Linotype" w:hAnsi="Palatino Linotype"/>
          <w:b/>
          <w:szCs w:val="24"/>
        </w:rPr>
      </w:pPr>
      <w:r w:rsidRPr="00352E7F">
        <w:rPr>
          <w:rFonts w:ascii="Palatino Linotype" w:hAnsi="Palatino Linotype"/>
          <w:b/>
          <w:szCs w:val="24"/>
        </w:rPr>
        <w:t>PUBLIC UTILITIES COMMISSION OF THE STATE OF CALIFORNIA</w:t>
      </w:r>
    </w:p>
    <w:p w:rsidRPr="00352E7F" w:rsidR="00CF06BE" w:rsidP="00CF06BE" w:rsidRDefault="00CF06BE" w14:paraId="45D4792E" w14:textId="77777777">
      <w:pPr>
        <w:rPr>
          <w:rFonts w:ascii="Palatino Linotype" w:hAnsi="Palatino Linotype"/>
          <w:b/>
          <w:szCs w:val="24"/>
        </w:rPr>
      </w:pPr>
    </w:p>
    <w:p w:rsidRPr="00352E7F" w:rsidR="00CF06BE" w:rsidP="00CF06BE" w:rsidRDefault="00CF06BE" w14:paraId="0339A22C" w14:textId="77777777">
      <w:pPr>
        <w:pStyle w:val="xl28"/>
        <w:spacing w:before="0" w:beforeAutospacing="0" w:after="0" w:afterAutospacing="0"/>
        <w:rPr>
          <w:rFonts w:ascii="Palatino Linotype" w:hAnsi="Palatino Linotype" w:eastAsia="Times New Roman" w:cs="Times New Roman"/>
          <w:bCs w:val="0"/>
        </w:rPr>
      </w:pPr>
    </w:p>
    <w:tbl>
      <w:tblPr>
        <w:tblW w:w="0" w:type="auto"/>
        <w:tblInd w:w="198" w:type="dxa"/>
        <w:tblLayout w:type="fixed"/>
        <w:tblLook w:val="04A0" w:firstRow="1" w:lastRow="0" w:firstColumn="1" w:lastColumn="0" w:noHBand="0" w:noVBand="1"/>
      </w:tblPr>
      <w:tblGrid>
        <w:gridCol w:w="5760"/>
        <w:gridCol w:w="3150"/>
      </w:tblGrid>
      <w:tr w:rsidRPr="00352E7F" w:rsidR="005D048D" w:rsidTr="00CF06BE" w14:paraId="16A24D51" w14:textId="77777777">
        <w:tc>
          <w:tcPr>
            <w:tcW w:w="5760" w:type="dxa"/>
            <w:hideMark/>
          </w:tcPr>
          <w:p w:rsidRPr="00352E7F" w:rsidR="00CF06BE" w:rsidRDefault="00CF06BE" w14:paraId="550F17E6" w14:textId="77777777">
            <w:pPr>
              <w:rPr>
                <w:rFonts w:ascii="Palatino Linotype" w:hAnsi="Palatino Linotype"/>
                <w:b/>
                <w:szCs w:val="24"/>
              </w:rPr>
            </w:pPr>
            <w:r w:rsidRPr="00352E7F">
              <w:rPr>
                <w:rFonts w:ascii="Palatino Linotype" w:hAnsi="Palatino Linotype"/>
                <w:b/>
                <w:szCs w:val="24"/>
              </w:rPr>
              <w:t>Communications Division</w:t>
            </w:r>
          </w:p>
        </w:tc>
        <w:tc>
          <w:tcPr>
            <w:tcW w:w="3150" w:type="dxa"/>
            <w:hideMark/>
          </w:tcPr>
          <w:p w:rsidRPr="00352E7F" w:rsidR="00CF06BE" w:rsidRDefault="00CF06BE" w14:paraId="3F14A8F3" w14:textId="7F6DED0B">
            <w:pPr>
              <w:pStyle w:val="xl24"/>
              <w:spacing w:before="0" w:beforeAutospacing="0" w:after="0" w:afterAutospacing="0"/>
              <w:rPr>
                <w:rFonts w:ascii="Palatino Linotype" w:hAnsi="Palatino Linotype" w:eastAsia="Times New Roman" w:cs="Times New Roman"/>
                <w:bCs w:val="0"/>
              </w:rPr>
            </w:pPr>
            <w:r w:rsidRPr="00352E7F">
              <w:rPr>
                <w:rFonts w:ascii="Palatino Linotype" w:hAnsi="Palatino Linotype" w:eastAsia="Times New Roman" w:cs="Times New Roman"/>
                <w:bCs w:val="0"/>
              </w:rPr>
              <w:t>RESOLUTION T-17</w:t>
            </w:r>
            <w:r w:rsidR="00800935">
              <w:rPr>
                <w:rFonts w:ascii="Palatino Linotype" w:hAnsi="Palatino Linotype" w:eastAsia="Times New Roman" w:cs="Times New Roman"/>
                <w:bCs w:val="0"/>
              </w:rPr>
              <w:t>715</w:t>
            </w:r>
            <w:r w:rsidRPr="00352E7F">
              <w:rPr>
                <w:rFonts w:ascii="Palatino Linotype" w:hAnsi="Palatino Linotype" w:eastAsia="Times New Roman" w:cs="Times New Roman"/>
                <w:bCs w:val="0"/>
              </w:rPr>
              <w:t xml:space="preserve"> </w:t>
            </w:r>
          </w:p>
        </w:tc>
      </w:tr>
      <w:tr w:rsidRPr="00352E7F" w:rsidR="005D048D" w:rsidTr="00CF06BE" w14:paraId="6C4F2B81" w14:textId="77777777">
        <w:tc>
          <w:tcPr>
            <w:tcW w:w="5760" w:type="dxa"/>
            <w:hideMark/>
          </w:tcPr>
          <w:p w:rsidRPr="00352E7F" w:rsidR="00CF06BE" w:rsidRDefault="00CF06BE" w14:paraId="6B7CEA80" w14:textId="77777777">
            <w:pPr>
              <w:rPr>
                <w:rFonts w:ascii="Palatino Linotype" w:hAnsi="Palatino Linotype"/>
                <w:b/>
                <w:szCs w:val="24"/>
              </w:rPr>
            </w:pPr>
            <w:r w:rsidRPr="00352E7F">
              <w:rPr>
                <w:rFonts w:ascii="Palatino Linotype" w:hAnsi="Palatino Linotype"/>
                <w:b/>
                <w:szCs w:val="24"/>
              </w:rPr>
              <w:t xml:space="preserve">Broadband, Video and Market Branch </w:t>
            </w:r>
          </w:p>
        </w:tc>
        <w:tc>
          <w:tcPr>
            <w:tcW w:w="3150" w:type="dxa"/>
            <w:hideMark/>
          </w:tcPr>
          <w:p w:rsidRPr="00352E7F" w:rsidR="00CF06BE" w:rsidRDefault="00B5206E" w14:paraId="323D14AE" w14:textId="4BF33D36">
            <w:pPr>
              <w:jc w:val="right"/>
              <w:rPr>
                <w:rFonts w:ascii="Palatino Linotype" w:hAnsi="Palatino Linotype"/>
                <w:b/>
                <w:szCs w:val="24"/>
              </w:rPr>
            </w:pPr>
            <w:r w:rsidRPr="00F573EE">
              <w:rPr>
                <w:rFonts w:ascii="Palatino Linotype" w:hAnsi="Palatino Linotype"/>
                <w:b/>
                <w:szCs w:val="24"/>
              </w:rPr>
              <w:t>December 17</w:t>
            </w:r>
            <w:r w:rsidRPr="00F573EE" w:rsidR="00CF06BE">
              <w:rPr>
                <w:rFonts w:ascii="Palatino Linotype" w:hAnsi="Palatino Linotype"/>
                <w:b/>
                <w:szCs w:val="24"/>
              </w:rPr>
              <w:t>, 20</w:t>
            </w:r>
            <w:r w:rsidRPr="00F573EE" w:rsidR="00803AEA">
              <w:rPr>
                <w:rFonts w:ascii="Palatino Linotype" w:hAnsi="Palatino Linotype"/>
                <w:b/>
                <w:szCs w:val="24"/>
              </w:rPr>
              <w:t>20</w:t>
            </w:r>
          </w:p>
        </w:tc>
      </w:tr>
    </w:tbl>
    <w:p w:rsidRPr="00352E7F" w:rsidR="00CF06BE" w:rsidP="00CF06BE" w:rsidRDefault="00CF06BE" w14:paraId="3444DAF7" w14:textId="77777777">
      <w:pPr>
        <w:rPr>
          <w:rFonts w:ascii="Palatino Linotype" w:hAnsi="Palatino Linotype"/>
          <w:b/>
          <w:szCs w:val="24"/>
        </w:rPr>
      </w:pPr>
      <w:r w:rsidRPr="00352E7F">
        <w:rPr>
          <w:rFonts w:ascii="Palatino Linotype" w:hAnsi="Palatino Linotype"/>
          <w:b/>
          <w:szCs w:val="24"/>
        </w:rPr>
        <w:t xml:space="preserve">  </w:t>
      </w:r>
    </w:p>
    <w:p w:rsidRPr="00352E7F" w:rsidR="00CF06BE" w:rsidP="00CF06BE" w:rsidRDefault="00CF06BE" w14:paraId="50910D2C" w14:textId="77777777">
      <w:pPr>
        <w:jc w:val="center"/>
        <w:rPr>
          <w:rFonts w:ascii="Palatino Linotype" w:hAnsi="Palatino Linotype"/>
          <w:b/>
          <w:szCs w:val="24"/>
          <w:u w:val="single"/>
          <w:lang w:val="es-MX"/>
        </w:rPr>
      </w:pPr>
      <w:r w:rsidRPr="00352E7F">
        <w:rPr>
          <w:rFonts w:ascii="Palatino Linotype" w:hAnsi="Palatino Linotype"/>
          <w:b/>
          <w:szCs w:val="24"/>
          <w:u w:val="single"/>
          <w:lang w:val="es-MX"/>
        </w:rPr>
        <w:t>R</w:t>
      </w:r>
      <w:r w:rsidRPr="00352E7F">
        <w:rPr>
          <w:rFonts w:ascii="Palatino Linotype" w:hAnsi="Palatino Linotype"/>
          <w:szCs w:val="24"/>
          <w:u w:val="single"/>
          <w:lang w:val="es-MX"/>
        </w:rPr>
        <w:t xml:space="preserve"> </w:t>
      </w:r>
      <w:r w:rsidRPr="00352E7F">
        <w:rPr>
          <w:rFonts w:ascii="Palatino Linotype" w:hAnsi="Palatino Linotype"/>
          <w:b/>
          <w:szCs w:val="24"/>
          <w:u w:val="single"/>
          <w:lang w:val="es-MX"/>
        </w:rPr>
        <w:t>E</w:t>
      </w:r>
      <w:r w:rsidRPr="00352E7F">
        <w:rPr>
          <w:rFonts w:ascii="Palatino Linotype" w:hAnsi="Palatino Linotype"/>
          <w:szCs w:val="24"/>
          <w:u w:val="single"/>
          <w:lang w:val="es-MX"/>
        </w:rPr>
        <w:t xml:space="preserve"> </w:t>
      </w:r>
      <w:r w:rsidRPr="00352E7F">
        <w:rPr>
          <w:rFonts w:ascii="Palatino Linotype" w:hAnsi="Palatino Linotype"/>
          <w:b/>
          <w:szCs w:val="24"/>
          <w:u w:val="single"/>
          <w:lang w:val="es-MX"/>
        </w:rPr>
        <w:t>S</w:t>
      </w:r>
      <w:r w:rsidRPr="00352E7F">
        <w:rPr>
          <w:rFonts w:ascii="Palatino Linotype" w:hAnsi="Palatino Linotype"/>
          <w:szCs w:val="24"/>
          <w:u w:val="single"/>
          <w:lang w:val="es-MX"/>
        </w:rPr>
        <w:t xml:space="preserve"> </w:t>
      </w:r>
      <w:r w:rsidRPr="00352E7F">
        <w:rPr>
          <w:rFonts w:ascii="Palatino Linotype" w:hAnsi="Palatino Linotype"/>
          <w:b/>
          <w:szCs w:val="24"/>
          <w:u w:val="single"/>
          <w:lang w:val="es-MX"/>
        </w:rPr>
        <w:t>O</w:t>
      </w:r>
      <w:r w:rsidRPr="00352E7F">
        <w:rPr>
          <w:rFonts w:ascii="Palatino Linotype" w:hAnsi="Palatino Linotype"/>
          <w:szCs w:val="24"/>
          <w:u w:val="single"/>
          <w:lang w:val="es-MX"/>
        </w:rPr>
        <w:t xml:space="preserve"> </w:t>
      </w:r>
      <w:r w:rsidRPr="00352E7F">
        <w:rPr>
          <w:rFonts w:ascii="Palatino Linotype" w:hAnsi="Palatino Linotype"/>
          <w:b/>
          <w:szCs w:val="24"/>
          <w:u w:val="single"/>
          <w:lang w:val="es-MX"/>
        </w:rPr>
        <w:t>L</w:t>
      </w:r>
      <w:r w:rsidRPr="00352E7F">
        <w:rPr>
          <w:rFonts w:ascii="Palatino Linotype" w:hAnsi="Palatino Linotype"/>
          <w:szCs w:val="24"/>
          <w:u w:val="single"/>
          <w:lang w:val="es-MX"/>
        </w:rPr>
        <w:t xml:space="preserve"> </w:t>
      </w:r>
      <w:r w:rsidRPr="00352E7F">
        <w:rPr>
          <w:rFonts w:ascii="Palatino Linotype" w:hAnsi="Palatino Linotype"/>
          <w:b/>
          <w:szCs w:val="24"/>
          <w:u w:val="single"/>
          <w:lang w:val="es-MX"/>
        </w:rPr>
        <w:t>U</w:t>
      </w:r>
      <w:r w:rsidRPr="00352E7F">
        <w:rPr>
          <w:rFonts w:ascii="Palatino Linotype" w:hAnsi="Palatino Linotype"/>
          <w:szCs w:val="24"/>
          <w:u w:val="single"/>
          <w:lang w:val="es-MX"/>
        </w:rPr>
        <w:t xml:space="preserve"> </w:t>
      </w:r>
      <w:r w:rsidRPr="00352E7F">
        <w:rPr>
          <w:rFonts w:ascii="Palatino Linotype" w:hAnsi="Palatino Linotype"/>
          <w:b/>
          <w:szCs w:val="24"/>
          <w:u w:val="single"/>
          <w:lang w:val="es-MX"/>
        </w:rPr>
        <w:t>T</w:t>
      </w:r>
      <w:r w:rsidRPr="00352E7F">
        <w:rPr>
          <w:rFonts w:ascii="Palatino Linotype" w:hAnsi="Palatino Linotype"/>
          <w:szCs w:val="24"/>
          <w:u w:val="single"/>
          <w:lang w:val="es-MX"/>
        </w:rPr>
        <w:t xml:space="preserve"> </w:t>
      </w:r>
      <w:r w:rsidRPr="00352E7F">
        <w:rPr>
          <w:rFonts w:ascii="Palatino Linotype" w:hAnsi="Palatino Linotype"/>
          <w:b/>
          <w:szCs w:val="24"/>
          <w:u w:val="single"/>
          <w:lang w:val="es-MX"/>
        </w:rPr>
        <w:t>I</w:t>
      </w:r>
      <w:r w:rsidRPr="00352E7F">
        <w:rPr>
          <w:rFonts w:ascii="Palatino Linotype" w:hAnsi="Palatino Linotype"/>
          <w:szCs w:val="24"/>
          <w:u w:val="single"/>
          <w:lang w:val="es-MX"/>
        </w:rPr>
        <w:t xml:space="preserve"> </w:t>
      </w:r>
      <w:r w:rsidRPr="00352E7F">
        <w:rPr>
          <w:rFonts w:ascii="Palatino Linotype" w:hAnsi="Palatino Linotype"/>
          <w:b/>
          <w:szCs w:val="24"/>
          <w:u w:val="single"/>
          <w:lang w:val="es-MX"/>
        </w:rPr>
        <w:t>O</w:t>
      </w:r>
      <w:r w:rsidRPr="00352E7F">
        <w:rPr>
          <w:rFonts w:ascii="Palatino Linotype" w:hAnsi="Palatino Linotype"/>
          <w:szCs w:val="24"/>
          <w:u w:val="single"/>
          <w:lang w:val="es-MX"/>
        </w:rPr>
        <w:t xml:space="preserve"> </w:t>
      </w:r>
      <w:r w:rsidRPr="00352E7F">
        <w:rPr>
          <w:rFonts w:ascii="Palatino Linotype" w:hAnsi="Palatino Linotype"/>
          <w:b/>
          <w:szCs w:val="24"/>
          <w:u w:val="single"/>
          <w:lang w:val="es-MX"/>
        </w:rPr>
        <w:t>N</w:t>
      </w:r>
    </w:p>
    <w:p w:rsidRPr="00352E7F" w:rsidR="00CF06BE" w:rsidP="00CF06BE" w:rsidRDefault="00CF06BE" w14:paraId="67B329D9" w14:textId="77777777">
      <w:pPr>
        <w:ind w:right="990"/>
        <w:jc w:val="center"/>
        <w:rPr>
          <w:rFonts w:ascii="Palatino Linotype" w:hAnsi="Palatino Linotype"/>
          <w:szCs w:val="24"/>
          <w:lang w:val="es-MX"/>
        </w:rPr>
      </w:pPr>
    </w:p>
    <w:p w:rsidRPr="00B5206E" w:rsidR="00334CEE" w:rsidP="00334CEE" w:rsidRDefault="00CF06BE" w14:paraId="3C085806" w14:textId="11DAC9E7">
      <w:pPr>
        <w:ind w:left="450" w:right="360"/>
        <w:jc w:val="both"/>
        <w:rPr>
          <w:rFonts w:ascii="Palatino Linotype" w:hAnsi="Palatino Linotype"/>
          <w:szCs w:val="24"/>
        </w:rPr>
      </w:pPr>
      <w:r w:rsidRPr="00352E7F">
        <w:rPr>
          <w:rFonts w:ascii="Palatino Linotype" w:hAnsi="Palatino Linotype"/>
          <w:b/>
          <w:bCs/>
          <w:szCs w:val="24"/>
        </w:rPr>
        <w:t>Resolution T-17</w:t>
      </w:r>
      <w:r w:rsidR="00800935">
        <w:rPr>
          <w:rFonts w:ascii="Palatino Linotype" w:hAnsi="Palatino Linotype"/>
          <w:b/>
          <w:bCs/>
          <w:szCs w:val="24"/>
        </w:rPr>
        <w:t>715</w:t>
      </w:r>
      <w:r w:rsidRPr="00352E7F">
        <w:rPr>
          <w:rFonts w:ascii="Palatino Linotype" w:hAnsi="Palatino Linotype"/>
          <w:b/>
          <w:bCs/>
          <w:szCs w:val="24"/>
        </w:rPr>
        <w:t xml:space="preserve">: </w:t>
      </w:r>
      <w:r w:rsidRPr="00352E7F">
        <w:rPr>
          <w:rFonts w:ascii="Palatino Linotype" w:hAnsi="Palatino Linotype"/>
          <w:szCs w:val="24"/>
        </w:rPr>
        <w:t xml:space="preserve">Approval of funding </w:t>
      </w:r>
      <w:r w:rsidR="00FB5741">
        <w:rPr>
          <w:rFonts w:ascii="Palatino Linotype" w:hAnsi="Palatino Linotype"/>
          <w:szCs w:val="24"/>
        </w:rPr>
        <w:t xml:space="preserve">for the grant application of Citizens Telecommunications Company of California, Inc. (U-1024-C), d/b/a Frontier Communications of </w:t>
      </w:r>
      <w:r w:rsidRPr="00B5206E" w:rsidR="00FB5741">
        <w:rPr>
          <w:rFonts w:ascii="Palatino Linotype" w:hAnsi="Palatino Linotype"/>
          <w:szCs w:val="24"/>
        </w:rPr>
        <w:t>California</w:t>
      </w:r>
      <w:r w:rsidRPr="00B5206E" w:rsidR="00334CEE">
        <w:rPr>
          <w:rFonts w:ascii="Palatino Linotype" w:hAnsi="Palatino Linotype"/>
          <w:szCs w:val="24"/>
        </w:rPr>
        <w:t xml:space="preserve">, Inc., from </w:t>
      </w:r>
      <w:r w:rsidRPr="00B5206E" w:rsidR="00043AB2">
        <w:rPr>
          <w:rFonts w:ascii="Palatino Linotype" w:hAnsi="Palatino Linotype"/>
          <w:szCs w:val="24"/>
        </w:rPr>
        <w:t xml:space="preserve">the California Advanced Services Fund (CASF) </w:t>
      </w:r>
      <w:r w:rsidRPr="00B5206E" w:rsidR="00334CEE">
        <w:rPr>
          <w:rFonts w:ascii="Palatino Linotype" w:hAnsi="Palatino Linotype"/>
          <w:szCs w:val="24"/>
        </w:rPr>
        <w:t xml:space="preserve">up to the amount of </w:t>
      </w:r>
      <w:r w:rsidRPr="00B5206E" w:rsidR="005970EF">
        <w:rPr>
          <w:rFonts w:ascii="Palatino Linotype" w:hAnsi="Palatino Linotype"/>
        </w:rPr>
        <w:t xml:space="preserve">$2,841,772 </w:t>
      </w:r>
      <w:r w:rsidRPr="00B5206E" w:rsidR="00334CEE">
        <w:rPr>
          <w:rFonts w:ascii="Palatino Linotype" w:hAnsi="Palatino Linotype"/>
          <w:szCs w:val="24"/>
        </w:rPr>
        <w:t>for the Crescent City and Smith River Projects for unserved areas in Del Norte County.</w:t>
      </w:r>
    </w:p>
    <w:p w:rsidRPr="00B5206E" w:rsidR="00CF06BE" w:rsidP="00CF06BE" w:rsidRDefault="00CF06BE" w14:paraId="00F892F8" w14:textId="58D298B0">
      <w:pPr>
        <w:ind w:left="450" w:right="266"/>
        <w:rPr>
          <w:rFonts w:ascii="Palatino Linotype" w:hAnsi="Palatino Linotype"/>
          <w:bCs/>
          <w:szCs w:val="24"/>
        </w:rPr>
      </w:pPr>
    </w:p>
    <w:p w:rsidRPr="00B5206E" w:rsidR="00F91E2A" w:rsidP="00CF06BE" w:rsidRDefault="00F91E2A" w14:paraId="22387873" w14:textId="77777777">
      <w:pPr>
        <w:ind w:left="450" w:right="266"/>
        <w:rPr>
          <w:rFonts w:ascii="Palatino Linotype" w:hAnsi="Palatino Linotype"/>
          <w:bCs/>
          <w:szCs w:val="24"/>
        </w:rPr>
      </w:pPr>
    </w:p>
    <w:p w:rsidRPr="00B5206E" w:rsidR="00CF06BE" w:rsidP="00352E7F" w:rsidRDefault="00CF06BE" w14:paraId="5B2AD715" w14:textId="7D7903D0">
      <w:pPr>
        <w:pStyle w:val="Heading1"/>
        <w:rPr>
          <w:u w:val="none"/>
        </w:rPr>
      </w:pPr>
      <w:bookmarkStart w:name="_Toc503946610" w:id="0"/>
      <w:r w:rsidRPr="00B5206E">
        <w:rPr>
          <w:rFonts w:ascii="Palatino Linotype" w:hAnsi="Palatino Linotype"/>
          <w:sz w:val="26"/>
          <w:szCs w:val="26"/>
        </w:rPr>
        <w:t>S</w:t>
      </w:r>
      <w:r w:rsidRPr="00B5206E" w:rsidR="00AD7A9C">
        <w:rPr>
          <w:rFonts w:ascii="Palatino Linotype" w:hAnsi="Palatino Linotype"/>
          <w:sz w:val="26"/>
          <w:szCs w:val="26"/>
        </w:rPr>
        <w:t>UMMARY</w:t>
      </w:r>
      <w:bookmarkEnd w:id="0"/>
    </w:p>
    <w:p w:rsidRPr="00B5206E" w:rsidR="00A42432" w:rsidP="00CF06BE" w:rsidRDefault="00A42432" w14:paraId="1DEBE233" w14:textId="77777777">
      <w:pPr>
        <w:pStyle w:val="xl41"/>
        <w:keepNext/>
        <w:overflowPunct/>
        <w:autoSpaceDE/>
        <w:adjustRightInd/>
        <w:spacing w:before="0" w:after="0"/>
        <w:ind w:right="630"/>
        <w:rPr>
          <w:rFonts w:ascii="Palatino Linotype" w:hAnsi="Palatino Linotype" w:eastAsia="Times New Roman"/>
          <w:szCs w:val="24"/>
        </w:rPr>
      </w:pPr>
    </w:p>
    <w:p w:rsidRPr="00B5206E" w:rsidR="00947BDA" w:rsidP="00B32AA3" w:rsidRDefault="00CF06BE" w14:paraId="68F4B680" w14:textId="30A7D31F">
      <w:pPr>
        <w:pStyle w:val="xl41"/>
        <w:keepNext/>
        <w:overflowPunct/>
        <w:autoSpaceDE/>
        <w:adjustRightInd/>
        <w:spacing w:before="0" w:after="0"/>
        <w:rPr>
          <w:rFonts w:ascii="Palatino Linotype" w:hAnsi="Palatino Linotype" w:eastAsia="Times New Roman"/>
          <w:szCs w:val="24"/>
        </w:rPr>
      </w:pPr>
      <w:r w:rsidRPr="00B5206E">
        <w:rPr>
          <w:rFonts w:ascii="Palatino Linotype" w:hAnsi="Palatino Linotype" w:eastAsia="Times New Roman"/>
          <w:szCs w:val="24"/>
        </w:rPr>
        <w:t xml:space="preserve">This Resolution approves </w:t>
      </w:r>
      <w:r w:rsidR="00FB4F97">
        <w:rPr>
          <w:rFonts w:ascii="Palatino Linotype" w:hAnsi="Palatino Linotype" w:eastAsia="Times New Roman"/>
          <w:szCs w:val="24"/>
        </w:rPr>
        <w:t>up to</w:t>
      </w:r>
      <w:r w:rsidRPr="00B5206E">
        <w:rPr>
          <w:rFonts w:ascii="Palatino Linotype" w:hAnsi="Palatino Linotype" w:eastAsia="Times New Roman"/>
          <w:szCs w:val="24"/>
        </w:rPr>
        <w:t xml:space="preserve"> </w:t>
      </w:r>
      <w:r w:rsidRPr="00B5206E" w:rsidR="005970EF">
        <w:rPr>
          <w:rFonts w:ascii="Palatino Linotype" w:hAnsi="Palatino Linotype"/>
        </w:rPr>
        <w:t xml:space="preserve">$2,841,772 </w:t>
      </w:r>
      <w:r w:rsidRPr="00B5206E">
        <w:rPr>
          <w:rFonts w:ascii="Palatino Linotype" w:hAnsi="Palatino Linotype" w:eastAsia="Times New Roman"/>
          <w:szCs w:val="24"/>
        </w:rPr>
        <w:t>from the California Advanced Service</w:t>
      </w:r>
      <w:r w:rsidRPr="00B5206E" w:rsidR="002A2BD6">
        <w:rPr>
          <w:rFonts w:ascii="Palatino Linotype" w:hAnsi="Palatino Linotype" w:eastAsia="Times New Roman"/>
          <w:szCs w:val="24"/>
        </w:rPr>
        <w:t>s</w:t>
      </w:r>
      <w:r w:rsidRPr="00B5206E">
        <w:rPr>
          <w:rFonts w:ascii="Palatino Linotype" w:hAnsi="Palatino Linotype" w:eastAsia="Times New Roman"/>
          <w:szCs w:val="24"/>
        </w:rPr>
        <w:t xml:space="preserve"> Fund (CASF) </w:t>
      </w:r>
      <w:r w:rsidRPr="00B5206E" w:rsidR="00B667A1">
        <w:rPr>
          <w:rFonts w:ascii="Palatino Linotype" w:hAnsi="Palatino Linotype" w:eastAsia="Times New Roman"/>
          <w:szCs w:val="24"/>
        </w:rPr>
        <w:t xml:space="preserve">Infrastructure Grant Account </w:t>
      </w:r>
      <w:r w:rsidRPr="00B5206E">
        <w:rPr>
          <w:rFonts w:ascii="Palatino Linotype" w:hAnsi="Palatino Linotype" w:eastAsia="Times New Roman"/>
          <w:szCs w:val="24"/>
        </w:rPr>
        <w:t xml:space="preserve">for </w:t>
      </w:r>
      <w:r w:rsidRPr="00B5206E" w:rsidR="00814632">
        <w:rPr>
          <w:rFonts w:ascii="Palatino Linotype" w:hAnsi="Palatino Linotype" w:eastAsia="Times New Roman"/>
          <w:szCs w:val="24"/>
        </w:rPr>
        <w:t>two</w:t>
      </w:r>
      <w:r w:rsidRPr="00B5206E">
        <w:rPr>
          <w:rFonts w:ascii="Palatino Linotype" w:hAnsi="Palatino Linotype" w:eastAsia="Times New Roman"/>
          <w:szCs w:val="24"/>
        </w:rPr>
        <w:t xml:space="preserve"> grant application</w:t>
      </w:r>
      <w:r w:rsidRPr="00B5206E" w:rsidR="000A3FA7">
        <w:rPr>
          <w:rFonts w:ascii="Palatino Linotype" w:hAnsi="Palatino Linotype" w:eastAsia="Times New Roman"/>
          <w:szCs w:val="24"/>
        </w:rPr>
        <w:t>s</w:t>
      </w:r>
      <w:r w:rsidRPr="00B5206E">
        <w:rPr>
          <w:rFonts w:ascii="Palatino Linotype" w:hAnsi="Palatino Linotype" w:eastAsia="Times New Roman"/>
          <w:szCs w:val="24"/>
        </w:rPr>
        <w:t xml:space="preserve"> of </w:t>
      </w:r>
      <w:r w:rsidRPr="00B5206E" w:rsidR="00F91E2A">
        <w:rPr>
          <w:rFonts w:ascii="Palatino Linotype" w:hAnsi="Palatino Linotype" w:eastAsia="Times New Roman"/>
          <w:szCs w:val="24"/>
        </w:rPr>
        <w:t xml:space="preserve">Citizens Telecommunications Company of California, d/b/a </w:t>
      </w:r>
      <w:r w:rsidRPr="00B5206E">
        <w:rPr>
          <w:rFonts w:ascii="Palatino Linotype" w:hAnsi="Palatino Linotype" w:eastAsia="Times New Roman"/>
          <w:szCs w:val="24"/>
        </w:rPr>
        <w:t xml:space="preserve">Frontier </w:t>
      </w:r>
      <w:r w:rsidRPr="00B5206E" w:rsidR="00F41C65">
        <w:rPr>
          <w:rFonts w:ascii="Palatino Linotype" w:hAnsi="Palatino Linotype" w:eastAsia="Times New Roman"/>
          <w:szCs w:val="24"/>
        </w:rPr>
        <w:t xml:space="preserve">Communications of </w:t>
      </w:r>
      <w:r w:rsidRPr="00B5206E">
        <w:rPr>
          <w:rFonts w:ascii="Palatino Linotype" w:hAnsi="Palatino Linotype" w:eastAsia="Times New Roman"/>
          <w:szCs w:val="24"/>
        </w:rPr>
        <w:t>California Inc. (Frontier)</w:t>
      </w:r>
      <w:r w:rsidRPr="00B5206E" w:rsidR="003965E4">
        <w:rPr>
          <w:rFonts w:ascii="Palatino Linotype" w:hAnsi="Palatino Linotype" w:eastAsia="Times New Roman"/>
          <w:szCs w:val="24"/>
        </w:rPr>
        <w:t xml:space="preserve">, to construct the Crescent City and Smith River Projects. </w:t>
      </w:r>
      <w:r w:rsidRPr="00B5206E" w:rsidR="00F706F9">
        <w:rPr>
          <w:rFonts w:ascii="Palatino Linotype" w:hAnsi="Palatino Linotype" w:eastAsia="Times New Roman"/>
          <w:szCs w:val="24"/>
        </w:rPr>
        <w:t xml:space="preserve"> </w:t>
      </w:r>
      <w:r w:rsidRPr="00B5206E" w:rsidR="004C5607">
        <w:rPr>
          <w:rFonts w:ascii="Palatino Linotype" w:hAnsi="Palatino Linotype" w:eastAsia="Times New Roman"/>
          <w:szCs w:val="24"/>
        </w:rPr>
        <w:t xml:space="preserve">Frontier proposes to deploy </w:t>
      </w:r>
      <w:r w:rsidRPr="00B5206E" w:rsidR="00075F40">
        <w:rPr>
          <w:rFonts w:ascii="Palatino Linotype" w:hAnsi="Palatino Linotype" w:eastAsia="Times New Roman"/>
          <w:szCs w:val="24"/>
        </w:rPr>
        <w:t>last-mile</w:t>
      </w:r>
      <w:r w:rsidRPr="00B5206E" w:rsidR="004C5607">
        <w:rPr>
          <w:rFonts w:ascii="Palatino Linotype" w:hAnsi="Palatino Linotype" w:eastAsia="Times New Roman"/>
          <w:szCs w:val="24"/>
        </w:rPr>
        <w:t xml:space="preserve"> </w:t>
      </w:r>
      <w:r w:rsidRPr="00B5206E" w:rsidR="00B51169">
        <w:rPr>
          <w:rFonts w:ascii="Palatino Linotype" w:hAnsi="Palatino Linotype" w:eastAsia="Times New Roman"/>
          <w:szCs w:val="24"/>
        </w:rPr>
        <w:t>fiber</w:t>
      </w:r>
      <w:r w:rsidR="00263769">
        <w:rPr>
          <w:rFonts w:ascii="Palatino Linotype" w:hAnsi="Palatino Linotype" w:eastAsia="Times New Roman"/>
          <w:szCs w:val="24"/>
        </w:rPr>
        <w:t>-</w:t>
      </w:r>
      <w:r w:rsidRPr="00B5206E" w:rsidR="00B51169">
        <w:rPr>
          <w:rFonts w:ascii="Palatino Linotype" w:hAnsi="Palatino Linotype" w:eastAsia="Times New Roman"/>
          <w:szCs w:val="24"/>
        </w:rPr>
        <w:t>to</w:t>
      </w:r>
      <w:r w:rsidR="00263769">
        <w:rPr>
          <w:rFonts w:ascii="Palatino Linotype" w:hAnsi="Palatino Linotype" w:eastAsia="Times New Roman"/>
          <w:szCs w:val="24"/>
        </w:rPr>
        <w:t>-</w:t>
      </w:r>
      <w:r w:rsidRPr="00B5206E" w:rsidR="00B51169">
        <w:rPr>
          <w:rFonts w:ascii="Palatino Linotype" w:hAnsi="Palatino Linotype" w:eastAsia="Times New Roman"/>
          <w:szCs w:val="24"/>
        </w:rPr>
        <w:t>the</w:t>
      </w:r>
      <w:r w:rsidR="00263769">
        <w:rPr>
          <w:rFonts w:ascii="Palatino Linotype" w:hAnsi="Palatino Linotype" w:eastAsia="Times New Roman"/>
          <w:szCs w:val="24"/>
        </w:rPr>
        <w:t>-</w:t>
      </w:r>
      <w:r w:rsidRPr="00B5206E" w:rsidR="00B51169">
        <w:rPr>
          <w:rFonts w:ascii="Palatino Linotype" w:hAnsi="Palatino Linotype" w:eastAsia="Times New Roman"/>
          <w:szCs w:val="24"/>
        </w:rPr>
        <w:t>premise</w:t>
      </w:r>
      <w:r w:rsidRPr="00B5206E" w:rsidR="00075F40">
        <w:rPr>
          <w:rFonts w:ascii="Palatino Linotype" w:hAnsi="Palatino Linotype" w:eastAsia="Times New Roman"/>
          <w:szCs w:val="24"/>
        </w:rPr>
        <w:t xml:space="preserve"> </w:t>
      </w:r>
      <w:r w:rsidRPr="00B5206E" w:rsidR="00B51169">
        <w:rPr>
          <w:rFonts w:ascii="Palatino Linotype" w:hAnsi="Palatino Linotype" w:eastAsia="Times New Roman"/>
          <w:szCs w:val="24"/>
        </w:rPr>
        <w:t>(FTTP</w:t>
      </w:r>
      <w:r w:rsidRPr="00B5206E" w:rsidR="00075F40">
        <w:rPr>
          <w:rFonts w:ascii="Palatino Linotype" w:hAnsi="Palatino Linotype" w:eastAsia="Times New Roman"/>
          <w:szCs w:val="24"/>
        </w:rPr>
        <w:t xml:space="preserve">) </w:t>
      </w:r>
      <w:r w:rsidRPr="00B5206E" w:rsidR="0025747A">
        <w:rPr>
          <w:rFonts w:ascii="Palatino Linotype" w:hAnsi="Palatino Linotype" w:eastAsia="Times New Roman"/>
          <w:szCs w:val="24"/>
        </w:rPr>
        <w:t>technology</w:t>
      </w:r>
      <w:r w:rsidRPr="00B5206E" w:rsidR="00075F40">
        <w:rPr>
          <w:rFonts w:ascii="Palatino Linotype" w:hAnsi="Palatino Linotype" w:eastAsia="Times New Roman"/>
          <w:szCs w:val="24"/>
        </w:rPr>
        <w:t xml:space="preserve"> </w:t>
      </w:r>
      <w:r w:rsidRPr="00B5206E" w:rsidR="005175AC">
        <w:rPr>
          <w:rFonts w:ascii="Palatino Linotype" w:hAnsi="Palatino Linotype" w:eastAsia="Times New Roman"/>
          <w:szCs w:val="24"/>
        </w:rPr>
        <w:t>to</w:t>
      </w:r>
      <w:r w:rsidRPr="00B5206E" w:rsidR="00075F40">
        <w:rPr>
          <w:rFonts w:ascii="Palatino Linotype" w:hAnsi="Palatino Linotype" w:eastAsia="Times New Roman"/>
          <w:szCs w:val="24"/>
        </w:rPr>
        <w:t xml:space="preserve"> communities </w:t>
      </w:r>
      <w:r w:rsidRPr="00B5206E" w:rsidR="005175AC">
        <w:rPr>
          <w:rFonts w:ascii="Palatino Linotype" w:hAnsi="Palatino Linotype" w:eastAsia="Times New Roman"/>
          <w:szCs w:val="24"/>
        </w:rPr>
        <w:t xml:space="preserve">in </w:t>
      </w:r>
      <w:r w:rsidRPr="00B5206E" w:rsidR="00F42003">
        <w:rPr>
          <w:rFonts w:ascii="Palatino Linotype" w:hAnsi="Palatino Linotype" w:eastAsia="Times New Roman"/>
          <w:szCs w:val="24"/>
        </w:rPr>
        <w:t>Del Norte</w:t>
      </w:r>
      <w:r w:rsidRPr="00B5206E" w:rsidR="009966EB">
        <w:rPr>
          <w:rFonts w:ascii="Palatino Linotype" w:hAnsi="Palatino Linotype" w:eastAsia="Times New Roman"/>
          <w:szCs w:val="24"/>
        </w:rPr>
        <w:t xml:space="preserve"> County</w:t>
      </w:r>
      <w:r w:rsidRPr="00B5206E" w:rsidR="00075F40">
        <w:rPr>
          <w:rFonts w:ascii="Palatino Linotype" w:hAnsi="Palatino Linotype" w:eastAsia="Times New Roman"/>
          <w:szCs w:val="24"/>
        </w:rPr>
        <w:t xml:space="preserve">.  </w:t>
      </w:r>
    </w:p>
    <w:p w:rsidRPr="00B5206E" w:rsidR="00947BDA" w:rsidP="00B32AA3" w:rsidRDefault="00947BDA" w14:paraId="1559332A" w14:textId="77777777">
      <w:pPr>
        <w:pStyle w:val="xl41"/>
        <w:keepNext/>
        <w:overflowPunct/>
        <w:autoSpaceDE/>
        <w:adjustRightInd/>
        <w:spacing w:before="0" w:after="0"/>
        <w:rPr>
          <w:rFonts w:ascii="Palatino Linotype" w:hAnsi="Palatino Linotype" w:eastAsia="Times New Roman"/>
          <w:szCs w:val="24"/>
        </w:rPr>
      </w:pPr>
    </w:p>
    <w:p w:rsidRPr="00B5206E" w:rsidR="00CF06BE" w:rsidP="74581152" w:rsidRDefault="0025747A" w14:paraId="72E63406" w14:textId="27E97417">
      <w:pPr>
        <w:pStyle w:val="xl41"/>
        <w:keepNext/>
        <w:overflowPunct/>
        <w:autoSpaceDE/>
        <w:adjustRightInd/>
        <w:spacing w:before="0" w:after="0"/>
        <w:rPr>
          <w:rFonts w:ascii="Palatino Linotype" w:hAnsi="Palatino Linotype" w:eastAsia="Times New Roman"/>
        </w:rPr>
      </w:pPr>
      <w:r w:rsidRPr="74581152">
        <w:rPr>
          <w:rFonts w:ascii="Palatino Linotype" w:hAnsi="Palatino Linotype" w:eastAsia="Times New Roman"/>
        </w:rPr>
        <w:t>The project</w:t>
      </w:r>
      <w:r w:rsidRPr="74581152" w:rsidR="00F47926">
        <w:rPr>
          <w:rFonts w:ascii="Palatino Linotype" w:hAnsi="Palatino Linotype" w:eastAsia="Times New Roman"/>
        </w:rPr>
        <w:t>s</w:t>
      </w:r>
      <w:r w:rsidRPr="74581152">
        <w:rPr>
          <w:rFonts w:ascii="Palatino Linotype" w:hAnsi="Palatino Linotype" w:eastAsia="Times New Roman"/>
        </w:rPr>
        <w:t xml:space="preserve"> will enable broadband access speeds of at least </w:t>
      </w:r>
      <w:r w:rsidRPr="74581152" w:rsidR="00F47926">
        <w:rPr>
          <w:rFonts w:ascii="Palatino Linotype" w:hAnsi="Palatino Linotype" w:eastAsia="Times New Roman"/>
        </w:rPr>
        <w:t>50</w:t>
      </w:r>
      <w:r w:rsidRPr="74581152">
        <w:rPr>
          <w:rFonts w:ascii="Palatino Linotype" w:hAnsi="Palatino Linotype" w:eastAsia="Times New Roman"/>
        </w:rPr>
        <w:t xml:space="preserve"> Mbps download and </w:t>
      </w:r>
      <w:r w:rsidRPr="74581152" w:rsidR="00263E4B">
        <w:rPr>
          <w:rFonts w:ascii="Palatino Linotype" w:hAnsi="Palatino Linotype" w:eastAsia="Times New Roman"/>
        </w:rPr>
        <w:t xml:space="preserve">50 </w:t>
      </w:r>
      <w:r w:rsidRPr="74581152">
        <w:rPr>
          <w:rFonts w:ascii="Palatino Linotype" w:hAnsi="Palatino Linotype" w:eastAsia="Times New Roman"/>
        </w:rPr>
        <w:t xml:space="preserve">Mbps upload to </w:t>
      </w:r>
      <w:r w:rsidRPr="74581152" w:rsidR="009852AE">
        <w:rPr>
          <w:rFonts w:ascii="Palatino Linotype" w:hAnsi="Palatino Linotype" w:eastAsia="Times New Roman"/>
        </w:rPr>
        <w:t>1</w:t>
      </w:r>
      <w:r w:rsidRPr="74581152" w:rsidR="005970EF">
        <w:rPr>
          <w:rFonts w:ascii="Palatino Linotype" w:hAnsi="Palatino Linotype" w:eastAsia="Times New Roman"/>
        </w:rPr>
        <w:t>6</w:t>
      </w:r>
      <w:r w:rsidRPr="74581152" w:rsidR="009852AE">
        <w:rPr>
          <w:rFonts w:ascii="Palatino Linotype" w:hAnsi="Palatino Linotype" w:eastAsia="Times New Roman"/>
        </w:rPr>
        <w:t>0</w:t>
      </w:r>
      <w:r w:rsidRPr="74581152">
        <w:rPr>
          <w:rFonts w:ascii="Palatino Linotype" w:hAnsi="Palatino Linotype" w:eastAsia="Times New Roman"/>
        </w:rPr>
        <w:t xml:space="preserve"> CASF-eligible households.  </w:t>
      </w:r>
      <w:r w:rsidRPr="74581152" w:rsidR="006B50BC">
        <w:rPr>
          <w:rFonts w:ascii="Palatino Linotype" w:hAnsi="Palatino Linotype" w:eastAsia="Times New Roman"/>
        </w:rPr>
        <w:t>The proposed project area</w:t>
      </w:r>
      <w:r w:rsidR="006B71E3">
        <w:rPr>
          <w:rFonts w:ascii="Palatino Linotype" w:hAnsi="Palatino Linotype" w:eastAsia="Times New Roman"/>
        </w:rPr>
        <w:t>s</w:t>
      </w:r>
      <w:r w:rsidRPr="74581152" w:rsidR="006B50BC">
        <w:rPr>
          <w:rFonts w:ascii="Palatino Linotype" w:hAnsi="Palatino Linotype" w:eastAsia="Times New Roman"/>
        </w:rPr>
        <w:t xml:space="preserve"> </w:t>
      </w:r>
      <w:r w:rsidR="006B71E3">
        <w:rPr>
          <w:rFonts w:ascii="Palatino Linotype" w:hAnsi="Palatino Linotype" w:eastAsia="Times New Roman"/>
        </w:rPr>
        <w:t>are</w:t>
      </w:r>
      <w:r w:rsidRPr="74581152" w:rsidR="006B50BC">
        <w:rPr>
          <w:rFonts w:ascii="Palatino Linotype" w:hAnsi="Palatino Linotype" w:eastAsia="Times New Roman"/>
        </w:rPr>
        <w:t xml:space="preserve"> </w:t>
      </w:r>
      <w:r w:rsidRPr="74581152" w:rsidR="00C350C5">
        <w:rPr>
          <w:rFonts w:ascii="Palatino Linotype" w:hAnsi="Palatino Linotype" w:eastAsia="Times New Roman"/>
        </w:rPr>
        <w:t xml:space="preserve">currently </w:t>
      </w:r>
      <w:r w:rsidRPr="74581152" w:rsidR="006B50BC">
        <w:rPr>
          <w:rFonts w:ascii="Palatino Linotype" w:hAnsi="Palatino Linotype" w:eastAsia="Times New Roman"/>
        </w:rPr>
        <w:t>unserved</w:t>
      </w:r>
      <w:r w:rsidRPr="74581152" w:rsidR="721A87B3">
        <w:rPr>
          <w:rFonts w:ascii="Palatino Linotype" w:hAnsi="Palatino Linotype" w:eastAsia="Times New Roman"/>
        </w:rPr>
        <w:t>,</w:t>
      </w:r>
      <w:r w:rsidRPr="74581152" w:rsidR="006B50BC">
        <w:rPr>
          <w:rFonts w:ascii="Palatino Linotype" w:hAnsi="Palatino Linotype" w:eastAsia="Times New Roman"/>
        </w:rPr>
        <w:t xml:space="preserve"> with no </w:t>
      </w:r>
      <w:r w:rsidRPr="74581152" w:rsidR="0056149F">
        <w:rPr>
          <w:rFonts w:ascii="Palatino Linotype" w:hAnsi="Palatino Linotype" w:eastAsia="Times New Roman"/>
        </w:rPr>
        <w:t xml:space="preserve">facilities-based </w:t>
      </w:r>
      <w:r w:rsidRPr="74581152" w:rsidR="006B50BC">
        <w:rPr>
          <w:rFonts w:ascii="Palatino Linotype" w:hAnsi="Palatino Linotype" w:eastAsia="Times New Roman"/>
        </w:rPr>
        <w:t xml:space="preserve">wireline or fixed wireless broadband </w:t>
      </w:r>
      <w:r w:rsidRPr="74581152" w:rsidR="000B21F9">
        <w:rPr>
          <w:rFonts w:ascii="Palatino Linotype" w:hAnsi="Palatino Linotype" w:eastAsia="Times New Roman"/>
        </w:rPr>
        <w:t>service provider</w:t>
      </w:r>
      <w:r w:rsidRPr="74581152">
        <w:rPr>
          <w:rFonts w:ascii="Palatino Linotype" w:hAnsi="Palatino Linotype" w:eastAsia="Times New Roman"/>
        </w:rPr>
        <w:t xml:space="preserve">.  </w:t>
      </w:r>
      <w:r w:rsidRPr="74581152" w:rsidR="003E718E">
        <w:rPr>
          <w:rFonts w:ascii="Palatino Linotype" w:hAnsi="Palatino Linotype" w:eastAsia="Times New Roman"/>
        </w:rPr>
        <w:t>The proposed project</w:t>
      </w:r>
      <w:r w:rsidR="006B71E3">
        <w:rPr>
          <w:rFonts w:ascii="Palatino Linotype" w:hAnsi="Palatino Linotype" w:eastAsia="Times New Roman"/>
        </w:rPr>
        <w:t>s</w:t>
      </w:r>
      <w:r w:rsidRPr="74581152" w:rsidR="003E718E">
        <w:rPr>
          <w:rFonts w:ascii="Palatino Linotype" w:hAnsi="Palatino Linotype" w:eastAsia="Times New Roman"/>
        </w:rPr>
        <w:t xml:space="preserve"> will provide ancillary benefits, including improved connectivity </w:t>
      </w:r>
      <w:r w:rsidRPr="74581152" w:rsidR="001041F3">
        <w:rPr>
          <w:rFonts w:ascii="Palatino Linotype" w:hAnsi="Palatino Linotype" w:eastAsia="Times New Roman"/>
        </w:rPr>
        <w:t>to low income and Tribal communities</w:t>
      </w:r>
      <w:r w:rsidRPr="74581152" w:rsidR="003E718E">
        <w:rPr>
          <w:rFonts w:ascii="Palatino Linotype" w:hAnsi="Palatino Linotype" w:eastAsia="Times New Roman"/>
        </w:rPr>
        <w:t xml:space="preserve">.  </w:t>
      </w:r>
    </w:p>
    <w:p w:rsidRPr="00B5206E" w:rsidR="00CF06BE" w:rsidP="00F04308" w:rsidRDefault="00CF06BE" w14:paraId="7E1CDEA4" w14:textId="77777777">
      <w:pPr>
        <w:pStyle w:val="xl41"/>
        <w:keepNext/>
        <w:overflowPunct/>
        <w:autoSpaceDE/>
        <w:adjustRightInd/>
        <w:spacing w:before="0" w:after="0"/>
        <w:jc w:val="both"/>
        <w:rPr>
          <w:rFonts w:ascii="Palatino Linotype" w:hAnsi="Palatino Linotype" w:eastAsia="Times New Roman"/>
          <w:szCs w:val="24"/>
        </w:rPr>
      </w:pPr>
    </w:p>
    <w:p w:rsidRPr="00B5206E" w:rsidR="00AD7A9C" w:rsidP="00EE5FC0" w:rsidRDefault="00AD7A9C" w14:paraId="254951D8" w14:textId="5C1D049D">
      <w:pPr>
        <w:pStyle w:val="Heading1"/>
        <w:rPr>
          <w:rFonts w:ascii="Palatino Linotype" w:hAnsi="Palatino Linotype"/>
          <w:sz w:val="26"/>
          <w:szCs w:val="26"/>
        </w:rPr>
      </w:pPr>
      <w:bookmarkStart w:name="_Toc503946611" w:id="1"/>
      <w:r w:rsidRPr="00B5206E">
        <w:rPr>
          <w:rFonts w:ascii="Palatino Linotype" w:hAnsi="Palatino Linotype"/>
          <w:sz w:val="26"/>
          <w:szCs w:val="26"/>
        </w:rPr>
        <w:t>BACKGROUND</w:t>
      </w:r>
    </w:p>
    <w:p w:rsidRPr="00B5206E" w:rsidR="00192AA8" w:rsidRDefault="00192AA8" w14:paraId="6046DC4A" w14:textId="197DFA3F">
      <w:pPr>
        <w:rPr>
          <w:rFonts w:ascii="Palatino Linotype" w:hAnsi="Palatino Linotype"/>
        </w:rPr>
      </w:pPr>
    </w:p>
    <w:p w:rsidRPr="00947BDA" w:rsidR="7F045F0A" w:rsidDel="5F0806C7" w:rsidP="48D6FFE1" w:rsidRDefault="00A43B71" w14:paraId="50401714" w14:textId="7014C4F7">
      <w:pPr>
        <w:rPr>
          <w:rFonts w:ascii="Palatino Linotype" w:hAnsi="Palatino Linotype"/>
          <w:color w:val="000000" w:themeColor="text1"/>
        </w:rPr>
      </w:pPr>
      <w:r w:rsidRPr="48D6FFE1">
        <w:rPr>
          <w:rFonts w:ascii="Palatino Linotype" w:hAnsi="Palatino Linotype"/>
        </w:rPr>
        <w:t xml:space="preserve">The </w:t>
      </w:r>
      <w:r w:rsidRPr="48D6FFE1" w:rsidR="00D437B9">
        <w:rPr>
          <w:rFonts w:ascii="Palatino Linotype" w:hAnsi="Palatino Linotype"/>
        </w:rPr>
        <w:t xml:space="preserve">CASF Infrastructure </w:t>
      </w:r>
      <w:r w:rsidRPr="48D6FFE1" w:rsidR="00767073">
        <w:rPr>
          <w:rFonts w:ascii="Palatino Linotype" w:hAnsi="Palatino Linotype"/>
        </w:rPr>
        <w:t>Grant Account</w:t>
      </w:r>
      <w:r w:rsidRPr="48D6FFE1" w:rsidR="00CB6E68">
        <w:rPr>
          <w:rFonts w:ascii="Palatino Linotype" w:hAnsi="Palatino Linotype"/>
        </w:rPr>
        <w:t xml:space="preserve"> (CASF Infrastructure</w:t>
      </w:r>
      <w:r w:rsidRPr="48D6FFE1" w:rsidR="00CB6E68">
        <w:rPr>
          <w:rFonts w:ascii="Palatino Linotype" w:hAnsi="Palatino Linotype"/>
          <w:color w:val="000000" w:themeColor="text1"/>
        </w:rPr>
        <w:t>)</w:t>
      </w:r>
      <w:r w:rsidRPr="48D6FFE1" w:rsidR="00352E3E">
        <w:rPr>
          <w:rFonts w:ascii="Palatino Linotype" w:hAnsi="Palatino Linotype"/>
          <w:color w:val="000000" w:themeColor="text1"/>
        </w:rPr>
        <w:t xml:space="preserve"> provides grant funding to Internet service providers to build or upgrade broadband infrastructure in areas that are unserved by existing broadband providers</w:t>
      </w:r>
      <w:r w:rsidRPr="48D6FFE1" w:rsidR="4A2BDE34">
        <w:rPr>
          <w:rFonts w:ascii="Palatino Linotype" w:hAnsi="Palatino Linotype"/>
          <w:color w:val="000000" w:themeColor="text1"/>
        </w:rPr>
        <w:t xml:space="preserve">  </w:t>
      </w:r>
      <w:r w:rsidRPr="48D6FFE1" w:rsidR="005B26B8">
        <w:rPr>
          <w:rFonts w:ascii="Palatino Linotype" w:hAnsi="Palatino Linotype" w:eastAsia="Palatino Linotype" w:cs="Palatino Linotype"/>
        </w:rPr>
        <w:t>T</w:t>
      </w:r>
      <w:r w:rsidRPr="48D6FFE1" w:rsidR="005B26B8">
        <w:rPr>
          <w:rFonts w:ascii="Palatino Linotype" w:hAnsi="Palatino Linotype"/>
          <w:color w:val="000000" w:themeColor="text1"/>
        </w:rPr>
        <w:t>he CASF program was initiated in 2008, after the program was first adopted by the</w:t>
      </w:r>
      <w:r w:rsidRPr="48D6FFE1" w:rsidR="0BCB4C7E">
        <w:rPr>
          <w:rFonts w:ascii="Palatino Linotype" w:hAnsi="Palatino Linotype"/>
          <w:color w:val="000000" w:themeColor="text1"/>
        </w:rPr>
        <w:t xml:space="preserve"> California Public Utilities</w:t>
      </w:r>
      <w:r w:rsidRPr="48D6FFE1" w:rsidR="005B26B8">
        <w:rPr>
          <w:rFonts w:ascii="Palatino Linotype" w:hAnsi="Palatino Linotype"/>
          <w:color w:val="000000" w:themeColor="text1"/>
        </w:rPr>
        <w:t xml:space="preserve"> Commission</w:t>
      </w:r>
      <w:r w:rsidRPr="48D6FFE1" w:rsidR="6C0DC119">
        <w:rPr>
          <w:rFonts w:ascii="Palatino Linotype" w:hAnsi="Palatino Linotype"/>
          <w:color w:val="000000" w:themeColor="text1"/>
        </w:rPr>
        <w:t xml:space="preserve"> (Commission)</w:t>
      </w:r>
      <w:r w:rsidRPr="48D6FFE1" w:rsidR="005B26B8">
        <w:rPr>
          <w:rFonts w:ascii="Palatino Linotype" w:hAnsi="Palatino Linotype"/>
          <w:color w:val="000000" w:themeColor="text1"/>
        </w:rPr>
        <w:t xml:space="preserve"> in Decision (D.) 07-12-054 and enacted into statu</w:t>
      </w:r>
      <w:r w:rsidRPr="48D6FFE1" w:rsidR="00137593">
        <w:rPr>
          <w:rFonts w:ascii="Palatino Linotype" w:hAnsi="Palatino Linotype"/>
          <w:color w:val="000000" w:themeColor="text1"/>
        </w:rPr>
        <w:t>t</w:t>
      </w:r>
      <w:r w:rsidRPr="48D6FFE1" w:rsidR="005B26B8">
        <w:rPr>
          <w:rFonts w:ascii="Palatino Linotype" w:hAnsi="Palatino Linotype"/>
          <w:color w:val="000000" w:themeColor="text1"/>
        </w:rPr>
        <w:t xml:space="preserve">e pursuant to Senate Bill (SB) 1193.  </w:t>
      </w:r>
    </w:p>
    <w:p w:rsidRPr="00947BDA" w:rsidR="162E9739" w:rsidP="007F2CDA" w:rsidRDefault="007F2CDA" w14:paraId="63B690B2" w14:textId="5D91AD93">
      <w:pPr>
        <w:tabs>
          <w:tab w:val="left" w:pos="4110"/>
        </w:tabs>
        <w:rPr>
          <w:rFonts w:ascii="Palatino Linotype" w:hAnsi="Palatino Linotype"/>
        </w:rPr>
      </w:pPr>
      <w:r>
        <w:rPr>
          <w:rFonts w:ascii="Palatino Linotype" w:hAnsi="Palatino Linotype"/>
        </w:rPr>
        <w:tab/>
      </w:r>
    </w:p>
    <w:p w:rsidR="00C71B3A" w:rsidP="004D56AC" w:rsidRDefault="00C71B3A" w14:paraId="3965A2B3" w14:textId="4F588C13">
      <w:pPr>
        <w:rPr>
          <w:rFonts w:ascii="Palatino Linotype" w:hAnsi="Palatino Linotype"/>
        </w:rPr>
      </w:pPr>
      <w:r w:rsidRPr="006219D0">
        <w:rPr>
          <w:rFonts w:ascii="Palatino Linotype" w:hAnsi="Palatino Linotype"/>
        </w:rPr>
        <w:lastRenderedPageBreak/>
        <w:t>On October 15, 2017, Governor Brown signed Assembly Bill (AB) 1665 (Garcia)</w:t>
      </w:r>
      <w:r w:rsidRPr="006219D0">
        <w:rPr>
          <w:rStyle w:val="FootnoteReference"/>
          <w:rFonts w:ascii="Palatino Linotype" w:hAnsi="Palatino Linotype"/>
        </w:rPr>
        <w:footnoteReference w:id="2"/>
      </w:r>
      <w:r w:rsidRPr="006219D0">
        <w:rPr>
          <w:rFonts w:ascii="Palatino Linotype" w:hAnsi="Palatino Linotype"/>
        </w:rPr>
        <w:t xml:space="preserve"> into law.  This legislation amended the statute governing the C</w:t>
      </w:r>
      <w:r w:rsidRPr="006219D0" w:rsidR="00D437B9">
        <w:rPr>
          <w:rFonts w:ascii="Palatino Linotype" w:hAnsi="Palatino Linotype"/>
        </w:rPr>
        <w:t>ASF</w:t>
      </w:r>
      <w:r w:rsidRPr="006219D0">
        <w:rPr>
          <w:rFonts w:ascii="Palatino Linotype" w:hAnsi="Palatino Linotype"/>
        </w:rPr>
        <w:t xml:space="preserve"> program, Public Utilities Code § 281.  </w:t>
      </w:r>
      <w:r w:rsidRPr="006219D0" w:rsidR="00FF26EA">
        <w:rPr>
          <w:rFonts w:ascii="Palatino Linotype" w:hAnsi="Palatino Linotype"/>
        </w:rPr>
        <w:t xml:space="preserve">The Commission </w:t>
      </w:r>
      <w:r w:rsidRPr="006219D0" w:rsidR="00A53D3C">
        <w:rPr>
          <w:rFonts w:ascii="Palatino Linotype" w:hAnsi="Palatino Linotype"/>
        </w:rPr>
        <w:t xml:space="preserve">issued </w:t>
      </w:r>
      <w:r w:rsidRPr="006219D0" w:rsidR="00D13B34">
        <w:rPr>
          <w:rFonts w:ascii="Palatino Linotype" w:hAnsi="Palatino Linotype"/>
        </w:rPr>
        <w:t>D</w:t>
      </w:r>
      <w:r w:rsidRPr="006219D0" w:rsidR="00246673">
        <w:rPr>
          <w:rFonts w:ascii="Palatino Linotype" w:hAnsi="Palatino Linotype"/>
        </w:rPr>
        <w:t>.</w:t>
      </w:r>
      <w:r w:rsidRPr="006219D0" w:rsidR="00A32BEF">
        <w:rPr>
          <w:rFonts w:ascii="Palatino Linotype" w:hAnsi="Palatino Linotype"/>
        </w:rPr>
        <w:t>18-12-018</w:t>
      </w:r>
      <w:r w:rsidRPr="006219D0" w:rsidR="00D13B34">
        <w:rPr>
          <w:rFonts w:ascii="Palatino Linotype" w:hAnsi="Palatino Linotype"/>
        </w:rPr>
        <w:t xml:space="preserve"> </w:t>
      </w:r>
      <w:r w:rsidRPr="006219D0" w:rsidR="00D250D3">
        <w:rPr>
          <w:rFonts w:ascii="Palatino Linotype" w:hAnsi="Palatino Linotype"/>
        </w:rPr>
        <w:t xml:space="preserve">adopting the </w:t>
      </w:r>
      <w:r w:rsidRPr="002E747E" w:rsidR="006E5466">
        <w:rPr>
          <w:rFonts w:ascii="Palatino Linotype" w:hAnsi="Palatino Linotype"/>
        </w:rPr>
        <w:t>programmatic changes to the CASF</w:t>
      </w:r>
      <w:r w:rsidRPr="002E747E" w:rsidR="00F37A24">
        <w:rPr>
          <w:rFonts w:ascii="Palatino Linotype" w:hAnsi="Palatino Linotype"/>
        </w:rPr>
        <w:t xml:space="preserve">.  </w:t>
      </w:r>
      <w:r w:rsidRPr="00947BDA" w:rsidR="00F37A24">
        <w:rPr>
          <w:rFonts w:ascii="Palatino Linotype" w:hAnsi="Palatino Linotype"/>
        </w:rPr>
        <w:t>Appendix</w:t>
      </w:r>
      <w:r w:rsidRPr="00947BDA" w:rsidR="00A25FAE">
        <w:rPr>
          <w:rFonts w:ascii="Palatino Linotype" w:hAnsi="Palatino Linotype"/>
        </w:rPr>
        <w:t xml:space="preserve"> 1 of </w:t>
      </w:r>
      <w:r w:rsidRPr="00947BDA" w:rsidR="002857FF">
        <w:rPr>
          <w:rFonts w:ascii="Palatino Linotype" w:hAnsi="Palatino Linotype"/>
        </w:rPr>
        <w:t>D.18-12-018</w:t>
      </w:r>
      <w:r w:rsidRPr="00947BDA" w:rsidR="00B909AA">
        <w:rPr>
          <w:rFonts w:ascii="Palatino Linotype" w:hAnsi="Palatino Linotype"/>
        </w:rPr>
        <w:t xml:space="preserve"> </w:t>
      </w:r>
      <w:r w:rsidRPr="00947BDA" w:rsidR="0086485A">
        <w:rPr>
          <w:rFonts w:ascii="Palatino Linotype" w:hAnsi="Palatino Linotype"/>
        </w:rPr>
        <w:t xml:space="preserve">set </w:t>
      </w:r>
      <w:r w:rsidRPr="00947BDA" w:rsidR="003D72A2">
        <w:rPr>
          <w:rFonts w:ascii="Palatino Linotype" w:hAnsi="Palatino Linotype"/>
        </w:rPr>
        <w:t xml:space="preserve">forth the </w:t>
      </w:r>
      <w:r w:rsidRPr="00947BDA" w:rsidR="00A762F1">
        <w:rPr>
          <w:rFonts w:ascii="Palatino Linotype" w:hAnsi="Palatino Linotype"/>
        </w:rPr>
        <w:t>rules, applica</w:t>
      </w:r>
      <w:r w:rsidRPr="00947BDA" w:rsidR="005136F9">
        <w:rPr>
          <w:rFonts w:ascii="Palatino Linotype" w:hAnsi="Palatino Linotype"/>
        </w:rPr>
        <w:t xml:space="preserve">tion </w:t>
      </w:r>
      <w:r w:rsidRPr="00947BDA" w:rsidR="00A762F1">
        <w:rPr>
          <w:rFonts w:ascii="Palatino Linotype" w:hAnsi="Palatino Linotype"/>
        </w:rPr>
        <w:t>requirements and guideline</w:t>
      </w:r>
      <w:r w:rsidR="005F4566">
        <w:rPr>
          <w:rFonts w:ascii="Palatino Linotype" w:hAnsi="Palatino Linotype"/>
        </w:rPr>
        <w:t>s</w:t>
      </w:r>
      <w:r w:rsidRPr="00947BDA" w:rsidR="00A762F1">
        <w:rPr>
          <w:rFonts w:ascii="Palatino Linotype" w:hAnsi="Palatino Linotype"/>
        </w:rPr>
        <w:t xml:space="preserve"> for the </w:t>
      </w:r>
      <w:r w:rsidRPr="00947BDA" w:rsidR="00DD01DC">
        <w:rPr>
          <w:rFonts w:ascii="Palatino Linotype" w:hAnsi="Palatino Linotype"/>
        </w:rPr>
        <w:t>CASF</w:t>
      </w:r>
      <w:r w:rsidRPr="00947BDA" w:rsidR="00A762F1">
        <w:rPr>
          <w:rFonts w:ascii="Palatino Linotype" w:hAnsi="Palatino Linotype"/>
        </w:rPr>
        <w:t xml:space="preserve"> Infrastructure</w:t>
      </w:r>
      <w:r w:rsidR="001E4586">
        <w:rPr>
          <w:rFonts w:ascii="Palatino Linotype" w:hAnsi="Palatino Linotype"/>
        </w:rPr>
        <w:t>.</w:t>
      </w:r>
      <w:r w:rsidRPr="006219D0" w:rsidR="00B576B4">
        <w:rPr>
          <w:rStyle w:val="FootnoteReference"/>
          <w:rFonts w:ascii="Palatino Linotype" w:hAnsi="Palatino Linotype"/>
        </w:rPr>
        <w:footnoteReference w:id="3"/>
      </w:r>
      <w:r w:rsidRPr="006219D0" w:rsidR="00A762F1">
        <w:rPr>
          <w:rFonts w:ascii="Palatino Linotype" w:hAnsi="Palatino Linotype"/>
        </w:rPr>
        <w:t xml:space="preserve"> </w:t>
      </w:r>
      <w:r w:rsidRPr="006219D0" w:rsidR="00F37A24">
        <w:rPr>
          <w:rFonts w:ascii="Palatino Linotype" w:hAnsi="Palatino Linotype"/>
        </w:rPr>
        <w:t xml:space="preserve"> </w:t>
      </w:r>
    </w:p>
    <w:p w:rsidRPr="004F410E" w:rsidR="00AD2DF1" w:rsidP="004D56AC" w:rsidRDefault="00AD2DF1" w14:paraId="1C97B548" w14:textId="031249F3">
      <w:pPr>
        <w:rPr>
          <w:rFonts w:ascii="Palatino Linotype" w:hAnsi="Palatino Linotype"/>
        </w:rPr>
      </w:pPr>
    </w:p>
    <w:p w:rsidRPr="0004101E" w:rsidR="00127629" w:rsidP="167C61B8" w:rsidRDefault="00127629" w14:paraId="2104E583" w14:textId="0549FA3B">
      <w:pPr>
        <w:rPr>
          <w:rFonts w:ascii="Palatino Linotype" w:hAnsi="Palatino Linotype"/>
        </w:rPr>
      </w:pPr>
      <w:r w:rsidRPr="167C61B8">
        <w:rPr>
          <w:rFonts w:ascii="Palatino Linotype" w:hAnsi="Palatino Linotype"/>
        </w:rPr>
        <w:t>On June 29, 2020, Governor Newsom signed AB 82 into law</w:t>
      </w:r>
      <w:r w:rsidRPr="167C61B8" w:rsidR="4AD8B14A">
        <w:rPr>
          <w:rFonts w:ascii="Palatino Linotype" w:hAnsi="Palatino Linotype"/>
        </w:rPr>
        <w:t>,</w:t>
      </w:r>
      <w:r w:rsidRPr="167C61B8">
        <w:rPr>
          <w:rFonts w:ascii="Palatino Linotype" w:hAnsi="Palatino Linotype"/>
        </w:rPr>
        <w:t xml:space="preserve"> amending Public Utilities Code § 281 to authorize leveraging of CASF Infrastructure grant funding to supplement the costs of broadband infrastructure already funded, in whole or in part, by the federal Rural Digital Opportunity Fund (RDOF).</w:t>
      </w:r>
      <w:r w:rsidRPr="00487C43">
        <w:rPr>
          <w:rStyle w:val="FootnoteReference"/>
          <w:rFonts w:ascii="Palatino Linotype" w:hAnsi="Palatino Linotype"/>
        </w:rPr>
        <w:footnoteReference w:id="4"/>
      </w:r>
      <w:r w:rsidRPr="167C61B8">
        <w:rPr>
          <w:rFonts w:ascii="Palatino Linotype" w:hAnsi="Palatino Linotype"/>
        </w:rPr>
        <w:t xml:space="preserve">  In an effort to effectively utilize </w:t>
      </w:r>
      <w:r w:rsidRPr="167C61B8" w:rsidR="486EA8F6">
        <w:rPr>
          <w:rFonts w:ascii="Palatino Linotype" w:hAnsi="Palatino Linotype"/>
        </w:rPr>
        <w:t xml:space="preserve">both </w:t>
      </w:r>
      <w:r w:rsidRPr="167C61B8">
        <w:rPr>
          <w:rFonts w:ascii="Palatino Linotype" w:hAnsi="Palatino Linotype"/>
        </w:rPr>
        <w:t>state and federal funding toward meeting the CASF program goals, Staff has recommended project applications that include areas eligible to receive RDOF may be deferred for approval until after the results of the RDOF Phase I (Auction 904) have been published.</w:t>
      </w:r>
      <w:r w:rsidRPr="167C61B8">
        <w:rPr>
          <w:rStyle w:val="FootnoteReference"/>
          <w:rFonts w:ascii="Palatino Linotype" w:hAnsi="Palatino Linotype"/>
        </w:rPr>
        <w:footnoteReference w:id="5"/>
      </w:r>
      <w:r w:rsidRPr="167C61B8">
        <w:rPr>
          <w:rFonts w:ascii="Palatino Linotype" w:hAnsi="Palatino Linotype"/>
        </w:rPr>
        <w:t xml:space="preserve">  </w:t>
      </w:r>
    </w:p>
    <w:p w:rsidRPr="00115A46" w:rsidR="00127629" w:rsidP="00127629" w:rsidRDefault="00127629" w14:paraId="7B0FD0D8" w14:textId="27C0D84C">
      <w:pPr>
        <w:rPr>
          <w:rFonts w:ascii="Palatino Linotype" w:hAnsi="Palatino Linotype"/>
          <w:szCs w:val="24"/>
        </w:rPr>
      </w:pPr>
    </w:p>
    <w:p w:rsidR="00FB2A1E" w:rsidP="004D56AC" w:rsidRDefault="44E7BABB" w14:paraId="0E05B64E" w14:textId="02F6C0DF">
      <w:pPr>
        <w:pStyle w:val="xl41"/>
        <w:spacing w:before="0" w:after="0"/>
        <w:rPr>
          <w:rFonts w:ascii="Palatino Linotype" w:hAnsi="Palatino Linotype" w:eastAsia="Times New Roman"/>
          <w:szCs w:val="24"/>
        </w:rPr>
      </w:pPr>
      <w:r w:rsidRPr="00352E7F">
        <w:rPr>
          <w:rFonts w:ascii="Palatino Linotype" w:hAnsi="Palatino Linotype" w:eastAsia="Times New Roman"/>
          <w:szCs w:val="24"/>
        </w:rPr>
        <w:t>O</w:t>
      </w:r>
      <w:r w:rsidRPr="00352E7F">
        <w:rPr>
          <w:rFonts w:ascii="Palatino Linotype" w:hAnsi="Palatino Linotype" w:eastAsia="Times New Roman"/>
          <w:b/>
          <w:bCs/>
          <w:szCs w:val="24"/>
        </w:rPr>
        <w:t xml:space="preserve">n May </w:t>
      </w:r>
      <w:r w:rsidR="001041F3">
        <w:rPr>
          <w:rFonts w:ascii="Palatino Linotype" w:hAnsi="Palatino Linotype" w:eastAsia="Times New Roman"/>
          <w:b/>
          <w:bCs/>
          <w:szCs w:val="24"/>
        </w:rPr>
        <w:t>4</w:t>
      </w:r>
      <w:r w:rsidRPr="00352E7F">
        <w:rPr>
          <w:rFonts w:ascii="Palatino Linotype" w:hAnsi="Palatino Linotype" w:eastAsia="Times New Roman"/>
          <w:b/>
          <w:bCs/>
          <w:szCs w:val="24"/>
        </w:rPr>
        <w:t>, 20</w:t>
      </w:r>
      <w:r w:rsidR="001041F3">
        <w:rPr>
          <w:rFonts w:ascii="Palatino Linotype" w:hAnsi="Palatino Linotype" w:eastAsia="Times New Roman"/>
          <w:b/>
          <w:bCs/>
          <w:szCs w:val="24"/>
        </w:rPr>
        <w:t>20</w:t>
      </w:r>
      <w:r w:rsidRPr="00352E7F">
        <w:rPr>
          <w:rFonts w:ascii="Palatino Linotype" w:hAnsi="Palatino Linotype" w:eastAsia="Times New Roman"/>
          <w:b/>
          <w:bCs/>
          <w:szCs w:val="24"/>
        </w:rPr>
        <w:t xml:space="preserve">, Frontier submitted </w:t>
      </w:r>
      <w:r w:rsidR="009966EB">
        <w:rPr>
          <w:rFonts w:ascii="Palatino Linotype" w:hAnsi="Palatino Linotype" w:eastAsia="Times New Roman"/>
          <w:b/>
          <w:bCs/>
          <w:szCs w:val="24"/>
        </w:rPr>
        <w:t>two</w:t>
      </w:r>
      <w:r w:rsidR="006375C0">
        <w:rPr>
          <w:rFonts w:ascii="Palatino Linotype" w:hAnsi="Palatino Linotype" w:eastAsia="Times New Roman"/>
          <w:b/>
          <w:bCs/>
          <w:szCs w:val="24"/>
        </w:rPr>
        <w:t xml:space="preserve"> CASF Infrastructure </w:t>
      </w:r>
      <w:r w:rsidRPr="00352E7F">
        <w:rPr>
          <w:rFonts w:ascii="Palatino Linotype" w:hAnsi="Palatino Linotype" w:eastAsia="Times New Roman"/>
          <w:b/>
          <w:bCs/>
          <w:szCs w:val="24"/>
        </w:rPr>
        <w:t>application</w:t>
      </w:r>
      <w:r w:rsidR="003B4587">
        <w:rPr>
          <w:rFonts w:ascii="Palatino Linotype" w:hAnsi="Palatino Linotype" w:eastAsia="Times New Roman"/>
          <w:b/>
          <w:bCs/>
          <w:szCs w:val="24"/>
        </w:rPr>
        <w:t>s</w:t>
      </w:r>
      <w:r w:rsidR="00A96809">
        <w:rPr>
          <w:rFonts w:ascii="Palatino Linotype" w:hAnsi="Palatino Linotype" w:eastAsia="Times New Roman"/>
          <w:b/>
          <w:bCs/>
          <w:szCs w:val="24"/>
        </w:rPr>
        <w:t>,</w:t>
      </w:r>
      <w:r w:rsidRPr="00352E7F">
        <w:rPr>
          <w:rFonts w:ascii="Palatino Linotype" w:hAnsi="Palatino Linotype" w:eastAsia="Times New Roman"/>
          <w:b/>
          <w:bCs/>
          <w:szCs w:val="24"/>
        </w:rPr>
        <w:t xml:space="preserve"> requesting 100</w:t>
      </w:r>
      <w:r w:rsidR="005C736C">
        <w:rPr>
          <w:rFonts w:ascii="Palatino Linotype" w:hAnsi="Palatino Linotype" w:eastAsia="Times New Roman"/>
          <w:b/>
          <w:bCs/>
          <w:szCs w:val="24"/>
        </w:rPr>
        <w:t xml:space="preserve"> </w:t>
      </w:r>
      <w:r w:rsidRPr="00352E7F">
        <w:rPr>
          <w:rFonts w:ascii="Palatino Linotype" w:hAnsi="Palatino Linotype" w:eastAsia="Times New Roman"/>
          <w:b/>
          <w:bCs/>
          <w:szCs w:val="24"/>
        </w:rPr>
        <w:t xml:space="preserve">percent funding </w:t>
      </w:r>
      <w:r w:rsidRPr="0005047A">
        <w:rPr>
          <w:rFonts w:ascii="Palatino Linotype" w:hAnsi="Palatino Linotype" w:eastAsia="Times New Roman"/>
          <w:b/>
          <w:bCs/>
          <w:szCs w:val="24"/>
        </w:rPr>
        <w:t xml:space="preserve">of </w:t>
      </w:r>
      <w:r w:rsidRPr="0005047A" w:rsidR="009852AE">
        <w:rPr>
          <w:rFonts w:ascii="Palatino Linotype" w:hAnsi="Palatino Linotype"/>
          <w:b/>
          <w:bCs/>
        </w:rPr>
        <w:t xml:space="preserve">$3,015,364 </w:t>
      </w:r>
      <w:r w:rsidRPr="0005047A">
        <w:rPr>
          <w:rFonts w:ascii="Palatino Linotype" w:hAnsi="Palatino Linotype" w:eastAsia="Times New Roman"/>
          <w:b/>
          <w:bCs/>
          <w:szCs w:val="24"/>
        </w:rPr>
        <w:t>to deploy last</w:t>
      </w:r>
      <w:r w:rsidRPr="0005047A" w:rsidR="00AF3162">
        <w:rPr>
          <w:rFonts w:ascii="Palatino Linotype" w:hAnsi="Palatino Linotype" w:eastAsia="Times New Roman"/>
          <w:b/>
          <w:bCs/>
          <w:szCs w:val="24"/>
        </w:rPr>
        <w:t>-</w:t>
      </w:r>
      <w:r w:rsidRPr="0005047A">
        <w:rPr>
          <w:rFonts w:ascii="Palatino Linotype" w:hAnsi="Palatino Linotype" w:eastAsia="Times New Roman"/>
          <w:b/>
          <w:bCs/>
          <w:szCs w:val="24"/>
        </w:rPr>
        <w:t xml:space="preserve">mile </w:t>
      </w:r>
      <w:r w:rsidRPr="0005047A" w:rsidR="00D325F3">
        <w:rPr>
          <w:rFonts w:ascii="Palatino Linotype" w:hAnsi="Palatino Linotype" w:eastAsia="Times New Roman"/>
          <w:b/>
          <w:bCs/>
          <w:szCs w:val="24"/>
        </w:rPr>
        <w:t>FTTP</w:t>
      </w:r>
      <w:r w:rsidRPr="0005047A">
        <w:rPr>
          <w:rFonts w:ascii="Palatino Linotype" w:hAnsi="Palatino Linotype" w:eastAsia="Times New Roman"/>
          <w:b/>
          <w:bCs/>
          <w:szCs w:val="24"/>
        </w:rPr>
        <w:t xml:space="preserve"> broadband access to </w:t>
      </w:r>
      <w:r w:rsidRPr="0005047A" w:rsidR="009852AE">
        <w:rPr>
          <w:rFonts w:ascii="Palatino Linotype" w:hAnsi="Palatino Linotype" w:eastAsia="Times New Roman"/>
          <w:b/>
          <w:bCs/>
          <w:szCs w:val="24"/>
        </w:rPr>
        <w:t>18</w:t>
      </w:r>
      <w:r w:rsidRPr="0005047A" w:rsidR="00783499">
        <w:rPr>
          <w:rFonts w:ascii="Palatino Linotype" w:hAnsi="Palatino Linotype" w:eastAsia="Times New Roman"/>
          <w:b/>
          <w:bCs/>
          <w:szCs w:val="24"/>
        </w:rPr>
        <w:t>9</w:t>
      </w:r>
      <w:r w:rsidRPr="0005047A">
        <w:rPr>
          <w:rFonts w:ascii="Palatino Linotype" w:hAnsi="Palatino Linotype" w:eastAsia="Times New Roman"/>
          <w:b/>
          <w:bCs/>
          <w:szCs w:val="24"/>
        </w:rPr>
        <w:t xml:space="preserve"> unserved </w:t>
      </w:r>
      <w:r w:rsidRPr="00352E7F">
        <w:rPr>
          <w:rFonts w:ascii="Palatino Linotype" w:hAnsi="Palatino Linotype" w:eastAsia="Times New Roman"/>
          <w:b/>
          <w:bCs/>
          <w:szCs w:val="24"/>
        </w:rPr>
        <w:t xml:space="preserve">households in the region of </w:t>
      </w:r>
      <w:r w:rsidR="00466AC6">
        <w:rPr>
          <w:rFonts w:ascii="Palatino Linotype" w:hAnsi="Palatino Linotype" w:eastAsia="Times New Roman"/>
          <w:b/>
          <w:bCs/>
          <w:szCs w:val="24"/>
        </w:rPr>
        <w:t>Crescent City</w:t>
      </w:r>
      <w:r w:rsidR="008B34A9">
        <w:rPr>
          <w:rFonts w:ascii="Palatino Linotype" w:hAnsi="Palatino Linotype" w:eastAsia="Times New Roman"/>
          <w:b/>
          <w:bCs/>
          <w:szCs w:val="24"/>
        </w:rPr>
        <w:t xml:space="preserve"> </w:t>
      </w:r>
      <w:r w:rsidRPr="00352E7F">
        <w:rPr>
          <w:rFonts w:ascii="Palatino Linotype" w:hAnsi="Palatino Linotype" w:eastAsia="Times New Roman"/>
          <w:b/>
          <w:bCs/>
          <w:szCs w:val="24"/>
        </w:rPr>
        <w:t xml:space="preserve">and </w:t>
      </w:r>
      <w:r w:rsidR="00466AC6">
        <w:rPr>
          <w:rFonts w:ascii="Palatino Linotype" w:hAnsi="Palatino Linotype" w:eastAsia="Times New Roman"/>
          <w:b/>
          <w:bCs/>
          <w:szCs w:val="24"/>
        </w:rPr>
        <w:t xml:space="preserve">Smith River </w:t>
      </w:r>
      <w:r w:rsidRPr="00352E7F">
        <w:rPr>
          <w:rFonts w:ascii="Palatino Linotype" w:hAnsi="Palatino Linotype" w:eastAsia="Times New Roman"/>
          <w:b/>
          <w:bCs/>
          <w:szCs w:val="24"/>
        </w:rPr>
        <w:t xml:space="preserve">in </w:t>
      </w:r>
      <w:r w:rsidR="004F62D8">
        <w:rPr>
          <w:rFonts w:ascii="Palatino Linotype" w:hAnsi="Palatino Linotype" w:eastAsia="Times New Roman"/>
          <w:b/>
          <w:bCs/>
          <w:szCs w:val="24"/>
        </w:rPr>
        <w:t>Del Norte</w:t>
      </w:r>
      <w:r w:rsidR="008B34A9">
        <w:rPr>
          <w:rFonts w:ascii="Palatino Linotype" w:hAnsi="Palatino Linotype" w:eastAsia="Times New Roman"/>
          <w:b/>
          <w:bCs/>
          <w:szCs w:val="24"/>
        </w:rPr>
        <w:t xml:space="preserve"> County</w:t>
      </w:r>
      <w:r w:rsidRPr="00352E7F">
        <w:rPr>
          <w:rFonts w:ascii="Palatino Linotype" w:hAnsi="Palatino Linotype" w:eastAsia="Times New Roman"/>
          <w:b/>
          <w:bCs/>
          <w:szCs w:val="24"/>
        </w:rPr>
        <w:t>.</w:t>
      </w:r>
      <w:r w:rsidR="00C23E8B">
        <w:rPr>
          <w:rFonts w:ascii="Palatino Linotype" w:hAnsi="Palatino Linotype" w:eastAsia="Times New Roman"/>
          <w:szCs w:val="24"/>
        </w:rPr>
        <w:t xml:space="preserve">  The CASF grant funding request would cover the complete project deployment costs of the</w:t>
      </w:r>
      <w:r w:rsidR="00325E40">
        <w:rPr>
          <w:rFonts w:ascii="Palatino Linotype" w:hAnsi="Palatino Linotype" w:eastAsia="Times New Roman"/>
          <w:szCs w:val="24"/>
        </w:rPr>
        <w:t xml:space="preserve"> Crescent City and Smith River Projects.  </w:t>
      </w:r>
      <w:r w:rsidR="00A43B71">
        <w:rPr>
          <w:rFonts w:ascii="Palatino Linotype" w:hAnsi="Palatino Linotype" w:eastAsia="Times New Roman"/>
          <w:szCs w:val="24"/>
        </w:rPr>
        <w:t>Table 1, below</w:t>
      </w:r>
      <w:r w:rsidR="00F757DE">
        <w:rPr>
          <w:rFonts w:ascii="Palatino Linotype" w:hAnsi="Palatino Linotype" w:eastAsia="Times New Roman"/>
          <w:szCs w:val="24"/>
        </w:rPr>
        <w:t>, identifies</w:t>
      </w:r>
      <w:r w:rsidR="00AF25C1">
        <w:rPr>
          <w:rFonts w:ascii="Palatino Linotype" w:hAnsi="Palatino Linotype" w:eastAsia="Times New Roman"/>
          <w:szCs w:val="24"/>
        </w:rPr>
        <w:t xml:space="preserve"> </w:t>
      </w:r>
      <w:r w:rsidR="003E6497">
        <w:rPr>
          <w:rFonts w:ascii="Palatino Linotype" w:hAnsi="Palatino Linotype" w:eastAsia="Times New Roman"/>
          <w:szCs w:val="24"/>
        </w:rPr>
        <w:t xml:space="preserve">Frontier’s </w:t>
      </w:r>
      <w:r w:rsidR="00F757DE">
        <w:rPr>
          <w:rFonts w:ascii="Palatino Linotype" w:hAnsi="Palatino Linotype" w:eastAsia="Times New Roman"/>
          <w:szCs w:val="24"/>
        </w:rPr>
        <w:t>proposed project budget</w:t>
      </w:r>
      <w:r w:rsidR="00C22CA7">
        <w:rPr>
          <w:rFonts w:ascii="Palatino Linotype" w:hAnsi="Palatino Linotype" w:eastAsia="Times New Roman"/>
          <w:szCs w:val="24"/>
        </w:rPr>
        <w:t>s.</w:t>
      </w:r>
    </w:p>
    <w:p w:rsidR="00FE16A3" w:rsidP="004D56AC" w:rsidRDefault="00FE16A3" w14:paraId="6487EA60" w14:textId="258458DC">
      <w:pPr>
        <w:pStyle w:val="xl41"/>
        <w:spacing w:before="0" w:after="0"/>
        <w:rPr>
          <w:rFonts w:ascii="Palatino Linotype" w:hAnsi="Palatino Linotype"/>
          <w:b/>
          <w:bCs/>
          <w:szCs w:val="24"/>
        </w:rPr>
      </w:pPr>
    </w:p>
    <w:p w:rsidRPr="00352E7F" w:rsidR="004348A9" w:rsidP="00A74249" w:rsidRDefault="44E7BABB" w14:paraId="4464D297" w14:textId="6F9598AE">
      <w:pPr>
        <w:spacing w:after="120"/>
        <w:jc w:val="center"/>
        <w:rPr>
          <w:rFonts w:ascii="Palatino Linotype" w:hAnsi="Palatino Linotype"/>
          <w:b/>
          <w:bCs/>
          <w:szCs w:val="24"/>
        </w:rPr>
      </w:pPr>
      <w:r w:rsidRPr="00352E7F">
        <w:rPr>
          <w:rFonts w:ascii="Palatino Linotype" w:hAnsi="Palatino Linotype"/>
          <w:b/>
          <w:bCs/>
          <w:szCs w:val="24"/>
        </w:rPr>
        <w:t>Table 1:  CASF Infrastructure Application</w:t>
      </w:r>
      <w:r w:rsidR="00C22CA7">
        <w:rPr>
          <w:rFonts w:ascii="Palatino Linotype" w:hAnsi="Palatino Linotype"/>
          <w:b/>
          <w:bCs/>
          <w:szCs w:val="24"/>
        </w:rPr>
        <w:t>s</w:t>
      </w:r>
    </w:p>
    <w:tbl>
      <w:tblPr>
        <w:tblStyle w:val="TableGrid"/>
        <w:tblW w:w="0" w:type="auto"/>
        <w:jc w:val="center"/>
        <w:tblInd w:w="0" w:type="dxa"/>
        <w:tblLook w:val="04A0" w:firstRow="1" w:lastRow="0" w:firstColumn="1" w:lastColumn="0" w:noHBand="0" w:noVBand="1"/>
      </w:tblPr>
      <w:tblGrid>
        <w:gridCol w:w="3235"/>
        <w:gridCol w:w="2160"/>
        <w:gridCol w:w="2160"/>
      </w:tblGrid>
      <w:tr w:rsidRPr="00352E7F" w:rsidR="004A3718" w:rsidTr="00DB2BF3" w14:paraId="51EC405E" w14:textId="77777777">
        <w:trPr>
          <w:jc w:val="center"/>
        </w:trPr>
        <w:tc>
          <w:tcPr>
            <w:tcW w:w="3235" w:type="dxa"/>
            <w:shd w:val="clear" w:color="auto" w:fill="E7E6E6" w:themeFill="background2"/>
          </w:tcPr>
          <w:p w:rsidRPr="001260D5" w:rsidR="004A3718" w:rsidP="002B2BCD" w:rsidRDefault="00753DD6" w14:paraId="3AEA9C30" w14:textId="267E9A31">
            <w:pPr>
              <w:pStyle w:val="xl41"/>
              <w:keepNext/>
              <w:overflowPunct/>
              <w:autoSpaceDE/>
              <w:adjustRightInd/>
              <w:spacing w:before="0" w:after="0"/>
              <w:rPr>
                <w:rFonts w:ascii="Palatino Linotype" w:hAnsi="Palatino Linotype" w:eastAsia="Times New Roman"/>
                <w:b/>
                <w:bCs/>
                <w:szCs w:val="24"/>
              </w:rPr>
            </w:pPr>
            <w:r>
              <w:rPr>
                <w:rFonts w:ascii="Palatino Linotype" w:hAnsi="Palatino Linotype" w:eastAsia="Times New Roman"/>
                <w:b/>
                <w:bCs/>
                <w:szCs w:val="24"/>
              </w:rPr>
              <w:t xml:space="preserve">Proposed </w:t>
            </w:r>
            <w:r w:rsidRPr="001260D5" w:rsidR="001260D5">
              <w:rPr>
                <w:rFonts w:ascii="Palatino Linotype" w:hAnsi="Palatino Linotype" w:eastAsia="Times New Roman"/>
                <w:b/>
                <w:bCs/>
                <w:szCs w:val="24"/>
              </w:rPr>
              <w:t>Project</w:t>
            </w:r>
          </w:p>
        </w:tc>
        <w:tc>
          <w:tcPr>
            <w:tcW w:w="2160" w:type="dxa"/>
            <w:shd w:val="clear" w:color="auto" w:fill="E7E6E6" w:themeFill="background2"/>
          </w:tcPr>
          <w:p w:rsidRPr="001260D5" w:rsidR="004A3718" w:rsidP="004A3718" w:rsidRDefault="004A3718" w14:paraId="5576B614" w14:textId="55CBA766">
            <w:pPr>
              <w:pStyle w:val="xl41"/>
              <w:keepNext/>
              <w:overflowPunct/>
              <w:autoSpaceDE/>
              <w:adjustRightInd/>
              <w:spacing w:before="0" w:after="0"/>
              <w:jc w:val="center"/>
              <w:rPr>
                <w:rFonts w:ascii="Palatino Linotype" w:hAnsi="Palatino Linotype" w:eastAsia="Times New Roman"/>
                <w:b/>
                <w:bCs/>
                <w:szCs w:val="24"/>
              </w:rPr>
            </w:pPr>
            <w:r w:rsidRPr="001260D5">
              <w:rPr>
                <w:rFonts w:ascii="Palatino Linotype" w:hAnsi="Palatino Linotype" w:eastAsia="Times New Roman"/>
                <w:b/>
                <w:bCs/>
                <w:szCs w:val="24"/>
              </w:rPr>
              <w:t>Households</w:t>
            </w:r>
          </w:p>
        </w:tc>
        <w:tc>
          <w:tcPr>
            <w:tcW w:w="2160" w:type="dxa"/>
            <w:shd w:val="clear" w:color="auto" w:fill="E7E6E6" w:themeFill="background2"/>
          </w:tcPr>
          <w:p w:rsidRPr="001260D5" w:rsidR="004A3718" w:rsidP="004A3718" w:rsidRDefault="00DB2BF3" w14:paraId="4633F289" w14:textId="409E43CF">
            <w:pPr>
              <w:pStyle w:val="xl41"/>
              <w:keepNext/>
              <w:overflowPunct/>
              <w:autoSpaceDE/>
              <w:adjustRightInd/>
              <w:spacing w:before="0" w:after="0"/>
              <w:jc w:val="center"/>
              <w:rPr>
                <w:rFonts w:ascii="Palatino Linotype" w:hAnsi="Palatino Linotype" w:eastAsia="Times New Roman"/>
                <w:b/>
                <w:bCs/>
                <w:szCs w:val="24"/>
              </w:rPr>
            </w:pPr>
            <w:r>
              <w:rPr>
                <w:rFonts w:ascii="Palatino Linotype" w:hAnsi="Palatino Linotype" w:eastAsia="Times New Roman"/>
                <w:b/>
                <w:bCs/>
                <w:szCs w:val="24"/>
              </w:rPr>
              <w:t>Funding Request</w:t>
            </w:r>
          </w:p>
        </w:tc>
      </w:tr>
      <w:tr w:rsidRPr="00352E7F" w:rsidR="00263D2E" w:rsidTr="00DB2BF3" w14:paraId="19384A52" w14:textId="77777777">
        <w:trPr>
          <w:jc w:val="center"/>
        </w:trPr>
        <w:tc>
          <w:tcPr>
            <w:tcW w:w="3235" w:type="dxa"/>
            <w:tcBorders>
              <w:bottom w:val="single" w:color="auto" w:sz="4" w:space="0"/>
            </w:tcBorders>
          </w:tcPr>
          <w:p w:rsidRPr="00C22CA7" w:rsidR="00263D2E" w:rsidP="002B2BCD" w:rsidRDefault="00C22CA7" w14:paraId="09B93D86" w14:textId="4C03DF77">
            <w:pPr>
              <w:pStyle w:val="xl41"/>
              <w:keepNext/>
              <w:overflowPunct/>
              <w:autoSpaceDE/>
              <w:adjustRightInd/>
              <w:spacing w:before="0" w:after="0"/>
              <w:rPr>
                <w:rFonts w:ascii="Palatino Linotype" w:hAnsi="Palatino Linotype" w:eastAsia="Times New Roman"/>
                <w:szCs w:val="24"/>
              </w:rPr>
            </w:pPr>
            <w:r>
              <w:rPr>
                <w:rFonts w:ascii="Palatino Linotype" w:hAnsi="Palatino Linotype" w:eastAsia="Times New Roman"/>
                <w:szCs w:val="24"/>
              </w:rPr>
              <w:t>Crescent City</w:t>
            </w:r>
          </w:p>
        </w:tc>
        <w:tc>
          <w:tcPr>
            <w:tcW w:w="2160" w:type="dxa"/>
            <w:tcBorders>
              <w:bottom w:val="single" w:color="auto" w:sz="4" w:space="0"/>
            </w:tcBorders>
          </w:tcPr>
          <w:p w:rsidRPr="00B33C62" w:rsidR="00263D2E" w:rsidP="004A3718" w:rsidRDefault="00092646" w14:paraId="227A00E4" w14:textId="1B4E588E">
            <w:pPr>
              <w:pStyle w:val="xl41"/>
              <w:keepNext/>
              <w:overflowPunct/>
              <w:autoSpaceDE/>
              <w:adjustRightInd/>
              <w:spacing w:before="0" w:after="0"/>
              <w:jc w:val="center"/>
              <w:rPr>
                <w:rFonts w:ascii="Palatino Linotype" w:hAnsi="Palatino Linotype" w:eastAsia="Times New Roman"/>
                <w:szCs w:val="24"/>
              </w:rPr>
            </w:pPr>
            <w:r w:rsidRPr="00B33C62">
              <w:rPr>
                <w:rFonts w:ascii="Palatino Linotype" w:hAnsi="Palatino Linotype" w:eastAsia="Times New Roman"/>
                <w:szCs w:val="24"/>
              </w:rPr>
              <w:t>134</w:t>
            </w:r>
          </w:p>
        </w:tc>
        <w:tc>
          <w:tcPr>
            <w:tcW w:w="2160" w:type="dxa"/>
            <w:tcBorders>
              <w:bottom w:val="single" w:color="auto" w:sz="4" w:space="0"/>
            </w:tcBorders>
          </w:tcPr>
          <w:p w:rsidRPr="00B33C62" w:rsidR="00263D2E" w:rsidP="00FC28DF" w:rsidRDefault="00263D2E" w14:paraId="3D81020C" w14:textId="638E7589">
            <w:pPr>
              <w:pStyle w:val="xl41"/>
              <w:keepNext/>
              <w:overflowPunct/>
              <w:autoSpaceDE/>
              <w:adjustRightInd/>
              <w:spacing w:before="0" w:after="0"/>
              <w:jc w:val="center"/>
              <w:rPr>
                <w:rFonts w:ascii="Palatino Linotype" w:hAnsi="Palatino Linotype" w:eastAsia="Times New Roman"/>
                <w:szCs w:val="24"/>
              </w:rPr>
            </w:pPr>
            <w:r w:rsidRPr="00B33C62">
              <w:rPr>
                <w:rFonts w:ascii="Palatino Linotype" w:hAnsi="Palatino Linotype" w:eastAsia="Times New Roman"/>
                <w:szCs w:val="24"/>
              </w:rPr>
              <w:t xml:space="preserve">$ </w:t>
            </w:r>
            <w:r w:rsidRPr="00B33C62" w:rsidR="00092646">
              <w:rPr>
                <w:rFonts w:ascii="Palatino Linotype" w:hAnsi="Palatino Linotype" w:eastAsia="Times New Roman"/>
                <w:szCs w:val="24"/>
              </w:rPr>
              <w:t>1,586,885</w:t>
            </w:r>
          </w:p>
        </w:tc>
      </w:tr>
      <w:tr w:rsidRPr="00352E7F" w:rsidR="004A3718" w:rsidTr="00DB2BF3" w14:paraId="09466623" w14:textId="77777777">
        <w:trPr>
          <w:jc w:val="center"/>
        </w:trPr>
        <w:tc>
          <w:tcPr>
            <w:tcW w:w="3235" w:type="dxa"/>
            <w:tcBorders>
              <w:bottom w:val="single" w:color="auto" w:sz="12" w:space="0"/>
            </w:tcBorders>
          </w:tcPr>
          <w:p w:rsidRPr="00C22CA7" w:rsidR="004A3718" w:rsidP="002B2BCD" w:rsidRDefault="00C22CA7" w14:paraId="3F0A9A39" w14:textId="6B080B98">
            <w:pPr>
              <w:pStyle w:val="xl41"/>
              <w:keepNext/>
              <w:overflowPunct/>
              <w:autoSpaceDE/>
              <w:adjustRightInd/>
              <w:spacing w:before="0" w:after="0"/>
              <w:rPr>
                <w:rFonts w:ascii="Palatino Linotype" w:hAnsi="Palatino Linotype" w:eastAsia="Times New Roman"/>
                <w:szCs w:val="24"/>
              </w:rPr>
            </w:pPr>
            <w:r>
              <w:rPr>
                <w:rFonts w:ascii="Palatino Linotype" w:hAnsi="Palatino Linotype" w:eastAsia="Times New Roman"/>
                <w:szCs w:val="24"/>
              </w:rPr>
              <w:t>Smith River</w:t>
            </w:r>
          </w:p>
        </w:tc>
        <w:tc>
          <w:tcPr>
            <w:tcW w:w="2160" w:type="dxa"/>
            <w:tcBorders>
              <w:bottom w:val="single" w:color="auto" w:sz="12" w:space="0"/>
            </w:tcBorders>
          </w:tcPr>
          <w:p w:rsidRPr="00B33C62" w:rsidR="004A3718" w:rsidP="004A3718" w:rsidRDefault="00A507BC" w14:paraId="14CB4D68" w14:textId="1F79641E">
            <w:pPr>
              <w:pStyle w:val="xl41"/>
              <w:keepNext/>
              <w:overflowPunct/>
              <w:autoSpaceDE/>
              <w:adjustRightInd/>
              <w:spacing w:before="0" w:after="0"/>
              <w:jc w:val="center"/>
              <w:rPr>
                <w:rFonts w:ascii="Palatino Linotype" w:hAnsi="Palatino Linotype" w:eastAsia="Times New Roman"/>
                <w:szCs w:val="24"/>
              </w:rPr>
            </w:pPr>
            <w:r w:rsidRPr="00B33C62">
              <w:rPr>
                <w:rFonts w:ascii="Palatino Linotype" w:hAnsi="Palatino Linotype" w:eastAsia="Times New Roman"/>
                <w:szCs w:val="24"/>
              </w:rPr>
              <w:t>55</w:t>
            </w:r>
          </w:p>
        </w:tc>
        <w:tc>
          <w:tcPr>
            <w:tcW w:w="2160" w:type="dxa"/>
            <w:tcBorders>
              <w:bottom w:val="single" w:color="auto" w:sz="12" w:space="0"/>
            </w:tcBorders>
          </w:tcPr>
          <w:p w:rsidRPr="00B33C62" w:rsidR="004A3718" w:rsidP="00FC28DF" w:rsidRDefault="00AB343C" w14:paraId="56655A4F" w14:textId="1C7D92C2">
            <w:pPr>
              <w:pStyle w:val="xl41"/>
              <w:keepNext/>
              <w:overflowPunct/>
              <w:autoSpaceDE/>
              <w:adjustRightInd/>
              <w:spacing w:before="0" w:after="0"/>
              <w:jc w:val="center"/>
              <w:rPr>
                <w:rFonts w:ascii="Palatino Linotype" w:hAnsi="Palatino Linotype" w:eastAsia="Times New Roman"/>
                <w:szCs w:val="24"/>
              </w:rPr>
            </w:pPr>
            <w:r w:rsidRPr="00B33C62">
              <w:rPr>
                <w:rFonts w:ascii="Palatino Linotype" w:hAnsi="Palatino Linotype" w:eastAsia="Times New Roman"/>
                <w:szCs w:val="24"/>
              </w:rPr>
              <w:t>$ 1,428,479</w:t>
            </w:r>
          </w:p>
        </w:tc>
      </w:tr>
      <w:tr w:rsidRPr="00352E7F" w:rsidR="004A3718" w:rsidTr="00DB2BF3" w14:paraId="6E57E999" w14:textId="77777777">
        <w:trPr>
          <w:jc w:val="center"/>
        </w:trPr>
        <w:tc>
          <w:tcPr>
            <w:tcW w:w="3235" w:type="dxa"/>
            <w:tcBorders>
              <w:top w:val="single" w:color="auto" w:sz="12" w:space="0"/>
            </w:tcBorders>
          </w:tcPr>
          <w:p w:rsidRPr="00DB2BF3" w:rsidR="004A3718" w:rsidP="002B2BCD" w:rsidRDefault="00FC28DF" w14:paraId="2F2FB8A7" w14:textId="14911CAE">
            <w:pPr>
              <w:pStyle w:val="xl41"/>
              <w:keepNext/>
              <w:overflowPunct/>
              <w:autoSpaceDE/>
              <w:adjustRightInd/>
              <w:spacing w:before="0" w:after="0"/>
              <w:rPr>
                <w:rFonts w:ascii="Palatino Linotype" w:hAnsi="Palatino Linotype" w:eastAsia="Times New Roman"/>
                <w:b/>
                <w:bCs/>
                <w:szCs w:val="24"/>
              </w:rPr>
            </w:pPr>
            <w:r w:rsidRPr="00DB2BF3">
              <w:rPr>
                <w:rFonts w:ascii="Palatino Linotype" w:hAnsi="Palatino Linotype" w:eastAsia="Times New Roman"/>
                <w:b/>
                <w:bCs/>
                <w:szCs w:val="24"/>
              </w:rPr>
              <w:t>Total</w:t>
            </w:r>
            <w:r w:rsidR="00514E34">
              <w:rPr>
                <w:rFonts w:ascii="Palatino Linotype" w:hAnsi="Palatino Linotype" w:eastAsia="Times New Roman"/>
                <w:b/>
                <w:bCs/>
                <w:szCs w:val="24"/>
              </w:rPr>
              <w:t xml:space="preserve"> Grant Request</w:t>
            </w:r>
          </w:p>
        </w:tc>
        <w:tc>
          <w:tcPr>
            <w:tcW w:w="2160" w:type="dxa"/>
            <w:tcBorders>
              <w:top w:val="single" w:color="auto" w:sz="12" w:space="0"/>
            </w:tcBorders>
          </w:tcPr>
          <w:p w:rsidRPr="00DB2BF3" w:rsidR="004A3718" w:rsidP="004A3718" w:rsidRDefault="00EA227E" w14:paraId="54CBB80E" w14:textId="1205CB60">
            <w:pPr>
              <w:pStyle w:val="xl41"/>
              <w:keepNext/>
              <w:overflowPunct/>
              <w:autoSpaceDE/>
              <w:adjustRightInd/>
              <w:spacing w:before="0" w:after="0"/>
              <w:jc w:val="center"/>
              <w:rPr>
                <w:rFonts w:ascii="Palatino Linotype" w:hAnsi="Palatino Linotype" w:eastAsia="Times New Roman"/>
                <w:b/>
                <w:bCs/>
                <w:szCs w:val="24"/>
              </w:rPr>
            </w:pPr>
            <w:r w:rsidRPr="00DB2BF3">
              <w:rPr>
                <w:rFonts w:ascii="Palatino Linotype" w:hAnsi="Palatino Linotype" w:eastAsia="Times New Roman"/>
                <w:b/>
                <w:bCs/>
                <w:szCs w:val="24"/>
              </w:rPr>
              <w:t>189</w:t>
            </w:r>
          </w:p>
        </w:tc>
        <w:tc>
          <w:tcPr>
            <w:tcW w:w="2160" w:type="dxa"/>
            <w:tcBorders>
              <w:top w:val="single" w:color="auto" w:sz="12" w:space="0"/>
            </w:tcBorders>
          </w:tcPr>
          <w:p w:rsidRPr="00DB2BF3" w:rsidR="004A3718" w:rsidP="00FC28DF" w:rsidRDefault="00540044" w14:paraId="2660E5AD" w14:textId="6CB70AA0">
            <w:pPr>
              <w:pStyle w:val="xl41"/>
              <w:keepNext/>
              <w:overflowPunct/>
              <w:autoSpaceDE/>
              <w:adjustRightInd/>
              <w:spacing w:before="0" w:after="0"/>
              <w:jc w:val="center"/>
              <w:rPr>
                <w:rFonts w:ascii="Palatino Linotype" w:hAnsi="Palatino Linotype" w:eastAsia="Times New Roman"/>
                <w:b/>
                <w:bCs/>
                <w:szCs w:val="24"/>
              </w:rPr>
            </w:pPr>
            <w:r w:rsidRPr="00DB2BF3">
              <w:rPr>
                <w:rFonts w:ascii="Palatino Linotype" w:hAnsi="Palatino Linotype"/>
                <w:b/>
                <w:bCs/>
              </w:rPr>
              <w:t>$3,015,364</w:t>
            </w:r>
          </w:p>
        </w:tc>
      </w:tr>
      <w:bookmarkEnd w:id="1"/>
    </w:tbl>
    <w:p w:rsidR="00F573EE" w:rsidP="0082345A" w:rsidRDefault="00F573EE" w14:paraId="4814B25A" w14:textId="77777777">
      <w:pPr>
        <w:autoSpaceDE w:val="0"/>
        <w:autoSpaceDN w:val="0"/>
        <w:adjustRightInd w:val="0"/>
        <w:rPr>
          <w:rFonts w:ascii="Palatino Linotype" w:hAnsi="Palatino Linotype"/>
          <w:iCs/>
          <w:szCs w:val="24"/>
        </w:rPr>
      </w:pPr>
    </w:p>
    <w:p w:rsidR="00394DA3" w:rsidP="0082345A" w:rsidRDefault="0005786A" w14:paraId="6CD8DAED" w14:textId="61A668F0">
      <w:pPr>
        <w:autoSpaceDE w:val="0"/>
        <w:autoSpaceDN w:val="0"/>
        <w:adjustRightInd w:val="0"/>
        <w:rPr>
          <w:rFonts w:ascii="Palatino Linotype" w:hAnsi="Palatino Linotype"/>
          <w:szCs w:val="24"/>
        </w:rPr>
      </w:pPr>
      <w:r w:rsidRPr="00352E7F">
        <w:rPr>
          <w:rFonts w:ascii="Palatino Linotype" w:hAnsi="Palatino Linotype"/>
          <w:iCs/>
          <w:szCs w:val="24"/>
        </w:rPr>
        <w:t>F</w:t>
      </w:r>
      <w:r w:rsidRPr="00352E7F" w:rsidR="00394DA3">
        <w:rPr>
          <w:rFonts w:ascii="Palatino Linotype" w:hAnsi="Palatino Linotype"/>
          <w:iCs/>
          <w:szCs w:val="24"/>
        </w:rPr>
        <w:t>rontier</w:t>
      </w:r>
      <w:r w:rsidRPr="00352E7F" w:rsidR="00394DA3">
        <w:rPr>
          <w:rFonts w:ascii="Palatino Linotype" w:hAnsi="Palatino Linotype"/>
          <w:szCs w:val="24"/>
        </w:rPr>
        <w:t xml:space="preserve"> is a publicly traded corporation, the fourth largest incumbent local exchange carrier (ILEC) in the United States, and the second largest in California.  </w:t>
      </w:r>
      <w:r w:rsidR="004B604C">
        <w:rPr>
          <w:rFonts w:ascii="Palatino Linotype" w:hAnsi="Palatino Linotype"/>
          <w:szCs w:val="24"/>
        </w:rPr>
        <w:t xml:space="preserve">The CASF Infrastructure grant will be awarded to </w:t>
      </w:r>
      <w:r w:rsidRPr="00352E7F" w:rsidR="00394DA3">
        <w:rPr>
          <w:rFonts w:ascii="Palatino Linotype" w:hAnsi="Palatino Linotype"/>
          <w:iCs/>
          <w:szCs w:val="24"/>
        </w:rPr>
        <w:t>Citizens Telecommunications Company of California</w:t>
      </w:r>
      <w:r w:rsidR="005809DE">
        <w:rPr>
          <w:rFonts w:ascii="Palatino Linotype" w:hAnsi="Palatino Linotype"/>
          <w:iCs/>
          <w:szCs w:val="24"/>
        </w:rPr>
        <w:t xml:space="preserve"> (</w:t>
      </w:r>
      <w:r w:rsidR="00836A51">
        <w:rPr>
          <w:rFonts w:ascii="Palatino Linotype" w:hAnsi="Palatino Linotype"/>
          <w:iCs/>
          <w:szCs w:val="24"/>
        </w:rPr>
        <w:t>U-1024-C</w:t>
      </w:r>
      <w:r w:rsidR="00491B9E">
        <w:rPr>
          <w:rFonts w:ascii="Palatino Linotype" w:hAnsi="Palatino Linotype"/>
          <w:iCs/>
          <w:szCs w:val="24"/>
        </w:rPr>
        <w:t>)</w:t>
      </w:r>
      <w:r w:rsidR="003801F0">
        <w:rPr>
          <w:rFonts w:ascii="Palatino Linotype" w:hAnsi="Palatino Linotype"/>
          <w:iCs/>
          <w:szCs w:val="24"/>
        </w:rPr>
        <w:t>; a</w:t>
      </w:r>
      <w:r w:rsidR="00860646">
        <w:rPr>
          <w:rFonts w:ascii="Palatino Linotype" w:hAnsi="Palatino Linotype"/>
          <w:iCs/>
          <w:szCs w:val="24"/>
        </w:rPr>
        <w:t xml:space="preserve"> </w:t>
      </w:r>
      <w:r w:rsidR="008F208B">
        <w:rPr>
          <w:rFonts w:ascii="Palatino Linotype" w:hAnsi="Palatino Linotype"/>
          <w:iCs/>
          <w:szCs w:val="24"/>
        </w:rPr>
        <w:t>t</w:t>
      </w:r>
      <w:r w:rsidRPr="00352E7F" w:rsidR="00394DA3">
        <w:rPr>
          <w:rFonts w:ascii="Palatino Linotype" w:hAnsi="Palatino Linotype"/>
          <w:iCs/>
          <w:szCs w:val="24"/>
        </w:rPr>
        <w:t xml:space="preserve">elephone operating company </w:t>
      </w:r>
      <w:r w:rsidRPr="00352E7F" w:rsidR="00394DA3">
        <w:rPr>
          <w:rFonts w:ascii="Palatino Linotype" w:hAnsi="Palatino Linotype"/>
          <w:szCs w:val="24"/>
        </w:rPr>
        <w:t>based in Elk Grove, California</w:t>
      </w:r>
      <w:r w:rsidR="001D59D6">
        <w:rPr>
          <w:rFonts w:ascii="Palatino Linotype" w:hAnsi="Palatino Linotype"/>
          <w:szCs w:val="24"/>
        </w:rPr>
        <w:t xml:space="preserve"> </w:t>
      </w:r>
      <w:r w:rsidRPr="00352E7F" w:rsidR="00394DA3">
        <w:rPr>
          <w:rFonts w:ascii="Palatino Linotype" w:hAnsi="Palatino Linotype"/>
          <w:szCs w:val="24"/>
        </w:rPr>
        <w:lastRenderedPageBreak/>
        <w:t xml:space="preserve">established in 1993 to acquire access lines from </w:t>
      </w:r>
      <w:r w:rsidR="00D84BE6">
        <w:rPr>
          <w:rFonts w:ascii="Palatino Linotype" w:hAnsi="Palatino Linotype"/>
          <w:szCs w:val="24"/>
        </w:rPr>
        <w:t>General Telephone &amp; Electronics Corporation</w:t>
      </w:r>
      <w:r w:rsidR="00EF6523">
        <w:rPr>
          <w:rFonts w:ascii="Palatino Linotype" w:hAnsi="Palatino Linotype"/>
          <w:szCs w:val="24"/>
        </w:rPr>
        <w:t xml:space="preserve"> </w:t>
      </w:r>
      <w:r w:rsidR="00D84BE6">
        <w:rPr>
          <w:rFonts w:ascii="Palatino Linotype" w:hAnsi="Palatino Linotype"/>
          <w:szCs w:val="24"/>
        </w:rPr>
        <w:t>(</w:t>
      </w:r>
      <w:r w:rsidRPr="00352E7F" w:rsidR="00394DA3">
        <w:rPr>
          <w:rFonts w:ascii="Palatino Linotype" w:hAnsi="Palatino Linotype"/>
          <w:szCs w:val="24"/>
        </w:rPr>
        <w:t>GTE</w:t>
      </w:r>
      <w:r w:rsidR="00D84BE6">
        <w:rPr>
          <w:rFonts w:ascii="Palatino Linotype" w:hAnsi="Palatino Linotype"/>
          <w:szCs w:val="24"/>
        </w:rPr>
        <w:t>)</w:t>
      </w:r>
      <w:r w:rsidRPr="00352E7F" w:rsidR="00394DA3">
        <w:rPr>
          <w:rFonts w:ascii="Palatino Linotype" w:hAnsi="Palatino Linotype"/>
          <w:szCs w:val="24"/>
        </w:rPr>
        <w:t xml:space="preserve">.  As the Carrier-of-Last-Resort, Frontier currently provides </w:t>
      </w:r>
      <w:r w:rsidR="005D1D8A">
        <w:rPr>
          <w:rFonts w:ascii="Palatino Linotype" w:hAnsi="Palatino Linotype"/>
          <w:szCs w:val="24"/>
        </w:rPr>
        <w:t xml:space="preserve">circuit-switched (POTS) </w:t>
      </w:r>
      <w:r w:rsidRPr="00352E7F" w:rsidR="00394DA3">
        <w:rPr>
          <w:rFonts w:ascii="Palatino Linotype" w:hAnsi="Palatino Linotype"/>
          <w:szCs w:val="24"/>
        </w:rPr>
        <w:t xml:space="preserve">voice service in the proposed project areas and does not provide broadband Internet service.  </w:t>
      </w:r>
    </w:p>
    <w:p w:rsidRPr="00352E7F" w:rsidR="005D5A5A" w:rsidP="0082345A" w:rsidRDefault="005D5A5A" w14:paraId="450DADD8" w14:textId="77777777">
      <w:pPr>
        <w:autoSpaceDE w:val="0"/>
        <w:autoSpaceDN w:val="0"/>
        <w:adjustRightInd w:val="0"/>
        <w:rPr>
          <w:rFonts w:ascii="Palatino Linotype" w:hAnsi="Palatino Linotype"/>
          <w:szCs w:val="24"/>
        </w:rPr>
      </w:pPr>
    </w:p>
    <w:p w:rsidRPr="00352E7F" w:rsidR="00CF06BE" w:rsidP="00F7696B" w:rsidRDefault="00CF06BE" w14:paraId="05C86574" w14:textId="5DC61F93">
      <w:pPr>
        <w:pStyle w:val="Heading1"/>
        <w:tabs>
          <w:tab w:val="left" w:pos="900"/>
        </w:tabs>
        <w:rPr>
          <w:rFonts w:ascii="Palatino Linotype" w:hAnsi="Palatino Linotype"/>
          <w:sz w:val="26"/>
          <w:szCs w:val="26"/>
        </w:rPr>
      </w:pPr>
      <w:bookmarkStart w:name="_Toc503946612" w:id="2"/>
      <w:r w:rsidRPr="00247149">
        <w:rPr>
          <w:rFonts w:ascii="Palatino Linotype" w:hAnsi="Palatino Linotype"/>
          <w:sz w:val="26"/>
          <w:szCs w:val="26"/>
        </w:rPr>
        <w:t>N</w:t>
      </w:r>
      <w:r w:rsidRPr="00247149" w:rsidR="00887C58">
        <w:rPr>
          <w:rFonts w:ascii="Palatino Linotype" w:hAnsi="Palatino Linotype"/>
          <w:sz w:val="26"/>
          <w:szCs w:val="26"/>
        </w:rPr>
        <w:t>OTICE</w:t>
      </w:r>
      <w:bookmarkEnd w:id="2"/>
    </w:p>
    <w:p w:rsidRPr="00352E7F" w:rsidR="00CF06BE" w:rsidP="00F7696B" w:rsidRDefault="00CF06BE" w14:paraId="73E8BB4D" w14:textId="77777777">
      <w:pPr>
        <w:autoSpaceDE w:val="0"/>
        <w:autoSpaceDN w:val="0"/>
        <w:adjustRightInd w:val="0"/>
        <w:rPr>
          <w:rFonts w:ascii="Palatino Linotype" w:hAnsi="Palatino Linotype"/>
          <w:szCs w:val="24"/>
        </w:rPr>
      </w:pPr>
    </w:p>
    <w:p w:rsidR="00457591" w:rsidP="00472125" w:rsidRDefault="00CF06BE" w14:paraId="5761B3A9" w14:textId="04DC581E">
      <w:pPr>
        <w:autoSpaceDE w:val="0"/>
        <w:autoSpaceDN w:val="0"/>
        <w:adjustRightInd w:val="0"/>
        <w:rPr>
          <w:rFonts w:ascii="Palatino Linotype" w:hAnsi="Palatino Linotype"/>
        </w:rPr>
      </w:pPr>
      <w:r w:rsidRPr="006219D0">
        <w:rPr>
          <w:rFonts w:ascii="Palatino Linotype" w:hAnsi="Palatino Linotype"/>
        </w:rPr>
        <w:t xml:space="preserve">On </w:t>
      </w:r>
      <w:r w:rsidRPr="006219D0" w:rsidR="002377D4">
        <w:rPr>
          <w:rFonts w:ascii="Palatino Linotype" w:hAnsi="Palatino Linotype"/>
        </w:rPr>
        <w:t>May</w:t>
      </w:r>
      <w:r w:rsidRPr="006219D0">
        <w:rPr>
          <w:rFonts w:ascii="Palatino Linotype" w:hAnsi="Palatino Linotype"/>
        </w:rPr>
        <w:t xml:space="preserve"> </w:t>
      </w:r>
      <w:r w:rsidRPr="006219D0" w:rsidR="00082970">
        <w:rPr>
          <w:rFonts w:ascii="Palatino Linotype" w:hAnsi="Palatino Linotype"/>
        </w:rPr>
        <w:t>1</w:t>
      </w:r>
      <w:r w:rsidR="000C19A8">
        <w:rPr>
          <w:rFonts w:ascii="Palatino Linotype" w:hAnsi="Palatino Linotype"/>
        </w:rPr>
        <w:t>8</w:t>
      </w:r>
      <w:r w:rsidRPr="006219D0">
        <w:rPr>
          <w:rFonts w:ascii="Palatino Linotype" w:hAnsi="Palatino Linotype"/>
        </w:rPr>
        <w:t>, 201</w:t>
      </w:r>
      <w:r w:rsidRPr="002E747E" w:rsidR="002377D4">
        <w:rPr>
          <w:rFonts w:ascii="Palatino Linotype" w:hAnsi="Palatino Linotype"/>
        </w:rPr>
        <w:t>9</w:t>
      </w:r>
      <w:r w:rsidRPr="002E747E">
        <w:rPr>
          <w:rFonts w:ascii="Palatino Linotype" w:hAnsi="Palatino Linotype"/>
        </w:rPr>
        <w:t xml:space="preserve">, Staff posted the proposed project area map, census block groups (CBGs) and zip codes for the </w:t>
      </w:r>
      <w:r w:rsidR="000C19A8">
        <w:rPr>
          <w:rFonts w:ascii="Palatino Linotype" w:hAnsi="Palatino Linotype"/>
        </w:rPr>
        <w:t>Crescent City</w:t>
      </w:r>
      <w:r w:rsidR="005D5A5A">
        <w:rPr>
          <w:rFonts w:ascii="Palatino Linotype" w:hAnsi="Palatino Linotype"/>
        </w:rPr>
        <w:t xml:space="preserve"> </w:t>
      </w:r>
      <w:r w:rsidR="000C19A8">
        <w:rPr>
          <w:rFonts w:ascii="Palatino Linotype" w:hAnsi="Palatino Linotype"/>
        </w:rPr>
        <w:t xml:space="preserve">and Smith River </w:t>
      </w:r>
      <w:r w:rsidR="002847D5">
        <w:rPr>
          <w:rFonts w:ascii="Palatino Linotype" w:hAnsi="Palatino Linotype"/>
        </w:rPr>
        <w:t>P</w:t>
      </w:r>
      <w:r w:rsidR="00694ED2">
        <w:rPr>
          <w:rFonts w:ascii="Palatino Linotype" w:hAnsi="Palatino Linotype"/>
        </w:rPr>
        <w:t>rojects</w:t>
      </w:r>
      <w:r w:rsidRPr="00947BDA" w:rsidR="002377D4">
        <w:rPr>
          <w:rFonts w:ascii="Palatino Linotype" w:hAnsi="Palatino Linotype"/>
        </w:rPr>
        <w:t xml:space="preserve"> </w:t>
      </w:r>
      <w:r w:rsidRPr="00947BDA">
        <w:rPr>
          <w:rFonts w:ascii="Palatino Linotype" w:hAnsi="Palatino Linotype"/>
        </w:rPr>
        <w:t>on the Commission’s CASF webpage</w:t>
      </w:r>
      <w:r w:rsidRPr="006219D0" w:rsidR="00854FC0">
        <w:rPr>
          <w:rStyle w:val="FootnoteReference"/>
          <w:rFonts w:ascii="Palatino Linotype" w:hAnsi="Palatino Linotype"/>
        </w:rPr>
        <w:footnoteReference w:id="6"/>
      </w:r>
      <w:r w:rsidRPr="006219D0">
        <w:rPr>
          <w:rFonts w:ascii="Palatino Linotype" w:hAnsi="Palatino Linotype"/>
        </w:rPr>
        <w:t xml:space="preserve"> under “CASF Application Project Summaries” and sent notice regarding the project to </w:t>
      </w:r>
      <w:r w:rsidR="000155E8">
        <w:rPr>
          <w:rFonts w:ascii="Palatino Linotype" w:hAnsi="Palatino Linotype"/>
        </w:rPr>
        <w:t>the</w:t>
      </w:r>
      <w:r w:rsidRPr="006219D0" w:rsidR="000155E8">
        <w:rPr>
          <w:rFonts w:ascii="Palatino Linotype" w:hAnsi="Palatino Linotype"/>
        </w:rPr>
        <w:t xml:space="preserve"> </w:t>
      </w:r>
      <w:r w:rsidRPr="006219D0" w:rsidR="00206C0D">
        <w:rPr>
          <w:rFonts w:ascii="Palatino Linotype" w:hAnsi="Palatino Linotype"/>
        </w:rPr>
        <w:t>CASF</w:t>
      </w:r>
      <w:r w:rsidRPr="006219D0" w:rsidR="00BB03A6">
        <w:rPr>
          <w:rFonts w:ascii="Palatino Linotype" w:hAnsi="Palatino Linotype"/>
        </w:rPr>
        <w:t xml:space="preserve"> Distribution List</w:t>
      </w:r>
      <w:r w:rsidR="001E4586">
        <w:rPr>
          <w:rFonts w:ascii="Palatino Linotype" w:hAnsi="Palatino Linotype"/>
        </w:rPr>
        <w:t>.</w:t>
      </w:r>
      <w:r w:rsidRPr="006219D0" w:rsidR="00344BFB">
        <w:rPr>
          <w:rStyle w:val="FootnoteReference"/>
          <w:rFonts w:ascii="Palatino Linotype" w:hAnsi="Palatino Linotype"/>
        </w:rPr>
        <w:footnoteReference w:id="7"/>
      </w:r>
      <w:r w:rsidRPr="006219D0">
        <w:rPr>
          <w:rFonts w:ascii="Palatino Linotype" w:hAnsi="Palatino Linotype"/>
        </w:rPr>
        <w:t xml:space="preserve">  </w:t>
      </w:r>
    </w:p>
    <w:p w:rsidRPr="00352E7F" w:rsidR="00472125" w:rsidP="00472125" w:rsidRDefault="00472125" w14:paraId="3FCDEEBA" w14:textId="77777777">
      <w:pPr>
        <w:autoSpaceDE w:val="0"/>
        <w:autoSpaceDN w:val="0"/>
        <w:adjustRightInd w:val="0"/>
        <w:rPr>
          <w:rFonts w:ascii="Palatino Linotype" w:hAnsi="Palatino Linotype"/>
          <w:szCs w:val="24"/>
        </w:rPr>
      </w:pPr>
    </w:p>
    <w:p w:rsidRPr="00352E7F" w:rsidR="00171387" w:rsidP="00F7696B" w:rsidRDefault="00171387" w14:paraId="1C999136" w14:textId="54E7B042">
      <w:pPr>
        <w:pStyle w:val="Heading1"/>
        <w:rPr>
          <w:rFonts w:ascii="Palatino Linotype" w:hAnsi="Palatino Linotype"/>
          <w:sz w:val="26"/>
          <w:szCs w:val="26"/>
        </w:rPr>
      </w:pPr>
      <w:r w:rsidRPr="00247149">
        <w:rPr>
          <w:rFonts w:ascii="Palatino Linotype" w:hAnsi="Palatino Linotype"/>
          <w:sz w:val="26"/>
          <w:szCs w:val="26"/>
        </w:rPr>
        <w:t>PROTEST</w:t>
      </w:r>
      <w:r w:rsidRPr="00247149" w:rsidR="00F34C4A">
        <w:rPr>
          <w:rFonts w:ascii="Palatino Linotype" w:hAnsi="Palatino Linotype"/>
          <w:sz w:val="26"/>
          <w:szCs w:val="26"/>
        </w:rPr>
        <w:t>/CHALLENGES</w:t>
      </w:r>
    </w:p>
    <w:p w:rsidRPr="00352E7F" w:rsidR="00F34C4A" w:rsidP="00F7696B" w:rsidRDefault="00F34C4A" w14:paraId="36897B8C" w14:textId="77777777">
      <w:pPr>
        <w:rPr>
          <w:rFonts w:ascii="Palatino Linotype" w:hAnsi="Palatino Linotype"/>
          <w:szCs w:val="24"/>
        </w:rPr>
      </w:pPr>
    </w:p>
    <w:p w:rsidRPr="00352E7F" w:rsidR="006C6ADD" w:rsidP="167C61B8" w:rsidRDefault="007C5B6F" w14:paraId="28A5D4DF" w14:textId="759F6DE2">
      <w:pPr>
        <w:autoSpaceDE w:val="0"/>
        <w:autoSpaceDN w:val="0"/>
        <w:adjustRightInd w:val="0"/>
        <w:rPr>
          <w:rFonts w:ascii="Palatino Linotype" w:hAnsi="Palatino Linotype"/>
        </w:rPr>
      </w:pPr>
      <w:r w:rsidRPr="167C61B8">
        <w:rPr>
          <w:rFonts w:ascii="Palatino Linotype" w:hAnsi="Palatino Linotype"/>
        </w:rPr>
        <w:t xml:space="preserve">On June </w:t>
      </w:r>
      <w:r w:rsidRPr="167C61B8" w:rsidR="00694ED2">
        <w:rPr>
          <w:rFonts w:ascii="Palatino Linotype" w:hAnsi="Palatino Linotype"/>
        </w:rPr>
        <w:t>8</w:t>
      </w:r>
      <w:r w:rsidRPr="167C61B8">
        <w:rPr>
          <w:rFonts w:ascii="Palatino Linotype" w:hAnsi="Palatino Linotype"/>
        </w:rPr>
        <w:t>, 20</w:t>
      </w:r>
      <w:r w:rsidRPr="167C61B8" w:rsidR="00562DEA">
        <w:rPr>
          <w:rFonts w:ascii="Palatino Linotype" w:hAnsi="Palatino Linotype"/>
        </w:rPr>
        <w:t>20</w:t>
      </w:r>
      <w:r w:rsidRPr="167C61B8">
        <w:rPr>
          <w:rFonts w:ascii="Palatino Linotype" w:hAnsi="Palatino Linotype"/>
        </w:rPr>
        <w:t xml:space="preserve">, </w:t>
      </w:r>
      <w:r w:rsidRPr="167C61B8" w:rsidR="00D33D29">
        <w:rPr>
          <w:rFonts w:ascii="Palatino Linotype" w:hAnsi="Palatino Linotype"/>
        </w:rPr>
        <w:t>Charter Communications</w:t>
      </w:r>
      <w:r w:rsidRPr="167C61B8" w:rsidR="00947BDA">
        <w:rPr>
          <w:rFonts w:ascii="Palatino Linotype" w:hAnsi="Palatino Linotype"/>
        </w:rPr>
        <w:t xml:space="preserve"> Inc. (</w:t>
      </w:r>
      <w:r w:rsidRPr="167C61B8" w:rsidR="00D33D29">
        <w:rPr>
          <w:rFonts w:ascii="Palatino Linotype" w:hAnsi="Palatino Linotype"/>
        </w:rPr>
        <w:t>Charter</w:t>
      </w:r>
      <w:r w:rsidRPr="167C61B8" w:rsidR="00947BDA">
        <w:rPr>
          <w:rFonts w:ascii="Palatino Linotype" w:hAnsi="Palatino Linotype"/>
        </w:rPr>
        <w:t>)</w:t>
      </w:r>
      <w:r w:rsidRPr="167C61B8">
        <w:rPr>
          <w:rFonts w:ascii="Palatino Linotype" w:hAnsi="Palatino Linotype"/>
        </w:rPr>
        <w:t xml:space="preserve"> challenged the </w:t>
      </w:r>
      <w:r w:rsidRPr="167C61B8" w:rsidR="00AE0312">
        <w:rPr>
          <w:rFonts w:ascii="Palatino Linotype" w:hAnsi="Palatino Linotype"/>
        </w:rPr>
        <w:t xml:space="preserve">Crescent City </w:t>
      </w:r>
      <w:r w:rsidRPr="167C61B8" w:rsidR="00786C1A">
        <w:rPr>
          <w:rFonts w:ascii="Palatino Linotype" w:hAnsi="Palatino Linotype"/>
        </w:rPr>
        <w:t xml:space="preserve">project </w:t>
      </w:r>
      <w:r w:rsidRPr="167C61B8">
        <w:rPr>
          <w:rFonts w:ascii="Palatino Linotype" w:hAnsi="Palatino Linotype"/>
        </w:rPr>
        <w:t>application</w:t>
      </w:r>
      <w:r w:rsidRPr="167C61B8" w:rsidR="373EE8E0">
        <w:rPr>
          <w:rFonts w:ascii="Palatino Linotype" w:hAnsi="Palatino Linotype"/>
        </w:rPr>
        <w:t>,</w:t>
      </w:r>
      <w:r w:rsidRPr="167C61B8">
        <w:rPr>
          <w:rFonts w:ascii="Palatino Linotype" w:hAnsi="Palatino Linotype"/>
        </w:rPr>
        <w:t xml:space="preserve"> stating the company provides broadband at served speeds in the project area.  </w:t>
      </w:r>
      <w:r w:rsidRPr="167C61B8" w:rsidR="008F0382">
        <w:rPr>
          <w:rFonts w:ascii="Palatino Linotype" w:hAnsi="Palatino Linotype"/>
        </w:rPr>
        <w:t xml:space="preserve">Staff received no challenges to the Smith River </w:t>
      </w:r>
      <w:r w:rsidR="00487CAC">
        <w:rPr>
          <w:rFonts w:ascii="Palatino Linotype" w:hAnsi="Palatino Linotype"/>
        </w:rPr>
        <w:t>P</w:t>
      </w:r>
      <w:r w:rsidR="00595C12">
        <w:rPr>
          <w:rFonts w:ascii="Palatino Linotype" w:hAnsi="Palatino Linotype"/>
        </w:rPr>
        <w:t>roject</w:t>
      </w:r>
      <w:r w:rsidRPr="167C61B8" w:rsidR="008603ED">
        <w:rPr>
          <w:rFonts w:ascii="Palatino Linotype" w:hAnsi="Palatino Linotype"/>
        </w:rPr>
        <w:t xml:space="preserve">.  </w:t>
      </w:r>
    </w:p>
    <w:p w:rsidRPr="00352E7F" w:rsidR="006C6ADD" w:rsidP="00F7696B" w:rsidRDefault="006C6ADD" w14:paraId="5CB4A5E6" w14:textId="77777777">
      <w:pPr>
        <w:autoSpaceDE w:val="0"/>
        <w:autoSpaceDN w:val="0"/>
        <w:adjustRightInd w:val="0"/>
        <w:rPr>
          <w:rFonts w:ascii="Palatino Linotype" w:hAnsi="Palatino Linotype"/>
          <w:szCs w:val="24"/>
        </w:rPr>
      </w:pPr>
    </w:p>
    <w:p w:rsidRPr="00FB6300" w:rsidR="007C5B6F" w:rsidP="00F7696B" w:rsidRDefault="002F7448" w14:paraId="3ADDFDA8" w14:textId="4F6CD762">
      <w:pPr>
        <w:autoSpaceDE w:val="0"/>
        <w:autoSpaceDN w:val="0"/>
        <w:adjustRightInd w:val="0"/>
        <w:rPr>
          <w:rFonts w:ascii="Palatino Linotype" w:hAnsi="Palatino Linotype"/>
          <w:szCs w:val="24"/>
        </w:rPr>
      </w:pPr>
      <w:r>
        <w:rPr>
          <w:rFonts w:ascii="Palatino Linotype" w:hAnsi="Palatino Linotype"/>
          <w:szCs w:val="24"/>
        </w:rPr>
        <w:t xml:space="preserve">The outcome of the </w:t>
      </w:r>
      <w:r w:rsidR="007B7353">
        <w:rPr>
          <w:rFonts w:ascii="Palatino Linotype" w:hAnsi="Palatino Linotype"/>
          <w:szCs w:val="24"/>
        </w:rPr>
        <w:t xml:space="preserve">Charter </w:t>
      </w:r>
      <w:r>
        <w:rPr>
          <w:rFonts w:ascii="Palatino Linotype" w:hAnsi="Palatino Linotype"/>
          <w:szCs w:val="24"/>
        </w:rPr>
        <w:t xml:space="preserve">challenge is addressed in </w:t>
      </w:r>
      <w:r w:rsidRPr="00FB6300" w:rsidR="00DA1769">
        <w:rPr>
          <w:rFonts w:ascii="Palatino Linotype" w:hAnsi="Palatino Linotype"/>
          <w:szCs w:val="24"/>
        </w:rPr>
        <w:t>Discussion, Section I, Project Area Eligibility</w:t>
      </w:r>
      <w:r w:rsidRPr="00FB6300" w:rsidR="00996F37">
        <w:rPr>
          <w:rFonts w:ascii="Palatino Linotype" w:hAnsi="Palatino Linotype"/>
          <w:szCs w:val="24"/>
        </w:rPr>
        <w:t>.</w:t>
      </w:r>
    </w:p>
    <w:p w:rsidRPr="00352E7F" w:rsidR="007B1374" w:rsidP="00F7696B" w:rsidRDefault="007B1374" w14:paraId="1BCADFCB" w14:textId="77777777">
      <w:pPr>
        <w:autoSpaceDE w:val="0"/>
        <w:autoSpaceDN w:val="0"/>
        <w:adjustRightInd w:val="0"/>
        <w:rPr>
          <w:rFonts w:ascii="Palatino Linotype" w:hAnsi="Palatino Linotype"/>
          <w:szCs w:val="24"/>
        </w:rPr>
      </w:pPr>
    </w:p>
    <w:p w:rsidRPr="00352E7F" w:rsidR="008A31C5" w:rsidP="0059591E" w:rsidRDefault="00C046DD" w14:paraId="7B6AD7FE" w14:textId="49F3764E">
      <w:pPr>
        <w:pStyle w:val="Heading1"/>
        <w:rPr>
          <w:rFonts w:ascii="Palatino Linotype" w:hAnsi="Palatino Linotype"/>
          <w:sz w:val="26"/>
          <w:szCs w:val="26"/>
        </w:rPr>
      </w:pPr>
      <w:r w:rsidRPr="00247149">
        <w:rPr>
          <w:rFonts w:ascii="Palatino Linotype" w:hAnsi="Palatino Linotype"/>
          <w:sz w:val="26"/>
          <w:szCs w:val="26"/>
        </w:rPr>
        <w:t>DI</w:t>
      </w:r>
      <w:r w:rsidRPr="00247149" w:rsidR="00AC0D42">
        <w:rPr>
          <w:rFonts w:ascii="Palatino Linotype" w:hAnsi="Palatino Linotype"/>
          <w:sz w:val="26"/>
          <w:szCs w:val="26"/>
        </w:rPr>
        <w:t>S</w:t>
      </w:r>
      <w:r w:rsidRPr="00247149">
        <w:rPr>
          <w:rFonts w:ascii="Palatino Linotype" w:hAnsi="Palatino Linotype"/>
          <w:sz w:val="26"/>
          <w:szCs w:val="26"/>
        </w:rPr>
        <w:t>CUSSION</w:t>
      </w:r>
      <w:r w:rsidRPr="00352E7F">
        <w:rPr>
          <w:rFonts w:ascii="Palatino Linotype" w:hAnsi="Palatino Linotype"/>
          <w:sz w:val="26"/>
          <w:szCs w:val="26"/>
        </w:rPr>
        <w:t xml:space="preserve"> </w:t>
      </w:r>
    </w:p>
    <w:p w:rsidRPr="00352E7F" w:rsidR="00E52A83" w:rsidP="00F7696B" w:rsidRDefault="00E52A83" w14:paraId="37BD8239" w14:textId="6DCFA360">
      <w:pPr>
        <w:autoSpaceDE w:val="0"/>
        <w:autoSpaceDN w:val="0"/>
        <w:adjustRightInd w:val="0"/>
        <w:rPr>
          <w:rFonts w:ascii="Palatino Linotype" w:hAnsi="Palatino Linotype"/>
          <w:szCs w:val="24"/>
        </w:rPr>
      </w:pPr>
    </w:p>
    <w:p w:rsidRPr="00096B6D" w:rsidR="000C0D5E" w:rsidP="00F7696B" w:rsidRDefault="007A1B09" w14:paraId="26DAA7E3" w14:textId="502248AF">
      <w:pPr>
        <w:autoSpaceDE w:val="0"/>
        <w:autoSpaceDN w:val="0"/>
        <w:adjustRightInd w:val="0"/>
        <w:rPr>
          <w:rFonts w:ascii="Palatino Linotype" w:hAnsi="Palatino Linotype"/>
          <w:szCs w:val="24"/>
        </w:rPr>
      </w:pPr>
      <w:r w:rsidRPr="00BC173F">
        <w:rPr>
          <w:rFonts w:ascii="Palatino Linotype" w:hAnsi="Palatino Linotype"/>
          <w:szCs w:val="24"/>
        </w:rPr>
        <w:t>In compl</w:t>
      </w:r>
      <w:r w:rsidRPr="00BC173F" w:rsidR="00ED5720">
        <w:rPr>
          <w:rFonts w:ascii="Palatino Linotype" w:hAnsi="Palatino Linotype"/>
          <w:szCs w:val="24"/>
        </w:rPr>
        <w:t xml:space="preserve">iance </w:t>
      </w:r>
      <w:r w:rsidRPr="00BC173F">
        <w:rPr>
          <w:rFonts w:ascii="Palatino Linotype" w:hAnsi="Palatino Linotype"/>
          <w:szCs w:val="24"/>
        </w:rPr>
        <w:t xml:space="preserve">with </w:t>
      </w:r>
      <w:r w:rsidRPr="00BC173F" w:rsidR="00ED5720">
        <w:rPr>
          <w:rFonts w:ascii="Palatino Linotype" w:hAnsi="Palatino Linotype"/>
          <w:szCs w:val="24"/>
        </w:rPr>
        <w:t>D.18-12-018, S</w:t>
      </w:r>
      <w:r w:rsidRPr="00BC173F" w:rsidR="00304779">
        <w:rPr>
          <w:rFonts w:ascii="Palatino Linotype" w:hAnsi="Palatino Linotype"/>
          <w:szCs w:val="24"/>
        </w:rPr>
        <w:t xml:space="preserve">taff determined Frontier’s </w:t>
      </w:r>
      <w:r w:rsidR="007B7353">
        <w:rPr>
          <w:rFonts w:ascii="Palatino Linotype" w:hAnsi="Palatino Linotype"/>
          <w:szCs w:val="24"/>
        </w:rPr>
        <w:t>Crescent City</w:t>
      </w:r>
      <w:r w:rsidR="006F0C99">
        <w:rPr>
          <w:rFonts w:ascii="Palatino Linotype" w:hAnsi="Palatino Linotype"/>
          <w:szCs w:val="24"/>
        </w:rPr>
        <w:t xml:space="preserve"> </w:t>
      </w:r>
      <w:r w:rsidR="002605FF">
        <w:rPr>
          <w:rFonts w:ascii="Palatino Linotype" w:hAnsi="Palatino Linotype"/>
          <w:szCs w:val="24"/>
        </w:rPr>
        <w:t xml:space="preserve">and </w:t>
      </w:r>
      <w:r w:rsidR="00A97F66">
        <w:rPr>
          <w:rFonts w:ascii="Palatino Linotype" w:hAnsi="Palatino Linotype"/>
          <w:szCs w:val="24"/>
        </w:rPr>
        <w:t>Smith River</w:t>
      </w:r>
      <w:r w:rsidR="00C1513C">
        <w:rPr>
          <w:rFonts w:ascii="Palatino Linotype" w:hAnsi="Palatino Linotype"/>
          <w:szCs w:val="24"/>
        </w:rPr>
        <w:t xml:space="preserve"> </w:t>
      </w:r>
      <w:r w:rsidR="00E54940">
        <w:rPr>
          <w:rFonts w:ascii="Palatino Linotype" w:hAnsi="Palatino Linotype"/>
          <w:szCs w:val="24"/>
        </w:rPr>
        <w:t>P</w:t>
      </w:r>
      <w:r w:rsidR="00C1513C">
        <w:rPr>
          <w:rFonts w:ascii="Palatino Linotype" w:hAnsi="Palatino Linotype"/>
          <w:szCs w:val="24"/>
        </w:rPr>
        <w:t>rojects</w:t>
      </w:r>
      <w:r w:rsidRPr="00BC173F" w:rsidR="00661892">
        <w:rPr>
          <w:rFonts w:ascii="Palatino Linotype" w:hAnsi="Palatino Linotype"/>
          <w:szCs w:val="24"/>
        </w:rPr>
        <w:t xml:space="preserve"> </w:t>
      </w:r>
      <w:r w:rsidR="00C1513C">
        <w:rPr>
          <w:rFonts w:ascii="Palatino Linotype" w:hAnsi="Palatino Linotype"/>
          <w:szCs w:val="24"/>
        </w:rPr>
        <w:t>are</w:t>
      </w:r>
      <w:r w:rsidRPr="00BC173F" w:rsidR="00304779">
        <w:rPr>
          <w:rFonts w:ascii="Palatino Linotype" w:hAnsi="Palatino Linotype"/>
          <w:szCs w:val="24"/>
        </w:rPr>
        <w:t xml:space="preserve"> eligible </w:t>
      </w:r>
      <w:r w:rsidRPr="00BC173F" w:rsidR="002756A3">
        <w:rPr>
          <w:rFonts w:ascii="Palatino Linotype" w:hAnsi="Palatino Linotype"/>
          <w:szCs w:val="24"/>
        </w:rPr>
        <w:t>t</w:t>
      </w:r>
      <w:r w:rsidRPr="00BC173F" w:rsidR="00304779">
        <w:rPr>
          <w:rFonts w:ascii="Palatino Linotype" w:hAnsi="Palatino Linotype"/>
          <w:szCs w:val="24"/>
        </w:rPr>
        <w:t>o receive</w:t>
      </w:r>
      <w:r w:rsidR="00C1513C">
        <w:rPr>
          <w:rFonts w:ascii="Palatino Linotype" w:hAnsi="Palatino Linotype"/>
          <w:szCs w:val="24"/>
        </w:rPr>
        <w:t xml:space="preserve"> a </w:t>
      </w:r>
      <w:r w:rsidRPr="00096B6D" w:rsidR="00C1513C">
        <w:rPr>
          <w:rFonts w:ascii="Palatino Linotype" w:hAnsi="Palatino Linotype"/>
          <w:szCs w:val="24"/>
        </w:rPr>
        <w:t>total of</w:t>
      </w:r>
      <w:r w:rsidRPr="00096B6D" w:rsidR="00304779">
        <w:rPr>
          <w:rFonts w:ascii="Palatino Linotype" w:hAnsi="Palatino Linotype"/>
          <w:szCs w:val="24"/>
        </w:rPr>
        <w:t xml:space="preserve"> </w:t>
      </w:r>
      <w:r w:rsidRPr="00096B6D" w:rsidR="006A4CB4">
        <w:rPr>
          <w:rFonts w:ascii="Palatino Linotype" w:hAnsi="Palatino Linotype"/>
        </w:rPr>
        <w:t>$</w:t>
      </w:r>
      <w:r w:rsidRPr="00096B6D" w:rsidR="00A90A51">
        <w:rPr>
          <w:rFonts w:ascii="Palatino Linotype" w:hAnsi="Palatino Linotype"/>
        </w:rPr>
        <w:t>2,841,772</w:t>
      </w:r>
      <w:r w:rsidRPr="00096B6D" w:rsidR="006A4CB4">
        <w:rPr>
          <w:rFonts w:ascii="Palatino Linotype" w:hAnsi="Palatino Linotype"/>
        </w:rPr>
        <w:t xml:space="preserve"> </w:t>
      </w:r>
      <w:r w:rsidRPr="00096B6D" w:rsidR="00036E55">
        <w:rPr>
          <w:rFonts w:ascii="Palatino Linotype" w:hAnsi="Palatino Linotype"/>
          <w:szCs w:val="24"/>
        </w:rPr>
        <w:t xml:space="preserve">in </w:t>
      </w:r>
      <w:r w:rsidRPr="00096B6D" w:rsidR="00304779">
        <w:rPr>
          <w:rFonts w:ascii="Palatino Linotype" w:hAnsi="Palatino Linotype"/>
          <w:szCs w:val="24"/>
        </w:rPr>
        <w:t>CASF Infrastructure grant</w:t>
      </w:r>
      <w:r w:rsidRPr="00096B6D" w:rsidR="00627F00">
        <w:rPr>
          <w:rFonts w:ascii="Palatino Linotype" w:hAnsi="Palatino Linotype"/>
          <w:szCs w:val="24"/>
        </w:rPr>
        <w:t xml:space="preserve"> funding</w:t>
      </w:r>
      <w:r w:rsidRPr="00096B6D" w:rsidR="00304779">
        <w:rPr>
          <w:rFonts w:ascii="Palatino Linotype" w:hAnsi="Palatino Linotype"/>
          <w:szCs w:val="24"/>
        </w:rPr>
        <w:t xml:space="preserve">.  </w:t>
      </w:r>
    </w:p>
    <w:p w:rsidRPr="00096B6D" w:rsidR="002B2B74" w:rsidP="00F7696B" w:rsidRDefault="002B2B74" w14:paraId="2D362877" w14:textId="77777777">
      <w:pPr>
        <w:autoSpaceDE w:val="0"/>
        <w:autoSpaceDN w:val="0"/>
        <w:adjustRightInd w:val="0"/>
        <w:rPr>
          <w:rFonts w:ascii="Palatino Linotype" w:hAnsi="Palatino Linotype"/>
          <w:szCs w:val="24"/>
        </w:rPr>
      </w:pPr>
    </w:p>
    <w:p w:rsidRPr="00096B6D" w:rsidR="002B2B74" w:rsidP="002B2B74" w:rsidRDefault="002B2B74" w14:paraId="2C42E0EC" w14:textId="619B2EE8">
      <w:pPr>
        <w:autoSpaceDE w:val="0"/>
        <w:autoSpaceDN w:val="0"/>
        <w:adjustRightInd w:val="0"/>
        <w:jc w:val="center"/>
        <w:rPr>
          <w:rFonts w:ascii="Palatino Linotype" w:hAnsi="Palatino Linotype"/>
          <w:b/>
          <w:bCs/>
          <w:szCs w:val="24"/>
        </w:rPr>
      </w:pPr>
      <w:r w:rsidRPr="00096B6D">
        <w:rPr>
          <w:rFonts w:ascii="Palatino Linotype" w:hAnsi="Palatino Linotype"/>
          <w:b/>
          <w:bCs/>
          <w:szCs w:val="24"/>
        </w:rPr>
        <w:t xml:space="preserve">Table </w:t>
      </w:r>
      <w:r w:rsidRPr="00096B6D" w:rsidR="008B0F8A">
        <w:rPr>
          <w:rFonts w:ascii="Palatino Linotype" w:hAnsi="Palatino Linotype"/>
          <w:b/>
          <w:bCs/>
          <w:szCs w:val="24"/>
        </w:rPr>
        <w:t>2</w:t>
      </w:r>
      <w:r w:rsidRPr="00096B6D" w:rsidR="00AC62A6">
        <w:rPr>
          <w:rFonts w:ascii="Palatino Linotype" w:hAnsi="Palatino Linotype"/>
          <w:b/>
          <w:bCs/>
          <w:szCs w:val="24"/>
        </w:rPr>
        <w:t xml:space="preserve">: </w:t>
      </w:r>
      <w:r w:rsidRPr="00096B6D">
        <w:rPr>
          <w:rFonts w:ascii="Palatino Linotype" w:hAnsi="Palatino Linotype"/>
          <w:b/>
          <w:bCs/>
          <w:szCs w:val="24"/>
        </w:rPr>
        <w:t xml:space="preserve"> Recommended Funding for Frontier Projects </w:t>
      </w:r>
    </w:p>
    <w:tbl>
      <w:tblPr>
        <w:tblStyle w:val="TableGrid"/>
        <w:tblW w:w="7215" w:type="dxa"/>
        <w:jc w:val="center"/>
        <w:tblInd w:w="0" w:type="dxa"/>
        <w:tblLook w:val="04A0" w:firstRow="1" w:lastRow="0" w:firstColumn="1" w:lastColumn="0" w:noHBand="0" w:noVBand="1"/>
      </w:tblPr>
      <w:tblGrid>
        <w:gridCol w:w="3165"/>
        <w:gridCol w:w="2250"/>
        <w:gridCol w:w="1800"/>
      </w:tblGrid>
      <w:tr w:rsidRPr="00096B6D" w:rsidR="002B2B74" w:rsidTr="00771735" w14:paraId="189517F6" w14:textId="77777777">
        <w:trPr>
          <w:jc w:val="center"/>
        </w:trPr>
        <w:tc>
          <w:tcPr>
            <w:tcW w:w="3165" w:type="dxa"/>
            <w:shd w:val="clear" w:color="auto" w:fill="F2F2F2" w:themeFill="background1" w:themeFillShade="F2"/>
          </w:tcPr>
          <w:p w:rsidRPr="00096B6D" w:rsidR="002B2B74" w:rsidP="00556FEA" w:rsidRDefault="002B2B74" w14:paraId="1CBB7974" w14:textId="77777777">
            <w:pPr>
              <w:autoSpaceDE w:val="0"/>
              <w:autoSpaceDN w:val="0"/>
              <w:adjustRightInd w:val="0"/>
              <w:jc w:val="center"/>
              <w:rPr>
                <w:rFonts w:ascii="Palatino Linotype" w:hAnsi="Palatino Linotype"/>
                <w:b/>
                <w:bCs/>
                <w:szCs w:val="24"/>
              </w:rPr>
            </w:pPr>
            <w:r w:rsidRPr="00096B6D">
              <w:rPr>
                <w:rFonts w:ascii="Palatino Linotype" w:hAnsi="Palatino Linotype"/>
                <w:b/>
                <w:bCs/>
                <w:szCs w:val="24"/>
              </w:rPr>
              <w:t>Project</w:t>
            </w:r>
          </w:p>
        </w:tc>
        <w:tc>
          <w:tcPr>
            <w:tcW w:w="2250" w:type="dxa"/>
            <w:shd w:val="clear" w:color="auto" w:fill="F2F2F2" w:themeFill="background1" w:themeFillShade="F2"/>
          </w:tcPr>
          <w:p w:rsidRPr="00096B6D" w:rsidR="002B2B74" w:rsidP="00556FEA" w:rsidRDefault="002B2B74" w14:paraId="5F2F2810" w14:textId="77777777">
            <w:pPr>
              <w:autoSpaceDE w:val="0"/>
              <w:autoSpaceDN w:val="0"/>
              <w:adjustRightInd w:val="0"/>
              <w:jc w:val="center"/>
              <w:rPr>
                <w:rFonts w:ascii="Palatino Linotype" w:hAnsi="Palatino Linotype"/>
                <w:b/>
                <w:bCs/>
                <w:szCs w:val="24"/>
              </w:rPr>
            </w:pPr>
            <w:r w:rsidRPr="00096B6D">
              <w:rPr>
                <w:rFonts w:ascii="Palatino Linotype" w:hAnsi="Palatino Linotype"/>
                <w:b/>
                <w:bCs/>
                <w:szCs w:val="24"/>
              </w:rPr>
              <w:t>Staff Funding Recommendation</w:t>
            </w:r>
          </w:p>
        </w:tc>
        <w:tc>
          <w:tcPr>
            <w:tcW w:w="1800" w:type="dxa"/>
            <w:shd w:val="clear" w:color="auto" w:fill="F2F2F2" w:themeFill="background1" w:themeFillShade="F2"/>
          </w:tcPr>
          <w:p w:rsidRPr="00096B6D" w:rsidR="002B2B74" w:rsidP="00556FEA" w:rsidRDefault="00771735" w14:paraId="2F20CE3F" w14:textId="307502BA">
            <w:pPr>
              <w:autoSpaceDE w:val="0"/>
              <w:autoSpaceDN w:val="0"/>
              <w:adjustRightInd w:val="0"/>
              <w:jc w:val="center"/>
              <w:rPr>
                <w:rFonts w:ascii="Palatino Linotype" w:hAnsi="Palatino Linotype"/>
                <w:b/>
                <w:bCs/>
                <w:szCs w:val="24"/>
              </w:rPr>
            </w:pPr>
            <w:r w:rsidRPr="00096B6D">
              <w:rPr>
                <w:rFonts w:ascii="Palatino Linotype" w:hAnsi="Palatino Linotype"/>
                <w:b/>
                <w:bCs/>
                <w:szCs w:val="24"/>
              </w:rPr>
              <w:t>Unserved Households</w:t>
            </w:r>
          </w:p>
        </w:tc>
      </w:tr>
      <w:tr w:rsidRPr="00096B6D" w:rsidR="00533605" w:rsidTr="00771735" w14:paraId="0EFC6E61" w14:textId="77777777">
        <w:trPr>
          <w:jc w:val="center"/>
        </w:trPr>
        <w:tc>
          <w:tcPr>
            <w:tcW w:w="3165" w:type="dxa"/>
            <w:vAlign w:val="center"/>
          </w:tcPr>
          <w:p w:rsidRPr="00096B6D" w:rsidR="00533605" w:rsidP="00533605" w:rsidRDefault="00533605" w14:paraId="2AC50060" w14:textId="03C88DAF">
            <w:pPr>
              <w:autoSpaceDE w:val="0"/>
              <w:autoSpaceDN w:val="0"/>
              <w:adjustRightInd w:val="0"/>
              <w:rPr>
                <w:rFonts w:ascii="Palatino Linotype" w:hAnsi="Palatino Linotype"/>
                <w:szCs w:val="24"/>
              </w:rPr>
            </w:pPr>
            <w:r w:rsidRPr="00096B6D">
              <w:rPr>
                <w:rFonts w:ascii="Palatino Linotype" w:hAnsi="Palatino Linotype"/>
                <w:szCs w:val="24"/>
              </w:rPr>
              <w:t>Crescent City</w:t>
            </w:r>
          </w:p>
        </w:tc>
        <w:tc>
          <w:tcPr>
            <w:tcW w:w="2250" w:type="dxa"/>
          </w:tcPr>
          <w:p w:rsidRPr="00096B6D" w:rsidR="00533605" w:rsidP="00533605" w:rsidRDefault="00533605" w14:paraId="62AC2BB4" w14:textId="44C455B8">
            <w:pPr>
              <w:autoSpaceDE w:val="0"/>
              <w:autoSpaceDN w:val="0"/>
              <w:adjustRightInd w:val="0"/>
              <w:jc w:val="center"/>
              <w:rPr>
                <w:rFonts w:ascii="Palatino Linotype" w:hAnsi="Palatino Linotype"/>
                <w:szCs w:val="24"/>
              </w:rPr>
            </w:pPr>
            <w:r w:rsidRPr="00096B6D">
              <w:rPr>
                <w:rFonts w:ascii="Palatino Linotype" w:hAnsi="Palatino Linotype"/>
                <w:szCs w:val="24"/>
              </w:rPr>
              <w:t>$ 1,</w:t>
            </w:r>
            <w:r w:rsidRPr="00096B6D" w:rsidR="0076332E">
              <w:rPr>
                <w:rFonts w:ascii="Palatino Linotype" w:hAnsi="Palatino Linotype"/>
                <w:szCs w:val="24"/>
              </w:rPr>
              <w:t>413,293</w:t>
            </w:r>
          </w:p>
        </w:tc>
        <w:tc>
          <w:tcPr>
            <w:tcW w:w="1800" w:type="dxa"/>
          </w:tcPr>
          <w:p w:rsidRPr="00096B6D" w:rsidR="00533605" w:rsidP="00533605" w:rsidRDefault="00533605" w14:paraId="02158783" w14:textId="0B3FB814">
            <w:pPr>
              <w:autoSpaceDE w:val="0"/>
              <w:autoSpaceDN w:val="0"/>
              <w:adjustRightInd w:val="0"/>
              <w:jc w:val="center"/>
              <w:rPr>
                <w:rFonts w:ascii="Palatino Linotype" w:hAnsi="Palatino Linotype"/>
                <w:szCs w:val="24"/>
              </w:rPr>
            </w:pPr>
            <w:r w:rsidRPr="00096B6D">
              <w:rPr>
                <w:rFonts w:ascii="Palatino Linotype" w:hAnsi="Palatino Linotype"/>
                <w:szCs w:val="24"/>
              </w:rPr>
              <w:t>1</w:t>
            </w:r>
            <w:r w:rsidRPr="00096B6D" w:rsidR="0076332E">
              <w:rPr>
                <w:rFonts w:ascii="Palatino Linotype" w:hAnsi="Palatino Linotype"/>
                <w:szCs w:val="24"/>
              </w:rPr>
              <w:t>05</w:t>
            </w:r>
          </w:p>
        </w:tc>
      </w:tr>
      <w:tr w:rsidRPr="00096B6D" w:rsidR="00533605" w:rsidTr="00771735" w14:paraId="07EC6A13" w14:textId="77777777">
        <w:trPr>
          <w:jc w:val="center"/>
        </w:trPr>
        <w:tc>
          <w:tcPr>
            <w:tcW w:w="3165" w:type="dxa"/>
            <w:vAlign w:val="center"/>
          </w:tcPr>
          <w:p w:rsidRPr="00096B6D" w:rsidR="00533605" w:rsidP="00533605" w:rsidRDefault="00533605" w14:paraId="28EB7A20" w14:textId="5A161FAE">
            <w:pPr>
              <w:autoSpaceDE w:val="0"/>
              <w:autoSpaceDN w:val="0"/>
              <w:adjustRightInd w:val="0"/>
              <w:rPr>
                <w:rFonts w:ascii="Palatino Linotype" w:hAnsi="Palatino Linotype"/>
                <w:szCs w:val="24"/>
              </w:rPr>
            </w:pPr>
            <w:r w:rsidRPr="00096B6D">
              <w:rPr>
                <w:rFonts w:ascii="Palatino Linotype" w:hAnsi="Palatino Linotype"/>
                <w:szCs w:val="24"/>
              </w:rPr>
              <w:t>Smith River</w:t>
            </w:r>
          </w:p>
        </w:tc>
        <w:tc>
          <w:tcPr>
            <w:tcW w:w="2250" w:type="dxa"/>
          </w:tcPr>
          <w:p w:rsidRPr="00096B6D" w:rsidR="00533605" w:rsidP="00533605" w:rsidRDefault="00533605" w14:paraId="6CB8DDB0" w14:textId="65730880">
            <w:pPr>
              <w:autoSpaceDE w:val="0"/>
              <w:autoSpaceDN w:val="0"/>
              <w:adjustRightInd w:val="0"/>
              <w:jc w:val="center"/>
              <w:rPr>
                <w:rFonts w:ascii="Palatino Linotype" w:hAnsi="Palatino Linotype"/>
                <w:szCs w:val="24"/>
              </w:rPr>
            </w:pPr>
            <w:r w:rsidRPr="00096B6D">
              <w:rPr>
                <w:rFonts w:ascii="Palatino Linotype" w:hAnsi="Palatino Linotype"/>
                <w:szCs w:val="24"/>
              </w:rPr>
              <w:t>$ 1,428,479</w:t>
            </w:r>
          </w:p>
        </w:tc>
        <w:tc>
          <w:tcPr>
            <w:tcW w:w="1800" w:type="dxa"/>
          </w:tcPr>
          <w:p w:rsidRPr="00096B6D" w:rsidR="00533605" w:rsidP="00533605" w:rsidRDefault="00533605" w14:paraId="0B1D8E65" w14:textId="63699127">
            <w:pPr>
              <w:autoSpaceDE w:val="0"/>
              <w:autoSpaceDN w:val="0"/>
              <w:adjustRightInd w:val="0"/>
              <w:jc w:val="center"/>
              <w:rPr>
                <w:rFonts w:ascii="Palatino Linotype" w:hAnsi="Palatino Linotype"/>
                <w:szCs w:val="24"/>
              </w:rPr>
            </w:pPr>
            <w:r w:rsidRPr="00096B6D">
              <w:rPr>
                <w:rFonts w:ascii="Palatino Linotype" w:hAnsi="Palatino Linotype"/>
                <w:szCs w:val="24"/>
              </w:rPr>
              <w:t>55</w:t>
            </w:r>
          </w:p>
        </w:tc>
      </w:tr>
      <w:tr w:rsidRPr="00096B6D" w:rsidR="00533605" w:rsidTr="00771735" w14:paraId="6AF6D6CC" w14:textId="77777777">
        <w:trPr>
          <w:jc w:val="center"/>
        </w:trPr>
        <w:tc>
          <w:tcPr>
            <w:tcW w:w="3165" w:type="dxa"/>
            <w:vAlign w:val="center"/>
          </w:tcPr>
          <w:p w:rsidRPr="00096B6D" w:rsidR="00533605" w:rsidP="00533605" w:rsidRDefault="00771735" w14:paraId="2264C2F3" w14:textId="0C93F6F0">
            <w:pPr>
              <w:autoSpaceDE w:val="0"/>
              <w:autoSpaceDN w:val="0"/>
              <w:adjustRightInd w:val="0"/>
              <w:rPr>
                <w:rFonts w:ascii="Palatino Linotype" w:hAnsi="Palatino Linotype"/>
                <w:b/>
                <w:bCs/>
                <w:szCs w:val="24"/>
              </w:rPr>
            </w:pPr>
            <w:r w:rsidRPr="00096B6D">
              <w:rPr>
                <w:rFonts w:ascii="Palatino Linotype" w:hAnsi="Palatino Linotype"/>
                <w:b/>
                <w:bCs/>
                <w:szCs w:val="24"/>
              </w:rPr>
              <w:t xml:space="preserve">Recommended </w:t>
            </w:r>
            <w:r w:rsidRPr="00096B6D" w:rsidR="00624E27">
              <w:rPr>
                <w:rFonts w:ascii="Palatino Linotype" w:hAnsi="Palatino Linotype"/>
                <w:b/>
                <w:bCs/>
                <w:szCs w:val="24"/>
              </w:rPr>
              <w:t>Funding</w:t>
            </w:r>
          </w:p>
        </w:tc>
        <w:tc>
          <w:tcPr>
            <w:tcW w:w="2250" w:type="dxa"/>
          </w:tcPr>
          <w:p w:rsidRPr="00096B6D" w:rsidR="00533605" w:rsidP="00533605" w:rsidRDefault="00533605" w14:paraId="0E979A3B" w14:textId="696A3704">
            <w:pPr>
              <w:autoSpaceDE w:val="0"/>
              <w:autoSpaceDN w:val="0"/>
              <w:adjustRightInd w:val="0"/>
              <w:jc w:val="center"/>
              <w:rPr>
                <w:rFonts w:ascii="Palatino Linotype" w:hAnsi="Palatino Linotype"/>
                <w:b/>
                <w:bCs/>
                <w:szCs w:val="24"/>
              </w:rPr>
            </w:pPr>
            <w:r w:rsidRPr="00096B6D">
              <w:rPr>
                <w:rFonts w:ascii="Palatino Linotype" w:hAnsi="Palatino Linotype"/>
                <w:b/>
                <w:bCs/>
                <w:szCs w:val="24"/>
              </w:rPr>
              <w:t xml:space="preserve">$ </w:t>
            </w:r>
            <w:r w:rsidRPr="00096B6D" w:rsidR="00A90A51">
              <w:rPr>
                <w:rFonts w:ascii="Palatino Linotype" w:hAnsi="Palatino Linotype"/>
                <w:b/>
                <w:bCs/>
                <w:szCs w:val="24"/>
              </w:rPr>
              <w:t>2,841,772</w:t>
            </w:r>
          </w:p>
        </w:tc>
        <w:tc>
          <w:tcPr>
            <w:tcW w:w="1800" w:type="dxa"/>
          </w:tcPr>
          <w:p w:rsidRPr="00096B6D" w:rsidR="00533605" w:rsidP="00533605" w:rsidRDefault="006A4CB4" w14:paraId="69047484" w14:textId="183B0DB8">
            <w:pPr>
              <w:autoSpaceDE w:val="0"/>
              <w:autoSpaceDN w:val="0"/>
              <w:adjustRightInd w:val="0"/>
              <w:jc w:val="center"/>
              <w:rPr>
                <w:rFonts w:ascii="Palatino Linotype" w:hAnsi="Palatino Linotype"/>
                <w:b/>
                <w:bCs/>
                <w:szCs w:val="24"/>
              </w:rPr>
            </w:pPr>
            <w:r w:rsidRPr="00096B6D">
              <w:rPr>
                <w:rFonts w:ascii="Palatino Linotype" w:hAnsi="Palatino Linotype"/>
                <w:b/>
                <w:bCs/>
                <w:szCs w:val="24"/>
              </w:rPr>
              <w:t>1</w:t>
            </w:r>
            <w:r w:rsidRPr="00096B6D" w:rsidR="000F4D2D">
              <w:rPr>
                <w:rFonts w:ascii="Palatino Linotype" w:hAnsi="Palatino Linotype"/>
                <w:b/>
                <w:bCs/>
                <w:szCs w:val="24"/>
              </w:rPr>
              <w:t>60</w:t>
            </w:r>
          </w:p>
        </w:tc>
      </w:tr>
    </w:tbl>
    <w:p w:rsidRPr="00096B6D" w:rsidR="005A79D1" w:rsidP="00036E55" w:rsidRDefault="005A79D1" w14:paraId="6BAEC54F" w14:textId="77777777">
      <w:pPr>
        <w:autoSpaceDE w:val="0"/>
        <w:autoSpaceDN w:val="0"/>
        <w:adjustRightInd w:val="0"/>
        <w:rPr>
          <w:rFonts w:ascii="Palatino Linotype" w:hAnsi="Palatino Linotype"/>
          <w:szCs w:val="24"/>
        </w:rPr>
      </w:pPr>
    </w:p>
    <w:p w:rsidR="00036E55" w:rsidP="00036E55" w:rsidRDefault="00036E55" w14:paraId="7B421E1B" w14:textId="7948749E">
      <w:pPr>
        <w:autoSpaceDE w:val="0"/>
        <w:autoSpaceDN w:val="0"/>
        <w:adjustRightInd w:val="0"/>
        <w:rPr>
          <w:rFonts w:ascii="Palatino Linotype" w:hAnsi="Palatino Linotype"/>
          <w:szCs w:val="24"/>
        </w:rPr>
      </w:pPr>
      <w:r w:rsidRPr="00352E7F">
        <w:rPr>
          <w:rFonts w:ascii="Palatino Linotype" w:hAnsi="Palatino Linotype"/>
          <w:szCs w:val="24"/>
        </w:rPr>
        <w:t xml:space="preserve">Details of Staff analysis are explained in the following sections: </w:t>
      </w:r>
    </w:p>
    <w:p w:rsidRPr="00352E7F" w:rsidR="007F6133" w:rsidP="00036E55" w:rsidRDefault="007F6133" w14:paraId="4A9A51D5" w14:textId="77777777">
      <w:pPr>
        <w:autoSpaceDE w:val="0"/>
        <w:autoSpaceDN w:val="0"/>
        <w:adjustRightInd w:val="0"/>
        <w:rPr>
          <w:rFonts w:ascii="Palatino Linotype" w:hAnsi="Palatino Linotype"/>
          <w:szCs w:val="24"/>
        </w:rPr>
      </w:pPr>
    </w:p>
    <w:p w:rsidRPr="00352E7F" w:rsidR="002756A3" w:rsidP="002756A3" w:rsidRDefault="00ED5720" w14:paraId="0E041C34" w14:textId="77777777">
      <w:pPr>
        <w:pStyle w:val="ListParagraph"/>
        <w:numPr>
          <w:ilvl w:val="0"/>
          <w:numId w:val="34"/>
        </w:numPr>
        <w:autoSpaceDE w:val="0"/>
        <w:autoSpaceDN w:val="0"/>
        <w:adjustRightInd w:val="0"/>
        <w:rPr>
          <w:rFonts w:ascii="Palatino Linotype" w:hAnsi="Palatino Linotype"/>
          <w:szCs w:val="24"/>
        </w:rPr>
      </w:pPr>
      <w:r w:rsidRPr="00352E7F">
        <w:rPr>
          <w:rFonts w:ascii="Palatino Linotype" w:hAnsi="Palatino Linotype"/>
          <w:szCs w:val="24"/>
        </w:rPr>
        <w:lastRenderedPageBreak/>
        <w:t xml:space="preserve">Project Area Eligibility </w:t>
      </w:r>
    </w:p>
    <w:p w:rsidRPr="00352E7F" w:rsidR="00036E55" w:rsidP="002756A3" w:rsidRDefault="00ED5720" w14:paraId="14D0BF03" w14:textId="0B7D7822">
      <w:pPr>
        <w:pStyle w:val="ListParagraph"/>
        <w:numPr>
          <w:ilvl w:val="0"/>
          <w:numId w:val="34"/>
        </w:numPr>
        <w:autoSpaceDE w:val="0"/>
        <w:autoSpaceDN w:val="0"/>
        <w:adjustRightInd w:val="0"/>
        <w:rPr>
          <w:rFonts w:ascii="Palatino Linotype" w:hAnsi="Palatino Linotype"/>
          <w:szCs w:val="24"/>
        </w:rPr>
      </w:pPr>
      <w:r w:rsidRPr="00352E7F">
        <w:rPr>
          <w:rFonts w:ascii="Palatino Linotype" w:hAnsi="Palatino Linotype"/>
          <w:szCs w:val="24"/>
        </w:rPr>
        <w:t>M</w:t>
      </w:r>
      <w:r w:rsidRPr="00352E7F" w:rsidR="00036E55">
        <w:rPr>
          <w:rFonts w:ascii="Palatino Linotype" w:hAnsi="Palatino Linotype"/>
          <w:szCs w:val="24"/>
        </w:rPr>
        <w:t xml:space="preserve">inimum </w:t>
      </w:r>
      <w:r w:rsidRPr="00352E7F">
        <w:rPr>
          <w:rFonts w:ascii="Palatino Linotype" w:hAnsi="Palatino Linotype"/>
          <w:szCs w:val="24"/>
        </w:rPr>
        <w:t>P</w:t>
      </w:r>
      <w:r w:rsidRPr="00352E7F" w:rsidR="00036E55">
        <w:rPr>
          <w:rFonts w:ascii="Palatino Linotype" w:hAnsi="Palatino Linotype"/>
          <w:szCs w:val="24"/>
        </w:rPr>
        <w:t xml:space="preserve">erformance </w:t>
      </w:r>
      <w:r w:rsidRPr="00352E7F">
        <w:rPr>
          <w:rFonts w:ascii="Palatino Linotype" w:hAnsi="Palatino Linotype"/>
          <w:szCs w:val="24"/>
        </w:rPr>
        <w:t>C</w:t>
      </w:r>
      <w:r w:rsidRPr="00352E7F" w:rsidR="00036E55">
        <w:rPr>
          <w:rFonts w:ascii="Palatino Linotype" w:hAnsi="Palatino Linotype"/>
          <w:szCs w:val="24"/>
        </w:rPr>
        <w:t xml:space="preserve">riteria </w:t>
      </w:r>
    </w:p>
    <w:p w:rsidRPr="00352E7F" w:rsidR="00036E55" w:rsidP="002756A3" w:rsidRDefault="00ED5720" w14:paraId="273C95B5" w14:textId="437E3571">
      <w:pPr>
        <w:pStyle w:val="ListParagraph"/>
        <w:numPr>
          <w:ilvl w:val="0"/>
          <w:numId w:val="34"/>
        </w:numPr>
        <w:autoSpaceDE w:val="0"/>
        <w:autoSpaceDN w:val="0"/>
        <w:adjustRightInd w:val="0"/>
        <w:rPr>
          <w:rFonts w:ascii="Palatino Linotype" w:hAnsi="Palatino Linotype"/>
          <w:szCs w:val="24"/>
        </w:rPr>
      </w:pPr>
      <w:r w:rsidRPr="00352E7F">
        <w:rPr>
          <w:rFonts w:ascii="Palatino Linotype" w:hAnsi="Palatino Linotype"/>
          <w:szCs w:val="24"/>
        </w:rPr>
        <w:t>Funding Determination</w:t>
      </w:r>
      <w:r w:rsidRPr="00352E7F" w:rsidR="00036E55">
        <w:rPr>
          <w:rFonts w:ascii="Palatino Linotype" w:hAnsi="Palatino Linotype"/>
          <w:szCs w:val="24"/>
        </w:rPr>
        <w:t xml:space="preserve"> </w:t>
      </w:r>
    </w:p>
    <w:p w:rsidRPr="00352E7F" w:rsidR="002756A3" w:rsidP="00236E74" w:rsidRDefault="002756A3" w14:paraId="299B1F23" w14:textId="33294D89">
      <w:pPr>
        <w:pStyle w:val="ListParagraph"/>
        <w:numPr>
          <w:ilvl w:val="0"/>
          <w:numId w:val="34"/>
        </w:numPr>
        <w:autoSpaceDE w:val="0"/>
        <w:autoSpaceDN w:val="0"/>
        <w:adjustRightInd w:val="0"/>
        <w:rPr>
          <w:rFonts w:ascii="Palatino Linotype" w:hAnsi="Palatino Linotype"/>
          <w:szCs w:val="24"/>
        </w:rPr>
      </w:pPr>
      <w:r w:rsidRPr="00352E7F">
        <w:rPr>
          <w:rFonts w:ascii="Palatino Linotype" w:hAnsi="Palatino Linotype"/>
          <w:szCs w:val="24"/>
        </w:rPr>
        <w:t>Safety and Community Support</w:t>
      </w:r>
    </w:p>
    <w:p w:rsidRPr="00352E7F" w:rsidR="002756A3" w:rsidP="002756A3" w:rsidRDefault="002756A3" w14:paraId="7FF59A04" w14:textId="50EC5292">
      <w:pPr>
        <w:pStyle w:val="ListParagraph"/>
        <w:numPr>
          <w:ilvl w:val="0"/>
          <w:numId w:val="34"/>
        </w:numPr>
        <w:autoSpaceDE w:val="0"/>
        <w:autoSpaceDN w:val="0"/>
        <w:adjustRightInd w:val="0"/>
        <w:rPr>
          <w:rFonts w:ascii="Palatino Linotype" w:hAnsi="Palatino Linotype"/>
          <w:szCs w:val="24"/>
        </w:rPr>
      </w:pPr>
      <w:r w:rsidRPr="00352E7F">
        <w:rPr>
          <w:rFonts w:ascii="Palatino Linotype" w:hAnsi="Palatino Linotype"/>
          <w:szCs w:val="24"/>
        </w:rPr>
        <w:t xml:space="preserve">Compliance Requirements </w:t>
      </w:r>
    </w:p>
    <w:p w:rsidRPr="00352E7F" w:rsidR="00036E55" w:rsidP="009832F3" w:rsidRDefault="00236E74" w14:paraId="5A47FC65" w14:textId="52740D55">
      <w:pPr>
        <w:pStyle w:val="ListParagraph"/>
        <w:numPr>
          <w:ilvl w:val="0"/>
          <w:numId w:val="34"/>
        </w:numPr>
        <w:autoSpaceDE w:val="0"/>
        <w:autoSpaceDN w:val="0"/>
        <w:adjustRightInd w:val="0"/>
        <w:rPr>
          <w:rFonts w:ascii="Palatino Linotype" w:hAnsi="Palatino Linotype"/>
          <w:szCs w:val="24"/>
        </w:rPr>
      </w:pPr>
      <w:r w:rsidRPr="00352E7F">
        <w:rPr>
          <w:rFonts w:ascii="Palatino Linotype" w:hAnsi="Palatino Linotype"/>
          <w:szCs w:val="24"/>
        </w:rPr>
        <w:t xml:space="preserve">Payments to CASF Recipients </w:t>
      </w:r>
    </w:p>
    <w:p w:rsidR="00FB2A1E" w:rsidP="00F7696B" w:rsidRDefault="00FB2A1E" w14:paraId="3A0F8004" w14:textId="77777777">
      <w:pPr>
        <w:autoSpaceDE w:val="0"/>
        <w:autoSpaceDN w:val="0"/>
        <w:adjustRightInd w:val="0"/>
        <w:rPr>
          <w:rFonts w:ascii="Palatino Linotype" w:hAnsi="Palatino Linotype"/>
          <w:szCs w:val="24"/>
        </w:rPr>
      </w:pPr>
    </w:p>
    <w:p w:rsidR="00E00E43" w:rsidP="00F7696B" w:rsidRDefault="0010530F" w14:paraId="4DA2F93D" w14:textId="0C1703E2">
      <w:pPr>
        <w:autoSpaceDE w:val="0"/>
        <w:autoSpaceDN w:val="0"/>
        <w:adjustRightInd w:val="0"/>
        <w:rPr>
          <w:rFonts w:ascii="Palatino Linotype" w:hAnsi="Palatino Linotype"/>
          <w:szCs w:val="24"/>
        </w:rPr>
      </w:pPr>
      <w:r>
        <w:rPr>
          <w:rFonts w:ascii="Palatino Linotype" w:hAnsi="Palatino Linotype"/>
          <w:szCs w:val="24"/>
        </w:rPr>
        <w:t>Key project information and maps are shown in Appendix A and Appendix B.</w:t>
      </w:r>
    </w:p>
    <w:p w:rsidR="002036FF" w:rsidP="00F7696B" w:rsidRDefault="002036FF" w14:paraId="4D0947DF" w14:textId="49DF2C0E">
      <w:pPr>
        <w:autoSpaceDE w:val="0"/>
        <w:autoSpaceDN w:val="0"/>
        <w:adjustRightInd w:val="0"/>
        <w:rPr>
          <w:rFonts w:ascii="Palatino Linotype" w:hAnsi="Palatino Linotype"/>
          <w:szCs w:val="24"/>
        </w:rPr>
      </w:pPr>
    </w:p>
    <w:p w:rsidRPr="00A7035F" w:rsidR="001E7488" w:rsidP="00B27AF2" w:rsidRDefault="001E7488" w14:paraId="24C8E08D" w14:textId="0215D8EB">
      <w:pPr>
        <w:pStyle w:val="Heading2"/>
        <w:numPr>
          <w:ilvl w:val="0"/>
          <w:numId w:val="27"/>
        </w:numPr>
        <w:tabs>
          <w:tab w:val="clear" w:pos="720"/>
          <w:tab w:val="left" w:pos="1440"/>
        </w:tabs>
        <w:rPr>
          <w:rFonts w:ascii="Palatino Linotype" w:hAnsi="Palatino Linotype"/>
          <w:szCs w:val="24"/>
          <w:u w:val="single"/>
        </w:rPr>
      </w:pPr>
      <w:r w:rsidRPr="00A7035F">
        <w:rPr>
          <w:rFonts w:ascii="Palatino Linotype" w:hAnsi="Palatino Linotype"/>
          <w:szCs w:val="24"/>
          <w:u w:val="single"/>
        </w:rPr>
        <w:t>Project Area Eligibility</w:t>
      </w:r>
    </w:p>
    <w:p w:rsidRPr="00FB6300" w:rsidR="00DA19C5" w:rsidP="004D56AC" w:rsidRDefault="00D662B8" w14:paraId="3F19BE42" w14:textId="64D214A8">
      <w:pPr>
        <w:rPr>
          <w:rFonts w:ascii="Palatino Linotype" w:hAnsi="Palatino Linotype"/>
        </w:rPr>
      </w:pPr>
      <w:r w:rsidRPr="00193FF2">
        <w:rPr>
          <w:rFonts w:ascii="Palatino Linotype" w:hAnsi="Palatino Linotype"/>
        </w:rPr>
        <w:t>No provider filed a “right-of-first refusal” for Frontier’s project area</w:t>
      </w:r>
      <w:r w:rsidR="00EA5A13">
        <w:rPr>
          <w:rFonts w:ascii="Palatino Linotype" w:hAnsi="Palatino Linotype"/>
        </w:rPr>
        <w:t>s</w:t>
      </w:r>
      <w:r w:rsidRPr="00193FF2">
        <w:rPr>
          <w:rFonts w:ascii="Palatino Linotype" w:hAnsi="Palatino Linotype"/>
        </w:rPr>
        <w:t xml:space="preserve"> </w:t>
      </w:r>
      <w:r>
        <w:rPr>
          <w:rFonts w:ascii="Palatino Linotype" w:hAnsi="Palatino Linotype"/>
        </w:rPr>
        <w:t>by</w:t>
      </w:r>
      <w:r w:rsidRPr="00193FF2">
        <w:rPr>
          <w:rFonts w:ascii="Palatino Linotype" w:hAnsi="Palatino Linotype"/>
        </w:rPr>
        <w:t xml:space="preserve"> January 15, 20</w:t>
      </w:r>
      <w:r w:rsidR="00567526">
        <w:rPr>
          <w:rFonts w:ascii="Palatino Linotype" w:hAnsi="Palatino Linotype"/>
        </w:rPr>
        <w:t>20</w:t>
      </w:r>
      <w:r w:rsidRPr="002160A7" w:rsidR="005334D1">
        <w:rPr>
          <w:rStyle w:val="FootnoteReference"/>
          <w:rFonts w:ascii="Palatino Linotype" w:hAnsi="Palatino Linotype"/>
        </w:rPr>
        <w:footnoteReference w:id="8"/>
      </w:r>
      <w:r w:rsidR="005334D1">
        <w:rPr>
          <w:rFonts w:ascii="Palatino Linotype" w:hAnsi="Palatino Linotype"/>
        </w:rPr>
        <w:t>,</w:t>
      </w:r>
      <w:r w:rsidR="00422297">
        <w:rPr>
          <w:rFonts w:ascii="Palatino Linotype" w:hAnsi="Palatino Linotype"/>
        </w:rPr>
        <w:t xml:space="preserve"> nor do the proposed projects areas include census blocks identified by the Federal </w:t>
      </w:r>
      <w:r w:rsidRPr="00FB6300" w:rsidR="00422297">
        <w:rPr>
          <w:rFonts w:ascii="Palatino Linotype" w:hAnsi="Palatino Linotype"/>
        </w:rPr>
        <w:t xml:space="preserve">Communications Commission’s </w:t>
      </w:r>
      <w:r w:rsidRPr="00FB6300" w:rsidR="009A6EF2">
        <w:rPr>
          <w:rFonts w:ascii="Palatino Linotype" w:hAnsi="Palatino Linotype"/>
        </w:rPr>
        <w:t xml:space="preserve">(FCC) </w:t>
      </w:r>
      <w:r w:rsidRPr="00FB6300" w:rsidR="00422297">
        <w:rPr>
          <w:rFonts w:ascii="Palatino Linotype" w:hAnsi="Palatino Linotype"/>
        </w:rPr>
        <w:t>Connect America Fund Phase II program</w:t>
      </w:r>
      <w:r w:rsidRPr="00FB6300">
        <w:rPr>
          <w:rFonts w:ascii="Palatino Linotype" w:hAnsi="Palatino Linotype"/>
        </w:rPr>
        <w:t>.</w:t>
      </w:r>
      <w:r w:rsidRPr="00FB6300" w:rsidR="003A0FA4">
        <w:rPr>
          <w:rStyle w:val="FootnoteReference"/>
          <w:rFonts w:ascii="Palatino Linotype" w:hAnsi="Palatino Linotype"/>
        </w:rPr>
        <w:footnoteReference w:id="9"/>
      </w:r>
      <w:r w:rsidRPr="00FB6300" w:rsidR="00454C42">
        <w:rPr>
          <w:rFonts w:ascii="Palatino Linotype" w:hAnsi="Palatino Linotype"/>
        </w:rPr>
        <w:t xml:space="preserve">  </w:t>
      </w:r>
      <w:r w:rsidRPr="00FB6300" w:rsidR="00FC0BC3">
        <w:rPr>
          <w:rFonts w:ascii="Palatino Linotype" w:hAnsi="Palatino Linotype"/>
        </w:rPr>
        <w:t>Additionally, t</w:t>
      </w:r>
      <w:r w:rsidRPr="00FB6300" w:rsidR="00454C42">
        <w:rPr>
          <w:rFonts w:ascii="Palatino Linotype" w:hAnsi="Palatino Linotype"/>
        </w:rPr>
        <w:t xml:space="preserve">he proposed project areas do not include </w:t>
      </w:r>
      <w:r w:rsidRPr="00FB6300" w:rsidR="00FC0BC3">
        <w:rPr>
          <w:rFonts w:ascii="Palatino Linotype" w:hAnsi="Palatino Linotype"/>
        </w:rPr>
        <w:t xml:space="preserve">census blocks identified by the </w:t>
      </w:r>
      <w:r w:rsidRPr="00FB6300" w:rsidR="00454C42">
        <w:rPr>
          <w:rFonts w:ascii="Palatino Linotype" w:hAnsi="Palatino Linotype"/>
        </w:rPr>
        <w:t xml:space="preserve">FCC </w:t>
      </w:r>
      <w:r w:rsidRPr="00FB6300" w:rsidR="0048318F">
        <w:rPr>
          <w:rFonts w:ascii="Palatino Linotype" w:hAnsi="Palatino Linotype"/>
        </w:rPr>
        <w:t xml:space="preserve">as eligible to </w:t>
      </w:r>
      <w:r w:rsidRPr="00FB6300" w:rsidR="00E620BA">
        <w:rPr>
          <w:rFonts w:ascii="Palatino Linotype" w:hAnsi="Palatino Linotype"/>
        </w:rPr>
        <w:t xml:space="preserve">receive </w:t>
      </w:r>
      <w:r w:rsidRPr="00FB6300" w:rsidR="00454C42">
        <w:rPr>
          <w:rFonts w:ascii="Palatino Linotype" w:hAnsi="Palatino Linotype"/>
        </w:rPr>
        <w:t>RDOF</w:t>
      </w:r>
      <w:r w:rsidRPr="00FB6300" w:rsidR="0003271F">
        <w:rPr>
          <w:rFonts w:ascii="Palatino Linotype" w:hAnsi="Palatino Linotype"/>
        </w:rPr>
        <w:t xml:space="preserve"> as part of Phase I </w:t>
      </w:r>
      <w:r w:rsidRPr="00FB6300" w:rsidR="00AB1735">
        <w:rPr>
          <w:rFonts w:ascii="Palatino Linotype" w:hAnsi="Palatino Linotype"/>
        </w:rPr>
        <w:t>(</w:t>
      </w:r>
      <w:r w:rsidRPr="00FB6300" w:rsidR="00D01ABA">
        <w:rPr>
          <w:rFonts w:ascii="Palatino Linotype" w:hAnsi="Palatino Linotype"/>
        </w:rPr>
        <w:t>Auction</w:t>
      </w:r>
      <w:r w:rsidRPr="00FB6300" w:rsidR="00AB1735">
        <w:rPr>
          <w:rFonts w:ascii="Palatino Linotype" w:hAnsi="Palatino Linotype"/>
        </w:rPr>
        <w:t xml:space="preserve"> 904)</w:t>
      </w:r>
      <w:r w:rsidRPr="00FB6300" w:rsidR="003B699C">
        <w:rPr>
          <w:rFonts w:ascii="Palatino Linotype" w:hAnsi="Palatino Linotype"/>
        </w:rPr>
        <w:t>.</w:t>
      </w:r>
      <w:r w:rsidRPr="00FB6300" w:rsidR="00D01ABA">
        <w:rPr>
          <w:rStyle w:val="FootnoteReference"/>
          <w:rFonts w:ascii="Palatino Linotype" w:hAnsi="Palatino Linotype"/>
        </w:rPr>
        <w:footnoteReference w:id="10"/>
      </w:r>
      <w:r w:rsidRPr="00FB6300" w:rsidR="00EA5A13">
        <w:rPr>
          <w:rFonts w:ascii="Palatino Linotype" w:hAnsi="Palatino Linotype"/>
        </w:rPr>
        <w:t xml:space="preserve"> </w:t>
      </w:r>
      <w:r w:rsidRPr="00FB6300" w:rsidR="00EC1609">
        <w:rPr>
          <w:rFonts w:ascii="Palatino Linotype" w:hAnsi="Palatino Linotype"/>
        </w:rPr>
        <w:t xml:space="preserve"> </w:t>
      </w:r>
    </w:p>
    <w:p w:rsidRPr="00FB6300" w:rsidR="00DB7C7A" w:rsidP="004D56AC" w:rsidRDefault="00DB7C7A" w14:paraId="0BCE19C2" w14:textId="77777777">
      <w:pPr>
        <w:rPr>
          <w:rFonts w:ascii="Palatino Linotype" w:hAnsi="Palatino Linotype"/>
        </w:rPr>
      </w:pPr>
    </w:p>
    <w:p w:rsidRPr="00814632" w:rsidR="004E7547" w:rsidP="004D56AC" w:rsidRDefault="1C773E86" w14:paraId="14153E59" w14:textId="5E20AB46">
      <w:pPr>
        <w:rPr>
          <w:rFonts w:ascii="Palatino Linotype" w:hAnsi="Palatino Linotype"/>
        </w:rPr>
      </w:pPr>
      <w:r w:rsidRPr="00A164F5">
        <w:rPr>
          <w:rFonts w:ascii="Palatino Linotype" w:hAnsi="Palatino Linotype"/>
        </w:rPr>
        <w:t xml:space="preserve">As discussed further below, </w:t>
      </w:r>
      <w:r w:rsidRPr="00A164F5" w:rsidR="00AA297A">
        <w:rPr>
          <w:rFonts w:ascii="Palatino Linotype" w:hAnsi="Palatino Linotype"/>
        </w:rPr>
        <w:t xml:space="preserve">Staff </w:t>
      </w:r>
      <w:r w:rsidRPr="00A164F5" w:rsidR="00805381">
        <w:rPr>
          <w:rFonts w:ascii="Palatino Linotype" w:hAnsi="Palatino Linotype"/>
        </w:rPr>
        <w:t>evaluated Frontier’s application</w:t>
      </w:r>
      <w:r w:rsidRPr="00A164F5" w:rsidR="007439A0">
        <w:rPr>
          <w:rFonts w:ascii="Palatino Linotype" w:hAnsi="Palatino Linotype"/>
        </w:rPr>
        <w:t>s</w:t>
      </w:r>
      <w:r w:rsidRPr="00A164F5" w:rsidR="00805381">
        <w:rPr>
          <w:rFonts w:ascii="Palatino Linotype" w:hAnsi="Palatino Linotype"/>
        </w:rPr>
        <w:t xml:space="preserve"> and </w:t>
      </w:r>
      <w:r w:rsidRPr="00A164F5" w:rsidR="00AA297A">
        <w:rPr>
          <w:rFonts w:ascii="Palatino Linotype" w:hAnsi="Palatino Linotype"/>
        </w:rPr>
        <w:t xml:space="preserve">determined </w:t>
      </w:r>
      <w:r w:rsidRPr="00A164F5" w:rsidR="00805381">
        <w:rPr>
          <w:rFonts w:ascii="Palatino Linotype" w:hAnsi="Palatino Linotype"/>
        </w:rPr>
        <w:t>t</w:t>
      </w:r>
      <w:r w:rsidRPr="00A164F5" w:rsidR="00751FE7">
        <w:rPr>
          <w:rFonts w:ascii="Palatino Linotype" w:hAnsi="Palatino Linotype"/>
        </w:rPr>
        <w:t>he</w:t>
      </w:r>
      <w:r w:rsidRPr="00A164F5" w:rsidR="00CE37E4">
        <w:rPr>
          <w:rFonts w:ascii="Palatino Linotype" w:hAnsi="Palatino Linotype"/>
        </w:rPr>
        <w:t xml:space="preserve"> </w:t>
      </w:r>
      <w:r w:rsidRPr="00A164F5" w:rsidR="00E77422">
        <w:rPr>
          <w:rFonts w:ascii="Palatino Linotype" w:hAnsi="Palatino Linotype"/>
        </w:rPr>
        <w:t xml:space="preserve">revised </w:t>
      </w:r>
      <w:r w:rsidRPr="00A164F5" w:rsidR="00CE37E4">
        <w:rPr>
          <w:rFonts w:ascii="Palatino Linotype" w:hAnsi="Palatino Linotype"/>
        </w:rPr>
        <w:t>Crescent City</w:t>
      </w:r>
      <w:r w:rsidRPr="00A164F5" w:rsidR="00420C75">
        <w:rPr>
          <w:rFonts w:ascii="Palatino Linotype" w:hAnsi="Palatino Linotype"/>
        </w:rPr>
        <w:t xml:space="preserve"> </w:t>
      </w:r>
      <w:proofErr w:type="gramStart"/>
      <w:r w:rsidRPr="00A164F5" w:rsidR="005B14AB">
        <w:rPr>
          <w:rFonts w:ascii="Palatino Linotype" w:hAnsi="Palatino Linotype"/>
        </w:rPr>
        <w:t>Project</w:t>
      </w:r>
      <w:proofErr w:type="gramEnd"/>
      <w:r w:rsidRPr="00A164F5" w:rsidR="00E77422">
        <w:rPr>
          <w:rFonts w:ascii="Palatino Linotype" w:hAnsi="Palatino Linotype"/>
        </w:rPr>
        <w:t xml:space="preserve"> </w:t>
      </w:r>
      <w:r w:rsidRPr="00A164F5" w:rsidR="00CE37E4">
        <w:rPr>
          <w:rFonts w:ascii="Palatino Linotype" w:hAnsi="Palatino Linotype"/>
        </w:rPr>
        <w:t xml:space="preserve">and </w:t>
      </w:r>
      <w:r w:rsidRPr="00A164F5" w:rsidR="00A164F5">
        <w:rPr>
          <w:rFonts w:ascii="Palatino Linotype" w:hAnsi="Palatino Linotype"/>
        </w:rPr>
        <w:t xml:space="preserve">the </w:t>
      </w:r>
      <w:r w:rsidRPr="00A164F5" w:rsidR="00CE37E4">
        <w:rPr>
          <w:rFonts w:ascii="Palatino Linotype" w:hAnsi="Palatino Linotype"/>
        </w:rPr>
        <w:t>Smith River Project</w:t>
      </w:r>
      <w:r w:rsidRPr="00A164F5" w:rsidR="00751FE7">
        <w:rPr>
          <w:rFonts w:ascii="Palatino Linotype" w:hAnsi="Palatino Linotype"/>
        </w:rPr>
        <w:t xml:space="preserve"> </w:t>
      </w:r>
      <w:r w:rsidRPr="00A164F5" w:rsidR="00CE37E4">
        <w:rPr>
          <w:rFonts w:ascii="Palatino Linotype" w:hAnsi="Palatino Linotype"/>
        </w:rPr>
        <w:t xml:space="preserve">are eligible for a CASF grant.  There are no existing facilities-based wireline or fixed wireless broadband service providers in the project area.  </w:t>
      </w:r>
      <w:r w:rsidRPr="00A164F5" w:rsidR="001C6BAD">
        <w:rPr>
          <w:rFonts w:ascii="Palatino Linotype" w:hAnsi="Palatino Linotype"/>
        </w:rPr>
        <w:t>According to the California Interactive Broadband Map, the area is unserved</w:t>
      </w:r>
      <w:r w:rsidRPr="7D6BB62A" w:rsidR="008216CB">
        <w:rPr>
          <w:rFonts w:ascii="Palatino Linotype" w:hAnsi="Palatino Linotype"/>
        </w:rPr>
        <w:t>;</w:t>
      </w:r>
      <w:r w:rsidRPr="00A164F5" w:rsidR="001F6AA6">
        <w:rPr>
          <w:rFonts w:ascii="Palatino Linotype" w:hAnsi="Palatino Linotype"/>
        </w:rPr>
        <w:t xml:space="preserve"> only dial-up</w:t>
      </w:r>
      <w:r w:rsidR="00421E8B">
        <w:rPr>
          <w:rFonts w:ascii="Palatino Linotype" w:hAnsi="Palatino Linotype"/>
        </w:rPr>
        <w:t xml:space="preserve"> service</w:t>
      </w:r>
      <w:r w:rsidRPr="7D6BB62A" w:rsidR="008216CB">
        <w:rPr>
          <w:rFonts w:ascii="Palatino Linotype" w:hAnsi="Palatino Linotype"/>
        </w:rPr>
        <w:t xml:space="preserve"> is available</w:t>
      </w:r>
      <w:r w:rsidRPr="00A164F5" w:rsidR="001F6AA6">
        <w:rPr>
          <w:rFonts w:ascii="Palatino Linotype" w:hAnsi="Palatino Linotype"/>
        </w:rPr>
        <w:t>.</w:t>
      </w:r>
      <w:r w:rsidRPr="00A164F5" w:rsidR="001F6AA6">
        <w:rPr>
          <w:rStyle w:val="FootnoteReference"/>
          <w:rFonts w:ascii="Palatino Linotype" w:hAnsi="Palatino Linotype"/>
        </w:rPr>
        <w:footnoteReference w:id="11"/>
      </w:r>
    </w:p>
    <w:p w:rsidR="00C94C5D" w:rsidP="002C108A" w:rsidRDefault="00C94C5D" w14:paraId="158D923B" w14:textId="19907DC6">
      <w:pPr>
        <w:autoSpaceDE w:val="0"/>
        <w:autoSpaceDN w:val="0"/>
        <w:adjustRightInd w:val="0"/>
        <w:rPr>
          <w:rFonts w:ascii="Palatino Linotype" w:hAnsi="Palatino Linotype"/>
          <w:szCs w:val="24"/>
        </w:rPr>
      </w:pPr>
    </w:p>
    <w:p w:rsidR="00991285" w:rsidP="00EE4A55" w:rsidRDefault="00943C36" w14:paraId="5735D61E" w14:textId="3E3DC254">
      <w:pPr>
        <w:pStyle w:val="ListParagraph"/>
        <w:numPr>
          <w:ilvl w:val="4"/>
          <w:numId w:val="23"/>
        </w:numPr>
        <w:autoSpaceDE w:val="0"/>
        <w:autoSpaceDN w:val="0"/>
        <w:adjustRightInd w:val="0"/>
        <w:spacing w:after="120"/>
        <w:ind w:left="720"/>
        <w:rPr>
          <w:rFonts w:ascii="Palatino Linotype" w:hAnsi="Palatino Linotype"/>
          <w:szCs w:val="24"/>
          <w:u w:val="single"/>
        </w:rPr>
      </w:pPr>
      <w:r w:rsidRPr="00E76C35">
        <w:rPr>
          <w:rFonts w:ascii="Palatino Linotype" w:hAnsi="Palatino Linotype"/>
          <w:szCs w:val="24"/>
          <w:u w:val="single"/>
        </w:rPr>
        <w:t>Crescent City Project</w:t>
      </w:r>
      <w:r w:rsidRPr="00E76C35" w:rsidR="00E76C35">
        <w:rPr>
          <w:rFonts w:ascii="Palatino Linotype" w:hAnsi="Palatino Linotype"/>
          <w:szCs w:val="24"/>
          <w:u w:val="single"/>
        </w:rPr>
        <w:t xml:space="preserve"> Area Eligibility </w:t>
      </w:r>
    </w:p>
    <w:p w:rsidRPr="00814632" w:rsidR="009D2A72" w:rsidP="009D2A72" w:rsidRDefault="00DB4C93" w14:paraId="29593DDE" w14:textId="7FA7F373">
      <w:pPr>
        <w:rPr>
          <w:rFonts w:ascii="Palatino Linotype" w:hAnsi="Palatino Linotype"/>
        </w:rPr>
      </w:pPr>
      <w:r w:rsidRPr="00DB4C93">
        <w:rPr>
          <w:rFonts w:ascii="Palatino Linotype" w:hAnsi="Palatino Linotype"/>
        </w:rPr>
        <w:t xml:space="preserve">Staff </w:t>
      </w:r>
      <w:r w:rsidR="00867190">
        <w:rPr>
          <w:rFonts w:ascii="Palatino Linotype" w:hAnsi="Palatino Linotype"/>
        </w:rPr>
        <w:t>requested Frontier to revise its original application based on the challenge submitted by Charter.</w:t>
      </w:r>
      <w:r w:rsidRPr="00DB4C93">
        <w:rPr>
          <w:rFonts w:ascii="Palatino Linotype" w:hAnsi="Palatino Linotype"/>
        </w:rPr>
        <w:t xml:space="preserve"> </w:t>
      </w:r>
      <w:r w:rsidR="00691AA6">
        <w:rPr>
          <w:rFonts w:ascii="Palatino Linotype" w:hAnsi="Palatino Linotype"/>
        </w:rPr>
        <w:t xml:space="preserve"> </w:t>
      </w:r>
      <w:r w:rsidRPr="00E76C35" w:rsidR="00E76C35">
        <w:rPr>
          <w:rFonts w:ascii="Palatino Linotype" w:hAnsi="Palatino Linotype"/>
          <w:szCs w:val="24"/>
        </w:rPr>
        <w:t xml:space="preserve">The revised Crescent City Project Summary was posted on the Commission’s webpage </w:t>
      </w:r>
      <w:r w:rsidRPr="00DC49C1" w:rsidR="00E76C35">
        <w:rPr>
          <w:rFonts w:ascii="Palatino Linotype" w:hAnsi="Palatino Linotype"/>
          <w:szCs w:val="24"/>
        </w:rPr>
        <w:t>on October 1</w:t>
      </w:r>
      <w:r w:rsidRPr="00DC49C1" w:rsidR="00963692">
        <w:rPr>
          <w:rFonts w:ascii="Palatino Linotype" w:hAnsi="Palatino Linotype"/>
          <w:szCs w:val="24"/>
        </w:rPr>
        <w:t>2</w:t>
      </w:r>
      <w:r w:rsidRPr="00DC49C1" w:rsidR="00E76C35">
        <w:rPr>
          <w:rFonts w:ascii="Palatino Linotype" w:hAnsi="Palatino Linotype"/>
          <w:szCs w:val="24"/>
        </w:rPr>
        <w:t xml:space="preserve">, 2020.  </w:t>
      </w:r>
    </w:p>
    <w:p w:rsidR="00E76C35" w:rsidP="00E76C35" w:rsidRDefault="00E76C35" w14:paraId="7C89864D" w14:textId="77777777">
      <w:pPr>
        <w:rPr>
          <w:rFonts w:ascii="Palatino Linotype" w:hAnsi="Palatino Linotype"/>
          <w:b/>
          <w:bCs/>
          <w:szCs w:val="24"/>
        </w:rPr>
      </w:pPr>
    </w:p>
    <w:p w:rsidRPr="00E75295" w:rsidR="00E76C35" w:rsidP="48D6FFE1" w:rsidRDefault="00E76C35" w14:paraId="0A05A83B" w14:textId="10E543A9">
      <w:pPr>
        <w:rPr>
          <w:rFonts w:ascii="Palatino Linotype" w:hAnsi="Palatino Linotype"/>
        </w:rPr>
      </w:pPr>
      <w:r w:rsidRPr="48D6FFE1">
        <w:rPr>
          <w:rFonts w:ascii="Palatino Linotype" w:hAnsi="Palatino Linotype"/>
          <w:b/>
          <w:bCs/>
        </w:rPr>
        <w:t xml:space="preserve">Frontier revised its proposed project after two census blocks were identified </w:t>
      </w:r>
      <w:r w:rsidRPr="48D6FFE1" w:rsidR="76274D51">
        <w:rPr>
          <w:rFonts w:ascii="Palatino Linotype" w:hAnsi="Palatino Linotype"/>
          <w:b/>
          <w:bCs/>
        </w:rPr>
        <w:t>as</w:t>
      </w:r>
      <w:r w:rsidRPr="48D6FFE1">
        <w:rPr>
          <w:rFonts w:ascii="Palatino Linotype" w:hAnsi="Palatino Linotype"/>
          <w:b/>
          <w:bCs/>
        </w:rPr>
        <w:t xml:space="preserve"> served</w:t>
      </w:r>
      <w:r w:rsidRPr="48D6FFE1" w:rsidR="00163937">
        <w:rPr>
          <w:rFonts w:ascii="Palatino Linotype" w:hAnsi="Palatino Linotype"/>
          <w:b/>
          <w:bCs/>
        </w:rPr>
        <w:t xml:space="preserve"> by Charter</w:t>
      </w:r>
      <w:r w:rsidRPr="48D6FFE1">
        <w:rPr>
          <w:rFonts w:ascii="Palatino Linotype" w:hAnsi="Palatino Linotype"/>
          <w:b/>
          <w:bCs/>
        </w:rPr>
        <w:t>.</w:t>
      </w:r>
      <w:r w:rsidRPr="48D6FFE1">
        <w:rPr>
          <w:rFonts w:ascii="Palatino Linotype" w:hAnsi="Palatino Linotype"/>
        </w:rPr>
        <w:t xml:space="preserve">  </w:t>
      </w:r>
      <w:r w:rsidRPr="48D6FFE1" w:rsidR="0003443F">
        <w:rPr>
          <w:rFonts w:ascii="Palatino Linotype" w:hAnsi="Palatino Linotype"/>
        </w:rPr>
        <w:t xml:space="preserve">Funding from the </w:t>
      </w:r>
      <w:r w:rsidRPr="48D6FFE1" w:rsidR="000E7DCB">
        <w:rPr>
          <w:rFonts w:ascii="Palatino Linotype" w:hAnsi="Palatino Linotype"/>
        </w:rPr>
        <w:t xml:space="preserve">CASF </w:t>
      </w:r>
      <w:r w:rsidRPr="48D6FFE1" w:rsidR="00E56D6A">
        <w:rPr>
          <w:rFonts w:ascii="Palatino Linotype" w:hAnsi="Palatino Linotype"/>
        </w:rPr>
        <w:t>I</w:t>
      </w:r>
      <w:r w:rsidRPr="48D6FFE1" w:rsidR="007725D9">
        <w:rPr>
          <w:rFonts w:ascii="Palatino Linotype" w:hAnsi="Palatino Linotype"/>
        </w:rPr>
        <w:t xml:space="preserve">nfrastructure </w:t>
      </w:r>
      <w:r w:rsidRPr="48D6FFE1" w:rsidR="006F181E">
        <w:rPr>
          <w:rFonts w:ascii="Palatino Linotype" w:hAnsi="Palatino Linotype"/>
        </w:rPr>
        <w:t xml:space="preserve">can only </w:t>
      </w:r>
      <w:r w:rsidRPr="48D6FFE1" w:rsidR="0003443F">
        <w:rPr>
          <w:rFonts w:ascii="Palatino Linotype" w:hAnsi="Palatino Linotype"/>
        </w:rPr>
        <w:t xml:space="preserve">be </w:t>
      </w:r>
      <w:r w:rsidRPr="48D6FFE1" w:rsidR="006779D3">
        <w:rPr>
          <w:rFonts w:ascii="Palatino Linotype" w:hAnsi="Palatino Linotype"/>
        </w:rPr>
        <w:t>approved</w:t>
      </w:r>
      <w:r w:rsidRPr="48D6FFE1" w:rsidR="0003443F">
        <w:rPr>
          <w:rFonts w:ascii="Palatino Linotype" w:hAnsi="Palatino Linotype"/>
        </w:rPr>
        <w:t xml:space="preserve"> for </w:t>
      </w:r>
      <w:r w:rsidRPr="48D6FFE1">
        <w:rPr>
          <w:rFonts w:ascii="Palatino Linotype" w:hAnsi="Palatino Linotype"/>
        </w:rPr>
        <w:t>households that are unserved</w:t>
      </w:r>
      <w:r w:rsidRPr="48D6FFE1" w:rsidR="008C3E3B">
        <w:rPr>
          <w:rFonts w:ascii="Palatino Linotype" w:hAnsi="Palatino Linotype"/>
        </w:rPr>
        <w:t xml:space="preserve">.  </w:t>
      </w:r>
      <w:r w:rsidRPr="48D6FFE1">
        <w:rPr>
          <w:rFonts w:ascii="Palatino Linotype" w:hAnsi="Palatino Linotype"/>
        </w:rPr>
        <w:t xml:space="preserve">Unserved </w:t>
      </w:r>
      <w:r w:rsidRPr="48D6FFE1" w:rsidR="00823F2D">
        <w:rPr>
          <w:rFonts w:ascii="Palatino Linotype" w:hAnsi="Palatino Linotype"/>
        </w:rPr>
        <w:t xml:space="preserve">is defined as </w:t>
      </w:r>
      <w:r w:rsidRPr="48D6FFE1">
        <w:rPr>
          <w:rFonts w:ascii="Palatino Linotype" w:hAnsi="Palatino Linotype"/>
        </w:rPr>
        <w:t xml:space="preserve">no provider offering broadband </w:t>
      </w:r>
      <w:r w:rsidRPr="48D6FFE1" w:rsidR="0052753A">
        <w:rPr>
          <w:rFonts w:ascii="Palatino Linotype" w:hAnsi="Palatino Linotype"/>
        </w:rPr>
        <w:lastRenderedPageBreak/>
        <w:t xml:space="preserve">service </w:t>
      </w:r>
      <w:r w:rsidRPr="48D6FFE1">
        <w:rPr>
          <w:rFonts w:ascii="Palatino Linotype" w:hAnsi="Palatino Linotype"/>
        </w:rPr>
        <w:t xml:space="preserve">access at speeds of </w:t>
      </w:r>
      <w:r w:rsidRPr="48D6FFE1" w:rsidR="005504BA">
        <w:rPr>
          <w:rFonts w:ascii="Palatino Linotype" w:hAnsi="Palatino Linotype"/>
        </w:rPr>
        <w:t xml:space="preserve">at least </w:t>
      </w:r>
      <w:r w:rsidRPr="48D6FFE1">
        <w:rPr>
          <w:rFonts w:ascii="Palatino Linotype" w:hAnsi="Palatino Linotype"/>
        </w:rPr>
        <w:t xml:space="preserve">6 Mbps downstream and 1 Mbps upstream.  In Frontier’s original application, Frontier proposed to offer broadband services to 134 unserved households located within eight census blocks in the Crescent City area.  Charter challenged the application stating </w:t>
      </w:r>
      <w:r w:rsidRPr="48D6FFE1" w:rsidR="00A16EB2">
        <w:rPr>
          <w:rFonts w:ascii="Palatino Linotype" w:hAnsi="Palatino Linotype"/>
        </w:rPr>
        <w:t>it</w:t>
      </w:r>
      <w:r w:rsidRPr="48D6FFE1">
        <w:rPr>
          <w:rFonts w:ascii="Palatino Linotype" w:hAnsi="Palatino Linotype"/>
        </w:rPr>
        <w:t xml:space="preserve"> provides broadband </w:t>
      </w:r>
      <w:r w:rsidRPr="48D6FFE1" w:rsidR="00095C28">
        <w:rPr>
          <w:rFonts w:ascii="Palatino Linotype" w:hAnsi="Palatino Linotype"/>
        </w:rPr>
        <w:t xml:space="preserve">service </w:t>
      </w:r>
      <w:r w:rsidRPr="48D6FFE1">
        <w:rPr>
          <w:rFonts w:ascii="Palatino Linotype" w:hAnsi="Palatino Linotype"/>
        </w:rPr>
        <w:t>at served speeds in Crescent City.  Based on the customer address and billing information submitted by Charter, Staff determined two census blocks in the proposed project area were already served and directed Frontier to revise its application.  In its revised application, Frontier reduced the grant funding request to $1,</w:t>
      </w:r>
      <w:r w:rsidRPr="48D6FFE1" w:rsidR="001970F6">
        <w:rPr>
          <w:rFonts w:ascii="Palatino Linotype" w:hAnsi="Palatino Linotype"/>
        </w:rPr>
        <w:t>413,293</w:t>
      </w:r>
      <w:r w:rsidRPr="48D6FFE1">
        <w:rPr>
          <w:rFonts w:ascii="Palatino Linotype" w:hAnsi="Palatino Linotype"/>
        </w:rPr>
        <w:t xml:space="preserve"> to serve 105 households in the remaining six census blocks.  Table </w:t>
      </w:r>
      <w:r w:rsidRPr="48D6FFE1" w:rsidR="00E2777B">
        <w:rPr>
          <w:rFonts w:ascii="Palatino Linotype" w:hAnsi="Palatino Linotype"/>
        </w:rPr>
        <w:t>3</w:t>
      </w:r>
      <w:r w:rsidRPr="48D6FFE1">
        <w:rPr>
          <w:rFonts w:ascii="Palatino Linotype" w:hAnsi="Palatino Linotype"/>
        </w:rPr>
        <w:t>, below, summarizes the revised CASF Infrastructure grant application.</w:t>
      </w:r>
    </w:p>
    <w:p w:rsidRPr="00E75295" w:rsidR="00E76C35" w:rsidP="00E76C35" w:rsidRDefault="00E76C35" w14:paraId="32B01CE3" w14:textId="77777777">
      <w:pPr>
        <w:rPr>
          <w:rFonts w:ascii="Palatino Linotype" w:hAnsi="Palatino Linotype"/>
          <w:szCs w:val="24"/>
        </w:rPr>
      </w:pPr>
    </w:p>
    <w:p w:rsidRPr="00E76C35" w:rsidR="00E76C35" w:rsidP="00E76C35" w:rsidRDefault="00E76C35" w14:paraId="07AFE98E" w14:textId="365DB667">
      <w:pPr>
        <w:pStyle w:val="ListParagraph"/>
        <w:spacing w:after="120"/>
        <w:jc w:val="center"/>
        <w:rPr>
          <w:rFonts w:ascii="Palatino Linotype" w:hAnsi="Palatino Linotype"/>
          <w:b/>
          <w:bCs/>
          <w:szCs w:val="24"/>
        </w:rPr>
      </w:pPr>
      <w:r w:rsidRPr="00E76C35">
        <w:rPr>
          <w:rFonts w:ascii="Palatino Linotype" w:hAnsi="Palatino Linotype"/>
          <w:b/>
          <w:bCs/>
          <w:szCs w:val="24"/>
        </w:rPr>
        <w:t xml:space="preserve">Table </w:t>
      </w:r>
      <w:r w:rsidR="00E2777B">
        <w:rPr>
          <w:rFonts w:ascii="Palatino Linotype" w:hAnsi="Palatino Linotype"/>
          <w:b/>
          <w:bCs/>
          <w:szCs w:val="24"/>
        </w:rPr>
        <w:t>3</w:t>
      </w:r>
      <w:r w:rsidRPr="00E76C35">
        <w:rPr>
          <w:rFonts w:ascii="Palatino Linotype" w:hAnsi="Palatino Linotype"/>
          <w:b/>
          <w:bCs/>
          <w:szCs w:val="24"/>
        </w:rPr>
        <w:t>:  Frontier Crescent City Project Revision</w:t>
      </w:r>
    </w:p>
    <w:tbl>
      <w:tblPr>
        <w:tblStyle w:val="TableGrid"/>
        <w:tblW w:w="8735" w:type="dxa"/>
        <w:jc w:val="center"/>
        <w:tblInd w:w="0" w:type="dxa"/>
        <w:tblLook w:val="04A0" w:firstRow="1" w:lastRow="0" w:firstColumn="1" w:lastColumn="0" w:noHBand="0" w:noVBand="1"/>
      </w:tblPr>
      <w:tblGrid>
        <w:gridCol w:w="2700"/>
        <w:gridCol w:w="1800"/>
        <w:gridCol w:w="1800"/>
        <w:gridCol w:w="2435"/>
      </w:tblGrid>
      <w:tr w:rsidRPr="00275CB5" w:rsidR="00275CB5" w:rsidTr="00292570" w14:paraId="634A3AE0" w14:textId="77777777">
        <w:trPr>
          <w:jc w:val="center"/>
        </w:trPr>
        <w:tc>
          <w:tcPr>
            <w:tcW w:w="2700" w:type="dxa"/>
          </w:tcPr>
          <w:p w:rsidRPr="00275CB5" w:rsidR="00E76C35" w:rsidP="00556FEA" w:rsidRDefault="00E76C35" w14:paraId="029F938D" w14:textId="77777777">
            <w:pPr>
              <w:pStyle w:val="xl41"/>
              <w:keepNext/>
              <w:overflowPunct/>
              <w:autoSpaceDE/>
              <w:adjustRightInd/>
              <w:spacing w:before="0" w:after="0"/>
              <w:rPr>
                <w:rFonts w:ascii="Palatino Linotype" w:hAnsi="Palatino Linotype" w:eastAsia="Times New Roman"/>
                <w:szCs w:val="24"/>
              </w:rPr>
            </w:pPr>
          </w:p>
        </w:tc>
        <w:tc>
          <w:tcPr>
            <w:tcW w:w="1800" w:type="dxa"/>
            <w:shd w:val="clear" w:color="auto" w:fill="D9D9D9" w:themeFill="background1" w:themeFillShade="D9"/>
          </w:tcPr>
          <w:p w:rsidRPr="00275CB5" w:rsidR="00E76C35" w:rsidP="00556FEA" w:rsidRDefault="00E76C35" w14:paraId="3EEC4D15" w14:textId="77777777">
            <w:pPr>
              <w:pStyle w:val="xl41"/>
              <w:keepNext/>
              <w:overflowPunct/>
              <w:autoSpaceDE/>
              <w:adjustRightInd/>
              <w:spacing w:before="0" w:after="0"/>
              <w:jc w:val="center"/>
              <w:rPr>
                <w:rFonts w:ascii="Palatino Linotype" w:hAnsi="Palatino Linotype" w:eastAsia="Times New Roman"/>
                <w:szCs w:val="24"/>
              </w:rPr>
            </w:pPr>
            <w:r w:rsidRPr="00275CB5">
              <w:rPr>
                <w:rFonts w:ascii="Palatino Linotype" w:hAnsi="Palatino Linotype" w:eastAsia="Times New Roman"/>
                <w:szCs w:val="24"/>
              </w:rPr>
              <w:t>Unserved Households</w:t>
            </w:r>
          </w:p>
        </w:tc>
        <w:tc>
          <w:tcPr>
            <w:tcW w:w="1800" w:type="dxa"/>
            <w:shd w:val="clear" w:color="auto" w:fill="D9D9D9" w:themeFill="background1" w:themeFillShade="D9"/>
          </w:tcPr>
          <w:p w:rsidRPr="00275CB5" w:rsidR="00E76C35" w:rsidP="00556FEA" w:rsidRDefault="00E76C35" w14:paraId="0A55F5B4" w14:textId="77777777">
            <w:pPr>
              <w:pStyle w:val="xl41"/>
              <w:keepNext/>
              <w:overflowPunct/>
              <w:autoSpaceDE/>
              <w:adjustRightInd/>
              <w:spacing w:before="0" w:after="0"/>
              <w:jc w:val="center"/>
              <w:rPr>
                <w:rFonts w:ascii="Palatino Linotype" w:hAnsi="Palatino Linotype" w:eastAsia="Times New Roman"/>
                <w:szCs w:val="24"/>
              </w:rPr>
            </w:pPr>
            <w:r w:rsidRPr="00275CB5">
              <w:rPr>
                <w:rFonts w:ascii="Palatino Linotype" w:hAnsi="Palatino Linotype" w:eastAsia="Times New Roman"/>
                <w:szCs w:val="24"/>
              </w:rPr>
              <w:t xml:space="preserve">Census </w:t>
            </w:r>
          </w:p>
          <w:p w:rsidRPr="00275CB5" w:rsidR="00E76C35" w:rsidP="00556FEA" w:rsidRDefault="00E76C35" w14:paraId="1EBFA10E" w14:textId="77777777">
            <w:pPr>
              <w:pStyle w:val="xl41"/>
              <w:keepNext/>
              <w:overflowPunct/>
              <w:autoSpaceDE/>
              <w:adjustRightInd/>
              <w:spacing w:before="0" w:after="0"/>
              <w:jc w:val="center"/>
              <w:rPr>
                <w:rFonts w:ascii="Palatino Linotype" w:hAnsi="Palatino Linotype" w:eastAsia="Times New Roman"/>
                <w:szCs w:val="24"/>
              </w:rPr>
            </w:pPr>
            <w:r w:rsidRPr="00275CB5">
              <w:rPr>
                <w:rFonts w:ascii="Palatino Linotype" w:hAnsi="Palatino Linotype" w:eastAsia="Times New Roman"/>
                <w:szCs w:val="24"/>
              </w:rPr>
              <w:t>Blocks</w:t>
            </w:r>
          </w:p>
        </w:tc>
        <w:tc>
          <w:tcPr>
            <w:tcW w:w="2435" w:type="dxa"/>
            <w:shd w:val="clear" w:color="auto" w:fill="D9D9D9" w:themeFill="background1" w:themeFillShade="D9"/>
          </w:tcPr>
          <w:p w:rsidRPr="00275CB5" w:rsidR="00E76C35" w:rsidP="00556FEA" w:rsidRDefault="00E76C35" w14:paraId="38926570" w14:textId="77777777">
            <w:pPr>
              <w:pStyle w:val="xl41"/>
              <w:keepNext/>
              <w:overflowPunct/>
              <w:autoSpaceDE/>
              <w:adjustRightInd/>
              <w:spacing w:before="0" w:after="0"/>
              <w:jc w:val="center"/>
              <w:rPr>
                <w:rFonts w:ascii="Palatino Linotype" w:hAnsi="Palatino Linotype" w:eastAsia="Times New Roman"/>
                <w:szCs w:val="24"/>
              </w:rPr>
            </w:pPr>
            <w:r w:rsidRPr="00275CB5">
              <w:rPr>
                <w:rFonts w:ascii="Palatino Linotype" w:hAnsi="Palatino Linotype" w:eastAsia="Times New Roman"/>
                <w:szCs w:val="24"/>
              </w:rPr>
              <w:t>CASF Infrastructure Grant Funding</w:t>
            </w:r>
          </w:p>
        </w:tc>
      </w:tr>
      <w:tr w:rsidRPr="00275CB5" w:rsidR="00275CB5" w:rsidTr="00292570" w14:paraId="5FD870C4" w14:textId="77777777">
        <w:trPr>
          <w:jc w:val="center"/>
        </w:trPr>
        <w:tc>
          <w:tcPr>
            <w:tcW w:w="2700" w:type="dxa"/>
            <w:tcBorders>
              <w:bottom w:val="single" w:color="auto" w:sz="4" w:space="0"/>
            </w:tcBorders>
          </w:tcPr>
          <w:p w:rsidRPr="00275CB5" w:rsidR="00E76C35" w:rsidP="00556FEA" w:rsidRDefault="00E76C35" w14:paraId="31C17E44" w14:textId="77777777">
            <w:pPr>
              <w:pStyle w:val="xl41"/>
              <w:keepNext/>
              <w:overflowPunct/>
              <w:autoSpaceDE/>
              <w:adjustRightInd/>
              <w:spacing w:before="0" w:after="0"/>
              <w:rPr>
                <w:rFonts w:ascii="Palatino Linotype" w:hAnsi="Palatino Linotype" w:eastAsia="Times New Roman"/>
                <w:szCs w:val="24"/>
              </w:rPr>
            </w:pPr>
            <w:r w:rsidRPr="00275CB5">
              <w:rPr>
                <w:rFonts w:ascii="Palatino Linotype" w:hAnsi="Palatino Linotype" w:eastAsia="Times New Roman"/>
                <w:szCs w:val="24"/>
              </w:rPr>
              <w:t>Original Application</w:t>
            </w:r>
          </w:p>
        </w:tc>
        <w:tc>
          <w:tcPr>
            <w:tcW w:w="1800" w:type="dxa"/>
            <w:tcBorders>
              <w:bottom w:val="single" w:color="auto" w:sz="4" w:space="0"/>
            </w:tcBorders>
          </w:tcPr>
          <w:p w:rsidRPr="00275CB5" w:rsidR="00E76C35" w:rsidP="00556FEA" w:rsidRDefault="00E76C35" w14:paraId="6715B6D7" w14:textId="77777777">
            <w:pPr>
              <w:pStyle w:val="xl41"/>
              <w:keepNext/>
              <w:overflowPunct/>
              <w:autoSpaceDE/>
              <w:adjustRightInd/>
              <w:spacing w:before="0" w:after="0"/>
              <w:jc w:val="center"/>
              <w:rPr>
                <w:rFonts w:ascii="Palatino Linotype" w:hAnsi="Palatino Linotype" w:eastAsia="Times New Roman"/>
                <w:szCs w:val="24"/>
              </w:rPr>
            </w:pPr>
            <w:r w:rsidRPr="00275CB5">
              <w:rPr>
                <w:rFonts w:ascii="Palatino Linotype" w:hAnsi="Palatino Linotype" w:eastAsia="Times New Roman"/>
                <w:szCs w:val="24"/>
              </w:rPr>
              <w:t>134</w:t>
            </w:r>
          </w:p>
        </w:tc>
        <w:tc>
          <w:tcPr>
            <w:tcW w:w="1800" w:type="dxa"/>
            <w:tcBorders>
              <w:bottom w:val="single" w:color="auto" w:sz="4" w:space="0"/>
            </w:tcBorders>
          </w:tcPr>
          <w:p w:rsidRPr="00275CB5" w:rsidR="00E76C35" w:rsidP="00556FEA" w:rsidRDefault="00E76C35" w14:paraId="47144287" w14:textId="77777777">
            <w:pPr>
              <w:pStyle w:val="xl41"/>
              <w:keepNext/>
              <w:overflowPunct/>
              <w:autoSpaceDE/>
              <w:adjustRightInd/>
              <w:spacing w:before="0" w:after="0"/>
              <w:jc w:val="center"/>
              <w:rPr>
                <w:rFonts w:ascii="Palatino Linotype" w:hAnsi="Palatino Linotype" w:eastAsia="Times New Roman"/>
                <w:szCs w:val="24"/>
              </w:rPr>
            </w:pPr>
            <w:r w:rsidRPr="00275CB5">
              <w:rPr>
                <w:rFonts w:ascii="Palatino Linotype" w:hAnsi="Palatino Linotype" w:eastAsia="Times New Roman"/>
                <w:szCs w:val="24"/>
              </w:rPr>
              <w:t>8</w:t>
            </w:r>
          </w:p>
        </w:tc>
        <w:tc>
          <w:tcPr>
            <w:tcW w:w="2435" w:type="dxa"/>
            <w:tcBorders>
              <w:bottom w:val="single" w:color="auto" w:sz="4" w:space="0"/>
            </w:tcBorders>
          </w:tcPr>
          <w:p w:rsidRPr="00275CB5" w:rsidR="00E76C35" w:rsidP="00556FEA" w:rsidRDefault="00E76C35" w14:paraId="6F490883" w14:textId="77777777">
            <w:pPr>
              <w:pStyle w:val="xl41"/>
              <w:keepNext/>
              <w:overflowPunct/>
              <w:autoSpaceDE/>
              <w:adjustRightInd/>
              <w:spacing w:before="0" w:after="0"/>
              <w:jc w:val="center"/>
              <w:rPr>
                <w:rFonts w:ascii="Palatino Linotype" w:hAnsi="Palatino Linotype" w:eastAsia="Times New Roman"/>
                <w:szCs w:val="24"/>
              </w:rPr>
            </w:pPr>
            <w:r w:rsidRPr="00275CB5">
              <w:rPr>
                <w:rFonts w:ascii="Palatino Linotype" w:hAnsi="Palatino Linotype" w:eastAsia="Times New Roman"/>
                <w:szCs w:val="24"/>
              </w:rPr>
              <w:t>$ 1,586,885</w:t>
            </w:r>
          </w:p>
        </w:tc>
      </w:tr>
      <w:tr w:rsidRPr="00275CB5" w:rsidR="00275CB5" w:rsidTr="00292570" w14:paraId="6234268E" w14:textId="77777777">
        <w:trPr>
          <w:jc w:val="center"/>
        </w:trPr>
        <w:tc>
          <w:tcPr>
            <w:tcW w:w="2700" w:type="dxa"/>
            <w:tcBorders>
              <w:bottom w:val="single" w:color="auto" w:sz="4" w:space="0"/>
            </w:tcBorders>
          </w:tcPr>
          <w:p w:rsidRPr="00275CB5" w:rsidR="00E76C35" w:rsidP="00556FEA" w:rsidRDefault="00E76C35" w14:paraId="0D6AEDB1" w14:textId="77777777">
            <w:pPr>
              <w:pStyle w:val="xl41"/>
              <w:keepNext/>
              <w:overflowPunct/>
              <w:autoSpaceDE/>
              <w:adjustRightInd/>
              <w:spacing w:before="0" w:after="0"/>
              <w:rPr>
                <w:rFonts w:ascii="Palatino Linotype" w:hAnsi="Palatino Linotype" w:eastAsia="Times New Roman"/>
                <w:szCs w:val="24"/>
              </w:rPr>
            </w:pPr>
            <w:r w:rsidRPr="00275CB5">
              <w:rPr>
                <w:rFonts w:ascii="Palatino Linotype" w:hAnsi="Palatino Linotype" w:eastAsia="Times New Roman"/>
                <w:szCs w:val="24"/>
              </w:rPr>
              <w:t>Revised Application</w:t>
            </w:r>
          </w:p>
        </w:tc>
        <w:tc>
          <w:tcPr>
            <w:tcW w:w="1800" w:type="dxa"/>
            <w:tcBorders>
              <w:bottom w:val="single" w:color="auto" w:sz="4" w:space="0"/>
            </w:tcBorders>
          </w:tcPr>
          <w:p w:rsidRPr="00275CB5" w:rsidR="00E76C35" w:rsidP="00556FEA" w:rsidRDefault="00E76C35" w14:paraId="5A2D54A6" w14:textId="77777777">
            <w:pPr>
              <w:pStyle w:val="xl41"/>
              <w:keepNext/>
              <w:overflowPunct/>
              <w:autoSpaceDE/>
              <w:adjustRightInd/>
              <w:spacing w:before="0" w:after="0"/>
              <w:jc w:val="center"/>
              <w:rPr>
                <w:rFonts w:ascii="Palatino Linotype" w:hAnsi="Palatino Linotype" w:eastAsia="Times New Roman"/>
                <w:szCs w:val="24"/>
              </w:rPr>
            </w:pPr>
            <w:r w:rsidRPr="00275CB5">
              <w:rPr>
                <w:rFonts w:ascii="Palatino Linotype" w:hAnsi="Palatino Linotype" w:eastAsia="Times New Roman"/>
                <w:szCs w:val="24"/>
              </w:rPr>
              <w:t>105</w:t>
            </w:r>
          </w:p>
        </w:tc>
        <w:tc>
          <w:tcPr>
            <w:tcW w:w="1800" w:type="dxa"/>
            <w:tcBorders>
              <w:bottom w:val="single" w:color="auto" w:sz="4" w:space="0"/>
            </w:tcBorders>
          </w:tcPr>
          <w:p w:rsidRPr="00275CB5" w:rsidR="00E76C35" w:rsidP="00556FEA" w:rsidRDefault="00E76C35" w14:paraId="18154ABC" w14:textId="77777777">
            <w:pPr>
              <w:pStyle w:val="xl41"/>
              <w:keepNext/>
              <w:overflowPunct/>
              <w:autoSpaceDE/>
              <w:adjustRightInd/>
              <w:spacing w:before="0" w:after="0"/>
              <w:jc w:val="center"/>
              <w:rPr>
                <w:rFonts w:ascii="Palatino Linotype" w:hAnsi="Palatino Linotype" w:eastAsia="Times New Roman"/>
                <w:szCs w:val="24"/>
              </w:rPr>
            </w:pPr>
            <w:r w:rsidRPr="00275CB5">
              <w:rPr>
                <w:rFonts w:ascii="Palatino Linotype" w:hAnsi="Palatino Linotype" w:eastAsia="Times New Roman"/>
                <w:szCs w:val="24"/>
              </w:rPr>
              <w:t>6</w:t>
            </w:r>
          </w:p>
        </w:tc>
        <w:tc>
          <w:tcPr>
            <w:tcW w:w="2435" w:type="dxa"/>
            <w:tcBorders>
              <w:bottom w:val="single" w:color="auto" w:sz="4" w:space="0"/>
            </w:tcBorders>
          </w:tcPr>
          <w:p w:rsidRPr="00275CB5" w:rsidR="00E76C35" w:rsidP="00556FEA" w:rsidRDefault="00E76C35" w14:paraId="03E0CD64" w14:textId="0FCA3CFE">
            <w:pPr>
              <w:pStyle w:val="xl41"/>
              <w:keepNext/>
              <w:overflowPunct/>
              <w:autoSpaceDE/>
              <w:adjustRightInd/>
              <w:spacing w:before="0" w:after="0"/>
              <w:jc w:val="center"/>
              <w:rPr>
                <w:rFonts w:ascii="Palatino Linotype" w:hAnsi="Palatino Linotype" w:eastAsia="Times New Roman"/>
                <w:szCs w:val="24"/>
              </w:rPr>
            </w:pPr>
            <w:r w:rsidRPr="00275CB5">
              <w:rPr>
                <w:rFonts w:ascii="Palatino Linotype" w:hAnsi="Palatino Linotype" w:eastAsia="Times New Roman"/>
                <w:szCs w:val="24"/>
              </w:rPr>
              <w:t>$ 1,</w:t>
            </w:r>
            <w:r w:rsidRPr="00275CB5" w:rsidR="001970F6">
              <w:rPr>
                <w:rFonts w:ascii="Palatino Linotype" w:hAnsi="Palatino Linotype" w:eastAsia="Times New Roman"/>
                <w:szCs w:val="24"/>
              </w:rPr>
              <w:t>413,293</w:t>
            </w:r>
          </w:p>
        </w:tc>
      </w:tr>
    </w:tbl>
    <w:p w:rsidRPr="00275CB5" w:rsidR="00107E1E" w:rsidP="00107E1E" w:rsidRDefault="00107E1E" w14:paraId="1D4212A6" w14:textId="77777777">
      <w:pPr>
        <w:rPr>
          <w:rFonts w:ascii="Palatino Linotype" w:hAnsi="Palatino Linotype"/>
          <w:szCs w:val="24"/>
        </w:rPr>
      </w:pPr>
    </w:p>
    <w:p w:rsidRPr="00275CB5" w:rsidR="00E76C35" w:rsidP="00107E1E" w:rsidRDefault="00E76C35" w14:paraId="7E5A43E5" w14:textId="61588386">
      <w:pPr>
        <w:rPr>
          <w:rFonts w:ascii="Palatino Linotype" w:hAnsi="Palatino Linotype"/>
          <w:szCs w:val="24"/>
        </w:rPr>
      </w:pPr>
      <w:r w:rsidRPr="00275CB5">
        <w:rPr>
          <w:rFonts w:ascii="Palatino Linotype" w:hAnsi="Palatino Linotype"/>
          <w:szCs w:val="24"/>
        </w:rPr>
        <w:t xml:space="preserve">Staff finds the grant funding request reasonable even with the reduction of households from 134 to 105 because </w:t>
      </w:r>
      <w:r w:rsidRPr="00275CB5" w:rsidR="000B1570">
        <w:rPr>
          <w:rFonts w:ascii="Palatino Linotype" w:hAnsi="Palatino Linotype"/>
          <w:szCs w:val="24"/>
        </w:rPr>
        <w:t xml:space="preserve">most of the project costs are </w:t>
      </w:r>
      <w:r w:rsidRPr="00275CB5" w:rsidR="008A2B22">
        <w:rPr>
          <w:rFonts w:ascii="Palatino Linotype" w:hAnsi="Palatino Linotype"/>
          <w:szCs w:val="24"/>
        </w:rPr>
        <w:t xml:space="preserve">fixed </w:t>
      </w:r>
      <w:r w:rsidRPr="00275CB5" w:rsidR="00151BFE">
        <w:rPr>
          <w:rFonts w:ascii="Palatino Linotype" w:hAnsi="Palatino Linotype"/>
          <w:szCs w:val="24"/>
        </w:rPr>
        <w:t xml:space="preserve">equipment </w:t>
      </w:r>
      <w:r w:rsidRPr="00275CB5" w:rsidR="008A2B22">
        <w:rPr>
          <w:rFonts w:ascii="Palatino Linotype" w:hAnsi="Palatino Linotype"/>
          <w:szCs w:val="24"/>
        </w:rPr>
        <w:t xml:space="preserve">costs to </w:t>
      </w:r>
      <w:r w:rsidRPr="00275CB5" w:rsidR="008756C9">
        <w:rPr>
          <w:rFonts w:ascii="Palatino Linotype" w:hAnsi="Palatino Linotype"/>
          <w:szCs w:val="24"/>
        </w:rPr>
        <w:t>upgrade the central office</w:t>
      </w:r>
      <w:r w:rsidRPr="00275CB5" w:rsidR="001C3E4D">
        <w:rPr>
          <w:rFonts w:ascii="Palatino Linotype" w:hAnsi="Palatino Linotype"/>
          <w:szCs w:val="24"/>
        </w:rPr>
        <w:t>.</w:t>
      </w:r>
      <w:r w:rsidR="00CC229C">
        <w:rPr>
          <w:rFonts w:ascii="Palatino Linotype" w:hAnsi="Palatino Linotype"/>
          <w:szCs w:val="24"/>
        </w:rPr>
        <w:t xml:space="preserve">  </w:t>
      </w:r>
      <w:r w:rsidR="00056753">
        <w:rPr>
          <w:rFonts w:ascii="Palatino Linotype" w:hAnsi="Palatino Linotype"/>
          <w:szCs w:val="24"/>
        </w:rPr>
        <w:t>T</w:t>
      </w:r>
      <w:r w:rsidR="005E3C34">
        <w:rPr>
          <w:rFonts w:ascii="Palatino Linotype" w:hAnsi="Palatino Linotype"/>
          <w:szCs w:val="24"/>
        </w:rPr>
        <w:t>he</w:t>
      </w:r>
      <w:r w:rsidR="00056753">
        <w:rPr>
          <w:rFonts w:ascii="Palatino Linotype" w:hAnsi="Palatino Linotype"/>
          <w:szCs w:val="24"/>
        </w:rPr>
        <w:t>se</w:t>
      </w:r>
      <w:r w:rsidR="005E3C34">
        <w:rPr>
          <w:rFonts w:ascii="Palatino Linotype" w:hAnsi="Palatino Linotype"/>
          <w:szCs w:val="24"/>
        </w:rPr>
        <w:t xml:space="preserve"> upgrades to the central office are still </w:t>
      </w:r>
      <w:r w:rsidR="00B67002">
        <w:rPr>
          <w:rFonts w:ascii="Palatino Linotype" w:hAnsi="Palatino Linotype"/>
          <w:szCs w:val="24"/>
        </w:rPr>
        <w:t>necessary</w:t>
      </w:r>
      <w:r w:rsidR="005E3C34">
        <w:rPr>
          <w:rFonts w:ascii="Palatino Linotype" w:hAnsi="Palatino Linotype"/>
          <w:szCs w:val="24"/>
        </w:rPr>
        <w:t xml:space="preserve"> to </w:t>
      </w:r>
      <w:r w:rsidR="00056753">
        <w:rPr>
          <w:rFonts w:ascii="Palatino Linotype" w:hAnsi="Palatino Linotype"/>
          <w:szCs w:val="24"/>
        </w:rPr>
        <w:t>provide broadband to</w:t>
      </w:r>
      <w:r w:rsidR="00735DF9">
        <w:rPr>
          <w:rFonts w:ascii="Palatino Linotype" w:hAnsi="Palatino Linotype"/>
          <w:szCs w:val="24"/>
        </w:rPr>
        <w:t xml:space="preserve"> the </w:t>
      </w:r>
      <w:r w:rsidR="00104DC2">
        <w:rPr>
          <w:rFonts w:ascii="Palatino Linotype" w:hAnsi="Palatino Linotype"/>
          <w:szCs w:val="24"/>
        </w:rPr>
        <w:t xml:space="preserve">Crescent City </w:t>
      </w:r>
      <w:r w:rsidR="00735DF9">
        <w:rPr>
          <w:rFonts w:ascii="Palatino Linotype" w:hAnsi="Palatino Linotype"/>
          <w:szCs w:val="24"/>
        </w:rPr>
        <w:t xml:space="preserve">project area.  </w:t>
      </w:r>
    </w:p>
    <w:p w:rsidR="00107E1E" w:rsidP="00107E1E" w:rsidRDefault="00107E1E" w14:paraId="5F233B83" w14:textId="77777777">
      <w:pPr>
        <w:rPr>
          <w:rFonts w:ascii="Palatino Linotype" w:hAnsi="Palatino Linotype"/>
          <w:szCs w:val="24"/>
        </w:rPr>
      </w:pPr>
    </w:p>
    <w:p w:rsidRPr="00E76C35" w:rsidR="00943C36" w:rsidP="00EE4A55" w:rsidRDefault="00E76C35" w14:paraId="09C8F857" w14:textId="501264BF">
      <w:pPr>
        <w:pStyle w:val="ListParagraph"/>
        <w:numPr>
          <w:ilvl w:val="4"/>
          <w:numId w:val="23"/>
        </w:numPr>
        <w:autoSpaceDE w:val="0"/>
        <w:autoSpaceDN w:val="0"/>
        <w:adjustRightInd w:val="0"/>
        <w:spacing w:after="120"/>
        <w:ind w:left="720"/>
        <w:rPr>
          <w:rFonts w:ascii="Palatino Linotype" w:hAnsi="Palatino Linotype"/>
          <w:szCs w:val="24"/>
          <w:u w:val="single"/>
        </w:rPr>
      </w:pPr>
      <w:r w:rsidRPr="00E76C35">
        <w:rPr>
          <w:rFonts w:ascii="Palatino Linotype" w:hAnsi="Palatino Linotype"/>
          <w:szCs w:val="24"/>
          <w:u w:val="single"/>
        </w:rPr>
        <w:t xml:space="preserve">Smith River Project </w:t>
      </w:r>
      <w:r w:rsidR="00107E1E">
        <w:rPr>
          <w:rFonts w:ascii="Palatino Linotype" w:hAnsi="Palatino Linotype"/>
          <w:szCs w:val="24"/>
          <w:u w:val="single"/>
        </w:rPr>
        <w:t xml:space="preserve">Area </w:t>
      </w:r>
      <w:r w:rsidRPr="00E76C35">
        <w:rPr>
          <w:rFonts w:ascii="Palatino Linotype" w:hAnsi="Palatino Linotype"/>
          <w:szCs w:val="24"/>
          <w:u w:val="single"/>
        </w:rPr>
        <w:t xml:space="preserve">Eligibility </w:t>
      </w:r>
    </w:p>
    <w:p w:rsidRPr="00107E1E" w:rsidR="00107E1E" w:rsidP="00107E1E" w:rsidRDefault="00107E1E" w14:paraId="33812956" w14:textId="03EE13E8">
      <w:pPr>
        <w:rPr>
          <w:rFonts w:ascii="Palatino Linotype" w:hAnsi="Palatino Linotype"/>
        </w:rPr>
      </w:pPr>
      <w:r w:rsidRPr="00107E1E">
        <w:rPr>
          <w:rFonts w:ascii="Palatino Linotype" w:hAnsi="Palatino Linotype"/>
          <w:b/>
          <w:bCs/>
        </w:rPr>
        <w:t>Frontier’s Smith River Project proposes to provide last</w:t>
      </w:r>
      <w:r w:rsidR="000E5EFF">
        <w:rPr>
          <w:rFonts w:ascii="Palatino Linotype" w:hAnsi="Palatino Linotype"/>
          <w:b/>
          <w:bCs/>
        </w:rPr>
        <w:t>-</w:t>
      </w:r>
      <w:r w:rsidRPr="00107E1E">
        <w:rPr>
          <w:rFonts w:ascii="Palatino Linotype" w:hAnsi="Palatino Linotype"/>
          <w:b/>
          <w:bCs/>
        </w:rPr>
        <w:t>mile access to 55 unserved households.</w:t>
      </w:r>
      <w:r w:rsidRPr="00107E1E">
        <w:rPr>
          <w:rFonts w:ascii="Palatino Linotype" w:hAnsi="Palatino Linotype"/>
        </w:rPr>
        <w:t xml:space="preserve">  </w:t>
      </w:r>
      <w:r w:rsidRPr="00107E1E">
        <w:rPr>
          <w:rFonts w:ascii="Palatino Linotype" w:hAnsi="Palatino Linotype"/>
          <w:szCs w:val="24"/>
        </w:rPr>
        <w:t xml:space="preserve">In Frontier’s application, Frontier requested $1,428,479 in grant funding to serve 55 households in the </w:t>
      </w:r>
      <w:r w:rsidRPr="00107E1E">
        <w:rPr>
          <w:rFonts w:ascii="Palatino Linotype" w:hAnsi="Palatino Linotype"/>
        </w:rPr>
        <w:t xml:space="preserve">South Park Mobile Homes area of </w:t>
      </w:r>
      <w:proofErr w:type="spellStart"/>
      <w:r w:rsidRPr="00107E1E">
        <w:rPr>
          <w:rFonts w:ascii="Palatino Linotype" w:hAnsi="Palatino Linotype"/>
        </w:rPr>
        <w:t>Howonquet</w:t>
      </w:r>
      <w:proofErr w:type="spellEnd"/>
      <w:r w:rsidRPr="00107E1E">
        <w:rPr>
          <w:rFonts w:ascii="Palatino Linotype" w:hAnsi="Palatino Linotype"/>
        </w:rPr>
        <w:t xml:space="preserve"> Village in Smith River.  According to the California Interactive Broadband Map, there are an estimated 48 households, with a total of 58 housing units, within the five census blocks in the Smith River project area.</w:t>
      </w:r>
      <w:r>
        <w:rPr>
          <w:rStyle w:val="FootnoteReference"/>
          <w:rFonts w:ascii="Palatino Linotype" w:hAnsi="Palatino Linotype"/>
        </w:rPr>
        <w:footnoteReference w:id="12"/>
      </w:r>
      <w:r w:rsidRPr="00107E1E">
        <w:rPr>
          <w:rFonts w:ascii="Palatino Linotype" w:hAnsi="Palatino Linotype"/>
        </w:rPr>
        <w:t xml:space="preserve">  Based on satellite imagery of the project area, Staff identified 55 mobile homes within the project area.  Therefore, Staff determined the household count for this project is 55 unserved households.  </w:t>
      </w:r>
    </w:p>
    <w:p w:rsidRPr="00107E1E" w:rsidR="00E76C35" w:rsidP="00107E1E" w:rsidRDefault="00E76C35" w14:paraId="1CB386F0" w14:textId="77777777">
      <w:pPr>
        <w:autoSpaceDE w:val="0"/>
        <w:autoSpaceDN w:val="0"/>
        <w:adjustRightInd w:val="0"/>
        <w:rPr>
          <w:rFonts w:ascii="Palatino Linotype" w:hAnsi="Palatino Linotype"/>
          <w:szCs w:val="24"/>
        </w:rPr>
      </w:pPr>
    </w:p>
    <w:p w:rsidRPr="00814632" w:rsidR="00054670" w:rsidP="00CE467B" w:rsidRDefault="009E7871" w14:paraId="3AEE4C9E" w14:textId="4DCBB4E9">
      <w:pPr>
        <w:pStyle w:val="Heading2"/>
        <w:numPr>
          <w:ilvl w:val="6"/>
          <w:numId w:val="23"/>
        </w:numPr>
        <w:ind w:left="993" w:hanging="446"/>
        <w:rPr>
          <w:rFonts w:ascii="Palatino Linotype" w:hAnsi="Palatino Linotype"/>
          <w:szCs w:val="24"/>
          <w:u w:val="single"/>
        </w:rPr>
      </w:pPr>
      <w:r w:rsidRPr="00814632">
        <w:rPr>
          <w:rFonts w:ascii="Palatino Linotype" w:hAnsi="Palatino Linotype"/>
          <w:szCs w:val="24"/>
          <w:u w:val="single"/>
        </w:rPr>
        <w:lastRenderedPageBreak/>
        <w:t xml:space="preserve">Minimum </w:t>
      </w:r>
      <w:r w:rsidRPr="00814632" w:rsidR="00054670">
        <w:rPr>
          <w:rFonts w:ascii="Palatino Linotype" w:hAnsi="Palatino Linotype"/>
          <w:szCs w:val="24"/>
          <w:u w:val="single"/>
        </w:rPr>
        <w:t>Performance Criteria</w:t>
      </w:r>
      <w:r w:rsidRPr="00814632" w:rsidR="6B7DC0AE">
        <w:rPr>
          <w:rFonts w:ascii="Palatino Linotype" w:hAnsi="Palatino Linotype"/>
          <w:szCs w:val="24"/>
          <w:u w:val="single"/>
        </w:rPr>
        <w:t xml:space="preserve"> </w:t>
      </w:r>
    </w:p>
    <w:p w:rsidR="009717B2" w:rsidP="008D148D" w:rsidRDefault="001A18D3" w14:paraId="6E456E8B" w14:textId="5EE2D2BC">
      <w:pPr>
        <w:pStyle w:val="Default"/>
        <w:rPr>
          <w:rFonts w:ascii="Palatino Linotype" w:hAnsi="Palatino Linotype"/>
          <w:color w:val="auto"/>
        </w:rPr>
      </w:pPr>
      <w:r w:rsidRPr="00814632">
        <w:rPr>
          <w:rFonts w:ascii="Palatino Linotype" w:hAnsi="Palatino Linotype"/>
          <w:color w:val="auto"/>
        </w:rPr>
        <w:t>Staff rev</w:t>
      </w:r>
      <w:r w:rsidRPr="00814632" w:rsidR="001D5656">
        <w:rPr>
          <w:rFonts w:ascii="Palatino Linotype" w:hAnsi="Palatino Linotype"/>
          <w:color w:val="auto"/>
        </w:rPr>
        <w:t xml:space="preserve">iewed </w:t>
      </w:r>
      <w:r w:rsidRPr="00814632" w:rsidR="008D148D">
        <w:rPr>
          <w:rFonts w:ascii="Palatino Linotype" w:hAnsi="Palatino Linotype"/>
          <w:color w:val="auto"/>
        </w:rPr>
        <w:t>Frontier</w:t>
      </w:r>
      <w:r w:rsidRPr="00814632" w:rsidR="00774D2A">
        <w:rPr>
          <w:rFonts w:ascii="Palatino Linotype" w:hAnsi="Palatino Linotype"/>
          <w:color w:val="auto"/>
        </w:rPr>
        <w:t xml:space="preserve">’s </w:t>
      </w:r>
      <w:r w:rsidRPr="00814632" w:rsidR="00C5138B">
        <w:rPr>
          <w:rFonts w:ascii="Palatino Linotype" w:hAnsi="Palatino Linotype"/>
          <w:color w:val="auto"/>
        </w:rPr>
        <w:t>application</w:t>
      </w:r>
      <w:r w:rsidRPr="00814632" w:rsidR="00262228">
        <w:rPr>
          <w:rFonts w:ascii="Palatino Linotype" w:hAnsi="Palatino Linotype"/>
          <w:color w:val="auto"/>
        </w:rPr>
        <w:t>s</w:t>
      </w:r>
      <w:r w:rsidRPr="00814632" w:rsidR="00C5138B">
        <w:rPr>
          <w:rFonts w:ascii="Palatino Linotype" w:hAnsi="Palatino Linotype"/>
          <w:color w:val="auto"/>
        </w:rPr>
        <w:t xml:space="preserve"> and determine</w:t>
      </w:r>
      <w:r w:rsidRPr="00814632" w:rsidR="00FB2FC1">
        <w:rPr>
          <w:rFonts w:ascii="Palatino Linotype" w:hAnsi="Palatino Linotype"/>
          <w:color w:val="auto"/>
        </w:rPr>
        <w:t>d</w:t>
      </w:r>
      <w:r w:rsidRPr="00814632" w:rsidR="00C5138B">
        <w:rPr>
          <w:rFonts w:ascii="Palatino Linotype" w:hAnsi="Palatino Linotype"/>
          <w:color w:val="auto"/>
        </w:rPr>
        <w:t xml:space="preserve"> </w:t>
      </w:r>
      <w:r w:rsidR="00C5138B">
        <w:rPr>
          <w:rFonts w:ascii="Palatino Linotype" w:hAnsi="Palatino Linotype"/>
          <w:color w:val="auto"/>
        </w:rPr>
        <w:t xml:space="preserve">the </w:t>
      </w:r>
      <w:r w:rsidR="00873817">
        <w:rPr>
          <w:rFonts w:ascii="Palatino Linotype" w:hAnsi="Palatino Linotype"/>
          <w:color w:val="auto"/>
        </w:rPr>
        <w:t xml:space="preserve">Crescent City and </w:t>
      </w:r>
      <w:r w:rsidR="008B0F8A">
        <w:rPr>
          <w:rFonts w:ascii="Palatino Linotype" w:hAnsi="Palatino Linotype"/>
          <w:color w:val="auto"/>
        </w:rPr>
        <w:t xml:space="preserve">Smith River </w:t>
      </w:r>
      <w:r w:rsidR="00DA60DA">
        <w:rPr>
          <w:rFonts w:ascii="Palatino Linotype" w:hAnsi="Palatino Linotype"/>
          <w:color w:val="auto"/>
        </w:rPr>
        <w:t>P</w:t>
      </w:r>
      <w:r w:rsidR="008B0F8A">
        <w:rPr>
          <w:rFonts w:ascii="Palatino Linotype" w:hAnsi="Palatino Linotype"/>
          <w:color w:val="auto"/>
        </w:rPr>
        <w:t xml:space="preserve">rojects </w:t>
      </w:r>
      <w:r w:rsidRPr="00352E7F" w:rsidR="008D148D">
        <w:rPr>
          <w:rFonts w:ascii="Palatino Linotype" w:hAnsi="Palatino Linotype"/>
          <w:color w:val="auto"/>
        </w:rPr>
        <w:t xml:space="preserve">meet the minimum performance criteria pursuant to </w:t>
      </w:r>
      <w:r w:rsidRPr="00352E7F" w:rsidR="00774D2A">
        <w:rPr>
          <w:rFonts w:ascii="Palatino Linotype" w:hAnsi="Palatino Linotype"/>
          <w:color w:val="auto"/>
        </w:rPr>
        <w:t>D</w:t>
      </w:r>
      <w:r w:rsidRPr="00352E7F" w:rsidR="008D148D">
        <w:rPr>
          <w:rFonts w:ascii="Palatino Linotype" w:hAnsi="Palatino Linotype"/>
          <w:color w:val="auto"/>
        </w:rPr>
        <w:t>.18-12-018</w:t>
      </w:r>
      <w:r w:rsidRPr="00352E7F" w:rsidR="00774D2A">
        <w:rPr>
          <w:rFonts w:ascii="Palatino Linotype" w:hAnsi="Palatino Linotype"/>
          <w:color w:val="auto"/>
        </w:rPr>
        <w:t>, Appendix 1, Section 6</w:t>
      </w:r>
      <w:r w:rsidRPr="00352E7F" w:rsidR="0059591E">
        <w:rPr>
          <w:rFonts w:ascii="Palatino Linotype" w:hAnsi="Palatino Linotype"/>
          <w:color w:val="auto"/>
        </w:rPr>
        <w:t xml:space="preserve">, as summarized </w:t>
      </w:r>
      <w:r w:rsidR="00A54A9D">
        <w:rPr>
          <w:rFonts w:ascii="Palatino Linotype" w:hAnsi="Palatino Linotype"/>
          <w:color w:val="auto"/>
        </w:rPr>
        <w:t xml:space="preserve">in Table </w:t>
      </w:r>
      <w:r w:rsidR="00ED0485">
        <w:rPr>
          <w:rFonts w:ascii="Palatino Linotype" w:hAnsi="Palatino Linotype"/>
          <w:color w:val="auto"/>
        </w:rPr>
        <w:t>4</w:t>
      </w:r>
      <w:r w:rsidRPr="00352E7F" w:rsidR="00774D2A">
        <w:rPr>
          <w:rFonts w:ascii="Palatino Linotype" w:hAnsi="Palatino Linotype"/>
          <w:color w:val="auto"/>
        </w:rPr>
        <w:t>.</w:t>
      </w:r>
    </w:p>
    <w:p w:rsidR="004D5DDE" w:rsidP="008D148D" w:rsidRDefault="004D5DDE" w14:paraId="018DF3BE" w14:textId="77777777">
      <w:pPr>
        <w:pStyle w:val="Default"/>
        <w:rPr>
          <w:rFonts w:ascii="Palatino Linotype" w:hAnsi="Palatino Linotype"/>
          <w:color w:val="auto"/>
        </w:rPr>
      </w:pPr>
    </w:p>
    <w:p w:rsidRPr="00A7035F" w:rsidR="008D148D" w:rsidP="001C453E" w:rsidRDefault="003B3193" w14:paraId="2473B4C7" w14:textId="21FCA10A">
      <w:pPr>
        <w:pStyle w:val="Default"/>
        <w:spacing w:after="120"/>
        <w:jc w:val="center"/>
        <w:rPr>
          <w:rStyle w:val="BookTitle"/>
          <w:rFonts w:ascii="Palatino Linotype" w:hAnsi="Palatino Linotype"/>
          <w:i w:val="0"/>
        </w:rPr>
      </w:pPr>
      <w:r w:rsidRPr="00A7035F">
        <w:rPr>
          <w:rStyle w:val="BookTitle"/>
          <w:rFonts w:ascii="Palatino Linotype" w:hAnsi="Palatino Linotype"/>
          <w:i w:val="0"/>
        </w:rPr>
        <w:t xml:space="preserve">Table </w:t>
      </w:r>
      <w:r w:rsidR="00ED0485">
        <w:rPr>
          <w:rStyle w:val="BookTitle"/>
          <w:rFonts w:ascii="Palatino Linotype" w:hAnsi="Palatino Linotype"/>
          <w:i w:val="0"/>
        </w:rPr>
        <w:t>4</w:t>
      </w:r>
      <w:r w:rsidR="00AC62A6">
        <w:rPr>
          <w:rStyle w:val="BookTitle"/>
          <w:rFonts w:ascii="Palatino Linotype" w:hAnsi="Palatino Linotype"/>
          <w:i w:val="0"/>
        </w:rPr>
        <w:t>:</w:t>
      </w:r>
      <w:r w:rsidRPr="00A7035F">
        <w:rPr>
          <w:rStyle w:val="BookTitle"/>
          <w:rFonts w:ascii="Palatino Linotype" w:hAnsi="Palatino Linotype"/>
          <w:i w:val="0"/>
        </w:rPr>
        <w:t xml:space="preserve"> </w:t>
      </w:r>
      <w:r w:rsidR="00131245">
        <w:rPr>
          <w:rStyle w:val="BookTitle"/>
          <w:rFonts w:ascii="Palatino Linotype" w:hAnsi="Palatino Linotype"/>
          <w:i w:val="0"/>
        </w:rPr>
        <w:t xml:space="preserve"> </w:t>
      </w:r>
      <w:r w:rsidRPr="00A7035F">
        <w:rPr>
          <w:rStyle w:val="BookTitle"/>
          <w:rFonts w:ascii="Palatino Linotype" w:hAnsi="Palatino Linotype"/>
          <w:i w:val="0"/>
        </w:rPr>
        <w:t>Minimum Performance Criteria</w:t>
      </w:r>
    </w:p>
    <w:tbl>
      <w:tblPr>
        <w:tblStyle w:val="TableGrid"/>
        <w:tblW w:w="0" w:type="auto"/>
        <w:tblInd w:w="0" w:type="dxa"/>
        <w:tblLook w:val="04A0" w:firstRow="1" w:lastRow="0" w:firstColumn="1" w:lastColumn="0" w:noHBand="0" w:noVBand="1"/>
      </w:tblPr>
      <w:tblGrid>
        <w:gridCol w:w="2065"/>
        <w:gridCol w:w="4770"/>
        <w:gridCol w:w="2515"/>
      </w:tblGrid>
      <w:tr w:rsidRPr="00352E7F" w:rsidR="008E0423" w:rsidTr="0073288D" w14:paraId="6ACC9E17" w14:textId="77777777">
        <w:tc>
          <w:tcPr>
            <w:tcW w:w="2065" w:type="dxa"/>
            <w:shd w:val="clear" w:color="auto" w:fill="E7E6E6" w:themeFill="background2"/>
          </w:tcPr>
          <w:p w:rsidRPr="00352E7F" w:rsidR="00774D2A" w:rsidP="00F7696B" w:rsidRDefault="00774D2A" w14:paraId="7795F58E" w14:textId="77777777">
            <w:pPr>
              <w:rPr>
                <w:rFonts w:ascii="Palatino Linotype" w:hAnsi="Palatino Linotype"/>
                <w:b/>
                <w:bCs/>
                <w:color w:val="000000" w:themeColor="text1"/>
                <w:szCs w:val="24"/>
              </w:rPr>
            </w:pPr>
          </w:p>
        </w:tc>
        <w:tc>
          <w:tcPr>
            <w:tcW w:w="4770" w:type="dxa"/>
            <w:shd w:val="clear" w:color="auto" w:fill="E7E6E6" w:themeFill="background2"/>
          </w:tcPr>
          <w:p w:rsidRPr="00352E7F" w:rsidR="00774D2A" w:rsidP="00663BA7" w:rsidRDefault="00B373B0" w14:paraId="4EFA42CB" w14:textId="44C1F87D">
            <w:pPr>
              <w:jc w:val="center"/>
              <w:rPr>
                <w:rFonts w:ascii="Palatino Linotype" w:hAnsi="Palatino Linotype"/>
                <w:b/>
                <w:bCs/>
                <w:color w:val="000000" w:themeColor="text1"/>
                <w:szCs w:val="24"/>
              </w:rPr>
            </w:pPr>
            <w:r w:rsidRPr="00352E7F">
              <w:rPr>
                <w:rFonts w:ascii="Palatino Linotype" w:hAnsi="Palatino Linotype"/>
                <w:b/>
                <w:bCs/>
                <w:color w:val="000000" w:themeColor="text1"/>
                <w:szCs w:val="24"/>
              </w:rPr>
              <w:t>CASF Performance Criteria</w:t>
            </w:r>
          </w:p>
        </w:tc>
        <w:tc>
          <w:tcPr>
            <w:tcW w:w="2515" w:type="dxa"/>
            <w:shd w:val="clear" w:color="auto" w:fill="E7E6E6" w:themeFill="background2"/>
          </w:tcPr>
          <w:p w:rsidRPr="00352E7F" w:rsidR="00774D2A" w:rsidP="00663BA7" w:rsidRDefault="00B373B0" w14:paraId="71E14979" w14:textId="471B0568">
            <w:pPr>
              <w:jc w:val="center"/>
              <w:rPr>
                <w:rFonts w:ascii="Palatino Linotype" w:hAnsi="Palatino Linotype"/>
                <w:b/>
                <w:bCs/>
                <w:color w:val="000000" w:themeColor="text1"/>
                <w:szCs w:val="24"/>
              </w:rPr>
            </w:pPr>
            <w:r w:rsidRPr="00352E7F">
              <w:rPr>
                <w:rFonts w:ascii="Palatino Linotype" w:hAnsi="Palatino Linotype"/>
                <w:b/>
                <w:bCs/>
                <w:color w:val="000000" w:themeColor="text1"/>
                <w:szCs w:val="24"/>
              </w:rPr>
              <w:t>Proposed Project</w:t>
            </w:r>
          </w:p>
        </w:tc>
      </w:tr>
      <w:tr w:rsidRPr="00352E7F" w:rsidR="008E0423" w:rsidTr="0073288D" w14:paraId="4D2384D1" w14:textId="2248207A">
        <w:tc>
          <w:tcPr>
            <w:tcW w:w="2065" w:type="dxa"/>
            <w:vAlign w:val="center"/>
          </w:tcPr>
          <w:p w:rsidRPr="00CE467B" w:rsidR="00774D2A" w:rsidP="008E0423" w:rsidRDefault="00B373B0" w14:paraId="46D9D15D" w14:textId="777998EE">
            <w:pPr>
              <w:rPr>
                <w:rFonts w:ascii="Palatino Linotype" w:hAnsi="Palatino Linotype"/>
                <w:b/>
                <w:bCs/>
                <w:color w:val="000000" w:themeColor="text1"/>
                <w:szCs w:val="24"/>
              </w:rPr>
            </w:pPr>
            <w:r w:rsidRPr="00CE467B">
              <w:rPr>
                <w:rFonts w:ascii="Palatino Linotype" w:hAnsi="Palatino Linotype"/>
                <w:b/>
                <w:bCs/>
                <w:color w:val="000000" w:themeColor="text1"/>
                <w:szCs w:val="24"/>
              </w:rPr>
              <w:t>Project Completion</w:t>
            </w:r>
          </w:p>
        </w:tc>
        <w:tc>
          <w:tcPr>
            <w:tcW w:w="4770" w:type="dxa"/>
            <w:vAlign w:val="center"/>
          </w:tcPr>
          <w:p w:rsidRPr="00CE467B" w:rsidR="00774D2A" w:rsidP="00663BA7" w:rsidRDefault="00B373B0" w14:paraId="2D41C41D" w14:textId="4C434EF1">
            <w:pPr>
              <w:jc w:val="center"/>
              <w:rPr>
                <w:rFonts w:ascii="Palatino Linotype" w:hAnsi="Palatino Linotype"/>
                <w:color w:val="000000" w:themeColor="text1"/>
                <w:szCs w:val="24"/>
              </w:rPr>
            </w:pPr>
            <w:r w:rsidRPr="00CE467B">
              <w:rPr>
                <w:rFonts w:ascii="Palatino Linotype" w:hAnsi="Palatino Linotype"/>
                <w:color w:val="000000" w:themeColor="text1"/>
                <w:szCs w:val="24"/>
              </w:rPr>
              <w:t>CEQA-exempt projects must be completed within 12 months, and all other projects shall be completed within 24 months after receiving authorization to construct</w:t>
            </w:r>
          </w:p>
        </w:tc>
        <w:tc>
          <w:tcPr>
            <w:tcW w:w="2515" w:type="dxa"/>
            <w:vAlign w:val="center"/>
          </w:tcPr>
          <w:p w:rsidRPr="00CE467B" w:rsidR="008F69A6" w:rsidP="00663BA7" w:rsidRDefault="0054094B" w14:paraId="13AD85CA" w14:textId="19A53934">
            <w:pPr>
              <w:jc w:val="center"/>
              <w:rPr>
                <w:rFonts w:ascii="Palatino Linotype" w:hAnsi="Palatino Linotype"/>
                <w:color w:val="000000" w:themeColor="text1"/>
                <w:szCs w:val="24"/>
              </w:rPr>
            </w:pPr>
            <w:r>
              <w:rPr>
                <w:rFonts w:ascii="Palatino Linotype" w:hAnsi="Palatino Linotype"/>
                <w:color w:val="000000" w:themeColor="text1"/>
                <w:szCs w:val="24"/>
              </w:rPr>
              <w:t>12</w:t>
            </w:r>
            <w:r w:rsidRPr="00CE467B" w:rsidR="00B373B0">
              <w:rPr>
                <w:rFonts w:ascii="Palatino Linotype" w:hAnsi="Palatino Linotype"/>
                <w:color w:val="000000" w:themeColor="text1"/>
                <w:szCs w:val="24"/>
              </w:rPr>
              <w:t xml:space="preserve"> months</w:t>
            </w:r>
            <w:r w:rsidRPr="00CE467B" w:rsidR="008F69A6">
              <w:rPr>
                <w:rFonts w:ascii="Palatino Linotype" w:hAnsi="Palatino Linotype"/>
                <w:color w:val="000000" w:themeColor="text1"/>
                <w:szCs w:val="24"/>
              </w:rPr>
              <w:t xml:space="preserve"> </w:t>
            </w:r>
          </w:p>
          <w:p w:rsidRPr="00CE467B" w:rsidR="00774D2A" w:rsidP="00663BA7" w:rsidRDefault="0054094B" w14:paraId="4F0D5285" w14:textId="30CCFFD9">
            <w:pPr>
              <w:jc w:val="center"/>
              <w:rPr>
                <w:rFonts w:ascii="Palatino Linotype" w:hAnsi="Palatino Linotype"/>
                <w:color w:val="000000" w:themeColor="text1"/>
                <w:szCs w:val="24"/>
              </w:rPr>
            </w:pPr>
            <w:r>
              <w:rPr>
                <w:rFonts w:ascii="Palatino Linotype" w:hAnsi="Palatino Linotype"/>
                <w:color w:val="000000" w:themeColor="text1"/>
                <w:szCs w:val="24"/>
              </w:rPr>
              <w:t>(CEQA Exempt)</w:t>
            </w:r>
          </w:p>
        </w:tc>
      </w:tr>
      <w:tr w:rsidRPr="00352E7F" w:rsidR="008E0423" w:rsidTr="0073288D" w14:paraId="6756F9AC" w14:textId="77777777">
        <w:tc>
          <w:tcPr>
            <w:tcW w:w="2065" w:type="dxa"/>
            <w:vAlign w:val="center"/>
          </w:tcPr>
          <w:p w:rsidRPr="00CE467B" w:rsidR="00774D2A" w:rsidP="008E0423" w:rsidRDefault="00B373B0" w14:paraId="66AB3139" w14:textId="040A059C">
            <w:pPr>
              <w:rPr>
                <w:rFonts w:ascii="Palatino Linotype" w:hAnsi="Palatino Linotype"/>
                <w:b/>
                <w:bCs/>
                <w:color w:val="000000" w:themeColor="text1"/>
                <w:szCs w:val="24"/>
              </w:rPr>
            </w:pPr>
            <w:r w:rsidRPr="00CE467B">
              <w:rPr>
                <w:rFonts w:ascii="Palatino Linotype" w:hAnsi="Palatino Linotype"/>
                <w:b/>
                <w:bCs/>
                <w:color w:val="000000" w:themeColor="text1"/>
                <w:szCs w:val="24"/>
              </w:rPr>
              <w:t>Pricing</w:t>
            </w:r>
          </w:p>
        </w:tc>
        <w:tc>
          <w:tcPr>
            <w:tcW w:w="4770" w:type="dxa"/>
            <w:vAlign w:val="center"/>
          </w:tcPr>
          <w:p w:rsidRPr="00CE467B" w:rsidR="008E0423" w:rsidP="00663BA7" w:rsidRDefault="00663BA7" w14:paraId="3F587258" w14:textId="77777777">
            <w:pPr>
              <w:jc w:val="center"/>
              <w:rPr>
                <w:rFonts w:ascii="Palatino Linotype" w:hAnsi="Palatino Linotype"/>
                <w:color w:val="000000" w:themeColor="text1"/>
                <w:szCs w:val="24"/>
              </w:rPr>
            </w:pPr>
            <w:r w:rsidRPr="00CE467B">
              <w:rPr>
                <w:rFonts w:ascii="Palatino Linotype" w:hAnsi="Palatino Linotype"/>
                <w:color w:val="000000" w:themeColor="text1"/>
                <w:szCs w:val="24"/>
              </w:rPr>
              <w:t>Prices committed for two years</w:t>
            </w:r>
          </w:p>
          <w:p w:rsidRPr="00CE467B" w:rsidR="00774D2A" w:rsidP="00663BA7" w:rsidRDefault="00663BA7" w14:paraId="508C35BE" w14:textId="6A905D4E">
            <w:pPr>
              <w:jc w:val="center"/>
              <w:rPr>
                <w:rFonts w:ascii="Palatino Linotype" w:hAnsi="Palatino Linotype"/>
                <w:color w:val="000000" w:themeColor="text1"/>
                <w:szCs w:val="24"/>
              </w:rPr>
            </w:pPr>
            <w:r w:rsidRPr="00CE467B">
              <w:rPr>
                <w:rFonts w:ascii="Palatino Linotype" w:hAnsi="Palatino Linotype"/>
                <w:color w:val="000000" w:themeColor="text1"/>
                <w:szCs w:val="24"/>
              </w:rPr>
              <w:t xml:space="preserve"> after completion of the project</w:t>
            </w:r>
          </w:p>
        </w:tc>
        <w:tc>
          <w:tcPr>
            <w:tcW w:w="2515" w:type="dxa"/>
            <w:vAlign w:val="center"/>
          </w:tcPr>
          <w:p w:rsidRPr="00CE467B" w:rsidR="00774D2A" w:rsidP="00663BA7" w:rsidRDefault="00663BA7" w14:paraId="2DF6924A" w14:textId="6624C562">
            <w:pPr>
              <w:jc w:val="center"/>
              <w:rPr>
                <w:rFonts w:ascii="Palatino Linotype" w:hAnsi="Palatino Linotype"/>
                <w:color w:val="000000" w:themeColor="text1"/>
                <w:szCs w:val="24"/>
              </w:rPr>
            </w:pPr>
            <w:r w:rsidRPr="00CE467B">
              <w:rPr>
                <w:rFonts w:ascii="Palatino Linotype" w:hAnsi="Palatino Linotype"/>
                <w:color w:val="000000" w:themeColor="text1"/>
                <w:szCs w:val="24"/>
              </w:rPr>
              <w:t>2-year</w:t>
            </w:r>
          </w:p>
        </w:tc>
      </w:tr>
      <w:tr w:rsidRPr="00352E7F" w:rsidR="008E0423" w:rsidTr="0073288D" w14:paraId="2C0BA792" w14:textId="77777777">
        <w:tc>
          <w:tcPr>
            <w:tcW w:w="2065" w:type="dxa"/>
            <w:vAlign w:val="center"/>
          </w:tcPr>
          <w:p w:rsidRPr="00CE467B" w:rsidR="00774D2A" w:rsidP="008E0423" w:rsidRDefault="00663BA7" w14:paraId="0EB51EB1" w14:textId="5EF4A5FA">
            <w:pPr>
              <w:rPr>
                <w:rFonts w:ascii="Palatino Linotype" w:hAnsi="Palatino Linotype"/>
                <w:b/>
                <w:bCs/>
                <w:color w:val="000000" w:themeColor="text1"/>
                <w:szCs w:val="24"/>
              </w:rPr>
            </w:pPr>
            <w:r w:rsidRPr="00CE467B">
              <w:rPr>
                <w:rFonts w:ascii="Palatino Linotype" w:hAnsi="Palatino Linotype"/>
                <w:b/>
                <w:bCs/>
                <w:color w:val="000000" w:themeColor="text1"/>
                <w:szCs w:val="24"/>
              </w:rPr>
              <w:t>Speed</w:t>
            </w:r>
          </w:p>
        </w:tc>
        <w:tc>
          <w:tcPr>
            <w:tcW w:w="4770" w:type="dxa"/>
            <w:vAlign w:val="center"/>
          </w:tcPr>
          <w:p w:rsidRPr="00CE467B" w:rsidR="00774D2A" w:rsidP="00663BA7" w:rsidRDefault="00663BA7" w14:paraId="556732A8" w14:textId="45C28407">
            <w:pPr>
              <w:jc w:val="center"/>
              <w:rPr>
                <w:rFonts w:ascii="Palatino Linotype" w:hAnsi="Palatino Linotype"/>
                <w:color w:val="000000" w:themeColor="text1"/>
                <w:szCs w:val="24"/>
              </w:rPr>
            </w:pPr>
            <w:r w:rsidRPr="00CE467B">
              <w:rPr>
                <w:rFonts w:ascii="Palatino Linotype" w:hAnsi="Palatino Linotype"/>
                <w:color w:val="000000" w:themeColor="text1"/>
                <w:szCs w:val="24"/>
              </w:rPr>
              <w:t>At least 10/1 Mbps</w:t>
            </w:r>
          </w:p>
        </w:tc>
        <w:tc>
          <w:tcPr>
            <w:tcW w:w="2515" w:type="dxa"/>
            <w:vAlign w:val="center"/>
          </w:tcPr>
          <w:p w:rsidRPr="00CE467B" w:rsidR="00774D2A" w:rsidP="00663BA7" w:rsidRDefault="002F4300" w14:paraId="730F465F" w14:textId="38CF8569">
            <w:pPr>
              <w:jc w:val="center"/>
              <w:rPr>
                <w:rFonts w:ascii="Palatino Linotype" w:hAnsi="Palatino Linotype"/>
                <w:color w:val="000000" w:themeColor="text1"/>
                <w:szCs w:val="24"/>
              </w:rPr>
            </w:pPr>
            <w:r>
              <w:rPr>
                <w:rFonts w:ascii="Palatino Linotype" w:hAnsi="Palatino Linotype"/>
                <w:color w:val="000000" w:themeColor="text1"/>
                <w:szCs w:val="24"/>
              </w:rPr>
              <w:t>5</w:t>
            </w:r>
            <w:r w:rsidRPr="00CE467B" w:rsidR="00663BA7">
              <w:rPr>
                <w:rFonts w:ascii="Palatino Linotype" w:hAnsi="Palatino Linotype"/>
                <w:color w:val="000000" w:themeColor="text1"/>
                <w:szCs w:val="24"/>
              </w:rPr>
              <w:t>0</w:t>
            </w:r>
            <w:r w:rsidR="0092530C">
              <w:rPr>
                <w:rFonts w:ascii="Palatino Linotype" w:hAnsi="Palatino Linotype"/>
                <w:color w:val="000000" w:themeColor="text1"/>
                <w:szCs w:val="24"/>
              </w:rPr>
              <w:t xml:space="preserve"> </w:t>
            </w:r>
            <w:r w:rsidRPr="00CE467B" w:rsidR="00663BA7">
              <w:rPr>
                <w:rFonts w:ascii="Palatino Linotype" w:hAnsi="Palatino Linotype"/>
                <w:color w:val="000000" w:themeColor="text1"/>
                <w:szCs w:val="24"/>
              </w:rPr>
              <w:t>/</w:t>
            </w:r>
            <w:r w:rsidR="0092530C">
              <w:rPr>
                <w:rFonts w:ascii="Palatino Linotype" w:hAnsi="Palatino Linotype"/>
                <w:color w:val="000000" w:themeColor="text1"/>
                <w:szCs w:val="24"/>
              </w:rPr>
              <w:t xml:space="preserve"> </w:t>
            </w:r>
            <w:r>
              <w:rPr>
                <w:rFonts w:ascii="Palatino Linotype" w:hAnsi="Palatino Linotype"/>
                <w:color w:val="000000" w:themeColor="text1"/>
                <w:szCs w:val="24"/>
              </w:rPr>
              <w:t>50</w:t>
            </w:r>
            <w:r w:rsidRPr="00CE467B" w:rsidR="00663BA7">
              <w:rPr>
                <w:rFonts w:ascii="Palatino Linotype" w:hAnsi="Palatino Linotype"/>
                <w:color w:val="000000" w:themeColor="text1"/>
                <w:szCs w:val="24"/>
              </w:rPr>
              <w:t xml:space="preserve"> Mbps</w:t>
            </w:r>
          </w:p>
        </w:tc>
      </w:tr>
      <w:tr w:rsidRPr="00352E7F" w:rsidR="008E0423" w:rsidTr="0073288D" w14:paraId="0ED349CF" w14:textId="77777777">
        <w:tc>
          <w:tcPr>
            <w:tcW w:w="2065" w:type="dxa"/>
            <w:vAlign w:val="center"/>
          </w:tcPr>
          <w:p w:rsidRPr="00CE467B" w:rsidR="00774D2A" w:rsidP="008E0423" w:rsidRDefault="00663BA7" w14:paraId="562845A8" w14:textId="61C01216">
            <w:pPr>
              <w:rPr>
                <w:rFonts w:ascii="Palatino Linotype" w:hAnsi="Palatino Linotype"/>
                <w:b/>
                <w:bCs/>
                <w:color w:val="000000" w:themeColor="text1"/>
                <w:szCs w:val="24"/>
              </w:rPr>
            </w:pPr>
            <w:r w:rsidRPr="00CE467B">
              <w:rPr>
                <w:rFonts w:ascii="Palatino Linotype" w:hAnsi="Palatino Linotype"/>
                <w:b/>
                <w:bCs/>
                <w:color w:val="000000" w:themeColor="text1"/>
                <w:szCs w:val="24"/>
              </w:rPr>
              <w:t>Latency</w:t>
            </w:r>
          </w:p>
        </w:tc>
        <w:tc>
          <w:tcPr>
            <w:tcW w:w="4770" w:type="dxa"/>
            <w:vAlign w:val="center"/>
          </w:tcPr>
          <w:p w:rsidRPr="00CE467B" w:rsidR="00774D2A" w:rsidP="00663BA7" w:rsidRDefault="00663BA7" w14:paraId="62053205" w14:textId="45AF26A1">
            <w:pPr>
              <w:jc w:val="center"/>
              <w:rPr>
                <w:rFonts w:ascii="Palatino Linotype" w:hAnsi="Palatino Linotype"/>
                <w:color w:val="000000" w:themeColor="text1"/>
                <w:szCs w:val="24"/>
              </w:rPr>
            </w:pPr>
            <w:r w:rsidRPr="00CE467B">
              <w:rPr>
                <w:rFonts w:ascii="Palatino Linotype" w:hAnsi="Palatino Linotype"/>
                <w:color w:val="000000" w:themeColor="text1"/>
                <w:szCs w:val="24"/>
              </w:rPr>
              <w:t xml:space="preserve">Maximum of 100 </w:t>
            </w:r>
            <w:proofErr w:type="spellStart"/>
            <w:r w:rsidRPr="00CE467B">
              <w:rPr>
                <w:rFonts w:ascii="Palatino Linotype" w:hAnsi="Palatino Linotype"/>
                <w:color w:val="000000" w:themeColor="text1"/>
                <w:szCs w:val="24"/>
              </w:rPr>
              <w:t>ms</w:t>
            </w:r>
            <w:proofErr w:type="spellEnd"/>
            <w:r w:rsidRPr="00CE467B">
              <w:rPr>
                <w:rFonts w:ascii="Palatino Linotype" w:hAnsi="Palatino Linotype"/>
                <w:color w:val="000000" w:themeColor="text1"/>
                <w:szCs w:val="24"/>
              </w:rPr>
              <w:t xml:space="preserve"> of latency</w:t>
            </w:r>
          </w:p>
        </w:tc>
        <w:tc>
          <w:tcPr>
            <w:tcW w:w="2515" w:type="dxa"/>
            <w:vAlign w:val="center"/>
          </w:tcPr>
          <w:p w:rsidRPr="00CE467B" w:rsidR="00774D2A" w:rsidP="00663BA7" w:rsidRDefault="0092530C" w14:paraId="7C5CCA8C" w14:textId="266E9B3F">
            <w:pPr>
              <w:jc w:val="center"/>
              <w:rPr>
                <w:rFonts w:ascii="Palatino Linotype" w:hAnsi="Palatino Linotype"/>
                <w:color w:val="000000" w:themeColor="text1"/>
                <w:szCs w:val="24"/>
              </w:rPr>
            </w:pPr>
            <w:r>
              <w:rPr>
                <w:rFonts w:ascii="Palatino Linotype" w:hAnsi="Palatino Linotype"/>
                <w:color w:val="000000" w:themeColor="text1"/>
                <w:szCs w:val="24"/>
              </w:rPr>
              <w:t>25</w:t>
            </w:r>
            <w:r w:rsidRPr="00CE467B" w:rsidR="00663BA7">
              <w:rPr>
                <w:rFonts w:ascii="Palatino Linotype" w:hAnsi="Palatino Linotype"/>
                <w:color w:val="000000" w:themeColor="text1"/>
                <w:szCs w:val="24"/>
              </w:rPr>
              <w:t xml:space="preserve"> </w:t>
            </w:r>
            <w:proofErr w:type="spellStart"/>
            <w:r w:rsidRPr="00CE467B" w:rsidR="00663BA7">
              <w:rPr>
                <w:rFonts w:ascii="Palatino Linotype" w:hAnsi="Palatino Linotype"/>
                <w:color w:val="000000" w:themeColor="text1"/>
                <w:szCs w:val="24"/>
              </w:rPr>
              <w:t>ms</w:t>
            </w:r>
            <w:proofErr w:type="spellEnd"/>
          </w:p>
        </w:tc>
      </w:tr>
      <w:tr w:rsidRPr="00352E7F" w:rsidR="008E0423" w:rsidTr="0073288D" w14:paraId="4E752355" w14:textId="77777777">
        <w:tc>
          <w:tcPr>
            <w:tcW w:w="2065" w:type="dxa"/>
            <w:vAlign w:val="center"/>
          </w:tcPr>
          <w:p w:rsidRPr="00CE467B" w:rsidR="00774D2A" w:rsidP="008E0423" w:rsidRDefault="00663BA7" w14:paraId="5AC341DF" w14:textId="18A70E4B">
            <w:pPr>
              <w:rPr>
                <w:rFonts w:ascii="Palatino Linotype" w:hAnsi="Palatino Linotype"/>
                <w:b/>
                <w:bCs/>
                <w:color w:val="000000" w:themeColor="text1"/>
                <w:szCs w:val="24"/>
              </w:rPr>
            </w:pPr>
            <w:r w:rsidRPr="00CE467B">
              <w:rPr>
                <w:rFonts w:ascii="Palatino Linotype" w:hAnsi="Palatino Linotype"/>
                <w:b/>
                <w:bCs/>
                <w:color w:val="000000" w:themeColor="text1"/>
                <w:szCs w:val="24"/>
              </w:rPr>
              <w:t>Data Caps</w:t>
            </w:r>
          </w:p>
        </w:tc>
        <w:tc>
          <w:tcPr>
            <w:tcW w:w="4770" w:type="dxa"/>
            <w:vAlign w:val="center"/>
          </w:tcPr>
          <w:p w:rsidRPr="00CE467B" w:rsidR="00774D2A" w:rsidP="00663BA7" w:rsidRDefault="00663BA7" w14:paraId="0FC2E048" w14:textId="5D91C4F8">
            <w:pPr>
              <w:jc w:val="center"/>
              <w:rPr>
                <w:rFonts w:ascii="Palatino Linotype" w:hAnsi="Palatino Linotype"/>
                <w:color w:val="000000" w:themeColor="text1"/>
                <w:szCs w:val="24"/>
              </w:rPr>
            </w:pPr>
            <w:r w:rsidRPr="00CE467B">
              <w:rPr>
                <w:rFonts w:ascii="Palatino Linotype" w:hAnsi="Palatino Linotype"/>
                <w:color w:val="000000" w:themeColor="text1"/>
                <w:szCs w:val="24"/>
              </w:rPr>
              <w:t>Minimum of 190 GBs per month</w:t>
            </w:r>
          </w:p>
        </w:tc>
        <w:tc>
          <w:tcPr>
            <w:tcW w:w="2515" w:type="dxa"/>
            <w:vAlign w:val="center"/>
          </w:tcPr>
          <w:p w:rsidRPr="00CE467B" w:rsidR="00774D2A" w:rsidP="00663BA7" w:rsidRDefault="00663BA7" w14:paraId="4222DC95" w14:textId="16678D5E">
            <w:pPr>
              <w:jc w:val="center"/>
              <w:rPr>
                <w:rFonts w:ascii="Palatino Linotype" w:hAnsi="Palatino Linotype"/>
                <w:color w:val="000000" w:themeColor="text1"/>
                <w:szCs w:val="24"/>
              </w:rPr>
            </w:pPr>
            <w:r w:rsidRPr="00CE467B">
              <w:rPr>
                <w:rFonts w:ascii="Palatino Linotype" w:hAnsi="Palatino Linotype"/>
                <w:color w:val="000000" w:themeColor="text1"/>
                <w:szCs w:val="24"/>
              </w:rPr>
              <w:t>No data cap</w:t>
            </w:r>
          </w:p>
        </w:tc>
      </w:tr>
      <w:tr w:rsidRPr="00352E7F" w:rsidR="008E0423" w:rsidTr="0073288D" w14:paraId="02F0331D" w14:textId="77777777">
        <w:tc>
          <w:tcPr>
            <w:tcW w:w="2065" w:type="dxa"/>
            <w:vAlign w:val="center"/>
          </w:tcPr>
          <w:p w:rsidRPr="00CE467B" w:rsidR="00774D2A" w:rsidP="008E0423" w:rsidRDefault="00663BA7" w14:paraId="7ED96099" w14:textId="3B25409F">
            <w:pPr>
              <w:rPr>
                <w:rFonts w:ascii="Palatino Linotype" w:hAnsi="Palatino Linotype"/>
                <w:b/>
                <w:bCs/>
                <w:color w:val="000000" w:themeColor="text1"/>
                <w:szCs w:val="24"/>
              </w:rPr>
            </w:pPr>
            <w:r w:rsidRPr="00CE467B">
              <w:rPr>
                <w:rFonts w:ascii="Palatino Linotype" w:hAnsi="Palatino Linotype"/>
                <w:b/>
                <w:bCs/>
                <w:color w:val="000000" w:themeColor="text1"/>
                <w:szCs w:val="24"/>
              </w:rPr>
              <w:t>Affordability</w:t>
            </w:r>
          </w:p>
        </w:tc>
        <w:tc>
          <w:tcPr>
            <w:tcW w:w="4770" w:type="dxa"/>
            <w:vAlign w:val="center"/>
          </w:tcPr>
          <w:p w:rsidRPr="00CE467B" w:rsidR="00774D2A" w:rsidP="00663BA7" w:rsidRDefault="00663BA7" w14:paraId="745BBCEC" w14:textId="4D0D5E37">
            <w:pPr>
              <w:jc w:val="center"/>
              <w:rPr>
                <w:rFonts w:ascii="Palatino Linotype" w:hAnsi="Palatino Linotype"/>
                <w:color w:val="000000" w:themeColor="text1"/>
                <w:szCs w:val="24"/>
              </w:rPr>
            </w:pPr>
            <w:r w:rsidRPr="00CE467B">
              <w:rPr>
                <w:rFonts w:ascii="Palatino Linotype" w:hAnsi="Palatino Linotype"/>
                <w:color w:val="000000" w:themeColor="text1"/>
                <w:szCs w:val="24"/>
              </w:rPr>
              <w:t>Must offer low-income plan</w:t>
            </w:r>
          </w:p>
        </w:tc>
        <w:tc>
          <w:tcPr>
            <w:tcW w:w="2515" w:type="dxa"/>
            <w:vAlign w:val="center"/>
          </w:tcPr>
          <w:p w:rsidRPr="00CE467B" w:rsidR="00774D2A" w:rsidP="00663BA7" w:rsidRDefault="00663BA7" w14:paraId="7E6BA6F0" w14:textId="570D12D1">
            <w:pPr>
              <w:jc w:val="center"/>
              <w:rPr>
                <w:rFonts w:ascii="Palatino Linotype" w:hAnsi="Palatino Linotype"/>
                <w:color w:val="000000" w:themeColor="text1"/>
                <w:szCs w:val="24"/>
              </w:rPr>
            </w:pPr>
            <w:r w:rsidRPr="00CE467B">
              <w:rPr>
                <w:rFonts w:ascii="Palatino Linotype" w:hAnsi="Palatino Linotype"/>
                <w:color w:val="000000" w:themeColor="text1"/>
                <w:szCs w:val="24"/>
              </w:rPr>
              <w:t>Yes – Frontier Affordable Broadband Plan</w:t>
            </w:r>
          </w:p>
        </w:tc>
      </w:tr>
    </w:tbl>
    <w:p w:rsidR="00026322" w:rsidP="00B373B0" w:rsidRDefault="00026322" w14:paraId="58CFA858" w14:textId="3DCC8003">
      <w:pPr>
        <w:rPr>
          <w:rFonts w:ascii="Palatino Linotype" w:hAnsi="Palatino Linotype"/>
          <w:szCs w:val="24"/>
        </w:rPr>
      </w:pPr>
    </w:p>
    <w:p w:rsidR="0009408C" w:rsidP="00FB2A1E" w:rsidRDefault="00411E65" w14:paraId="2D176EEB" w14:textId="29AC6B10">
      <w:pPr>
        <w:rPr>
          <w:rFonts w:ascii="Palatino Linotype" w:hAnsi="Palatino Linotype" w:cs="Palatino Linotype"/>
        </w:rPr>
      </w:pPr>
      <w:r w:rsidRPr="48D6FFE1">
        <w:rPr>
          <w:rFonts w:ascii="Palatino Linotype" w:hAnsi="Palatino Linotype" w:cs="Palatino Linotype"/>
          <w:b/>
          <w:bCs/>
        </w:rPr>
        <w:t xml:space="preserve">Frontier’s </w:t>
      </w:r>
      <w:r w:rsidRPr="48D6FFE1" w:rsidR="00E43053">
        <w:rPr>
          <w:rFonts w:ascii="Palatino Linotype" w:hAnsi="Palatino Linotype" w:cs="Palatino Linotype"/>
          <w:b/>
          <w:bCs/>
        </w:rPr>
        <w:t>Crescent City and Smith River Projects are categorically exempt from California Environmental Quality Act (CEQA) review.</w:t>
      </w:r>
      <w:r w:rsidRPr="48D6FFE1" w:rsidR="00E43053">
        <w:rPr>
          <w:rFonts w:ascii="Palatino Linotype" w:hAnsi="Palatino Linotype" w:cs="Palatino Linotype"/>
        </w:rPr>
        <w:t xml:space="preserve">  </w:t>
      </w:r>
      <w:r w:rsidRPr="48D6FFE1" w:rsidR="0066128E">
        <w:rPr>
          <w:rFonts w:ascii="Palatino Linotype" w:hAnsi="Palatino Linotype" w:cs="Palatino Linotype"/>
        </w:rPr>
        <w:t xml:space="preserve">Frontier has provided the </w:t>
      </w:r>
      <w:r w:rsidRPr="48D6FFE1" w:rsidR="009149A7">
        <w:rPr>
          <w:rFonts w:ascii="Palatino Linotype" w:hAnsi="Palatino Linotype" w:cs="Palatino Linotype"/>
        </w:rPr>
        <w:t>Commission with its plan to use</w:t>
      </w:r>
      <w:r w:rsidRPr="48D6FFE1" w:rsidR="001F2B84">
        <w:rPr>
          <w:rFonts w:ascii="Palatino Linotype" w:hAnsi="Palatino Linotype" w:cs="Palatino Linotype"/>
        </w:rPr>
        <w:t xml:space="preserve"> </w:t>
      </w:r>
      <w:r w:rsidRPr="48D6FFE1" w:rsidR="000E4D6A">
        <w:rPr>
          <w:rFonts w:ascii="Palatino Linotype" w:hAnsi="Palatino Linotype" w:cs="Palatino Linotype"/>
        </w:rPr>
        <w:t xml:space="preserve">joint-use utility poles and </w:t>
      </w:r>
      <w:r w:rsidRPr="48D6FFE1" w:rsidR="001F2B84">
        <w:rPr>
          <w:rFonts w:ascii="Palatino Linotype" w:hAnsi="Palatino Linotype" w:cs="Palatino Linotype"/>
        </w:rPr>
        <w:t xml:space="preserve">existing </w:t>
      </w:r>
      <w:r w:rsidRPr="48D6FFE1" w:rsidR="00A0335C">
        <w:rPr>
          <w:rFonts w:ascii="Palatino Linotype" w:hAnsi="Palatino Linotype" w:cs="Palatino Linotype"/>
        </w:rPr>
        <w:t>Frontier</w:t>
      </w:r>
      <w:r w:rsidRPr="48D6FFE1" w:rsidR="006E25B6">
        <w:rPr>
          <w:rFonts w:ascii="Palatino Linotype" w:hAnsi="Palatino Linotype" w:cs="Palatino Linotype"/>
        </w:rPr>
        <w:t>-</w:t>
      </w:r>
      <w:r w:rsidRPr="48D6FFE1" w:rsidR="00A0335C">
        <w:rPr>
          <w:rFonts w:ascii="Palatino Linotype" w:hAnsi="Palatino Linotype" w:cs="Palatino Linotype"/>
        </w:rPr>
        <w:t xml:space="preserve">owned </w:t>
      </w:r>
      <w:r w:rsidRPr="48D6FFE1" w:rsidR="001F2B84">
        <w:rPr>
          <w:rFonts w:ascii="Palatino Linotype" w:hAnsi="Palatino Linotype" w:cs="Palatino Linotype"/>
        </w:rPr>
        <w:t>underground conduit systems</w:t>
      </w:r>
      <w:r w:rsidRPr="48D6FFE1" w:rsidR="00FA59F5">
        <w:rPr>
          <w:rFonts w:ascii="Palatino Linotype" w:hAnsi="Palatino Linotype" w:cs="Palatino Linotype"/>
        </w:rPr>
        <w:t xml:space="preserve"> </w:t>
      </w:r>
      <w:r w:rsidRPr="48D6FFE1" w:rsidR="00FD231F">
        <w:rPr>
          <w:rFonts w:ascii="Palatino Linotype" w:hAnsi="Palatino Linotype" w:cs="Palatino Linotype"/>
        </w:rPr>
        <w:t xml:space="preserve">for the installation of </w:t>
      </w:r>
      <w:r w:rsidRPr="48D6FFE1" w:rsidR="00904A67">
        <w:rPr>
          <w:rFonts w:ascii="Palatino Linotype" w:hAnsi="Palatino Linotype" w:cs="Palatino Linotype"/>
        </w:rPr>
        <w:t xml:space="preserve">aerial and underground </w:t>
      </w:r>
      <w:r w:rsidRPr="48D6FFE1" w:rsidR="002F2034">
        <w:rPr>
          <w:rFonts w:ascii="Palatino Linotype" w:hAnsi="Palatino Linotype" w:cs="Palatino Linotype"/>
        </w:rPr>
        <w:t>fiber cable</w:t>
      </w:r>
      <w:r w:rsidRPr="48D6FFE1" w:rsidR="00B96F9D">
        <w:rPr>
          <w:rFonts w:ascii="Palatino Linotype" w:hAnsi="Palatino Linotype" w:cs="Palatino Linotype"/>
        </w:rPr>
        <w:t xml:space="preserve">.  </w:t>
      </w:r>
      <w:r w:rsidRPr="48D6FFE1" w:rsidR="008B6964">
        <w:rPr>
          <w:rFonts w:ascii="Palatino Linotype" w:hAnsi="Palatino Linotype" w:cs="Palatino Linotype"/>
        </w:rPr>
        <w:t>In locations w</w:t>
      </w:r>
      <w:r w:rsidRPr="48D6FFE1" w:rsidR="00607C12">
        <w:rPr>
          <w:rFonts w:ascii="Palatino Linotype" w:hAnsi="Palatino Linotype" w:cs="Palatino Linotype"/>
        </w:rPr>
        <w:t>here conduit or poles do not exist, n</w:t>
      </w:r>
      <w:r w:rsidRPr="48D6FFE1" w:rsidR="00954EC9">
        <w:rPr>
          <w:rFonts w:ascii="Palatino Linotype" w:hAnsi="Palatino Linotype" w:cs="Palatino Linotype"/>
        </w:rPr>
        <w:t>ew fiber facilities will be place</w:t>
      </w:r>
      <w:r w:rsidRPr="48D6FFE1" w:rsidR="00B13212">
        <w:rPr>
          <w:rFonts w:ascii="Palatino Linotype" w:hAnsi="Palatino Linotype" w:cs="Palatino Linotype"/>
        </w:rPr>
        <w:t>d</w:t>
      </w:r>
      <w:r w:rsidRPr="48D6FFE1" w:rsidR="00954EC9">
        <w:rPr>
          <w:rFonts w:ascii="Palatino Linotype" w:hAnsi="Palatino Linotype" w:cs="Palatino Linotype"/>
        </w:rPr>
        <w:t xml:space="preserve"> </w:t>
      </w:r>
      <w:r w:rsidRPr="48D6FFE1" w:rsidR="001F2B84">
        <w:rPr>
          <w:rFonts w:ascii="Palatino Linotype" w:hAnsi="Palatino Linotype" w:cs="Palatino Linotype"/>
        </w:rPr>
        <w:t xml:space="preserve">in existing </w:t>
      </w:r>
      <w:r w:rsidRPr="48D6FFE1" w:rsidR="00954EC9">
        <w:rPr>
          <w:rFonts w:ascii="Palatino Linotype" w:hAnsi="Palatino Linotype" w:cs="Palatino Linotype"/>
        </w:rPr>
        <w:t xml:space="preserve">utility easements and </w:t>
      </w:r>
      <w:r w:rsidRPr="48D6FFE1" w:rsidR="001F2B84">
        <w:rPr>
          <w:rFonts w:ascii="Palatino Linotype" w:hAnsi="Palatino Linotype" w:cs="Palatino Linotype"/>
        </w:rPr>
        <w:t>right</w:t>
      </w:r>
      <w:r w:rsidRPr="48D6FFE1" w:rsidR="008D78B4">
        <w:rPr>
          <w:rFonts w:ascii="Palatino Linotype" w:hAnsi="Palatino Linotype" w:cs="Palatino Linotype"/>
        </w:rPr>
        <w:t>s</w:t>
      </w:r>
      <w:r w:rsidRPr="48D6FFE1" w:rsidR="001F2B84">
        <w:rPr>
          <w:rFonts w:ascii="Palatino Linotype" w:hAnsi="Palatino Linotype" w:cs="Palatino Linotype"/>
        </w:rPr>
        <w:t>-o</w:t>
      </w:r>
      <w:r w:rsidRPr="48D6FFE1" w:rsidR="00AB1F48">
        <w:rPr>
          <w:rFonts w:ascii="Palatino Linotype" w:hAnsi="Palatino Linotype" w:cs="Palatino Linotype"/>
        </w:rPr>
        <w:t>f-way (ROW)</w:t>
      </w:r>
      <w:r w:rsidRPr="48D6FFE1" w:rsidR="009A5ABE">
        <w:rPr>
          <w:rFonts w:ascii="Palatino Linotype" w:hAnsi="Palatino Linotype" w:cs="Palatino Linotype"/>
        </w:rPr>
        <w:t xml:space="preserve"> </w:t>
      </w:r>
      <w:r w:rsidRPr="48D6FFE1" w:rsidR="008C755E">
        <w:rPr>
          <w:rFonts w:ascii="Palatino Linotype" w:hAnsi="Palatino Linotype" w:cs="Palatino Linotype"/>
        </w:rPr>
        <w:t xml:space="preserve">in </w:t>
      </w:r>
      <w:r w:rsidRPr="48D6FFE1" w:rsidR="0009408C">
        <w:rPr>
          <w:rFonts w:ascii="Palatino Linotype" w:hAnsi="Palatino Linotype" w:cs="Palatino Linotype"/>
        </w:rPr>
        <w:t xml:space="preserve">which </w:t>
      </w:r>
      <w:r w:rsidRPr="48D6FFE1" w:rsidR="007F768A">
        <w:rPr>
          <w:rFonts w:ascii="Palatino Linotype" w:hAnsi="Palatino Linotype" w:cs="Palatino Linotype"/>
        </w:rPr>
        <w:t>Frontier</w:t>
      </w:r>
      <w:r w:rsidRPr="48D6FFE1" w:rsidR="008C755E">
        <w:rPr>
          <w:rFonts w:ascii="Palatino Linotype" w:hAnsi="Palatino Linotype" w:cs="Palatino Linotype"/>
        </w:rPr>
        <w:t xml:space="preserve"> </w:t>
      </w:r>
      <w:r w:rsidRPr="48D6FFE1" w:rsidR="00D02F0F">
        <w:rPr>
          <w:rFonts w:ascii="Palatino Linotype" w:hAnsi="Palatino Linotype" w:cs="Palatino Linotype"/>
        </w:rPr>
        <w:t>has</w:t>
      </w:r>
      <w:r w:rsidRPr="48D6FFE1" w:rsidR="007F768A">
        <w:rPr>
          <w:rFonts w:ascii="Palatino Linotype" w:hAnsi="Palatino Linotype" w:cs="Palatino Linotype"/>
        </w:rPr>
        <w:t xml:space="preserve"> existing </w:t>
      </w:r>
      <w:r w:rsidRPr="48D6FFE1" w:rsidR="009A5ABE">
        <w:rPr>
          <w:rFonts w:ascii="Palatino Linotype" w:hAnsi="Palatino Linotype" w:cs="Palatino Linotype"/>
        </w:rPr>
        <w:t>copper facilities</w:t>
      </w:r>
      <w:r w:rsidRPr="48D6FFE1" w:rsidR="007922AF">
        <w:rPr>
          <w:rFonts w:ascii="Palatino Linotype" w:hAnsi="Palatino Linotype" w:cs="Palatino Linotype"/>
        </w:rPr>
        <w:t xml:space="preserve">.  </w:t>
      </w:r>
      <w:r w:rsidRPr="48D6FFE1" w:rsidR="008B1D15">
        <w:rPr>
          <w:rFonts w:ascii="Palatino Linotype" w:hAnsi="Palatino Linotype" w:cs="Palatino Linotype"/>
        </w:rPr>
        <w:t xml:space="preserve">The proposed </w:t>
      </w:r>
      <w:r w:rsidRPr="48D6FFE1" w:rsidR="00643DE7">
        <w:rPr>
          <w:rFonts w:ascii="Palatino Linotype" w:hAnsi="Palatino Linotype" w:cs="Palatino Linotype"/>
        </w:rPr>
        <w:t>Crescent City project are</w:t>
      </w:r>
      <w:r w:rsidRPr="48D6FFE1" w:rsidR="008D4260">
        <w:rPr>
          <w:rFonts w:ascii="Palatino Linotype" w:hAnsi="Palatino Linotype" w:cs="Palatino Linotype"/>
        </w:rPr>
        <w:t>a</w:t>
      </w:r>
      <w:r w:rsidRPr="48D6FFE1" w:rsidR="00643DE7">
        <w:rPr>
          <w:rFonts w:ascii="Palatino Linotype" w:hAnsi="Palatino Linotype" w:cs="Palatino Linotype"/>
        </w:rPr>
        <w:t xml:space="preserve"> would cover approximately </w:t>
      </w:r>
      <w:r w:rsidRPr="48D6FFE1" w:rsidR="00A26D0B">
        <w:rPr>
          <w:rFonts w:ascii="Palatino Linotype" w:hAnsi="Palatino Linotype" w:cs="Palatino Linotype"/>
        </w:rPr>
        <w:t xml:space="preserve">0.11 </w:t>
      </w:r>
      <w:r w:rsidRPr="48D6FFE1" w:rsidR="00DB32AF">
        <w:rPr>
          <w:rFonts w:ascii="Palatino Linotype" w:hAnsi="Palatino Linotype" w:cs="Palatino Linotype"/>
        </w:rPr>
        <w:t>square miles</w:t>
      </w:r>
      <w:r w:rsidRPr="48D6FFE1" w:rsidR="00631A04">
        <w:rPr>
          <w:rFonts w:ascii="Palatino Linotype" w:hAnsi="Palatino Linotype" w:cs="Palatino Linotype"/>
        </w:rPr>
        <w:t xml:space="preserve"> </w:t>
      </w:r>
      <w:r w:rsidRPr="48D6FFE1" w:rsidR="008D4260">
        <w:rPr>
          <w:rFonts w:ascii="Palatino Linotype" w:hAnsi="Palatino Linotype" w:cs="Palatino Linotype"/>
        </w:rPr>
        <w:t>and the Smith River project are</w:t>
      </w:r>
      <w:r w:rsidRPr="48D6FFE1" w:rsidR="7785A181">
        <w:rPr>
          <w:rFonts w:ascii="Palatino Linotype" w:hAnsi="Palatino Linotype" w:cs="Palatino Linotype"/>
        </w:rPr>
        <w:t>a</w:t>
      </w:r>
      <w:r w:rsidRPr="48D6FFE1" w:rsidR="008D4260">
        <w:rPr>
          <w:rFonts w:ascii="Palatino Linotype" w:hAnsi="Palatino Linotype" w:cs="Palatino Linotype"/>
        </w:rPr>
        <w:t xml:space="preserve"> would cover approximately 0.015 square miles</w:t>
      </w:r>
      <w:r w:rsidRPr="48D6FFE1" w:rsidR="00B75E33">
        <w:rPr>
          <w:rFonts w:ascii="Palatino Linotype" w:hAnsi="Palatino Linotype" w:cs="Palatino Linotype"/>
        </w:rPr>
        <w:t xml:space="preserve">.  Both projects will deploy </w:t>
      </w:r>
      <w:r w:rsidRPr="48D6FFE1" w:rsidR="005C3102">
        <w:rPr>
          <w:rFonts w:ascii="Palatino Linotype" w:hAnsi="Palatino Linotype" w:cs="Palatino Linotype"/>
        </w:rPr>
        <w:t xml:space="preserve">last-mile </w:t>
      </w:r>
      <w:r w:rsidRPr="48D6FFE1" w:rsidR="000506E8">
        <w:rPr>
          <w:rFonts w:ascii="Palatino Linotype" w:hAnsi="Palatino Linotype" w:cs="Palatino Linotype"/>
        </w:rPr>
        <w:t>FTTP facilities</w:t>
      </w:r>
      <w:r w:rsidRPr="48D6FFE1" w:rsidR="008D4260">
        <w:rPr>
          <w:rFonts w:ascii="Palatino Linotype" w:hAnsi="Palatino Linotype" w:cs="Palatino Linotype"/>
        </w:rPr>
        <w:t xml:space="preserve"> in Del Norte County.</w:t>
      </w:r>
      <w:r w:rsidRPr="48D6FFE1" w:rsidR="00631A04">
        <w:rPr>
          <w:rFonts w:ascii="Palatino Linotype" w:hAnsi="Palatino Linotype" w:cs="Palatino Linotype"/>
        </w:rPr>
        <w:t xml:space="preserve"> </w:t>
      </w:r>
    </w:p>
    <w:p w:rsidR="00EE7BB6" w:rsidP="00EE7BB6" w:rsidRDefault="00EE7BB6" w14:paraId="2B18FA8F" w14:textId="77777777">
      <w:pPr>
        <w:pStyle w:val="Default"/>
        <w:rPr>
          <w:rFonts w:ascii="Palatino Linotype" w:hAnsi="Palatino Linotype"/>
          <w:color w:val="auto"/>
        </w:rPr>
      </w:pPr>
    </w:p>
    <w:p w:rsidR="005968BF" w:rsidP="0069721E" w:rsidRDefault="00FD1082" w14:paraId="31505145" w14:textId="01812BF2">
      <w:pPr>
        <w:pStyle w:val="Default"/>
        <w:rPr>
          <w:rStyle w:val="BookTitle"/>
          <w:rFonts w:ascii="Palatino Linotype" w:hAnsi="Palatino Linotype"/>
          <w:i w:val="0"/>
        </w:rPr>
      </w:pPr>
      <w:r>
        <w:rPr>
          <w:rFonts w:ascii="Palatino Linotype" w:hAnsi="Palatino Linotype"/>
          <w:color w:val="auto"/>
        </w:rPr>
        <w:t xml:space="preserve">Frontier’s methods of aerial installation will follow </w:t>
      </w:r>
      <w:r w:rsidR="004112D6">
        <w:rPr>
          <w:rFonts w:ascii="Palatino Linotype" w:hAnsi="Palatino Linotype"/>
          <w:color w:val="auto"/>
        </w:rPr>
        <w:t xml:space="preserve">General Order </w:t>
      </w:r>
      <w:r w:rsidR="00621281">
        <w:rPr>
          <w:rFonts w:ascii="Palatino Linotype" w:hAnsi="Palatino Linotype"/>
          <w:color w:val="auto"/>
        </w:rPr>
        <w:t>95 pole sa</w:t>
      </w:r>
      <w:r w:rsidR="00C53926">
        <w:rPr>
          <w:rFonts w:ascii="Palatino Linotype" w:hAnsi="Palatino Linotype"/>
          <w:color w:val="auto"/>
        </w:rPr>
        <w:t xml:space="preserve">fety and loading requirements.  </w:t>
      </w:r>
      <w:r w:rsidR="00E9158D">
        <w:rPr>
          <w:rFonts w:ascii="Palatino Linotype" w:hAnsi="Palatino Linotype"/>
          <w:color w:val="auto"/>
        </w:rPr>
        <w:t>All permits and traffic control will be obtained to allow</w:t>
      </w:r>
      <w:r w:rsidR="00202A5C">
        <w:rPr>
          <w:rFonts w:ascii="Palatino Linotype" w:hAnsi="Palatino Linotype"/>
          <w:color w:val="auto"/>
        </w:rPr>
        <w:t xml:space="preserve"> for </w:t>
      </w:r>
      <w:r w:rsidR="00764AC2">
        <w:rPr>
          <w:rFonts w:ascii="Palatino Linotype" w:hAnsi="Palatino Linotype"/>
          <w:color w:val="auto"/>
        </w:rPr>
        <w:t xml:space="preserve">proper placement of aerial fiber cable.  </w:t>
      </w:r>
      <w:r w:rsidR="00EE7BB6">
        <w:rPr>
          <w:rFonts w:ascii="Palatino Linotype" w:hAnsi="Palatino Linotype"/>
          <w:color w:val="auto"/>
        </w:rPr>
        <w:t>Frontier’s methods of underground installation will follow existing guidelines necessary to obtain permit approval.  Permits will be obtained for access to manholes/handholes and necessary underground equipment to allow for proper placing of underground fiber.</w:t>
      </w:r>
      <w:r w:rsidRPr="0084194A" w:rsidR="00EE7BB6">
        <w:rPr>
          <w:rFonts w:ascii="Palatino Linotype" w:hAnsi="Palatino Linotype"/>
          <w:color w:val="auto"/>
        </w:rPr>
        <w:t xml:space="preserve"> </w:t>
      </w:r>
      <w:r w:rsidR="00EE7BB6">
        <w:rPr>
          <w:rFonts w:ascii="Palatino Linotype" w:hAnsi="Palatino Linotype"/>
          <w:color w:val="auto"/>
        </w:rPr>
        <w:t xml:space="preserve"> Following the installation of underground facilities and cabling, the site will be returned to its original condition.  </w:t>
      </w:r>
      <w:r w:rsidR="00062491">
        <w:rPr>
          <w:rFonts w:ascii="Palatino Linotype" w:hAnsi="Palatino Linotype" w:cs="Palatino Linotype"/>
        </w:rPr>
        <w:t>Table 5 provides</w:t>
      </w:r>
      <w:r w:rsidR="00C26413">
        <w:rPr>
          <w:rFonts w:ascii="Palatino Linotype" w:hAnsi="Palatino Linotype" w:cs="Palatino Linotype"/>
        </w:rPr>
        <w:t xml:space="preserve"> </w:t>
      </w:r>
      <w:r w:rsidR="00062491">
        <w:rPr>
          <w:rFonts w:ascii="Palatino Linotype" w:hAnsi="Palatino Linotype" w:cs="Palatino Linotype"/>
        </w:rPr>
        <w:t xml:space="preserve">details for the </w:t>
      </w:r>
      <w:r w:rsidR="00124CD4">
        <w:rPr>
          <w:rFonts w:ascii="Palatino Linotype" w:hAnsi="Palatino Linotype" w:cs="Palatino Linotype"/>
        </w:rPr>
        <w:t xml:space="preserve">proposed </w:t>
      </w:r>
      <w:r w:rsidR="00062491">
        <w:rPr>
          <w:rFonts w:ascii="Palatino Linotype" w:hAnsi="Palatino Linotype" w:cs="Palatino Linotype"/>
        </w:rPr>
        <w:t xml:space="preserve">installation of fiber facilities.  </w:t>
      </w:r>
    </w:p>
    <w:p w:rsidRPr="00A7035F" w:rsidR="00D360CF" w:rsidP="00D360CF" w:rsidRDefault="00D360CF" w14:paraId="50D46D71" w14:textId="4EC0ACD9">
      <w:pPr>
        <w:pStyle w:val="Default"/>
        <w:spacing w:after="120"/>
        <w:jc w:val="center"/>
        <w:rPr>
          <w:rStyle w:val="BookTitle"/>
          <w:rFonts w:ascii="Palatino Linotype" w:hAnsi="Palatino Linotype"/>
          <w:i w:val="0"/>
        </w:rPr>
      </w:pPr>
      <w:r w:rsidRPr="00A7035F">
        <w:rPr>
          <w:rStyle w:val="BookTitle"/>
          <w:rFonts w:ascii="Palatino Linotype" w:hAnsi="Palatino Linotype"/>
          <w:i w:val="0"/>
        </w:rPr>
        <w:lastRenderedPageBreak/>
        <w:t xml:space="preserve">Table </w:t>
      </w:r>
      <w:r>
        <w:rPr>
          <w:rStyle w:val="BookTitle"/>
          <w:rFonts w:ascii="Palatino Linotype" w:hAnsi="Palatino Linotype"/>
          <w:i w:val="0"/>
        </w:rPr>
        <w:t>5:</w:t>
      </w:r>
      <w:r w:rsidRPr="00A7035F">
        <w:rPr>
          <w:rStyle w:val="BookTitle"/>
          <w:rFonts w:ascii="Palatino Linotype" w:hAnsi="Palatino Linotype"/>
          <w:i w:val="0"/>
        </w:rPr>
        <w:t xml:space="preserve"> </w:t>
      </w:r>
      <w:r>
        <w:rPr>
          <w:rStyle w:val="BookTitle"/>
          <w:rFonts w:ascii="Palatino Linotype" w:hAnsi="Palatino Linotype"/>
          <w:i w:val="0"/>
        </w:rPr>
        <w:t xml:space="preserve"> </w:t>
      </w:r>
      <w:r w:rsidR="00FB1274">
        <w:rPr>
          <w:rStyle w:val="BookTitle"/>
          <w:rFonts w:ascii="Palatino Linotype" w:hAnsi="Palatino Linotype"/>
          <w:i w:val="0"/>
        </w:rPr>
        <w:t xml:space="preserve">Summary of </w:t>
      </w:r>
      <w:r w:rsidR="00124CD4">
        <w:rPr>
          <w:rStyle w:val="BookTitle"/>
          <w:rFonts w:ascii="Palatino Linotype" w:hAnsi="Palatino Linotype"/>
          <w:i w:val="0"/>
        </w:rPr>
        <w:t xml:space="preserve">Proposed </w:t>
      </w:r>
      <w:r w:rsidR="00FB1274">
        <w:rPr>
          <w:rStyle w:val="BookTitle"/>
          <w:rFonts w:ascii="Palatino Linotype" w:hAnsi="Palatino Linotype"/>
          <w:i w:val="0"/>
        </w:rPr>
        <w:t>Fiber Construction</w:t>
      </w:r>
    </w:p>
    <w:tbl>
      <w:tblPr>
        <w:tblStyle w:val="TableGrid"/>
        <w:tblW w:w="0" w:type="auto"/>
        <w:jc w:val="center"/>
        <w:tblInd w:w="0" w:type="dxa"/>
        <w:tblLook w:val="04A0" w:firstRow="1" w:lastRow="0" w:firstColumn="1" w:lastColumn="0" w:noHBand="0" w:noVBand="1"/>
      </w:tblPr>
      <w:tblGrid>
        <w:gridCol w:w="4495"/>
        <w:gridCol w:w="2340"/>
        <w:gridCol w:w="2515"/>
      </w:tblGrid>
      <w:tr w:rsidR="00677D20" w:rsidTr="00496B02" w14:paraId="68FFF456" w14:textId="77777777">
        <w:trPr>
          <w:jc w:val="center"/>
        </w:trPr>
        <w:tc>
          <w:tcPr>
            <w:tcW w:w="4495" w:type="dxa"/>
            <w:vMerge w:val="restart"/>
            <w:shd w:val="clear" w:color="auto" w:fill="E7E6E6" w:themeFill="background2"/>
          </w:tcPr>
          <w:p w:rsidRPr="00CA6041" w:rsidR="00C9666B" w:rsidP="00AF142B" w:rsidRDefault="00677D20" w14:paraId="792D73B9" w14:textId="458FF1C5">
            <w:pPr>
              <w:pStyle w:val="Default"/>
              <w:jc w:val="center"/>
              <w:rPr>
                <w:rFonts w:ascii="Palatino Linotype" w:hAnsi="Palatino Linotype"/>
                <w:b/>
                <w:bCs/>
                <w:color w:val="auto"/>
              </w:rPr>
            </w:pPr>
            <w:r w:rsidRPr="00CA6041">
              <w:rPr>
                <w:rFonts w:ascii="Palatino Linotype" w:hAnsi="Palatino Linotype"/>
                <w:b/>
                <w:bCs/>
                <w:color w:val="auto"/>
              </w:rPr>
              <w:t>Total Distance</w:t>
            </w:r>
          </w:p>
          <w:p w:rsidRPr="00CA6041" w:rsidR="00677D20" w:rsidP="00AF142B" w:rsidRDefault="007F20A2" w14:paraId="246AF192" w14:textId="71D19460">
            <w:pPr>
              <w:pStyle w:val="Default"/>
              <w:jc w:val="center"/>
              <w:rPr>
                <w:rFonts w:ascii="Palatino Linotype" w:hAnsi="Palatino Linotype"/>
                <w:b/>
                <w:bCs/>
                <w:color w:val="auto"/>
              </w:rPr>
            </w:pPr>
            <w:r w:rsidRPr="00CA6041">
              <w:rPr>
                <w:rFonts w:ascii="Palatino Linotype" w:hAnsi="Palatino Linotype"/>
                <w:b/>
                <w:bCs/>
                <w:color w:val="auto"/>
              </w:rPr>
              <w:t>(</w:t>
            </w:r>
            <w:r w:rsidRPr="00CA6041" w:rsidR="00677D20">
              <w:rPr>
                <w:rFonts w:ascii="Palatino Linotype" w:hAnsi="Palatino Linotype"/>
                <w:b/>
                <w:bCs/>
                <w:color w:val="auto"/>
              </w:rPr>
              <w:t>based on Installation Method</w:t>
            </w:r>
            <w:r w:rsidRPr="00CA6041" w:rsidR="000F6B51">
              <w:rPr>
                <w:rFonts w:ascii="Palatino Linotype" w:hAnsi="Palatino Linotype"/>
                <w:b/>
                <w:bCs/>
                <w:color w:val="auto"/>
              </w:rPr>
              <w:t>)</w:t>
            </w:r>
          </w:p>
        </w:tc>
        <w:tc>
          <w:tcPr>
            <w:tcW w:w="4855" w:type="dxa"/>
            <w:gridSpan w:val="2"/>
            <w:shd w:val="clear" w:color="auto" w:fill="E7E6E6" w:themeFill="background2"/>
          </w:tcPr>
          <w:p w:rsidRPr="00CA6041" w:rsidR="00677D20" w:rsidP="00F3100E" w:rsidRDefault="00677D20" w14:paraId="775DEAA7" w14:textId="51BCBF15">
            <w:pPr>
              <w:pStyle w:val="Default"/>
              <w:jc w:val="center"/>
              <w:rPr>
                <w:rFonts w:ascii="Palatino Linotype" w:hAnsi="Palatino Linotype"/>
                <w:b/>
                <w:bCs/>
                <w:color w:val="auto"/>
              </w:rPr>
            </w:pPr>
            <w:r w:rsidRPr="00CA6041">
              <w:rPr>
                <w:rFonts w:ascii="Palatino Linotype" w:hAnsi="Palatino Linotype"/>
                <w:b/>
                <w:bCs/>
                <w:color w:val="auto"/>
              </w:rPr>
              <w:t>Project</w:t>
            </w:r>
          </w:p>
        </w:tc>
      </w:tr>
      <w:tr w:rsidR="00677D20" w:rsidTr="00496B02" w14:paraId="25DDB80F" w14:textId="77777777">
        <w:trPr>
          <w:jc w:val="center"/>
        </w:trPr>
        <w:tc>
          <w:tcPr>
            <w:tcW w:w="4495" w:type="dxa"/>
            <w:vMerge/>
            <w:shd w:val="clear" w:color="auto" w:fill="E7E6E6" w:themeFill="background2"/>
          </w:tcPr>
          <w:p w:rsidRPr="00CA6041" w:rsidR="00677D20" w:rsidP="00EE7BB6" w:rsidRDefault="00677D20" w14:paraId="0712E166" w14:textId="33644F5F">
            <w:pPr>
              <w:pStyle w:val="Default"/>
              <w:rPr>
                <w:rFonts w:ascii="Palatino Linotype" w:hAnsi="Palatino Linotype"/>
                <w:b/>
                <w:bCs/>
                <w:color w:val="auto"/>
              </w:rPr>
            </w:pPr>
          </w:p>
        </w:tc>
        <w:tc>
          <w:tcPr>
            <w:tcW w:w="2340" w:type="dxa"/>
            <w:shd w:val="clear" w:color="auto" w:fill="E7E6E6" w:themeFill="background2"/>
          </w:tcPr>
          <w:p w:rsidRPr="00CA6041" w:rsidR="00677D20" w:rsidP="00F3100E" w:rsidRDefault="00677D20" w14:paraId="7A5DBF85" w14:textId="124585CB">
            <w:pPr>
              <w:pStyle w:val="Default"/>
              <w:jc w:val="center"/>
              <w:rPr>
                <w:rFonts w:ascii="Palatino Linotype" w:hAnsi="Palatino Linotype"/>
                <w:b/>
                <w:bCs/>
                <w:color w:val="auto"/>
              </w:rPr>
            </w:pPr>
            <w:r w:rsidRPr="00CA6041">
              <w:rPr>
                <w:rFonts w:ascii="Palatino Linotype" w:hAnsi="Palatino Linotype"/>
                <w:b/>
                <w:bCs/>
                <w:color w:val="auto"/>
              </w:rPr>
              <w:t>Crescent City</w:t>
            </w:r>
          </w:p>
        </w:tc>
        <w:tc>
          <w:tcPr>
            <w:tcW w:w="2515" w:type="dxa"/>
            <w:shd w:val="clear" w:color="auto" w:fill="E7E6E6" w:themeFill="background2"/>
          </w:tcPr>
          <w:p w:rsidRPr="00CA6041" w:rsidR="00677D20" w:rsidP="00F3100E" w:rsidRDefault="00677D20" w14:paraId="79895DBB" w14:textId="775C052E">
            <w:pPr>
              <w:pStyle w:val="Default"/>
              <w:jc w:val="center"/>
              <w:rPr>
                <w:rFonts w:ascii="Palatino Linotype" w:hAnsi="Palatino Linotype"/>
                <w:b/>
                <w:bCs/>
                <w:color w:val="auto"/>
              </w:rPr>
            </w:pPr>
            <w:r w:rsidRPr="00CA6041">
              <w:rPr>
                <w:rFonts w:ascii="Palatino Linotype" w:hAnsi="Palatino Linotype"/>
                <w:b/>
                <w:bCs/>
                <w:color w:val="auto"/>
              </w:rPr>
              <w:t>Smith River</w:t>
            </w:r>
          </w:p>
        </w:tc>
      </w:tr>
      <w:tr w:rsidR="00D41E72" w:rsidTr="009309BC" w14:paraId="106AB1D4" w14:textId="77777777">
        <w:trPr>
          <w:jc w:val="center"/>
        </w:trPr>
        <w:tc>
          <w:tcPr>
            <w:tcW w:w="4495" w:type="dxa"/>
          </w:tcPr>
          <w:p w:rsidR="00D41E72" w:rsidP="00EE7BB6" w:rsidRDefault="00845CD3" w14:paraId="45EAEB4B" w14:textId="7F95B0AD">
            <w:pPr>
              <w:pStyle w:val="Default"/>
              <w:rPr>
                <w:rFonts w:ascii="Palatino Linotype" w:hAnsi="Palatino Linotype"/>
                <w:color w:val="auto"/>
              </w:rPr>
            </w:pPr>
            <w:r>
              <w:rPr>
                <w:rFonts w:ascii="Palatino Linotype" w:hAnsi="Palatino Linotype"/>
                <w:color w:val="auto"/>
              </w:rPr>
              <w:t>Aerial</w:t>
            </w:r>
          </w:p>
        </w:tc>
        <w:tc>
          <w:tcPr>
            <w:tcW w:w="2340" w:type="dxa"/>
          </w:tcPr>
          <w:p w:rsidR="00D41E72" w:rsidP="00F3100E" w:rsidRDefault="007B70F4" w14:paraId="60517FE6" w14:textId="67AF0324">
            <w:pPr>
              <w:pStyle w:val="Default"/>
              <w:jc w:val="center"/>
              <w:rPr>
                <w:rFonts w:ascii="Palatino Linotype" w:hAnsi="Palatino Linotype"/>
                <w:color w:val="auto"/>
              </w:rPr>
            </w:pPr>
            <w:r>
              <w:rPr>
                <w:rFonts w:ascii="Palatino Linotype" w:hAnsi="Palatino Linotype"/>
                <w:color w:val="auto"/>
              </w:rPr>
              <w:t>4.11 miles</w:t>
            </w:r>
          </w:p>
        </w:tc>
        <w:tc>
          <w:tcPr>
            <w:tcW w:w="2515" w:type="dxa"/>
          </w:tcPr>
          <w:p w:rsidR="00D41E72" w:rsidP="00F3100E" w:rsidRDefault="005A24AC" w14:paraId="31A48AB9" w14:textId="2211A32E">
            <w:pPr>
              <w:pStyle w:val="Default"/>
              <w:jc w:val="center"/>
              <w:rPr>
                <w:rFonts w:ascii="Palatino Linotype" w:hAnsi="Palatino Linotype"/>
                <w:color w:val="auto"/>
              </w:rPr>
            </w:pPr>
            <w:r>
              <w:rPr>
                <w:rFonts w:ascii="Palatino Linotype" w:hAnsi="Palatino Linotype"/>
                <w:color w:val="auto"/>
              </w:rPr>
              <w:t>11.7 miles</w:t>
            </w:r>
          </w:p>
        </w:tc>
      </w:tr>
      <w:tr w:rsidR="00D41E72" w:rsidTr="009309BC" w14:paraId="20C5C4A1" w14:textId="77777777">
        <w:trPr>
          <w:jc w:val="center"/>
        </w:trPr>
        <w:tc>
          <w:tcPr>
            <w:tcW w:w="4495" w:type="dxa"/>
          </w:tcPr>
          <w:p w:rsidR="00D41E72" w:rsidP="00EE7BB6" w:rsidRDefault="004A5D87" w14:paraId="6834C497" w14:textId="2111BEEB">
            <w:pPr>
              <w:pStyle w:val="Default"/>
              <w:rPr>
                <w:rFonts w:ascii="Palatino Linotype" w:hAnsi="Palatino Linotype"/>
                <w:color w:val="auto"/>
              </w:rPr>
            </w:pPr>
            <w:r>
              <w:rPr>
                <w:rFonts w:ascii="Palatino Linotype" w:hAnsi="Palatino Linotype"/>
                <w:color w:val="auto"/>
              </w:rPr>
              <w:t>Underground</w:t>
            </w:r>
            <w:r w:rsidR="006167AA">
              <w:rPr>
                <w:rFonts w:ascii="Palatino Linotype" w:hAnsi="Palatino Linotype"/>
                <w:color w:val="auto"/>
              </w:rPr>
              <w:t xml:space="preserve"> (</w:t>
            </w:r>
            <w:r w:rsidR="00D55279">
              <w:rPr>
                <w:rFonts w:ascii="Palatino Linotype" w:hAnsi="Palatino Linotype"/>
                <w:color w:val="auto"/>
              </w:rPr>
              <w:t>In E</w:t>
            </w:r>
            <w:r w:rsidR="006167AA">
              <w:rPr>
                <w:rFonts w:ascii="Palatino Linotype" w:hAnsi="Palatino Linotype"/>
                <w:color w:val="auto"/>
              </w:rPr>
              <w:t xml:space="preserve">xisting </w:t>
            </w:r>
            <w:r w:rsidR="00D55279">
              <w:rPr>
                <w:rFonts w:ascii="Palatino Linotype" w:hAnsi="Palatino Linotype"/>
                <w:color w:val="auto"/>
              </w:rPr>
              <w:t>C</w:t>
            </w:r>
            <w:r w:rsidR="006167AA">
              <w:rPr>
                <w:rFonts w:ascii="Palatino Linotype" w:hAnsi="Palatino Linotype"/>
                <w:color w:val="auto"/>
              </w:rPr>
              <w:t>onduit)</w:t>
            </w:r>
          </w:p>
        </w:tc>
        <w:tc>
          <w:tcPr>
            <w:tcW w:w="2340" w:type="dxa"/>
          </w:tcPr>
          <w:p w:rsidR="00D41E72" w:rsidP="00F3100E" w:rsidRDefault="00301D3E" w14:paraId="4B66C5FF" w14:textId="5CF9F6D4">
            <w:pPr>
              <w:pStyle w:val="Default"/>
              <w:jc w:val="center"/>
              <w:rPr>
                <w:rFonts w:ascii="Palatino Linotype" w:hAnsi="Palatino Linotype"/>
                <w:color w:val="auto"/>
              </w:rPr>
            </w:pPr>
            <w:r>
              <w:rPr>
                <w:rFonts w:ascii="Palatino Linotype" w:hAnsi="Palatino Linotype"/>
                <w:color w:val="auto"/>
              </w:rPr>
              <w:t>0.65</w:t>
            </w:r>
            <w:r w:rsidR="00B964DF">
              <w:rPr>
                <w:rFonts w:ascii="Palatino Linotype" w:hAnsi="Palatino Linotype"/>
                <w:color w:val="auto"/>
              </w:rPr>
              <w:t xml:space="preserve"> miles</w:t>
            </w:r>
          </w:p>
        </w:tc>
        <w:tc>
          <w:tcPr>
            <w:tcW w:w="2515" w:type="dxa"/>
          </w:tcPr>
          <w:p w:rsidR="00D41E72" w:rsidP="00F3100E" w:rsidRDefault="00C434A3" w14:paraId="40C6AC1E" w14:textId="2E733E47">
            <w:pPr>
              <w:pStyle w:val="Default"/>
              <w:jc w:val="center"/>
              <w:rPr>
                <w:rFonts w:ascii="Palatino Linotype" w:hAnsi="Palatino Linotype"/>
                <w:color w:val="auto"/>
              </w:rPr>
            </w:pPr>
            <w:r>
              <w:rPr>
                <w:rFonts w:ascii="Palatino Linotype" w:hAnsi="Palatino Linotype"/>
                <w:color w:val="auto"/>
              </w:rPr>
              <w:t>1.82 miles</w:t>
            </w:r>
          </w:p>
        </w:tc>
      </w:tr>
      <w:tr w:rsidR="00D41E72" w:rsidTr="009309BC" w14:paraId="177A27BE" w14:textId="77777777">
        <w:trPr>
          <w:jc w:val="center"/>
        </w:trPr>
        <w:tc>
          <w:tcPr>
            <w:tcW w:w="4495" w:type="dxa"/>
          </w:tcPr>
          <w:p w:rsidR="00D41E72" w:rsidP="00EE7BB6" w:rsidRDefault="006167AA" w14:paraId="5E152423" w14:textId="55F8D174">
            <w:pPr>
              <w:pStyle w:val="Default"/>
              <w:rPr>
                <w:rFonts w:ascii="Palatino Linotype" w:hAnsi="Palatino Linotype"/>
                <w:color w:val="auto"/>
              </w:rPr>
            </w:pPr>
            <w:r>
              <w:rPr>
                <w:rFonts w:ascii="Palatino Linotype" w:hAnsi="Palatino Linotype"/>
                <w:color w:val="auto"/>
              </w:rPr>
              <w:t>Underground (Direct Burial)</w:t>
            </w:r>
          </w:p>
        </w:tc>
        <w:tc>
          <w:tcPr>
            <w:tcW w:w="2340" w:type="dxa"/>
          </w:tcPr>
          <w:p w:rsidR="00D41E72" w:rsidP="00F3100E" w:rsidRDefault="00432A74" w14:paraId="6C182FC6" w14:textId="0F465A26">
            <w:pPr>
              <w:pStyle w:val="Default"/>
              <w:jc w:val="center"/>
              <w:rPr>
                <w:rFonts w:ascii="Palatino Linotype" w:hAnsi="Palatino Linotype"/>
                <w:color w:val="auto"/>
              </w:rPr>
            </w:pPr>
            <w:r>
              <w:rPr>
                <w:rFonts w:ascii="Palatino Linotype" w:hAnsi="Palatino Linotype"/>
                <w:color w:val="auto"/>
              </w:rPr>
              <w:t>1.43 miles</w:t>
            </w:r>
          </w:p>
        </w:tc>
        <w:tc>
          <w:tcPr>
            <w:tcW w:w="2515" w:type="dxa"/>
          </w:tcPr>
          <w:p w:rsidR="00D41E72" w:rsidP="00F3100E" w:rsidRDefault="00CC6B25" w14:paraId="76EDAFB2" w14:textId="638C2967">
            <w:pPr>
              <w:pStyle w:val="Default"/>
              <w:jc w:val="center"/>
              <w:rPr>
                <w:rFonts w:ascii="Palatino Linotype" w:hAnsi="Palatino Linotype"/>
                <w:color w:val="auto"/>
              </w:rPr>
            </w:pPr>
            <w:r>
              <w:rPr>
                <w:rFonts w:ascii="Palatino Linotype" w:hAnsi="Palatino Linotype"/>
                <w:color w:val="auto"/>
              </w:rPr>
              <w:t>0.89 miles</w:t>
            </w:r>
          </w:p>
        </w:tc>
      </w:tr>
      <w:tr w:rsidR="00BA29AE" w:rsidTr="009309BC" w14:paraId="5082094A" w14:textId="77777777">
        <w:trPr>
          <w:jc w:val="center"/>
        </w:trPr>
        <w:tc>
          <w:tcPr>
            <w:tcW w:w="4495" w:type="dxa"/>
          </w:tcPr>
          <w:p w:rsidRPr="00CA6041" w:rsidR="00BA29AE" w:rsidP="00EE7BB6" w:rsidRDefault="00BA29AE" w14:paraId="5ACC6C68" w14:textId="2F314B13">
            <w:pPr>
              <w:pStyle w:val="Default"/>
              <w:rPr>
                <w:rFonts w:ascii="Palatino Linotype" w:hAnsi="Palatino Linotype"/>
                <w:b/>
                <w:bCs/>
                <w:color w:val="auto"/>
              </w:rPr>
            </w:pPr>
            <w:r w:rsidRPr="00CA6041">
              <w:rPr>
                <w:rFonts w:ascii="Palatino Linotype" w:hAnsi="Palatino Linotype"/>
                <w:b/>
                <w:bCs/>
                <w:color w:val="auto"/>
              </w:rPr>
              <w:t>Total Miles</w:t>
            </w:r>
          </w:p>
        </w:tc>
        <w:tc>
          <w:tcPr>
            <w:tcW w:w="2340" w:type="dxa"/>
          </w:tcPr>
          <w:p w:rsidRPr="00CA6041" w:rsidR="00BA29AE" w:rsidP="00F3100E" w:rsidRDefault="0066600A" w14:paraId="6F67CA1D" w14:textId="32DC1EE2">
            <w:pPr>
              <w:pStyle w:val="Default"/>
              <w:jc w:val="center"/>
              <w:rPr>
                <w:rFonts w:ascii="Palatino Linotype" w:hAnsi="Palatino Linotype"/>
                <w:b/>
                <w:bCs/>
                <w:color w:val="auto"/>
              </w:rPr>
            </w:pPr>
            <w:r w:rsidRPr="00CA6041">
              <w:rPr>
                <w:rFonts w:ascii="Palatino Linotype" w:hAnsi="Palatino Linotype"/>
                <w:b/>
                <w:bCs/>
                <w:color w:val="auto"/>
              </w:rPr>
              <w:t>6.19 miles</w:t>
            </w:r>
          </w:p>
        </w:tc>
        <w:tc>
          <w:tcPr>
            <w:tcW w:w="2515" w:type="dxa"/>
          </w:tcPr>
          <w:p w:rsidRPr="00CA6041" w:rsidR="00BA29AE" w:rsidP="00F3100E" w:rsidRDefault="00E603AF" w14:paraId="7BC1AFCB" w14:textId="787F2C59">
            <w:pPr>
              <w:pStyle w:val="Default"/>
              <w:jc w:val="center"/>
              <w:rPr>
                <w:rFonts w:ascii="Palatino Linotype" w:hAnsi="Palatino Linotype"/>
                <w:b/>
                <w:bCs/>
                <w:color w:val="auto"/>
              </w:rPr>
            </w:pPr>
            <w:r w:rsidRPr="00CA6041">
              <w:rPr>
                <w:rFonts w:ascii="Palatino Linotype" w:hAnsi="Palatino Linotype"/>
                <w:b/>
                <w:bCs/>
                <w:color w:val="auto"/>
              </w:rPr>
              <w:t>14.</w:t>
            </w:r>
            <w:r w:rsidRPr="00CA6041" w:rsidR="00B81CC7">
              <w:rPr>
                <w:rFonts w:ascii="Palatino Linotype" w:hAnsi="Palatino Linotype"/>
                <w:b/>
                <w:bCs/>
                <w:color w:val="auto"/>
              </w:rPr>
              <w:t>4</w:t>
            </w:r>
            <w:r w:rsidRPr="00CA6041" w:rsidR="00F3100E">
              <w:rPr>
                <w:rFonts w:ascii="Palatino Linotype" w:hAnsi="Palatino Linotype"/>
                <w:b/>
                <w:bCs/>
                <w:color w:val="auto"/>
              </w:rPr>
              <w:t>1</w:t>
            </w:r>
            <w:r w:rsidRPr="00CA6041" w:rsidR="00B81CC7">
              <w:rPr>
                <w:rFonts w:ascii="Palatino Linotype" w:hAnsi="Palatino Linotype"/>
                <w:b/>
                <w:bCs/>
                <w:color w:val="auto"/>
              </w:rPr>
              <w:t xml:space="preserve"> miles</w:t>
            </w:r>
          </w:p>
        </w:tc>
      </w:tr>
    </w:tbl>
    <w:p w:rsidRPr="00301F9B" w:rsidR="00EE7BB6" w:rsidP="00EE7BB6" w:rsidRDefault="00EE7BB6" w14:paraId="2E39B7B0" w14:textId="77777777">
      <w:pPr>
        <w:pStyle w:val="Default"/>
        <w:rPr>
          <w:rFonts w:ascii="Palatino Linotype" w:hAnsi="Palatino Linotype"/>
          <w:color w:val="auto"/>
        </w:rPr>
      </w:pPr>
    </w:p>
    <w:p w:rsidRPr="005E7EFA" w:rsidR="00EA2D0C" w:rsidP="005E7EFA" w:rsidRDefault="00EE7BB6" w14:paraId="152E0565" w14:textId="5A4266E9">
      <w:pPr>
        <w:pStyle w:val="Default"/>
        <w:rPr>
          <w:rFonts w:ascii="Palatino Linotype" w:hAnsi="Palatino Linotype"/>
          <w:color w:val="auto"/>
        </w:rPr>
      </w:pPr>
      <w:r w:rsidRPr="00301F9B">
        <w:rPr>
          <w:rFonts w:ascii="Palatino Linotype" w:hAnsi="Palatino Linotype"/>
          <w:color w:val="auto"/>
        </w:rPr>
        <w:t xml:space="preserve">Based </w:t>
      </w:r>
      <w:r w:rsidRPr="0035575B">
        <w:rPr>
          <w:rFonts w:ascii="Palatino Linotype" w:hAnsi="Palatino Linotype"/>
          <w:color w:val="auto"/>
        </w:rPr>
        <w:t>on the above information, the Commission’s Energy Division has confirmed that the project</w:t>
      </w:r>
      <w:r w:rsidR="00873207">
        <w:rPr>
          <w:rFonts w:ascii="Palatino Linotype" w:hAnsi="Palatino Linotype"/>
          <w:color w:val="auto"/>
        </w:rPr>
        <w:t>s are</w:t>
      </w:r>
      <w:r w:rsidRPr="0035575B">
        <w:rPr>
          <w:rFonts w:ascii="Palatino Linotype" w:hAnsi="Palatino Linotype"/>
          <w:color w:val="auto"/>
        </w:rPr>
        <w:t xml:space="preserve"> categorically exempt from CEQA review. </w:t>
      </w:r>
      <w:r w:rsidR="00BC2445">
        <w:rPr>
          <w:rFonts w:ascii="Palatino Linotype" w:hAnsi="Palatino Linotype"/>
          <w:color w:val="auto"/>
        </w:rPr>
        <w:t xml:space="preserve"> </w:t>
      </w:r>
      <w:r w:rsidR="00D54237">
        <w:rPr>
          <w:rFonts w:ascii="Palatino Linotype" w:hAnsi="Palatino Linotype"/>
          <w:color w:val="auto"/>
        </w:rPr>
        <w:t>Both</w:t>
      </w:r>
      <w:r w:rsidRPr="0035575B" w:rsidR="00D54237">
        <w:rPr>
          <w:rFonts w:ascii="Palatino Linotype" w:hAnsi="Palatino Linotype"/>
          <w:color w:val="auto"/>
        </w:rPr>
        <w:t xml:space="preserve"> </w:t>
      </w:r>
      <w:r w:rsidRPr="0035575B">
        <w:rPr>
          <w:rFonts w:ascii="Palatino Linotype" w:hAnsi="Palatino Linotype"/>
          <w:color w:val="auto"/>
        </w:rPr>
        <w:t>project</w:t>
      </w:r>
      <w:r w:rsidR="00873207">
        <w:rPr>
          <w:rFonts w:ascii="Palatino Linotype" w:hAnsi="Palatino Linotype"/>
          <w:color w:val="auto"/>
        </w:rPr>
        <w:t>s</w:t>
      </w:r>
      <w:r w:rsidRPr="0035575B">
        <w:rPr>
          <w:rFonts w:ascii="Palatino Linotype" w:hAnsi="Palatino Linotype"/>
          <w:color w:val="auto"/>
        </w:rPr>
        <w:t xml:space="preserve"> meet the criteria of the CEQA categorical exemptions found in CEQA Guidelines, 14 C.C.R. § 15301 (Existing Facilities) and 14 C.C.R. § 15302 (Replacement or Reconstruction of Existing Structures and Facilities).  Thus, the entirety of the Crescent City </w:t>
      </w:r>
      <w:r w:rsidR="001711E6">
        <w:rPr>
          <w:rFonts w:ascii="Palatino Linotype" w:hAnsi="Palatino Linotype"/>
          <w:color w:val="auto"/>
        </w:rPr>
        <w:t xml:space="preserve">and Smith River </w:t>
      </w:r>
      <w:r w:rsidRPr="0035575B">
        <w:rPr>
          <w:rFonts w:ascii="Palatino Linotype" w:hAnsi="Palatino Linotype"/>
          <w:color w:val="auto"/>
        </w:rPr>
        <w:t>Project</w:t>
      </w:r>
      <w:r w:rsidR="001711E6">
        <w:rPr>
          <w:rFonts w:ascii="Palatino Linotype" w:hAnsi="Palatino Linotype"/>
          <w:color w:val="auto"/>
        </w:rPr>
        <w:t>s</w:t>
      </w:r>
      <w:r w:rsidRPr="0035575B">
        <w:rPr>
          <w:rFonts w:ascii="Palatino Linotype" w:hAnsi="Palatino Linotype"/>
          <w:color w:val="auto"/>
        </w:rPr>
        <w:t xml:space="preserve"> </w:t>
      </w:r>
      <w:r w:rsidR="001711E6">
        <w:rPr>
          <w:rFonts w:ascii="Palatino Linotype" w:hAnsi="Palatino Linotype"/>
          <w:color w:val="auto"/>
        </w:rPr>
        <w:t>are</w:t>
      </w:r>
      <w:r w:rsidRPr="0035575B">
        <w:rPr>
          <w:rFonts w:ascii="Palatino Linotype" w:hAnsi="Palatino Linotype"/>
          <w:color w:val="auto"/>
        </w:rPr>
        <w:t xml:space="preserve"> categorically exempt from CEQA.</w:t>
      </w:r>
      <w:r w:rsidR="005E7EFA">
        <w:rPr>
          <w:rFonts w:ascii="Palatino Linotype" w:hAnsi="Palatino Linotype"/>
          <w:color w:val="auto"/>
        </w:rPr>
        <w:t xml:space="preserve"> </w:t>
      </w:r>
    </w:p>
    <w:p w:rsidR="00335F39" w:rsidP="00FB2A1E" w:rsidRDefault="00335F39" w14:paraId="4CA4740F" w14:textId="43525F3E">
      <w:pPr>
        <w:rPr>
          <w:rFonts w:ascii="Palatino Linotype" w:hAnsi="Palatino Linotype" w:cs="Palatino Linotype"/>
        </w:rPr>
      </w:pPr>
    </w:p>
    <w:p w:rsidR="00FB2A1E" w:rsidP="48D6FFE1" w:rsidRDefault="00165991" w14:paraId="6F5B6A7F" w14:textId="68E62C31">
      <w:pPr>
        <w:rPr>
          <w:rFonts w:ascii="Palatino Linotype" w:hAnsi="Palatino Linotype"/>
        </w:rPr>
      </w:pPr>
      <w:r w:rsidRPr="48D6FFE1">
        <w:rPr>
          <w:rFonts w:ascii="Palatino Linotype" w:hAnsi="Palatino Linotype"/>
          <w:b/>
          <w:bCs/>
        </w:rPr>
        <w:t xml:space="preserve">Frontier’s broadband service offering </w:t>
      </w:r>
      <w:r w:rsidR="0008245E">
        <w:rPr>
          <w:rFonts w:ascii="Palatino Linotype" w:hAnsi="Palatino Linotype"/>
          <w:b/>
          <w:bCs/>
        </w:rPr>
        <w:t xml:space="preserve">for its Crescent City and Smith River Projects </w:t>
      </w:r>
      <w:r w:rsidRPr="48D6FFE1">
        <w:rPr>
          <w:rFonts w:ascii="Palatino Linotype" w:hAnsi="Palatino Linotype"/>
          <w:b/>
          <w:bCs/>
        </w:rPr>
        <w:t>meet</w:t>
      </w:r>
      <w:r w:rsidR="007A0254">
        <w:rPr>
          <w:rFonts w:ascii="Palatino Linotype" w:hAnsi="Palatino Linotype"/>
          <w:b/>
          <w:bCs/>
        </w:rPr>
        <w:t>s</w:t>
      </w:r>
      <w:r w:rsidRPr="48D6FFE1">
        <w:rPr>
          <w:rFonts w:ascii="Palatino Linotype" w:hAnsi="Palatino Linotype"/>
          <w:b/>
          <w:bCs/>
        </w:rPr>
        <w:t xml:space="preserve"> CASF minimum performance criteria</w:t>
      </w:r>
      <w:r w:rsidRPr="48D6FFE1" w:rsidR="00B4393A">
        <w:rPr>
          <w:rFonts w:ascii="Palatino Linotype" w:hAnsi="Palatino Linotype"/>
        </w:rPr>
        <w:t xml:space="preserve">.  </w:t>
      </w:r>
      <w:r w:rsidRPr="48D6FFE1" w:rsidR="001A4560">
        <w:rPr>
          <w:rFonts w:ascii="Palatino Linotype" w:hAnsi="Palatino Linotype"/>
        </w:rPr>
        <w:t xml:space="preserve">Frontier commits to residential broadband pricing plans, as summarized in Table </w:t>
      </w:r>
      <w:r w:rsidRPr="48D6FFE1" w:rsidR="00851CCC">
        <w:rPr>
          <w:rFonts w:ascii="Palatino Linotype" w:hAnsi="Palatino Linotype"/>
        </w:rPr>
        <w:t>6</w:t>
      </w:r>
      <w:r w:rsidRPr="48D6FFE1" w:rsidR="001A4560">
        <w:rPr>
          <w:rFonts w:ascii="Palatino Linotype" w:hAnsi="Palatino Linotype"/>
        </w:rPr>
        <w:t xml:space="preserve"> and Table </w:t>
      </w:r>
      <w:r w:rsidRPr="48D6FFE1" w:rsidR="00851CCC">
        <w:rPr>
          <w:rFonts w:ascii="Palatino Linotype" w:hAnsi="Palatino Linotype"/>
        </w:rPr>
        <w:t>7</w:t>
      </w:r>
      <w:r w:rsidRPr="48D6FFE1" w:rsidR="001A4560">
        <w:rPr>
          <w:rFonts w:ascii="Palatino Linotype" w:hAnsi="Palatino Linotype"/>
        </w:rPr>
        <w:t>,</w:t>
      </w:r>
      <w:r w:rsidRPr="48D6FFE1" w:rsidR="00594BA9">
        <w:rPr>
          <w:rFonts w:ascii="Palatino Linotype" w:hAnsi="Palatino Linotype"/>
        </w:rPr>
        <w:t xml:space="preserve"> </w:t>
      </w:r>
      <w:r w:rsidRPr="48D6FFE1" w:rsidR="00B373B0">
        <w:rPr>
          <w:rFonts w:ascii="Palatino Linotype" w:hAnsi="Palatino Linotype"/>
        </w:rPr>
        <w:t>for two years starting from the beginning date of service.  There is no long-term commitment required by the consumer to receive these prices</w:t>
      </w:r>
      <w:r w:rsidRPr="48D6FFE1" w:rsidR="00354E93">
        <w:rPr>
          <w:rFonts w:ascii="Palatino Linotype" w:hAnsi="Palatino Linotype"/>
        </w:rPr>
        <w:t xml:space="preserve">.  </w:t>
      </w:r>
      <w:r w:rsidRPr="48D6FFE1" w:rsidR="00CE3E40">
        <w:rPr>
          <w:rFonts w:ascii="Palatino Linotype" w:hAnsi="Palatino Linotype"/>
        </w:rPr>
        <w:t>Further</w:t>
      </w:r>
      <w:r w:rsidRPr="48D6FFE1" w:rsidR="0017697D">
        <w:rPr>
          <w:rFonts w:ascii="Palatino Linotype" w:hAnsi="Palatino Linotype"/>
        </w:rPr>
        <w:t>more</w:t>
      </w:r>
      <w:r w:rsidRPr="48D6FFE1" w:rsidR="00CE3E40">
        <w:rPr>
          <w:rFonts w:ascii="Palatino Linotype" w:hAnsi="Palatino Linotype"/>
        </w:rPr>
        <w:t xml:space="preserve">, </w:t>
      </w:r>
      <w:r w:rsidRPr="48D6FFE1" w:rsidR="00354E93">
        <w:rPr>
          <w:rFonts w:ascii="Palatino Linotype" w:hAnsi="Palatino Linotype"/>
        </w:rPr>
        <w:t xml:space="preserve">Frontier </w:t>
      </w:r>
      <w:r w:rsidRPr="48D6FFE1" w:rsidR="00797FDA">
        <w:rPr>
          <w:rFonts w:ascii="Palatino Linotype" w:hAnsi="Palatino Linotype"/>
        </w:rPr>
        <w:t>will waive</w:t>
      </w:r>
      <w:r w:rsidRPr="48D6FFE1" w:rsidR="009048DF">
        <w:rPr>
          <w:rFonts w:ascii="Palatino Linotype" w:hAnsi="Palatino Linotype"/>
        </w:rPr>
        <w:t xml:space="preserve"> </w:t>
      </w:r>
      <w:r w:rsidRPr="48D6FFE1" w:rsidR="00797FDA">
        <w:rPr>
          <w:rFonts w:ascii="Palatino Linotype" w:hAnsi="Palatino Linotype"/>
        </w:rPr>
        <w:t xml:space="preserve">the </w:t>
      </w:r>
      <w:r w:rsidRPr="48D6FFE1" w:rsidR="00B373B0">
        <w:rPr>
          <w:rFonts w:ascii="Palatino Linotype" w:hAnsi="Palatino Linotype"/>
        </w:rPr>
        <w:t xml:space="preserve">activation and installation fees </w:t>
      </w:r>
      <w:r w:rsidRPr="48D6FFE1" w:rsidR="008D28F8">
        <w:rPr>
          <w:rFonts w:ascii="Palatino Linotype" w:hAnsi="Palatino Linotype"/>
        </w:rPr>
        <w:t>during the commitment period</w:t>
      </w:r>
      <w:r w:rsidRPr="48D6FFE1" w:rsidR="00B373B0">
        <w:rPr>
          <w:rFonts w:ascii="Palatino Linotype" w:hAnsi="Palatino Linotype"/>
        </w:rPr>
        <w:t>.  Frontier provide</w:t>
      </w:r>
      <w:r w:rsidRPr="48D6FFE1" w:rsidR="00CB7412">
        <w:rPr>
          <w:rFonts w:ascii="Palatino Linotype" w:hAnsi="Palatino Linotype"/>
        </w:rPr>
        <w:t>s</w:t>
      </w:r>
      <w:r w:rsidRPr="48D6FFE1" w:rsidR="00B373B0">
        <w:rPr>
          <w:rFonts w:ascii="Palatino Linotype" w:hAnsi="Palatino Linotype"/>
        </w:rPr>
        <w:t xml:space="preserve"> discount pricing for </w:t>
      </w:r>
      <w:r w:rsidRPr="48D6FFE1" w:rsidR="00205282">
        <w:rPr>
          <w:rFonts w:ascii="Palatino Linotype" w:hAnsi="Palatino Linotype"/>
        </w:rPr>
        <w:t xml:space="preserve">bundled </w:t>
      </w:r>
      <w:r w:rsidRPr="48D6FFE1" w:rsidR="00B90D59">
        <w:rPr>
          <w:rFonts w:ascii="Palatino Linotype" w:hAnsi="Palatino Linotype"/>
        </w:rPr>
        <w:t xml:space="preserve">broadband and voice </w:t>
      </w:r>
      <w:r w:rsidRPr="48D6FFE1" w:rsidR="00B373B0">
        <w:rPr>
          <w:rFonts w:ascii="Palatino Linotype" w:hAnsi="Palatino Linotype"/>
        </w:rPr>
        <w:t>services</w:t>
      </w:r>
      <w:r w:rsidRPr="48D6FFE1" w:rsidR="00B90D59">
        <w:rPr>
          <w:rFonts w:ascii="Palatino Linotype" w:hAnsi="Palatino Linotype"/>
        </w:rPr>
        <w:t xml:space="preserve">.  </w:t>
      </w:r>
      <w:r w:rsidRPr="48D6FFE1" w:rsidR="007C1135">
        <w:rPr>
          <w:rFonts w:ascii="Palatino Linotype" w:hAnsi="Palatino Linotype"/>
        </w:rPr>
        <w:t>Additionally,</w:t>
      </w:r>
      <w:r w:rsidRPr="48D6FFE1" w:rsidR="006A4F77">
        <w:rPr>
          <w:rFonts w:ascii="Palatino Linotype" w:hAnsi="Palatino Linotype"/>
        </w:rPr>
        <w:t xml:space="preserve"> low-income</w:t>
      </w:r>
      <w:r w:rsidRPr="48D6FFE1" w:rsidR="007C1135">
        <w:rPr>
          <w:rFonts w:ascii="Palatino Linotype" w:hAnsi="Palatino Linotype"/>
        </w:rPr>
        <w:t xml:space="preserve"> </w:t>
      </w:r>
      <w:r w:rsidRPr="48D6FFE1" w:rsidR="00B373B0">
        <w:rPr>
          <w:rFonts w:ascii="Palatino Linotype" w:hAnsi="Palatino Linotype"/>
        </w:rPr>
        <w:t>subscribers</w:t>
      </w:r>
      <w:r w:rsidRPr="48D6FFE1" w:rsidR="44D2E6B1">
        <w:rPr>
          <w:rFonts w:ascii="Palatino Linotype" w:hAnsi="Palatino Linotype"/>
        </w:rPr>
        <w:t>, including LifeLine voice subscribers,</w:t>
      </w:r>
      <w:r w:rsidRPr="48D6FFE1" w:rsidR="00B373B0">
        <w:rPr>
          <w:rFonts w:ascii="Palatino Linotype" w:hAnsi="Palatino Linotype"/>
        </w:rPr>
        <w:t xml:space="preserve"> are eligible for discounted broadband service (10 Mbps download / 1 Mbps upload for $1</w:t>
      </w:r>
      <w:r w:rsidRPr="48D6FFE1" w:rsidR="00AF7430">
        <w:rPr>
          <w:rFonts w:ascii="Palatino Linotype" w:hAnsi="Palatino Linotype"/>
        </w:rPr>
        <w:t>4</w:t>
      </w:r>
      <w:r w:rsidRPr="48D6FFE1" w:rsidR="00B373B0">
        <w:rPr>
          <w:rFonts w:ascii="Palatino Linotype" w:hAnsi="Palatino Linotype"/>
        </w:rPr>
        <w:t>.99</w:t>
      </w:r>
      <w:r w:rsidRPr="48D6FFE1" w:rsidR="00CE0FB4">
        <w:rPr>
          <w:rFonts w:ascii="Palatino Linotype" w:hAnsi="Palatino Linotype"/>
        </w:rPr>
        <w:t xml:space="preserve"> per </w:t>
      </w:r>
      <w:r w:rsidRPr="48D6FFE1" w:rsidR="00B373B0">
        <w:rPr>
          <w:rFonts w:ascii="Palatino Linotype" w:hAnsi="Palatino Linotype"/>
        </w:rPr>
        <w:t xml:space="preserve">month).  </w:t>
      </w:r>
      <w:bookmarkStart w:name="_Hlk11426828" w:id="3"/>
      <w:bookmarkEnd w:id="3"/>
    </w:p>
    <w:p w:rsidR="00AE1795" w:rsidP="48D6FFE1" w:rsidRDefault="00AE1795" w14:paraId="613A4C49" w14:textId="77777777">
      <w:pPr>
        <w:rPr>
          <w:rFonts w:ascii="Palatino Linotype" w:hAnsi="Palatino Linotype"/>
        </w:rPr>
      </w:pPr>
    </w:p>
    <w:p w:rsidR="00B373B0" w:rsidP="00AE1795" w:rsidRDefault="00B373B0" w14:paraId="7D80E61F" w14:textId="6DCEFD7C">
      <w:pPr>
        <w:pStyle w:val="Caption"/>
        <w:keepNext/>
        <w:spacing w:after="120"/>
        <w:jc w:val="center"/>
        <w:rPr>
          <w:rFonts w:ascii="Palatino Linotype" w:hAnsi="Palatino Linotype"/>
          <w:b/>
          <w:bCs/>
          <w:i w:val="0"/>
          <w:iCs w:val="0"/>
          <w:color w:val="auto"/>
          <w:sz w:val="24"/>
          <w:szCs w:val="24"/>
        </w:rPr>
      </w:pPr>
      <w:r w:rsidRPr="00352E7F">
        <w:rPr>
          <w:rFonts w:ascii="Palatino Linotype" w:hAnsi="Palatino Linotype"/>
          <w:b/>
          <w:bCs/>
          <w:i w:val="0"/>
          <w:iCs w:val="0"/>
          <w:color w:val="auto"/>
          <w:sz w:val="24"/>
          <w:szCs w:val="24"/>
        </w:rPr>
        <w:t xml:space="preserve">Table </w:t>
      </w:r>
      <w:r w:rsidR="00851CCC">
        <w:rPr>
          <w:rFonts w:ascii="Palatino Linotype" w:hAnsi="Palatino Linotype"/>
          <w:b/>
          <w:bCs/>
          <w:i w:val="0"/>
          <w:iCs w:val="0"/>
          <w:color w:val="auto"/>
          <w:sz w:val="24"/>
          <w:szCs w:val="24"/>
        </w:rPr>
        <w:t>6</w:t>
      </w:r>
      <w:r w:rsidRPr="00352E7F" w:rsidR="0017774E">
        <w:rPr>
          <w:rFonts w:ascii="Palatino Linotype" w:hAnsi="Palatino Linotype"/>
          <w:b/>
          <w:bCs/>
          <w:i w:val="0"/>
          <w:iCs w:val="0"/>
          <w:color w:val="auto"/>
          <w:sz w:val="24"/>
          <w:szCs w:val="24"/>
        </w:rPr>
        <w:t>:</w:t>
      </w:r>
      <w:r w:rsidRPr="00352E7F">
        <w:rPr>
          <w:rFonts w:ascii="Palatino Linotype" w:hAnsi="Palatino Linotype"/>
          <w:b/>
          <w:bCs/>
          <w:i w:val="0"/>
          <w:iCs w:val="0"/>
          <w:color w:val="auto"/>
          <w:sz w:val="24"/>
          <w:szCs w:val="24"/>
        </w:rPr>
        <w:t xml:space="preserve"> </w:t>
      </w:r>
      <w:r w:rsidR="00131245">
        <w:rPr>
          <w:rFonts w:ascii="Palatino Linotype" w:hAnsi="Palatino Linotype"/>
          <w:b/>
          <w:bCs/>
          <w:i w:val="0"/>
          <w:iCs w:val="0"/>
          <w:color w:val="auto"/>
          <w:sz w:val="24"/>
          <w:szCs w:val="24"/>
        </w:rPr>
        <w:t xml:space="preserve"> </w:t>
      </w:r>
      <w:r w:rsidR="007D4C1A">
        <w:rPr>
          <w:rFonts w:ascii="Palatino Linotype" w:hAnsi="Palatino Linotype"/>
          <w:b/>
          <w:bCs/>
          <w:i w:val="0"/>
          <w:iCs w:val="0"/>
          <w:color w:val="auto"/>
          <w:sz w:val="24"/>
          <w:szCs w:val="24"/>
        </w:rPr>
        <w:t>Standalone</w:t>
      </w:r>
      <w:r w:rsidR="00A77632">
        <w:rPr>
          <w:rFonts w:ascii="Palatino Linotype" w:hAnsi="Palatino Linotype"/>
          <w:b/>
          <w:bCs/>
          <w:i w:val="0"/>
          <w:iCs w:val="0"/>
          <w:color w:val="auto"/>
          <w:sz w:val="24"/>
          <w:szCs w:val="24"/>
        </w:rPr>
        <w:t xml:space="preserve"> </w:t>
      </w:r>
      <w:r w:rsidRPr="00352E7F">
        <w:rPr>
          <w:rFonts w:ascii="Palatino Linotype" w:hAnsi="Palatino Linotype"/>
          <w:b/>
          <w:bCs/>
          <w:i w:val="0"/>
          <w:iCs w:val="0"/>
          <w:color w:val="auto"/>
          <w:sz w:val="24"/>
          <w:szCs w:val="24"/>
        </w:rPr>
        <w:t>Broadband Pricing</w:t>
      </w:r>
      <w:r w:rsidR="009E2937">
        <w:rPr>
          <w:rFonts w:ascii="Palatino Linotype" w:hAnsi="Palatino Linotype"/>
          <w:b/>
          <w:bCs/>
          <w:i w:val="0"/>
          <w:iCs w:val="0"/>
          <w:color w:val="auto"/>
          <w:sz w:val="24"/>
          <w:szCs w:val="24"/>
        </w:rPr>
        <w:t xml:space="preserve"> Plan</w:t>
      </w:r>
    </w:p>
    <w:tbl>
      <w:tblPr>
        <w:tblStyle w:val="TableGrid"/>
        <w:tblW w:w="0" w:type="auto"/>
        <w:jc w:val="center"/>
        <w:tblInd w:w="0" w:type="dxa"/>
        <w:tblLook w:val="04A0" w:firstRow="1" w:lastRow="0" w:firstColumn="1" w:lastColumn="0" w:noHBand="0" w:noVBand="1"/>
      </w:tblPr>
      <w:tblGrid>
        <w:gridCol w:w="2159"/>
        <w:gridCol w:w="2338"/>
        <w:gridCol w:w="2338"/>
      </w:tblGrid>
      <w:tr w:rsidRPr="00352E7F" w:rsidR="00B373B0" w:rsidTr="00E62268" w14:paraId="1266764D" w14:textId="77777777">
        <w:trPr>
          <w:jc w:val="center"/>
        </w:trPr>
        <w:tc>
          <w:tcPr>
            <w:tcW w:w="2159"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352E7F" w:rsidR="00B373B0" w:rsidP="0017774E" w:rsidRDefault="00B373B0" w14:paraId="55093051" w14:textId="77777777">
            <w:pPr>
              <w:jc w:val="center"/>
              <w:rPr>
                <w:rFonts w:ascii="Palatino Linotype" w:hAnsi="Palatino Linotype"/>
                <w:b/>
                <w:color w:val="000000"/>
                <w:szCs w:val="24"/>
              </w:rPr>
            </w:pPr>
            <w:bookmarkStart w:name="_Hlk16606925" w:id="4"/>
            <w:r w:rsidRPr="00352E7F">
              <w:rPr>
                <w:rFonts w:ascii="Palatino Linotype" w:hAnsi="Palatino Linotype"/>
                <w:b/>
                <w:color w:val="000000"/>
                <w:szCs w:val="24"/>
              </w:rPr>
              <w:t>Download Speed</w:t>
            </w:r>
          </w:p>
        </w:tc>
        <w:tc>
          <w:tcPr>
            <w:tcW w:w="2338"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352E7F" w:rsidR="00B373B0" w:rsidP="0017774E" w:rsidRDefault="00B373B0" w14:paraId="5C8F7368" w14:textId="77777777">
            <w:pPr>
              <w:jc w:val="center"/>
              <w:rPr>
                <w:rFonts w:ascii="Palatino Linotype" w:hAnsi="Palatino Linotype"/>
                <w:b/>
                <w:color w:val="000000"/>
                <w:szCs w:val="24"/>
              </w:rPr>
            </w:pPr>
            <w:r w:rsidRPr="00352E7F">
              <w:rPr>
                <w:rFonts w:ascii="Palatino Linotype" w:hAnsi="Palatino Linotype"/>
                <w:b/>
                <w:color w:val="000000"/>
                <w:szCs w:val="24"/>
              </w:rPr>
              <w:t>Upload Speed</w:t>
            </w:r>
          </w:p>
        </w:tc>
        <w:tc>
          <w:tcPr>
            <w:tcW w:w="2338"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352E7F" w:rsidR="00B373B0" w:rsidP="0017774E" w:rsidRDefault="00B373B0" w14:paraId="064B50C6" w14:textId="77777777">
            <w:pPr>
              <w:jc w:val="center"/>
              <w:rPr>
                <w:rFonts w:ascii="Palatino Linotype" w:hAnsi="Palatino Linotype"/>
                <w:b/>
                <w:color w:val="000000"/>
                <w:szCs w:val="24"/>
              </w:rPr>
            </w:pPr>
            <w:r w:rsidRPr="00352E7F">
              <w:rPr>
                <w:rFonts w:ascii="Palatino Linotype" w:hAnsi="Palatino Linotype"/>
                <w:b/>
                <w:color w:val="000000"/>
                <w:szCs w:val="24"/>
              </w:rPr>
              <w:t>Monthly Price</w:t>
            </w:r>
          </w:p>
        </w:tc>
      </w:tr>
      <w:tr w:rsidRPr="00352E7F" w:rsidR="00B373B0" w:rsidTr="00E62268" w14:paraId="1F98606D" w14:textId="77777777">
        <w:trPr>
          <w:jc w:val="center"/>
        </w:trPr>
        <w:tc>
          <w:tcPr>
            <w:tcW w:w="2159" w:type="dxa"/>
            <w:tcBorders>
              <w:top w:val="single" w:color="auto" w:sz="4" w:space="0"/>
              <w:left w:val="single" w:color="auto" w:sz="4" w:space="0"/>
              <w:bottom w:val="single" w:color="auto" w:sz="4" w:space="0"/>
              <w:right w:val="single" w:color="auto" w:sz="4" w:space="0"/>
            </w:tcBorders>
            <w:hideMark/>
          </w:tcPr>
          <w:p w:rsidRPr="00352E7F" w:rsidR="00B373B0" w:rsidP="00084BA1" w:rsidRDefault="00E237D8" w14:paraId="7FD52E8D" w14:textId="644A431E">
            <w:pPr>
              <w:jc w:val="center"/>
              <w:rPr>
                <w:rFonts w:ascii="Palatino Linotype" w:hAnsi="Palatino Linotype"/>
                <w:color w:val="000000"/>
                <w:szCs w:val="24"/>
              </w:rPr>
            </w:pPr>
            <w:r>
              <w:rPr>
                <w:rFonts w:ascii="Palatino Linotype" w:hAnsi="Palatino Linotype"/>
                <w:color w:val="000000"/>
                <w:szCs w:val="24"/>
              </w:rPr>
              <w:t>50</w:t>
            </w:r>
            <w:r w:rsidRPr="00352E7F" w:rsidR="00B373B0">
              <w:rPr>
                <w:rFonts w:ascii="Palatino Linotype" w:hAnsi="Palatino Linotype"/>
                <w:color w:val="000000"/>
                <w:szCs w:val="24"/>
              </w:rPr>
              <w:t xml:space="preserve"> 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B373B0" w:rsidP="00084BA1" w:rsidRDefault="004B3F2C" w14:paraId="3067DB79" w14:textId="64D52B7B">
            <w:pPr>
              <w:jc w:val="center"/>
              <w:rPr>
                <w:rFonts w:ascii="Palatino Linotype" w:hAnsi="Palatino Linotype"/>
                <w:color w:val="000000"/>
                <w:szCs w:val="24"/>
              </w:rPr>
            </w:pPr>
            <w:r>
              <w:rPr>
                <w:rFonts w:ascii="Palatino Linotype" w:hAnsi="Palatino Linotype"/>
                <w:color w:val="000000"/>
                <w:szCs w:val="24"/>
              </w:rPr>
              <w:t>50</w:t>
            </w:r>
            <w:r w:rsidRPr="00352E7F" w:rsidR="00B373B0">
              <w:rPr>
                <w:rFonts w:ascii="Palatino Linotype" w:hAnsi="Palatino Linotype"/>
                <w:color w:val="000000"/>
                <w:szCs w:val="24"/>
              </w:rPr>
              <w:t xml:space="preserve"> 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B373B0" w:rsidP="00084BA1" w:rsidRDefault="00B373B0" w14:paraId="1B5B7B5D" w14:textId="24BB6F94">
            <w:pPr>
              <w:jc w:val="center"/>
              <w:rPr>
                <w:rFonts w:ascii="Palatino Linotype" w:hAnsi="Palatino Linotype"/>
                <w:color w:val="000000"/>
                <w:szCs w:val="24"/>
              </w:rPr>
            </w:pPr>
            <w:r w:rsidRPr="00352E7F">
              <w:rPr>
                <w:rFonts w:ascii="Palatino Linotype" w:hAnsi="Palatino Linotype"/>
                <w:color w:val="000000"/>
                <w:szCs w:val="24"/>
              </w:rPr>
              <w:t>$</w:t>
            </w:r>
            <w:r w:rsidR="00317976">
              <w:rPr>
                <w:rFonts w:ascii="Palatino Linotype" w:hAnsi="Palatino Linotype"/>
                <w:color w:val="000000"/>
                <w:szCs w:val="24"/>
              </w:rPr>
              <w:t>39.99</w:t>
            </w:r>
          </w:p>
        </w:tc>
      </w:tr>
      <w:tr w:rsidRPr="00352E7F" w:rsidR="00B373B0" w:rsidTr="00E62268" w14:paraId="4B676D23" w14:textId="77777777">
        <w:trPr>
          <w:jc w:val="center"/>
        </w:trPr>
        <w:tc>
          <w:tcPr>
            <w:tcW w:w="2159" w:type="dxa"/>
            <w:tcBorders>
              <w:top w:val="single" w:color="auto" w:sz="4" w:space="0"/>
              <w:left w:val="single" w:color="auto" w:sz="4" w:space="0"/>
              <w:bottom w:val="single" w:color="auto" w:sz="4" w:space="0"/>
              <w:right w:val="single" w:color="auto" w:sz="4" w:space="0"/>
            </w:tcBorders>
            <w:hideMark/>
          </w:tcPr>
          <w:p w:rsidRPr="00352E7F" w:rsidR="00B373B0" w:rsidP="00084BA1" w:rsidRDefault="00E237D8" w14:paraId="33B7ED92" w14:textId="727F97A7">
            <w:pPr>
              <w:jc w:val="center"/>
              <w:rPr>
                <w:rFonts w:ascii="Palatino Linotype" w:hAnsi="Palatino Linotype"/>
                <w:color w:val="000000"/>
                <w:szCs w:val="24"/>
              </w:rPr>
            </w:pPr>
            <w:r>
              <w:rPr>
                <w:rFonts w:ascii="Palatino Linotype" w:hAnsi="Palatino Linotype"/>
                <w:color w:val="000000"/>
                <w:szCs w:val="24"/>
              </w:rPr>
              <w:t>100</w:t>
            </w:r>
            <w:r w:rsidRPr="00352E7F" w:rsidR="00B373B0">
              <w:rPr>
                <w:rFonts w:ascii="Palatino Linotype" w:hAnsi="Palatino Linotype"/>
                <w:color w:val="000000"/>
                <w:szCs w:val="24"/>
              </w:rPr>
              <w:t xml:space="preserve"> 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B373B0" w:rsidP="00084BA1" w:rsidRDefault="004B3F2C" w14:paraId="3221C7D1" w14:textId="027B0B36">
            <w:pPr>
              <w:jc w:val="center"/>
              <w:rPr>
                <w:rFonts w:ascii="Palatino Linotype" w:hAnsi="Palatino Linotype"/>
                <w:color w:val="000000"/>
                <w:szCs w:val="24"/>
              </w:rPr>
            </w:pPr>
            <w:r>
              <w:rPr>
                <w:rFonts w:ascii="Palatino Linotype" w:hAnsi="Palatino Linotype"/>
                <w:color w:val="000000"/>
                <w:szCs w:val="24"/>
              </w:rPr>
              <w:t>100</w:t>
            </w:r>
            <w:r w:rsidRPr="00352E7F" w:rsidR="00B373B0">
              <w:rPr>
                <w:rFonts w:ascii="Palatino Linotype" w:hAnsi="Palatino Linotype"/>
                <w:color w:val="000000"/>
                <w:szCs w:val="24"/>
              </w:rPr>
              <w:t xml:space="preserve"> 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B373B0" w:rsidP="00084BA1" w:rsidRDefault="00B373B0" w14:paraId="54FB653B" w14:textId="7712EA4D">
            <w:pPr>
              <w:jc w:val="center"/>
              <w:rPr>
                <w:rFonts w:ascii="Palatino Linotype" w:hAnsi="Palatino Linotype"/>
                <w:color w:val="000000"/>
                <w:szCs w:val="24"/>
              </w:rPr>
            </w:pPr>
            <w:r w:rsidRPr="00352E7F">
              <w:rPr>
                <w:rFonts w:ascii="Palatino Linotype" w:hAnsi="Palatino Linotype"/>
                <w:color w:val="000000"/>
                <w:szCs w:val="24"/>
              </w:rPr>
              <w:t>$</w:t>
            </w:r>
            <w:r w:rsidR="00317976">
              <w:rPr>
                <w:rFonts w:ascii="Palatino Linotype" w:hAnsi="Palatino Linotype"/>
                <w:color w:val="000000"/>
                <w:szCs w:val="24"/>
              </w:rPr>
              <w:t>49.99</w:t>
            </w:r>
          </w:p>
        </w:tc>
      </w:tr>
      <w:tr w:rsidRPr="00352E7F" w:rsidR="00B373B0" w:rsidTr="00E62268" w14:paraId="051FB05B" w14:textId="77777777">
        <w:trPr>
          <w:jc w:val="center"/>
        </w:trPr>
        <w:tc>
          <w:tcPr>
            <w:tcW w:w="2159" w:type="dxa"/>
            <w:tcBorders>
              <w:top w:val="single" w:color="auto" w:sz="4" w:space="0"/>
              <w:left w:val="single" w:color="auto" w:sz="4" w:space="0"/>
              <w:bottom w:val="single" w:color="auto" w:sz="4" w:space="0"/>
              <w:right w:val="single" w:color="auto" w:sz="4" w:space="0"/>
            </w:tcBorders>
            <w:hideMark/>
          </w:tcPr>
          <w:p w:rsidRPr="00352E7F" w:rsidR="00B373B0" w:rsidP="00084BA1" w:rsidRDefault="00B373B0" w14:paraId="59D2B659" w14:textId="2261F38F">
            <w:pPr>
              <w:jc w:val="center"/>
              <w:rPr>
                <w:rFonts w:ascii="Palatino Linotype" w:hAnsi="Palatino Linotype"/>
                <w:color w:val="000000"/>
                <w:szCs w:val="24"/>
              </w:rPr>
            </w:pPr>
            <w:r w:rsidRPr="00352E7F">
              <w:rPr>
                <w:rFonts w:ascii="Palatino Linotype" w:hAnsi="Palatino Linotype"/>
                <w:color w:val="000000"/>
                <w:szCs w:val="24"/>
              </w:rPr>
              <w:t>2</w:t>
            </w:r>
            <w:r w:rsidR="00E237D8">
              <w:rPr>
                <w:rFonts w:ascii="Palatino Linotype" w:hAnsi="Palatino Linotype"/>
                <w:color w:val="000000"/>
                <w:szCs w:val="24"/>
              </w:rPr>
              <w:t xml:space="preserve">00 </w:t>
            </w:r>
            <w:r w:rsidRPr="00352E7F">
              <w:rPr>
                <w:rFonts w:ascii="Palatino Linotype" w:hAnsi="Palatino Linotype"/>
                <w:color w:val="000000"/>
                <w:szCs w:val="24"/>
              </w:rPr>
              <w:t>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B373B0" w:rsidP="00084BA1" w:rsidRDefault="00B373B0" w14:paraId="03AA5DFC" w14:textId="08A8734F">
            <w:pPr>
              <w:jc w:val="center"/>
              <w:rPr>
                <w:rFonts w:ascii="Palatino Linotype" w:hAnsi="Palatino Linotype"/>
                <w:color w:val="000000"/>
                <w:szCs w:val="24"/>
              </w:rPr>
            </w:pPr>
            <w:r w:rsidRPr="00352E7F">
              <w:rPr>
                <w:rFonts w:ascii="Palatino Linotype" w:hAnsi="Palatino Linotype"/>
                <w:color w:val="000000"/>
                <w:szCs w:val="24"/>
              </w:rPr>
              <w:t>2</w:t>
            </w:r>
            <w:r w:rsidR="004B3F2C">
              <w:rPr>
                <w:rFonts w:ascii="Palatino Linotype" w:hAnsi="Palatino Linotype"/>
                <w:color w:val="000000"/>
                <w:szCs w:val="24"/>
              </w:rPr>
              <w:t>00</w:t>
            </w:r>
            <w:r w:rsidRPr="00352E7F">
              <w:rPr>
                <w:rFonts w:ascii="Palatino Linotype" w:hAnsi="Palatino Linotype"/>
                <w:color w:val="000000"/>
                <w:szCs w:val="24"/>
              </w:rPr>
              <w:t xml:space="preserve"> 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B373B0" w:rsidP="00084BA1" w:rsidRDefault="00B373B0" w14:paraId="39E4445F" w14:textId="2B11290D">
            <w:pPr>
              <w:jc w:val="center"/>
              <w:rPr>
                <w:rFonts w:ascii="Palatino Linotype" w:hAnsi="Palatino Linotype"/>
                <w:color w:val="000000"/>
                <w:szCs w:val="24"/>
              </w:rPr>
            </w:pPr>
            <w:r w:rsidRPr="00352E7F">
              <w:rPr>
                <w:rFonts w:ascii="Palatino Linotype" w:hAnsi="Palatino Linotype"/>
                <w:color w:val="000000"/>
                <w:szCs w:val="24"/>
              </w:rPr>
              <w:t>$</w:t>
            </w:r>
            <w:r w:rsidR="00317976">
              <w:rPr>
                <w:rFonts w:ascii="Palatino Linotype" w:hAnsi="Palatino Linotype"/>
                <w:color w:val="000000"/>
                <w:szCs w:val="24"/>
              </w:rPr>
              <w:t>49</w:t>
            </w:r>
            <w:r w:rsidR="007D4C1A">
              <w:rPr>
                <w:rFonts w:ascii="Palatino Linotype" w:hAnsi="Palatino Linotype"/>
                <w:color w:val="000000"/>
                <w:szCs w:val="24"/>
              </w:rPr>
              <w:t>.99</w:t>
            </w:r>
          </w:p>
        </w:tc>
      </w:tr>
      <w:tr w:rsidRPr="00352E7F" w:rsidR="00B373B0" w:rsidTr="00E62268" w14:paraId="05EECB23" w14:textId="77777777">
        <w:trPr>
          <w:jc w:val="center"/>
        </w:trPr>
        <w:tc>
          <w:tcPr>
            <w:tcW w:w="2159" w:type="dxa"/>
            <w:tcBorders>
              <w:top w:val="single" w:color="auto" w:sz="4" w:space="0"/>
              <w:left w:val="single" w:color="auto" w:sz="4" w:space="0"/>
              <w:bottom w:val="single" w:color="auto" w:sz="4" w:space="0"/>
              <w:right w:val="single" w:color="auto" w:sz="4" w:space="0"/>
            </w:tcBorders>
            <w:hideMark/>
          </w:tcPr>
          <w:p w:rsidRPr="00352E7F" w:rsidR="00B373B0" w:rsidP="00084BA1" w:rsidRDefault="00E237D8" w14:paraId="2BBD3D3F" w14:textId="50D398C9">
            <w:pPr>
              <w:jc w:val="center"/>
              <w:rPr>
                <w:rFonts w:ascii="Palatino Linotype" w:hAnsi="Palatino Linotype"/>
                <w:color w:val="000000"/>
                <w:szCs w:val="24"/>
              </w:rPr>
            </w:pPr>
            <w:r>
              <w:rPr>
                <w:rFonts w:ascii="Palatino Linotype" w:hAnsi="Palatino Linotype"/>
                <w:color w:val="000000"/>
                <w:szCs w:val="24"/>
              </w:rPr>
              <w:t>500</w:t>
            </w:r>
            <w:r w:rsidRPr="00352E7F" w:rsidR="00B373B0">
              <w:rPr>
                <w:rFonts w:ascii="Palatino Linotype" w:hAnsi="Palatino Linotype"/>
                <w:color w:val="000000"/>
                <w:szCs w:val="24"/>
              </w:rPr>
              <w:t xml:space="preserve"> 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B373B0" w:rsidP="00084BA1" w:rsidRDefault="004B3F2C" w14:paraId="15E3577B" w14:textId="17088F53">
            <w:pPr>
              <w:jc w:val="center"/>
              <w:rPr>
                <w:rFonts w:ascii="Palatino Linotype" w:hAnsi="Palatino Linotype"/>
                <w:color w:val="000000"/>
                <w:szCs w:val="24"/>
              </w:rPr>
            </w:pPr>
            <w:r>
              <w:rPr>
                <w:rFonts w:ascii="Palatino Linotype" w:hAnsi="Palatino Linotype"/>
                <w:color w:val="000000"/>
                <w:szCs w:val="24"/>
              </w:rPr>
              <w:t>500</w:t>
            </w:r>
            <w:r w:rsidRPr="00352E7F" w:rsidR="00B373B0">
              <w:rPr>
                <w:rFonts w:ascii="Palatino Linotype" w:hAnsi="Palatino Linotype"/>
                <w:color w:val="000000"/>
                <w:szCs w:val="24"/>
              </w:rPr>
              <w:t xml:space="preserve"> 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B373B0" w:rsidP="00084BA1" w:rsidRDefault="00B373B0" w14:paraId="4D9FC8FF" w14:textId="19FD002C">
            <w:pPr>
              <w:jc w:val="center"/>
              <w:rPr>
                <w:rFonts w:ascii="Palatino Linotype" w:hAnsi="Palatino Linotype"/>
                <w:color w:val="000000"/>
                <w:szCs w:val="24"/>
              </w:rPr>
            </w:pPr>
            <w:r w:rsidRPr="00352E7F">
              <w:rPr>
                <w:rFonts w:ascii="Palatino Linotype" w:hAnsi="Palatino Linotype"/>
                <w:color w:val="000000"/>
                <w:szCs w:val="24"/>
              </w:rPr>
              <w:t>$4</w:t>
            </w:r>
            <w:r w:rsidR="007D4C1A">
              <w:rPr>
                <w:rFonts w:ascii="Palatino Linotype" w:hAnsi="Palatino Linotype"/>
                <w:color w:val="000000"/>
                <w:szCs w:val="24"/>
              </w:rPr>
              <w:t>9.99</w:t>
            </w:r>
          </w:p>
        </w:tc>
      </w:tr>
      <w:tr w:rsidRPr="00352E7F" w:rsidR="00B373B0" w:rsidTr="00E62268" w14:paraId="33237B2E" w14:textId="77777777">
        <w:trPr>
          <w:jc w:val="center"/>
        </w:trPr>
        <w:tc>
          <w:tcPr>
            <w:tcW w:w="2159" w:type="dxa"/>
            <w:tcBorders>
              <w:top w:val="single" w:color="auto" w:sz="4" w:space="0"/>
              <w:left w:val="single" w:color="auto" w:sz="4" w:space="0"/>
              <w:bottom w:val="single" w:color="auto" w:sz="4" w:space="0"/>
              <w:right w:val="single" w:color="auto" w:sz="4" w:space="0"/>
            </w:tcBorders>
            <w:hideMark/>
          </w:tcPr>
          <w:p w:rsidRPr="00352E7F" w:rsidR="00B373B0" w:rsidP="00084BA1" w:rsidRDefault="00342C72" w14:paraId="34F3B1CA" w14:textId="2A7C3497">
            <w:pPr>
              <w:jc w:val="center"/>
              <w:rPr>
                <w:rFonts w:ascii="Palatino Linotype" w:hAnsi="Palatino Linotype"/>
                <w:color w:val="000000"/>
                <w:szCs w:val="24"/>
              </w:rPr>
            </w:pPr>
            <w:r>
              <w:rPr>
                <w:rFonts w:ascii="Palatino Linotype" w:hAnsi="Palatino Linotype"/>
                <w:color w:val="000000"/>
                <w:szCs w:val="24"/>
              </w:rPr>
              <w:t>940</w:t>
            </w:r>
            <w:r w:rsidRPr="00352E7F" w:rsidR="00B373B0">
              <w:rPr>
                <w:rFonts w:ascii="Palatino Linotype" w:hAnsi="Palatino Linotype"/>
                <w:color w:val="000000"/>
                <w:szCs w:val="24"/>
              </w:rPr>
              <w:t xml:space="preserve"> 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B373B0" w:rsidP="00084BA1" w:rsidRDefault="004B3F2C" w14:paraId="03F87571" w14:textId="2C299605">
            <w:pPr>
              <w:jc w:val="center"/>
              <w:rPr>
                <w:rFonts w:ascii="Palatino Linotype" w:hAnsi="Palatino Linotype"/>
                <w:color w:val="000000"/>
                <w:szCs w:val="24"/>
              </w:rPr>
            </w:pPr>
            <w:r>
              <w:rPr>
                <w:rFonts w:ascii="Palatino Linotype" w:hAnsi="Palatino Linotype"/>
                <w:color w:val="000000"/>
                <w:szCs w:val="24"/>
              </w:rPr>
              <w:t>880</w:t>
            </w:r>
            <w:r w:rsidRPr="00352E7F" w:rsidR="00B373B0">
              <w:rPr>
                <w:rFonts w:ascii="Palatino Linotype" w:hAnsi="Palatino Linotype"/>
                <w:color w:val="000000"/>
                <w:szCs w:val="24"/>
              </w:rPr>
              <w:t xml:space="preserve"> 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B373B0" w:rsidP="00084BA1" w:rsidRDefault="00B373B0" w14:paraId="6DBE2878" w14:textId="56CE9396">
            <w:pPr>
              <w:jc w:val="center"/>
              <w:rPr>
                <w:rFonts w:ascii="Palatino Linotype" w:hAnsi="Palatino Linotype"/>
                <w:color w:val="000000"/>
                <w:szCs w:val="24"/>
              </w:rPr>
            </w:pPr>
            <w:r w:rsidRPr="00352E7F">
              <w:rPr>
                <w:rFonts w:ascii="Palatino Linotype" w:hAnsi="Palatino Linotype"/>
                <w:color w:val="000000"/>
                <w:szCs w:val="24"/>
              </w:rPr>
              <w:t>$</w:t>
            </w:r>
            <w:r w:rsidR="007D4C1A">
              <w:rPr>
                <w:rFonts w:ascii="Palatino Linotype" w:hAnsi="Palatino Linotype"/>
                <w:color w:val="000000"/>
                <w:szCs w:val="24"/>
              </w:rPr>
              <w:t>74.99</w:t>
            </w:r>
          </w:p>
        </w:tc>
      </w:tr>
      <w:bookmarkEnd w:id="4"/>
    </w:tbl>
    <w:p w:rsidR="00DA3DFC" w:rsidP="00337F32" w:rsidRDefault="00DA3DFC" w14:paraId="7FAC856A" w14:textId="77777777">
      <w:pPr>
        <w:pStyle w:val="Caption"/>
        <w:keepNext/>
        <w:spacing w:before="240" w:after="120"/>
        <w:jc w:val="center"/>
        <w:rPr>
          <w:rFonts w:ascii="Palatino Linotype" w:hAnsi="Palatino Linotype"/>
          <w:b/>
          <w:bCs/>
          <w:i w:val="0"/>
          <w:iCs w:val="0"/>
          <w:color w:val="auto"/>
          <w:sz w:val="24"/>
          <w:szCs w:val="24"/>
        </w:rPr>
      </w:pPr>
    </w:p>
    <w:p w:rsidR="00DA3DFC" w:rsidRDefault="00DA3DFC" w14:paraId="14A40CA1" w14:textId="77777777">
      <w:pPr>
        <w:spacing w:after="160" w:line="259" w:lineRule="auto"/>
        <w:rPr>
          <w:rFonts w:ascii="Palatino Linotype" w:hAnsi="Palatino Linotype"/>
          <w:b/>
          <w:bCs/>
          <w:szCs w:val="24"/>
        </w:rPr>
      </w:pPr>
      <w:r>
        <w:rPr>
          <w:rFonts w:ascii="Palatino Linotype" w:hAnsi="Palatino Linotype"/>
          <w:b/>
          <w:bCs/>
          <w:i/>
          <w:iCs/>
          <w:szCs w:val="24"/>
        </w:rPr>
        <w:br w:type="page"/>
      </w:r>
    </w:p>
    <w:p w:rsidR="007D4C1A" w:rsidP="00AE1795" w:rsidRDefault="007D4C1A" w14:paraId="6695EB55" w14:textId="18872BB2">
      <w:pPr>
        <w:pStyle w:val="Caption"/>
        <w:keepNext/>
        <w:spacing w:after="120"/>
        <w:jc w:val="center"/>
        <w:rPr>
          <w:rFonts w:ascii="Palatino Linotype" w:hAnsi="Palatino Linotype"/>
          <w:b/>
          <w:bCs/>
          <w:i w:val="0"/>
          <w:iCs w:val="0"/>
          <w:color w:val="auto"/>
          <w:sz w:val="24"/>
          <w:szCs w:val="24"/>
        </w:rPr>
      </w:pPr>
      <w:r w:rsidRPr="00352E7F">
        <w:rPr>
          <w:rFonts w:ascii="Palatino Linotype" w:hAnsi="Palatino Linotype"/>
          <w:b/>
          <w:bCs/>
          <w:i w:val="0"/>
          <w:iCs w:val="0"/>
          <w:color w:val="auto"/>
          <w:sz w:val="24"/>
          <w:szCs w:val="24"/>
        </w:rPr>
        <w:lastRenderedPageBreak/>
        <w:t xml:space="preserve">Table </w:t>
      </w:r>
      <w:r w:rsidR="00851CCC">
        <w:rPr>
          <w:rFonts w:ascii="Palatino Linotype" w:hAnsi="Palatino Linotype"/>
          <w:b/>
          <w:bCs/>
          <w:i w:val="0"/>
          <w:iCs w:val="0"/>
          <w:color w:val="auto"/>
          <w:sz w:val="24"/>
          <w:szCs w:val="24"/>
        </w:rPr>
        <w:t>7</w:t>
      </w:r>
      <w:r w:rsidRPr="00352E7F">
        <w:rPr>
          <w:rFonts w:ascii="Palatino Linotype" w:hAnsi="Palatino Linotype"/>
          <w:b/>
          <w:bCs/>
          <w:i w:val="0"/>
          <w:iCs w:val="0"/>
          <w:color w:val="auto"/>
          <w:sz w:val="24"/>
          <w:szCs w:val="24"/>
        </w:rPr>
        <w:t xml:space="preserve">: </w:t>
      </w:r>
      <w:r>
        <w:rPr>
          <w:rFonts w:ascii="Palatino Linotype" w:hAnsi="Palatino Linotype"/>
          <w:b/>
          <w:bCs/>
          <w:i w:val="0"/>
          <w:iCs w:val="0"/>
          <w:color w:val="auto"/>
          <w:sz w:val="24"/>
          <w:szCs w:val="24"/>
        </w:rPr>
        <w:t xml:space="preserve"> Broadband/Voice Bundled </w:t>
      </w:r>
      <w:r w:rsidRPr="00352E7F">
        <w:rPr>
          <w:rFonts w:ascii="Palatino Linotype" w:hAnsi="Palatino Linotype"/>
          <w:b/>
          <w:bCs/>
          <w:i w:val="0"/>
          <w:iCs w:val="0"/>
          <w:color w:val="auto"/>
          <w:sz w:val="24"/>
          <w:szCs w:val="24"/>
        </w:rPr>
        <w:t>Pricing</w:t>
      </w:r>
      <w:r>
        <w:rPr>
          <w:rFonts w:ascii="Palatino Linotype" w:hAnsi="Palatino Linotype"/>
          <w:b/>
          <w:bCs/>
          <w:i w:val="0"/>
          <w:iCs w:val="0"/>
          <w:color w:val="auto"/>
          <w:sz w:val="24"/>
          <w:szCs w:val="24"/>
        </w:rPr>
        <w:t xml:space="preserve"> Plan</w:t>
      </w:r>
    </w:p>
    <w:tbl>
      <w:tblPr>
        <w:tblStyle w:val="TableGrid"/>
        <w:tblW w:w="0" w:type="auto"/>
        <w:jc w:val="center"/>
        <w:tblInd w:w="0" w:type="dxa"/>
        <w:tblLook w:val="04A0" w:firstRow="1" w:lastRow="0" w:firstColumn="1" w:lastColumn="0" w:noHBand="0" w:noVBand="1"/>
      </w:tblPr>
      <w:tblGrid>
        <w:gridCol w:w="2159"/>
        <w:gridCol w:w="2338"/>
        <w:gridCol w:w="2338"/>
      </w:tblGrid>
      <w:tr w:rsidRPr="00352E7F" w:rsidR="007D4C1A" w:rsidTr="00556FEA" w14:paraId="1D6B9E2B" w14:textId="77777777">
        <w:trPr>
          <w:jc w:val="center"/>
        </w:trPr>
        <w:tc>
          <w:tcPr>
            <w:tcW w:w="2159"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352E7F" w:rsidR="007D4C1A" w:rsidP="00556FEA" w:rsidRDefault="007D4C1A" w14:paraId="2072157D" w14:textId="77777777">
            <w:pPr>
              <w:jc w:val="center"/>
              <w:rPr>
                <w:rFonts w:ascii="Palatino Linotype" w:hAnsi="Palatino Linotype"/>
                <w:b/>
                <w:color w:val="000000"/>
                <w:szCs w:val="24"/>
              </w:rPr>
            </w:pPr>
            <w:r w:rsidRPr="00352E7F">
              <w:rPr>
                <w:rFonts w:ascii="Palatino Linotype" w:hAnsi="Palatino Linotype"/>
                <w:b/>
                <w:color w:val="000000"/>
                <w:szCs w:val="24"/>
              </w:rPr>
              <w:t>Download Speed</w:t>
            </w:r>
          </w:p>
        </w:tc>
        <w:tc>
          <w:tcPr>
            <w:tcW w:w="2338"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352E7F" w:rsidR="007D4C1A" w:rsidP="00556FEA" w:rsidRDefault="007D4C1A" w14:paraId="53AF2EAE" w14:textId="77777777">
            <w:pPr>
              <w:jc w:val="center"/>
              <w:rPr>
                <w:rFonts w:ascii="Palatino Linotype" w:hAnsi="Palatino Linotype"/>
                <w:b/>
                <w:color w:val="000000"/>
                <w:szCs w:val="24"/>
              </w:rPr>
            </w:pPr>
            <w:r w:rsidRPr="00352E7F">
              <w:rPr>
                <w:rFonts w:ascii="Palatino Linotype" w:hAnsi="Palatino Linotype"/>
                <w:b/>
                <w:color w:val="000000"/>
                <w:szCs w:val="24"/>
              </w:rPr>
              <w:t>Upload Speed</w:t>
            </w:r>
          </w:p>
        </w:tc>
        <w:tc>
          <w:tcPr>
            <w:tcW w:w="2338" w:type="dxa"/>
            <w:tcBorders>
              <w:top w:val="single" w:color="auto" w:sz="4" w:space="0"/>
              <w:left w:val="single" w:color="auto" w:sz="4" w:space="0"/>
              <w:bottom w:val="single" w:color="auto" w:sz="4" w:space="0"/>
              <w:right w:val="single" w:color="auto" w:sz="4" w:space="0"/>
            </w:tcBorders>
            <w:shd w:val="clear" w:color="auto" w:fill="E7E6E6" w:themeFill="background2"/>
            <w:hideMark/>
          </w:tcPr>
          <w:p w:rsidRPr="00352E7F" w:rsidR="007D4C1A" w:rsidP="00556FEA" w:rsidRDefault="007D4C1A" w14:paraId="029EB3FD" w14:textId="77777777">
            <w:pPr>
              <w:jc w:val="center"/>
              <w:rPr>
                <w:rFonts w:ascii="Palatino Linotype" w:hAnsi="Palatino Linotype"/>
                <w:b/>
                <w:color w:val="000000"/>
                <w:szCs w:val="24"/>
              </w:rPr>
            </w:pPr>
            <w:r w:rsidRPr="00352E7F">
              <w:rPr>
                <w:rFonts w:ascii="Palatino Linotype" w:hAnsi="Palatino Linotype"/>
                <w:b/>
                <w:color w:val="000000"/>
                <w:szCs w:val="24"/>
              </w:rPr>
              <w:t>Monthly Price</w:t>
            </w:r>
          </w:p>
        </w:tc>
      </w:tr>
      <w:tr w:rsidRPr="00352E7F" w:rsidR="007D4C1A" w:rsidTr="00556FEA" w14:paraId="12848155" w14:textId="77777777">
        <w:trPr>
          <w:jc w:val="center"/>
        </w:trPr>
        <w:tc>
          <w:tcPr>
            <w:tcW w:w="2159" w:type="dxa"/>
            <w:tcBorders>
              <w:top w:val="single" w:color="auto" w:sz="4" w:space="0"/>
              <w:left w:val="single" w:color="auto" w:sz="4" w:space="0"/>
              <w:bottom w:val="single" w:color="auto" w:sz="4" w:space="0"/>
              <w:right w:val="single" w:color="auto" w:sz="4" w:space="0"/>
            </w:tcBorders>
            <w:hideMark/>
          </w:tcPr>
          <w:p w:rsidRPr="00352E7F" w:rsidR="007D4C1A" w:rsidP="00556FEA" w:rsidRDefault="007D4C1A" w14:paraId="449FA660" w14:textId="77777777">
            <w:pPr>
              <w:jc w:val="center"/>
              <w:rPr>
                <w:rFonts w:ascii="Palatino Linotype" w:hAnsi="Palatino Linotype"/>
                <w:color w:val="000000"/>
                <w:szCs w:val="24"/>
              </w:rPr>
            </w:pPr>
            <w:r>
              <w:rPr>
                <w:rFonts w:ascii="Palatino Linotype" w:hAnsi="Palatino Linotype"/>
                <w:color w:val="000000"/>
                <w:szCs w:val="24"/>
              </w:rPr>
              <w:t>50</w:t>
            </w:r>
            <w:r w:rsidRPr="00352E7F">
              <w:rPr>
                <w:rFonts w:ascii="Palatino Linotype" w:hAnsi="Palatino Linotype"/>
                <w:color w:val="000000"/>
                <w:szCs w:val="24"/>
              </w:rPr>
              <w:t xml:space="preserve"> 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7D4C1A" w:rsidP="00556FEA" w:rsidRDefault="007D4C1A" w14:paraId="3BBE77AF" w14:textId="77777777">
            <w:pPr>
              <w:jc w:val="center"/>
              <w:rPr>
                <w:rFonts w:ascii="Palatino Linotype" w:hAnsi="Palatino Linotype"/>
                <w:color w:val="000000"/>
                <w:szCs w:val="24"/>
              </w:rPr>
            </w:pPr>
            <w:r>
              <w:rPr>
                <w:rFonts w:ascii="Palatino Linotype" w:hAnsi="Palatino Linotype"/>
                <w:color w:val="000000"/>
                <w:szCs w:val="24"/>
              </w:rPr>
              <w:t>50</w:t>
            </w:r>
            <w:r w:rsidRPr="00352E7F">
              <w:rPr>
                <w:rFonts w:ascii="Palatino Linotype" w:hAnsi="Palatino Linotype"/>
                <w:color w:val="000000"/>
                <w:szCs w:val="24"/>
              </w:rPr>
              <w:t xml:space="preserve"> 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7D4C1A" w:rsidP="00556FEA" w:rsidRDefault="007D4C1A" w14:paraId="15024101" w14:textId="64A5AF96">
            <w:pPr>
              <w:jc w:val="center"/>
              <w:rPr>
                <w:rFonts w:ascii="Palatino Linotype" w:hAnsi="Palatino Linotype"/>
                <w:color w:val="000000"/>
                <w:szCs w:val="24"/>
              </w:rPr>
            </w:pPr>
            <w:r w:rsidRPr="00352E7F">
              <w:rPr>
                <w:rFonts w:ascii="Palatino Linotype" w:hAnsi="Palatino Linotype"/>
                <w:color w:val="000000"/>
                <w:szCs w:val="24"/>
              </w:rPr>
              <w:t>$</w:t>
            </w:r>
            <w:r w:rsidR="00ED1CA8">
              <w:rPr>
                <w:rFonts w:ascii="Palatino Linotype" w:hAnsi="Palatino Linotype"/>
                <w:color w:val="000000"/>
                <w:szCs w:val="24"/>
              </w:rPr>
              <w:t>4</w:t>
            </w:r>
            <w:r>
              <w:rPr>
                <w:rFonts w:ascii="Palatino Linotype" w:hAnsi="Palatino Linotype"/>
                <w:color w:val="000000"/>
                <w:szCs w:val="24"/>
              </w:rPr>
              <w:t>9.99</w:t>
            </w:r>
          </w:p>
        </w:tc>
      </w:tr>
      <w:tr w:rsidRPr="00352E7F" w:rsidR="007D4C1A" w:rsidTr="00556FEA" w14:paraId="189FAB46" w14:textId="77777777">
        <w:trPr>
          <w:jc w:val="center"/>
        </w:trPr>
        <w:tc>
          <w:tcPr>
            <w:tcW w:w="2159" w:type="dxa"/>
            <w:tcBorders>
              <w:top w:val="single" w:color="auto" w:sz="4" w:space="0"/>
              <w:left w:val="single" w:color="auto" w:sz="4" w:space="0"/>
              <w:bottom w:val="single" w:color="auto" w:sz="4" w:space="0"/>
              <w:right w:val="single" w:color="auto" w:sz="4" w:space="0"/>
            </w:tcBorders>
            <w:hideMark/>
          </w:tcPr>
          <w:p w:rsidRPr="00352E7F" w:rsidR="007D4C1A" w:rsidP="00556FEA" w:rsidRDefault="007D4C1A" w14:paraId="006255AD" w14:textId="77777777">
            <w:pPr>
              <w:jc w:val="center"/>
              <w:rPr>
                <w:rFonts w:ascii="Palatino Linotype" w:hAnsi="Palatino Linotype"/>
                <w:color w:val="000000"/>
                <w:szCs w:val="24"/>
              </w:rPr>
            </w:pPr>
            <w:r>
              <w:rPr>
                <w:rFonts w:ascii="Palatino Linotype" w:hAnsi="Palatino Linotype"/>
                <w:color w:val="000000"/>
                <w:szCs w:val="24"/>
              </w:rPr>
              <w:t>100</w:t>
            </w:r>
            <w:r w:rsidRPr="00352E7F">
              <w:rPr>
                <w:rFonts w:ascii="Palatino Linotype" w:hAnsi="Palatino Linotype"/>
                <w:color w:val="000000"/>
                <w:szCs w:val="24"/>
              </w:rPr>
              <w:t xml:space="preserve"> 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7D4C1A" w:rsidP="00556FEA" w:rsidRDefault="007D4C1A" w14:paraId="577D7F60" w14:textId="77777777">
            <w:pPr>
              <w:jc w:val="center"/>
              <w:rPr>
                <w:rFonts w:ascii="Palatino Linotype" w:hAnsi="Palatino Linotype"/>
                <w:color w:val="000000"/>
                <w:szCs w:val="24"/>
              </w:rPr>
            </w:pPr>
            <w:r>
              <w:rPr>
                <w:rFonts w:ascii="Palatino Linotype" w:hAnsi="Palatino Linotype"/>
                <w:color w:val="000000"/>
                <w:szCs w:val="24"/>
              </w:rPr>
              <w:t>100</w:t>
            </w:r>
            <w:r w:rsidRPr="00352E7F">
              <w:rPr>
                <w:rFonts w:ascii="Palatino Linotype" w:hAnsi="Palatino Linotype"/>
                <w:color w:val="000000"/>
                <w:szCs w:val="24"/>
              </w:rPr>
              <w:t xml:space="preserve"> 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7D4C1A" w:rsidP="00556FEA" w:rsidRDefault="007D4C1A" w14:paraId="048C6231" w14:textId="1ED8B7BE">
            <w:pPr>
              <w:jc w:val="center"/>
              <w:rPr>
                <w:rFonts w:ascii="Palatino Linotype" w:hAnsi="Palatino Linotype"/>
                <w:color w:val="000000"/>
                <w:szCs w:val="24"/>
              </w:rPr>
            </w:pPr>
            <w:r w:rsidRPr="00352E7F">
              <w:rPr>
                <w:rFonts w:ascii="Palatino Linotype" w:hAnsi="Palatino Linotype"/>
                <w:color w:val="000000"/>
                <w:szCs w:val="24"/>
              </w:rPr>
              <w:t>$</w:t>
            </w:r>
            <w:r w:rsidR="00ED1CA8">
              <w:rPr>
                <w:rFonts w:ascii="Palatino Linotype" w:hAnsi="Palatino Linotype"/>
                <w:color w:val="000000"/>
                <w:szCs w:val="24"/>
              </w:rPr>
              <w:t>5</w:t>
            </w:r>
            <w:r>
              <w:rPr>
                <w:rFonts w:ascii="Palatino Linotype" w:hAnsi="Palatino Linotype"/>
                <w:color w:val="000000"/>
                <w:szCs w:val="24"/>
              </w:rPr>
              <w:t>9.99</w:t>
            </w:r>
          </w:p>
        </w:tc>
      </w:tr>
      <w:tr w:rsidRPr="00352E7F" w:rsidR="007D4C1A" w:rsidTr="00556FEA" w14:paraId="7CCD1C2E" w14:textId="77777777">
        <w:trPr>
          <w:jc w:val="center"/>
        </w:trPr>
        <w:tc>
          <w:tcPr>
            <w:tcW w:w="2159" w:type="dxa"/>
            <w:tcBorders>
              <w:top w:val="single" w:color="auto" w:sz="4" w:space="0"/>
              <w:left w:val="single" w:color="auto" w:sz="4" w:space="0"/>
              <w:bottom w:val="single" w:color="auto" w:sz="4" w:space="0"/>
              <w:right w:val="single" w:color="auto" w:sz="4" w:space="0"/>
            </w:tcBorders>
            <w:hideMark/>
          </w:tcPr>
          <w:p w:rsidRPr="00352E7F" w:rsidR="007D4C1A" w:rsidP="00556FEA" w:rsidRDefault="007D4C1A" w14:paraId="407A5C1E" w14:textId="77777777">
            <w:pPr>
              <w:jc w:val="center"/>
              <w:rPr>
                <w:rFonts w:ascii="Palatino Linotype" w:hAnsi="Palatino Linotype"/>
                <w:color w:val="000000"/>
                <w:szCs w:val="24"/>
              </w:rPr>
            </w:pPr>
            <w:r w:rsidRPr="00352E7F">
              <w:rPr>
                <w:rFonts w:ascii="Palatino Linotype" w:hAnsi="Palatino Linotype"/>
                <w:color w:val="000000"/>
                <w:szCs w:val="24"/>
              </w:rPr>
              <w:t>2</w:t>
            </w:r>
            <w:r>
              <w:rPr>
                <w:rFonts w:ascii="Palatino Linotype" w:hAnsi="Palatino Linotype"/>
                <w:color w:val="000000"/>
                <w:szCs w:val="24"/>
              </w:rPr>
              <w:t xml:space="preserve">00 </w:t>
            </w:r>
            <w:r w:rsidRPr="00352E7F">
              <w:rPr>
                <w:rFonts w:ascii="Palatino Linotype" w:hAnsi="Palatino Linotype"/>
                <w:color w:val="000000"/>
                <w:szCs w:val="24"/>
              </w:rPr>
              <w:t>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7D4C1A" w:rsidP="00556FEA" w:rsidRDefault="007D4C1A" w14:paraId="312CD3E0" w14:textId="77777777">
            <w:pPr>
              <w:jc w:val="center"/>
              <w:rPr>
                <w:rFonts w:ascii="Palatino Linotype" w:hAnsi="Palatino Linotype"/>
                <w:color w:val="000000"/>
                <w:szCs w:val="24"/>
              </w:rPr>
            </w:pPr>
            <w:r w:rsidRPr="00352E7F">
              <w:rPr>
                <w:rFonts w:ascii="Palatino Linotype" w:hAnsi="Palatino Linotype"/>
                <w:color w:val="000000"/>
                <w:szCs w:val="24"/>
              </w:rPr>
              <w:t>2</w:t>
            </w:r>
            <w:r>
              <w:rPr>
                <w:rFonts w:ascii="Palatino Linotype" w:hAnsi="Palatino Linotype"/>
                <w:color w:val="000000"/>
                <w:szCs w:val="24"/>
              </w:rPr>
              <w:t>00</w:t>
            </w:r>
            <w:r w:rsidRPr="00352E7F">
              <w:rPr>
                <w:rFonts w:ascii="Palatino Linotype" w:hAnsi="Palatino Linotype"/>
                <w:color w:val="000000"/>
                <w:szCs w:val="24"/>
              </w:rPr>
              <w:t xml:space="preserve"> 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7D4C1A" w:rsidP="00556FEA" w:rsidRDefault="007D4C1A" w14:paraId="1FC8FE36" w14:textId="58A88B19">
            <w:pPr>
              <w:jc w:val="center"/>
              <w:rPr>
                <w:rFonts w:ascii="Palatino Linotype" w:hAnsi="Palatino Linotype"/>
                <w:color w:val="000000"/>
                <w:szCs w:val="24"/>
              </w:rPr>
            </w:pPr>
            <w:r w:rsidRPr="00352E7F">
              <w:rPr>
                <w:rFonts w:ascii="Palatino Linotype" w:hAnsi="Palatino Linotype"/>
                <w:color w:val="000000"/>
                <w:szCs w:val="24"/>
              </w:rPr>
              <w:t>$</w:t>
            </w:r>
            <w:r w:rsidR="00ED1CA8">
              <w:rPr>
                <w:rFonts w:ascii="Palatino Linotype" w:hAnsi="Palatino Linotype"/>
                <w:color w:val="000000"/>
                <w:szCs w:val="24"/>
              </w:rPr>
              <w:t>5</w:t>
            </w:r>
            <w:r>
              <w:rPr>
                <w:rFonts w:ascii="Palatino Linotype" w:hAnsi="Palatino Linotype"/>
                <w:color w:val="000000"/>
                <w:szCs w:val="24"/>
              </w:rPr>
              <w:t>9.99</w:t>
            </w:r>
          </w:p>
        </w:tc>
      </w:tr>
      <w:tr w:rsidRPr="00352E7F" w:rsidR="007D4C1A" w:rsidTr="00556FEA" w14:paraId="56A51EE8" w14:textId="77777777">
        <w:trPr>
          <w:jc w:val="center"/>
        </w:trPr>
        <w:tc>
          <w:tcPr>
            <w:tcW w:w="2159" w:type="dxa"/>
            <w:tcBorders>
              <w:top w:val="single" w:color="auto" w:sz="4" w:space="0"/>
              <w:left w:val="single" w:color="auto" w:sz="4" w:space="0"/>
              <w:bottom w:val="single" w:color="auto" w:sz="4" w:space="0"/>
              <w:right w:val="single" w:color="auto" w:sz="4" w:space="0"/>
            </w:tcBorders>
            <w:hideMark/>
          </w:tcPr>
          <w:p w:rsidRPr="00352E7F" w:rsidR="007D4C1A" w:rsidP="00556FEA" w:rsidRDefault="007D4C1A" w14:paraId="17C9B6C9" w14:textId="578E2BFF">
            <w:pPr>
              <w:jc w:val="center"/>
              <w:rPr>
                <w:rFonts w:ascii="Palatino Linotype" w:hAnsi="Palatino Linotype"/>
                <w:color w:val="000000"/>
                <w:szCs w:val="24"/>
              </w:rPr>
            </w:pPr>
            <w:r>
              <w:rPr>
                <w:rFonts w:ascii="Palatino Linotype" w:hAnsi="Palatino Linotype"/>
                <w:color w:val="000000"/>
                <w:szCs w:val="24"/>
              </w:rPr>
              <w:t>1,000</w:t>
            </w:r>
            <w:r w:rsidRPr="00352E7F">
              <w:rPr>
                <w:rFonts w:ascii="Palatino Linotype" w:hAnsi="Palatino Linotype"/>
                <w:color w:val="000000"/>
                <w:szCs w:val="24"/>
              </w:rPr>
              <w:t xml:space="preserve"> 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7D4C1A" w:rsidP="00556FEA" w:rsidRDefault="00FD00A4" w14:paraId="3075F930" w14:textId="59A885FC">
            <w:pPr>
              <w:jc w:val="center"/>
              <w:rPr>
                <w:rFonts w:ascii="Palatino Linotype" w:hAnsi="Palatino Linotype"/>
                <w:color w:val="000000"/>
                <w:szCs w:val="24"/>
              </w:rPr>
            </w:pPr>
            <w:r>
              <w:rPr>
                <w:rFonts w:ascii="Palatino Linotype" w:hAnsi="Palatino Linotype"/>
                <w:color w:val="000000"/>
                <w:szCs w:val="24"/>
              </w:rPr>
              <w:t>1,000</w:t>
            </w:r>
            <w:r w:rsidRPr="00352E7F" w:rsidR="007D4C1A">
              <w:rPr>
                <w:rFonts w:ascii="Palatino Linotype" w:hAnsi="Palatino Linotype"/>
                <w:color w:val="000000"/>
                <w:szCs w:val="24"/>
              </w:rPr>
              <w:t xml:space="preserve"> Mbps</w:t>
            </w:r>
          </w:p>
        </w:tc>
        <w:tc>
          <w:tcPr>
            <w:tcW w:w="2338" w:type="dxa"/>
            <w:tcBorders>
              <w:top w:val="single" w:color="auto" w:sz="4" w:space="0"/>
              <w:left w:val="single" w:color="auto" w:sz="4" w:space="0"/>
              <w:bottom w:val="single" w:color="auto" w:sz="4" w:space="0"/>
              <w:right w:val="single" w:color="auto" w:sz="4" w:space="0"/>
            </w:tcBorders>
            <w:hideMark/>
          </w:tcPr>
          <w:p w:rsidRPr="00352E7F" w:rsidR="007D4C1A" w:rsidP="00556FEA" w:rsidRDefault="007D4C1A" w14:paraId="38E57ACF" w14:textId="0B175496">
            <w:pPr>
              <w:jc w:val="center"/>
              <w:rPr>
                <w:rFonts w:ascii="Palatino Linotype" w:hAnsi="Palatino Linotype"/>
                <w:color w:val="000000"/>
                <w:szCs w:val="24"/>
              </w:rPr>
            </w:pPr>
            <w:r w:rsidRPr="00352E7F">
              <w:rPr>
                <w:rFonts w:ascii="Palatino Linotype" w:hAnsi="Palatino Linotype"/>
                <w:color w:val="000000"/>
                <w:szCs w:val="24"/>
              </w:rPr>
              <w:t>$</w:t>
            </w:r>
            <w:r w:rsidR="00FD00A4">
              <w:rPr>
                <w:rFonts w:ascii="Palatino Linotype" w:hAnsi="Palatino Linotype"/>
                <w:color w:val="000000"/>
                <w:szCs w:val="24"/>
              </w:rPr>
              <w:t>8</w:t>
            </w:r>
            <w:r>
              <w:rPr>
                <w:rFonts w:ascii="Palatino Linotype" w:hAnsi="Palatino Linotype"/>
                <w:color w:val="000000"/>
                <w:szCs w:val="24"/>
              </w:rPr>
              <w:t>4.99</w:t>
            </w:r>
          </w:p>
        </w:tc>
      </w:tr>
    </w:tbl>
    <w:p w:rsidR="007D4C1A" w:rsidP="00084BA1" w:rsidRDefault="007D4C1A" w14:paraId="2A2181FC" w14:textId="77777777">
      <w:pPr>
        <w:rPr>
          <w:rFonts w:ascii="Palatino Linotype" w:hAnsi="Palatino Linotype"/>
          <w:szCs w:val="24"/>
        </w:rPr>
      </w:pPr>
    </w:p>
    <w:p w:rsidRPr="00352E7F" w:rsidR="00084BA1" w:rsidP="00084BA1" w:rsidRDefault="00084BA1" w14:paraId="3A881BCD" w14:textId="529F3639">
      <w:pPr>
        <w:rPr>
          <w:rFonts w:ascii="Palatino Linotype" w:hAnsi="Palatino Linotype"/>
          <w:szCs w:val="24"/>
        </w:rPr>
      </w:pPr>
      <w:r w:rsidRPr="00352E7F">
        <w:rPr>
          <w:rFonts w:ascii="Palatino Linotype" w:hAnsi="Palatino Linotype"/>
          <w:szCs w:val="24"/>
        </w:rPr>
        <w:t xml:space="preserve">The proposed speed offerings (up to </w:t>
      </w:r>
      <w:r w:rsidR="000F212B">
        <w:rPr>
          <w:rFonts w:ascii="Palatino Linotype" w:hAnsi="Palatino Linotype"/>
          <w:szCs w:val="24"/>
        </w:rPr>
        <w:t>1,00</w:t>
      </w:r>
      <w:r w:rsidR="00EF645A">
        <w:rPr>
          <w:rFonts w:ascii="Palatino Linotype" w:hAnsi="Palatino Linotype"/>
          <w:szCs w:val="24"/>
        </w:rPr>
        <w:t>0</w:t>
      </w:r>
      <w:r w:rsidRPr="00352E7F">
        <w:rPr>
          <w:rFonts w:ascii="Palatino Linotype" w:hAnsi="Palatino Linotype"/>
          <w:szCs w:val="24"/>
        </w:rPr>
        <w:t xml:space="preserve"> Mbps download and up to </w:t>
      </w:r>
      <w:r w:rsidR="000F212B">
        <w:rPr>
          <w:rFonts w:ascii="Palatino Linotype" w:hAnsi="Palatino Linotype"/>
          <w:szCs w:val="24"/>
        </w:rPr>
        <w:t>1,00</w:t>
      </w:r>
      <w:r w:rsidR="00EF645A">
        <w:rPr>
          <w:rFonts w:ascii="Palatino Linotype" w:hAnsi="Palatino Linotype"/>
          <w:szCs w:val="24"/>
        </w:rPr>
        <w:t>0</w:t>
      </w:r>
      <w:r w:rsidRPr="00352E7F">
        <w:rPr>
          <w:rFonts w:ascii="Palatino Linotype" w:hAnsi="Palatino Linotype"/>
          <w:szCs w:val="24"/>
        </w:rPr>
        <w:t xml:space="preserve"> Mbps upload) meet the 10/1 minimum performance requirement.  </w:t>
      </w:r>
      <w:r w:rsidRPr="00947BDA" w:rsidR="00B758C2">
        <w:rPr>
          <w:rFonts w:ascii="Palatino Linotype" w:hAnsi="Palatino Linotype"/>
        </w:rPr>
        <w:t xml:space="preserve">This service will be available to the </w:t>
      </w:r>
      <w:proofErr w:type="gramStart"/>
      <w:r w:rsidRPr="00947BDA" w:rsidR="00B758C2">
        <w:rPr>
          <w:rFonts w:ascii="Palatino Linotype" w:hAnsi="Palatino Linotype"/>
        </w:rPr>
        <w:t>general public</w:t>
      </w:r>
      <w:proofErr w:type="gramEnd"/>
      <w:r w:rsidRPr="00947BDA" w:rsidR="00B758C2">
        <w:rPr>
          <w:rFonts w:ascii="Palatino Linotype" w:hAnsi="Palatino Linotype"/>
        </w:rPr>
        <w:t>, as well as anchor institutions and small businesses near the project area.</w:t>
      </w:r>
    </w:p>
    <w:p w:rsidR="007B215F" w:rsidP="44E7BABB" w:rsidRDefault="007B215F" w14:paraId="2104DC65" w14:textId="70436968">
      <w:pPr>
        <w:pStyle w:val="Default"/>
        <w:rPr>
          <w:rFonts w:ascii="Palatino Linotype" w:hAnsi="Palatino Linotype"/>
          <w:color w:val="auto"/>
          <w:highlight w:val="yellow"/>
        </w:rPr>
      </w:pPr>
    </w:p>
    <w:p w:rsidRPr="00BB4FF6" w:rsidR="44E7BABB" w:rsidP="00AA1EB8" w:rsidRDefault="001B5286" w14:paraId="78796615" w14:textId="014CC312">
      <w:pPr>
        <w:pStyle w:val="Heading2"/>
        <w:numPr>
          <w:ilvl w:val="6"/>
          <w:numId w:val="23"/>
        </w:numPr>
        <w:ind w:left="1080" w:hanging="630"/>
        <w:rPr>
          <w:rFonts w:ascii="Palatino Linotype" w:hAnsi="Palatino Linotype"/>
          <w:bCs/>
          <w:szCs w:val="24"/>
          <w:u w:val="single"/>
        </w:rPr>
      </w:pPr>
      <w:r w:rsidRPr="00BB4FF6">
        <w:rPr>
          <w:rFonts w:ascii="Palatino Linotype" w:hAnsi="Palatino Linotype"/>
          <w:szCs w:val="24"/>
          <w:u w:val="single"/>
        </w:rPr>
        <w:t xml:space="preserve">Funding </w:t>
      </w:r>
      <w:r w:rsidRPr="00BB4FF6" w:rsidR="3A1D1A6E">
        <w:rPr>
          <w:rFonts w:ascii="Palatino Linotype" w:hAnsi="Palatino Linotype"/>
          <w:szCs w:val="24"/>
          <w:u w:val="single"/>
        </w:rPr>
        <w:t>Determination</w:t>
      </w:r>
    </w:p>
    <w:p w:rsidR="00F2089A" w:rsidP="00F2089A" w:rsidRDefault="44E7BABB" w14:paraId="03CFA4D0" w14:textId="3DFF81C2">
      <w:pPr>
        <w:rPr>
          <w:rFonts w:ascii="Palatino Linotype" w:hAnsi="Palatino Linotype"/>
        </w:rPr>
      </w:pPr>
      <w:r w:rsidRPr="006219D0">
        <w:rPr>
          <w:rFonts w:ascii="Palatino Linotype" w:hAnsi="Palatino Linotype"/>
          <w:b/>
          <w:bCs/>
        </w:rPr>
        <w:t>Frontier</w:t>
      </w:r>
      <w:r w:rsidRPr="006219D0" w:rsidR="00711984">
        <w:rPr>
          <w:rFonts w:ascii="Palatino Linotype" w:hAnsi="Palatino Linotype"/>
          <w:b/>
          <w:bCs/>
        </w:rPr>
        <w:t xml:space="preserve"> </w:t>
      </w:r>
      <w:r w:rsidRPr="006219D0">
        <w:rPr>
          <w:rFonts w:ascii="Palatino Linotype" w:hAnsi="Palatino Linotype"/>
          <w:b/>
          <w:bCs/>
        </w:rPr>
        <w:t xml:space="preserve">is </w:t>
      </w:r>
      <w:r w:rsidR="001A2D6A">
        <w:rPr>
          <w:rFonts w:ascii="Palatino Linotype" w:hAnsi="Palatino Linotype"/>
          <w:b/>
          <w:bCs/>
        </w:rPr>
        <w:t xml:space="preserve">eligible to receive </w:t>
      </w:r>
      <w:r w:rsidRPr="006219D0">
        <w:rPr>
          <w:rFonts w:ascii="Palatino Linotype" w:hAnsi="Palatino Linotype"/>
          <w:b/>
          <w:bCs/>
        </w:rPr>
        <w:t>100 percent</w:t>
      </w:r>
      <w:r w:rsidRPr="006219D0" w:rsidR="001B5286">
        <w:rPr>
          <w:rFonts w:ascii="Palatino Linotype" w:hAnsi="Palatino Linotype"/>
          <w:b/>
          <w:bCs/>
        </w:rPr>
        <w:t xml:space="preserve"> </w:t>
      </w:r>
      <w:r w:rsidRPr="002E747E" w:rsidR="009A0D39">
        <w:rPr>
          <w:rFonts w:ascii="Palatino Linotype" w:hAnsi="Palatino Linotype"/>
          <w:b/>
          <w:bCs/>
        </w:rPr>
        <w:t xml:space="preserve">funding </w:t>
      </w:r>
      <w:r w:rsidRPr="00947BDA">
        <w:rPr>
          <w:rFonts w:ascii="Palatino Linotype" w:hAnsi="Palatino Linotype"/>
          <w:b/>
          <w:bCs/>
        </w:rPr>
        <w:t xml:space="preserve">to cover the cost </w:t>
      </w:r>
      <w:r w:rsidR="00EE5591">
        <w:rPr>
          <w:rFonts w:ascii="Palatino Linotype" w:hAnsi="Palatino Linotype"/>
          <w:b/>
          <w:bCs/>
        </w:rPr>
        <w:t>o</w:t>
      </w:r>
      <w:r w:rsidRPr="00947BDA">
        <w:rPr>
          <w:rFonts w:ascii="Palatino Linotype" w:hAnsi="Palatino Linotype"/>
          <w:b/>
          <w:bCs/>
        </w:rPr>
        <w:t xml:space="preserve">f its </w:t>
      </w:r>
      <w:r w:rsidR="00775878">
        <w:rPr>
          <w:rFonts w:ascii="Palatino Linotype" w:hAnsi="Palatino Linotype"/>
          <w:b/>
          <w:bCs/>
        </w:rPr>
        <w:t>Crescent City</w:t>
      </w:r>
      <w:r w:rsidR="00747BFA">
        <w:rPr>
          <w:rFonts w:ascii="Palatino Linotype" w:hAnsi="Palatino Linotype"/>
          <w:b/>
          <w:bCs/>
        </w:rPr>
        <w:t xml:space="preserve"> </w:t>
      </w:r>
      <w:r w:rsidR="00775878">
        <w:rPr>
          <w:rFonts w:ascii="Palatino Linotype" w:hAnsi="Palatino Linotype"/>
          <w:b/>
          <w:bCs/>
        </w:rPr>
        <w:t>and Smith River Projects</w:t>
      </w:r>
      <w:r w:rsidRPr="00947BDA">
        <w:rPr>
          <w:rFonts w:ascii="Palatino Linotype" w:hAnsi="Palatino Linotype"/>
          <w:b/>
          <w:bCs/>
        </w:rPr>
        <w:t>.</w:t>
      </w:r>
      <w:r w:rsidRPr="00947BDA">
        <w:rPr>
          <w:rFonts w:ascii="Palatino Linotype" w:hAnsi="Palatino Linotype"/>
        </w:rPr>
        <w:t xml:space="preserve">  AB 1665 </w:t>
      </w:r>
      <w:r w:rsidRPr="00947BDA" w:rsidR="00832487">
        <w:rPr>
          <w:rFonts w:ascii="Palatino Linotype" w:hAnsi="Palatino Linotype"/>
        </w:rPr>
        <w:t xml:space="preserve">authorizes the Commission to award grants to fund all or </w:t>
      </w:r>
      <w:r w:rsidR="00045980">
        <w:rPr>
          <w:rFonts w:ascii="Palatino Linotype" w:hAnsi="Palatino Linotype"/>
        </w:rPr>
        <w:t xml:space="preserve">a </w:t>
      </w:r>
      <w:r w:rsidRPr="00947BDA" w:rsidR="00832487">
        <w:rPr>
          <w:rFonts w:ascii="Palatino Linotype" w:hAnsi="Palatino Linotype"/>
        </w:rPr>
        <w:t>portion of the project and requires that it determine, on a case-by-case basis, the level of funding to be provided.</w:t>
      </w:r>
      <w:r w:rsidRPr="006219D0" w:rsidR="00923483">
        <w:rPr>
          <w:rStyle w:val="FootnoteReference"/>
          <w:rFonts w:ascii="Palatino Linotype" w:hAnsi="Palatino Linotype"/>
        </w:rPr>
        <w:footnoteReference w:id="13"/>
      </w:r>
      <w:r w:rsidRPr="006219D0">
        <w:rPr>
          <w:rFonts w:ascii="Palatino Linotype" w:hAnsi="Palatino Linotype"/>
        </w:rPr>
        <w:t xml:space="preserve">  Staff </w:t>
      </w:r>
      <w:r w:rsidR="00F1028A">
        <w:rPr>
          <w:rFonts w:ascii="Palatino Linotype" w:hAnsi="Palatino Linotype"/>
        </w:rPr>
        <w:t>considered</w:t>
      </w:r>
      <w:r w:rsidRPr="006219D0" w:rsidR="00F1028A">
        <w:rPr>
          <w:rFonts w:ascii="Palatino Linotype" w:hAnsi="Palatino Linotype"/>
        </w:rPr>
        <w:t xml:space="preserve"> </w:t>
      </w:r>
      <w:r w:rsidRPr="006219D0">
        <w:rPr>
          <w:rFonts w:ascii="Palatino Linotype" w:hAnsi="Palatino Linotype"/>
        </w:rPr>
        <w:t xml:space="preserve">the statutory factors </w:t>
      </w:r>
      <w:r w:rsidR="00F1028A">
        <w:rPr>
          <w:rFonts w:ascii="Palatino Linotype" w:hAnsi="Palatino Linotype"/>
        </w:rPr>
        <w:t>to determine</w:t>
      </w:r>
      <w:r w:rsidRPr="006219D0">
        <w:rPr>
          <w:rFonts w:ascii="Palatino Linotype" w:hAnsi="Palatino Linotype"/>
        </w:rPr>
        <w:t xml:space="preserve"> the grant </w:t>
      </w:r>
      <w:r w:rsidRPr="00BB4FF6">
        <w:rPr>
          <w:rFonts w:ascii="Palatino Linotype" w:hAnsi="Palatino Linotype"/>
        </w:rPr>
        <w:t xml:space="preserve">funding level, as described by Pub. Util. Code </w:t>
      </w:r>
      <w:r w:rsidRPr="006219D0" w:rsidR="00534E7A">
        <w:rPr>
          <w:rFonts w:ascii="Palatino Linotype" w:hAnsi="Palatino Linotype"/>
        </w:rPr>
        <w:t>§</w:t>
      </w:r>
      <w:r w:rsidRPr="48D6FFE1" w:rsidR="00F95EF3">
        <w:rPr>
          <w:rFonts w:ascii="Palatino Linotype" w:hAnsi="Palatino Linotype"/>
        </w:rPr>
        <w:t>§</w:t>
      </w:r>
      <w:r w:rsidRPr="00BB4FF6">
        <w:rPr>
          <w:rFonts w:ascii="Palatino Linotype" w:hAnsi="Palatino Linotype"/>
        </w:rPr>
        <w:t xml:space="preserve"> 281(f)(1</w:t>
      </w:r>
      <w:r w:rsidR="006E0E9A">
        <w:rPr>
          <w:rFonts w:ascii="Palatino Linotype" w:hAnsi="Palatino Linotype"/>
        </w:rPr>
        <w:t>2</w:t>
      </w:r>
      <w:r w:rsidRPr="00BB4FF6">
        <w:rPr>
          <w:rFonts w:ascii="Palatino Linotype" w:hAnsi="Palatino Linotype"/>
        </w:rPr>
        <w:t>) and 281(b)(2)(B)(</w:t>
      </w:r>
      <w:proofErr w:type="spellStart"/>
      <w:r w:rsidRPr="00BB4FF6">
        <w:rPr>
          <w:rFonts w:ascii="Palatino Linotype" w:hAnsi="Palatino Linotype"/>
        </w:rPr>
        <w:t>i</w:t>
      </w:r>
      <w:proofErr w:type="spellEnd"/>
      <w:r w:rsidRPr="00BB4FF6">
        <w:rPr>
          <w:rFonts w:ascii="Palatino Linotype" w:hAnsi="Palatino Linotype"/>
        </w:rPr>
        <w:t xml:space="preserve">), and CASF rules adopted in D.18-12-018. </w:t>
      </w:r>
      <w:r w:rsidR="004A2383">
        <w:rPr>
          <w:rFonts w:ascii="Palatino Linotype" w:hAnsi="Palatino Linotype"/>
        </w:rPr>
        <w:t xml:space="preserve"> </w:t>
      </w:r>
      <w:r w:rsidRPr="00BB4FF6" w:rsidR="00A45128">
        <w:rPr>
          <w:rFonts w:ascii="Palatino Linotype" w:hAnsi="Palatino Linotype"/>
        </w:rPr>
        <w:t xml:space="preserve">Based on those factors, Staff determined Frontier’s request </w:t>
      </w:r>
      <w:r w:rsidR="00582AD6">
        <w:rPr>
          <w:rFonts w:ascii="Palatino Linotype" w:hAnsi="Palatino Linotype"/>
        </w:rPr>
        <w:t>for</w:t>
      </w:r>
      <w:r w:rsidRPr="00BB4FF6" w:rsidR="00A45128">
        <w:rPr>
          <w:rFonts w:ascii="Palatino Linotype" w:hAnsi="Palatino Linotype"/>
        </w:rPr>
        <w:t xml:space="preserve"> </w:t>
      </w:r>
      <w:r w:rsidRPr="00EA7659" w:rsidR="00A45128">
        <w:rPr>
          <w:rFonts w:ascii="Palatino Linotype" w:hAnsi="Palatino Linotype"/>
        </w:rPr>
        <w:t>100 percent funding is appropriate</w:t>
      </w:r>
      <w:r w:rsidR="002E0B30">
        <w:rPr>
          <w:rFonts w:ascii="Palatino Linotype" w:hAnsi="Palatino Linotype"/>
        </w:rPr>
        <w:t>,</w:t>
      </w:r>
      <w:r w:rsidRPr="00EA7659" w:rsidR="00A45128">
        <w:rPr>
          <w:rFonts w:ascii="Palatino Linotype" w:hAnsi="Palatino Linotype"/>
        </w:rPr>
        <w:t xml:space="preserve"> and thereby awards a CASF Infrastructure grant of </w:t>
      </w:r>
      <w:r w:rsidRPr="00EA7659" w:rsidR="00570BB6">
        <w:rPr>
          <w:rFonts w:ascii="Palatino Linotype" w:hAnsi="Palatino Linotype"/>
        </w:rPr>
        <w:t xml:space="preserve">$2,841,772 </w:t>
      </w:r>
      <w:r w:rsidRPr="00EA7659" w:rsidR="00A45128">
        <w:rPr>
          <w:rFonts w:ascii="Palatino Linotype" w:hAnsi="Palatino Linotype"/>
        </w:rPr>
        <w:t xml:space="preserve">for </w:t>
      </w:r>
      <w:r w:rsidRPr="00BB4FF6" w:rsidR="00A45128">
        <w:rPr>
          <w:rFonts w:ascii="Palatino Linotype" w:hAnsi="Palatino Linotype"/>
        </w:rPr>
        <w:t xml:space="preserve">the </w:t>
      </w:r>
      <w:r w:rsidR="00A45128">
        <w:rPr>
          <w:rFonts w:ascii="Palatino Linotype" w:hAnsi="Palatino Linotype"/>
        </w:rPr>
        <w:t>Crescent City and Smith River Projects</w:t>
      </w:r>
      <w:r w:rsidRPr="00BB4FF6" w:rsidR="00A45128">
        <w:rPr>
          <w:rFonts w:ascii="Palatino Linotype" w:hAnsi="Palatino Linotype"/>
        </w:rPr>
        <w:t xml:space="preserve">.  </w:t>
      </w:r>
      <w:r w:rsidRPr="00ED0485" w:rsidR="00F2089A">
        <w:rPr>
          <w:rFonts w:ascii="Palatino Linotype" w:hAnsi="Palatino Linotype"/>
        </w:rPr>
        <w:t xml:space="preserve">Table </w:t>
      </w:r>
      <w:r w:rsidR="00F2089A">
        <w:rPr>
          <w:rFonts w:ascii="Palatino Linotype" w:hAnsi="Palatino Linotype"/>
        </w:rPr>
        <w:t>8</w:t>
      </w:r>
      <w:r w:rsidRPr="00ED0485" w:rsidR="00F2089A">
        <w:rPr>
          <w:rFonts w:ascii="Palatino Linotype" w:hAnsi="Palatino Linotype"/>
        </w:rPr>
        <w:t xml:space="preserve"> is a comparison of Frontier’s </w:t>
      </w:r>
      <w:r w:rsidR="006747C9">
        <w:rPr>
          <w:rFonts w:ascii="Palatino Linotype" w:hAnsi="Palatino Linotype"/>
        </w:rPr>
        <w:t xml:space="preserve">revised </w:t>
      </w:r>
      <w:r w:rsidRPr="00ED0485" w:rsidR="00F2089A">
        <w:rPr>
          <w:rFonts w:ascii="Palatino Linotype" w:hAnsi="Palatino Linotype"/>
        </w:rPr>
        <w:t>funding request and Staff’s funding recommendation.</w:t>
      </w:r>
    </w:p>
    <w:p w:rsidR="00AE1795" w:rsidP="00F2089A" w:rsidRDefault="00AE1795" w14:paraId="0E21C486" w14:textId="77777777">
      <w:pPr>
        <w:rPr>
          <w:rFonts w:ascii="Palatino Linotype" w:hAnsi="Palatino Linotype"/>
        </w:rPr>
      </w:pPr>
    </w:p>
    <w:p w:rsidR="00F2089A" w:rsidP="00AE1795" w:rsidRDefault="00F2089A" w14:paraId="4FF27CA1" w14:textId="2DD9551A">
      <w:pPr>
        <w:autoSpaceDE w:val="0"/>
        <w:autoSpaceDN w:val="0"/>
        <w:adjustRightInd w:val="0"/>
        <w:spacing w:after="120"/>
        <w:jc w:val="center"/>
        <w:rPr>
          <w:rFonts w:ascii="Palatino Linotype" w:hAnsi="Palatino Linotype"/>
          <w:b/>
          <w:bCs/>
          <w:szCs w:val="24"/>
        </w:rPr>
      </w:pPr>
      <w:r w:rsidRPr="00AF2B06">
        <w:rPr>
          <w:rFonts w:ascii="Palatino Linotype" w:hAnsi="Palatino Linotype"/>
          <w:b/>
          <w:bCs/>
          <w:szCs w:val="24"/>
        </w:rPr>
        <w:t xml:space="preserve">Table </w:t>
      </w:r>
      <w:r>
        <w:rPr>
          <w:rFonts w:ascii="Palatino Linotype" w:hAnsi="Palatino Linotype"/>
          <w:b/>
          <w:bCs/>
          <w:szCs w:val="24"/>
        </w:rPr>
        <w:t xml:space="preserve">8: </w:t>
      </w:r>
      <w:r w:rsidRPr="00AF2B06">
        <w:rPr>
          <w:rFonts w:ascii="Palatino Linotype" w:hAnsi="Palatino Linotype"/>
          <w:b/>
          <w:bCs/>
          <w:szCs w:val="24"/>
        </w:rPr>
        <w:t xml:space="preserve"> </w:t>
      </w:r>
      <w:r>
        <w:rPr>
          <w:rFonts w:ascii="Palatino Linotype" w:hAnsi="Palatino Linotype"/>
          <w:b/>
          <w:bCs/>
          <w:szCs w:val="24"/>
        </w:rPr>
        <w:t xml:space="preserve">Summary </w:t>
      </w:r>
      <w:r w:rsidR="003E438A">
        <w:rPr>
          <w:rFonts w:ascii="Palatino Linotype" w:hAnsi="Palatino Linotype"/>
          <w:b/>
          <w:bCs/>
          <w:szCs w:val="24"/>
        </w:rPr>
        <w:t xml:space="preserve">of </w:t>
      </w:r>
      <w:r>
        <w:rPr>
          <w:rFonts w:ascii="Palatino Linotype" w:hAnsi="Palatino Linotype"/>
          <w:b/>
          <w:bCs/>
          <w:szCs w:val="24"/>
        </w:rPr>
        <w:t xml:space="preserve">Frontier’s Funding </w:t>
      </w:r>
    </w:p>
    <w:tbl>
      <w:tblPr>
        <w:tblStyle w:val="TableGrid"/>
        <w:tblW w:w="7650" w:type="dxa"/>
        <w:tblInd w:w="895" w:type="dxa"/>
        <w:tblLook w:val="04A0" w:firstRow="1" w:lastRow="0" w:firstColumn="1" w:lastColumn="0" w:noHBand="0" w:noVBand="1"/>
      </w:tblPr>
      <w:tblGrid>
        <w:gridCol w:w="3330"/>
        <w:gridCol w:w="2160"/>
        <w:gridCol w:w="2160"/>
      </w:tblGrid>
      <w:tr w:rsidRPr="00AF2B06" w:rsidR="00F2089A" w:rsidTr="00784DC6" w14:paraId="1838EF19" w14:textId="77777777">
        <w:tc>
          <w:tcPr>
            <w:tcW w:w="3330" w:type="dxa"/>
            <w:shd w:val="clear" w:color="auto" w:fill="F2F2F2" w:themeFill="background1" w:themeFillShade="F2"/>
          </w:tcPr>
          <w:p w:rsidRPr="00EA7659" w:rsidR="00F2089A" w:rsidP="00556FEA" w:rsidRDefault="00F2089A" w14:paraId="24A407C1" w14:textId="77777777">
            <w:pPr>
              <w:autoSpaceDE w:val="0"/>
              <w:autoSpaceDN w:val="0"/>
              <w:adjustRightInd w:val="0"/>
              <w:jc w:val="center"/>
              <w:rPr>
                <w:rFonts w:ascii="Palatino Linotype" w:hAnsi="Palatino Linotype"/>
                <w:b/>
                <w:bCs/>
                <w:szCs w:val="24"/>
              </w:rPr>
            </w:pPr>
            <w:r w:rsidRPr="00EA7659">
              <w:rPr>
                <w:rFonts w:ascii="Palatino Linotype" w:hAnsi="Palatino Linotype"/>
                <w:b/>
                <w:bCs/>
                <w:szCs w:val="24"/>
              </w:rPr>
              <w:t>Project</w:t>
            </w:r>
          </w:p>
        </w:tc>
        <w:tc>
          <w:tcPr>
            <w:tcW w:w="2160" w:type="dxa"/>
            <w:shd w:val="clear" w:color="auto" w:fill="F2F2F2" w:themeFill="background1" w:themeFillShade="F2"/>
          </w:tcPr>
          <w:p w:rsidRPr="00EA7659" w:rsidR="00F2089A" w:rsidP="00556FEA" w:rsidRDefault="00F2089A" w14:paraId="43CA33BB" w14:textId="77777777">
            <w:pPr>
              <w:autoSpaceDE w:val="0"/>
              <w:autoSpaceDN w:val="0"/>
              <w:adjustRightInd w:val="0"/>
              <w:jc w:val="center"/>
              <w:rPr>
                <w:rFonts w:ascii="Palatino Linotype" w:hAnsi="Palatino Linotype"/>
                <w:b/>
                <w:bCs/>
                <w:szCs w:val="24"/>
              </w:rPr>
            </w:pPr>
            <w:r w:rsidRPr="00EA7659">
              <w:rPr>
                <w:rFonts w:ascii="Palatino Linotype" w:hAnsi="Palatino Linotype"/>
                <w:b/>
                <w:bCs/>
                <w:szCs w:val="24"/>
              </w:rPr>
              <w:t>Funding Level Requested</w:t>
            </w:r>
          </w:p>
        </w:tc>
        <w:tc>
          <w:tcPr>
            <w:tcW w:w="2160" w:type="dxa"/>
            <w:shd w:val="clear" w:color="auto" w:fill="F2F2F2" w:themeFill="background1" w:themeFillShade="F2"/>
          </w:tcPr>
          <w:p w:rsidRPr="00EA7659" w:rsidR="00F2089A" w:rsidP="00556FEA" w:rsidRDefault="00F2089A" w14:paraId="3F2F64C0" w14:textId="77777777">
            <w:pPr>
              <w:autoSpaceDE w:val="0"/>
              <w:autoSpaceDN w:val="0"/>
              <w:adjustRightInd w:val="0"/>
              <w:jc w:val="center"/>
              <w:rPr>
                <w:rFonts w:ascii="Palatino Linotype" w:hAnsi="Palatino Linotype"/>
                <w:b/>
                <w:bCs/>
                <w:szCs w:val="24"/>
              </w:rPr>
            </w:pPr>
            <w:r w:rsidRPr="00EA7659">
              <w:rPr>
                <w:rFonts w:ascii="Palatino Linotype" w:hAnsi="Palatino Linotype"/>
                <w:b/>
                <w:bCs/>
                <w:szCs w:val="24"/>
              </w:rPr>
              <w:t>Staff Recommendation</w:t>
            </w:r>
          </w:p>
        </w:tc>
      </w:tr>
      <w:tr w:rsidRPr="00AF2B06" w:rsidR="00F2089A" w:rsidTr="00784DC6" w14:paraId="298273D6" w14:textId="77777777">
        <w:tc>
          <w:tcPr>
            <w:tcW w:w="3330" w:type="dxa"/>
            <w:vAlign w:val="center"/>
          </w:tcPr>
          <w:p w:rsidRPr="00EA7659" w:rsidR="00F2089A" w:rsidP="00556FEA" w:rsidRDefault="00F2089A" w14:paraId="5B394149" w14:textId="77777777">
            <w:pPr>
              <w:autoSpaceDE w:val="0"/>
              <w:autoSpaceDN w:val="0"/>
              <w:adjustRightInd w:val="0"/>
              <w:rPr>
                <w:rFonts w:ascii="Palatino Linotype" w:hAnsi="Palatino Linotype"/>
                <w:szCs w:val="24"/>
              </w:rPr>
            </w:pPr>
            <w:r w:rsidRPr="00EA7659">
              <w:rPr>
                <w:rFonts w:ascii="Palatino Linotype" w:hAnsi="Palatino Linotype"/>
                <w:szCs w:val="24"/>
              </w:rPr>
              <w:t>Crescent City</w:t>
            </w:r>
          </w:p>
        </w:tc>
        <w:tc>
          <w:tcPr>
            <w:tcW w:w="2160" w:type="dxa"/>
          </w:tcPr>
          <w:p w:rsidRPr="00EA7659" w:rsidR="00F2089A" w:rsidP="00556FEA" w:rsidRDefault="00F2089A" w14:paraId="3E8A77FE" w14:textId="77777777">
            <w:pPr>
              <w:autoSpaceDE w:val="0"/>
              <w:autoSpaceDN w:val="0"/>
              <w:adjustRightInd w:val="0"/>
              <w:jc w:val="center"/>
              <w:rPr>
                <w:rFonts w:ascii="Palatino Linotype" w:hAnsi="Palatino Linotype"/>
                <w:szCs w:val="24"/>
              </w:rPr>
            </w:pPr>
            <w:r w:rsidRPr="00EA7659">
              <w:rPr>
                <w:rFonts w:ascii="Palatino Linotype" w:hAnsi="Palatino Linotype"/>
                <w:szCs w:val="24"/>
              </w:rPr>
              <w:t>$ 1,413,293</w:t>
            </w:r>
          </w:p>
        </w:tc>
        <w:tc>
          <w:tcPr>
            <w:tcW w:w="2160" w:type="dxa"/>
          </w:tcPr>
          <w:p w:rsidRPr="00EA7659" w:rsidR="00F2089A" w:rsidP="00556FEA" w:rsidRDefault="00F2089A" w14:paraId="612A2962" w14:textId="77777777">
            <w:pPr>
              <w:autoSpaceDE w:val="0"/>
              <w:autoSpaceDN w:val="0"/>
              <w:adjustRightInd w:val="0"/>
              <w:jc w:val="center"/>
              <w:rPr>
                <w:rFonts w:ascii="Palatino Linotype" w:hAnsi="Palatino Linotype"/>
                <w:szCs w:val="24"/>
              </w:rPr>
            </w:pPr>
            <w:r w:rsidRPr="00EA7659">
              <w:rPr>
                <w:rFonts w:ascii="Palatino Linotype" w:hAnsi="Palatino Linotype"/>
                <w:szCs w:val="24"/>
              </w:rPr>
              <w:t>$ 1,413,293</w:t>
            </w:r>
          </w:p>
        </w:tc>
      </w:tr>
      <w:tr w:rsidRPr="00AF2B06" w:rsidR="00F2089A" w:rsidTr="00784DC6" w14:paraId="7A1C8284" w14:textId="77777777">
        <w:tc>
          <w:tcPr>
            <w:tcW w:w="3330" w:type="dxa"/>
            <w:vAlign w:val="center"/>
          </w:tcPr>
          <w:p w:rsidRPr="00EA7659" w:rsidR="00F2089A" w:rsidP="00556FEA" w:rsidRDefault="00F2089A" w14:paraId="0CA2AD6A" w14:textId="77777777">
            <w:pPr>
              <w:autoSpaceDE w:val="0"/>
              <w:autoSpaceDN w:val="0"/>
              <w:adjustRightInd w:val="0"/>
              <w:rPr>
                <w:rFonts w:ascii="Palatino Linotype" w:hAnsi="Palatino Linotype"/>
                <w:szCs w:val="24"/>
              </w:rPr>
            </w:pPr>
            <w:r w:rsidRPr="00EA7659">
              <w:rPr>
                <w:rFonts w:ascii="Palatino Linotype" w:hAnsi="Palatino Linotype"/>
                <w:szCs w:val="24"/>
              </w:rPr>
              <w:t>Smith River</w:t>
            </w:r>
          </w:p>
        </w:tc>
        <w:tc>
          <w:tcPr>
            <w:tcW w:w="2160" w:type="dxa"/>
          </w:tcPr>
          <w:p w:rsidRPr="00EA7659" w:rsidR="00F2089A" w:rsidP="00556FEA" w:rsidRDefault="00F2089A" w14:paraId="57E378B9" w14:textId="77777777">
            <w:pPr>
              <w:autoSpaceDE w:val="0"/>
              <w:autoSpaceDN w:val="0"/>
              <w:adjustRightInd w:val="0"/>
              <w:jc w:val="center"/>
              <w:rPr>
                <w:rFonts w:ascii="Palatino Linotype" w:hAnsi="Palatino Linotype"/>
                <w:szCs w:val="24"/>
              </w:rPr>
            </w:pPr>
            <w:r w:rsidRPr="00EA7659">
              <w:rPr>
                <w:rFonts w:ascii="Palatino Linotype" w:hAnsi="Palatino Linotype"/>
                <w:szCs w:val="24"/>
              </w:rPr>
              <w:t>$ 1,428,479</w:t>
            </w:r>
          </w:p>
        </w:tc>
        <w:tc>
          <w:tcPr>
            <w:tcW w:w="2160" w:type="dxa"/>
          </w:tcPr>
          <w:p w:rsidRPr="00EA7659" w:rsidR="00F2089A" w:rsidP="00556FEA" w:rsidRDefault="00F2089A" w14:paraId="4C9B3A68" w14:textId="77777777">
            <w:pPr>
              <w:autoSpaceDE w:val="0"/>
              <w:autoSpaceDN w:val="0"/>
              <w:adjustRightInd w:val="0"/>
              <w:jc w:val="center"/>
              <w:rPr>
                <w:rFonts w:ascii="Palatino Linotype" w:hAnsi="Palatino Linotype"/>
                <w:szCs w:val="24"/>
              </w:rPr>
            </w:pPr>
            <w:r w:rsidRPr="00EA7659">
              <w:rPr>
                <w:rFonts w:ascii="Palatino Linotype" w:hAnsi="Palatino Linotype"/>
                <w:szCs w:val="24"/>
              </w:rPr>
              <w:t>$ 1,428,479</w:t>
            </w:r>
          </w:p>
        </w:tc>
      </w:tr>
      <w:tr w:rsidRPr="00AF2B06" w:rsidR="000273E8" w:rsidTr="00784DC6" w14:paraId="2850BEF6" w14:textId="77777777">
        <w:tc>
          <w:tcPr>
            <w:tcW w:w="3330" w:type="dxa"/>
            <w:vAlign w:val="center"/>
          </w:tcPr>
          <w:p w:rsidRPr="00EA7659" w:rsidR="000273E8" w:rsidP="00556FEA" w:rsidRDefault="00EA7659" w14:paraId="5431AB89" w14:textId="1C9A2108">
            <w:pPr>
              <w:autoSpaceDE w:val="0"/>
              <w:autoSpaceDN w:val="0"/>
              <w:adjustRightInd w:val="0"/>
              <w:rPr>
                <w:rFonts w:ascii="Palatino Linotype" w:hAnsi="Palatino Linotype"/>
                <w:b/>
                <w:bCs/>
                <w:szCs w:val="24"/>
              </w:rPr>
            </w:pPr>
            <w:r w:rsidRPr="00EA7659">
              <w:rPr>
                <w:rFonts w:ascii="Palatino Linotype" w:hAnsi="Palatino Linotype"/>
                <w:b/>
                <w:bCs/>
                <w:szCs w:val="24"/>
              </w:rPr>
              <w:t>CASF Grant Amount</w:t>
            </w:r>
          </w:p>
        </w:tc>
        <w:tc>
          <w:tcPr>
            <w:tcW w:w="2160" w:type="dxa"/>
          </w:tcPr>
          <w:p w:rsidRPr="00EA7659" w:rsidR="000273E8" w:rsidP="00556FEA" w:rsidRDefault="0070052D" w14:paraId="108E8BDA" w14:textId="34421952">
            <w:pPr>
              <w:autoSpaceDE w:val="0"/>
              <w:autoSpaceDN w:val="0"/>
              <w:adjustRightInd w:val="0"/>
              <w:jc w:val="center"/>
              <w:rPr>
                <w:rFonts w:ascii="Palatino Linotype" w:hAnsi="Palatino Linotype"/>
                <w:b/>
                <w:bCs/>
                <w:szCs w:val="24"/>
              </w:rPr>
            </w:pPr>
            <w:r w:rsidRPr="00EA7659">
              <w:rPr>
                <w:rFonts w:ascii="Palatino Linotype" w:hAnsi="Palatino Linotype"/>
                <w:b/>
                <w:bCs/>
                <w:szCs w:val="24"/>
              </w:rPr>
              <w:t>$ 2,841,772</w:t>
            </w:r>
          </w:p>
        </w:tc>
        <w:tc>
          <w:tcPr>
            <w:tcW w:w="2160" w:type="dxa"/>
          </w:tcPr>
          <w:p w:rsidRPr="00EA7659" w:rsidR="000273E8" w:rsidP="00556FEA" w:rsidRDefault="0070052D" w14:paraId="4797DEF2" w14:textId="26606F7B">
            <w:pPr>
              <w:autoSpaceDE w:val="0"/>
              <w:autoSpaceDN w:val="0"/>
              <w:adjustRightInd w:val="0"/>
              <w:jc w:val="center"/>
              <w:rPr>
                <w:rFonts w:ascii="Palatino Linotype" w:hAnsi="Palatino Linotype"/>
                <w:b/>
                <w:bCs/>
                <w:szCs w:val="24"/>
              </w:rPr>
            </w:pPr>
            <w:r w:rsidRPr="00EA7659">
              <w:rPr>
                <w:rFonts w:ascii="Palatino Linotype" w:hAnsi="Palatino Linotype"/>
                <w:b/>
                <w:bCs/>
                <w:szCs w:val="24"/>
              </w:rPr>
              <w:t>$ 2,841,772</w:t>
            </w:r>
          </w:p>
        </w:tc>
      </w:tr>
    </w:tbl>
    <w:p w:rsidR="00A45128" w:rsidP="00A45128" w:rsidRDefault="00A45128" w14:paraId="25490EDB" w14:textId="5FF1E34E">
      <w:pPr>
        <w:rPr>
          <w:rFonts w:ascii="Palatino Linotype" w:hAnsi="Palatino Linotype"/>
        </w:rPr>
      </w:pPr>
    </w:p>
    <w:p w:rsidR="00030E59" w:rsidRDefault="00030E59" w14:paraId="3AC1BE99" w14:textId="77777777">
      <w:pPr>
        <w:spacing w:after="160" w:line="259" w:lineRule="auto"/>
        <w:rPr>
          <w:rFonts w:ascii="Palatino Linotype" w:hAnsi="Palatino Linotype"/>
          <w:u w:val="single"/>
        </w:rPr>
      </w:pPr>
      <w:r>
        <w:rPr>
          <w:rFonts w:ascii="Palatino Linotype" w:hAnsi="Palatino Linotype"/>
          <w:u w:val="single"/>
        </w:rPr>
        <w:br w:type="page"/>
      </w:r>
    </w:p>
    <w:p w:rsidR="00760A61" w:rsidP="00760A61" w:rsidRDefault="00760A61" w14:paraId="0487D66A" w14:textId="24AA77C6">
      <w:pPr>
        <w:pStyle w:val="ListParagraph"/>
        <w:numPr>
          <w:ilvl w:val="0"/>
          <w:numId w:val="47"/>
        </w:numPr>
        <w:spacing w:after="120"/>
        <w:rPr>
          <w:rFonts w:ascii="Palatino Linotype" w:hAnsi="Palatino Linotype"/>
          <w:u w:val="single"/>
        </w:rPr>
      </w:pPr>
      <w:r w:rsidRPr="00760A61">
        <w:rPr>
          <w:rFonts w:ascii="Palatino Linotype" w:hAnsi="Palatino Linotype"/>
          <w:u w:val="single"/>
        </w:rPr>
        <w:lastRenderedPageBreak/>
        <w:t>Crescent City Funding Determination</w:t>
      </w:r>
    </w:p>
    <w:p w:rsidRPr="00A654B0" w:rsidR="00A654B0" w:rsidP="00A654B0" w:rsidRDefault="00431534" w14:paraId="49758957" w14:textId="7A008343">
      <w:pPr>
        <w:spacing w:after="120"/>
        <w:rPr>
          <w:rFonts w:ascii="Palatino Linotype" w:hAnsi="Palatino Linotype"/>
        </w:rPr>
      </w:pPr>
      <w:r>
        <w:rPr>
          <w:rFonts w:ascii="Palatino Linotype" w:hAnsi="Palatino Linotype"/>
        </w:rPr>
        <w:t>Details of</w:t>
      </w:r>
      <w:r w:rsidR="00A654B0">
        <w:rPr>
          <w:rFonts w:ascii="Palatino Linotype" w:hAnsi="Palatino Linotype"/>
        </w:rPr>
        <w:t xml:space="preserve"> Staff’s funding level determination for Frontier’s Crescent City Project</w:t>
      </w:r>
      <w:r>
        <w:rPr>
          <w:rFonts w:ascii="Palatino Linotype" w:hAnsi="Palatino Linotype"/>
        </w:rPr>
        <w:t xml:space="preserve"> are summarized in Table 9</w:t>
      </w:r>
      <w:r w:rsidR="00A654B0">
        <w:rPr>
          <w:rFonts w:ascii="Palatino Linotype" w:hAnsi="Palatino Linotype"/>
        </w:rPr>
        <w:t>.</w:t>
      </w:r>
    </w:p>
    <w:p w:rsidRPr="009C7D6E" w:rsidR="00161C2F" w:rsidP="00161C2F" w:rsidRDefault="00161C2F" w14:paraId="630BD45B" w14:textId="310AE5B1">
      <w:pPr>
        <w:spacing w:after="120"/>
        <w:jc w:val="center"/>
        <w:rPr>
          <w:rStyle w:val="BookTitle"/>
          <w:rFonts w:ascii="Palatino Linotype" w:hAnsi="Palatino Linotype"/>
          <w:i w:val="0"/>
          <w:iCs w:val="0"/>
          <w:szCs w:val="24"/>
        </w:rPr>
      </w:pPr>
      <w:r w:rsidRPr="009C7D6E">
        <w:rPr>
          <w:rStyle w:val="BookTitle"/>
          <w:rFonts w:ascii="Palatino Linotype" w:hAnsi="Palatino Linotype"/>
          <w:i w:val="0"/>
          <w:iCs w:val="0"/>
          <w:szCs w:val="24"/>
        </w:rPr>
        <w:t xml:space="preserve">Table </w:t>
      </w:r>
      <w:r w:rsidR="00A4441F">
        <w:rPr>
          <w:rStyle w:val="BookTitle"/>
          <w:rFonts w:ascii="Palatino Linotype" w:hAnsi="Palatino Linotype"/>
          <w:i w:val="0"/>
          <w:iCs w:val="0"/>
          <w:szCs w:val="24"/>
        </w:rPr>
        <w:t>9</w:t>
      </w:r>
      <w:r w:rsidRPr="009C7D6E">
        <w:rPr>
          <w:rStyle w:val="BookTitle"/>
          <w:rFonts w:ascii="Palatino Linotype" w:hAnsi="Palatino Linotype"/>
          <w:i w:val="0"/>
          <w:iCs w:val="0"/>
          <w:szCs w:val="24"/>
        </w:rPr>
        <w:t>:  Criteria for Project Funding Level for Frontier Crescent City</w:t>
      </w:r>
    </w:p>
    <w:tbl>
      <w:tblPr>
        <w:tblStyle w:val="TableGrid"/>
        <w:tblW w:w="0" w:type="auto"/>
        <w:tblInd w:w="0" w:type="dxa"/>
        <w:tblLook w:val="04E0" w:firstRow="1" w:lastRow="1" w:firstColumn="1" w:lastColumn="0" w:noHBand="0" w:noVBand="1"/>
      </w:tblPr>
      <w:tblGrid>
        <w:gridCol w:w="7105"/>
        <w:gridCol w:w="2188"/>
      </w:tblGrid>
      <w:tr w:rsidRPr="009C7D6E" w:rsidR="00161C2F" w:rsidTr="00556FEA" w14:paraId="5B435E81" w14:textId="77777777">
        <w:tc>
          <w:tcPr>
            <w:tcW w:w="7105" w:type="dxa"/>
            <w:shd w:val="clear" w:color="auto" w:fill="D9D9D9" w:themeFill="background1" w:themeFillShade="D9"/>
          </w:tcPr>
          <w:p w:rsidRPr="009C7D6E" w:rsidR="00161C2F" w:rsidP="00556FEA" w:rsidRDefault="00161C2F" w14:paraId="57DE9A39" w14:textId="77777777">
            <w:pPr>
              <w:rPr>
                <w:rFonts w:ascii="Palatino Linotype" w:hAnsi="Palatino Linotype"/>
                <w:b/>
                <w:bCs/>
                <w:szCs w:val="24"/>
              </w:rPr>
            </w:pPr>
            <w:r w:rsidRPr="009C7D6E">
              <w:rPr>
                <w:rFonts w:ascii="Palatino Linotype" w:hAnsi="Palatino Linotype"/>
                <w:b/>
                <w:bCs/>
                <w:szCs w:val="24"/>
              </w:rPr>
              <w:t>Funding Criteria</w:t>
            </w:r>
          </w:p>
        </w:tc>
        <w:tc>
          <w:tcPr>
            <w:tcW w:w="2188" w:type="dxa"/>
            <w:shd w:val="clear" w:color="auto" w:fill="D9D9D9" w:themeFill="background1" w:themeFillShade="D9"/>
          </w:tcPr>
          <w:p w:rsidRPr="009C7D6E" w:rsidR="00161C2F" w:rsidP="00556FEA" w:rsidRDefault="00161C2F" w14:paraId="11CF5D84" w14:textId="77777777">
            <w:pPr>
              <w:jc w:val="center"/>
              <w:rPr>
                <w:rFonts w:ascii="Palatino Linotype" w:hAnsi="Palatino Linotype"/>
                <w:b/>
                <w:bCs/>
                <w:szCs w:val="24"/>
              </w:rPr>
            </w:pPr>
            <w:r w:rsidRPr="009C7D6E">
              <w:rPr>
                <w:rFonts w:ascii="Palatino Linotype" w:hAnsi="Palatino Linotype"/>
                <w:b/>
                <w:bCs/>
                <w:szCs w:val="24"/>
              </w:rPr>
              <w:t>Revised Project</w:t>
            </w:r>
          </w:p>
        </w:tc>
      </w:tr>
      <w:tr w:rsidRPr="009C7D6E" w:rsidR="00161C2F" w:rsidTr="00556FEA" w14:paraId="365A8850" w14:textId="77777777">
        <w:tc>
          <w:tcPr>
            <w:tcW w:w="7105" w:type="dxa"/>
          </w:tcPr>
          <w:p w:rsidRPr="009C7D6E" w:rsidR="00161C2F" w:rsidP="00556FEA" w:rsidRDefault="00161C2F" w14:paraId="428D54A1" w14:textId="77777777">
            <w:pPr>
              <w:rPr>
                <w:rFonts w:ascii="Palatino Linotype" w:hAnsi="Palatino Linotype"/>
                <w:szCs w:val="24"/>
              </w:rPr>
            </w:pPr>
            <w:r w:rsidRPr="009C7D6E">
              <w:rPr>
                <w:rFonts w:ascii="Palatino Linotype" w:hAnsi="Palatino Linotype"/>
                <w:szCs w:val="24"/>
              </w:rPr>
              <w:t>Baseline for Eligible Project (60%)</w:t>
            </w:r>
          </w:p>
        </w:tc>
        <w:tc>
          <w:tcPr>
            <w:tcW w:w="2188" w:type="dxa"/>
          </w:tcPr>
          <w:p w:rsidRPr="009C7D6E" w:rsidR="00161C2F" w:rsidP="00556FEA" w:rsidRDefault="00161C2F" w14:paraId="42F46F31" w14:textId="77777777">
            <w:pPr>
              <w:jc w:val="center"/>
              <w:rPr>
                <w:rFonts w:ascii="Palatino Linotype" w:hAnsi="Palatino Linotype"/>
                <w:szCs w:val="24"/>
              </w:rPr>
            </w:pPr>
            <w:r w:rsidRPr="009C7D6E">
              <w:rPr>
                <w:rFonts w:ascii="Palatino Linotype" w:hAnsi="Palatino Linotype"/>
                <w:szCs w:val="24"/>
              </w:rPr>
              <w:t>60%</w:t>
            </w:r>
          </w:p>
        </w:tc>
      </w:tr>
      <w:tr w:rsidRPr="00352E7F" w:rsidR="00161C2F" w:rsidTr="00556FEA" w14:paraId="42594CBD" w14:textId="77777777">
        <w:tc>
          <w:tcPr>
            <w:tcW w:w="7105" w:type="dxa"/>
          </w:tcPr>
          <w:p w:rsidRPr="00352E7F" w:rsidR="00161C2F" w:rsidP="00556FEA" w:rsidRDefault="00161C2F" w14:paraId="4A2C32EA" w14:textId="77777777">
            <w:pPr>
              <w:rPr>
                <w:rFonts w:ascii="Palatino Linotype" w:hAnsi="Palatino Linotype"/>
                <w:szCs w:val="24"/>
              </w:rPr>
            </w:pPr>
            <w:r w:rsidRPr="00352E7F">
              <w:rPr>
                <w:rFonts w:ascii="Palatino Linotype" w:hAnsi="Palatino Linotype"/>
                <w:szCs w:val="24"/>
              </w:rPr>
              <w:t xml:space="preserve">Service Level Preference: </w:t>
            </w:r>
            <w:r>
              <w:rPr>
                <w:rFonts w:ascii="Palatino Linotype" w:hAnsi="Palatino Linotype"/>
                <w:szCs w:val="24"/>
              </w:rPr>
              <w:t xml:space="preserve">Only </w:t>
            </w:r>
            <w:r w:rsidRPr="00352E7F">
              <w:rPr>
                <w:rFonts w:ascii="Palatino Linotype" w:hAnsi="Palatino Linotype"/>
                <w:szCs w:val="24"/>
              </w:rPr>
              <w:t xml:space="preserve">Dial-up </w:t>
            </w:r>
            <w:r>
              <w:rPr>
                <w:rFonts w:ascii="Palatino Linotype" w:hAnsi="Palatino Linotype"/>
                <w:szCs w:val="24"/>
              </w:rPr>
              <w:t>or No Internet Connectivity</w:t>
            </w:r>
            <w:r w:rsidRPr="00352E7F">
              <w:rPr>
                <w:rFonts w:ascii="Palatino Linotype" w:hAnsi="Palatino Linotype"/>
                <w:szCs w:val="24"/>
              </w:rPr>
              <w:t xml:space="preserve"> (</w:t>
            </w:r>
            <w:r>
              <w:rPr>
                <w:rFonts w:ascii="Palatino Linotype" w:hAnsi="Palatino Linotype"/>
                <w:szCs w:val="24"/>
              </w:rPr>
              <w:t xml:space="preserve">up to </w:t>
            </w:r>
            <w:r w:rsidRPr="00352E7F">
              <w:rPr>
                <w:rFonts w:ascii="Palatino Linotype" w:hAnsi="Palatino Linotype"/>
                <w:szCs w:val="24"/>
              </w:rPr>
              <w:t>40%)</w:t>
            </w:r>
          </w:p>
        </w:tc>
        <w:tc>
          <w:tcPr>
            <w:tcW w:w="2188" w:type="dxa"/>
          </w:tcPr>
          <w:p w:rsidRPr="00352E7F" w:rsidR="00161C2F" w:rsidP="00556FEA" w:rsidRDefault="00161C2F" w14:paraId="1CAA0A49" w14:textId="77777777">
            <w:pPr>
              <w:jc w:val="center"/>
              <w:rPr>
                <w:rFonts w:ascii="Palatino Linotype" w:hAnsi="Palatino Linotype"/>
                <w:szCs w:val="24"/>
              </w:rPr>
            </w:pPr>
            <w:r>
              <w:rPr>
                <w:rFonts w:ascii="Palatino Linotype" w:hAnsi="Palatino Linotype"/>
                <w:szCs w:val="24"/>
              </w:rPr>
              <w:t>40</w:t>
            </w:r>
            <w:r w:rsidRPr="00352E7F">
              <w:rPr>
                <w:rFonts w:ascii="Palatino Linotype" w:hAnsi="Palatino Linotype"/>
                <w:szCs w:val="24"/>
              </w:rPr>
              <w:t>%</w:t>
            </w:r>
          </w:p>
        </w:tc>
      </w:tr>
      <w:tr w:rsidRPr="00352E7F" w:rsidR="00161C2F" w:rsidTr="00556FEA" w14:paraId="73D48D20" w14:textId="77777777">
        <w:tc>
          <w:tcPr>
            <w:tcW w:w="7105" w:type="dxa"/>
          </w:tcPr>
          <w:p w:rsidRPr="00352E7F" w:rsidR="00161C2F" w:rsidP="00556FEA" w:rsidRDefault="00161C2F" w14:paraId="76E1CDAB" w14:textId="77777777">
            <w:pPr>
              <w:rPr>
                <w:rFonts w:ascii="Palatino Linotype" w:hAnsi="Palatino Linotype"/>
                <w:szCs w:val="24"/>
              </w:rPr>
            </w:pPr>
            <w:r w:rsidRPr="00352E7F">
              <w:rPr>
                <w:rFonts w:ascii="Palatino Linotype" w:hAnsi="Palatino Linotype"/>
                <w:szCs w:val="24"/>
              </w:rPr>
              <w:t xml:space="preserve">Low Income </w:t>
            </w:r>
            <w:r>
              <w:rPr>
                <w:rFonts w:ascii="Palatino Linotype" w:hAnsi="Palatino Linotype"/>
                <w:szCs w:val="24"/>
              </w:rPr>
              <w:t>–</w:t>
            </w:r>
            <w:r w:rsidRPr="00352E7F">
              <w:rPr>
                <w:rFonts w:ascii="Palatino Linotype" w:hAnsi="Palatino Linotype"/>
                <w:szCs w:val="24"/>
              </w:rPr>
              <w:t xml:space="preserve"> </w:t>
            </w:r>
            <w:r>
              <w:rPr>
                <w:rFonts w:ascii="Palatino Linotype" w:hAnsi="Palatino Linotype"/>
                <w:szCs w:val="24"/>
              </w:rPr>
              <w:t>(</w:t>
            </w:r>
            <w:r w:rsidRPr="00352E7F">
              <w:rPr>
                <w:rFonts w:ascii="Palatino Linotype" w:hAnsi="Palatino Linotype"/>
                <w:szCs w:val="24"/>
              </w:rPr>
              <w:t>up to 40%</w:t>
            </w:r>
            <w:r>
              <w:rPr>
                <w:rFonts w:ascii="Palatino Linotype" w:hAnsi="Palatino Linotype"/>
                <w:szCs w:val="24"/>
              </w:rPr>
              <w:t>)</w:t>
            </w:r>
          </w:p>
          <w:p w:rsidRPr="00352E7F" w:rsidR="00161C2F" w:rsidP="00556FEA" w:rsidRDefault="00161C2F" w14:paraId="4F9BFF3F" w14:textId="77777777">
            <w:pPr>
              <w:pStyle w:val="ListParagraph"/>
              <w:numPr>
                <w:ilvl w:val="0"/>
                <w:numId w:val="20"/>
              </w:numPr>
              <w:rPr>
                <w:rFonts w:ascii="Palatino Linotype" w:hAnsi="Palatino Linotype"/>
                <w:color w:val="000000" w:themeColor="text1"/>
                <w:szCs w:val="24"/>
              </w:rPr>
            </w:pPr>
            <w:r w:rsidRPr="00352E7F">
              <w:rPr>
                <w:rFonts w:ascii="Palatino Linotype" w:hAnsi="Palatino Linotype"/>
                <w:szCs w:val="24"/>
              </w:rPr>
              <w:t>Median Household Income for community is less than CARE standard for family of 4, which is currently $50,200 (30%)</w:t>
            </w:r>
          </w:p>
          <w:p w:rsidRPr="00352E7F" w:rsidR="00161C2F" w:rsidP="00556FEA" w:rsidRDefault="00161C2F" w14:paraId="2E9C03E8" w14:textId="77777777">
            <w:pPr>
              <w:pStyle w:val="ListParagraph"/>
              <w:numPr>
                <w:ilvl w:val="0"/>
                <w:numId w:val="20"/>
              </w:numPr>
              <w:rPr>
                <w:rFonts w:ascii="Palatino Linotype" w:hAnsi="Palatino Linotype"/>
                <w:color w:val="000000" w:themeColor="text1"/>
                <w:szCs w:val="24"/>
              </w:rPr>
            </w:pPr>
            <w:r w:rsidRPr="00352E7F">
              <w:rPr>
                <w:rFonts w:ascii="Palatino Linotype" w:hAnsi="Palatino Linotype"/>
                <w:szCs w:val="24"/>
              </w:rPr>
              <w:t>Applicant serves low-income customers for no more than $15/month (10%)</w:t>
            </w:r>
          </w:p>
        </w:tc>
        <w:tc>
          <w:tcPr>
            <w:tcW w:w="2188" w:type="dxa"/>
          </w:tcPr>
          <w:p w:rsidRPr="00352E7F" w:rsidR="00161C2F" w:rsidP="00556FEA" w:rsidRDefault="00161C2F" w14:paraId="324EA3F6" w14:textId="77777777">
            <w:pPr>
              <w:jc w:val="center"/>
              <w:rPr>
                <w:rFonts w:ascii="Palatino Linotype" w:hAnsi="Palatino Linotype"/>
                <w:szCs w:val="24"/>
              </w:rPr>
            </w:pPr>
          </w:p>
          <w:p w:rsidRPr="00352E7F" w:rsidR="00161C2F" w:rsidP="00556FEA" w:rsidRDefault="00161C2F" w14:paraId="0DF4F58D" w14:textId="77777777">
            <w:pPr>
              <w:jc w:val="center"/>
              <w:rPr>
                <w:rFonts w:ascii="Palatino Linotype" w:hAnsi="Palatino Linotype"/>
                <w:szCs w:val="24"/>
              </w:rPr>
            </w:pPr>
            <w:r w:rsidRPr="00352E7F">
              <w:rPr>
                <w:rFonts w:ascii="Palatino Linotype" w:hAnsi="Palatino Linotype"/>
                <w:szCs w:val="24"/>
              </w:rPr>
              <w:t>30%</w:t>
            </w:r>
          </w:p>
          <w:p w:rsidR="00161C2F" w:rsidP="00556FEA" w:rsidRDefault="00161C2F" w14:paraId="097CEC41" w14:textId="77777777">
            <w:pPr>
              <w:jc w:val="center"/>
              <w:rPr>
                <w:rFonts w:ascii="Palatino Linotype" w:hAnsi="Palatino Linotype"/>
                <w:szCs w:val="24"/>
              </w:rPr>
            </w:pPr>
          </w:p>
          <w:p w:rsidR="00161C2F" w:rsidP="00556FEA" w:rsidRDefault="00161C2F" w14:paraId="18803EC6" w14:textId="77777777">
            <w:pPr>
              <w:jc w:val="center"/>
              <w:rPr>
                <w:rFonts w:ascii="Palatino Linotype" w:hAnsi="Palatino Linotype"/>
                <w:szCs w:val="24"/>
              </w:rPr>
            </w:pPr>
          </w:p>
          <w:p w:rsidRPr="00352E7F" w:rsidR="00161C2F" w:rsidP="00556FEA" w:rsidRDefault="00161C2F" w14:paraId="0AF4FE83" w14:textId="77777777">
            <w:pPr>
              <w:jc w:val="center"/>
              <w:rPr>
                <w:rFonts w:ascii="Palatino Linotype" w:hAnsi="Palatino Linotype"/>
                <w:szCs w:val="24"/>
              </w:rPr>
            </w:pPr>
            <w:r w:rsidRPr="00352E7F">
              <w:rPr>
                <w:rFonts w:ascii="Palatino Linotype" w:hAnsi="Palatino Linotype"/>
                <w:szCs w:val="24"/>
              </w:rPr>
              <w:t>10%</w:t>
            </w:r>
          </w:p>
        </w:tc>
      </w:tr>
      <w:tr w:rsidRPr="00352E7F" w:rsidR="00161C2F" w:rsidTr="00556FEA" w14:paraId="2AC8938D" w14:textId="77777777">
        <w:tc>
          <w:tcPr>
            <w:tcW w:w="7105" w:type="dxa"/>
            <w:tcBorders>
              <w:bottom w:val="single" w:color="auto" w:sz="12" w:space="0"/>
            </w:tcBorders>
          </w:tcPr>
          <w:p w:rsidRPr="00E42680" w:rsidR="00161C2F" w:rsidP="00556FEA" w:rsidRDefault="00161C2F" w14:paraId="3C3704E7" w14:textId="77777777">
            <w:pPr>
              <w:rPr>
                <w:rFonts w:ascii="Palatino Linotype" w:hAnsi="Palatino Linotype"/>
                <w:szCs w:val="24"/>
              </w:rPr>
            </w:pPr>
            <w:r w:rsidRPr="00E42680">
              <w:rPr>
                <w:rFonts w:ascii="Palatino Linotype" w:hAnsi="Palatino Linotype"/>
                <w:szCs w:val="24"/>
              </w:rPr>
              <w:t>Others: PU Code §</w:t>
            </w:r>
            <w:r w:rsidRPr="00E42680">
              <w:rPr>
                <w:rFonts w:ascii="Palatino Linotype" w:hAnsi="Palatino Linotype"/>
              </w:rPr>
              <w:t xml:space="preserve"> </w:t>
            </w:r>
            <w:r w:rsidRPr="00E42680">
              <w:rPr>
                <w:rFonts w:ascii="Palatino Linotype" w:hAnsi="Palatino Linotype"/>
                <w:szCs w:val="24"/>
              </w:rPr>
              <w:t>281 (f)(12) Criteria – (up to 20%)</w:t>
            </w:r>
          </w:p>
          <w:p w:rsidRPr="00E42680" w:rsidR="00161C2F" w:rsidP="00556FEA" w:rsidRDefault="00161C2F" w14:paraId="25C3EA8F" w14:textId="77777777">
            <w:pPr>
              <w:pStyle w:val="ListParagraph"/>
              <w:numPr>
                <w:ilvl w:val="0"/>
                <w:numId w:val="21"/>
              </w:numPr>
              <w:rPr>
                <w:rFonts w:ascii="Palatino Linotype" w:hAnsi="Palatino Linotype"/>
                <w:szCs w:val="24"/>
              </w:rPr>
            </w:pPr>
            <w:r w:rsidRPr="00E42680">
              <w:rPr>
                <w:rFonts w:ascii="Palatino Linotype" w:hAnsi="Palatino Linotype"/>
                <w:szCs w:val="24"/>
              </w:rPr>
              <w:t>Inaccessible Location (10%)</w:t>
            </w:r>
          </w:p>
          <w:p w:rsidRPr="00E42680" w:rsidR="00161C2F" w:rsidP="00556FEA" w:rsidRDefault="00161C2F" w14:paraId="680A4537" w14:textId="77777777">
            <w:pPr>
              <w:pStyle w:val="ListParagraph"/>
              <w:numPr>
                <w:ilvl w:val="0"/>
                <w:numId w:val="21"/>
              </w:numPr>
              <w:rPr>
                <w:rFonts w:ascii="Palatino Linotype" w:hAnsi="Palatino Linotype"/>
                <w:szCs w:val="24"/>
              </w:rPr>
            </w:pPr>
            <w:r w:rsidRPr="00E42680">
              <w:rPr>
                <w:rFonts w:ascii="Palatino Linotype" w:hAnsi="Palatino Linotype"/>
                <w:szCs w:val="24"/>
              </w:rPr>
              <w:t>Uses Existing Infrastructure (10%)</w:t>
            </w:r>
          </w:p>
          <w:p w:rsidRPr="00E42680" w:rsidR="00161C2F" w:rsidP="00556FEA" w:rsidRDefault="00161C2F" w14:paraId="6D0E43F1" w14:textId="77777777">
            <w:pPr>
              <w:pStyle w:val="ListParagraph"/>
              <w:numPr>
                <w:ilvl w:val="0"/>
                <w:numId w:val="21"/>
              </w:numPr>
              <w:rPr>
                <w:rFonts w:ascii="Palatino Linotype" w:hAnsi="Palatino Linotype"/>
                <w:szCs w:val="24"/>
              </w:rPr>
            </w:pPr>
            <w:r w:rsidRPr="00E42680">
              <w:rPr>
                <w:rFonts w:ascii="Palatino Linotype" w:hAnsi="Palatino Linotype"/>
                <w:szCs w:val="24"/>
              </w:rPr>
              <w:t>Makes a Significant Contribution to the Program Goal (10%)</w:t>
            </w:r>
          </w:p>
        </w:tc>
        <w:tc>
          <w:tcPr>
            <w:tcW w:w="2188" w:type="dxa"/>
            <w:tcBorders>
              <w:bottom w:val="single" w:color="auto" w:sz="12" w:space="0"/>
            </w:tcBorders>
          </w:tcPr>
          <w:p w:rsidRPr="00E42680" w:rsidR="00161C2F" w:rsidP="00556FEA" w:rsidRDefault="00161C2F" w14:paraId="57516325" w14:textId="77777777">
            <w:pPr>
              <w:rPr>
                <w:rFonts w:ascii="Palatino Linotype" w:hAnsi="Palatino Linotype"/>
                <w:szCs w:val="24"/>
              </w:rPr>
            </w:pPr>
          </w:p>
          <w:p w:rsidRPr="00E42680" w:rsidR="00161C2F" w:rsidP="00556FEA" w:rsidRDefault="00161C2F" w14:paraId="6855602D" w14:textId="77777777">
            <w:pPr>
              <w:jc w:val="center"/>
              <w:rPr>
                <w:rFonts w:ascii="Palatino Linotype" w:hAnsi="Palatino Linotype"/>
                <w:szCs w:val="24"/>
              </w:rPr>
            </w:pPr>
            <w:r w:rsidRPr="00E42680">
              <w:rPr>
                <w:rFonts w:ascii="Palatino Linotype" w:hAnsi="Palatino Linotype"/>
                <w:szCs w:val="24"/>
              </w:rPr>
              <w:t>0%</w:t>
            </w:r>
          </w:p>
          <w:p w:rsidRPr="00E42680" w:rsidR="00161C2F" w:rsidP="00556FEA" w:rsidRDefault="00161C2F" w14:paraId="2E57811B" w14:textId="77777777">
            <w:pPr>
              <w:jc w:val="center"/>
              <w:rPr>
                <w:rFonts w:ascii="Palatino Linotype" w:hAnsi="Palatino Linotype"/>
                <w:szCs w:val="24"/>
              </w:rPr>
            </w:pPr>
            <w:r w:rsidRPr="00E42680">
              <w:rPr>
                <w:rFonts w:ascii="Palatino Linotype" w:hAnsi="Palatino Linotype"/>
                <w:szCs w:val="24"/>
              </w:rPr>
              <w:t>10%</w:t>
            </w:r>
          </w:p>
          <w:p w:rsidRPr="00E42680" w:rsidR="00161C2F" w:rsidP="00556FEA" w:rsidRDefault="00161C2F" w14:paraId="6E00ABB8" w14:textId="77777777">
            <w:pPr>
              <w:jc w:val="center"/>
              <w:rPr>
                <w:rFonts w:ascii="Palatino Linotype" w:hAnsi="Palatino Linotype"/>
                <w:szCs w:val="24"/>
              </w:rPr>
            </w:pPr>
            <w:r w:rsidRPr="00E42680">
              <w:rPr>
                <w:rFonts w:ascii="Palatino Linotype" w:hAnsi="Palatino Linotype"/>
                <w:szCs w:val="24"/>
              </w:rPr>
              <w:t>10%</w:t>
            </w:r>
          </w:p>
        </w:tc>
      </w:tr>
      <w:tr w:rsidRPr="00352E7F" w:rsidR="00161C2F" w:rsidTr="00556FEA" w14:paraId="08C29376" w14:textId="77777777">
        <w:tc>
          <w:tcPr>
            <w:tcW w:w="7105" w:type="dxa"/>
            <w:tcBorders>
              <w:top w:val="single" w:color="auto" w:sz="12" w:space="0"/>
            </w:tcBorders>
          </w:tcPr>
          <w:p w:rsidRPr="00352E7F" w:rsidR="00161C2F" w:rsidP="00556FEA" w:rsidRDefault="00161C2F" w14:paraId="6BD15CAA" w14:textId="77777777">
            <w:pPr>
              <w:rPr>
                <w:rFonts w:ascii="Palatino Linotype" w:hAnsi="Palatino Linotype"/>
                <w:b/>
                <w:bCs/>
                <w:szCs w:val="24"/>
              </w:rPr>
            </w:pPr>
            <w:r w:rsidRPr="00352E7F">
              <w:rPr>
                <w:rFonts w:ascii="Palatino Linotype" w:hAnsi="Palatino Linotype"/>
                <w:b/>
                <w:bCs/>
                <w:szCs w:val="24"/>
              </w:rPr>
              <w:t>Total Funding Level</w:t>
            </w:r>
          </w:p>
        </w:tc>
        <w:tc>
          <w:tcPr>
            <w:tcW w:w="2188" w:type="dxa"/>
            <w:tcBorders>
              <w:top w:val="single" w:color="auto" w:sz="12" w:space="0"/>
            </w:tcBorders>
          </w:tcPr>
          <w:p w:rsidRPr="00352E7F" w:rsidR="00161C2F" w:rsidP="00556FEA" w:rsidRDefault="00161C2F" w14:paraId="59DCDACB" w14:textId="77777777">
            <w:pPr>
              <w:jc w:val="center"/>
              <w:rPr>
                <w:rFonts w:ascii="Palatino Linotype" w:hAnsi="Palatino Linotype"/>
                <w:b/>
                <w:bCs/>
                <w:szCs w:val="24"/>
              </w:rPr>
            </w:pPr>
            <w:r w:rsidRPr="006219D0">
              <w:rPr>
                <w:rFonts w:ascii="Palatino Linotype" w:hAnsi="Palatino Linotype"/>
                <w:b/>
                <w:bCs/>
              </w:rPr>
              <w:t>100%</w:t>
            </w:r>
            <w:r w:rsidRPr="006219D0">
              <w:rPr>
                <w:rStyle w:val="FootnoteReference"/>
                <w:rFonts w:ascii="Palatino Linotype" w:hAnsi="Palatino Linotype"/>
                <w:b/>
                <w:bCs/>
              </w:rPr>
              <w:footnoteReference w:id="14"/>
            </w:r>
          </w:p>
        </w:tc>
      </w:tr>
    </w:tbl>
    <w:p w:rsidR="00161C2F" w:rsidP="00161C2F" w:rsidRDefault="00161C2F" w14:paraId="2B9FD70E" w14:textId="252F5F2F">
      <w:pPr>
        <w:rPr>
          <w:rFonts w:ascii="Palatino Linotype" w:hAnsi="Palatino Linotype"/>
          <w:szCs w:val="24"/>
        </w:rPr>
      </w:pPr>
    </w:p>
    <w:p w:rsidRPr="00352E7F" w:rsidR="009C4260" w:rsidP="009C4260" w:rsidRDefault="009C4260" w14:paraId="6E35149B" w14:textId="77777777">
      <w:pPr>
        <w:rPr>
          <w:rFonts w:ascii="Palatino Linotype" w:hAnsi="Palatino Linotype"/>
          <w:szCs w:val="24"/>
        </w:rPr>
      </w:pPr>
      <w:r w:rsidRPr="00352E7F">
        <w:rPr>
          <w:rFonts w:ascii="Palatino Linotype" w:hAnsi="Palatino Linotype"/>
          <w:szCs w:val="24"/>
        </w:rPr>
        <w:t>Details of the appropriate funding level are described below.</w:t>
      </w:r>
    </w:p>
    <w:p w:rsidRPr="00352E7F" w:rsidR="009C4260" w:rsidP="009C4260" w:rsidRDefault="009C4260" w14:paraId="05646484" w14:textId="77777777">
      <w:pPr>
        <w:rPr>
          <w:rFonts w:ascii="Palatino Linotype" w:hAnsi="Palatino Linotype"/>
          <w:b/>
          <w:bCs/>
          <w:szCs w:val="24"/>
        </w:rPr>
      </w:pPr>
    </w:p>
    <w:p w:rsidRPr="00352E7F" w:rsidR="009C4260" w:rsidP="009C4260" w:rsidRDefault="009C4260" w14:paraId="7770C622" w14:textId="71B4C20F">
      <w:pPr>
        <w:pStyle w:val="ListParagraph"/>
        <w:rPr>
          <w:rFonts w:ascii="Palatino Linotype" w:hAnsi="Palatino Linotype"/>
          <w:szCs w:val="24"/>
        </w:rPr>
      </w:pPr>
      <w:r w:rsidRPr="00352E7F">
        <w:rPr>
          <w:rFonts w:ascii="Palatino Linotype" w:hAnsi="Palatino Linotype"/>
          <w:b/>
          <w:bCs/>
          <w:szCs w:val="24"/>
        </w:rPr>
        <w:t>Baseline for</w:t>
      </w:r>
      <w:r w:rsidR="00276167">
        <w:rPr>
          <w:rFonts w:ascii="Palatino Linotype" w:hAnsi="Palatino Linotype"/>
          <w:b/>
          <w:bCs/>
          <w:szCs w:val="24"/>
        </w:rPr>
        <w:t xml:space="preserve"> an</w:t>
      </w:r>
      <w:r w:rsidRPr="00352E7F">
        <w:rPr>
          <w:rFonts w:ascii="Palatino Linotype" w:hAnsi="Palatino Linotype"/>
          <w:b/>
          <w:bCs/>
          <w:szCs w:val="24"/>
        </w:rPr>
        <w:t xml:space="preserve"> Eligible Project qualifies for </w:t>
      </w:r>
      <w:r w:rsidR="009F0D53">
        <w:rPr>
          <w:rFonts w:ascii="Palatino Linotype" w:hAnsi="Palatino Linotype"/>
          <w:b/>
          <w:bCs/>
          <w:szCs w:val="24"/>
        </w:rPr>
        <w:t xml:space="preserve">an additional </w:t>
      </w:r>
      <w:r w:rsidRPr="00352E7F">
        <w:rPr>
          <w:rFonts w:ascii="Palatino Linotype" w:hAnsi="Palatino Linotype"/>
          <w:b/>
          <w:bCs/>
          <w:szCs w:val="24"/>
        </w:rPr>
        <w:t>60 percent funding.</w:t>
      </w:r>
      <w:r w:rsidRPr="00352E7F">
        <w:rPr>
          <w:rFonts w:ascii="Palatino Linotype" w:hAnsi="Palatino Linotype"/>
          <w:szCs w:val="24"/>
        </w:rPr>
        <w:t xml:space="preserve">  CASF program is intended to finance capital costs of projects deploying broadband facilities in unserved areas of California. </w:t>
      </w:r>
      <w:r>
        <w:rPr>
          <w:rFonts w:ascii="Palatino Linotype" w:hAnsi="Palatino Linotype"/>
          <w:szCs w:val="24"/>
        </w:rPr>
        <w:t xml:space="preserve"> </w:t>
      </w:r>
      <w:r w:rsidRPr="00352E7F">
        <w:rPr>
          <w:rFonts w:ascii="Palatino Linotype" w:hAnsi="Palatino Linotype"/>
          <w:szCs w:val="24"/>
        </w:rPr>
        <w:t xml:space="preserve">The identified </w:t>
      </w:r>
      <w:r>
        <w:rPr>
          <w:rFonts w:ascii="Palatino Linotype" w:hAnsi="Palatino Linotype"/>
          <w:szCs w:val="24"/>
        </w:rPr>
        <w:t xml:space="preserve">Crescent City project area </w:t>
      </w:r>
      <w:r w:rsidRPr="00352E7F">
        <w:rPr>
          <w:rFonts w:ascii="Palatino Linotype" w:hAnsi="Palatino Linotype"/>
          <w:szCs w:val="24"/>
        </w:rPr>
        <w:t>meet</w:t>
      </w:r>
      <w:r>
        <w:rPr>
          <w:rFonts w:ascii="Palatino Linotype" w:hAnsi="Palatino Linotype"/>
          <w:szCs w:val="24"/>
        </w:rPr>
        <w:t>s</w:t>
      </w:r>
      <w:r w:rsidRPr="00352E7F">
        <w:rPr>
          <w:rFonts w:ascii="Palatino Linotype" w:hAnsi="Palatino Linotype"/>
          <w:szCs w:val="24"/>
        </w:rPr>
        <w:t xml:space="preserve"> all the eligibility criteria, as previously described in the Project Area Eligibility section.</w:t>
      </w:r>
    </w:p>
    <w:p w:rsidRPr="00352E7F" w:rsidR="009C4260" w:rsidP="009C4260" w:rsidRDefault="009C4260" w14:paraId="3C6E10AB" w14:textId="77777777">
      <w:pPr>
        <w:pStyle w:val="ListParagraph"/>
        <w:rPr>
          <w:rFonts w:ascii="Palatino Linotype" w:hAnsi="Palatino Linotype"/>
          <w:szCs w:val="24"/>
        </w:rPr>
      </w:pPr>
    </w:p>
    <w:p w:rsidRPr="00352E7F" w:rsidR="009C4260" w:rsidP="48D6FFE1" w:rsidRDefault="009C4260" w14:paraId="658255F2" w14:textId="15BF132A">
      <w:pPr>
        <w:pStyle w:val="ListParagraph"/>
        <w:rPr>
          <w:rFonts w:ascii="Palatino Linotype" w:hAnsi="Palatino Linotype"/>
        </w:rPr>
      </w:pPr>
      <w:r w:rsidRPr="48D6FFE1">
        <w:rPr>
          <w:rFonts w:ascii="Palatino Linotype" w:hAnsi="Palatino Linotype"/>
          <w:b/>
          <w:bCs/>
        </w:rPr>
        <w:t>Service Level Preference qualifies for</w:t>
      </w:r>
      <w:r w:rsidRPr="48D6FFE1" w:rsidR="4CBB0EA9">
        <w:rPr>
          <w:rFonts w:ascii="Palatino Linotype" w:hAnsi="Palatino Linotype"/>
          <w:b/>
          <w:bCs/>
        </w:rPr>
        <w:t xml:space="preserve"> an additional</w:t>
      </w:r>
      <w:r w:rsidRPr="48D6FFE1">
        <w:rPr>
          <w:rFonts w:ascii="Palatino Linotype" w:hAnsi="Palatino Linotype"/>
          <w:b/>
          <w:bCs/>
        </w:rPr>
        <w:t xml:space="preserve"> 40 percent funding.  </w:t>
      </w:r>
      <w:r w:rsidRPr="48D6FFE1">
        <w:rPr>
          <w:rFonts w:ascii="Palatino Linotype" w:hAnsi="Palatino Linotype"/>
        </w:rPr>
        <w:t>Pub. Util. Code</w:t>
      </w:r>
      <w:r w:rsidRPr="48D6FFE1">
        <w:rPr>
          <w:rFonts w:ascii="Palatino Linotype" w:hAnsi="Palatino Linotype"/>
          <w:b/>
          <w:bCs/>
        </w:rPr>
        <w:t xml:space="preserve"> </w:t>
      </w:r>
      <w:r w:rsidRPr="48D6FFE1">
        <w:rPr>
          <w:rFonts w:ascii="Palatino Linotype" w:hAnsi="Palatino Linotype"/>
        </w:rPr>
        <w:t xml:space="preserve">§ </w:t>
      </w:r>
      <w:r w:rsidRPr="48D6FFE1">
        <w:rPr>
          <w:rFonts w:ascii="Palatino Linotype" w:hAnsi="Palatino Linotype"/>
          <w:color w:val="000000" w:themeColor="text1"/>
        </w:rPr>
        <w:t>281(b)(2)(B)(</w:t>
      </w:r>
      <w:proofErr w:type="spellStart"/>
      <w:r w:rsidRPr="48D6FFE1">
        <w:rPr>
          <w:rFonts w:ascii="Palatino Linotype" w:hAnsi="Palatino Linotype"/>
          <w:color w:val="000000" w:themeColor="text1"/>
        </w:rPr>
        <w:t>i</w:t>
      </w:r>
      <w:proofErr w:type="spellEnd"/>
      <w:r w:rsidRPr="48D6FFE1">
        <w:rPr>
          <w:rFonts w:ascii="Palatino Linotype" w:hAnsi="Palatino Linotype"/>
          <w:color w:val="000000" w:themeColor="text1"/>
        </w:rPr>
        <w:t xml:space="preserve">) encourages the Commission to give preference to projects in areas with no Internet connectivity or where Internet connectivity is available only through dial-up service and not served by any form of wireline or wireless facility-based broadband service.  </w:t>
      </w:r>
      <w:r w:rsidRPr="48D6FFE1">
        <w:rPr>
          <w:rFonts w:ascii="Palatino Linotype" w:hAnsi="Palatino Linotype"/>
        </w:rPr>
        <w:t xml:space="preserve">According to the California Interactive Broadband Map, Staff confirmed all the proposed project areas are </w:t>
      </w:r>
      <w:r w:rsidRPr="48D6FFE1">
        <w:rPr>
          <w:rFonts w:ascii="Palatino Linotype" w:hAnsi="Palatino Linotype"/>
        </w:rPr>
        <w:lastRenderedPageBreak/>
        <w:t xml:space="preserve">unserved by wireline or fixed wireless broadband service and </w:t>
      </w:r>
      <w:r w:rsidRPr="48D6FFE1" w:rsidR="3439903F">
        <w:rPr>
          <w:rFonts w:ascii="Palatino Linotype" w:hAnsi="Palatino Linotype"/>
        </w:rPr>
        <w:t>are</w:t>
      </w:r>
      <w:r w:rsidRPr="48D6FFE1">
        <w:rPr>
          <w:rFonts w:ascii="Palatino Linotype" w:hAnsi="Palatino Linotype"/>
        </w:rPr>
        <w:t xml:space="preserve"> therefore eligible for an additional 40 percent funding.</w:t>
      </w:r>
    </w:p>
    <w:p w:rsidRPr="00352E7F" w:rsidR="009C4260" w:rsidP="009C4260" w:rsidRDefault="009C4260" w14:paraId="54281F59" w14:textId="77777777">
      <w:pPr>
        <w:pStyle w:val="ListParagraph"/>
        <w:rPr>
          <w:rFonts w:ascii="Palatino Linotype" w:hAnsi="Palatino Linotype"/>
          <w:szCs w:val="24"/>
        </w:rPr>
      </w:pPr>
    </w:p>
    <w:p w:rsidRPr="00352E7F" w:rsidR="009C4260" w:rsidP="48D6FFE1" w:rsidRDefault="009C4260" w14:paraId="22476B88" w14:textId="6F76A6BC">
      <w:pPr>
        <w:ind w:left="720"/>
        <w:rPr>
          <w:rFonts w:ascii="Palatino Linotype" w:hAnsi="Palatino Linotype"/>
        </w:rPr>
      </w:pPr>
      <w:r w:rsidRPr="48D6FFE1">
        <w:rPr>
          <w:rFonts w:ascii="Palatino Linotype" w:hAnsi="Palatino Linotype"/>
          <w:b/>
          <w:bCs/>
        </w:rPr>
        <w:t xml:space="preserve">Low Income </w:t>
      </w:r>
      <w:r w:rsidRPr="48D6FFE1" w:rsidR="56218815">
        <w:rPr>
          <w:rFonts w:ascii="Palatino Linotype" w:hAnsi="Palatino Linotype"/>
          <w:b/>
          <w:bCs/>
        </w:rPr>
        <w:t>Consideration</w:t>
      </w:r>
      <w:r w:rsidRPr="48D6FFE1">
        <w:rPr>
          <w:rFonts w:ascii="Palatino Linotype" w:hAnsi="Palatino Linotype"/>
          <w:b/>
          <w:bCs/>
        </w:rPr>
        <w:t xml:space="preserve"> qualifies for</w:t>
      </w:r>
      <w:r w:rsidRPr="48D6FFE1" w:rsidR="1755523B">
        <w:rPr>
          <w:rFonts w:ascii="Palatino Linotype" w:hAnsi="Palatino Linotype"/>
          <w:b/>
          <w:bCs/>
        </w:rPr>
        <w:t xml:space="preserve"> an additional</w:t>
      </w:r>
      <w:r w:rsidRPr="48D6FFE1">
        <w:rPr>
          <w:rFonts w:ascii="Palatino Linotype" w:hAnsi="Palatino Linotype"/>
          <w:b/>
          <w:bCs/>
        </w:rPr>
        <w:t xml:space="preserve"> 40 percent funding.  </w:t>
      </w:r>
      <w:r w:rsidRPr="48D6FFE1" w:rsidR="009F3E5B">
        <w:rPr>
          <w:rFonts w:ascii="Palatino Linotype" w:hAnsi="Palatino Linotype"/>
        </w:rPr>
        <w:t>Based on the proportion of household</w:t>
      </w:r>
      <w:r w:rsidRPr="48D6FFE1" w:rsidR="00114E98">
        <w:rPr>
          <w:rFonts w:ascii="Palatino Linotype" w:hAnsi="Palatino Linotype"/>
        </w:rPr>
        <w:t>s</w:t>
      </w:r>
      <w:r w:rsidRPr="48D6FFE1" w:rsidR="009F3E5B">
        <w:rPr>
          <w:rFonts w:ascii="Palatino Linotype" w:hAnsi="Palatino Linotype"/>
        </w:rPr>
        <w:t xml:space="preserve"> located in each census block group, the weighted</w:t>
      </w:r>
      <w:r w:rsidRPr="48D6FFE1" w:rsidR="00695B9C">
        <w:rPr>
          <w:rFonts w:ascii="Palatino Linotype" w:hAnsi="Palatino Linotype"/>
        </w:rPr>
        <w:t xml:space="preserve"> </w:t>
      </w:r>
      <w:r w:rsidRPr="48D6FFE1">
        <w:rPr>
          <w:rFonts w:ascii="Palatino Linotype" w:hAnsi="Palatino Linotype"/>
        </w:rPr>
        <w:t xml:space="preserve">median </w:t>
      </w:r>
      <w:r w:rsidRPr="48D6FFE1" w:rsidR="00695B9C">
        <w:rPr>
          <w:rFonts w:ascii="Palatino Linotype" w:hAnsi="Palatino Linotype"/>
        </w:rPr>
        <w:t xml:space="preserve">household </w:t>
      </w:r>
      <w:r w:rsidRPr="48D6FFE1">
        <w:rPr>
          <w:rFonts w:ascii="Palatino Linotype" w:hAnsi="Palatino Linotype"/>
        </w:rPr>
        <w:t xml:space="preserve">income of the </w:t>
      </w:r>
      <w:r w:rsidRPr="48D6FFE1" w:rsidR="00695B9C">
        <w:rPr>
          <w:rFonts w:ascii="Palatino Linotype" w:hAnsi="Palatino Linotype"/>
        </w:rPr>
        <w:t>proposed p</w:t>
      </w:r>
      <w:r w:rsidRPr="48D6FFE1">
        <w:rPr>
          <w:rFonts w:ascii="Palatino Linotype" w:hAnsi="Palatino Linotype"/>
        </w:rPr>
        <w:t>roject area is $44,227, and thus qualifies for an additional 30 percent funding.  Frontier commits to offer low-income broadband programs</w:t>
      </w:r>
      <w:r w:rsidRPr="48D6FFE1" w:rsidR="14B131C6">
        <w:rPr>
          <w:rFonts w:ascii="Palatino Linotype" w:hAnsi="Palatino Linotype"/>
        </w:rPr>
        <w:t>,</w:t>
      </w:r>
      <w:r w:rsidRPr="48D6FFE1">
        <w:rPr>
          <w:rFonts w:ascii="Palatino Linotype" w:hAnsi="Palatino Linotype"/>
        </w:rPr>
        <w:t xml:space="preserve"> including broadband and voice bundled plans for LifeLine-eligible subscribers at $14.99/month, which meets the criteria for an additional 10 percent funding.</w:t>
      </w:r>
    </w:p>
    <w:p w:rsidRPr="00352E7F" w:rsidR="009C4260" w:rsidP="009C4260" w:rsidRDefault="009C4260" w14:paraId="28F4FDD9" w14:textId="77777777">
      <w:pPr>
        <w:rPr>
          <w:rFonts w:ascii="Palatino Linotype" w:hAnsi="Palatino Linotype"/>
          <w:b/>
          <w:bCs/>
          <w:szCs w:val="24"/>
        </w:rPr>
      </w:pPr>
    </w:p>
    <w:p w:rsidRPr="00352E7F" w:rsidR="009C4260" w:rsidP="48D6FFE1" w:rsidRDefault="009C4260" w14:paraId="59BB4592" w14:textId="1427E83C">
      <w:pPr>
        <w:pStyle w:val="ListParagraph"/>
        <w:rPr>
          <w:rFonts w:ascii="Palatino Linotype" w:hAnsi="Palatino Linotype"/>
          <w:b/>
          <w:bCs/>
        </w:rPr>
      </w:pPr>
      <w:r w:rsidRPr="48D6FFE1">
        <w:rPr>
          <w:rFonts w:ascii="Palatino Linotype" w:hAnsi="Palatino Linotype"/>
          <w:b/>
          <w:bCs/>
        </w:rPr>
        <w:t>Other Factor Considerations qualif</w:t>
      </w:r>
      <w:r w:rsidRPr="48D6FFE1" w:rsidR="17BC5AB1">
        <w:rPr>
          <w:rFonts w:ascii="Palatino Linotype" w:hAnsi="Palatino Linotype"/>
          <w:b/>
          <w:bCs/>
        </w:rPr>
        <w:t>y</w:t>
      </w:r>
      <w:r w:rsidRPr="48D6FFE1">
        <w:rPr>
          <w:rFonts w:ascii="Palatino Linotype" w:hAnsi="Palatino Linotype"/>
          <w:b/>
          <w:bCs/>
        </w:rPr>
        <w:t xml:space="preserve"> for </w:t>
      </w:r>
      <w:r w:rsidRPr="48D6FFE1" w:rsidR="2A7E1209">
        <w:rPr>
          <w:rFonts w:ascii="Palatino Linotype" w:hAnsi="Palatino Linotype"/>
          <w:b/>
          <w:bCs/>
        </w:rPr>
        <w:t xml:space="preserve">an additional </w:t>
      </w:r>
      <w:r w:rsidRPr="48D6FFE1">
        <w:rPr>
          <w:rFonts w:ascii="Palatino Linotype" w:hAnsi="Palatino Linotype"/>
          <w:b/>
          <w:bCs/>
        </w:rPr>
        <w:t xml:space="preserve">20 percent funding.  </w:t>
      </w:r>
      <w:r w:rsidRPr="48D6FFE1">
        <w:rPr>
          <w:rFonts w:ascii="Palatino Linotype" w:hAnsi="Palatino Linotype"/>
        </w:rPr>
        <w:t>The Crescent City Project meets</w:t>
      </w:r>
      <w:r w:rsidRPr="48D6FFE1">
        <w:rPr>
          <w:rFonts w:ascii="Palatino Linotype" w:hAnsi="Palatino Linotype"/>
          <w:color w:val="FF0000"/>
        </w:rPr>
        <w:t xml:space="preserve"> </w:t>
      </w:r>
      <w:r w:rsidRPr="001C7576">
        <w:rPr>
          <w:rFonts w:ascii="Palatino Linotype" w:hAnsi="Palatino Linotype"/>
        </w:rPr>
        <w:t xml:space="preserve">two </w:t>
      </w:r>
      <w:r w:rsidRPr="48D6FFE1">
        <w:rPr>
          <w:rFonts w:ascii="Palatino Linotype" w:hAnsi="Palatino Linotype"/>
        </w:rPr>
        <w:t>of the three criteria defined in Pub. Util. Code     § 281(f)(12) and qualifies for the additional 20 percent funding.</w:t>
      </w:r>
    </w:p>
    <w:p w:rsidRPr="00352E7F" w:rsidR="009C4260" w:rsidP="009C4260" w:rsidRDefault="009C4260" w14:paraId="0068E6C8" w14:textId="77777777">
      <w:pPr>
        <w:rPr>
          <w:rFonts w:ascii="Palatino Linotype" w:hAnsi="Palatino Linotype"/>
          <w:szCs w:val="24"/>
        </w:rPr>
      </w:pPr>
    </w:p>
    <w:p w:rsidRPr="002D3A76" w:rsidR="009C4260" w:rsidP="48D6FFE1" w:rsidRDefault="009C4260" w14:paraId="536A39FB" w14:textId="5E3391EA">
      <w:pPr>
        <w:ind w:left="720"/>
        <w:rPr>
          <w:rFonts w:ascii="Palatino Linotype" w:hAnsi="Palatino Linotype"/>
        </w:rPr>
      </w:pPr>
      <w:r w:rsidRPr="48D6FFE1">
        <w:rPr>
          <w:rFonts w:ascii="Palatino Linotype" w:hAnsi="Palatino Linotype"/>
        </w:rPr>
        <w:t xml:space="preserve">Staff determined the proposed project does not meet the inaccessible location criteria and is not eligible for an additional 10 percent funding.  The proposed project </w:t>
      </w:r>
      <w:proofErr w:type="gramStart"/>
      <w:r w:rsidRPr="48D6FFE1">
        <w:rPr>
          <w:rFonts w:ascii="Palatino Linotype" w:hAnsi="Palatino Linotype"/>
        </w:rPr>
        <w:t>is located in</w:t>
      </w:r>
      <w:proofErr w:type="gramEnd"/>
      <w:r w:rsidRPr="48D6FFE1">
        <w:rPr>
          <w:rFonts w:ascii="Palatino Linotype" w:hAnsi="Palatino Linotype"/>
        </w:rPr>
        <w:t xml:space="preserve"> Crescent City in Del Norte County.  The surrounding areas are </w:t>
      </w:r>
      <w:r w:rsidRPr="48D6FFE1" w:rsidR="00BE29CD">
        <w:rPr>
          <w:rFonts w:ascii="Palatino Linotype" w:hAnsi="Palatino Linotype"/>
        </w:rPr>
        <w:t>census designated places (CDP</w:t>
      </w:r>
      <w:r w:rsidRPr="48D6FFE1" w:rsidR="00C869B8">
        <w:rPr>
          <w:rFonts w:ascii="Palatino Linotype" w:hAnsi="Palatino Linotype"/>
        </w:rPr>
        <w:t>) that</w:t>
      </w:r>
      <w:r w:rsidRPr="48D6FFE1">
        <w:rPr>
          <w:rFonts w:ascii="Palatino Linotype" w:hAnsi="Palatino Linotype"/>
        </w:rPr>
        <w:t xml:space="preserve"> are</w:t>
      </w:r>
      <w:r w:rsidRPr="48D6FFE1" w:rsidR="00042F19">
        <w:rPr>
          <w:rFonts w:ascii="Palatino Linotype" w:hAnsi="Palatino Linotype"/>
        </w:rPr>
        <w:t xml:space="preserve"> </w:t>
      </w:r>
      <w:r w:rsidRPr="48D6FFE1" w:rsidR="00364648">
        <w:rPr>
          <w:rFonts w:ascii="Palatino Linotype" w:hAnsi="Palatino Linotype"/>
        </w:rPr>
        <w:t>classified as urban</w:t>
      </w:r>
      <w:r w:rsidRPr="48D6FFE1" w:rsidR="003C3B70">
        <w:rPr>
          <w:rFonts w:ascii="Palatino Linotype" w:hAnsi="Palatino Linotype"/>
        </w:rPr>
        <w:t xml:space="preserve"> </w:t>
      </w:r>
      <w:r w:rsidRPr="48D6FFE1" w:rsidR="00B51A7B">
        <w:rPr>
          <w:rFonts w:ascii="Palatino Linotype" w:hAnsi="Palatino Linotype"/>
        </w:rPr>
        <w:t xml:space="preserve">and </w:t>
      </w:r>
      <w:r w:rsidRPr="48D6FFE1" w:rsidR="00711FE8">
        <w:rPr>
          <w:rFonts w:ascii="Palatino Linotype" w:hAnsi="Palatino Linotype"/>
        </w:rPr>
        <w:t xml:space="preserve">are therefore, </w:t>
      </w:r>
      <w:proofErr w:type="gramStart"/>
      <w:r w:rsidRPr="48D6FFE1" w:rsidR="00492716">
        <w:rPr>
          <w:rFonts w:ascii="Palatino Linotype" w:hAnsi="Palatino Linotype"/>
        </w:rPr>
        <w:t>fair</w:t>
      </w:r>
      <w:r w:rsidRPr="48D6FFE1">
        <w:rPr>
          <w:rFonts w:ascii="Palatino Linotype" w:hAnsi="Palatino Linotype"/>
        </w:rPr>
        <w:t>ly populated</w:t>
      </w:r>
      <w:proofErr w:type="gramEnd"/>
      <w:r w:rsidRPr="48D6FFE1">
        <w:rPr>
          <w:rFonts w:ascii="Palatino Linotype" w:hAnsi="Palatino Linotype"/>
        </w:rPr>
        <w:t xml:space="preserve"> and developed</w:t>
      </w:r>
      <w:r w:rsidRPr="48D6FFE1" w:rsidR="00711FE8">
        <w:rPr>
          <w:rFonts w:ascii="Palatino Linotype" w:hAnsi="Palatino Linotype"/>
        </w:rPr>
        <w:t>.  There is</w:t>
      </w:r>
      <w:r w:rsidRPr="48D6FFE1">
        <w:rPr>
          <w:rFonts w:ascii="Palatino Linotype" w:hAnsi="Palatino Linotype"/>
        </w:rPr>
        <w:t xml:space="preserve"> access to highways, public utilities, and community health and educational resources.  </w:t>
      </w:r>
      <w:r w:rsidRPr="48D6FFE1" w:rsidR="003F0325">
        <w:rPr>
          <w:rFonts w:ascii="Palatino Linotype" w:hAnsi="Palatino Linotype"/>
        </w:rPr>
        <w:t>T</w:t>
      </w:r>
      <w:r w:rsidRPr="48D6FFE1">
        <w:rPr>
          <w:rFonts w:ascii="Palatino Linotype" w:hAnsi="Palatino Linotype"/>
        </w:rPr>
        <w:t xml:space="preserve">he project area </w:t>
      </w:r>
      <w:proofErr w:type="gramStart"/>
      <w:r w:rsidRPr="48D6FFE1" w:rsidR="003F0325">
        <w:rPr>
          <w:rFonts w:ascii="Palatino Linotype" w:hAnsi="Palatino Linotype"/>
        </w:rPr>
        <w:t xml:space="preserve">is considered </w:t>
      </w:r>
      <w:r w:rsidRPr="48D6FFE1">
        <w:rPr>
          <w:rFonts w:ascii="Palatino Linotype" w:hAnsi="Palatino Linotype"/>
        </w:rPr>
        <w:t>to be</w:t>
      </w:r>
      <w:proofErr w:type="gramEnd"/>
      <w:r w:rsidRPr="48D6FFE1">
        <w:rPr>
          <w:rFonts w:ascii="Palatino Linotype" w:hAnsi="Palatino Linotype"/>
        </w:rPr>
        <w:t xml:space="preserve"> relatively flat terrain with feasible access including Frontier’s existing infrastructure.  </w:t>
      </w:r>
    </w:p>
    <w:p w:rsidRPr="002D3A76" w:rsidR="009C4260" w:rsidP="009C4260" w:rsidRDefault="009C4260" w14:paraId="2D3F3C49" w14:textId="77777777">
      <w:pPr>
        <w:ind w:left="720"/>
        <w:rPr>
          <w:rFonts w:ascii="Palatino Linotype" w:hAnsi="Palatino Linotype"/>
          <w:szCs w:val="24"/>
        </w:rPr>
      </w:pPr>
    </w:p>
    <w:p w:rsidR="00760A61" w:rsidP="003209E3" w:rsidRDefault="009C4260" w14:paraId="374DAB77" w14:textId="5C18A2CC">
      <w:pPr>
        <w:ind w:left="720"/>
        <w:rPr>
          <w:rFonts w:ascii="Palatino Linotype" w:hAnsi="Palatino Linotype"/>
          <w:szCs w:val="24"/>
        </w:rPr>
      </w:pPr>
      <w:r w:rsidRPr="002D3A76">
        <w:rPr>
          <w:rFonts w:ascii="Palatino Linotype" w:hAnsi="Palatino Linotype"/>
          <w:szCs w:val="24"/>
        </w:rPr>
        <w:t>The proposed project is eligible for</w:t>
      </w:r>
      <w:r w:rsidR="00CE17A9">
        <w:rPr>
          <w:rFonts w:ascii="Palatino Linotype" w:hAnsi="Palatino Linotype"/>
          <w:szCs w:val="24"/>
        </w:rPr>
        <w:t xml:space="preserve"> an</w:t>
      </w:r>
      <w:r w:rsidRPr="002D3A76">
        <w:rPr>
          <w:rFonts w:ascii="Palatino Linotype" w:hAnsi="Palatino Linotype"/>
          <w:szCs w:val="24"/>
        </w:rPr>
        <w:t xml:space="preserve"> additional 10 percent funding for its use of existing</w:t>
      </w:r>
      <w:r w:rsidRPr="002D3A76" w:rsidR="009D6BC7">
        <w:rPr>
          <w:rFonts w:ascii="Palatino Linotype" w:hAnsi="Palatino Linotype"/>
          <w:szCs w:val="24"/>
        </w:rPr>
        <w:t xml:space="preserve"> </w:t>
      </w:r>
      <w:r w:rsidRPr="002D3A76">
        <w:rPr>
          <w:rFonts w:ascii="Palatino Linotype" w:hAnsi="Palatino Linotype"/>
          <w:szCs w:val="24"/>
        </w:rPr>
        <w:t>pole infrastructure</w:t>
      </w:r>
      <w:r w:rsidRPr="002D3A76" w:rsidR="009D6BC7">
        <w:rPr>
          <w:rFonts w:ascii="Palatino Linotype" w:hAnsi="Palatino Linotype"/>
          <w:szCs w:val="24"/>
        </w:rPr>
        <w:t xml:space="preserve"> and</w:t>
      </w:r>
      <w:r w:rsidRPr="002D3A76" w:rsidR="00056EE7">
        <w:rPr>
          <w:rFonts w:ascii="Palatino Linotype" w:hAnsi="Palatino Linotype" w:cs="Palatino Linotype"/>
        </w:rPr>
        <w:t xml:space="preserve"> underground conduit systems for the installation of aerial and underground fiber cable</w:t>
      </w:r>
      <w:r w:rsidRPr="002D3A76">
        <w:rPr>
          <w:rFonts w:ascii="Palatino Linotype" w:hAnsi="Palatino Linotype"/>
          <w:szCs w:val="24"/>
        </w:rPr>
        <w:t xml:space="preserve">. </w:t>
      </w:r>
      <w:r w:rsidRPr="002D3A76" w:rsidR="002135A3">
        <w:rPr>
          <w:rFonts w:ascii="Palatino Linotype" w:hAnsi="Palatino Linotype"/>
          <w:szCs w:val="24"/>
        </w:rPr>
        <w:t xml:space="preserve"> </w:t>
      </w:r>
      <w:r w:rsidR="00530539">
        <w:rPr>
          <w:rFonts w:ascii="Palatino Linotype" w:hAnsi="Palatino Linotype"/>
          <w:szCs w:val="24"/>
        </w:rPr>
        <w:t xml:space="preserve">Additionally, </w:t>
      </w:r>
      <w:r w:rsidR="00CB7FA0">
        <w:rPr>
          <w:rFonts w:ascii="Palatino Linotype" w:hAnsi="Palatino Linotype"/>
          <w:szCs w:val="24"/>
        </w:rPr>
        <w:t xml:space="preserve">Del Norte County </w:t>
      </w:r>
      <w:r w:rsidR="000F6E83">
        <w:rPr>
          <w:rFonts w:ascii="Palatino Linotype" w:hAnsi="Palatino Linotype"/>
          <w:szCs w:val="24"/>
        </w:rPr>
        <w:t xml:space="preserve">is </w:t>
      </w:r>
      <w:r w:rsidR="00933172">
        <w:rPr>
          <w:rFonts w:ascii="Palatino Linotype" w:hAnsi="Palatino Linotype"/>
          <w:szCs w:val="24"/>
        </w:rPr>
        <w:t>part</w:t>
      </w:r>
      <w:r w:rsidR="000F6E83">
        <w:rPr>
          <w:rFonts w:ascii="Palatino Linotype" w:hAnsi="Palatino Linotype"/>
          <w:szCs w:val="24"/>
        </w:rPr>
        <w:t xml:space="preserve"> of t</w:t>
      </w:r>
      <w:r>
        <w:rPr>
          <w:rFonts w:ascii="Palatino Linotype" w:hAnsi="Palatino Linotype"/>
          <w:szCs w:val="24"/>
        </w:rPr>
        <w:t xml:space="preserve">he Redwood Coast Connect Consortium region </w:t>
      </w:r>
      <w:r w:rsidR="00F71055">
        <w:rPr>
          <w:rFonts w:ascii="Palatino Linotype" w:hAnsi="Palatino Linotype"/>
          <w:szCs w:val="24"/>
        </w:rPr>
        <w:t>in which</w:t>
      </w:r>
      <w:r>
        <w:rPr>
          <w:rFonts w:ascii="Palatino Linotype" w:hAnsi="Palatino Linotype"/>
          <w:szCs w:val="24"/>
        </w:rPr>
        <w:t xml:space="preserve"> 90.3 percent</w:t>
      </w:r>
      <w:r w:rsidR="00F32867">
        <w:rPr>
          <w:rFonts w:ascii="Palatino Linotype" w:hAnsi="Palatino Linotype"/>
          <w:szCs w:val="24"/>
        </w:rPr>
        <w:t xml:space="preserve"> </w:t>
      </w:r>
      <w:r w:rsidR="001A4870">
        <w:rPr>
          <w:rFonts w:ascii="Palatino Linotype" w:hAnsi="Palatino Linotype"/>
          <w:szCs w:val="24"/>
        </w:rPr>
        <w:t xml:space="preserve">of households are </w:t>
      </w:r>
      <w:r w:rsidR="00F32867">
        <w:rPr>
          <w:rFonts w:ascii="Palatino Linotype" w:hAnsi="Palatino Linotype"/>
          <w:szCs w:val="24"/>
        </w:rPr>
        <w:t>served</w:t>
      </w:r>
      <w:r>
        <w:rPr>
          <w:rFonts w:ascii="Palatino Linotype" w:hAnsi="Palatino Linotype"/>
          <w:szCs w:val="24"/>
        </w:rPr>
        <w:t>,</w:t>
      </w:r>
      <w:r>
        <w:rPr>
          <w:rStyle w:val="FootnoteReference"/>
          <w:rFonts w:ascii="Palatino Linotype" w:hAnsi="Palatino Linotype"/>
          <w:szCs w:val="24"/>
        </w:rPr>
        <w:footnoteReference w:id="15"/>
      </w:r>
      <w:r>
        <w:rPr>
          <w:rFonts w:ascii="Palatino Linotype" w:hAnsi="Palatino Linotype"/>
          <w:szCs w:val="24"/>
        </w:rPr>
        <w:t xml:space="preserve"> which is below the 98 percent CASF program goal</w:t>
      </w:r>
      <w:r w:rsidR="007A5500">
        <w:rPr>
          <w:rFonts w:ascii="Palatino Linotype" w:hAnsi="Palatino Linotype"/>
          <w:szCs w:val="24"/>
        </w:rPr>
        <w:t xml:space="preserve">.  </w:t>
      </w:r>
      <w:r w:rsidR="00981F84">
        <w:rPr>
          <w:rFonts w:ascii="Palatino Linotype" w:hAnsi="Palatino Linotype"/>
          <w:szCs w:val="24"/>
        </w:rPr>
        <w:t xml:space="preserve">Therefore, </w:t>
      </w:r>
      <w:r w:rsidR="00705FD2">
        <w:rPr>
          <w:rFonts w:ascii="Palatino Linotype" w:hAnsi="Palatino Linotype"/>
          <w:szCs w:val="24"/>
        </w:rPr>
        <w:t xml:space="preserve">Staff determined the project </w:t>
      </w:r>
      <w:r w:rsidR="00DC18ED">
        <w:rPr>
          <w:rFonts w:ascii="Palatino Linotype" w:hAnsi="Palatino Linotype"/>
          <w:szCs w:val="24"/>
        </w:rPr>
        <w:t xml:space="preserve">will </w:t>
      </w:r>
      <w:r w:rsidR="00705FD2">
        <w:rPr>
          <w:rFonts w:ascii="Palatino Linotype" w:hAnsi="Palatino Linotype"/>
          <w:szCs w:val="24"/>
        </w:rPr>
        <w:t xml:space="preserve">make a significant contribution to the program goal and is eligible for an additional 10 percent funding.  </w:t>
      </w:r>
    </w:p>
    <w:p w:rsidR="003209E3" w:rsidP="003209E3" w:rsidRDefault="003209E3" w14:paraId="15E9EC46" w14:textId="4A19FC6A">
      <w:pPr>
        <w:ind w:left="720"/>
        <w:rPr>
          <w:rFonts w:ascii="Palatino Linotype" w:hAnsi="Palatino Linotype"/>
          <w:szCs w:val="24"/>
        </w:rPr>
      </w:pPr>
    </w:p>
    <w:p w:rsidRPr="00760A61" w:rsidR="003209E3" w:rsidP="003209E3" w:rsidRDefault="003209E3" w14:paraId="57B0F61A" w14:textId="35B9BAFD">
      <w:pPr>
        <w:pStyle w:val="ListParagraph"/>
        <w:numPr>
          <w:ilvl w:val="0"/>
          <w:numId w:val="47"/>
        </w:numPr>
        <w:spacing w:after="120"/>
        <w:rPr>
          <w:rFonts w:ascii="Palatino Linotype" w:hAnsi="Palatino Linotype"/>
          <w:u w:val="single"/>
        </w:rPr>
      </w:pPr>
      <w:r>
        <w:rPr>
          <w:rFonts w:ascii="Palatino Linotype" w:hAnsi="Palatino Linotype"/>
          <w:u w:val="single"/>
        </w:rPr>
        <w:t>Smith River</w:t>
      </w:r>
      <w:r w:rsidRPr="00760A61">
        <w:rPr>
          <w:rFonts w:ascii="Palatino Linotype" w:hAnsi="Palatino Linotype"/>
          <w:u w:val="single"/>
        </w:rPr>
        <w:t xml:space="preserve"> Funding Determination</w:t>
      </w:r>
    </w:p>
    <w:p w:rsidRPr="00B04301" w:rsidR="00431534" w:rsidP="00B04301" w:rsidRDefault="00431534" w14:paraId="458A69B6" w14:textId="5C4F6F38">
      <w:pPr>
        <w:spacing w:after="120"/>
        <w:rPr>
          <w:rFonts w:ascii="Palatino Linotype" w:hAnsi="Palatino Linotype"/>
        </w:rPr>
      </w:pPr>
      <w:r w:rsidRPr="00B04301">
        <w:rPr>
          <w:rFonts w:ascii="Palatino Linotype" w:hAnsi="Palatino Linotype"/>
        </w:rPr>
        <w:t xml:space="preserve">Details of Staff’s funding level determination for Frontier’s </w:t>
      </w:r>
      <w:r w:rsidR="00B04301">
        <w:rPr>
          <w:rFonts w:ascii="Palatino Linotype" w:hAnsi="Palatino Linotype"/>
        </w:rPr>
        <w:t>Smith River</w:t>
      </w:r>
      <w:r w:rsidRPr="00B04301">
        <w:rPr>
          <w:rFonts w:ascii="Palatino Linotype" w:hAnsi="Palatino Linotype"/>
        </w:rPr>
        <w:t xml:space="preserve"> Project are summarized in Table </w:t>
      </w:r>
      <w:r w:rsidR="00B04301">
        <w:rPr>
          <w:rFonts w:ascii="Palatino Linotype" w:hAnsi="Palatino Linotype"/>
        </w:rPr>
        <w:t>10</w:t>
      </w:r>
      <w:r w:rsidRPr="00B04301">
        <w:rPr>
          <w:rFonts w:ascii="Palatino Linotype" w:hAnsi="Palatino Linotype"/>
        </w:rPr>
        <w:t>.</w:t>
      </w:r>
    </w:p>
    <w:p w:rsidR="00163A7E" w:rsidP="00163A7E" w:rsidRDefault="00163A7E" w14:paraId="6A2C6C1D" w14:textId="77777777">
      <w:pPr>
        <w:spacing w:after="120"/>
        <w:rPr>
          <w:rStyle w:val="BookTitle"/>
          <w:i w:val="0"/>
          <w:iCs w:val="0"/>
        </w:rPr>
      </w:pPr>
    </w:p>
    <w:p w:rsidRPr="00BB4FF6" w:rsidR="0073785D" w:rsidP="0073785D" w:rsidRDefault="0073785D" w14:paraId="53211140" w14:textId="1042B528">
      <w:pPr>
        <w:spacing w:after="120"/>
        <w:jc w:val="center"/>
        <w:rPr>
          <w:rStyle w:val="BookTitle"/>
          <w:i w:val="0"/>
          <w:iCs w:val="0"/>
        </w:rPr>
      </w:pPr>
      <w:r w:rsidRPr="00BB4FF6">
        <w:rPr>
          <w:rStyle w:val="BookTitle"/>
          <w:i w:val="0"/>
          <w:iCs w:val="0"/>
        </w:rPr>
        <w:lastRenderedPageBreak/>
        <w:t>Table</w:t>
      </w:r>
      <w:r>
        <w:rPr>
          <w:rStyle w:val="BookTitle"/>
          <w:i w:val="0"/>
          <w:iCs w:val="0"/>
        </w:rPr>
        <w:t xml:space="preserve"> </w:t>
      </w:r>
      <w:r w:rsidR="00A4441F">
        <w:rPr>
          <w:rStyle w:val="BookTitle"/>
          <w:i w:val="0"/>
          <w:iCs w:val="0"/>
        </w:rPr>
        <w:t>10</w:t>
      </w:r>
      <w:r>
        <w:rPr>
          <w:rStyle w:val="BookTitle"/>
          <w:i w:val="0"/>
          <w:iCs w:val="0"/>
        </w:rPr>
        <w:t xml:space="preserve">: </w:t>
      </w:r>
      <w:r w:rsidRPr="00BB4FF6">
        <w:rPr>
          <w:rStyle w:val="BookTitle"/>
          <w:i w:val="0"/>
          <w:iCs w:val="0"/>
        </w:rPr>
        <w:t xml:space="preserve"> Criteria for Project Funding Level for Frontier </w:t>
      </w:r>
      <w:r>
        <w:rPr>
          <w:rStyle w:val="BookTitle"/>
          <w:i w:val="0"/>
          <w:iCs w:val="0"/>
        </w:rPr>
        <w:t>Smith River</w:t>
      </w:r>
    </w:p>
    <w:tbl>
      <w:tblPr>
        <w:tblStyle w:val="TableGrid"/>
        <w:tblW w:w="0" w:type="auto"/>
        <w:tblInd w:w="0" w:type="dxa"/>
        <w:tblLook w:val="04E0" w:firstRow="1" w:lastRow="1" w:firstColumn="1" w:lastColumn="0" w:noHBand="0" w:noVBand="1"/>
      </w:tblPr>
      <w:tblGrid>
        <w:gridCol w:w="7105"/>
        <w:gridCol w:w="2188"/>
      </w:tblGrid>
      <w:tr w:rsidRPr="00352E7F" w:rsidR="0073785D" w:rsidTr="00556FEA" w14:paraId="06DA59FB" w14:textId="77777777">
        <w:tc>
          <w:tcPr>
            <w:tcW w:w="7105" w:type="dxa"/>
            <w:shd w:val="clear" w:color="auto" w:fill="D9D9D9" w:themeFill="background1" w:themeFillShade="D9"/>
          </w:tcPr>
          <w:p w:rsidRPr="00BB4FF6" w:rsidR="0073785D" w:rsidP="00556FEA" w:rsidRDefault="0073785D" w14:paraId="369F9B51" w14:textId="77777777">
            <w:pPr>
              <w:rPr>
                <w:rFonts w:ascii="Palatino Linotype" w:hAnsi="Palatino Linotype"/>
                <w:b/>
                <w:bCs/>
                <w:szCs w:val="24"/>
              </w:rPr>
            </w:pPr>
            <w:r w:rsidRPr="00BB4FF6">
              <w:rPr>
                <w:rFonts w:ascii="Palatino Linotype" w:hAnsi="Palatino Linotype"/>
                <w:b/>
                <w:bCs/>
                <w:szCs w:val="24"/>
              </w:rPr>
              <w:t>Funding Criteria</w:t>
            </w:r>
          </w:p>
        </w:tc>
        <w:tc>
          <w:tcPr>
            <w:tcW w:w="2188" w:type="dxa"/>
            <w:shd w:val="clear" w:color="auto" w:fill="D9D9D9" w:themeFill="background1" w:themeFillShade="D9"/>
          </w:tcPr>
          <w:p w:rsidRPr="00352E7F" w:rsidR="0073785D" w:rsidP="00556FEA" w:rsidRDefault="0073785D" w14:paraId="24164ED0" w14:textId="77777777">
            <w:pPr>
              <w:jc w:val="center"/>
              <w:rPr>
                <w:rFonts w:ascii="Palatino Linotype" w:hAnsi="Palatino Linotype"/>
                <w:b/>
                <w:bCs/>
                <w:szCs w:val="24"/>
              </w:rPr>
            </w:pPr>
            <w:r w:rsidRPr="00BB4FF6">
              <w:rPr>
                <w:rFonts w:ascii="Palatino Linotype" w:hAnsi="Palatino Linotype"/>
                <w:b/>
                <w:bCs/>
                <w:szCs w:val="24"/>
              </w:rPr>
              <w:t>Revised Project</w:t>
            </w:r>
          </w:p>
        </w:tc>
      </w:tr>
      <w:tr w:rsidRPr="00352E7F" w:rsidR="0073785D" w:rsidTr="00556FEA" w14:paraId="7B1488C2" w14:textId="77777777">
        <w:tc>
          <w:tcPr>
            <w:tcW w:w="7105" w:type="dxa"/>
          </w:tcPr>
          <w:p w:rsidRPr="00352E7F" w:rsidR="0073785D" w:rsidP="00556FEA" w:rsidRDefault="0073785D" w14:paraId="01BAB28D" w14:textId="77777777">
            <w:pPr>
              <w:rPr>
                <w:rFonts w:ascii="Palatino Linotype" w:hAnsi="Palatino Linotype"/>
                <w:szCs w:val="24"/>
              </w:rPr>
            </w:pPr>
            <w:r w:rsidRPr="00352E7F">
              <w:rPr>
                <w:rFonts w:ascii="Palatino Linotype" w:hAnsi="Palatino Linotype"/>
                <w:szCs w:val="24"/>
              </w:rPr>
              <w:t>Baseline for Eligible Project (60%)</w:t>
            </w:r>
          </w:p>
        </w:tc>
        <w:tc>
          <w:tcPr>
            <w:tcW w:w="2188" w:type="dxa"/>
          </w:tcPr>
          <w:p w:rsidRPr="00352E7F" w:rsidR="0073785D" w:rsidP="00556FEA" w:rsidRDefault="0073785D" w14:paraId="72607FD2" w14:textId="77777777">
            <w:pPr>
              <w:jc w:val="center"/>
              <w:rPr>
                <w:rFonts w:ascii="Palatino Linotype" w:hAnsi="Palatino Linotype"/>
                <w:szCs w:val="24"/>
              </w:rPr>
            </w:pPr>
            <w:r w:rsidRPr="00352E7F">
              <w:rPr>
                <w:rFonts w:ascii="Palatino Linotype" w:hAnsi="Palatino Linotype"/>
                <w:szCs w:val="24"/>
              </w:rPr>
              <w:t>60%</w:t>
            </w:r>
          </w:p>
        </w:tc>
      </w:tr>
      <w:tr w:rsidRPr="00352E7F" w:rsidR="0073785D" w:rsidTr="00556FEA" w14:paraId="6DD63EAC" w14:textId="77777777">
        <w:tc>
          <w:tcPr>
            <w:tcW w:w="7105" w:type="dxa"/>
          </w:tcPr>
          <w:p w:rsidRPr="00352E7F" w:rsidR="0073785D" w:rsidP="00556FEA" w:rsidRDefault="0073785D" w14:paraId="5DCF79C7" w14:textId="0B91B128">
            <w:pPr>
              <w:rPr>
                <w:rFonts w:ascii="Palatino Linotype" w:hAnsi="Palatino Linotype"/>
                <w:szCs w:val="24"/>
              </w:rPr>
            </w:pPr>
            <w:r w:rsidRPr="00352E7F">
              <w:rPr>
                <w:rFonts w:ascii="Palatino Linotype" w:hAnsi="Palatino Linotype"/>
                <w:szCs w:val="24"/>
              </w:rPr>
              <w:t xml:space="preserve">Service Level Preference: </w:t>
            </w:r>
            <w:r>
              <w:rPr>
                <w:rFonts w:ascii="Palatino Linotype" w:hAnsi="Palatino Linotype"/>
                <w:szCs w:val="24"/>
              </w:rPr>
              <w:t xml:space="preserve">Only </w:t>
            </w:r>
            <w:r w:rsidRPr="00352E7F">
              <w:rPr>
                <w:rFonts w:ascii="Palatino Linotype" w:hAnsi="Palatino Linotype"/>
                <w:szCs w:val="24"/>
              </w:rPr>
              <w:t xml:space="preserve">Dial-up </w:t>
            </w:r>
            <w:r>
              <w:rPr>
                <w:rFonts w:ascii="Palatino Linotype" w:hAnsi="Palatino Linotype"/>
                <w:szCs w:val="24"/>
              </w:rPr>
              <w:t>or No Internet Connectivity</w:t>
            </w:r>
            <w:r w:rsidRPr="00352E7F">
              <w:rPr>
                <w:rFonts w:ascii="Palatino Linotype" w:hAnsi="Palatino Linotype"/>
                <w:szCs w:val="24"/>
              </w:rPr>
              <w:t xml:space="preserve"> (</w:t>
            </w:r>
            <w:r>
              <w:rPr>
                <w:rFonts w:ascii="Palatino Linotype" w:hAnsi="Palatino Linotype"/>
                <w:szCs w:val="24"/>
              </w:rPr>
              <w:t xml:space="preserve">up to </w:t>
            </w:r>
            <w:r w:rsidRPr="00352E7F">
              <w:rPr>
                <w:rFonts w:ascii="Palatino Linotype" w:hAnsi="Palatino Linotype"/>
                <w:szCs w:val="24"/>
              </w:rPr>
              <w:t>40%)</w:t>
            </w:r>
          </w:p>
        </w:tc>
        <w:tc>
          <w:tcPr>
            <w:tcW w:w="2188" w:type="dxa"/>
          </w:tcPr>
          <w:p w:rsidRPr="00352E7F" w:rsidR="0073785D" w:rsidP="00556FEA" w:rsidRDefault="0073785D" w14:paraId="7B7FB882" w14:textId="77777777">
            <w:pPr>
              <w:jc w:val="center"/>
              <w:rPr>
                <w:rFonts w:ascii="Palatino Linotype" w:hAnsi="Palatino Linotype"/>
                <w:szCs w:val="24"/>
              </w:rPr>
            </w:pPr>
            <w:r>
              <w:rPr>
                <w:rFonts w:ascii="Palatino Linotype" w:hAnsi="Palatino Linotype"/>
                <w:szCs w:val="24"/>
              </w:rPr>
              <w:t>40</w:t>
            </w:r>
            <w:r w:rsidRPr="00352E7F">
              <w:rPr>
                <w:rFonts w:ascii="Palatino Linotype" w:hAnsi="Palatino Linotype"/>
                <w:szCs w:val="24"/>
              </w:rPr>
              <w:t>%</w:t>
            </w:r>
          </w:p>
        </w:tc>
      </w:tr>
      <w:tr w:rsidRPr="00352E7F" w:rsidR="0073785D" w:rsidTr="00556FEA" w14:paraId="668359F5" w14:textId="77777777">
        <w:tc>
          <w:tcPr>
            <w:tcW w:w="7105" w:type="dxa"/>
          </w:tcPr>
          <w:p w:rsidRPr="00352E7F" w:rsidR="0073785D" w:rsidP="00556FEA" w:rsidRDefault="0073785D" w14:paraId="4F2F389B" w14:textId="77777777">
            <w:pPr>
              <w:rPr>
                <w:rFonts w:ascii="Palatino Linotype" w:hAnsi="Palatino Linotype"/>
                <w:szCs w:val="24"/>
              </w:rPr>
            </w:pPr>
            <w:r w:rsidRPr="00352E7F">
              <w:rPr>
                <w:rFonts w:ascii="Palatino Linotype" w:hAnsi="Palatino Linotype"/>
                <w:szCs w:val="24"/>
              </w:rPr>
              <w:t xml:space="preserve">Low Income </w:t>
            </w:r>
            <w:r>
              <w:rPr>
                <w:rFonts w:ascii="Palatino Linotype" w:hAnsi="Palatino Linotype"/>
                <w:szCs w:val="24"/>
              </w:rPr>
              <w:t>–</w:t>
            </w:r>
            <w:r w:rsidRPr="00352E7F">
              <w:rPr>
                <w:rFonts w:ascii="Palatino Linotype" w:hAnsi="Palatino Linotype"/>
                <w:szCs w:val="24"/>
              </w:rPr>
              <w:t xml:space="preserve"> </w:t>
            </w:r>
            <w:r>
              <w:rPr>
                <w:rFonts w:ascii="Palatino Linotype" w:hAnsi="Palatino Linotype"/>
                <w:szCs w:val="24"/>
              </w:rPr>
              <w:t>(</w:t>
            </w:r>
            <w:r w:rsidRPr="00352E7F">
              <w:rPr>
                <w:rFonts w:ascii="Palatino Linotype" w:hAnsi="Palatino Linotype"/>
                <w:szCs w:val="24"/>
              </w:rPr>
              <w:t>up to 40%</w:t>
            </w:r>
            <w:r>
              <w:rPr>
                <w:rFonts w:ascii="Palatino Linotype" w:hAnsi="Palatino Linotype"/>
                <w:szCs w:val="24"/>
              </w:rPr>
              <w:t>)</w:t>
            </w:r>
          </w:p>
          <w:p w:rsidRPr="00352E7F" w:rsidR="0073785D" w:rsidP="00556FEA" w:rsidRDefault="0073785D" w14:paraId="619B7058" w14:textId="77777777">
            <w:pPr>
              <w:pStyle w:val="ListParagraph"/>
              <w:numPr>
                <w:ilvl w:val="0"/>
                <w:numId w:val="20"/>
              </w:numPr>
              <w:rPr>
                <w:rFonts w:ascii="Palatino Linotype" w:hAnsi="Palatino Linotype"/>
                <w:color w:val="000000" w:themeColor="text1"/>
                <w:szCs w:val="24"/>
              </w:rPr>
            </w:pPr>
            <w:r w:rsidRPr="00352E7F">
              <w:rPr>
                <w:rFonts w:ascii="Palatino Linotype" w:hAnsi="Palatino Linotype"/>
                <w:szCs w:val="24"/>
              </w:rPr>
              <w:t>Median Household Income for community is less than CARE standard for family of 4, which is currently $50,200 (30%)</w:t>
            </w:r>
          </w:p>
          <w:p w:rsidRPr="00352E7F" w:rsidR="0073785D" w:rsidP="00556FEA" w:rsidRDefault="0073785D" w14:paraId="2331B83D" w14:textId="77777777">
            <w:pPr>
              <w:pStyle w:val="ListParagraph"/>
              <w:numPr>
                <w:ilvl w:val="0"/>
                <w:numId w:val="20"/>
              </w:numPr>
              <w:rPr>
                <w:rFonts w:ascii="Palatino Linotype" w:hAnsi="Palatino Linotype"/>
                <w:color w:val="000000" w:themeColor="text1"/>
                <w:szCs w:val="24"/>
              </w:rPr>
            </w:pPr>
            <w:r w:rsidRPr="00352E7F">
              <w:rPr>
                <w:rFonts w:ascii="Palatino Linotype" w:hAnsi="Palatino Linotype"/>
                <w:szCs w:val="24"/>
              </w:rPr>
              <w:t>Applicant serves low-income customers for no more than $15/month (10%)</w:t>
            </w:r>
          </w:p>
        </w:tc>
        <w:tc>
          <w:tcPr>
            <w:tcW w:w="2188" w:type="dxa"/>
          </w:tcPr>
          <w:p w:rsidRPr="00352E7F" w:rsidR="0073785D" w:rsidP="00556FEA" w:rsidRDefault="0073785D" w14:paraId="4575AE96" w14:textId="77777777">
            <w:pPr>
              <w:jc w:val="center"/>
              <w:rPr>
                <w:rFonts w:ascii="Palatino Linotype" w:hAnsi="Palatino Linotype"/>
                <w:szCs w:val="24"/>
              </w:rPr>
            </w:pPr>
          </w:p>
          <w:p w:rsidRPr="00352E7F" w:rsidR="0073785D" w:rsidP="00556FEA" w:rsidRDefault="0073785D" w14:paraId="4EB793B2" w14:textId="77777777">
            <w:pPr>
              <w:jc w:val="center"/>
              <w:rPr>
                <w:rFonts w:ascii="Palatino Linotype" w:hAnsi="Palatino Linotype"/>
                <w:szCs w:val="24"/>
              </w:rPr>
            </w:pPr>
            <w:r w:rsidRPr="00352E7F">
              <w:rPr>
                <w:rFonts w:ascii="Palatino Linotype" w:hAnsi="Palatino Linotype"/>
                <w:szCs w:val="24"/>
              </w:rPr>
              <w:t>30%</w:t>
            </w:r>
          </w:p>
          <w:p w:rsidR="0073785D" w:rsidP="00556FEA" w:rsidRDefault="0073785D" w14:paraId="73AA0062" w14:textId="77777777">
            <w:pPr>
              <w:jc w:val="center"/>
              <w:rPr>
                <w:rFonts w:ascii="Palatino Linotype" w:hAnsi="Palatino Linotype"/>
                <w:szCs w:val="24"/>
              </w:rPr>
            </w:pPr>
          </w:p>
          <w:p w:rsidR="0073785D" w:rsidP="00556FEA" w:rsidRDefault="0073785D" w14:paraId="5BDD9EF2" w14:textId="77777777">
            <w:pPr>
              <w:jc w:val="center"/>
              <w:rPr>
                <w:rFonts w:ascii="Palatino Linotype" w:hAnsi="Palatino Linotype"/>
                <w:szCs w:val="24"/>
              </w:rPr>
            </w:pPr>
          </w:p>
          <w:p w:rsidRPr="00352E7F" w:rsidR="0073785D" w:rsidP="00556FEA" w:rsidRDefault="0073785D" w14:paraId="602780C1" w14:textId="77777777">
            <w:pPr>
              <w:jc w:val="center"/>
              <w:rPr>
                <w:rFonts w:ascii="Palatino Linotype" w:hAnsi="Palatino Linotype"/>
                <w:szCs w:val="24"/>
              </w:rPr>
            </w:pPr>
            <w:r w:rsidRPr="00352E7F">
              <w:rPr>
                <w:rFonts w:ascii="Palatino Linotype" w:hAnsi="Palatino Linotype"/>
                <w:szCs w:val="24"/>
              </w:rPr>
              <w:t>10%</w:t>
            </w:r>
          </w:p>
        </w:tc>
      </w:tr>
      <w:tr w:rsidRPr="00352E7F" w:rsidR="0073785D" w:rsidTr="00556FEA" w14:paraId="6DBF2E6F" w14:textId="77777777">
        <w:tc>
          <w:tcPr>
            <w:tcW w:w="7105" w:type="dxa"/>
            <w:tcBorders>
              <w:bottom w:val="single" w:color="auto" w:sz="12" w:space="0"/>
            </w:tcBorders>
          </w:tcPr>
          <w:p w:rsidRPr="002D3A76" w:rsidR="0073785D" w:rsidP="00556FEA" w:rsidRDefault="0073785D" w14:paraId="581EF0C8" w14:textId="77777777">
            <w:pPr>
              <w:rPr>
                <w:rFonts w:ascii="Palatino Linotype" w:hAnsi="Palatino Linotype"/>
                <w:szCs w:val="24"/>
              </w:rPr>
            </w:pPr>
            <w:r w:rsidRPr="002D3A76">
              <w:rPr>
                <w:rFonts w:ascii="Palatino Linotype" w:hAnsi="Palatino Linotype"/>
                <w:szCs w:val="24"/>
              </w:rPr>
              <w:t>Others: PU Code §</w:t>
            </w:r>
            <w:r w:rsidRPr="002D3A76">
              <w:rPr>
                <w:rFonts w:ascii="Palatino Linotype" w:hAnsi="Palatino Linotype"/>
              </w:rPr>
              <w:t xml:space="preserve"> </w:t>
            </w:r>
            <w:r w:rsidRPr="002D3A76">
              <w:rPr>
                <w:rFonts w:ascii="Palatino Linotype" w:hAnsi="Palatino Linotype"/>
                <w:szCs w:val="24"/>
              </w:rPr>
              <w:t>281 (f)(12) Criteria – (up to 20%)</w:t>
            </w:r>
          </w:p>
          <w:p w:rsidRPr="002D3A76" w:rsidR="0073785D" w:rsidP="00556FEA" w:rsidRDefault="0073785D" w14:paraId="36080E43" w14:textId="77777777">
            <w:pPr>
              <w:pStyle w:val="ListParagraph"/>
              <w:numPr>
                <w:ilvl w:val="0"/>
                <w:numId w:val="21"/>
              </w:numPr>
              <w:rPr>
                <w:rFonts w:ascii="Palatino Linotype" w:hAnsi="Palatino Linotype"/>
                <w:szCs w:val="24"/>
              </w:rPr>
            </w:pPr>
            <w:r w:rsidRPr="002D3A76">
              <w:rPr>
                <w:rFonts w:ascii="Palatino Linotype" w:hAnsi="Palatino Linotype"/>
                <w:szCs w:val="24"/>
              </w:rPr>
              <w:t>Inaccessible Location (10%)</w:t>
            </w:r>
          </w:p>
          <w:p w:rsidRPr="002D3A76" w:rsidR="0073785D" w:rsidP="00556FEA" w:rsidRDefault="0073785D" w14:paraId="6E17DF80" w14:textId="77777777">
            <w:pPr>
              <w:pStyle w:val="ListParagraph"/>
              <w:numPr>
                <w:ilvl w:val="0"/>
                <w:numId w:val="21"/>
              </w:numPr>
              <w:rPr>
                <w:rFonts w:ascii="Palatino Linotype" w:hAnsi="Palatino Linotype"/>
                <w:szCs w:val="24"/>
              </w:rPr>
            </w:pPr>
            <w:r w:rsidRPr="002D3A76">
              <w:rPr>
                <w:rFonts w:ascii="Palatino Linotype" w:hAnsi="Palatino Linotype"/>
                <w:szCs w:val="24"/>
              </w:rPr>
              <w:t>Uses Existing Infrastructure (10%)</w:t>
            </w:r>
          </w:p>
          <w:p w:rsidRPr="002D3A76" w:rsidR="0073785D" w:rsidP="00556FEA" w:rsidRDefault="0073785D" w14:paraId="24E6366D" w14:textId="77777777">
            <w:pPr>
              <w:pStyle w:val="ListParagraph"/>
              <w:numPr>
                <w:ilvl w:val="0"/>
                <w:numId w:val="21"/>
              </w:numPr>
              <w:rPr>
                <w:rFonts w:ascii="Palatino Linotype" w:hAnsi="Palatino Linotype"/>
                <w:szCs w:val="24"/>
              </w:rPr>
            </w:pPr>
            <w:r w:rsidRPr="002D3A76">
              <w:rPr>
                <w:rFonts w:ascii="Palatino Linotype" w:hAnsi="Palatino Linotype"/>
                <w:szCs w:val="24"/>
              </w:rPr>
              <w:t>Makes a Significant Contribution to the Program Goal (10%)</w:t>
            </w:r>
          </w:p>
        </w:tc>
        <w:tc>
          <w:tcPr>
            <w:tcW w:w="2188" w:type="dxa"/>
            <w:tcBorders>
              <w:bottom w:val="single" w:color="auto" w:sz="12" w:space="0"/>
            </w:tcBorders>
          </w:tcPr>
          <w:p w:rsidRPr="002D3A76" w:rsidR="0073785D" w:rsidP="00556FEA" w:rsidRDefault="0073785D" w14:paraId="2EC2B011" w14:textId="77777777">
            <w:pPr>
              <w:rPr>
                <w:rFonts w:ascii="Palatino Linotype" w:hAnsi="Palatino Linotype"/>
                <w:szCs w:val="24"/>
              </w:rPr>
            </w:pPr>
          </w:p>
          <w:p w:rsidRPr="002D3A76" w:rsidR="0073785D" w:rsidP="00556FEA" w:rsidRDefault="0073785D" w14:paraId="7DE9460D" w14:textId="77777777">
            <w:pPr>
              <w:jc w:val="center"/>
              <w:rPr>
                <w:rFonts w:ascii="Palatino Linotype" w:hAnsi="Palatino Linotype"/>
                <w:szCs w:val="24"/>
              </w:rPr>
            </w:pPr>
            <w:r w:rsidRPr="002D3A76">
              <w:rPr>
                <w:rFonts w:ascii="Palatino Linotype" w:hAnsi="Palatino Linotype"/>
                <w:szCs w:val="24"/>
              </w:rPr>
              <w:t>0%</w:t>
            </w:r>
          </w:p>
          <w:p w:rsidRPr="002D3A76" w:rsidR="0073785D" w:rsidP="00556FEA" w:rsidRDefault="0073785D" w14:paraId="793164AB" w14:textId="77777777">
            <w:pPr>
              <w:jc w:val="center"/>
              <w:rPr>
                <w:rFonts w:ascii="Palatino Linotype" w:hAnsi="Palatino Linotype"/>
                <w:szCs w:val="24"/>
              </w:rPr>
            </w:pPr>
            <w:r w:rsidRPr="002D3A76">
              <w:rPr>
                <w:rFonts w:ascii="Palatino Linotype" w:hAnsi="Palatino Linotype"/>
                <w:szCs w:val="24"/>
              </w:rPr>
              <w:t>10%</w:t>
            </w:r>
          </w:p>
          <w:p w:rsidRPr="002D3A76" w:rsidR="0073785D" w:rsidP="00556FEA" w:rsidRDefault="0073785D" w14:paraId="76EFEF60" w14:textId="77777777">
            <w:pPr>
              <w:jc w:val="center"/>
              <w:rPr>
                <w:rFonts w:ascii="Palatino Linotype" w:hAnsi="Palatino Linotype"/>
                <w:szCs w:val="24"/>
              </w:rPr>
            </w:pPr>
            <w:r w:rsidRPr="002D3A76">
              <w:rPr>
                <w:rFonts w:ascii="Palatino Linotype" w:hAnsi="Palatino Linotype"/>
                <w:szCs w:val="24"/>
              </w:rPr>
              <w:t>10%</w:t>
            </w:r>
          </w:p>
        </w:tc>
      </w:tr>
      <w:tr w:rsidRPr="00352E7F" w:rsidR="0073785D" w:rsidTr="00556FEA" w14:paraId="7D863F11" w14:textId="77777777">
        <w:tc>
          <w:tcPr>
            <w:tcW w:w="7105" w:type="dxa"/>
            <w:tcBorders>
              <w:top w:val="single" w:color="auto" w:sz="12" w:space="0"/>
            </w:tcBorders>
          </w:tcPr>
          <w:p w:rsidRPr="00352E7F" w:rsidR="0073785D" w:rsidP="00556FEA" w:rsidRDefault="0073785D" w14:paraId="5A653C34" w14:textId="77777777">
            <w:pPr>
              <w:rPr>
                <w:rFonts w:ascii="Palatino Linotype" w:hAnsi="Palatino Linotype"/>
                <w:b/>
                <w:bCs/>
                <w:szCs w:val="24"/>
              </w:rPr>
            </w:pPr>
            <w:r w:rsidRPr="00352E7F">
              <w:rPr>
                <w:rFonts w:ascii="Palatino Linotype" w:hAnsi="Palatino Linotype"/>
                <w:b/>
                <w:bCs/>
                <w:szCs w:val="24"/>
              </w:rPr>
              <w:t>Total Funding Level</w:t>
            </w:r>
          </w:p>
        </w:tc>
        <w:tc>
          <w:tcPr>
            <w:tcW w:w="2188" w:type="dxa"/>
            <w:tcBorders>
              <w:top w:val="single" w:color="auto" w:sz="12" w:space="0"/>
            </w:tcBorders>
          </w:tcPr>
          <w:p w:rsidRPr="00352E7F" w:rsidR="0073785D" w:rsidP="00556FEA" w:rsidRDefault="0073785D" w14:paraId="78C375AC" w14:textId="77777777">
            <w:pPr>
              <w:jc w:val="center"/>
              <w:rPr>
                <w:rFonts w:ascii="Palatino Linotype" w:hAnsi="Palatino Linotype"/>
                <w:b/>
                <w:bCs/>
                <w:szCs w:val="24"/>
              </w:rPr>
            </w:pPr>
            <w:r w:rsidRPr="006219D0">
              <w:rPr>
                <w:rFonts w:ascii="Palatino Linotype" w:hAnsi="Palatino Linotype"/>
                <w:b/>
                <w:bCs/>
              </w:rPr>
              <w:t>100%</w:t>
            </w:r>
            <w:r w:rsidRPr="006219D0">
              <w:rPr>
                <w:rStyle w:val="FootnoteReference"/>
                <w:rFonts w:ascii="Palatino Linotype" w:hAnsi="Palatino Linotype"/>
                <w:b/>
                <w:bCs/>
              </w:rPr>
              <w:footnoteReference w:id="16"/>
            </w:r>
          </w:p>
        </w:tc>
      </w:tr>
    </w:tbl>
    <w:p w:rsidRPr="0087400E" w:rsidR="0073785D" w:rsidP="0073785D" w:rsidRDefault="0073785D" w14:paraId="222E6B7C" w14:textId="77777777">
      <w:pPr>
        <w:rPr>
          <w:rFonts w:ascii="Palatino Linotype" w:hAnsi="Palatino Linotype"/>
          <w:szCs w:val="24"/>
        </w:rPr>
      </w:pPr>
    </w:p>
    <w:p w:rsidRPr="00352E7F" w:rsidR="0073785D" w:rsidP="0073785D" w:rsidRDefault="0073785D" w14:paraId="69DE34B5" w14:textId="77777777">
      <w:pPr>
        <w:rPr>
          <w:rFonts w:ascii="Palatino Linotype" w:hAnsi="Palatino Linotype"/>
          <w:szCs w:val="24"/>
        </w:rPr>
      </w:pPr>
      <w:r w:rsidRPr="00352E7F">
        <w:rPr>
          <w:rFonts w:ascii="Palatino Linotype" w:hAnsi="Palatino Linotype"/>
          <w:szCs w:val="24"/>
        </w:rPr>
        <w:t>Details of the appropriate funding level are described below.</w:t>
      </w:r>
    </w:p>
    <w:p w:rsidRPr="00352E7F" w:rsidR="0073785D" w:rsidP="0073785D" w:rsidRDefault="0073785D" w14:paraId="0C98FA98" w14:textId="77777777">
      <w:pPr>
        <w:rPr>
          <w:rFonts w:ascii="Palatino Linotype" w:hAnsi="Palatino Linotype"/>
          <w:b/>
          <w:bCs/>
          <w:szCs w:val="24"/>
        </w:rPr>
      </w:pPr>
    </w:p>
    <w:p w:rsidRPr="00352E7F" w:rsidR="0073785D" w:rsidP="0073785D" w:rsidRDefault="0073785D" w14:paraId="63D24FD7" w14:textId="484B083A">
      <w:pPr>
        <w:pStyle w:val="ListParagraph"/>
        <w:rPr>
          <w:rFonts w:ascii="Palatino Linotype" w:hAnsi="Palatino Linotype"/>
          <w:szCs w:val="24"/>
        </w:rPr>
      </w:pPr>
      <w:r w:rsidRPr="00352E7F">
        <w:rPr>
          <w:rFonts w:ascii="Palatino Linotype" w:hAnsi="Palatino Linotype"/>
          <w:b/>
          <w:bCs/>
          <w:szCs w:val="24"/>
        </w:rPr>
        <w:t xml:space="preserve">Baseline for Eligible Project qualifies for </w:t>
      </w:r>
      <w:r w:rsidR="007F6476">
        <w:rPr>
          <w:rFonts w:ascii="Palatino Linotype" w:hAnsi="Palatino Linotype"/>
          <w:b/>
          <w:bCs/>
          <w:szCs w:val="24"/>
        </w:rPr>
        <w:t xml:space="preserve">an additional </w:t>
      </w:r>
      <w:r w:rsidRPr="00352E7F">
        <w:rPr>
          <w:rFonts w:ascii="Palatino Linotype" w:hAnsi="Palatino Linotype"/>
          <w:b/>
          <w:bCs/>
          <w:szCs w:val="24"/>
        </w:rPr>
        <w:t>60 percent funding.</w:t>
      </w:r>
      <w:r w:rsidRPr="00352E7F">
        <w:rPr>
          <w:rFonts w:ascii="Palatino Linotype" w:hAnsi="Palatino Linotype"/>
          <w:szCs w:val="24"/>
        </w:rPr>
        <w:t xml:space="preserve">  CASF program is intended to finance capital costs of projects deploying broadband facilities in unserved areas of California. </w:t>
      </w:r>
      <w:r>
        <w:rPr>
          <w:rFonts w:ascii="Palatino Linotype" w:hAnsi="Palatino Linotype"/>
          <w:szCs w:val="24"/>
        </w:rPr>
        <w:t xml:space="preserve"> </w:t>
      </w:r>
      <w:r w:rsidRPr="00352E7F">
        <w:rPr>
          <w:rFonts w:ascii="Palatino Linotype" w:hAnsi="Palatino Linotype"/>
          <w:szCs w:val="24"/>
        </w:rPr>
        <w:t xml:space="preserve">The identified </w:t>
      </w:r>
      <w:r>
        <w:rPr>
          <w:rFonts w:ascii="Palatino Linotype" w:hAnsi="Palatino Linotype"/>
          <w:szCs w:val="24"/>
        </w:rPr>
        <w:t xml:space="preserve">Smith River project area </w:t>
      </w:r>
      <w:r w:rsidRPr="00352E7F">
        <w:rPr>
          <w:rFonts w:ascii="Palatino Linotype" w:hAnsi="Palatino Linotype"/>
          <w:szCs w:val="24"/>
        </w:rPr>
        <w:t>meet</w:t>
      </w:r>
      <w:r>
        <w:rPr>
          <w:rFonts w:ascii="Palatino Linotype" w:hAnsi="Palatino Linotype"/>
          <w:szCs w:val="24"/>
        </w:rPr>
        <w:t>s</w:t>
      </w:r>
      <w:r w:rsidRPr="00352E7F">
        <w:rPr>
          <w:rFonts w:ascii="Palatino Linotype" w:hAnsi="Palatino Linotype"/>
          <w:szCs w:val="24"/>
        </w:rPr>
        <w:t xml:space="preserve"> all the eligibility criteria, as previously described in the Project Area Eligibility section.</w:t>
      </w:r>
    </w:p>
    <w:p w:rsidRPr="00352E7F" w:rsidR="0073785D" w:rsidP="0073785D" w:rsidRDefault="0073785D" w14:paraId="164DD4E8" w14:textId="77777777">
      <w:pPr>
        <w:pStyle w:val="ListParagraph"/>
        <w:rPr>
          <w:rFonts w:ascii="Palatino Linotype" w:hAnsi="Palatino Linotype"/>
          <w:szCs w:val="24"/>
        </w:rPr>
      </w:pPr>
    </w:p>
    <w:p w:rsidRPr="00352E7F" w:rsidR="0073785D" w:rsidP="48D6FFE1" w:rsidRDefault="0073785D" w14:paraId="42ED8E0A" w14:textId="4A3DE071">
      <w:pPr>
        <w:pStyle w:val="ListParagraph"/>
        <w:rPr>
          <w:rFonts w:ascii="Palatino Linotype" w:hAnsi="Palatino Linotype"/>
        </w:rPr>
      </w:pPr>
      <w:r w:rsidRPr="48D6FFE1">
        <w:rPr>
          <w:rFonts w:ascii="Palatino Linotype" w:hAnsi="Palatino Linotype"/>
          <w:b/>
          <w:bCs/>
        </w:rPr>
        <w:t xml:space="preserve">Service Level Preference qualifies for </w:t>
      </w:r>
      <w:r w:rsidRPr="48D6FFE1" w:rsidR="5F2E3977">
        <w:rPr>
          <w:rFonts w:ascii="Palatino Linotype" w:hAnsi="Palatino Linotype"/>
          <w:b/>
          <w:bCs/>
        </w:rPr>
        <w:t xml:space="preserve">an additional </w:t>
      </w:r>
      <w:r w:rsidRPr="48D6FFE1">
        <w:rPr>
          <w:rFonts w:ascii="Palatino Linotype" w:hAnsi="Palatino Linotype"/>
          <w:b/>
          <w:bCs/>
        </w:rPr>
        <w:t xml:space="preserve">40 percent funding.  </w:t>
      </w:r>
      <w:r w:rsidRPr="48D6FFE1">
        <w:rPr>
          <w:rFonts w:ascii="Palatino Linotype" w:hAnsi="Palatino Linotype"/>
        </w:rPr>
        <w:t>Pub. Util. Code</w:t>
      </w:r>
      <w:r w:rsidRPr="48D6FFE1">
        <w:rPr>
          <w:rFonts w:ascii="Palatino Linotype" w:hAnsi="Palatino Linotype"/>
          <w:b/>
          <w:bCs/>
        </w:rPr>
        <w:t xml:space="preserve"> </w:t>
      </w:r>
      <w:r w:rsidRPr="48D6FFE1">
        <w:rPr>
          <w:rFonts w:ascii="Palatino Linotype" w:hAnsi="Palatino Linotype"/>
        </w:rPr>
        <w:t xml:space="preserve">§ </w:t>
      </w:r>
      <w:r w:rsidRPr="48D6FFE1">
        <w:rPr>
          <w:rFonts w:ascii="Palatino Linotype" w:hAnsi="Palatino Linotype"/>
          <w:color w:val="000000" w:themeColor="text1"/>
        </w:rPr>
        <w:t>281(b)(2)(B)(</w:t>
      </w:r>
      <w:proofErr w:type="spellStart"/>
      <w:r w:rsidRPr="48D6FFE1">
        <w:rPr>
          <w:rFonts w:ascii="Palatino Linotype" w:hAnsi="Palatino Linotype"/>
          <w:color w:val="000000" w:themeColor="text1"/>
        </w:rPr>
        <w:t>i</w:t>
      </w:r>
      <w:proofErr w:type="spellEnd"/>
      <w:r w:rsidRPr="48D6FFE1">
        <w:rPr>
          <w:rFonts w:ascii="Palatino Linotype" w:hAnsi="Palatino Linotype"/>
          <w:color w:val="000000" w:themeColor="text1"/>
        </w:rPr>
        <w:t xml:space="preserve">) encourages the Commission to give preference to projects in areas with no Internet connectivity or where Internet connectivity is available only through dial-up service and not served by any form of wireline or wireless facility-based broadband service.  </w:t>
      </w:r>
      <w:r w:rsidRPr="48D6FFE1">
        <w:rPr>
          <w:rFonts w:ascii="Palatino Linotype" w:hAnsi="Palatino Linotype"/>
        </w:rPr>
        <w:t>According to the California Interactive Broadband Map, Staff confirmed all the proposed project areas are unserved by wireline or fixed wireless broadband service and is therefore eligible for an additional 40 percent funding.</w:t>
      </w:r>
    </w:p>
    <w:p w:rsidRPr="00352E7F" w:rsidR="0073785D" w:rsidP="0073785D" w:rsidRDefault="0073785D" w14:paraId="2E6EF398" w14:textId="77777777">
      <w:pPr>
        <w:pStyle w:val="ListParagraph"/>
        <w:rPr>
          <w:rFonts w:ascii="Palatino Linotype" w:hAnsi="Palatino Linotype"/>
          <w:szCs w:val="24"/>
        </w:rPr>
      </w:pPr>
    </w:p>
    <w:p w:rsidRPr="00352E7F" w:rsidR="0073785D" w:rsidP="48D6FFE1" w:rsidRDefault="0073785D" w14:paraId="7183DF83" w14:textId="4A165B52">
      <w:pPr>
        <w:ind w:left="720"/>
        <w:rPr>
          <w:rFonts w:ascii="Palatino Linotype" w:hAnsi="Palatino Linotype"/>
        </w:rPr>
      </w:pPr>
      <w:r w:rsidRPr="48D6FFE1">
        <w:rPr>
          <w:rFonts w:ascii="Palatino Linotype" w:hAnsi="Palatino Linotype"/>
          <w:b/>
          <w:bCs/>
        </w:rPr>
        <w:lastRenderedPageBreak/>
        <w:t xml:space="preserve">Low Income </w:t>
      </w:r>
      <w:r w:rsidRPr="48D6FFE1" w:rsidR="7BD5D5A9">
        <w:rPr>
          <w:rFonts w:ascii="Palatino Linotype" w:hAnsi="Palatino Linotype"/>
          <w:b/>
          <w:bCs/>
        </w:rPr>
        <w:t xml:space="preserve">Consideration </w:t>
      </w:r>
      <w:r w:rsidRPr="48D6FFE1">
        <w:rPr>
          <w:rFonts w:ascii="Palatino Linotype" w:hAnsi="Palatino Linotype"/>
          <w:b/>
          <w:bCs/>
        </w:rPr>
        <w:t xml:space="preserve">qualifies for </w:t>
      </w:r>
      <w:r w:rsidRPr="48D6FFE1" w:rsidR="12EDE94F">
        <w:rPr>
          <w:rFonts w:ascii="Palatino Linotype" w:hAnsi="Palatino Linotype"/>
          <w:b/>
          <w:bCs/>
        </w:rPr>
        <w:t xml:space="preserve">an additional </w:t>
      </w:r>
      <w:r w:rsidRPr="48D6FFE1">
        <w:rPr>
          <w:rFonts w:ascii="Palatino Linotype" w:hAnsi="Palatino Linotype"/>
          <w:b/>
          <w:bCs/>
        </w:rPr>
        <w:t xml:space="preserve">40 percent funding.  </w:t>
      </w:r>
      <w:r w:rsidRPr="48D6FFE1">
        <w:rPr>
          <w:rFonts w:ascii="Palatino Linotype" w:hAnsi="Palatino Linotype"/>
        </w:rPr>
        <w:t xml:space="preserve">The median income of the census block group in the </w:t>
      </w:r>
      <w:r w:rsidRPr="48D6FFE1" w:rsidR="008B1B5B">
        <w:rPr>
          <w:rFonts w:ascii="Palatino Linotype" w:hAnsi="Palatino Linotype"/>
        </w:rPr>
        <w:t>proposed project</w:t>
      </w:r>
      <w:r w:rsidRPr="48D6FFE1">
        <w:rPr>
          <w:rFonts w:ascii="Palatino Linotype" w:hAnsi="Palatino Linotype"/>
        </w:rPr>
        <w:t xml:space="preserve"> area is $31,901, and thus qualifies for an additional 30 percent funding.  Frontier commits to offer low-income broadband programs including broadband and voice bundled plans for LifeLine-eligible subscribers at $14.99/month, which meets the criteria for an additional 10 percent funding.</w:t>
      </w:r>
    </w:p>
    <w:p w:rsidRPr="00352E7F" w:rsidR="0073785D" w:rsidP="0073785D" w:rsidRDefault="0073785D" w14:paraId="6B22A7DD" w14:textId="77777777">
      <w:pPr>
        <w:rPr>
          <w:rFonts w:ascii="Palatino Linotype" w:hAnsi="Palatino Linotype"/>
          <w:b/>
          <w:bCs/>
          <w:szCs w:val="24"/>
        </w:rPr>
      </w:pPr>
    </w:p>
    <w:p w:rsidRPr="00352E7F" w:rsidR="0073785D" w:rsidP="48D6FFE1" w:rsidRDefault="0073785D" w14:paraId="2B8EAC1E" w14:textId="3CAAABF4">
      <w:pPr>
        <w:pStyle w:val="ListParagraph"/>
        <w:rPr>
          <w:rFonts w:ascii="Palatino Linotype" w:hAnsi="Palatino Linotype"/>
          <w:b/>
          <w:bCs/>
        </w:rPr>
      </w:pPr>
      <w:r w:rsidRPr="48D6FFE1">
        <w:rPr>
          <w:rFonts w:ascii="Palatino Linotype" w:hAnsi="Palatino Linotype"/>
          <w:b/>
          <w:bCs/>
        </w:rPr>
        <w:t>Other Factor Considerations qualif</w:t>
      </w:r>
      <w:r w:rsidR="00535245">
        <w:rPr>
          <w:rFonts w:ascii="Palatino Linotype" w:hAnsi="Palatino Linotype"/>
          <w:b/>
          <w:bCs/>
        </w:rPr>
        <w:t>y</w:t>
      </w:r>
      <w:r w:rsidRPr="48D6FFE1">
        <w:rPr>
          <w:rFonts w:ascii="Palatino Linotype" w:hAnsi="Palatino Linotype"/>
          <w:b/>
          <w:bCs/>
        </w:rPr>
        <w:t xml:space="preserve"> for </w:t>
      </w:r>
      <w:r w:rsidRPr="48D6FFE1" w:rsidR="4BAEC043">
        <w:rPr>
          <w:rFonts w:ascii="Palatino Linotype" w:hAnsi="Palatino Linotype"/>
          <w:b/>
          <w:bCs/>
        </w:rPr>
        <w:t xml:space="preserve">an additional </w:t>
      </w:r>
      <w:r w:rsidRPr="48D6FFE1">
        <w:rPr>
          <w:rFonts w:ascii="Palatino Linotype" w:hAnsi="Palatino Linotype"/>
          <w:b/>
          <w:bCs/>
        </w:rPr>
        <w:t xml:space="preserve">20 percent funding .  </w:t>
      </w:r>
      <w:r w:rsidRPr="48D6FFE1">
        <w:rPr>
          <w:rFonts w:ascii="Palatino Linotype" w:hAnsi="Palatino Linotype"/>
        </w:rPr>
        <w:t xml:space="preserve">The Smith River Project </w:t>
      </w:r>
      <w:r w:rsidRPr="00535245">
        <w:rPr>
          <w:rFonts w:ascii="Palatino Linotype" w:hAnsi="Palatino Linotype"/>
        </w:rPr>
        <w:t xml:space="preserve">meets two of </w:t>
      </w:r>
      <w:r w:rsidRPr="48D6FFE1">
        <w:rPr>
          <w:rFonts w:ascii="Palatino Linotype" w:hAnsi="Palatino Linotype"/>
        </w:rPr>
        <w:t>the three criteria defined in Pub. Util. Code                   § 281(f)(12) and qualifies for the additional 20 percent funding.</w:t>
      </w:r>
    </w:p>
    <w:p w:rsidRPr="00352E7F" w:rsidR="0073785D" w:rsidP="0073785D" w:rsidRDefault="0073785D" w14:paraId="1B6DC4DB" w14:textId="77777777">
      <w:pPr>
        <w:rPr>
          <w:rFonts w:ascii="Palatino Linotype" w:hAnsi="Palatino Linotype"/>
          <w:szCs w:val="24"/>
        </w:rPr>
      </w:pPr>
    </w:p>
    <w:p w:rsidR="0073785D" w:rsidP="0073785D" w:rsidRDefault="0073785D" w14:paraId="5D25C3BF" w14:textId="06711DC7">
      <w:pPr>
        <w:ind w:left="720"/>
        <w:rPr>
          <w:rFonts w:ascii="Palatino Linotype" w:hAnsi="Palatino Linotype"/>
          <w:szCs w:val="24"/>
        </w:rPr>
      </w:pPr>
      <w:r w:rsidRPr="00352E7F">
        <w:rPr>
          <w:rFonts w:ascii="Palatino Linotype" w:hAnsi="Palatino Linotype"/>
          <w:szCs w:val="24"/>
        </w:rPr>
        <w:t xml:space="preserve">Staff determined the proposed project </w:t>
      </w:r>
      <w:r>
        <w:rPr>
          <w:rFonts w:ascii="Palatino Linotype" w:hAnsi="Palatino Linotype"/>
          <w:szCs w:val="24"/>
        </w:rPr>
        <w:t xml:space="preserve">does not meet the inaccessible location criteria and is not eligible for an additional 10 percent funding.  The proposed project </w:t>
      </w:r>
      <w:proofErr w:type="gramStart"/>
      <w:r>
        <w:rPr>
          <w:rFonts w:ascii="Palatino Linotype" w:hAnsi="Palatino Linotype"/>
          <w:szCs w:val="24"/>
        </w:rPr>
        <w:t>is located in</w:t>
      </w:r>
      <w:proofErr w:type="gramEnd"/>
      <w:r>
        <w:rPr>
          <w:rFonts w:ascii="Palatino Linotype" w:hAnsi="Palatino Linotype"/>
          <w:szCs w:val="24"/>
        </w:rPr>
        <w:t xml:space="preserve"> Smith River </w:t>
      </w:r>
      <w:r w:rsidR="005111B1">
        <w:rPr>
          <w:rFonts w:ascii="Palatino Linotype" w:hAnsi="Palatino Linotype"/>
          <w:szCs w:val="24"/>
        </w:rPr>
        <w:t xml:space="preserve">along Highway </w:t>
      </w:r>
      <w:r w:rsidR="005E6326">
        <w:rPr>
          <w:rFonts w:ascii="Palatino Linotype" w:hAnsi="Palatino Linotype"/>
          <w:szCs w:val="24"/>
        </w:rPr>
        <w:t xml:space="preserve">101 </w:t>
      </w:r>
      <w:r>
        <w:rPr>
          <w:rFonts w:ascii="Palatino Linotype" w:hAnsi="Palatino Linotype"/>
          <w:szCs w:val="24"/>
        </w:rPr>
        <w:t xml:space="preserve">in Del Norte County.  The surrounding areas are </w:t>
      </w:r>
      <w:proofErr w:type="gramStart"/>
      <w:r w:rsidR="005111B1">
        <w:rPr>
          <w:rFonts w:ascii="Palatino Linotype" w:hAnsi="Palatino Linotype"/>
          <w:szCs w:val="24"/>
        </w:rPr>
        <w:t>fair</w:t>
      </w:r>
      <w:r>
        <w:rPr>
          <w:rFonts w:ascii="Palatino Linotype" w:hAnsi="Palatino Linotype"/>
          <w:szCs w:val="24"/>
        </w:rPr>
        <w:t>ly populated</w:t>
      </w:r>
      <w:proofErr w:type="gramEnd"/>
      <w:r>
        <w:rPr>
          <w:rFonts w:ascii="Palatino Linotype" w:hAnsi="Palatino Linotype"/>
          <w:szCs w:val="24"/>
        </w:rPr>
        <w:t xml:space="preserve"> and developed with access to highways, public utilities, and community health and educational resources.  </w:t>
      </w:r>
      <w:r w:rsidR="0000475B">
        <w:rPr>
          <w:rFonts w:ascii="Palatino Linotype" w:hAnsi="Palatino Linotype"/>
          <w:szCs w:val="24"/>
        </w:rPr>
        <w:t>T</w:t>
      </w:r>
      <w:r>
        <w:rPr>
          <w:rFonts w:ascii="Palatino Linotype" w:hAnsi="Palatino Linotype"/>
          <w:szCs w:val="24"/>
        </w:rPr>
        <w:t xml:space="preserve">he project area </w:t>
      </w:r>
      <w:proofErr w:type="gramStart"/>
      <w:r w:rsidR="0000475B">
        <w:rPr>
          <w:rFonts w:ascii="Palatino Linotype" w:hAnsi="Palatino Linotype"/>
          <w:szCs w:val="24"/>
        </w:rPr>
        <w:t xml:space="preserve">is considered </w:t>
      </w:r>
      <w:r>
        <w:rPr>
          <w:rFonts w:ascii="Palatino Linotype" w:hAnsi="Palatino Linotype"/>
          <w:szCs w:val="24"/>
        </w:rPr>
        <w:t>to be</w:t>
      </w:r>
      <w:proofErr w:type="gramEnd"/>
      <w:r>
        <w:rPr>
          <w:rFonts w:ascii="Palatino Linotype" w:hAnsi="Palatino Linotype"/>
          <w:szCs w:val="24"/>
        </w:rPr>
        <w:t xml:space="preserve"> relatively flat terrain with feasible access including Frontier’s existing infrastructure.  </w:t>
      </w:r>
    </w:p>
    <w:p w:rsidR="0073785D" w:rsidP="0073785D" w:rsidRDefault="0073785D" w14:paraId="0CD36D74" w14:textId="77777777">
      <w:pPr>
        <w:ind w:left="720"/>
        <w:rPr>
          <w:rFonts w:ascii="Palatino Linotype" w:hAnsi="Palatino Linotype"/>
          <w:szCs w:val="24"/>
        </w:rPr>
      </w:pPr>
    </w:p>
    <w:p w:rsidR="004F141E" w:rsidP="004F141E" w:rsidRDefault="004F141E" w14:paraId="4A1D3F51" w14:textId="77777777">
      <w:pPr>
        <w:ind w:left="720"/>
        <w:rPr>
          <w:rFonts w:ascii="Palatino Linotype" w:hAnsi="Palatino Linotype"/>
          <w:szCs w:val="24"/>
        </w:rPr>
      </w:pPr>
      <w:r w:rsidRPr="002D3A76">
        <w:rPr>
          <w:rFonts w:ascii="Palatino Linotype" w:hAnsi="Palatino Linotype"/>
          <w:szCs w:val="24"/>
        </w:rPr>
        <w:t>The proposed project is eligible for</w:t>
      </w:r>
      <w:r>
        <w:rPr>
          <w:rFonts w:ascii="Palatino Linotype" w:hAnsi="Palatino Linotype"/>
          <w:szCs w:val="24"/>
        </w:rPr>
        <w:t xml:space="preserve"> an</w:t>
      </w:r>
      <w:r w:rsidRPr="002D3A76">
        <w:rPr>
          <w:rFonts w:ascii="Palatino Linotype" w:hAnsi="Palatino Linotype"/>
          <w:szCs w:val="24"/>
        </w:rPr>
        <w:t xml:space="preserve"> additional 10 percent funding for its use of existing pole infrastructure and</w:t>
      </w:r>
      <w:r w:rsidRPr="002D3A76">
        <w:rPr>
          <w:rFonts w:ascii="Palatino Linotype" w:hAnsi="Palatino Linotype" w:cs="Palatino Linotype"/>
        </w:rPr>
        <w:t xml:space="preserve"> underground conduit systems for the installation of aerial and underground fiber cable</w:t>
      </w:r>
      <w:r w:rsidRPr="002D3A76">
        <w:rPr>
          <w:rFonts w:ascii="Palatino Linotype" w:hAnsi="Palatino Linotype"/>
          <w:szCs w:val="24"/>
        </w:rPr>
        <w:t xml:space="preserve">.  </w:t>
      </w:r>
      <w:r>
        <w:rPr>
          <w:rFonts w:ascii="Palatino Linotype" w:hAnsi="Palatino Linotype"/>
          <w:szCs w:val="24"/>
        </w:rPr>
        <w:t>Additionally, Del Norte County is part of the Redwood Coast Connect Consortium region in which 90.3 percent of households are served,</w:t>
      </w:r>
      <w:r>
        <w:rPr>
          <w:rStyle w:val="FootnoteReference"/>
          <w:rFonts w:ascii="Palatino Linotype" w:hAnsi="Palatino Linotype"/>
          <w:szCs w:val="24"/>
        </w:rPr>
        <w:footnoteReference w:id="17"/>
      </w:r>
      <w:r>
        <w:rPr>
          <w:rFonts w:ascii="Palatino Linotype" w:hAnsi="Palatino Linotype"/>
          <w:szCs w:val="24"/>
        </w:rPr>
        <w:t xml:space="preserve"> which is below the 98 percent CASF program goal.  Therefore, Staff determined the project will make a significant contribution to the program goal and is eligible for an additional 10 percent funding.  </w:t>
      </w:r>
    </w:p>
    <w:p w:rsidR="003A4CBA" w:rsidP="003A4CBA" w:rsidRDefault="003A4CBA" w14:paraId="182E8CE1" w14:textId="037D3114">
      <w:pPr>
        <w:rPr>
          <w:rFonts w:ascii="Palatino Linotype" w:hAnsi="Palatino Linotype"/>
        </w:rPr>
      </w:pPr>
    </w:p>
    <w:p w:rsidRPr="00D56F16" w:rsidR="00CF06BE" w:rsidP="00D42612" w:rsidRDefault="44E7BABB" w14:paraId="20A36C52" w14:textId="32709673">
      <w:pPr>
        <w:pStyle w:val="Heading2"/>
        <w:numPr>
          <w:ilvl w:val="6"/>
          <w:numId w:val="23"/>
        </w:numPr>
        <w:tabs>
          <w:tab w:val="clear" w:pos="720"/>
        </w:tabs>
        <w:ind w:left="1080" w:hanging="360"/>
        <w:rPr>
          <w:rFonts w:ascii="Palatino Linotype" w:hAnsi="Palatino Linotype"/>
          <w:bCs/>
          <w:szCs w:val="24"/>
          <w:u w:val="single"/>
        </w:rPr>
      </w:pPr>
      <w:bookmarkStart w:name="_Toc503946616" w:id="5"/>
      <w:r w:rsidRPr="00D56F16">
        <w:rPr>
          <w:rFonts w:ascii="Palatino Linotype" w:hAnsi="Palatino Linotype"/>
          <w:bCs/>
          <w:szCs w:val="24"/>
          <w:u w:val="single"/>
        </w:rPr>
        <w:t xml:space="preserve">Safety and Community </w:t>
      </w:r>
      <w:r w:rsidRPr="00D56F16" w:rsidR="00AA1EB8">
        <w:rPr>
          <w:rFonts w:ascii="Palatino Linotype" w:hAnsi="Palatino Linotype"/>
          <w:bCs/>
          <w:szCs w:val="24"/>
          <w:u w:val="single"/>
        </w:rPr>
        <w:t>Support</w:t>
      </w:r>
      <w:bookmarkEnd w:id="5"/>
    </w:p>
    <w:p w:rsidR="007A769B" w:rsidP="00F7696B" w:rsidRDefault="00CF06BE" w14:paraId="07D1AA8D" w14:textId="7DE54806">
      <w:pPr>
        <w:autoSpaceDE w:val="0"/>
        <w:autoSpaceDN w:val="0"/>
        <w:adjustRightInd w:val="0"/>
        <w:rPr>
          <w:rFonts w:ascii="Palatino Linotype" w:hAnsi="Palatino Linotype"/>
          <w:szCs w:val="24"/>
        </w:rPr>
      </w:pPr>
      <w:r w:rsidRPr="005440A3">
        <w:rPr>
          <w:rFonts w:ascii="Palatino Linotype" w:hAnsi="Palatino Linotype"/>
          <w:szCs w:val="24"/>
        </w:rPr>
        <w:t xml:space="preserve">The CASF program encourages the deployment of broadband throughout the State to enable the public to access Internet-based safety applications, telehealth services, emergency services, and to allow first responders to communicate with each other and collaborate during emergencies.  </w:t>
      </w:r>
      <w:r w:rsidRPr="005440A3" w:rsidR="006D70B6">
        <w:rPr>
          <w:rFonts w:ascii="Palatino Linotype" w:hAnsi="Palatino Linotype"/>
          <w:szCs w:val="24"/>
        </w:rPr>
        <w:t>Letters of Support were</w:t>
      </w:r>
      <w:r w:rsidR="00A705F8">
        <w:rPr>
          <w:rFonts w:ascii="Palatino Linotype" w:hAnsi="Palatino Linotype"/>
          <w:szCs w:val="24"/>
        </w:rPr>
        <w:t xml:space="preserve"> received</w:t>
      </w:r>
      <w:r w:rsidRPr="005440A3" w:rsidR="006D70B6">
        <w:rPr>
          <w:rFonts w:ascii="Palatino Linotype" w:hAnsi="Palatino Linotype"/>
          <w:szCs w:val="24"/>
        </w:rPr>
        <w:t xml:space="preserve"> </w:t>
      </w:r>
      <w:r w:rsidRPr="005440A3" w:rsidR="005440A3">
        <w:rPr>
          <w:rFonts w:ascii="Palatino Linotype" w:hAnsi="Palatino Linotype"/>
          <w:szCs w:val="24"/>
        </w:rPr>
        <w:t xml:space="preserve">from the College of the Redwoods </w:t>
      </w:r>
      <w:r w:rsidR="004F2AD5">
        <w:rPr>
          <w:rFonts w:ascii="Palatino Linotype" w:hAnsi="Palatino Linotype"/>
          <w:szCs w:val="24"/>
        </w:rPr>
        <w:t xml:space="preserve">for </w:t>
      </w:r>
      <w:r w:rsidR="00E43DC7">
        <w:rPr>
          <w:rFonts w:ascii="Palatino Linotype" w:hAnsi="Palatino Linotype"/>
          <w:szCs w:val="24"/>
        </w:rPr>
        <w:t xml:space="preserve">both </w:t>
      </w:r>
      <w:r w:rsidR="004F2AD5">
        <w:rPr>
          <w:rFonts w:ascii="Palatino Linotype" w:hAnsi="Palatino Linotype"/>
          <w:szCs w:val="24"/>
        </w:rPr>
        <w:t xml:space="preserve">the Crescent City </w:t>
      </w:r>
      <w:r w:rsidR="00601FA5">
        <w:rPr>
          <w:rFonts w:ascii="Palatino Linotype" w:hAnsi="Palatino Linotype"/>
          <w:szCs w:val="24"/>
        </w:rPr>
        <w:t xml:space="preserve">and Smith River </w:t>
      </w:r>
      <w:r w:rsidR="004F2AD5">
        <w:rPr>
          <w:rFonts w:ascii="Palatino Linotype" w:hAnsi="Palatino Linotype"/>
          <w:szCs w:val="24"/>
        </w:rPr>
        <w:t>Project</w:t>
      </w:r>
      <w:r w:rsidR="00601FA5">
        <w:rPr>
          <w:rFonts w:ascii="Palatino Linotype" w:hAnsi="Palatino Linotype"/>
          <w:szCs w:val="24"/>
        </w:rPr>
        <w:t>s</w:t>
      </w:r>
      <w:r w:rsidR="004F2AD5">
        <w:rPr>
          <w:rFonts w:ascii="Palatino Linotype" w:hAnsi="Palatino Linotype"/>
          <w:szCs w:val="24"/>
        </w:rPr>
        <w:t xml:space="preserve"> </w:t>
      </w:r>
      <w:r w:rsidRPr="005440A3" w:rsidR="005440A3">
        <w:rPr>
          <w:rFonts w:ascii="Palatino Linotype" w:hAnsi="Palatino Linotype"/>
          <w:szCs w:val="24"/>
        </w:rPr>
        <w:t>and Humboldt State University</w:t>
      </w:r>
      <w:r w:rsidR="004F2AD5">
        <w:rPr>
          <w:rFonts w:ascii="Palatino Linotype" w:hAnsi="Palatino Linotype"/>
          <w:szCs w:val="24"/>
        </w:rPr>
        <w:t xml:space="preserve"> for the Smith River Project</w:t>
      </w:r>
      <w:r w:rsidRPr="005440A3" w:rsidR="005440A3">
        <w:rPr>
          <w:rFonts w:ascii="Palatino Linotype" w:hAnsi="Palatino Linotype"/>
          <w:szCs w:val="24"/>
        </w:rPr>
        <w:t>.</w:t>
      </w:r>
      <w:r w:rsidRPr="005440A3" w:rsidR="001E48D2">
        <w:rPr>
          <w:rFonts w:ascii="Palatino Linotype" w:hAnsi="Palatino Linotype"/>
          <w:szCs w:val="24"/>
        </w:rPr>
        <w:t xml:space="preserve">  </w:t>
      </w:r>
    </w:p>
    <w:p w:rsidRPr="005440A3" w:rsidR="008540BB" w:rsidP="00F7696B" w:rsidRDefault="008540BB" w14:paraId="2985FCF0" w14:textId="77777777">
      <w:pPr>
        <w:autoSpaceDE w:val="0"/>
        <w:autoSpaceDN w:val="0"/>
        <w:adjustRightInd w:val="0"/>
        <w:rPr>
          <w:rFonts w:ascii="Palatino Linotype" w:hAnsi="Palatino Linotype"/>
          <w:szCs w:val="24"/>
        </w:rPr>
      </w:pPr>
    </w:p>
    <w:p w:rsidR="008540BB" w:rsidP="008540BB" w:rsidRDefault="008540BB" w14:paraId="4C817478" w14:textId="5A512E79">
      <w:pPr>
        <w:rPr>
          <w:rFonts w:ascii="Palatino Linotype" w:hAnsi="Palatino Linotype"/>
          <w:szCs w:val="24"/>
        </w:rPr>
      </w:pPr>
      <w:r w:rsidRPr="00352E7F">
        <w:rPr>
          <w:rFonts w:ascii="Palatino Linotype" w:hAnsi="Palatino Linotype"/>
          <w:b/>
          <w:bCs/>
          <w:szCs w:val="24"/>
        </w:rPr>
        <w:lastRenderedPageBreak/>
        <w:t>The project</w:t>
      </w:r>
      <w:r w:rsidR="00333567">
        <w:rPr>
          <w:rFonts w:ascii="Palatino Linotype" w:hAnsi="Palatino Linotype"/>
          <w:b/>
          <w:bCs/>
          <w:szCs w:val="24"/>
        </w:rPr>
        <w:t>s</w:t>
      </w:r>
      <w:r w:rsidRPr="00352E7F">
        <w:rPr>
          <w:rFonts w:ascii="Palatino Linotype" w:hAnsi="Palatino Linotype"/>
          <w:b/>
          <w:bCs/>
          <w:szCs w:val="24"/>
        </w:rPr>
        <w:t xml:space="preserve"> </w:t>
      </w:r>
      <w:r w:rsidR="00333567">
        <w:rPr>
          <w:rFonts w:ascii="Palatino Linotype" w:hAnsi="Palatino Linotype"/>
          <w:b/>
          <w:bCs/>
          <w:szCs w:val="24"/>
        </w:rPr>
        <w:t>are</w:t>
      </w:r>
      <w:r w:rsidRPr="00352E7F">
        <w:rPr>
          <w:rFonts w:ascii="Palatino Linotype" w:hAnsi="Palatino Linotype"/>
          <w:b/>
          <w:bCs/>
          <w:szCs w:val="24"/>
        </w:rPr>
        <w:t xml:space="preserve"> supported by the community for its potential to remove barriers </w:t>
      </w:r>
      <w:r>
        <w:rPr>
          <w:rFonts w:ascii="Palatino Linotype" w:hAnsi="Palatino Linotype"/>
          <w:b/>
          <w:bCs/>
          <w:szCs w:val="24"/>
        </w:rPr>
        <w:t>to</w:t>
      </w:r>
      <w:r w:rsidRPr="00352E7F">
        <w:rPr>
          <w:rFonts w:ascii="Palatino Linotype" w:hAnsi="Palatino Linotype"/>
          <w:b/>
          <w:bCs/>
          <w:szCs w:val="24"/>
        </w:rPr>
        <w:t xml:space="preserve"> economic and workforce development, health care, education</w:t>
      </w:r>
      <w:r w:rsidR="00DF4834">
        <w:rPr>
          <w:rFonts w:ascii="Palatino Linotype" w:hAnsi="Palatino Linotype"/>
          <w:b/>
          <w:bCs/>
          <w:szCs w:val="24"/>
        </w:rPr>
        <w:t>,</w:t>
      </w:r>
      <w:r w:rsidRPr="00352E7F">
        <w:rPr>
          <w:rFonts w:ascii="Palatino Linotype" w:hAnsi="Palatino Linotype"/>
          <w:b/>
          <w:bCs/>
          <w:szCs w:val="24"/>
        </w:rPr>
        <w:t xml:space="preserve"> and public safety.</w:t>
      </w:r>
      <w:r w:rsidRPr="00352E7F">
        <w:rPr>
          <w:rFonts w:ascii="Palatino Linotype" w:hAnsi="Palatino Linotype"/>
          <w:szCs w:val="24"/>
        </w:rPr>
        <w:t xml:space="preserve"> </w:t>
      </w:r>
      <w:r>
        <w:rPr>
          <w:rFonts w:ascii="Palatino Linotype" w:hAnsi="Palatino Linotype"/>
          <w:szCs w:val="24"/>
        </w:rPr>
        <w:t xml:space="preserve"> College of the Redwoods</w:t>
      </w:r>
      <w:r w:rsidRPr="00352E7F">
        <w:rPr>
          <w:rFonts w:ascii="Palatino Linotype" w:hAnsi="Palatino Linotype"/>
          <w:szCs w:val="24"/>
        </w:rPr>
        <w:t xml:space="preserve"> supports the </w:t>
      </w:r>
      <w:r w:rsidR="005B57BC">
        <w:rPr>
          <w:rFonts w:ascii="Palatino Linotype" w:hAnsi="Palatino Linotype"/>
          <w:szCs w:val="24"/>
        </w:rPr>
        <w:t>Crescent City P</w:t>
      </w:r>
      <w:r w:rsidRPr="00352E7F">
        <w:rPr>
          <w:rFonts w:ascii="Palatino Linotype" w:hAnsi="Palatino Linotype"/>
          <w:szCs w:val="24"/>
        </w:rPr>
        <w:t xml:space="preserve">roject based on the </w:t>
      </w:r>
      <w:r>
        <w:rPr>
          <w:rFonts w:ascii="Palatino Linotype" w:hAnsi="Palatino Linotype"/>
          <w:szCs w:val="24"/>
        </w:rPr>
        <w:t xml:space="preserve">importance of broadband access to rural communities.  </w:t>
      </w:r>
      <w:r w:rsidR="002C4756">
        <w:rPr>
          <w:rFonts w:ascii="Palatino Linotype" w:hAnsi="Palatino Linotype"/>
          <w:szCs w:val="24"/>
        </w:rPr>
        <w:t>The college</w:t>
      </w:r>
      <w:r>
        <w:rPr>
          <w:rFonts w:ascii="Palatino Linotype" w:hAnsi="Palatino Linotype"/>
          <w:szCs w:val="24"/>
        </w:rPr>
        <w:t xml:space="preserve"> has a campus in Crescent City and has historically advocated for the expansion of broadband deployment and adoption.  Tourism and hospitality are major economic drivers for the area, and both will be served with high speed Internet access.  </w:t>
      </w:r>
    </w:p>
    <w:p w:rsidR="008540BB" w:rsidP="008540BB" w:rsidRDefault="008540BB" w14:paraId="6F547BC8" w14:textId="171DA2EB">
      <w:pPr>
        <w:rPr>
          <w:rFonts w:ascii="Palatino Linotype" w:hAnsi="Palatino Linotype"/>
          <w:szCs w:val="24"/>
        </w:rPr>
      </w:pPr>
    </w:p>
    <w:p w:rsidR="008540BB" w:rsidP="008540BB" w:rsidRDefault="008540BB" w14:paraId="7C0A57B1" w14:textId="017409E1">
      <w:pPr>
        <w:rPr>
          <w:rFonts w:ascii="Palatino Linotype" w:hAnsi="Palatino Linotype"/>
          <w:szCs w:val="24"/>
        </w:rPr>
      </w:pPr>
      <w:r>
        <w:rPr>
          <w:rFonts w:ascii="Palatino Linotype" w:hAnsi="Palatino Linotype"/>
          <w:szCs w:val="24"/>
        </w:rPr>
        <w:t>College of the Redwoods</w:t>
      </w:r>
      <w:r w:rsidRPr="00352E7F">
        <w:rPr>
          <w:rFonts w:ascii="Palatino Linotype" w:hAnsi="Palatino Linotype"/>
          <w:szCs w:val="24"/>
        </w:rPr>
        <w:t xml:space="preserve"> </w:t>
      </w:r>
      <w:r>
        <w:rPr>
          <w:rFonts w:ascii="Palatino Linotype" w:hAnsi="Palatino Linotype"/>
          <w:szCs w:val="24"/>
        </w:rPr>
        <w:t xml:space="preserve">and Humboldt State University support the </w:t>
      </w:r>
      <w:r w:rsidR="005B57BC">
        <w:rPr>
          <w:rFonts w:ascii="Palatino Linotype" w:hAnsi="Palatino Linotype"/>
          <w:szCs w:val="24"/>
        </w:rPr>
        <w:t>Smith River P</w:t>
      </w:r>
      <w:r>
        <w:rPr>
          <w:rFonts w:ascii="Palatino Linotype" w:hAnsi="Palatino Linotype"/>
          <w:szCs w:val="24"/>
        </w:rPr>
        <w:t xml:space="preserve">roject and recognize the importance of broadband to residents and businesses in Smith River.  College of the Redwoods has historically advocated for the expansion of broadband deployment and adoption for rural communities in the region.  The project will provide services to members of the Tolowa Dee-Ni’ Nation and community anchor institutions such as the Smith River Fire Department and Community Services District.  </w:t>
      </w:r>
    </w:p>
    <w:p w:rsidR="0029555B" w:rsidP="00A97866" w:rsidRDefault="0029555B" w14:paraId="54B47930" w14:textId="77777777">
      <w:pPr>
        <w:rPr>
          <w:rFonts w:ascii="Palatino Linotype" w:hAnsi="Palatino Linotype"/>
          <w:szCs w:val="24"/>
          <w:u w:val="single"/>
        </w:rPr>
      </w:pPr>
    </w:p>
    <w:p w:rsidRPr="00352E7F" w:rsidR="00CF06BE" w:rsidP="002453D1" w:rsidRDefault="00AA1EB8" w14:paraId="7155D7D6" w14:textId="47BD3306">
      <w:pPr>
        <w:pStyle w:val="Heading2"/>
      </w:pPr>
      <w:r w:rsidRPr="00D56F16">
        <w:t>V.</w:t>
      </w:r>
      <w:r w:rsidRPr="00D56F16" w:rsidR="00CF06BE">
        <w:t xml:space="preserve"> </w:t>
      </w:r>
      <w:bookmarkStart w:name="_Toc503946618" w:id="6"/>
      <w:r w:rsidRPr="00D56F16" w:rsidR="00CF06BE">
        <w:rPr>
          <w:u w:val="single"/>
        </w:rPr>
        <w:t>Compliance Requirements</w:t>
      </w:r>
      <w:bookmarkEnd w:id="6"/>
    </w:p>
    <w:p w:rsidRPr="00352E7F" w:rsidR="00CF06BE" w:rsidP="00F7696B" w:rsidRDefault="00CF06BE" w14:paraId="6E542763" w14:textId="0C83CF27">
      <w:pPr>
        <w:pStyle w:val="Default"/>
        <w:rPr>
          <w:rFonts w:ascii="Palatino Linotype" w:hAnsi="Palatino Linotype"/>
        </w:rPr>
      </w:pPr>
      <w:r w:rsidRPr="00352E7F">
        <w:rPr>
          <w:rFonts w:ascii="Palatino Linotype" w:hAnsi="Palatino Linotype"/>
        </w:rPr>
        <w:t xml:space="preserve">Frontier is required to comply with all the guidelines, requirements, and conditions associated with the grant of CASF </w:t>
      </w:r>
      <w:r w:rsidRPr="00352E7F" w:rsidR="00852BB5">
        <w:rPr>
          <w:rFonts w:ascii="Palatino Linotype" w:hAnsi="Palatino Linotype"/>
        </w:rPr>
        <w:t xml:space="preserve">Infrastructure </w:t>
      </w:r>
      <w:r w:rsidRPr="00352E7F">
        <w:rPr>
          <w:rFonts w:ascii="Palatino Linotype" w:hAnsi="Palatino Linotype"/>
        </w:rPr>
        <w:t>funds as specified in D.1</w:t>
      </w:r>
      <w:r w:rsidRPr="00352E7F" w:rsidR="0020166B">
        <w:rPr>
          <w:rFonts w:ascii="Palatino Linotype" w:hAnsi="Palatino Linotype"/>
        </w:rPr>
        <w:t xml:space="preserve">8-12-018.  Such compliance includes, but is not limited to, </w:t>
      </w:r>
      <w:r w:rsidR="00287D80">
        <w:rPr>
          <w:rFonts w:ascii="Palatino Linotype" w:hAnsi="Palatino Linotype"/>
        </w:rPr>
        <w:t>the items</w:t>
      </w:r>
      <w:r w:rsidRPr="00352E7F" w:rsidR="00711984">
        <w:rPr>
          <w:rFonts w:ascii="Palatino Linotype" w:hAnsi="Palatino Linotype"/>
        </w:rPr>
        <w:t xml:space="preserve"> </w:t>
      </w:r>
      <w:r w:rsidRPr="00352E7F" w:rsidR="0020166B">
        <w:rPr>
          <w:rFonts w:ascii="Palatino Linotype" w:hAnsi="Palatino Linotype"/>
        </w:rPr>
        <w:t>noted below.</w:t>
      </w:r>
    </w:p>
    <w:p w:rsidRPr="00352E7F" w:rsidR="00CF06BE" w:rsidP="00F7696B" w:rsidRDefault="00CF06BE" w14:paraId="2D77E31F" w14:textId="77777777">
      <w:pPr>
        <w:pStyle w:val="Default"/>
        <w:rPr>
          <w:rFonts w:ascii="Palatino Linotype" w:hAnsi="Palatino Linotype"/>
        </w:rPr>
      </w:pPr>
    </w:p>
    <w:p w:rsidRPr="00352E7F" w:rsidR="00CF06BE" w:rsidP="00F7696B" w:rsidRDefault="00CF06BE" w14:paraId="2165C024" w14:textId="77777777">
      <w:pPr>
        <w:pStyle w:val="Heading2"/>
        <w:numPr>
          <w:ilvl w:val="0"/>
          <w:numId w:val="5"/>
        </w:numPr>
        <w:spacing w:after="0"/>
        <w:ind w:left="720"/>
        <w:rPr>
          <w:rFonts w:ascii="Palatino Linotype" w:hAnsi="Palatino Linotype"/>
          <w:b w:val="0"/>
          <w:szCs w:val="24"/>
          <w:u w:val="single"/>
        </w:rPr>
      </w:pPr>
      <w:bookmarkStart w:name="_Toc503946620" w:id="7"/>
      <w:r w:rsidRPr="00352E7F">
        <w:rPr>
          <w:rFonts w:ascii="Palatino Linotype" w:hAnsi="Palatino Linotype"/>
          <w:b w:val="0"/>
          <w:szCs w:val="24"/>
          <w:u w:val="single"/>
        </w:rPr>
        <w:t>Deployment Schedule</w:t>
      </w:r>
      <w:bookmarkEnd w:id="7"/>
      <w:r w:rsidRPr="00352E7F">
        <w:rPr>
          <w:rFonts w:ascii="Palatino Linotype" w:hAnsi="Palatino Linotype"/>
          <w:b w:val="0"/>
          <w:szCs w:val="24"/>
          <w:u w:val="single"/>
        </w:rPr>
        <w:t xml:space="preserve"> </w:t>
      </w:r>
    </w:p>
    <w:p w:rsidRPr="00352E7F" w:rsidR="00CF06BE" w:rsidP="00F7696B" w:rsidRDefault="00CF06BE" w14:paraId="3C329FDB" w14:textId="061A59B0">
      <w:pPr>
        <w:pStyle w:val="Default"/>
        <w:rPr>
          <w:rFonts w:ascii="Palatino Linotype" w:hAnsi="Palatino Linotype"/>
          <w:color w:val="auto"/>
        </w:rPr>
      </w:pPr>
      <w:r w:rsidRPr="00352E7F">
        <w:rPr>
          <w:rFonts w:ascii="Palatino Linotype" w:hAnsi="Palatino Linotype"/>
          <w:color w:val="auto"/>
        </w:rPr>
        <w:t xml:space="preserve">The Commission expects Frontier to complete the project within </w:t>
      </w:r>
      <w:r w:rsidR="00B10846">
        <w:rPr>
          <w:rFonts w:ascii="Palatino Linotype" w:hAnsi="Palatino Linotype"/>
          <w:color w:val="auto"/>
        </w:rPr>
        <w:t>12</w:t>
      </w:r>
      <w:r w:rsidRPr="00352E7F">
        <w:rPr>
          <w:rFonts w:ascii="Palatino Linotype" w:hAnsi="Palatino Linotype"/>
          <w:color w:val="auto"/>
        </w:rPr>
        <w:t xml:space="preserve"> months from </w:t>
      </w:r>
      <w:r w:rsidR="005526AB">
        <w:rPr>
          <w:rFonts w:ascii="Palatino Linotype" w:hAnsi="Palatino Linotype"/>
          <w:color w:val="auto"/>
        </w:rPr>
        <w:t xml:space="preserve">the </w:t>
      </w:r>
      <w:r w:rsidRPr="00352E7F">
        <w:rPr>
          <w:rFonts w:ascii="Palatino Linotype" w:hAnsi="Palatino Linotype"/>
          <w:color w:val="auto"/>
        </w:rPr>
        <w:t>start date (</w:t>
      </w:r>
      <w:r w:rsidR="009F07BC">
        <w:rPr>
          <w:rFonts w:ascii="Palatino Linotype" w:hAnsi="Palatino Linotype"/>
          <w:color w:val="auto"/>
        </w:rPr>
        <w:t>wher</w:t>
      </w:r>
      <w:r w:rsidR="00470C74">
        <w:rPr>
          <w:rFonts w:ascii="Palatino Linotype" w:hAnsi="Palatino Linotype"/>
          <w:color w:val="auto"/>
        </w:rPr>
        <w:t>e</w:t>
      </w:r>
      <w:r w:rsidR="009F07BC">
        <w:rPr>
          <w:rFonts w:ascii="Palatino Linotype" w:hAnsi="Palatino Linotype"/>
          <w:color w:val="auto"/>
        </w:rPr>
        <w:t xml:space="preserve">by the applicants have secured CEQA approval </w:t>
      </w:r>
      <w:r w:rsidR="00F41F6E">
        <w:rPr>
          <w:rFonts w:ascii="Palatino Linotype" w:hAnsi="Palatino Linotype"/>
          <w:color w:val="auto"/>
        </w:rPr>
        <w:t xml:space="preserve">from the Commission </w:t>
      </w:r>
      <w:r w:rsidR="009F07BC">
        <w:rPr>
          <w:rFonts w:ascii="Palatino Linotype" w:hAnsi="Palatino Linotype"/>
          <w:color w:val="auto"/>
        </w:rPr>
        <w:t xml:space="preserve">and </w:t>
      </w:r>
      <w:r w:rsidR="007C5FA5">
        <w:rPr>
          <w:rFonts w:ascii="Palatino Linotype" w:hAnsi="Palatino Linotype"/>
          <w:color w:val="auto"/>
        </w:rPr>
        <w:t>all required permits</w:t>
      </w:r>
      <w:r w:rsidRPr="00352E7F">
        <w:rPr>
          <w:rFonts w:ascii="Palatino Linotype" w:hAnsi="Palatino Linotype"/>
          <w:color w:val="auto"/>
        </w:rPr>
        <w:t xml:space="preserve">), and the applicant has committed to do so.  If the applicant is unable to complete the proposed project within the </w:t>
      </w:r>
      <w:r w:rsidR="00D24D48">
        <w:rPr>
          <w:rFonts w:ascii="Palatino Linotype" w:hAnsi="Palatino Linotype"/>
          <w:color w:val="auto"/>
        </w:rPr>
        <w:t>12</w:t>
      </w:r>
      <w:r w:rsidRPr="00352E7F">
        <w:rPr>
          <w:rFonts w:ascii="Palatino Linotype" w:hAnsi="Palatino Linotype"/>
          <w:color w:val="auto"/>
        </w:rPr>
        <w:t xml:space="preserve">-month timeframe requirement, </w:t>
      </w:r>
      <w:r w:rsidRPr="00352E7F" w:rsidR="00CE4089">
        <w:rPr>
          <w:rFonts w:ascii="Palatino Linotype" w:hAnsi="Palatino Linotype"/>
          <w:color w:val="auto"/>
        </w:rPr>
        <w:t>Frontier</w:t>
      </w:r>
      <w:r w:rsidRPr="00352E7F">
        <w:rPr>
          <w:rFonts w:ascii="Palatino Linotype" w:hAnsi="Palatino Linotype"/>
          <w:color w:val="auto"/>
        </w:rPr>
        <w:t xml:space="preserve"> must notify the Director of the Communications Division as soon as Frontier becomes aware of this possibility.  If such notice is not provided, the Commission may reduce payment for failure to satisfy this requirement of </w:t>
      </w:r>
      <w:r w:rsidR="00D44CF1">
        <w:rPr>
          <w:rFonts w:ascii="Palatino Linotype" w:hAnsi="Palatino Linotype"/>
          <w:color w:val="auto"/>
        </w:rPr>
        <w:t xml:space="preserve">timely </w:t>
      </w:r>
      <w:r w:rsidR="008924DC">
        <w:rPr>
          <w:rFonts w:ascii="Palatino Linotype" w:hAnsi="Palatino Linotype"/>
          <w:color w:val="auto"/>
        </w:rPr>
        <w:t>notification to</w:t>
      </w:r>
      <w:r w:rsidRPr="00352E7F" w:rsidR="008924DC">
        <w:rPr>
          <w:rFonts w:ascii="Palatino Linotype" w:hAnsi="Palatino Linotype"/>
          <w:color w:val="auto"/>
        </w:rPr>
        <w:t xml:space="preserve"> </w:t>
      </w:r>
      <w:r w:rsidRPr="00352E7F">
        <w:rPr>
          <w:rFonts w:ascii="Palatino Linotype" w:hAnsi="Palatino Linotype"/>
          <w:color w:val="auto"/>
        </w:rPr>
        <w:t>the Director.</w:t>
      </w:r>
    </w:p>
    <w:p w:rsidRPr="00352E7F" w:rsidR="00CF06BE" w:rsidP="00F7696B" w:rsidRDefault="00CF06BE" w14:paraId="7D2B6C99" w14:textId="77777777">
      <w:pPr>
        <w:pStyle w:val="Default"/>
        <w:rPr>
          <w:rFonts w:ascii="Palatino Linotype" w:hAnsi="Palatino Linotype"/>
          <w:color w:val="auto"/>
        </w:rPr>
      </w:pPr>
    </w:p>
    <w:p w:rsidRPr="00352E7F" w:rsidR="00CF06BE" w:rsidP="00F7696B" w:rsidRDefault="00CF06BE" w14:paraId="05F213D6" w14:textId="77777777">
      <w:pPr>
        <w:pStyle w:val="Heading2"/>
        <w:numPr>
          <w:ilvl w:val="0"/>
          <w:numId w:val="5"/>
        </w:numPr>
        <w:spacing w:after="0"/>
        <w:ind w:left="720"/>
        <w:rPr>
          <w:rFonts w:ascii="Palatino Linotype" w:hAnsi="Palatino Linotype"/>
          <w:b w:val="0"/>
          <w:szCs w:val="24"/>
          <w:u w:val="single"/>
        </w:rPr>
      </w:pPr>
      <w:bookmarkStart w:name="_Toc503946621" w:id="8"/>
      <w:r w:rsidRPr="00352E7F">
        <w:rPr>
          <w:rFonts w:ascii="Palatino Linotype" w:hAnsi="Palatino Linotype"/>
          <w:b w:val="0"/>
          <w:szCs w:val="24"/>
          <w:u w:val="single"/>
        </w:rPr>
        <w:t>Execution and Performance</w:t>
      </w:r>
      <w:bookmarkEnd w:id="8"/>
      <w:r w:rsidRPr="00352E7F">
        <w:rPr>
          <w:rFonts w:ascii="Palatino Linotype" w:hAnsi="Palatino Linotype"/>
          <w:b w:val="0"/>
          <w:szCs w:val="24"/>
          <w:u w:val="single"/>
        </w:rPr>
        <w:t xml:space="preserve"> </w:t>
      </w:r>
    </w:p>
    <w:p w:rsidRPr="00352E7F" w:rsidR="00517A7B" w:rsidP="00F7696B" w:rsidRDefault="00342C1F" w14:paraId="66C69CFE" w14:textId="435BC160">
      <w:pPr>
        <w:pStyle w:val="Default"/>
        <w:rPr>
          <w:rFonts w:ascii="Palatino Linotype" w:hAnsi="Palatino Linotype"/>
          <w:color w:val="auto"/>
        </w:rPr>
      </w:pPr>
      <w:r w:rsidRPr="48D6FFE1">
        <w:rPr>
          <w:rFonts w:ascii="Palatino Linotype" w:hAnsi="Palatino Linotype"/>
          <w:color w:val="auto"/>
        </w:rPr>
        <w:t>Staff</w:t>
      </w:r>
      <w:r w:rsidRPr="48D6FFE1" w:rsidR="00BC3EFB">
        <w:rPr>
          <w:rFonts w:ascii="Palatino Linotype" w:hAnsi="Palatino Linotype"/>
          <w:color w:val="auto"/>
        </w:rPr>
        <w:t xml:space="preserve"> and </w:t>
      </w:r>
      <w:r w:rsidRPr="48D6FFE1" w:rsidR="00517A7B">
        <w:rPr>
          <w:rFonts w:ascii="Palatino Linotype" w:hAnsi="Palatino Linotype"/>
          <w:color w:val="auto"/>
        </w:rPr>
        <w:t>Frontier shall determine a project start date after the CASF grant recipient has obtained all approvals</w:t>
      </w:r>
      <w:r w:rsidRPr="48D6FFE1" w:rsidR="00742A9E">
        <w:rPr>
          <w:rFonts w:ascii="Palatino Linotype" w:hAnsi="Palatino Linotype"/>
          <w:color w:val="auto"/>
        </w:rPr>
        <w:t>, including CEQA permits</w:t>
      </w:r>
      <w:r w:rsidRPr="48D6FFE1" w:rsidR="00517A7B">
        <w:rPr>
          <w:rFonts w:ascii="Palatino Linotype" w:hAnsi="Palatino Linotype"/>
          <w:color w:val="auto"/>
        </w:rPr>
        <w:t xml:space="preserve">.  </w:t>
      </w:r>
      <w:r w:rsidRPr="48D6FFE1" w:rsidR="00B76C62">
        <w:rPr>
          <w:rFonts w:ascii="Palatino Linotype" w:hAnsi="Palatino Linotype"/>
          <w:color w:val="auto"/>
        </w:rPr>
        <w:t>S</w:t>
      </w:r>
      <w:r w:rsidRPr="48D6FFE1" w:rsidR="00517A7B">
        <w:rPr>
          <w:rFonts w:ascii="Palatino Linotype" w:hAnsi="Palatino Linotype"/>
          <w:color w:val="auto"/>
        </w:rPr>
        <w:t>hould Frontier or any contractor it retains fail to commence work by the designated date, upon five days written notice</w:t>
      </w:r>
      <w:r w:rsidRPr="48D6FFE1" w:rsidR="00B76C62">
        <w:rPr>
          <w:rFonts w:ascii="Palatino Linotype" w:hAnsi="Palatino Linotype"/>
          <w:color w:val="auto"/>
        </w:rPr>
        <w:t xml:space="preserve"> </w:t>
      </w:r>
      <w:r w:rsidRPr="48D6FFE1" w:rsidR="00427559">
        <w:rPr>
          <w:rFonts w:ascii="Palatino Linotype" w:hAnsi="Palatino Linotype"/>
          <w:color w:val="auto"/>
        </w:rPr>
        <w:t>the Commission may terminate the grant</w:t>
      </w:r>
      <w:r w:rsidRPr="48D6FFE1" w:rsidR="00517A7B">
        <w:rPr>
          <w:rFonts w:ascii="Palatino Linotype" w:hAnsi="Palatino Linotype"/>
          <w:color w:val="auto"/>
        </w:rPr>
        <w:t xml:space="preserve">.  </w:t>
      </w:r>
      <w:proofErr w:type="gramStart"/>
      <w:r w:rsidRPr="48D6FFE1" w:rsidR="00517A7B">
        <w:rPr>
          <w:rFonts w:ascii="Palatino Linotype" w:hAnsi="Palatino Linotype"/>
          <w:color w:val="auto"/>
        </w:rPr>
        <w:t>In the event that</w:t>
      </w:r>
      <w:proofErr w:type="gramEnd"/>
      <w:r w:rsidRPr="48D6FFE1" w:rsidR="00517A7B">
        <w:rPr>
          <w:rFonts w:ascii="Palatino Linotype" w:hAnsi="Palatino Linotype"/>
          <w:color w:val="auto"/>
        </w:rPr>
        <w:t xml:space="preserve"> Frontier fails to complete the project in accordance with the terms of C</w:t>
      </w:r>
      <w:r w:rsidRPr="48D6FFE1" w:rsidR="26EB5FF4">
        <w:rPr>
          <w:rFonts w:ascii="Palatino Linotype" w:hAnsi="Palatino Linotype"/>
          <w:color w:val="auto"/>
        </w:rPr>
        <w:t>ommission</w:t>
      </w:r>
      <w:r w:rsidRPr="48D6FFE1" w:rsidR="00517A7B">
        <w:rPr>
          <w:rFonts w:ascii="Palatino Linotype" w:hAnsi="Palatino Linotype"/>
          <w:color w:val="auto"/>
        </w:rPr>
        <w:t xml:space="preserve"> approval as set forth in this resolution, Frontier shall reimburse some or all of the CASF funds that it has received.  Frontier must complete all construction covered by the grant on or before the grant’s termination date.</w:t>
      </w:r>
    </w:p>
    <w:p w:rsidRPr="00352E7F" w:rsidR="00CF06BE" w:rsidP="00F7696B" w:rsidRDefault="007C1AF2" w14:paraId="4FFA6C16" w14:textId="078EE3DF">
      <w:pPr>
        <w:pStyle w:val="Heading2"/>
        <w:numPr>
          <w:ilvl w:val="0"/>
          <w:numId w:val="5"/>
        </w:numPr>
        <w:spacing w:after="0"/>
        <w:ind w:left="720"/>
        <w:rPr>
          <w:rFonts w:ascii="Palatino Linotype" w:hAnsi="Palatino Linotype"/>
          <w:b w:val="0"/>
          <w:szCs w:val="24"/>
          <w:u w:val="single"/>
        </w:rPr>
      </w:pPr>
      <w:r w:rsidRPr="00352E7F">
        <w:rPr>
          <w:rFonts w:ascii="Palatino Linotype" w:hAnsi="Palatino Linotype"/>
          <w:b w:val="0"/>
          <w:szCs w:val="24"/>
          <w:u w:val="single"/>
        </w:rPr>
        <w:lastRenderedPageBreak/>
        <w:t>Letter of Credit</w:t>
      </w:r>
    </w:p>
    <w:p w:rsidRPr="00352E7F" w:rsidR="00CF06BE" w:rsidP="48D6FFE1" w:rsidRDefault="00970F39" w14:paraId="15E6056F" w14:textId="4EA84EA8">
      <w:pPr>
        <w:rPr>
          <w:rFonts w:ascii="Palatino Linotype" w:hAnsi="Palatino Linotype"/>
          <w:color w:val="000000" w:themeColor="text1"/>
        </w:rPr>
      </w:pPr>
      <w:r w:rsidRPr="48D6FFE1">
        <w:rPr>
          <w:rFonts w:ascii="Palatino Linotype" w:hAnsi="Palatino Linotype"/>
          <w:color w:val="000000" w:themeColor="text1"/>
        </w:rPr>
        <w:t xml:space="preserve">The Commission exempts Certificate of Public Convenience and Necessity (CPCN) holders from providing a letter of credit, on the basis that the company submitted a performance bond to the Commission to maintain its CPCN and that the Commission has other means to enforce compliance.  </w:t>
      </w:r>
      <w:r w:rsidRPr="48D6FFE1" w:rsidR="00CF06BE">
        <w:rPr>
          <w:rFonts w:ascii="Palatino Linotype" w:hAnsi="Palatino Linotype"/>
          <w:color w:val="000000" w:themeColor="text1"/>
        </w:rPr>
        <w:t xml:space="preserve">In its application, Frontier </w:t>
      </w:r>
      <w:r w:rsidRPr="48D6FFE1" w:rsidR="00804A2F">
        <w:rPr>
          <w:rFonts w:ascii="Palatino Linotype" w:hAnsi="Palatino Linotype"/>
          <w:color w:val="000000" w:themeColor="text1"/>
        </w:rPr>
        <w:t xml:space="preserve">provided proof of </w:t>
      </w:r>
      <w:r w:rsidRPr="48D6FFE1">
        <w:rPr>
          <w:rFonts w:ascii="Palatino Linotype" w:hAnsi="Palatino Linotype"/>
          <w:color w:val="000000" w:themeColor="text1"/>
        </w:rPr>
        <w:t xml:space="preserve">CPCN </w:t>
      </w:r>
      <w:r w:rsidRPr="48D6FFE1" w:rsidR="00BA3623">
        <w:rPr>
          <w:rFonts w:ascii="Palatino Linotype" w:hAnsi="Palatino Linotype"/>
          <w:color w:val="000000" w:themeColor="text1"/>
        </w:rPr>
        <w:t>registratio</w:t>
      </w:r>
      <w:r w:rsidRPr="48D6FFE1" w:rsidR="00602A17">
        <w:rPr>
          <w:rFonts w:ascii="Palatino Linotype" w:hAnsi="Palatino Linotype"/>
          <w:color w:val="000000" w:themeColor="text1"/>
        </w:rPr>
        <w:t xml:space="preserve">n </w:t>
      </w:r>
      <w:r w:rsidRPr="48D6FFE1" w:rsidR="00160901">
        <w:rPr>
          <w:rFonts w:ascii="Palatino Linotype" w:hAnsi="Palatino Linotype"/>
          <w:color w:val="000000" w:themeColor="text1"/>
        </w:rPr>
        <w:t xml:space="preserve">and </w:t>
      </w:r>
      <w:r w:rsidRPr="48D6FFE1" w:rsidR="00011610">
        <w:rPr>
          <w:rFonts w:ascii="Palatino Linotype" w:hAnsi="Palatino Linotype"/>
          <w:color w:val="000000" w:themeColor="text1"/>
        </w:rPr>
        <w:t>thus</w:t>
      </w:r>
      <w:r w:rsidRPr="48D6FFE1" w:rsidR="005526AB">
        <w:rPr>
          <w:rFonts w:ascii="Palatino Linotype" w:hAnsi="Palatino Linotype"/>
          <w:color w:val="000000" w:themeColor="text1"/>
        </w:rPr>
        <w:t xml:space="preserve"> is</w:t>
      </w:r>
      <w:r w:rsidRPr="48D6FFE1" w:rsidR="00160901">
        <w:rPr>
          <w:rFonts w:ascii="Palatino Linotype" w:hAnsi="Palatino Linotype"/>
          <w:color w:val="000000" w:themeColor="text1"/>
        </w:rPr>
        <w:t xml:space="preserve"> </w:t>
      </w:r>
      <w:r w:rsidRPr="48D6FFE1" w:rsidR="00602A17">
        <w:rPr>
          <w:rFonts w:ascii="Palatino Linotype" w:hAnsi="Palatino Linotype"/>
          <w:color w:val="000000" w:themeColor="text1"/>
        </w:rPr>
        <w:t xml:space="preserve">exempt from </w:t>
      </w:r>
      <w:r w:rsidRPr="48D6FFE1" w:rsidR="005526AB">
        <w:rPr>
          <w:rFonts w:ascii="Palatino Linotype" w:hAnsi="Palatino Linotype"/>
          <w:color w:val="000000" w:themeColor="text1"/>
        </w:rPr>
        <w:t xml:space="preserve">the requirement of </w:t>
      </w:r>
      <w:r w:rsidRPr="48D6FFE1" w:rsidR="00602A17">
        <w:rPr>
          <w:rFonts w:ascii="Palatino Linotype" w:hAnsi="Palatino Linotype"/>
          <w:color w:val="000000" w:themeColor="text1"/>
        </w:rPr>
        <w:t xml:space="preserve">providing a </w:t>
      </w:r>
      <w:r w:rsidRPr="48D6FFE1">
        <w:rPr>
          <w:rFonts w:ascii="Palatino Linotype" w:hAnsi="Palatino Linotype"/>
          <w:color w:val="000000" w:themeColor="text1"/>
        </w:rPr>
        <w:t>letter of credit</w:t>
      </w:r>
      <w:r w:rsidRPr="48D6FFE1" w:rsidR="00160901">
        <w:rPr>
          <w:rFonts w:ascii="Palatino Linotype" w:hAnsi="Palatino Linotype"/>
          <w:color w:val="000000" w:themeColor="text1"/>
        </w:rPr>
        <w:t>.</w:t>
      </w:r>
      <w:r w:rsidRPr="48D6FFE1" w:rsidR="00CF06BE">
        <w:rPr>
          <w:rFonts w:ascii="Palatino Linotype" w:hAnsi="Palatino Linotype"/>
          <w:color w:val="000000" w:themeColor="text1"/>
        </w:rPr>
        <w:t xml:space="preserve"> </w:t>
      </w:r>
    </w:p>
    <w:p w:rsidRPr="00352E7F" w:rsidR="00CF06BE" w:rsidP="00F7696B" w:rsidRDefault="00CF06BE" w14:paraId="346B37BC" w14:textId="77777777">
      <w:pPr>
        <w:rPr>
          <w:rFonts w:ascii="Palatino Linotype" w:hAnsi="Palatino Linotype"/>
          <w:color w:val="000000" w:themeColor="text1"/>
          <w:szCs w:val="24"/>
        </w:rPr>
      </w:pPr>
    </w:p>
    <w:p w:rsidRPr="00352E7F" w:rsidR="00CF06BE" w:rsidP="00F7696B" w:rsidRDefault="00CF06BE" w14:paraId="6BAA7DA5" w14:textId="77777777">
      <w:pPr>
        <w:pStyle w:val="Heading2"/>
        <w:numPr>
          <w:ilvl w:val="0"/>
          <w:numId w:val="5"/>
        </w:numPr>
        <w:spacing w:after="0"/>
        <w:ind w:left="720"/>
        <w:rPr>
          <w:rFonts w:ascii="Palatino Linotype" w:hAnsi="Palatino Linotype"/>
          <w:b w:val="0"/>
          <w:szCs w:val="24"/>
          <w:u w:val="single"/>
        </w:rPr>
      </w:pPr>
      <w:bookmarkStart w:name="_Toc503946624" w:id="9"/>
      <w:r w:rsidRPr="00352E7F">
        <w:rPr>
          <w:rFonts w:ascii="Palatino Linotype" w:hAnsi="Palatino Linotype"/>
          <w:b w:val="0"/>
          <w:szCs w:val="24"/>
          <w:u w:val="single"/>
        </w:rPr>
        <w:t>Project Audit</w:t>
      </w:r>
      <w:bookmarkEnd w:id="9"/>
      <w:r w:rsidRPr="00352E7F">
        <w:rPr>
          <w:rFonts w:ascii="Palatino Linotype" w:hAnsi="Palatino Linotype"/>
          <w:b w:val="0"/>
          <w:szCs w:val="24"/>
          <w:u w:val="single"/>
        </w:rPr>
        <w:t xml:space="preserve"> </w:t>
      </w:r>
    </w:p>
    <w:p w:rsidRPr="00352E7F" w:rsidR="00CF06BE" w:rsidP="00F7696B" w:rsidRDefault="00CF06BE" w14:paraId="370A47EB" w14:textId="77777777">
      <w:pPr>
        <w:pStyle w:val="Default"/>
        <w:rPr>
          <w:rFonts w:ascii="Palatino Linotype" w:hAnsi="Palatino Linotype"/>
          <w:color w:val="auto"/>
        </w:rPr>
      </w:pPr>
      <w:r w:rsidRPr="00352E7F">
        <w:rPr>
          <w:rFonts w:ascii="Palatino Linotype" w:hAnsi="Palatino Linotype"/>
          <w:color w:val="auto"/>
        </w:rPr>
        <w:t xml:space="preserve">The Commission has the right to conduct any necessary audit, verification, and discovery during project implementation/construction to ensure that CASF funds are spent in accordance with Commission approval.  </w:t>
      </w:r>
    </w:p>
    <w:p w:rsidRPr="00352E7F" w:rsidR="00CF06BE" w:rsidP="00F7696B" w:rsidRDefault="00CF06BE" w14:paraId="2075E188" w14:textId="77777777">
      <w:pPr>
        <w:pStyle w:val="Default"/>
        <w:rPr>
          <w:rFonts w:ascii="Palatino Linotype" w:hAnsi="Palatino Linotype"/>
          <w:color w:val="auto"/>
        </w:rPr>
      </w:pPr>
    </w:p>
    <w:p w:rsidRPr="00352E7F" w:rsidR="00CF06BE" w:rsidP="00F7696B" w:rsidRDefault="00CF06BE" w14:paraId="6559EC1B" w14:textId="77777777">
      <w:pPr>
        <w:pStyle w:val="Default"/>
        <w:rPr>
          <w:rFonts w:ascii="Palatino Linotype" w:hAnsi="Palatino Linotype"/>
          <w:color w:val="auto"/>
        </w:rPr>
      </w:pPr>
      <w:r w:rsidRPr="00352E7F">
        <w:rPr>
          <w:rFonts w:ascii="Palatino Linotype" w:hAnsi="Palatino Linotype"/>
          <w:color w:val="auto"/>
        </w:rPr>
        <w:t>Frontier’s invoices will be subject to a financial audit by the Commission at any time within three years of completion of the work.</w:t>
      </w:r>
    </w:p>
    <w:p w:rsidRPr="00352E7F" w:rsidR="00CF06BE" w:rsidP="00F7696B" w:rsidRDefault="00CF06BE" w14:paraId="45C3AF82" w14:textId="77777777">
      <w:pPr>
        <w:pStyle w:val="Default"/>
        <w:rPr>
          <w:rFonts w:ascii="Palatino Linotype" w:hAnsi="Palatino Linotype"/>
          <w:color w:val="auto"/>
        </w:rPr>
      </w:pPr>
    </w:p>
    <w:p w:rsidRPr="00352E7F" w:rsidR="00CF06BE" w:rsidP="00F7696B" w:rsidRDefault="00CF06BE" w14:paraId="7F30F70C" w14:textId="77777777">
      <w:pPr>
        <w:pStyle w:val="Heading2"/>
        <w:numPr>
          <w:ilvl w:val="0"/>
          <w:numId w:val="5"/>
        </w:numPr>
        <w:spacing w:after="0"/>
        <w:ind w:left="720"/>
        <w:rPr>
          <w:rFonts w:ascii="Palatino Linotype" w:hAnsi="Palatino Linotype"/>
          <w:b w:val="0"/>
          <w:szCs w:val="24"/>
          <w:u w:val="single"/>
        </w:rPr>
      </w:pPr>
      <w:bookmarkStart w:name="_Toc503946625" w:id="10"/>
      <w:r w:rsidRPr="00352E7F">
        <w:rPr>
          <w:rFonts w:ascii="Palatino Linotype" w:hAnsi="Palatino Linotype"/>
          <w:b w:val="0"/>
          <w:szCs w:val="24"/>
          <w:u w:val="single"/>
        </w:rPr>
        <w:t>Providing Voice Service</w:t>
      </w:r>
      <w:bookmarkEnd w:id="10"/>
      <w:r w:rsidRPr="00352E7F">
        <w:rPr>
          <w:rFonts w:ascii="Palatino Linotype" w:hAnsi="Palatino Linotype"/>
          <w:b w:val="0"/>
          <w:szCs w:val="24"/>
          <w:u w:val="single"/>
        </w:rPr>
        <w:t xml:space="preserve"> </w:t>
      </w:r>
    </w:p>
    <w:p w:rsidRPr="00352E7F" w:rsidR="00CF06BE" w:rsidP="48D6FFE1" w:rsidRDefault="00CF06BE" w14:paraId="6F410980" w14:textId="3D42B312">
      <w:pPr>
        <w:rPr>
          <w:rFonts w:ascii="Palatino Linotype" w:hAnsi="Palatino Linotype"/>
        </w:rPr>
      </w:pPr>
      <w:r w:rsidRPr="48D6FFE1">
        <w:rPr>
          <w:rFonts w:ascii="Palatino Linotype" w:hAnsi="Palatino Linotype"/>
        </w:rPr>
        <w:t xml:space="preserve">Frontier has certified that its basic analog telephone service </w:t>
      </w:r>
      <w:r w:rsidRPr="48D6FFE1" w:rsidR="00761CCD">
        <w:rPr>
          <w:rFonts w:ascii="Palatino Linotype" w:hAnsi="Palatino Linotype"/>
        </w:rPr>
        <w:t xml:space="preserve">(POTS) </w:t>
      </w:r>
      <w:r w:rsidRPr="48D6FFE1">
        <w:rPr>
          <w:rFonts w:ascii="Palatino Linotype" w:hAnsi="Palatino Linotype"/>
        </w:rPr>
        <w:t>meets the FCC standards for E-911 service and battery backup.</w:t>
      </w:r>
    </w:p>
    <w:p w:rsidRPr="00352E7F" w:rsidR="00CF06BE" w:rsidP="00F7696B" w:rsidRDefault="00CF06BE" w14:paraId="2D16743A" w14:textId="77777777">
      <w:pPr>
        <w:rPr>
          <w:rFonts w:ascii="Palatino Linotype" w:hAnsi="Palatino Linotype"/>
          <w:szCs w:val="24"/>
        </w:rPr>
      </w:pPr>
    </w:p>
    <w:p w:rsidRPr="00352E7F" w:rsidR="00CF06BE" w:rsidP="00F7696B" w:rsidRDefault="00CF06BE" w14:paraId="5175B14E" w14:textId="77777777">
      <w:pPr>
        <w:pStyle w:val="Heading2"/>
        <w:numPr>
          <w:ilvl w:val="0"/>
          <w:numId w:val="5"/>
        </w:numPr>
        <w:spacing w:after="0"/>
        <w:ind w:left="720"/>
        <w:rPr>
          <w:rFonts w:ascii="Palatino Linotype" w:hAnsi="Palatino Linotype"/>
          <w:b w:val="0"/>
          <w:szCs w:val="24"/>
          <w:u w:val="single"/>
        </w:rPr>
      </w:pPr>
      <w:bookmarkStart w:name="_Toc503946626" w:id="11"/>
      <w:r w:rsidRPr="00352E7F">
        <w:rPr>
          <w:rFonts w:ascii="Palatino Linotype" w:hAnsi="Palatino Linotype"/>
          <w:b w:val="0"/>
          <w:szCs w:val="24"/>
          <w:u w:val="single"/>
        </w:rPr>
        <w:t>Reporting</w:t>
      </w:r>
      <w:bookmarkEnd w:id="11"/>
      <w:r w:rsidRPr="00352E7F">
        <w:rPr>
          <w:rFonts w:ascii="Palatino Linotype" w:hAnsi="Palatino Linotype"/>
          <w:b w:val="0"/>
          <w:szCs w:val="24"/>
          <w:u w:val="single"/>
        </w:rPr>
        <w:t xml:space="preserve"> </w:t>
      </w:r>
    </w:p>
    <w:p w:rsidR="00A05D8C" w:rsidP="00A05D8C" w:rsidRDefault="00A05D8C" w14:paraId="263F5108" w14:textId="77777777">
      <w:pPr>
        <w:pStyle w:val="Default"/>
        <w:rPr>
          <w:rFonts w:ascii="Palatino Linotype" w:hAnsi="Palatino Linotype" w:cs="Palatino Linotype"/>
          <w:color w:val="auto"/>
        </w:rPr>
      </w:pPr>
      <w:r w:rsidRPr="6D9A8A5F">
        <w:rPr>
          <w:rFonts w:ascii="Palatino Linotype" w:hAnsi="Palatino Linotype" w:cs="Palatino Linotype"/>
          <w:color w:val="auto"/>
        </w:rPr>
        <w:t>All grantees must submit biannual progress reports on the status of the project, irrespective of whether grantees request reimbursement or payment.  These reports are due semi-annually, in March and September, until the project is completely built and operational.  Progress reports shall use the schedule for deployment, major construction milestones and costs submitted in the proposal; indicate the actual date of completion of each task/milestone as well as problems and issues encountered, and the actions taken to resolve these problems and issues during project implementation and construction; and identify future risks to the project.</w:t>
      </w:r>
    </w:p>
    <w:p w:rsidRPr="008D0CC0" w:rsidR="00A05D8C" w:rsidP="008D0CC0" w:rsidRDefault="00A05D8C" w14:paraId="66145BD9" w14:textId="77777777">
      <w:pPr>
        <w:autoSpaceDE w:val="0"/>
        <w:autoSpaceDN w:val="0"/>
        <w:adjustRightInd w:val="0"/>
        <w:rPr>
          <w:rFonts w:ascii="Palatino Linotype" w:hAnsi="Palatino Linotype" w:cs="Palatino Linotype"/>
          <w:szCs w:val="24"/>
        </w:rPr>
      </w:pPr>
    </w:p>
    <w:p w:rsidRPr="00352E7F" w:rsidR="00212B2D" w:rsidP="008D0CC0" w:rsidRDefault="00212B2D" w14:paraId="6F1ACE1A" w14:textId="4A2B4B8D">
      <w:pPr>
        <w:pStyle w:val="Default"/>
        <w:rPr>
          <w:rFonts w:ascii="Palatino Linotype" w:hAnsi="Palatino Linotype"/>
          <w:color w:val="auto"/>
        </w:rPr>
      </w:pPr>
      <w:r w:rsidRPr="00352E7F">
        <w:rPr>
          <w:rFonts w:ascii="Palatino Linotype" w:hAnsi="Palatino Linotype"/>
          <w:color w:val="auto"/>
        </w:rPr>
        <w:t>Before full payment of the project</w:t>
      </w:r>
      <w:r w:rsidR="00D7077A">
        <w:rPr>
          <w:rFonts w:ascii="Palatino Linotype" w:hAnsi="Palatino Linotype"/>
          <w:color w:val="auto"/>
        </w:rPr>
        <w:t xml:space="preserve"> is made</w:t>
      </w:r>
      <w:r w:rsidRPr="00352E7F">
        <w:rPr>
          <w:rFonts w:ascii="Palatino Linotype" w:hAnsi="Palatino Linotype"/>
          <w:color w:val="auto"/>
        </w:rPr>
        <w:t xml:space="preserve">, Frontier must submit a project completion report.  </w:t>
      </w:r>
      <w:r w:rsidR="008D0CC0">
        <w:rPr>
          <w:rFonts w:ascii="Palatino Linotype" w:hAnsi="Palatino Linotype"/>
          <w:color w:val="auto"/>
        </w:rPr>
        <w:t>Frontier</w:t>
      </w:r>
      <w:r w:rsidRPr="00352E7F">
        <w:rPr>
          <w:rFonts w:ascii="Palatino Linotype" w:hAnsi="Palatino Linotype"/>
          <w:color w:val="auto"/>
        </w:rPr>
        <w:t xml:space="preserve"> shall also include test results on the download and upload speeds </w:t>
      </w:r>
      <w:r w:rsidR="00573242">
        <w:rPr>
          <w:rFonts w:ascii="Palatino Linotype" w:hAnsi="Palatino Linotype"/>
          <w:color w:val="auto"/>
        </w:rPr>
        <w:t>by</w:t>
      </w:r>
      <w:r w:rsidRPr="00352E7F">
        <w:rPr>
          <w:rFonts w:ascii="Palatino Linotype" w:hAnsi="Palatino Linotype"/>
          <w:color w:val="auto"/>
        </w:rPr>
        <w:t xml:space="preserve"> census block in the final completion report.  Frontier must certify that each progress report is true and correct under penalty of perjury. </w:t>
      </w:r>
    </w:p>
    <w:p w:rsidRPr="00352E7F" w:rsidR="00CF06BE" w:rsidP="00F7696B" w:rsidRDefault="00CF06BE" w14:paraId="3F7AE75D" w14:textId="77777777">
      <w:pPr>
        <w:pStyle w:val="Default"/>
        <w:rPr>
          <w:rFonts w:ascii="Palatino Linotype" w:hAnsi="Palatino Linotype"/>
          <w:color w:val="auto"/>
        </w:rPr>
      </w:pPr>
    </w:p>
    <w:p w:rsidRPr="00352E7F" w:rsidR="00CF06BE" w:rsidP="00F7696B" w:rsidRDefault="00CF06BE" w14:paraId="690AAEA1" w14:textId="77777777">
      <w:pPr>
        <w:pStyle w:val="Heading2"/>
        <w:numPr>
          <w:ilvl w:val="0"/>
          <w:numId w:val="5"/>
        </w:numPr>
        <w:spacing w:after="0"/>
        <w:ind w:left="720"/>
        <w:rPr>
          <w:rFonts w:ascii="Palatino Linotype" w:hAnsi="Palatino Linotype"/>
          <w:b w:val="0"/>
          <w:szCs w:val="24"/>
          <w:u w:val="single"/>
        </w:rPr>
      </w:pPr>
      <w:bookmarkStart w:name="_Toc503946627" w:id="12"/>
      <w:r w:rsidRPr="00352E7F">
        <w:rPr>
          <w:rFonts w:ascii="Palatino Linotype" w:hAnsi="Palatino Linotype"/>
          <w:b w:val="0"/>
          <w:szCs w:val="24"/>
          <w:u w:val="single"/>
        </w:rPr>
        <w:t>Submission of Form 477</w:t>
      </w:r>
      <w:bookmarkEnd w:id="12"/>
      <w:r w:rsidRPr="00352E7F">
        <w:rPr>
          <w:rFonts w:ascii="Palatino Linotype" w:hAnsi="Palatino Linotype"/>
          <w:b w:val="0"/>
          <w:szCs w:val="24"/>
          <w:u w:val="single"/>
        </w:rPr>
        <w:t xml:space="preserve"> </w:t>
      </w:r>
    </w:p>
    <w:p w:rsidR="00CF06BE" w:rsidP="00F7696B" w:rsidRDefault="00CF06BE" w14:paraId="23F5673F" w14:textId="397C8161">
      <w:pPr>
        <w:pStyle w:val="Default"/>
        <w:rPr>
          <w:rFonts w:ascii="Palatino Linotype" w:hAnsi="Palatino Linotype"/>
          <w:u w:val="single"/>
        </w:rPr>
      </w:pPr>
      <w:r w:rsidRPr="00352E7F">
        <w:rPr>
          <w:rFonts w:ascii="Palatino Linotype" w:hAnsi="Palatino Linotype"/>
          <w:color w:val="auto"/>
        </w:rPr>
        <w:t xml:space="preserve">The FCC currently requires broadband providers to biannually submit Form 477, which includes speed data.  While there is an imperfect match between the data that is reported in the Form 477 and </w:t>
      </w:r>
      <w:r w:rsidRPr="48D6FFE1" w:rsidR="00971405">
        <w:rPr>
          <w:rFonts w:ascii="Palatino Linotype" w:hAnsi="Palatino Linotype"/>
          <w:color w:val="auto"/>
        </w:rPr>
        <w:t xml:space="preserve">data relevant </w:t>
      </w:r>
      <w:r w:rsidRPr="00352E7F">
        <w:rPr>
          <w:rFonts w:ascii="Palatino Linotype" w:hAnsi="Palatino Linotype"/>
          <w:color w:val="auto"/>
        </w:rPr>
        <w:t>to the CASF</w:t>
      </w:r>
      <w:r w:rsidRPr="48D6FFE1" w:rsidR="00971405">
        <w:rPr>
          <w:rFonts w:ascii="Palatino Linotype" w:hAnsi="Palatino Linotype"/>
          <w:color w:val="auto"/>
        </w:rPr>
        <w:t xml:space="preserve"> program</w:t>
      </w:r>
      <w:r w:rsidRPr="00352E7F">
        <w:rPr>
          <w:rFonts w:ascii="Palatino Linotype" w:hAnsi="Palatino Linotype"/>
          <w:color w:val="auto"/>
        </w:rPr>
        <w:t xml:space="preserve">, the Form 477 data </w:t>
      </w:r>
      <w:r w:rsidRPr="00352E7F">
        <w:rPr>
          <w:rFonts w:ascii="Palatino Linotype" w:hAnsi="Palatino Linotype"/>
          <w:color w:val="auto"/>
        </w:rPr>
        <w:lastRenderedPageBreak/>
        <w:t xml:space="preserve">will be useful in documenting CASF deployment for the service provider’s new service.  Pursuant </w:t>
      </w:r>
      <w:r w:rsidRPr="00352E7F" w:rsidR="390A4CB8">
        <w:rPr>
          <w:rFonts w:ascii="Palatino Linotype" w:hAnsi="Palatino Linotype"/>
          <w:color w:val="auto"/>
        </w:rPr>
        <w:t>CASF rules</w:t>
      </w:r>
      <w:r w:rsidRPr="00352E7F">
        <w:rPr>
          <w:rFonts w:ascii="Palatino Linotype" w:hAnsi="Palatino Linotype"/>
          <w:color w:val="auto"/>
        </w:rPr>
        <w:t>, service providers in California must submit a copy of their Form 477 data directly to the C</w:t>
      </w:r>
      <w:r w:rsidR="004D767C">
        <w:rPr>
          <w:rFonts w:ascii="Palatino Linotype" w:hAnsi="Palatino Linotype"/>
          <w:color w:val="auto"/>
        </w:rPr>
        <w:t>ommission</w:t>
      </w:r>
      <w:r w:rsidRPr="00352E7F">
        <w:rPr>
          <w:rFonts w:ascii="Palatino Linotype" w:hAnsi="Palatino Linotype"/>
          <w:color w:val="auto"/>
        </w:rPr>
        <w:t>, concurrent with their submission of the same data to the FCC</w:t>
      </w:r>
      <w:r w:rsidR="009B67ED">
        <w:rPr>
          <w:rFonts w:ascii="Palatino Linotype" w:hAnsi="Palatino Linotype"/>
          <w:color w:val="auto"/>
        </w:rPr>
        <w:t>,</w:t>
      </w:r>
      <w:r w:rsidRPr="00352E7F">
        <w:rPr>
          <w:rFonts w:ascii="Palatino Linotype" w:hAnsi="Palatino Linotype"/>
          <w:color w:val="auto"/>
        </w:rPr>
        <w:t xml:space="preserve"> for a five-year period after completion of the project.</w:t>
      </w:r>
      <w:r w:rsidRPr="00352E7F">
        <w:rPr>
          <w:rStyle w:val="FootnoteReference"/>
          <w:rFonts w:ascii="Palatino Linotype" w:hAnsi="Palatino Linotype"/>
          <w:color w:val="auto"/>
        </w:rPr>
        <w:footnoteReference w:id="18"/>
      </w:r>
      <w:r w:rsidRPr="00352E7F">
        <w:rPr>
          <w:rFonts w:ascii="Palatino Linotype" w:hAnsi="Palatino Linotype"/>
          <w:color w:val="auto"/>
        </w:rPr>
        <w:br/>
      </w:r>
    </w:p>
    <w:p w:rsidRPr="00352E7F" w:rsidR="00CF06BE" w:rsidP="00F7696B" w:rsidRDefault="00CF06BE" w14:paraId="1886B282" w14:textId="77777777">
      <w:pPr>
        <w:pStyle w:val="Default"/>
        <w:numPr>
          <w:ilvl w:val="0"/>
          <w:numId w:val="5"/>
        </w:numPr>
        <w:ind w:left="0" w:firstLine="360"/>
        <w:rPr>
          <w:rFonts w:ascii="Palatino Linotype" w:hAnsi="Palatino Linotype"/>
          <w:color w:val="auto"/>
        </w:rPr>
      </w:pPr>
      <w:bookmarkStart w:name="_Hlk16674105" w:id="13"/>
      <w:r w:rsidRPr="00352E7F">
        <w:rPr>
          <w:rFonts w:ascii="Palatino Linotype" w:hAnsi="Palatino Linotype"/>
          <w:color w:val="auto"/>
          <w:u w:val="single"/>
        </w:rPr>
        <w:t>Prevailing Wage</w:t>
      </w:r>
    </w:p>
    <w:p w:rsidRPr="00352E7F" w:rsidR="00CF06BE" w:rsidP="00F7696B" w:rsidRDefault="00CF06BE" w14:paraId="3DB5C49D" w14:textId="77777777">
      <w:pPr>
        <w:pStyle w:val="Default"/>
        <w:rPr>
          <w:rFonts w:ascii="Palatino Linotype" w:hAnsi="Palatino Linotype"/>
        </w:rPr>
      </w:pPr>
      <w:r w:rsidRPr="00352E7F">
        <w:rPr>
          <w:rFonts w:ascii="Palatino Linotype" w:hAnsi="Palatino Linotype"/>
        </w:rPr>
        <w:t xml:space="preserve">Section 1720 of the California Labor Code specifies that CASF-subsidized projects are subject to prevailing wage requirements.  Frontier has committed to follow state prevailing wage requirements with regards to this project. </w:t>
      </w:r>
    </w:p>
    <w:bookmarkEnd w:id="13"/>
    <w:p w:rsidR="0029555B" w:rsidP="00F7696B" w:rsidRDefault="0029555B" w14:paraId="7EEEEB36" w14:textId="77777777">
      <w:pPr>
        <w:pStyle w:val="BodyText"/>
        <w:tabs>
          <w:tab w:val="left" w:pos="1170"/>
        </w:tabs>
        <w:spacing w:after="0"/>
        <w:rPr>
          <w:rFonts w:ascii="Palatino Linotype" w:hAnsi="Palatino Linotype"/>
          <w:szCs w:val="24"/>
        </w:rPr>
      </w:pPr>
    </w:p>
    <w:p w:rsidRPr="001111AA" w:rsidR="009D69FB" w:rsidP="001171AF" w:rsidRDefault="009D69FB" w14:paraId="6D874183" w14:textId="3CAA0E9C">
      <w:pPr>
        <w:pStyle w:val="Heading1"/>
        <w:numPr>
          <w:ilvl w:val="0"/>
          <w:numId w:val="28"/>
        </w:numPr>
        <w:tabs>
          <w:tab w:val="left" w:pos="990"/>
        </w:tabs>
        <w:spacing w:after="120"/>
        <w:rPr>
          <w:rFonts w:ascii="Palatino Linotype" w:hAnsi="Palatino Linotype"/>
          <w:szCs w:val="24"/>
        </w:rPr>
      </w:pPr>
      <w:bookmarkStart w:name="_Toc503946629" w:id="14"/>
      <w:r w:rsidRPr="00367096">
        <w:rPr>
          <w:rFonts w:ascii="Palatino Linotype" w:hAnsi="Palatino Linotype"/>
          <w:szCs w:val="24"/>
        </w:rPr>
        <w:t>Payments to CASF Recipients</w:t>
      </w:r>
    </w:p>
    <w:p w:rsidR="009D69FB" w:rsidP="48D6FFE1" w:rsidRDefault="003B65B8" w14:paraId="380605A5" w14:textId="6419916C">
      <w:pPr>
        <w:autoSpaceDE w:val="0"/>
        <w:autoSpaceDN w:val="0"/>
        <w:adjustRightInd w:val="0"/>
        <w:rPr>
          <w:rFonts w:ascii="Palatino Linotype" w:hAnsi="Palatino Linotype"/>
          <w:color w:val="000000"/>
        </w:rPr>
      </w:pPr>
      <w:r w:rsidRPr="48D6FFE1">
        <w:rPr>
          <w:rFonts w:ascii="Palatino Linotype" w:hAnsi="Palatino Linotype" w:cs="Palatino Linotype"/>
          <w:color w:val="000000" w:themeColor="text1"/>
        </w:rPr>
        <w:t>T</w:t>
      </w:r>
      <w:r w:rsidRPr="48D6FFE1">
        <w:rPr>
          <w:rFonts w:ascii="Palatino Linotype" w:hAnsi="Palatino Linotype"/>
          <w:color w:val="000000" w:themeColor="text1"/>
        </w:rPr>
        <w:t xml:space="preserve">he Commission may reimburse </w:t>
      </w:r>
      <w:r w:rsidRPr="48D6FFE1" w:rsidR="003607B9">
        <w:rPr>
          <w:rFonts w:ascii="Palatino Linotype" w:hAnsi="Palatino Linotype"/>
          <w:color w:val="000000" w:themeColor="text1"/>
        </w:rPr>
        <w:t>Frontier’s expense</w:t>
      </w:r>
      <w:r w:rsidRPr="48D6FFE1" w:rsidR="244B5B5D">
        <w:rPr>
          <w:rFonts w:ascii="Palatino Linotype" w:hAnsi="Palatino Linotype"/>
          <w:color w:val="000000" w:themeColor="text1"/>
        </w:rPr>
        <w:t>s</w:t>
      </w:r>
      <w:r w:rsidRPr="48D6FFE1" w:rsidR="003607B9">
        <w:rPr>
          <w:rFonts w:ascii="Palatino Linotype" w:hAnsi="Palatino Linotype"/>
          <w:color w:val="000000" w:themeColor="text1"/>
        </w:rPr>
        <w:t xml:space="preserve"> in accordance </w:t>
      </w:r>
      <w:r w:rsidRPr="48D6FFE1" w:rsidR="002C3BE7">
        <w:rPr>
          <w:rFonts w:ascii="Palatino Linotype" w:hAnsi="Palatino Linotype"/>
          <w:color w:val="000000" w:themeColor="text1"/>
        </w:rPr>
        <w:t>with</w:t>
      </w:r>
      <w:r w:rsidRPr="48D6FFE1" w:rsidR="003607B9">
        <w:rPr>
          <w:rFonts w:ascii="Palatino Linotype" w:hAnsi="Palatino Linotype"/>
          <w:color w:val="000000" w:themeColor="text1"/>
        </w:rPr>
        <w:t xml:space="preserve"> </w:t>
      </w:r>
      <w:r w:rsidRPr="48D6FFE1" w:rsidR="009D69FB">
        <w:rPr>
          <w:rFonts w:ascii="Palatino Linotype" w:hAnsi="Palatino Linotype"/>
          <w:color w:val="000000" w:themeColor="text1"/>
        </w:rPr>
        <w:t xml:space="preserve">Pub. Util. Code </w:t>
      </w:r>
      <w:r w:rsidRPr="48D6FFE1" w:rsidR="00534E7A">
        <w:rPr>
          <w:rFonts w:ascii="Palatino Linotype" w:hAnsi="Palatino Linotype"/>
          <w:color w:val="000000" w:themeColor="text1"/>
        </w:rPr>
        <w:t xml:space="preserve"> </w:t>
      </w:r>
      <w:r w:rsidRPr="48D6FFE1" w:rsidR="00534E7A">
        <w:rPr>
          <w:rFonts w:ascii="Palatino Linotype" w:hAnsi="Palatino Linotype"/>
        </w:rPr>
        <w:t>§</w:t>
      </w:r>
      <w:r w:rsidRPr="48D6FFE1" w:rsidR="009D69FB">
        <w:rPr>
          <w:rFonts w:ascii="Palatino Linotype" w:hAnsi="Palatino Linotype"/>
          <w:color w:val="000000" w:themeColor="text1"/>
        </w:rPr>
        <w:t xml:space="preserve"> 281(f)(11)</w:t>
      </w:r>
      <w:r w:rsidRPr="48D6FFE1" w:rsidR="003607B9">
        <w:rPr>
          <w:rFonts w:ascii="Palatino Linotype" w:hAnsi="Palatino Linotype"/>
          <w:color w:val="000000" w:themeColor="text1"/>
        </w:rPr>
        <w:t xml:space="preserve">.  Details of reimbursable expenses are </w:t>
      </w:r>
      <w:r w:rsidRPr="48D6FFE1" w:rsidR="003607B9">
        <w:rPr>
          <w:rFonts w:ascii="Palatino Linotype" w:hAnsi="Palatino Linotype"/>
        </w:rPr>
        <w:t>in A</w:t>
      </w:r>
      <w:r w:rsidRPr="48D6FFE1" w:rsidR="00FB157E">
        <w:rPr>
          <w:rFonts w:ascii="Palatino Linotype" w:hAnsi="Palatino Linotype"/>
        </w:rPr>
        <w:t>ppendix</w:t>
      </w:r>
      <w:r w:rsidRPr="48D6FFE1" w:rsidR="003607B9">
        <w:rPr>
          <w:rFonts w:ascii="Palatino Linotype" w:hAnsi="Palatino Linotype"/>
        </w:rPr>
        <w:t xml:space="preserve"> </w:t>
      </w:r>
      <w:r w:rsidRPr="48D6FFE1" w:rsidR="00284FB5">
        <w:rPr>
          <w:rFonts w:ascii="Palatino Linotype" w:hAnsi="Palatino Linotype"/>
        </w:rPr>
        <w:t>C</w:t>
      </w:r>
      <w:r w:rsidRPr="48D6FFE1" w:rsidR="003607B9">
        <w:rPr>
          <w:rFonts w:ascii="Palatino Linotype" w:hAnsi="Palatino Linotype"/>
        </w:rPr>
        <w:t xml:space="preserve">. </w:t>
      </w:r>
    </w:p>
    <w:p w:rsidRPr="00FB157E" w:rsidR="0036526C" w:rsidP="00FB157E" w:rsidRDefault="0036526C" w14:paraId="56309711" w14:textId="77777777">
      <w:pPr>
        <w:autoSpaceDE w:val="0"/>
        <w:autoSpaceDN w:val="0"/>
        <w:adjustRightInd w:val="0"/>
        <w:rPr>
          <w:rFonts w:ascii="Palatino Linotype" w:hAnsi="Palatino Linotype"/>
          <w:color w:val="000000"/>
          <w:szCs w:val="24"/>
        </w:rPr>
      </w:pPr>
    </w:p>
    <w:p w:rsidRPr="00FB157E" w:rsidR="00CF06BE" w:rsidP="00742A9E" w:rsidRDefault="00CF06BE" w14:paraId="6D9C535A" w14:textId="04C8EE2F">
      <w:pPr>
        <w:pStyle w:val="Heading1"/>
        <w:tabs>
          <w:tab w:val="left" w:pos="990"/>
        </w:tabs>
        <w:ind w:left="720"/>
        <w:rPr>
          <w:rFonts w:ascii="Palatino Linotype" w:hAnsi="Palatino Linotype"/>
          <w:sz w:val="26"/>
          <w:szCs w:val="26"/>
        </w:rPr>
      </w:pPr>
      <w:r w:rsidRPr="00FB157E">
        <w:rPr>
          <w:rFonts w:ascii="Palatino Linotype" w:hAnsi="Palatino Linotype"/>
          <w:sz w:val="26"/>
          <w:szCs w:val="26"/>
        </w:rPr>
        <w:t>C</w:t>
      </w:r>
      <w:r w:rsidRPr="00FB157E" w:rsidR="00FB157E">
        <w:rPr>
          <w:rFonts w:ascii="Palatino Linotype" w:hAnsi="Palatino Linotype"/>
          <w:sz w:val="26"/>
          <w:szCs w:val="26"/>
        </w:rPr>
        <w:t>OMMENTS ON DRAFT RESOLUTION</w:t>
      </w:r>
      <w:bookmarkEnd w:id="14"/>
    </w:p>
    <w:p w:rsidRPr="00352E7F" w:rsidR="00CF06BE" w:rsidP="00F7696B" w:rsidRDefault="00CF06BE" w14:paraId="213695D0" w14:textId="77777777">
      <w:pPr>
        <w:rPr>
          <w:rFonts w:ascii="Palatino Linotype" w:hAnsi="Palatino Linotype"/>
          <w:szCs w:val="24"/>
        </w:rPr>
      </w:pPr>
    </w:p>
    <w:p w:rsidRPr="00BC010F" w:rsidR="004329AD" w:rsidP="00E77FDA" w:rsidRDefault="00CF06BE" w14:paraId="17D9E66D" w14:textId="31AE9CC7">
      <w:pPr>
        <w:pStyle w:val="BodyText"/>
        <w:tabs>
          <w:tab w:val="clear" w:pos="720"/>
          <w:tab w:val="left" w:pos="1170"/>
        </w:tabs>
        <w:spacing w:after="0"/>
        <w:rPr>
          <w:rFonts w:ascii="Palatino Linotype" w:hAnsi="Palatino Linotype"/>
        </w:rPr>
      </w:pPr>
      <w:r w:rsidRPr="00CA6D3A">
        <w:rPr>
          <w:rFonts w:ascii="Palatino Linotype" w:hAnsi="Palatino Linotype"/>
        </w:rPr>
        <w:t xml:space="preserve">In compliance with Public Utilities Code § 311(g), a notice letter was e-mailed on </w:t>
      </w:r>
      <w:r w:rsidRPr="004C6C25" w:rsidR="009B4022">
        <w:rPr>
          <w:rFonts w:ascii="Palatino Linotype" w:hAnsi="Palatino Linotype"/>
          <w:color w:val="FF0000"/>
        </w:rPr>
        <w:t>November 1</w:t>
      </w:r>
      <w:r w:rsidRPr="004C6C25" w:rsidR="004C6C25">
        <w:rPr>
          <w:rFonts w:ascii="Palatino Linotype" w:hAnsi="Palatino Linotype"/>
          <w:color w:val="FF0000"/>
        </w:rPr>
        <w:t>3</w:t>
      </w:r>
      <w:r w:rsidRPr="00CA6D3A" w:rsidR="009B4022">
        <w:rPr>
          <w:rFonts w:ascii="Palatino Linotype" w:hAnsi="Palatino Linotype"/>
        </w:rPr>
        <w:t>, 20</w:t>
      </w:r>
      <w:r w:rsidR="004C6C25">
        <w:rPr>
          <w:rFonts w:ascii="Palatino Linotype" w:hAnsi="Palatino Linotype"/>
        </w:rPr>
        <w:t>20</w:t>
      </w:r>
      <w:r w:rsidRPr="00CA6D3A" w:rsidR="009B4022">
        <w:rPr>
          <w:rFonts w:ascii="Palatino Linotype" w:hAnsi="Palatino Linotype"/>
        </w:rPr>
        <w:t>,</w:t>
      </w:r>
      <w:r w:rsidRPr="00CA6D3A">
        <w:rPr>
          <w:rFonts w:ascii="Palatino Linotype" w:hAnsi="Palatino Linotype"/>
          <w:color w:val="000000"/>
        </w:rPr>
        <w:t xml:space="preserve"> informing all parties on the CASF</w:t>
      </w:r>
      <w:r w:rsidRPr="00E77FDA">
        <w:rPr>
          <w:rFonts w:ascii="Palatino Linotype" w:hAnsi="Palatino Linotype"/>
        </w:rPr>
        <w:t xml:space="preserve"> Distribution List of the availability of th</w:t>
      </w:r>
      <w:r w:rsidRPr="00E77FDA" w:rsidR="00425BD9">
        <w:rPr>
          <w:rFonts w:ascii="Palatino Linotype" w:hAnsi="Palatino Linotype"/>
        </w:rPr>
        <w:t>is</w:t>
      </w:r>
      <w:r w:rsidRPr="00E77FDA">
        <w:rPr>
          <w:rFonts w:ascii="Palatino Linotype" w:hAnsi="Palatino Linotype"/>
        </w:rPr>
        <w:t xml:space="preserve"> draft resolution</w:t>
      </w:r>
      <w:r w:rsidRPr="00E77FDA" w:rsidR="20D7FE5A">
        <w:rPr>
          <w:rFonts w:ascii="Palatino Linotype" w:hAnsi="Palatino Linotype"/>
        </w:rPr>
        <w:t xml:space="preserve"> </w:t>
      </w:r>
      <w:r w:rsidRPr="00E77FDA">
        <w:rPr>
          <w:rFonts w:ascii="Palatino Linotype" w:hAnsi="Palatino Linotype"/>
        </w:rPr>
        <w:t xml:space="preserve">at the Commission's website at </w:t>
      </w:r>
      <w:hyperlink w:history="1" r:id="rId11">
        <w:r w:rsidRPr="00CA6D3A">
          <w:rPr>
            <w:rStyle w:val="Hyperlink"/>
            <w:rFonts w:ascii="Palatino Linotype" w:hAnsi="Palatino Linotype"/>
          </w:rPr>
          <w:t>http://www.cpuc.ca.gov/PUC/documents/</w:t>
        </w:r>
      </w:hyperlink>
      <w:r w:rsidRPr="00CA6D3A" w:rsidR="3C3D4FC5">
        <w:rPr>
          <w:rFonts w:ascii="Palatino Linotype" w:hAnsi="Palatino Linotype"/>
        </w:rPr>
        <w:t xml:space="preserve"> and of the opportunity to</w:t>
      </w:r>
      <w:r w:rsidRPr="00CA6D3A" w:rsidR="2FA42F2A">
        <w:rPr>
          <w:rFonts w:ascii="Palatino Linotype" w:hAnsi="Palatino Linotype"/>
        </w:rPr>
        <w:t xml:space="preserve"> provide comments on the resolution</w:t>
      </w:r>
      <w:r w:rsidRPr="00CA6D3A">
        <w:rPr>
          <w:rFonts w:ascii="Palatino Linotype" w:hAnsi="Palatino Linotype"/>
        </w:rPr>
        <w:t>.  This letter also informed parties that the final conformed Resolution adopted by the Commission will be posted and available at this same website.</w:t>
      </w:r>
      <w:r w:rsidRPr="00E77FDA" w:rsidR="006528D0">
        <w:rPr>
          <w:rFonts w:ascii="Palatino Linotype" w:hAnsi="Palatino Linotype"/>
        </w:rPr>
        <w:t xml:space="preserve"> </w:t>
      </w:r>
    </w:p>
    <w:p w:rsidR="00452616" w:rsidP="00F7696B" w:rsidRDefault="00452616" w14:paraId="5595F142" w14:textId="745549FD">
      <w:pPr>
        <w:pStyle w:val="BodyText"/>
        <w:tabs>
          <w:tab w:val="clear" w:pos="720"/>
          <w:tab w:val="left" w:pos="1170"/>
        </w:tabs>
        <w:spacing w:after="0"/>
        <w:rPr>
          <w:rFonts w:ascii="Palatino Linotype" w:hAnsi="Palatino Linotype"/>
          <w:szCs w:val="24"/>
        </w:rPr>
      </w:pPr>
    </w:p>
    <w:p w:rsidRPr="00FB157E" w:rsidR="00CF06BE" w:rsidP="00742A9E" w:rsidRDefault="00FB157E" w14:paraId="5ECFCE4D" w14:textId="613B696A">
      <w:pPr>
        <w:pStyle w:val="Heading1"/>
        <w:tabs>
          <w:tab w:val="left" w:pos="1170"/>
        </w:tabs>
        <w:ind w:left="720"/>
        <w:rPr>
          <w:rFonts w:ascii="Palatino Linotype" w:hAnsi="Palatino Linotype"/>
          <w:sz w:val="26"/>
          <w:szCs w:val="26"/>
        </w:rPr>
      </w:pPr>
      <w:r w:rsidRPr="00FB157E">
        <w:rPr>
          <w:rFonts w:ascii="Palatino Linotype" w:hAnsi="Palatino Linotype"/>
          <w:sz w:val="26"/>
          <w:szCs w:val="26"/>
        </w:rPr>
        <w:t>FINDINGS</w:t>
      </w:r>
    </w:p>
    <w:p w:rsidRPr="00352E7F" w:rsidR="00CF06BE" w:rsidP="00F7696B" w:rsidRDefault="00CF06BE" w14:paraId="652A4DE4" w14:textId="77777777">
      <w:pPr>
        <w:autoSpaceDE w:val="0"/>
        <w:autoSpaceDN w:val="0"/>
        <w:adjustRightInd w:val="0"/>
        <w:rPr>
          <w:rFonts w:ascii="Palatino Linotype" w:hAnsi="Palatino Linotype"/>
          <w:color w:val="000000"/>
          <w:szCs w:val="24"/>
        </w:rPr>
      </w:pPr>
    </w:p>
    <w:p w:rsidRPr="00C935F4" w:rsidR="00CF06BE" w:rsidP="00F7696B" w:rsidRDefault="00CF06BE" w14:paraId="22FB0F94" w14:textId="49CAB150">
      <w:pPr>
        <w:numPr>
          <w:ilvl w:val="0"/>
          <w:numId w:val="6"/>
        </w:numPr>
        <w:rPr>
          <w:rFonts w:ascii="Palatino Linotype" w:hAnsi="Palatino Linotype"/>
          <w:szCs w:val="24"/>
        </w:rPr>
      </w:pPr>
      <w:r w:rsidRPr="00352E7F">
        <w:rPr>
          <w:rFonts w:ascii="Palatino Linotype" w:hAnsi="Palatino Linotype"/>
          <w:color w:val="000000"/>
          <w:szCs w:val="24"/>
        </w:rPr>
        <w:t xml:space="preserve">Frontier </w:t>
      </w:r>
      <w:proofErr w:type="gramStart"/>
      <w:r w:rsidR="0031526E">
        <w:rPr>
          <w:rFonts w:ascii="Palatino Linotype" w:hAnsi="Palatino Linotype"/>
          <w:color w:val="000000"/>
          <w:szCs w:val="24"/>
        </w:rPr>
        <w:t>submitted</w:t>
      </w:r>
      <w:r w:rsidRPr="00352E7F" w:rsidR="0031526E">
        <w:rPr>
          <w:rFonts w:ascii="Palatino Linotype" w:hAnsi="Palatino Linotype"/>
          <w:color w:val="000000"/>
          <w:szCs w:val="24"/>
        </w:rPr>
        <w:t xml:space="preserve"> </w:t>
      </w:r>
      <w:r w:rsidRPr="00352E7F">
        <w:rPr>
          <w:rFonts w:ascii="Palatino Linotype" w:hAnsi="Palatino Linotype"/>
          <w:color w:val="000000"/>
          <w:szCs w:val="24"/>
        </w:rPr>
        <w:t>an application</w:t>
      </w:r>
      <w:proofErr w:type="gramEnd"/>
      <w:r w:rsidRPr="00352E7F">
        <w:rPr>
          <w:rFonts w:ascii="Palatino Linotype" w:hAnsi="Palatino Linotype"/>
          <w:color w:val="000000"/>
          <w:szCs w:val="24"/>
        </w:rPr>
        <w:t xml:space="preserve"> for CASF funding for its </w:t>
      </w:r>
      <w:r w:rsidR="008B4C3C">
        <w:rPr>
          <w:rFonts w:ascii="Palatino Linotype" w:hAnsi="Palatino Linotype"/>
          <w:color w:val="000000"/>
          <w:szCs w:val="24"/>
        </w:rPr>
        <w:t>Crescent City and Smith River Projects</w:t>
      </w:r>
      <w:r w:rsidRPr="00352E7F" w:rsidR="0095459B">
        <w:rPr>
          <w:rFonts w:ascii="Palatino Linotype" w:hAnsi="Palatino Linotype"/>
          <w:color w:val="000000"/>
          <w:szCs w:val="24"/>
        </w:rPr>
        <w:t xml:space="preserve"> </w:t>
      </w:r>
      <w:r w:rsidRPr="00352E7F">
        <w:rPr>
          <w:rFonts w:ascii="Palatino Linotype" w:hAnsi="Palatino Linotype"/>
          <w:color w:val="000000"/>
          <w:szCs w:val="24"/>
        </w:rPr>
        <w:t xml:space="preserve">on </w:t>
      </w:r>
      <w:r w:rsidRPr="00352E7F" w:rsidR="0095459B">
        <w:rPr>
          <w:rFonts w:ascii="Palatino Linotype" w:hAnsi="Palatino Linotype"/>
          <w:color w:val="000000"/>
          <w:szCs w:val="24"/>
        </w:rPr>
        <w:t>May</w:t>
      </w:r>
      <w:r w:rsidRPr="00352E7F">
        <w:rPr>
          <w:rFonts w:ascii="Palatino Linotype" w:hAnsi="Palatino Linotype"/>
          <w:color w:val="000000"/>
          <w:szCs w:val="24"/>
        </w:rPr>
        <w:t xml:space="preserve"> </w:t>
      </w:r>
      <w:r w:rsidR="008B4C3C">
        <w:rPr>
          <w:rFonts w:ascii="Palatino Linotype" w:hAnsi="Palatino Linotype"/>
          <w:color w:val="000000"/>
          <w:szCs w:val="24"/>
        </w:rPr>
        <w:t>4</w:t>
      </w:r>
      <w:r w:rsidRPr="00352E7F">
        <w:rPr>
          <w:rFonts w:ascii="Palatino Linotype" w:hAnsi="Palatino Linotype"/>
          <w:color w:val="000000"/>
          <w:szCs w:val="24"/>
        </w:rPr>
        <w:t>, 20</w:t>
      </w:r>
      <w:r w:rsidR="008B4C3C">
        <w:rPr>
          <w:rFonts w:ascii="Palatino Linotype" w:hAnsi="Palatino Linotype"/>
          <w:color w:val="000000"/>
          <w:szCs w:val="24"/>
        </w:rPr>
        <w:t>20</w:t>
      </w:r>
      <w:r w:rsidRPr="00352E7F">
        <w:rPr>
          <w:rFonts w:ascii="Palatino Linotype" w:hAnsi="Palatino Linotype"/>
          <w:color w:val="000000"/>
          <w:szCs w:val="24"/>
        </w:rPr>
        <w:t xml:space="preserve">.  The proposed </w:t>
      </w:r>
      <w:r w:rsidRPr="00C935F4">
        <w:rPr>
          <w:rFonts w:ascii="Palatino Linotype" w:hAnsi="Palatino Linotype"/>
          <w:szCs w:val="24"/>
        </w:rPr>
        <w:t>project</w:t>
      </w:r>
      <w:r w:rsidRPr="00C935F4" w:rsidR="008B4C3C">
        <w:rPr>
          <w:rFonts w:ascii="Palatino Linotype" w:hAnsi="Palatino Linotype"/>
          <w:szCs w:val="24"/>
        </w:rPr>
        <w:t>s</w:t>
      </w:r>
      <w:r w:rsidRPr="00C935F4">
        <w:rPr>
          <w:rFonts w:ascii="Palatino Linotype" w:hAnsi="Palatino Linotype"/>
          <w:szCs w:val="24"/>
        </w:rPr>
        <w:t xml:space="preserve"> would provide </w:t>
      </w:r>
      <w:r w:rsidRPr="00C935F4" w:rsidR="008B4C3C">
        <w:rPr>
          <w:rFonts w:ascii="Palatino Linotype" w:hAnsi="Palatino Linotype"/>
          <w:szCs w:val="24"/>
        </w:rPr>
        <w:t>at least 5</w:t>
      </w:r>
      <w:r w:rsidRPr="00C935F4" w:rsidR="007E22F1">
        <w:rPr>
          <w:rFonts w:ascii="Palatino Linotype" w:hAnsi="Palatino Linotype"/>
          <w:szCs w:val="24"/>
        </w:rPr>
        <w:t>0</w:t>
      </w:r>
      <w:r w:rsidRPr="00C935F4">
        <w:rPr>
          <w:rFonts w:ascii="Palatino Linotype" w:hAnsi="Palatino Linotype"/>
          <w:szCs w:val="24"/>
        </w:rPr>
        <w:t xml:space="preserve"> Mbps</w:t>
      </w:r>
      <w:r w:rsidRPr="00C935F4" w:rsidR="007E22F1">
        <w:rPr>
          <w:rFonts w:ascii="Palatino Linotype" w:hAnsi="Palatino Linotype"/>
          <w:szCs w:val="24"/>
        </w:rPr>
        <w:t xml:space="preserve"> download and </w:t>
      </w:r>
      <w:r w:rsidRPr="00C935F4" w:rsidR="008B4C3C">
        <w:rPr>
          <w:rFonts w:ascii="Palatino Linotype" w:hAnsi="Palatino Linotype"/>
          <w:szCs w:val="24"/>
        </w:rPr>
        <w:t>50</w:t>
      </w:r>
      <w:r w:rsidRPr="00C935F4" w:rsidR="007E22F1">
        <w:rPr>
          <w:rFonts w:ascii="Palatino Linotype" w:hAnsi="Palatino Linotype"/>
          <w:szCs w:val="24"/>
        </w:rPr>
        <w:t xml:space="preserve"> Mbps upload broadband</w:t>
      </w:r>
      <w:r w:rsidRPr="00C935F4">
        <w:rPr>
          <w:rFonts w:ascii="Palatino Linotype" w:hAnsi="Palatino Linotype"/>
          <w:szCs w:val="24"/>
        </w:rPr>
        <w:t xml:space="preserve"> service to </w:t>
      </w:r>
      <w:r w:rsidRPr="00C935F4" w:rsidR="00B744C0">
        <w:rPr>
          <w:rFonts w:ascii="Palatino Linotype" w:hAnsi="Palatino Linotype"/>
          <w:szCs w:val="24"/>
        </w:rPr>
        <w:t>1</w:t>
      </w:r>
      <w:r w:rsidRPr="00C935F4" w:rsidR="00CB52C4">
        <w:rPr>
          <w:rFonts w:ascii="Palatino Linotype" w:hAnsi="Palatino Linotype"/>
          <w:szCs w:val="24"/>
        </w:rPr>
        <w:t>60</w:t>
      </w:r>
      <w:r w:rsidRPr="00C935F4" w:rsidR="002453D1">
        <w:rPr>
          <w:rFonts w:ascii="Palatino Linotype" w:hAnsi="Palatino Linotype"/>
          <w:szCs w:val="24"/>
        </w:rPr>
        <w:t xml:space="preserve"> CASF eligible households in </w:t>
      </w:r>
      <w:r w:rsidRPr="00C935F4" w:rsidR="00732F2D">
        <w:rPr>
          <w:rFonts w:ascii="Palatino Linotype" w:hAnsi="Palatino Linotype"/>
          <w:szCs w:val="24"/>
        </w:rPr>
        <w:t>Crescent City and Smith River</w:t>
      </w:r>
      <w:r w:rsidRPr="00C935F4">
        <w:rPr>
          <w:rFonts w:ascii="Palatino Linotype" w:hAnsi="Palatino Linotype"/>
          <w:szCs w:val="24"/>
        </w:rPr>
        <w:t xml:space="preserve"> in </w:t>
      </w:r>
      <w:r w:rsidRPr="00C935F4" w:rsidR="00A12702">
        <w:rPr>
          <w:rFonts w:ascii="Palatino Linotype" w:hAnsi="Palatino Linotype"/>
          <w:szCs w:val="24"/>
        </w:rPr>
        <w:t>Del Norte County</w:t>
      </w:r>
      <w:r w:rsidRPr="00C935F4">
        <w:rPr>
          <w:rFonts w:ascii="Palatino Linotype" w:hAnsi="Palatino Linotype"/>
          <w:szCs w:val="24"/>
        </w:rPr>
        <w:t xml:space="preserve">. </w:t>
      </w:r>
    </w:p>
    <w:p w:rsidRPr="00C935F4" w:rsidR="00CF06BE" w:rsidP="00F7696B" w:rsidRDefault="00CF06BE" w14:paraId="14915BE3" w14:textId="77777777">
      <w:pPr>
        <w:autoSpaceDE w:val="0"/>
        <w:autoSpaceDN w:val="0"/>
        <w:adjustRightInd w:val="0"/>
        <w:rPr>
          <w:rFonts w:ascii="Palatino Linotype" w:hAnsi="Palatino Linotype"/>
          <w:szCs w:val="24"/>
        </w:rPr>
      </w:pPr>
    </w:p>
    <w:p w:rsidRPr="00C935F4" w:rsidR="00700EAB" w:rsidP="00F7696B" w:rsidRDefault="00FE6856" w14:paraId="2226B6FD" w14:textId="32164855">
      <w:pPr>
        <w:numPr>
          <w:ilvl w:val="0"/>
          <w:numId w:val="6"/>
        </w:numPr>
        <w:autoSpaceDE w:val="0"/>
        <w:autoSpaceDN w:val="0"/>
        <w:adjustRightInd w:val="0"/>
        <w:rPr>
          <w:rFonts w:ascii="Palatino Linotype" w:hAnsi="Palatino Linotype"/>
          <w:szCs w:val="24"/>
        </w:rPr>
      </w:pPr>
      <w:r w:rsidRPr="00C935F4">
        <w:rPr>
          <w:rFonts w:ascii="Palatino Linotype" w:hAnsi="Palatino Linotype"/>
          <w:szCs w:val="24"/>
        </w:rPr>
        <w:t>On May 1</w:t>
      </w:r>
      <w:r w:rsidRPr="00C935F4" w:rsidR="00A12702">
        <w:rPr>
          <w:rFonts w:ascii="Palatino Linotype" w:hAnsi="Palatino Linotype"/>
          <w:szCs w:val="24"/>
        </w:rPr>
        <w:t>8</w:t>
      </w:r>
      <w:r w:rsidRPr="00C935F4">
        <w:rPr>
          <w:rFonts w:ascii="Palatino Linotype" w:hAnsi="Palatino Linotype"/>
          <w:szCs w:val="24"/>
        </w:rPr>
        <w:t>, 20</w:t>
      </w:r>
      <w:r w:rsidRPr="00C935F4" w:rsidR="00A12702">
        <w:rPr>
          <w:rFonts w:ascii="Palatino Linotype" w:hAnsi="Palatino Linotype"/>
          <w:szCs w:val="24"/>
        </w:rPr>
        <w:t>20</w:t>
      </w:r>
      <w:r w:rsidRPr="00C935F4">
        <w:rPr>
          <w:rFonts w:ascii="Palatino Linotype" w:hAnsi="Palatino Linotype"/>
          <w:szCs w:val="24"/>
        </w:rPr>
        <w:t>, Staff posted project summar</w:t>
      </w:r>
      <w:r w:rsidRPr="00C935F4" w:rsidR="00A12702">
        <w:rPr>
          <w:rFonts w:ascii="Palatino Linotype" w:hAnsi="Palatino Linotype"/>
          <w:szCs w:val="24"/>
        </w:rPr>
        <w:t>ies</w:t>
      </w:r>
      <w:r w:rsidRPr="00C935F4">
        <w:rPr>
          <w:rFonts w:ascii="Palatino Linotype" w:hAnsi="Palatino Linotype"/>
          <w:szCs w:val="24"/>
        </w:rPr>
        <w:t xml:space="preserve"> of the </w:t>
      </w:r>
      <w:r w:rsidRPr="00C935F4" w:rsidR="00A12702">
        <w:rPr>
          <w:rFonts w:ascii="Palatino Linotype" w:hAnsi="Palatino Linotype"/>
          <w:szCs w:val="24"/>
        </w:rPr>
        <w:t>Crescent City and Smith River Projects</w:t>
      </w:r>
      <w:r w:rsidRPr="00C935F4">
        <w:rPr>
          <w:rFonts w:ascii="Palatino Linotype" w:hAnsi="Palatino Linotype"/>
          <w:szCs w:val="24"/>
        </w:rPr>
        <w:t xml:space="preserve">, including a listing of the census blocks and zip codes covered by the project, and the proposed project area map.  The </w:t>
      </w:r>
      <w:r w:rsidR="00CC50E0">
        <w:rPr>
          <w:rFonts w:ascii="Palatino Linotype" w:hAnsi="Palatino Linotype"/>
          <w:szCs w:val="24"/>
        </w:rPr>
        <w:t>summaries were</w:t>
      </w:r>
      <w:r w:rsidRPr="00C935F4">
        <w:rPr>
          <w:rFonts w:ascii="Palatino Linotype" w:hAnsi="Palatino Linotype"/>
          <w:szCs w:val="24"/>
        </w:rPr>
        <w:t xml:space="preserve"> posted on the “CASF Applications Project Summaries” webpage, which may be found on the Commission’s CASF webpage.</w:t>
      </w:r>
    </w:p>
    <w:p w:rsidRPr="00C935F4" w:rsidR="00700EAB" w:rsidP="00F7696B" w:rsidRDefault="00700EAB" w14:paraId="4246DDEE" w14:textId="77777777">
      <w:pPr>
        <w:pStyle w:val="ListParagraph"/>
        <w:rPr>
          <w:rFonts w:ascii="Palatino Linotype" w:hAnsi="Palatino Linotype"/>
          <w:szCs w:val="24"/>
        </w:rPr>
      </w:pPr>
    </w:p>
    <w:p w:rsidRPr="00F13909" w:rsidR="008A2D24" w:rsidP="48D6FFE1" w:rsidRDefault="00CF06BE" w14:paraId="139BD75C" w14:textId="21368928">
      <w:pPr>
        <w:numPr>
          <w:ilvl w:val="0"/>
          <w:numId w:val="6"/>
        </w:numPr>
        <w:autoSpaceDE w:val="0"/>
        <w:autoSpaceDN w:val="0"/>
        <w:adjustRightInd w:val="0"/>
        <w:rPr>
          <w:rFonts w:ascii="Palatino Linotype" w:hAnsi="Palatino Linotype"/>
          <w:color w:val="000000"/>
        </w:rPr>
      </w:pPr>
      <w:r w:rsidRPr="48D6FFE1">
        <w:rPr>
          <w:rFonts w:ascii="Palatino Linotype" w:hAnsi="Palatino Linotype"/>
        </w:rPr>
        <w:lastRenderedPageBreak/>
        <w:t xml:space="preserve">Staff received </w:t>
      </w:r>
      <w:r w:rsidRPr="48D6FFE1" w:rsidR="00A84E66">
        <w:rPr>
          <w:rFonts w:ascii="Palatino Linotype" w:hAnsi="Palatino Linotype"/>
        </w:rPr>
        <w:t>one</w:t>
      </w:r>
      <w:r w:rsidRPr="48D6FFE1">
        <w:rPr>
          <w:rFonts w:ascii="Palatino Linotype" w:hAnsi="Palatino Linotype"/>
        </w:rPr>
        <w:t xml:space="preserve"> challenge to th</w:t>
      </w:r>
      <w:r w:rsidRPr="48D6FFE1" w:rsidR="002E7D09">
        <w:rPr>
          <w:rFonts w:ascii="Palatino Linotype" w:hAnsi="Palatino Linotype"/>
        </w:rPr>
        <w:t>e Crescent City</w:t>
      </w:r>
      <w:r w:rsidRPr="48D6FFE1">
        <w:rPr>
          <w:rFonts w:ascii="Palatino Linotype" w:hAnsi="Palatino Linotype"/>
        </w:rPr>
        <w:t xml:space="preserve"> project</w:t>
      </w:r>
      <w:r w:rsidRPr="48D6FFE1" w:rsidR="00CF1C31">
        <w:rPr>
          <w:rFonts w:ascii="Palatino Linotype" w:hAnsi="Palatino Linotype"/>
        </w:rPr>
        <w:t xml:space="preserve"> </w:t>
      </w:r>
      <w:r w:rsidRPr="48D6FFE1" w:rsidR="001E3A27">
        <w:rPr>
          <w:rFonts w:ascii="Palatino Linotype" w:hAnsi="Palatino Linotype"/>
        </w:rPr>
        <w:t xml:space="preserve">application </w:t>
      </w:r>
      <w:r w:rsidRPr="48D6FFE1" w:rsidR="00CF1C31">
        <w:rPr>
          <w:rFonts w:ascii="Palatino Linotype" w:hAnsi="Palatino Linotype"/>
        </w:rPr>
        <w:t xml:space="preserve">from </w:t>
      </w:r>
      <w:r w:rsidRPr="48D6FFE1" w:rsidR="002E7D09">
        <w:rPr>
          <w:rFonts w:ascii="Palatino Linotype" w:hAnsi="Palatino Linotype"/>
        </w:rPr>
        <w:t>Charter Communications</w:t>
      </w:r>
      <w:r w:rsidRPr="48D6FFE1" w:rsidR="00CF1C31">
        <w:rPr>
          <w:rFonts w:ascii="Palatino Linotype" w:hAnsi="Palatino Linotype"/>
        </w:rPr>
        <w:t>, Inc</w:t>
      </w:r>
      <w:r w:rsidRPr="48D6FFE1" w:rsidR="002E7D09">
        <w:rPr>
          <w:rFonts w:ascii="Palatino Linotype" w:hAnsi="Palatino Linotype"/>
        </w:rPr>
        <w:t>.</w:t>
      </w:r>
      <w:r w:rsidRPr="48D6FFE1" w:rsidR="00CF5F9B">
        <w:rPr>
          <w:rFonts w:ascii="Palatino Linotype" w:hAnsi="Palatino Linotype"/>
        </w:rPr>
        <w:t xml:space="preserve"> </w:t>
      </w:r>
      <w:r w:rsidRPr="48D6FFE1">
        <w:rPr>
          <w:rFonts w:ascii="Palatino Linotype" w:hAnsi="Palatino Linotype"/>
        </w:rPr>
        <w:t xml:space="preserve"> </w:t>
      </w:r>
      <w:r w:rsidRPr="48D6FFE1" w:rsidR="00CF5F9B">
        <w:rPr>
          <w:rFonts w:ascii="Palatino Linotype" w:hAnsi="Palatino Linotype"/>
        </w:rPr>
        <w:t xml:space="preserve">Based on the review of information submitted, </w:t>
      </w:r>
      <w:r w:rsidRPr="48D6FFE1" w:rsidR="00CF1C31">
        <w:rPr>
          <w:rFonts w:ascii="Palatino Linotype" w:hAnsi="Palatino Linotype"/>
        </w:rPr>
        <w:t xml:space="preserve">Staff concluded </w:t>
      </w:r>
      <w:r w:rsidRPr="48D6FFE1" w:rsidR="000E703C">
        <w:rPr>
          <w:rFonts w:ascii="Palatino Linotype" w:hAnsi="Palatino Linotype"/>
        </w:rPr>
        <w:t xml:space="preserve">two of the proposed census blocks were already served.  </w:t>
      </w:r>
      <w:r w:rsidRPr="48D6FFE1" w:rsidR="008A2D24">
        <w:rPr>
          <w:rFonts w:ascii="Palatino Linotype" w:hAnsi="Palatino Linotype"/>
        </w:rPr>
        <w:t xml:space="preserve">Staff requested Frontier </w:t>
      </w:r>
      <w:r w:rsidRPr="48D6FFE1">
        <w:rPr>
          <w:rFonts w:ascii="Palatino Linotype" w:hAnsi="Palatino Linotype"/>
        </w:rPr>
        <w:t xml:space="preserve">to </w:t>
      </w:r>
      <w:r w:rsidRPr="48D6FFE1" w:rsidR="008A2D24">
        <w:rPr>
          <w:rFonts w:ascii="Palatino Linotype" w:hAnsi="Palatino Linotype"/>
        </w:rPr>
        <w:t>revise its Crescent City application to remove two census blocks that were identified as ineligible for a CASF Infrastructure grant.  On October 1</w:t>
      </w:r>
      <w:r w:rsidRPr="48D6FFE1" w:rsidR="00C935F4">
        <w:rPr>
          <w:rFonts w:ascii="Palatino Linotype" w:hAnsi="Palatino Linotype"/>
        </w:rPr>
        <w:t>2</w:t>
      </w:r>
      <w:r w:rsidRPr="48D6FFE1" w:rsidR="008A2D24">
        <w:rPr>
          <w:rFonts w:ascii="Palatino Linotype" w:hAnsi="Palatino Linotype"/>
        </w:rPr>
        <w:t>, 2020, Staff posted the revised project summ</w:t>
      </w:r>
      <w:r w:rsidRPr="48D6FFE1" w:rsidR="008A2D24">
        <w:rPr>
          <w:rFonts w:ascii="Palatino Linotype" w:hAnsi="Palatino Linotype"/>
          <w:color w:val="000000" w:themeColor="text1"/>
        </w:rPr>
        <w:t xml:space="preserve">ary on the “CASF Applications Project Summaries” webpage.  </w:t>
      </w:r>
    </w:p>
    <w:p w:rsidR="008A2D24" w:rsidP="008A2D24" w:rsidRDefault="008A2D24" w14:paraId="7BD4229C" w14:textId="77777777">
      <w:pPr>
        <w:pStyle w:val="ListParagraph"/>
        <w:rPr>
          <w:rFonts w:ascii="Palatino Linotype" w:hAnsi="Palatino Linotype"/>
          <w:color w:val="000000"/>
          <w:szCs w:val="24"/>
        </w:rPr>
      </w:pPr>
    </w:p>
    <w:p w:rsidR="00AD2ACB" w:rsidP="00AD2ACB" w:rsidRDefault="00AD2ACB" w14:paraId="73EBA382" w14:textId="7F352B6B">
      <w:pPr>
        <w:numPr>
          <w:ilvl w:val="0"/>
          <w:numId w:val="6"/>
        </w:numPr>
        <w:autoSpaceDE w:val="0"/>
        <w:autoSpaceDN w:val="0"/>
        <w:adjustRightInd w:val="0"/>
        <w:rPr>
          <w:rFonts w:ascii="Palatino Linotype" w:hAnsi="Palatino Linotype"/>
          <w:color w:val="000000"/>
          <w:szCs w:val="24"/>
        </w:rPr>
      </w:pPr>
      <w:r>
        <w:rPr>
          <w:rFonts w:ascii="Palatino Linotype" w:hAnsi="Palatino Linotype"/>
          <w:color w:val="000000"/>
          <w:szCs w:val="24"/>
        </w:rPr>
        <w:t>Staff received no challenges to the Smith River project.</w:t>
      </w:r>
      <w:r w:rsidRPr="00352E7F">
        <w:rPr>
          <w:rFonts w:ascii="Palatino Linotype" w:hAnsi="Palatino Linotype"/>
          <w:color w:val="000000"/>
          <w:szCs w:val="24"/>
        </w:rPr>
        <w:t xml:space="preserve"> </w:t>
      </w:r>
      <w:r>
        <w:rPr>
          <w:rFonts w:ascii="Palatino Linotype" w:hAnsi="Palatino Linotype"/>
          <w:color w:val="000000"/>
          <w:szCs w:val="24"/>
        </w:rPr>
        <w:t xml:space="preserve"> </w:t>
      </w:r>
    </w:p>
    <w:p w:rsidR="00F13909" w:rsidP="00F13909" w:rsidRDefault="00F13909" w14:paraId="05B4DA39" w14:textId="77777777">
      <w:pPr>
        <w:pStyle w:val="ListParagraph"/>
        <w:rPr>
          <w:rFonts w:ascii="Palatino Linotype" w:hAnsi="Palatino Linotype"/>
          <w:color w:val="000000"/>
          <w:szCs w:val="24"/>
        </w:rPr>
      </w:pPr>
    </w:p>
    <w:p w:rsidRPr="00C935F4" w:rsidR="00CF06BE" w:rsidP="00F7696B" w:rsidRDefault="00CF06BE" w14:paraId="600D30C6" w14:textId="1006C3C0">
      <w:pPr>
        <w:numPr>
          <w:ilvl w:val="0"/>
          <w:numId w:val="6"/>
        </w:numPr>
        <w:autoSpaceDE w:val="0"/>
        <w:autoSpaceDN w:val="0"/>
        <w:adjustRightInd w:val="0"/>
        <w:rPr>
          <w:rFonts w:ascii="Palatino Linotype" w:hAnsi="Palatino Linotype"/>
          <w:szCs w:val="24"/>
        </w:rPr>
      </w:pPr>
      <w:r w:rsidRPr="00352E7F">
        <w:rPr>
          <w:rFonts w:ascii="Palatino Linotype" w:hAnsi="Palatino Linotype"/>
          <w:szCs w:val="24"/>
        </w:rPr>
        <w:t>Based on its review, Staff determined that the project</w:t>
      </w:r>
      <w:r w:rsidR="009A6133">
        <w:rPr>
          <w:rFonts w:ascii="Palatino Linotype" w:hAnsi="Palatino Linotype"/>
          <w:szCs w:val="24"/>
        </w:rPr>
        <w:t>s</w:t>
      </w:r>
      <w:r w:rsidRPr="00352E7F">
        <w:rPr>
          <w:rFonts w:ascii="Palatino Linotype" w:hAnsi="Palatino Linotype"/>
          <w:szCs w:val="24"/>
        </w:rPr>
        <w:t xml:space="preserve"> qualif</w:t>
      </w:r>
      <w:r w:rsidR="009A6133">
        <w:rPr>
          <w:rFonts w:ascii="Palatino Linotype" w:hAnsi="Palatino Linotype"/>
          <w:szCs w:val="24"/>
        </w:rPr>
        <w:t>y</w:t>
      </w:r>
      <w:r w:rsidRPr="00352E7F">
        <w:rPr>
          <w:rFonts w:ascii="Palatino Linotype" w:hAnsi="Palatino Linotype"/>
          <w:szCs w:val="24"/>
        </w:rPr>
        <w:t xml:space="preserve"> </w:t>
      </w:r>
      <w:r w:rsidRPr="00352E7F" w:rsidR="00CF1C31">
        <w:rPr>
          <w:rFonts w:ascii="Palatino Linotype" w:hAnsi="Palatino Linotype"/>
          <w:szCs w:val="24"/>
        </w:rPr>
        <w:t>for funding pursuant to</w:t>
      </w:r>
      <w:r w:rsidRPr="00352E7F">
        <w:rPr>
          <w:rFonts w:ascii="Palatino Linotype" w:hAnsi="Palatino Linotype"/>
          <w:szCs w:val="24"/>
        </w:rPr>
        <w:t xml:space="preserve"> D. 1</w:t>
      </w:r>
      <w:r w:rsidRPr="00352E7F" w:rsidR="00CF1C31">
        <w:rPr>
          <w:rFonts w:ascii="Palatino Linotype" w:hAnsi="Palatino Linotype"/>
          <w:szCs w:val="24"/>
        </w:rPr>
        <w:t>8</w:t>
      </w:r>
      <w:r w:rsidRPr="00352E7F">
        <w:rPr>
          <w:rFonts w:ascii="Palatino Linotype" w:hAnsi="Palatino Linotype"/>
          <w:szCs w:val="24"/>
        </w:rPr>
        <w:t>-</w:t>
      </w:r>
      <w:r w:rsidRPr="00352E7F" w:rsidR="00CF1C31">
        <w:rPr>
          <w:rFonts w:ascii="Palatino Linotype" w:hAnsi="Palatino Linotype"/>
          <w:szCs w:val="24"/>
        </w:rPr>
        <w:t>1</w:t>
      </w:r>
      <w:r w:rsidRPr="00352E7F">
        <w:rPr>
          <w:rFonts w:ascii="Palatino Linotype" w:hAnsi="Palatino Linotype"/>
          <w:szCs w:val="24"/>
        </w:rPr>
        <w:t>2-01</w:t>
      </w:r>
      <w:r w:rsidRPr="00352E7F" w:rsidR="00CF1C31">
        <w:rPr>
          <w:rFonts w:ascii="Palatino Linotype" w:hAnsi="Palatino Linotype"/>
          <w:szCs w:val="24"/>
        </w:rPr>
        <w:t>8</w:t>
      </w:r>
      <w:r w:rsidRPr="00352E7F">
        <w:rPr>
          <w:rFonts w:ascii="Palatino Linotype" w:hAnsi="Palatino Linotype"/>
          <w:szCs w:val="24"/>
        </w:rPr>
        <w:t xml:space="preserve"> </w:t>
      </w:r>
      <w:r w:rsidR="00DB7856">
        <w:rPr>
          <w:rFonts w:ascii="Palatino Linotype" w:hAnsi="Palatino Linotype"/>
          <w:szCs w:val="24"/>
        </w:rPr>
        <w:t xml:space="preserve">and its Appendix 1 </w:t>
      </w:r>
      <w:r w:rsidRPr="00352E7F">
        <w:rPr>
          <w:rFonts w:ascii="Palatino Linotype" w:hAnsi="Palatino Linotype"/>
          <w:szCs w:val="24"/>
        </w:rPr>
        <w:t xml:space="preserve">and recommends Commission </w:t>
      </w:r>
      <w:r w:rsidRPr="00470C74">
        <w:rPr>
          <w:rFonts w:ascii="Palatino Linotype" w:hAnsi="Palatino Linotype"/>
          <w:szCs w:val="24"/>
        </w:rPr>
        <w:t xml:space="preserve">approval of </w:t>
      </w:r>
      <w:r w:rsidRPr="00C935F4">
        <w:rPr>
          <w:rFonts w:ascii="Palatino Linotype" w:hAnsi="Palatino Linotype"/>
          <w:szCs w:val="24"/>
        </w:rPr>
        <w:t xml:space="preserve">CASF funding for Frontier’s </w:t>
      </w:r>
      <w:r w:rsidRPr="00C935F4" w:rsidR="00272BC9">
        <w:rPr>
          <w:rFonts w:ascii="Palatino Linotype" w:hAnsi="Palatino Linotype"/>
          <w:szCs w:val="24"/>
        </w:rPr>
        <w:t>Crescent City and Smith River Projects</w:t>
      </w:r>
      <w:r w:rsidRPr="00C935F4">
        <w:rPr>
          <w:rFonts w:ascii="Palatino Linotype" w:hAnsi="Palatino Linotype"/>
          <w:szCs w:val="24"/>
        </w:rPr>
        <w:t xml:space="preserve">  </w:t>
      </w:r>
      <w:r w:rsidR="00D44974">
        <w:rPr>
          <w:rFonts w:ascii="Palatino Linotype" w:hAnsi="Palatino Linotype"/>
          <w:szCs w:val="24"/>
        </w:rPr>
        <w:t xml:space="preserve">up to </w:t>
      </w:r>
      <w:r w:rsidRPr="00C935F4">
        <w:rPr>
          <w:rFonts w:ascii="Palatino Linotype" w:hAnsi="Palatino Linotype"/>
          <w:szCs w:val="24"/>
        </w:rPr>
        <w:t xml:space="preserve">the amount of </w:t>
      </w:r>
      <w:r w:rsidRPr="00C935F4" w:rsidR="00CB52C4">
        <w:rPr>
          <w:rFonts w:ascii="Palatino Linotype" w:hAnsi="Palatino Linotype"/>
        </w:rPr>
        <w:t>$2,841,772</w:t>
      </w:r>
      <w:r w:rsidRPr="00C935F4">
        <w:rPr>
          <w:rFonts w:ascii="Palatino Linotype" w:hAnsi="Palatino Linotype"/>
          <w:szCs w:val="24"/>
        </w:rPr>
        <w:t>.</w:t>
      </w:r>
    </w:p>
    <w:p w:rsidRPr="00C935F4" w:rsidR="005E3A39" w:rsidP="005E3A39" w:rsidRDefault="005E3A39" w14:paraId="0B5A9FA3" w14:textId="77777777">
      <w:pPr>
        <w:pStyle w:val="ListParagraph"/>
        <w:rPr>
          <w:rFonts w:ascii="Palatino Linotype" w:hAnsi="Palatino Linotype"/>
          <w:szCs w:val="24"/>
        </w:rPr>
      </w:pPr>
    </w:p>
    <w:p w:rsidRPr="00C935F4" w:rsidR="005E3A39" w:rsidP="00F7696B" w:rsidRDefault="005E3A39" w14:paraId="794FF443" w14:textId="3D846DBE">
      <w:pPr>
        <w:numPr>
          <w:ilvl w:val="0"/>
          <w:numId w:val="6"/>
        </w:numPr>
        <w:autoSpaceDE w:val="0"/>
        <w:autoSpaceDN w:val="0"/>
        <w:adjustRightInd w:val="0"/>
        <w:rPr>
          <w:rFonts w:ascii="Palatino Linotype" w:hAnsi="Palatino Linotype"/>
          <w:szCs w:val="24"/>
        </w:rPr>
      </w:pPr>
      <w:r w:rsidRPr="00C935F4">
        <w:rPr>
          <w:rFonts w:ascii="Palatino Linotype" w:hAnsi="Palatino Linotype"/>
          <w:szCs w:val="24"/>
        </w:rPr>
        <w:t>The Commission has determined that the project</w:t>
      </w:r>
      <w:r w:rsidR="005C3698">
        <w:rPr>
          <w:rFonts w:ascii="Palatino Linotype" w:hAnsi="Palatino Linotype"/>
          <w:szCs w:val="24"/>
        </w:rPr>
        <w:t>s</w:t>
      </w:r>
      <w:r w:rsidRPr="00C935F4">
        <w:rPr>
          <w:rFonts w:ascii="Palatino Linotype" w:hAnsi="Palatino Linotype"/>
          <w:szCs w:val="24"/>
        </w:rPr>
        <w:t xml:space="preserve"> </w:t>
      </w:r>
      <w:r w:rsidR="005C3698">
        <w:rPr>
          <w:rFonts w:ascii="Palatino Linotype" w:hAnsi="Palatino Linotype"/>
          <w:szCs w:val="24"/>
        </w:rPr>
        <w:t>are</w:t>
      </w:r>
      <w:r w:rsidRPr="00C935F4">
        <w:rPr>
          <w:rFonts w:ascii="Palatino Linotype" w:hAnsi="Palatino Linotype"/>
          <w:szCs w:val="24"/>
        </w:rPr>
        <w:t xml:space="preserve"> categorically exempt from CEQA review</w:t>
      </w:r>
      <w:r w:rsidRPr="00C935F4" w:rsidR="00692C59">
        <w:rPr>
          <w:rFonts w:ascii="Palatino Linotype" w:hAnsi="Palatino Linotype"/>
          <w:szCs w:val="24"/>
        </w:rPr>
        <w:t xml:space="preserve">, </w:t>
      </w:r>
      <w:r w:rsidR="009720E1">
        <w:rPr>
          <w:rFonts w:ascii="Palatino Linotype" w:hAnsi="Palatino Linotype"/>
          <w:szCs w:val="24"/>
        </w:rPr>
        <w:t xml:space="preserve">pursuant to CEQA guidelines at </w:t>
      </w:r>
      <w:r w:rsidRPr="00C935F4" w:rsidR="00540044">
        <w:rPr>
          <w:rFonts w:ascii="Palatino Linotype" w:hAnsi="Palatino Linotype"/>
          <w:szCs w:val="24"/>
        </w:rPr>
        <w:t xml:space="preserve">14 </w:t>
      </w:r>
      <w:r w:rsidRPr="00C935F4" w:rsidR="00692C59">
        <w:rPr>
          <w:rFonts w:ascii="Palatino Linotype" w:hAnsi="Palatino Linotype"/>
          <w:szCs w:val="24"/>
        </w:rPr>
        <w:t xml:space="preserve">C.C.R </w:t>
      </w:r>
      <w:r w:rsidRPr="00C935F4" w:rsidR="00F73DBC">
        <w:rPr>
          <w:rFonts w:ascii="Palatino Linotype" w:hAnsi="Palatino Linotype"/>
        </w:rPr>
        <w:t>§ 15301 regarding exemption for existing facilities</w:t>
      </w:r>
      <w:r w:rsidR="00133280">
        <w:rPr>
          <w:rFonts w:ascii="Palatino Linotype" w:hAnsi="Palatino Linotype"/>
        </w:rPr>
        <w:t xml:space="preserve"> and</w:t>
      </w:r>
      <w:r w:rsidRPr="00C935F4" w:rsidR="00F73DBC">
        <w:rPr>
          <w:rFonts w:ascii="Palatino Linotype" w:hAnsi="Palatino Linotype"/>
        </w:rPr>
        <w:t xml:space="preserve"> </w:t>
      </w:r>
      <w:r w:rsidRPr="00C935F4" w:rsidR="00BF359A">
        <w:rPr>
          <w:rFonts w:ascii="Palatino Linotype" w:hAnsi="Palatino Linotype"/>
          <w:szCs w:val="24"/>
        </w:rPr>
        <w:t xml:space="preserve">14 C.C.R </w:t>
      </w:r>
      <w:r w:rsidRPr="00C935F4" w:rsidR="00BF359A">
        <w:rPr>
          <w:rFonts w:ascii="Palatino Linotype" w:hAnsi="Palatino Linotype"/>
        </w:rPr>
        <w:t>§ 15302 regarding minor modifications to existing structures</w:t>
      </w:r>
      <w:r w:rsidRPr="00C935F4">
        <w:rPr>
          <w:rFonts w:ascii="Palatino Linotype" w:hAnsi="Palatino Linotype"/>
          <w:szCs w:val="24"/>
        </w:rPr>
        <w:t>.</w:t>
      </w:r>
    </w:p>
    <w:p w:rsidRPr="00C935F4" w:rsidR="00CF06BE" w:rsidP="00F7696B" w:rsidRDefault="00CF06BE" w14:paraId="2BD42C36" w14:textId="77777777">
      <w:pPr>
        <w:pStyle w:val="ListParagraph"/>
        <w:rPr>
          <w:rFonts w:ascii="Palatino Linotype" w:hAnsi="Palatino Linotype"/>
          <w:szCs w:val="24"/>
          <w:highlight w:val="yellow"/>
        </w:rPr>
      </w:pPr>
    </w:p>
    <w:p w:rsidR="00CF06BE" w:rsidP="48D6FFE1" w:rsidRDefault="00CF06BE" w14:paraId="3EEC33B1" w14:textId="35066F24">
      <w:pPr>
        <w:numPr>
          <w:ilvl w:val="0"/>
          <w:numId w:val="6"/>
        </w:numPr>
        <w:autoSpaceDE w:val="0"/>
        <w:autoSpaceDN w:val="0"/>
        <w:adjustRightInd w:val="0"/>
        <w:rPr>
          <w:rFonts w:ascii="Palatino Linotype" w:hAnsi="Palatino Linotype"/>
          <w:color w:val="000000"/>
        </w:rPr>
      </w:pPr>
      <w:r w:rsidRPr="48D6FFE1">
        <w:rPr>
          <w:rFonts w:ascii="Palatino Linotype" w:hAnsi="Palatino Linotype"/>
        </w:rPr>
        <w:t xml:space="preserve">A notice letter was e-mailed on </w:t>
      </w:r>
      <w:r w:rsidRPr="000F48A0" w:rsidR="009B4022">
        <w:rPr>
          <w:rFonts w:ascii="Palatino Linotype" w:hAnsi="Palatino Linotype"/>
        </w:rPr>
        <w:t>November</w:t>
      </w:r>
      <w:r w:rsidRPr="000F48A0" w:rsidR="00F13909">
        <w:rPr>
          <w:rFonts w:ascii="Palatino Linotype" w:hAnsi="Palatino Linotype"/>
        </w:rPr>
        <w:t xml:space="preserve"> </w:t>
      </w:r>
      <w:r w:rsidRPr="000F48A0" w:rsidR="009B4022">
        <w:rPr>
          <w:rFonts w:ascii="Palatino Linotype" w:hAnsi="Palatino Linotype"/>
        </w:rPr>
        <w:t>1</w:t>
      </w:r>
      <w:r w:rsidRPr="000F48A0" w:rsidR="00422922">
        <w:rPr>
          <w:rFonts w:ascii="Palatino Linotype" w:hAnsi="Palatino Linotype"/>
        </w:rPr>
        <w:t>3</w:t>
      </w:r>
      <w:r w:rsidRPr="000F48A0" w:rsidR="009B4022">
        <w:rPr>
          <w:rFonts w:ascii="Palatino Linotype" w:hAnsi="Palatino Linotype"/>
        </w:rPr>
        <w:t>,</w:t>
      </w:r>
      <w:r w:rsidRPr="000F48A0">
        <w:rPr>
          <w:rFonts w:ascii="Palatino Linotype" w:hAnsi="Palatino Linotype"/>
        </w:rPr>
        <w:t xml:space="preserve"> </w:t>
      </w:r>
      <w:r w:rsidRPr="48D6FFE1">
        <w:rPr>
          <w:rFonts w:ascii="Palatino Linotype" w:hAnsi="Palatino Linotype"/>
        </w:rPr>
        <w:t>20</w:t>
      </w:r>
      <w:r w:rsidRPr="48D6FFE1" w:rsidR="00422922">
        <w:rPr>
          <w:rFonts w:ascii="Palatino Linotype" w:hAnsi="Palatino Linotype"/>
        </w:rPr>
        <w:t>20</w:t>
      </w:r>
      <w:r w:rsidRPr="48D6FFE1">
        <w:rPr>
          <w:rFonts w:ascii="Palatino Linotype" w:hAnsi="Palatino Linotype"/>
        </w:rPr>
        <w:t>, informing all applicants filing for CASF funding</w:t>
      </w:r>
      <w:r w:rsidRPr="48D6FFE1" w:rsidR="007037B0">
        <w:rPr>
          <w:rFonts w:ascii="Palatino Linotype" w:hAnsi="Palatino Linotype"/>
        </w:rPr>
        <w:t xml:space="preserve"> and</w:t>
      </w:r>
      <w:r w:rsidRPr="48D6FFE1">
        <w:rPr>
          <w:rFonts w:ascii="Palatino Linotype" w:hAnsi="Palatino Linotype"/>
        </w:rPr>
        <w:t xml:space="preserve"> parties on the CASF distribution list of the availability of the draft of this Resolution</w:t>
      </w:r>
      <w:r w:rsidRPr="48D6FFE1" w:rsidR="14680FBA">
        <w:rPr>
          <w:rFonts w:ascii="Palatino Linotype" w:hAnsi="Palatino Linotype"/>
        </w:rPr>
        <w:t>, and of the opportunity</w:t>
      </w:r>
      <w:r w:rsidRPr="48D6FFE1">
        <w:rPr>
          <w:rFonts w:ascii="Palatino Linotype" w:hAnsi="Palatino Linotype"/>
        </w:rPr>
        <w:t xml:space="preserve"> for comment</w:t>
      </w:r>
      <w:r w:rsidRPr="48D6FFE1" w:rsidR="5D99AFD6">
        <w:rPr>
          <w:rFonts w:ascii="Palatino Linotype" w:hAnsi="Palatino Linotype"/>
        </w:rPr>
        <w:t>,</w:t>
      </w:r>
      <w:r w:rsidRPr="48D6FFE1">
        <w:rPr>
          <w:rFonts w:ascii="Palatino Linotype" w:hAnsi="Palatino Linotype"/>
        </w:rPr>
        <w:t xml:space="preserve"> at the Commission’s website </w:t>
      </w:r>
      <w:r w:rsidRPr="48D6FFE1">
        <w:rPr>
          <w:rFonts w:ascii="Palatino Linotype" w:hAnsi="Palatino Linotype"/>
          <w:color w:val="0000FF"/>
        </w:rPr>
        <w:t>http://www.cpuc.ca.gov/PUC/documents/</w:t>
      </w:r>
      <w:r w:rsidRPr="48D6FFE1">
        <w:rPr>
          <w:rFonts w:ascii="Palatino Linotype" w:hAnsi="Palatino Linotype"/>
          <w:color w:val="000000" w:themeColor="text1"/>
        </w:rPr>
        <w:t xml:space="preserve">.  </w:t>
      </w:r>
    </w:p>
    <w:p w:rsidRPr="00352E7F" w:rsidR="00C42E32" w:rsidP="00C42E32" w:rsidRDefault="00C42E32" w14:paraId="4128C0F4" w14:textId="77777777">
      <w:pPr>
        <w:autoSpaceDE w:val="0"/>
        <w:autoSpaceDN w:val="0"/>
        <w:adjustRightInd w:val="0"/>
        <w:rPr>
          <w:rFonts w:ascii="Palatino Linotype" w:hAnsi="Palatino Linotype"/>
          <w:color w:val="000000"/>
          <w:szCs w:val="24"/>
        </w:rPr>
      </w:pPr>
    </w:p>
    <w:p w:rsidRPr="00FB157E" w:rsidR="00CF06BE" w:rsidP="00F7696B" w:rsidRDefault="00CF06BE" w14:paraId="04D534D2" w14:textId="6E877188">
      <w:pPr>
        <w:keepNext/>
        <w:keepLines/>
        <w:tabs>
          <w:tab w:val="left" w:pos="360"/>
          <w:tab w:val="left" w:pos="9540"/>
        </w:tabs>
        <w:ind w:left="-86"/>
        <w:rPr>
          <w:rFonts w:ascii="Palatino Linotype" w:hAnsi="Palatino Linotype"/>
          <w:sz w:val="26"/>
          <w:szCs w:val="26"/>
          <w:u w:val="single"/>
        </w:rPr>
      </w:pPr>
      <w:r w:rsidRPr="00FB157E">
        <w:rPr>
          <w:rFonts w:ascii="Palatino Linotype" w:hAnsi="Palatino Linotype"/>
          <w:b/>
          <w:sz w:val="26"/>
          <w:szCs w:val="26"/>
          <w:u w:val="single"/>
        </w:rPr>
        <w:t>THEREFORE, IT IS ORDERED that:</w:t>
      </w:r>
    </w:p>
    <w:p w:rsidRPr="00352E7F" w:rsidR="00CF06BE" w:rsidP="00F7696B" w:rsidRDefault="00CF06BE" w14:paraId="02581C48" w14:textId="77777777">
      <w:pPr>
        <w:autoSpaceDE w:val="0"/>
        <w:autoSpaceDN w:val="0"/>
        <w:adjustRightInd w:val="0"/>
        <w:rPr>
          <w:rFonts w:ascii="Palatino Linotype" w:hAnsi="Palatino Linotype"/>
          <w:szCs w:val="24"/>
        </w:rPr>
      </w:pPr>
    </w:p>
    <w:p w:rsidRPr="008F5947" w:rsidR="00CF06BE" w:rsidP="006F35C8" w:rsidRDefault="00CF06BE" w14:paraId="37C7B582" w14:textId="6F6B6497">
      <w:pPr>
        <w:numPr>
          <w:ilvl w:val="1"/>
          <w:numId w:val="7"/>
        </w:numPr>
        <w:autoSpaceDE w:val="0"/>
        <w:autoSpaceDN w:val="0"/>
        <w:adjustRightInd w:val="0"/>
        <w:ind w:left="720"/>
        <w:rPr>
          <w:rFonts w:ascii="Palatino Linotype" w:hAnsi="Palatino Linotype"/>
          <w:color w:val="000000"/>
          <w:szCs w:val="24"/>
        </w:rPr>
      </w:pPr>
      <w:r w:rsidRPr="008F5947">
        <w:rPr>
          <w:rFonts w:ascii="Palatino Linotype" w:hAnsi="Palatino Linotype"/>
          <w:szCs w:val="24"/>
        </w:rPr>
        <w:t xml:space="preserve">The Commission shall </w:t>
      </w:r>
      <w:r w:rsidRPr="006542BC">
        <w:rPr>
          <w:rFonts w:ascii="Palatino Linotype" w:hAnsi="Palatino Linotype"/>
          <w:szCs w:val="24"/>
        </w:rPr>
        <w:t>award</w:t>
      </w:r>
      <w:r w:rsidR="00F0414B">
        <w:rPr>
          <w:rFonts w:ascii="Palatino Linotype" w:hAnsi="Palatino Linotype"/>
          <w:szCs w:val="24"/>
        </w:rPr>
        <w:t xml:space="preserve"> up to</w:t>
      </w:r>
      <w:r w:rsidRPr="006542BC">
        <w:rPr>
          <w:rFonts w:ascii="Palatino Linotype" w:hAnsi="Palatino Linotype"/>
          <w:szCs w:val="24"/>
        </w:rPr>
        <w:t xml:space="preserve"> </w:t>
      </w:r>
      <w:r w:rsidRPr="006542BC" w:rsidR="00DA5273">
        <w:rPr>
          <w:rFonts w:ascii="Palatino Linotype" w:hAnsi="Palatino Linotype"/>
          <w:szCs w:val="24"/>
        </w:rPr>
        <w:t>$2,841,772</w:t>
      </w:r>
      <w:r w:rsidRPr="006542BC" w:rsidR="00E858B1">
        <w:rPr>
          <w:rFonts w:ascii="Palatino Linotype" w:hAnsi="Palatino Linotype"/>
          <w:szCs w:val="24"/>
        </w:rPr>
        <w:t xml:space="preserve"> </w:t>
      </w:r>
      <w:r w:rsidRPr="006542BC">
        <w:rPr>
          <w:rFonts w:ascii="Palatino Linotype" w:hAnsi="Palatino Linotype"/>
          <w:szCs w:val="24"/>
        </w:rPr>
        <w:t xml:space="preserve">to Frontier for the </w:t>
      </w:r>
      <w:r w:rsidRPr="006542BC" w:rsidR="00DA5273">
        <w:rPr>
          <w:rFonts w:ascii="Palatino Linotype" w:hAnsi="Palatino Linotype"/>
          <w:szCs w:val="24"/>
        </w:rPr>
        <w:t>Crescent City and Smith River Projects</w:t>
      </w:r>
      <w:r w:rsidRPr="006542BC" w:rsidR="00D644DB">
        <w:rPr>
          <w:rFonts w:ascii="Palatino Linotype" w:hAnsi="Palatino Linotype"/>
          <w:szCs w:val="24"/>
        </w:rPr>
        <w:t xml:space="preserve"> </w:t>
      </w:r>
      <w:r w:rsidRPr="006542BC">
        <w:rPr>
          <w:rFonts w:ascii="Palatino Linotype" w:hAnsi="Palatino Linotype"/>
          <w:szCs w:val="24"/>
        </w:rPr>
        <w:t>as described herein and summarized in Appendix A of this Resolution</w:t>
      </w:r>
      <w:r w:rsidRPr="006542BC" w:rsidR="008F5947">
        <w:rPr>
          <w:rFonts w:ascii="Palatino Linotype" w:hAnsi="Palatino Linotype"/>
          <w:szCs w:val="24"/>
        </w:rPr>
        <w:t>, which</w:t>
      </w:r>
      <w:r w:rsidRPr="006542BC">
        <w:rPr>
          <w:rFonts w:ascii="Palatino Linotype" w:hAnsi="Palatino Linotype"/>
          <w:szCs w:val="24"/>
        </w:rPr>
        <w:t xml:space="preserve"> shall be paid out of the CASF Infrastructure Grant Account in accordance with the guidelines adopted in D.18-12-01</w:t>
      </w:r>
      <w:r w:rsidRPr="006542BC" w:rsidR="008F5947">
        <w:rPr>
          <w:rFonts w:ascii="Palatino Linotype" w:hAnsi="Palatino Linotype"/>
          <w:szCs w:val="24"/>
        </w:rPr>
        <w:t xml:space="preserve"> and its Appendix 1</w:t>
      </w:r>
      <w:r w:rsidRPr="006542BC">
        <w:rPr>
          <w:rFonts w:ascii="Palatino Linotype" w:hAnsi="Palatino Linotype"/>
          <w:szCs w:val="24"/>
        </w:rPr>
        <w:t xml:space="preserve">, </w:t>
      </w:r>
      <w:r w:rsidRPr="006542BC" w:rsidR="008F5947">
        <w:rPr>
          <w:rFonts w:ascii="Palatino Linotype" w:hAnsi="Palatino Linotype"/>
          <w:szCs w:val="24"/>
        </w:rPr>
        <w:t xml:space="preserve">and with the process defined in Appendix </w:t>
      </w:r>
      <w:r w:rsidRPr="006542BC" w:rsidR="00B744C0">
        <w:rPr>
          <w:rFonts w:ascii="Palatino Linotype" w:hAnsi="Palatino Linotype"/>
          <w:szCs w:val="24"/>
        </w:rPr>
        <w:t>C</w:t>
      </w:r>
      <w:r w:rsidRPr="006542BC" w:rsidR="008F5947">
        <w:rPr>
          <w:rFonts w:ascii="Palatino Linotype" w:hAnsi="Palatino Linotype"/>
          <w:szCs w:val="24"/>
        </w:rPr>
        <w:t xml:space="preserve"> </w:t>
      </w:r>
      <w:r w:rsidR="008F5947">
        <w:rPr>
          <w:rFonts w:ascii="Palatino Linotype" w:hAnsi="Palatino Linotype"/>
          <w:color w:val="000000"/>
          <w:szCs w:val="24"/>
        </w:rPr>
        <w:t>“ Payments to CASF Recipients” of this Resolution.</w:t>
      </w:r>
    </w:p>
    <w:p w:rsidRPr="00470C74" w:rsidR="00360322" w:rsidP="00360322" w:rsidRDefault="00360322" w14:paraId="5D7FD4C2" w14:textId="77777777">
      <w:pPr>
        <w:autoSpaceDE w:val="0"/>
        <w:autoSpaceDN w:val="0"/>
        <w:adjustRightInd w:val="0"/>
        <w:rPr>
          <w:rFonts w:ascii="Palatino Linotype" w:hAnsi="Palatino Linotype"/>
          <w:color w:val="000000"/>
          <w:szCs w:val="24"/>
        </w:rPr>
      </w:pPr>
    </w:p>
    <w:p w:rsidRPr="008F5947" w:rsidR="00263AA3" w:rsidP="006F35C8" w:rsidRDefault="00CF06BE" w14:paraId="73859F2C" w14:textId="6B4C3F46">
      <w:pPr>
        <w:numPr>
          <w:ilvl w:val="1"/>
          <w:numId w:val="7"/>
        </w:numPr>
        <w:autoSpaceDE w:val="0"/>
        <w:autoSpaceDN w:val="0"/>
        <w:adjustRightInd w:val="0"/>
        <w:ind w:left="720"/>
        <w:rPr>
          <w:rFonts w:ascii="Palatino Linotype" w:hAnsi="Palatino Linotype"/>
          <w:color w:val="000000"/>
          <w:szCs w:val="24"/>
        </w:rPr>
      </w:pPr>
      <w:r w:rsidRPr="008F5947">
        <w:rPr>
          <w:rFonts w:ascii="Palatino Linotype" w:hAnsi="Palatino Linotype"/>
          <w:color w:val="000000"/>
          <w:szCs w:val="24"/>
        </w:rPr>
        <w:t>Frontier shall comply with all guidelines,</w:t>
      </w:r>
      <w:r w:rsidR="008F5947">
        <w:rPr>
          <w:rFonts w:ascii="Palatino Linotype" w:hAnsi="Palatino Linotype"/>
          <w:color w:val="000000"/>
          <w:szCs w:val="24"/>
        </w:rPr>
        <w:t xml:space="preserve"> </w:t>
      </w:r>
      <w:r w:rsidRPr="008F5947">
        <w:rPr>
          <w:rFonts w:ascii="Palatino Linotype" w:hAnsi="Palatino Linotype"/>
          <w:color w:val="000000"/>
          <w:szCs w:val="24"/>
        </w:rPr>
        <w:t xml:space="preserve">requirements and conditions associated with </w:t>
      </w:r>
      <w:r w:rsidR="008F5947">
        <w:rPr>
          <w:rFonts w:ascii="Palatino Linotype" w:hAnsi="Palatino Linotype"/>
          <w:color w:val="000000"/>
          <w:szCs w:val="24"/>
        </w:rPr>
        <w:t>a</w:t>
      </w:r>
      <w:r w:rsidRPr="008F5947">
        <w:rPr>
          <w:rFonts w:ascii="Palatino Linotype" w:hAnsi="Palatino Linotype"/>
          <w:color w:val="000000"/>
          <w:szCs w:val="24"/>
        </w:rPr>
        <w:t xml:space="preserve"> CASF award</w:t>
      </w:r>
      <w:r w:rsidR="008F5947">
        <w:rPr>
          <w:rFonts w:ascii="Palatino Linotype" w:hAnsi="Palatino Linotype"/>
          <w:color w:val="000000"/>
          <w:szCs w:val="24"/>
        </w:rPr>
        <w:t>,</w:t>
      </w:r>
      <w:r w:rsidRPr="008F5947">
        <w:rPr>
          <w:rFonts w:ascii="Palatino Linotype" w:hAnsi="Palatino Linotype"/>
          <w:color w:val="000000"/>
          <w:szCs w:val="24"/>
        </w:rPr>
        <w:t xml:space="preserve"> as specified in D.18-12-018</w:t>
      </w:r>
      <w:r w:rsidRPr="008F5947" w:rsidR="00D644DB">
        <w:rPr>
          <w:rFonts w:ascii="Palatino Linotype" w:hAnsi="Palatino Linotype"/>
          <w:color w:val="000000"/>
          <w:szCs w:val="24"/>
        </w:rPr>
        <w:t xml:space="preserve"> </w:t>
      </w:r>
      <w:r w:rsidRPr="008F5947" w:rsidR="00D73FF8">
        <w:rPr>
          <w:rFonts w:ascii="Palatino Linotype" w:hAnsi="Palatino Linotype"/>
          <w:color w:val="000000"/>
          <w:szCs w:val="24"/>
        </w:rPr>
        <w:t xml:space="preserve">and </w:t>
      </w:r>
      <w:r w:rsidR="008F5947">
        <w:rPr>
          <w:rFonts w:ascii="Palatino Linotype" w:hAnsi="Palatino Linotype"/>
          <w:color w:val="000000"/>
          <w:szCs w:val="24"/>
        </w:rPr>
        <w:t xml:space="preserve">its Appendix 1, and </w:t>
      </w:r>
      <w:r w:rsidRPr="008F5947" w:rsidR="0025346C">
        <w:rPr>
          <w:rFonts w:ascii="Palatino Linotype" w:hAnsi="Palatino Linotype"/>
          <w:color w:val="000000"/>
          <w:szCs w:val="24"/>
        </w:rPr>
        <w:t xml:space="preserve">all requirements for this project </w:t>
      </w:r>
      <w:r w:rsidR="008F5947">
        <w:rPr>
          <w:rFonts w:ascii="Palatino Linotype" w:hAnsi="Palatino Linotype"/>
          <w:color w:val="000000"/>
          <w:szCs w:val="24"/>
        </w:rPr>
        <w:t xml:space="preserve">included </w:t>
      </w:r>
      <w:r w:rsidRPr="008F5947" w:rsidR="0025346C">
        <w:rPr>
          <w:rFonts w:ascii="Palatino Linotype" w:hAnsi="Palatino Linotype"/>
          <w:color w:val="000000"/>
          <w:szCs w:val="24"/>
        </w:rPr>
        <w:t xml:space="preserve">in this </w:t>
      </w:r>
      <w:r w:rsidR="008F5947">
        <w:rPr>
          <w:rFonts w:ascii="Palatino Linotype" w:hAnsi="Palatino Linotype"/>
          <w:color w:val="000000"/>
          <w:szCs w:val="24"/>
        </w:rPr>
        <w:t>R</w:t>
      </w:r>
      <w:r w:rsidRPr="008F5947" w:rsidR="0025346C">
        <w:rPr>
          <w:rFonts w:ascii="Palatino Linotype" w:hAnsi="Palatino Linotype"/>
          <w:color w:val="000000"/>
          <w:szCs w:val="24"/>
        </w:rPr>
        <w:t>esolution</w:t>
      </w:r>
      <w:r w:rsidR="008F5947">
        <w:rPr>
          <w:rFonts w:ascii="Palatino Linotype" w:hAnsi="Palatino Linotype"/>
          <w:color w:val="000000"/>
          <w:szCs w:val="24"/>
        </w:rPr>
        <w:t xml:space="preserve">, and </w:t>
      </w:r>
      <w:r w:rsidRPr="008F5947">
        <w:rPr>
          <w:rFonts w:ascii="Palatino Linotype" w:hAnsi="Palatino Linotype"/>
          <w:color w:val="000000"/>
          <w:szCs w:val="24"/>
        </w:rPr>
        <w:t xml:space="preserve">must </w:t>
      </w:r>
      <w:r w:rsidR="008F5947">
        <w:rPr>
          <w:rFonts w:ascii="Palatino Linotype" w:hAnsi="Palatino Linotype"/>
          <w:color w:val="000000"/>
          <w:szCs w:val="24"/>
        </w:rPr>
        <w:t>s</w:t>
      </w:r>
      <w:r w:rsidRPr="008F5947">
        <w:rPr>
          <w:rFonts w:ascii="Palatino Linotype" w:hAnsi="Palatino Linotype"/>
          <w:color w:val="000000"/>
          <w:szCs w:val="24"/>
        </w:rPr>
        <w:t>ubmit FCC Form 477 to the Commission, as specified in Resolution T-17143.</w:t>
      </w:r>
    </w:p>
    <w:p w:rsidR="00263AA3" w:rsidP="00263AA3" w:rsidRDefault="00263AA3" w14:paraId="54F81338" w14:textId="77777777">
      <w:pPr>
        <w:autoSpaceDE w:val="0"/>
        <w:autoSpaceDN w:val="0"/>
        <w:adjustRightInd w:val="0"/>
        <w:ind w:left="720"/>
        <w:rPr>
          <w:rFonts w:ascii="Palatino Linotype" w:hAnsi="Palatino Linotype"/>
          <w:color w:val="000000"/>
          <w:szCs w:val="24"/>
        </w:rPr>
      </w:pPr>
    </w:p>
    <w:p w:rsidRPr="00352E7F" w:rsidR="00CF06BE" w:rsidP="00F7696B" w:rsidRDefault="008F5947" w14:paraId="57911A14" w14:textId="77A285A6">
      <w:pPr>
        <w:numPr>
          <w:ilvl w:val="1"/>
          <w:numId w:val="7"/>
        </w:numPr>
        <w:autoSpaceDE w:val="0"/>
        <w:autoSpaceDN w:val="0"/>
        <w:adjustRightInd w:val="0"/>
        <w:ind w:left="720"/>
        <w:rPr>
          <w:rFonts w:ascii="Palatino Linotype" w:hAnsi="Palatino Linotype"/>
          <w:color w:val="000000"/>
          <w:szCs w:val="24"/>
        </w:rPr>
      </w:pPr>
      <w:r>
        <w:rPr>
          <w:rFonts w:ascii="Palatino Linotype" w:hAnsi="Palatino Linotype"/>
          <w:color w:val="000000"/>
          <w:szCs w:val="24"/>
        </w:rPr>
        <w:lastRenderedPageBreak/>
        <w:t xml:space="preserve">If </w:t>
      </w:r>
      <w:r w:rsidRPr="00352E7F" w:rsidR="00CF06BE">
        <w:rPr>
          <w:rFonts w:ascii="Palatino Linotype" w:hAnsi="Palatino Linotype"/>
          <w:color w:val="000000"/>
          <w:szCs w:val="24"/>
        </w:rPr>
        <w:t xml:space="preserve">Frontier </w:t>
      </w:r>
      <w:r>
        <w:rPr>
          <w:rFonts w:ascii="Palatino Linotype" w:hAnsi="Palatino Linotype"/>
          <w:color w:val="000000"/>
          <w:szCs w:val="24"/>
        </w:rPr>
        <w:t>fails to complete the project in accordance with the CASF guidelines and requirements outlined in D.18-12-018 and its Appendix 1, and the terms outlined in this Resolution, Frontier must reimburse some or all of the CASF funds that it has received.</w:t>
      </w:r>
    </w:p>
    <w:p w:rsidRPr="00352E7F" w:rsidR="00CF06BE" w:rsidP="00F7696B" w:rsidRDefault="00CF06BE" w14:paraId="74A24914" w14:textId="77777777">
      <w:pPr>
        <w:autoSpaceDE w:val="0"/>
        <w:autoSpaceDN w:val="0"/>
        <w:adjustRightInd w:val="0"/>
        <w:rPr>
          <w:rFonts w:ascii="Palatino Linotype" w:hAnsi="Palatino Linotype"/>
          <w:color w:val="000000"/>
          <w:szCs w:val="24"/>
          <w:highlight w:val="yellow"/>
        </w:rPr>
      </w:pPr>
    </w:p>
    <w:p w:rsidRPr="00CB691B" w:rsidR="00CB691B" w:rsidP="48D6FFE1" w:rsidRDefault="00CF06BE" w14:paraId="3009007B" w14:textId="379C2DCD">
      <w:pPr>
        <w:numPr>
          <w:ilvl w:val="1"/>
          <w:numId w:val="36"/>
        </w:numPr>
        <w:autoSpaceDE w:val="0"/>
        <w:autoSpaceDN w:val="0"/>
        <w:adjustRightInd w:val="0"/>
        <w:spacing w:after="160" w:line="259" w:lineRule="auto"/>
        <w:ind w:left="720" w:right="180"/>
        <w:rPr>
          <w:rFonts w:ascii="Palatino Linotype" w:hAnsi="Palatino Linotype"/>
        </w:rPr>
      </w:pPr>
      <w:r w:rsidRPr="48D6FFE1">
        <w:rPr>
          <w:rFonts w:ascii="Palatino Linotype" w:hAnsi="Palatino Linotype"/>
          <w:color w:val="000000" w:themeColor="text1"/>
        </w:rPr>
        <w:t>Frontier</w:t>
      </w:r>
      <w:r w:rsidRPr="48D6FFE1" w:rsidR="004F3474">
        <w:rPr>
          <w:rFonts w:ascii="Palatino Linotype" w:hAnsi="Palatino Linotype"/>
          <w:color w:val="000000" w:themeColor="text1"/>
        </w:rPr>
        <w:t xml:space="preserve"> </w:t>
      </w:r>
      <w:r w:rsidRPr="48D6FFE1" w:rsidR="004F3474">
        <w:rPr>
          <w:rFonts w:ascii="Palatino Linotype" w:hAnsi="Palatino Linotype" w:cs="Palatino Linotype"/>
          <w:color w:val="000000" w:themeColor="text1"/>
        </w:rPr>
        <w:t>must complete and execute the consent form</w:t>
      </w:r>
      <w:r w:rsidR="00F1358A">
        <w:rPr>
          <w:rFonts w:ascii="Palatino Linotype" w:hAnsi="Palatino Linotype" w:cs="Palatino Linotype"/>
          <w:color w:val="000000" w:themeColor="text1"/>
        </w:rPr>
        <w:t>s</w:t>
      </w:r>
      <w:r w:rsidRPr="48D6FFE1" w:rsidR="004F3474">
        <w:rPr>
          <w:rFonts w:ascii="Palatino Linotype" w:hAnsi="Palatino Linotype" w:cs="Palatino Linotype"/>
          <w:color w:val="000000" w:themeColor="text1"/>
        </w:rPr>
        <w:t xml:space="preserve"> (to be sent to the Grantee after this Resolution is adopted) agreeing to the conditions set forth in this Resolution and return it the CASF Staff within 30 calendar days from the date of the adoption of this Resolution.  Failure to submit the consent form within 30 calendar days from the adoption date of this Resolution may result in the Commission voiding the grant award.</w:t>
      </w:r>
      <w:bookmarkStart w:name="_Hlk22042516" w:id="15"/>
      <w:bookmarkEnd w:id="15"/>
    </w:p>
    <w:p w:rsidRPr="00355232" w:rsidR="008F5947" w:rsidP="001C30BB" w:rsidRDefault="008F5947" w14:paraId="50564289" w14:textId="6BAEE80C">
      <w:pPr>
        <w:numPr>
          <w:ilvl w:val="1"/>
          <w:numId w:val="36"/>
        </w:numPr>
        <w:autoSpaceDE w:val="0"/>
        <w:autoSpaceDN w:val="0"/>
        <w:adjustRightInd w:val="0"/>
        <w:spacing w:after="160" w:line="259" w:lineRule="auto"/>
        <w:ind w:left="720" w:right="180"/>
        <w:rPr>
          <w:rFonts w:ascii="Palatino Linotype" w:hAnsi="Palatino Linotype"/>
          <w:szCs w:val="24"/>
        </w:rPr>
      </w:pPr>
      <w:r w:rsidRPr="00355232">
        <w:rPr>
          <w:rFonts w:ascii="Palatino Linotype" w:hAnsi="Palatino Linotype"/>
          <w:szCs w:val="24"/>
        </w:rPr>
        <w:br w:type="page"/>
      </w:r>
    </w:p>
    <w:p w:rsidRPr="00352E7F" w:rsidR="00CF06BE" w:rsidP="00F7696B" w:rsidRDefault="00CF06BE" w14:paraId="02264C06" w14:textId="448F810A">
      <w:pPr>
        <w:keepNext/>
        <w:keepLines/>
        <w:tabs>
          <w:tab w:val="left" w:pos="360"/>
        </w:tabs>
        <w:spacing w:after="120"/>
        <w:rPr>
          <w:rFonts w:ascii="Palatino Linotype" w:hAnsi="Palatino Linotype"/>
          <w:szCs w:val="24"/>
        </w:rPr>
      </w:pPr>
      <w:r w:rsidRPr="00352E7F">
        <w:rPr>
          <w:rFonts w:ascii="Palatino Linotype" w:hAnsi="Palatino Linotype"/>
          <w:szCs w:val="24"/>
        </w:rPr>
        <w:lastRenderedPageBreak/>
        <w:t>This Resolution is effective today.</w:t>
      </w:r>
    </w:p>
    <w:p w:rsidRPr="00352E7F" w:rsidR="00CF06BE" w:rsidP="00F7696B" w:rsidRDefault="00CF06BE" w14:paraId="123F306A" w14:textId="77777777">
      <w:pPr>
        <w:pStyle w:val="xl41"/>
        <w:keepNext/>
        <w:keepLines/>
        <w:overflowPunct/>
        <w:autoSpaceDE/>
        <w:adjustRightInd/>
        <w:spacing w:before="0" w:after="0"/>
        <w:rPr>
          <w:rFonts w:ascii="Palatino Linotype" w:hAnsi="Palatino Linotype" w:eastAsia="Times New Roman"/>
          <w:szCs w:val="24"/>
          <w:highlight w:val="yellow"/>
        </w:rPr>
      </w:pPr>
    </w:p>
    <w:p w:rsidRPr="00352E7F" w:rsidR="00CF06BE" w:rsidP="00F7696B" w:rsidRDefault="00CF06BE" w14:paraId="1D3108C3" w14:textId="67BB0DDB">
      <w:pPr>
        <w:keepNext/>
        <w:keepLines/>
        <w:rPr>
          <w:rFonts w:ascii="Palatino Linotype" w:hAnsi="Palatino Linotype"/>
          <w:szCs w:val="24"/>
        </w:rPr>
      </w:pPr>
      <w:r w:rsidRPr="00352E7F">
        <w:rPr>
          <w:rFonts w:ascii="Palatino Linotype" w:hAnsi="Palatino Linotype"/>
          <w:szCs w:val="24"/>
        </w:rPr>
        <w:t xml:space="preserve">I hereby certify that this Resolution was adopted by the Public Utilities Commission at its regular meeting </w:t>
      </w:r>
      <w:r w:rsidRPr="000F48A0">
        <w:rPr>
          <w:rFonts w:ascii="Palatino Linotype" w:hAnsi="Palatino Linotype"/>
          <w:szCs w:val="24"/>
        </w:rPr>
        <w:t xml:space="preserve">on </w:t>
      </w:r>
      <w:r w:rsidRPr="000F48A0" w:rsidR="000F48A0">
        <w:rPr>
          <w:rFonts w:ascii="Palatino Linotype" w:hAnsi="Palatino Linotype"/>
          <w:szCs w:val="24"/>
        </w:rPr>
        <w:t>_______________</w:t>
      </w:r>
      <w:r w:rsidRPr="000F48A0">
        <w:rPr>
          <w:rFonts w:ascii="Palatino Linotype" w:hAnsi="Palatino Linotype"/>
          <w:szCs w:val="24"/>
        </w:rPr>
        <w:t xml:space="preserve">.  </w:t>
      </w:r>
      <w:r w:rsidRPr="00352E7F">
        <w:rPr>
          <w:rFonts w:ascii="Palatino Linotype" w:hAnsi="Palatino Linotype"/>
          <w:szCs w:val="24"/>
        </w:rPr>
        <w:t>The following Commissioners approved it:</w:t>
      </w:r>
    </w:p>
    <w:p w:rsidRPr="00352E7F" w:rsidR="00CF06BE" w:rsidP="00F7696B" w:rsidRDefault="00CF06BE" w14:paraId="7D29D86F" w14:textId="77777777">
      <w:pPr>
        <w:keepNext/>
        <w:keepLines/>
        <w:rPr>
          <w:rFonts w:ascii="Palatino Linotype" w:hAnsi="Palatino Linotype"/>
          <w:szCs w:val="24"/>
          <w:highlight w:val="yellow"/>
        </w:rPr>
      </w:pPr>
    </w:p>
    <w:p w:rsidRPr="00352E7F" w:rsidR="00CF06BE" w:rsidP="00CF06BE" w:rsidRDefault="00CF06BE" w14:paraId="496111FC" w14:textId="77777777">
      <w:pPr>
        <w:keepNext/>
        <w:keepLines/>
        <w:rPr>
          <w:rFonts w:ascii="Palatino Linotype" w:hAnsi="Palatino Linotype"/>
          <w:szCs w:val="24"/>
          <w:highlight w:val="yellow"/>
        </w:rPr>
      </w:pPr>
    </w:p>
    <w:p w:rsidRPr="00352E7F" w:rsidR="00CF06BE" w:rsidP="00CF06BE" w:rsidRDefault="00CF06BE" w14:paraId="2BFBCD89" w14:textId="77777777">
      <w:pPr>
        <w:keepNext/>
        <w:keepLines/>
        <w:rPr>
          <w:rFonts w:ascii="Palatino Linotype" w:hAnsi="Palatino Linotype"/>
          <w:szCs w:val="24"/>
          <w:highlight w:val="yellow"/>
        </w:rPr>
      </w:pPr>
    </w:p>
    <w:tbl>
      <w:tblPr>
        <w:tblW w:w="0" w:type="auto"/>
        <w:tblInd w:w="4788" w:type="dxa"/>
        <w:tblLayout w:type="fixed"/>
        <w:tblLook w:val="04A0" w:firstRow="1" w:lastRow="0" w:firstColumn="1" w:lastColumn="0" w:noHBand="0" w:noVBand="1"/>
      </w:tblPr>
      <w:tblGrid>
        <w:gridCol w:w="3870"/>
      </w:tblGrid>
      <w:tr w:rsidRPr="00352E7F" w:rsidR="00CF06BE" w:rsidTr="00CF06BE" w14:paraId="495BEB03" w14:textId="77777777">
        <w:tc>
          <w:tcPr>
            <w:tcW w:w="3870" w:type="dxa"/>
            <w:tcBorders>
              <w:top w:val="nil"/>
              <w:left w:val="nil"/>
              <w:bottom w:val="single" w:color="auto" w:sz="6" w:space="0"/>
              <w:right w:val="nil"/>
            </w:tcBorders>
            <w:hideMark/>
          </w:tcPr>
          <w:p w:rsidRPr="00352E7F" w:rsidR="00CF06BE" w:rsidRDefault="00CF06BE" w14:paraId="7608C434" w14:textId="7DC192FB">
            <w:pPr>
              <w:keepNext/>
              <w:keepLines/>
              <w:rPr>
                <w:rFonts w:ascii="Palatino Linotype" w:hAnsi="Palatino Linotype"/>
                <w:szCs w:val="24"/>
              </w:rPr>
            </w:pPr>
            <w:r w:rsidRPr="00352E7F">
              <w:rPr>
                <w:rFonts w:ascii="Palatino Linotype" w:hAnsi="Palatino Linotype"/>
                <w:szCs w:val="24"/>
              </w:rPr>
              <w:t xml:space="preserve">               </w:t>
            </w:r>
          </w:p>
        </w:tc>
      </w:tr>
      <w:tr w:rsidRPr="00352E7F" w:rsidR="00CF06BE" w:rsidTr="00CF06BE" w14:paraId="748A4097" w14:textId="77777777">
        <w:tc>
          <w:tcPr>
            <w:tcW w:w="3870" w:type="dxa"/>
          </w:tcPr>
          <w:p w:rsidRPr="00352E7F" w:rsidR="00CF06BE" w:rsidRDefault="00AD1D9B" w14:paraId="6653B01F" w14:textId="2DAEC49C">
            <w:pPr>
              <w:pStyle w:val="Heading6"/>
              <w:keepLines/>
              <w:ind w:left="960" w:hanging="960"/>
              <w:jc w:val="center"/>
              <w:rPr>
                <w:rFonts w:ascii="Palatino Linotype" w:hAnsi="Palatino Linotype"/>
                <w:szCs w:val="24"/>
              </w:rPr>
            </w:pPr>
            <w:r>
              <w:rPr>
                <w:rFonts w:ascii="Palatino Linotype" w:hAnsi="Palatino Linotype"/>
                <w:szCs w:val="24"/>
              </w:rPr>
              <w:t>RACHEL PETERSON</w:t>
            </w:r>
          </w:p>
          <w:p w:rsidRPr="00352E7F" w:rsidR="00CF06BE" w:rsidRDefault="00E4278F" w14:paraId="339893E4" w14:textId="406030B6">
            <w:pPr>
              <w:pStyle w:val="Heading6"/>
              <w:keepLines/>
              <w:spacing w:before="0"/>
              <w:ind w:left="960" w:hanging="960"/>
              <w:jc w:val="center"/>
              <w:rPr>
                <w:rFonts w:ascii="Palatino Linotype" w:hAnsi="Palatino Linotype"/>
                <w:szCs w:val="24"/>
              </w:rPr>
            </w:pPr>
            <w:r>
              <w:rPr>
                <w:rFonts w:ascii="Palatino Linotype" w:hAnsi="Palatino Linotype"/>
                <w:szCs w:val="24"/>
              </w:rPr>
              <w:t xml:space="preserve">(Acting) </w:t>
            </w:r>
            <w:r w:rsidRPr="00352E7F" w:rsidR="00CF06BE">
              <w:rPr>
                <w:rFonts w:ascii="Palatino Linotype" w:hAnsi="Palatino Linotype"/>
                <w:szCs w:val="24"/>
              </w:rPr>
              <w:t>Executive Director</w:t>
            </w:r>
          </w:p>
          <w:p w:rsidRPr="00352E7F" w:rsidR="00CF06BE" w:rsidRDefault="00CF06BE" w14:paraId="7F6E6A9D" w14:textId="77777777">
            <w:pPr>
              <w:rPr>
                <w:rFonts w:ascii="Palatino Linotype" w:hAnsi="Palatino Linotype"/>
                <w:szCs w:val="24"/>
                <w:highlight w:val="yellow"/>
              </w:rPr>
            </w:pPr>
          </w:p>
          <w:p w:rsidRPr="00352E7F" w:rsidR="00CF06BE" w:rsidRDefault="00CF06BE" w14:paraId="49FD129A" w14:textId="77777777">
            <w:pPr>
              <w:rPr>
                <w:rFonts w:ascii="Palatino Linotype" w:hAnsi="Palatino Linotype"/>
                <w:szCs w:val="24"/>
                <w:highlight w:val="yellow"/>
              </w:rPr>
            </w:pPr>
          </w:p>
          <w:p w:rsidRPr="00352E7F" w:rsidR="00CF06BE" w:rsidRDefault="00CF06BE" w14:paraId="0BB331CD" w14:textId="491A95F0">
            <w:pPr>
              <w:ind w:left="1050" w:hanging="360"/>
              <w:rPr>
                <w:rFonts w:ascii="Palatino Linotype" w:hAnsi="Palatino Linotype"/>
                <w:szCs w:val="24"/>
              </w:rPr>
            </w:pPr>
          </w:p>
        </w:tc>
      </w:tr>
      <w:tr w:rsidRPr="00352E7F" w:rsidR="00CF06BE" w:rsidTr="00CF06BE" w14:paraId="0EC1DB85" w14:textId="77777777">
        <w:tc>
          <w:tcPr>
            <w:tcW w:w="3870" w:type="dxa"/>
          </w:tcPr>
          <w:p w:rsidRPr="00352E7F" w:rsidR="00CF06BE" w:rsidRDefault="00CF06BE" w14:paraId="76DCC6C1" w14:textId="77777777">
            <w:pPr>
              <w:pStyle w:val="Heading6"/>
              <w:keepLines/>
              <w:jc w:val="center"/>
              <w:rPr>
                <w:rFonts w:ascii="Palatino Linotype" w:hAnsi="Palatino Linotype"/>
                <w:szCs w:val="24"/>
              </w:rPr>
            </w:pPr>
          </w:p>
        </w:tc>
      </w:tr>
    </w:tbl>
    <w:p w:rsidRPr="00352E7F" w:rsidR="00CF06BE" w:rsidP="00CF06BE" w:rsidRDefault="00CF06BE" w14:paraId="3E0F251B" w14:textId="77777777">
      <w:pPr>
        <w:keepNext/>
        <w:keepLines/>
        <w:jc w:val="right"/>
        <w:rPr>
          <w:rFonts w:ascii="Palatino Linotype" w:hAnsi="Palatino Linotype"/>
          <w:szCs w:val="24"/>
        </w:rPr>
      </w:pPr>
    </w:p>
    <w:p w:rsidRPr="00352E7F" w:rsidR="00CF06BE" w:rsidP="00CF06BE" w:rsidRDefault="00CF06BE" w14:paraId="660F4197" w14:textId="77777777">
      <w:pPr>
        <w:keepNext/>
        <w:keepLines/>
        <w:jc w:val="right"/>
        <w:rPr>
          <w:rFonts w:ascii="Palatino Linotype" w:hAnsi="Palatino Linotype"/>
          <w:szCs w:val="24"/>
        </w:rPr>
      </w:pPr>
    </w:p>
    <w:p w:rsidRPr="00352E7F" w:rsidR="00CF06BE" w:rsidP="00CF06BE" w:rsidRDefault="00CF06BE" w14:paraId="72543450" w14:textId="77777777">
      <w:pPr>
        <w:keepNext/>
        <w:keepLines/>
        <w:jc w:val="right"/>
        <w:rPr>
          <w:rFonts w:ascii="Palatino Linotype" w:hAnsi="Palatino Linotype"/>
          <w:szCs w:val="24"/>
        </w:rPr>
      </w:pPr>
    </w:p>
    <w:p w:rsidRPr="00352E7F" w:rsidR="00CF06BE" w:rsidP="00CF06BE" w:rsidRDefault="00CF06BE" w14:paraId="2367E7EF" w14:textId="77777777">
      <w:pPr>
        <w:rPr>
          <w:rFonts w:ascii="Palatino Linotype" w:hAnsi="Palatino Linotype"/>
          <w:szCs w:val="24"/>
        </w:rPr>
      </w:pPr>
      <w:r w:rsidRPr="00352E7F">
        <w:rPr>
          <w:rFonts w:ascii="Palatino Linotype" w:hAnsi="Palatino Linotype"/>
          <w:szCs w:val="24"/>
        </w:rPr>
        <w:br w:type="page"/>
      </w:r>
    </w:p>
    <w:p w:rsidRPr="00352E7F" w:rsidR="00CF06BE" w:rsidP="00CF06BE" w:rsidRDefault="00CF06BE" w14:paraId="643993DD" w14:textId="77777777">
      <w:pPr>
        <w:rPr>
          <w:rFonts w:ascii="Palatino Linotype" w:hAnsi="Palatino Linotype"/>
          <w:szCs w:val="24"/>
        </w:rPr>
        <w:sectPr w:rsidRPr="00352E7F" w:rsidR="00CF06BE" w:rsidSect="00A46241">
          <w:headerReference w:type="default" r:id="rId12"/>
          <w:footerReference w:type="default" r:id="rId13"/>
          <w:headerReference w:type="first" r:id="rId14"/>
          <w:footerReference w:type="first" r:id="rId15"/>
          <w:pgSz w:w="12240" w:h="15840"/>
          <w:pgMar w:top="1440" w:right="1440" w:bottom="1440" w:left="1440" w:header="720" w:footer="475" w:gutter="0"/>
          <w:pgNumType w:start="1"/>
          <w:cols w:space="720"/>
          <w:titlePg/>
          <w:docGrid w:linePitch="326"/>
        </w:sectPr>
      </w:pPr>
    </w:p>
    <w:p w:rsidRPr="00ED777B" w:rsidR="00CF06BE" w:rsidP="00CF06BE" w:rsidRDefault="00CF06BE" w14:paraId="2FC5A3FA" w14:textId="0C082FBD">
      <w:pPr>
        <w:keepNext/>
        <w:keepLines/>
        <w:jc w:val="center"/>
        <w:rPr>
          <w:rFonts w:ascii="Palatino Linotype" w:hAnsi="Palatino Linotype"/>
          <w:b/>
          <w:szCs w:val="24"/>
        </w:rPr>
      </w:pPr>
      <w:r w:rsidRPr="00ED777B">
        <w:rPr>
          <w:rFonts w:ascii="Palatino Linotype" w:hAnsi="Palatino Linotype"/>
          <w:b/>
          <w:szCs w:val="24"/>
        </w:rPr>
        <w:lastRenderedPageBreak/>
        <w:t xml:space="preserve">APPENDIX </w:t>
      </w:r>
      <w:r w:rsidR="00A53FF6">
        <w:rPr>
          <w:rFonts w:ascii="Palatino Linotype" w:hAnsi="Palatino Linotype"/>
          <w:b/>
          <w:szCs w:val="24"/>
        </w:rPr>
        <w:t>A</w:t>
      </w:r>
    </w:p>
    <w:p w:rsidR="00CF06BE" w:rsidP="00CF06BE" w:rsidRDefault="00CF0C77" w14:paraId="79BAB3A1" w14:textId="2E0F4F65">
      <w:pPr>
        <w:keepNext/>
        <w:keepLines/>
        <w:jc w:val="center"/>
        <w:rPr>
          <w:rFonts w:ascii="Palatino Linotype" w:hAnsi="Palatino Linotype"/>
          <w:b/>
          <w:szCs w:val="24"/>
        </w:rPr>
      </w:pPr>
      <w:r w:rsidRPr="00ED777B">
        <w:rPr>
          <w:rFonts w:ascii="Palatino Linotype" w:hAnsi="Palatino Linotype"/>
          <w:b/>
          <w:szCs w:val="24"/>
        </w:rPr>
        <w:t xml:space="preserve">Resolution </w:t>
      </w:r>
      <w:r w:rsidRPr="00ED777B" w:rsidR="00AB5088">
        <w:rPr>
          <w:rFonts w:ascii="Palatino Linotype" w:hAnsi="Palatino Linotype"/>
          <w:b/>
          <w:szCs w:val="24"/>
        </w:rPr>
        <w:t>T</w:t>
      </w:r>
      <w:r w:rsidRPr="00E4278F" w:rsidR="00AB5088">
        <w:rPr>
          <w:rFonts w:ascii="Palatino Linotype" w:hAnsi="Palatino Linotype"/>
          <w:b/>
          <w:szCs w:val="24"/>
        </w:rPr>
        <w:t>-17</w:t>
      </w:r>
      <w:r w:rsidRPr="00E4278F" w:rsidR="00E4278F">
        <w:rPr>
          <w:rFonts w:ascii="Palatino Linotype" w:hAnsi="Palatino Linotype"/>
          <w:b/>
          <w:szCs w:val="24"/>
        </w:rPr>
        <w:t>715</w:t>
      </w:r>
      <w:r w:rsidR="00ED777B">
        <w:rPr>
          <w:rFonts w:ascii="Palatino Linotype" w:hAnsi="Palatino Linotype"/>
          <w:b/>
          <w:szCs w:val="24"/>
        </w:rPr>
        <w:t xml:space="preserve">: </w:t>
      </w:r>
      <w:r w:rsidRPr="00352E7F" w:rsidR="00CF06BE">
        <w:rPr>
          <w:rFonts w:ascii="Palatino Linotype" w:hAnsi="Palatino Linotype"/>
          <w:b/>
          <w:szCs w:val="24"/>
        </w:rPr>
        <w:t xml:space="preserve">Frontier </w:t>
      </w:r>
      <w:r w:rsidR="00613C05">
        <w:rPr>
          <w:rFonts w:ascii="Palatino Linotype" w:hAnsi="Palatino Linotype"/>
          <w:b/>
          <w:szCs w:val="24"/>
        </w:rPr>
        <w:t>Crescent City</w:t>
      </w:r>
    </w:p>
    <w:p w:rsidRPr="00352E7F" w:rsidR="00CF0C77" w:rsidP="001442B9" w:rsidRDefault="00CF0C77" w14:paraId="2FF50D33" w14:textId="5BA5EC7B">
      <w:pPr>
        <w:keepNext/>
        <w:keepLines/>
        <w:spacing w:after="120"/>
        <w:jc w:val="center"/>
        <w:rPr>
          <w:rFonts w:ascii="Palatino Linotype" w:hAnsi="Palatino Linotype"/>
          <w:b/>
          <w:szCs w:val="24"/>
        </w:rPr>
      </w:pPr>
      <w:r>
        <w:rPr>
          <w:rFonts w:ascii="Palatino Linotype" w:hAnsi="Palatino Linotype"/>
          <w:b/>
          <w:szCs w:val="24"/>
        </w:rPr>
        <w:t>CASF Application Key Information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99"/>
        <w:gridCol w:w="3425"/>
        <w:gridCol w:w="3426"/>
      </w:tblGrid>
      <w:tr w:rsidRPr="00352E7F" w:rsidR="00CF06BE" w:rsidTr="00CF06BE" w14:paraId="00EA8D6D" w14:textId="77777777">
        <w:tc>
          <w:tcPr>
            <w:tcW w:w="2499" w:type="dxa"/>
            <w:tcBorders>
              <w:top w:val="single" w:color="auto" w:sz="4" w:space="0"/>
              <w:left w:val="single" w:color="auto" w:sz="4" w:space="0"/>
              <w:bottom w:val="single" w:color="auto" w:sz="4" w:space="0"/>
              <w:right w:val="single" w:color="auto" w:sz="4" w:space="0"/>
            </w:tcBorders>
            <w:shd w:val="clear" w:color="auto" w:fill="BFBFBF"/>
            <w:vAlign w:val="center"/>
            <w:hideMark/>
          </w:tcPr>
          <w:p w:rsidRPr="00E43156" w:rsidR="00CF06BE" w:rsidRDefault="00CF06BE" w14:paraId="5D6673F0" w14:textId="0CD5150C">
            <w:pPr>
              <w:keepNext/>
              <w:keepLines/>
              <w:spacing w:before="120" w:after="120"/>
              <w:jc w:val="center"/>
              <w:rPr>
                <w:rFonts w:ascii="Palatino Linotype" w:hAnsi="Palatino Linotype"/>
                <w:i/>
                <w:szCs w:val="24"/>
              </w:rPr>
            </w:pPr>
            <w:r w:rsidRPr="00E43156">
              <w:rPr>
                <w:rFonts w:ascii="Palatino Linotype" w:hAnsi="Palatino Linotype"/>
                <w:i/>
                <w:szCs w:val="24"/>
              </w:rPr>
              <w:t>Project Name</w:t>
            </w:r>
          </w:p>
        </w:tc>
        <w:tc>
          <w:tcPr>
            <w:tcW w:w="6851" w:type="dxa"/>
            <w:gridSpan w:val="2"/>
            <w:tcBorders>
              <w:top w:val="single" w:color="auto" w:sz="4" w:space="0"/>
              <w:left w:val="single" w:color="auto" w:sz="4" w:space="0"/>
              <w:bottom w:val="single" w:color="auto" w:sz="4" w:space="0"/>
              <w:right w:val="single" w:color="auto" w:sz="4" w:space="0"/>
            </w:tcBorders>
            <w:shd w:val="clear" w:color="auto" w:fill="BFBFBF"/>
            <w:vAlign w:val="center"/>
            <w:hideMark/>
          </w:tcPr>
          <w:p w:rsidRPr="00E43156" w:rsidR="00CF06BE" w:rsidRDefault="00CF06BE" w14:paraId="3E7A9D1F" w14:textId="7013B677">
            <w:pPr>
              <w:keepNext/>
              <w:keepLines/>
              <w:spacing w:before="120" w:after="120"/>
              <w:jc w:val="center"/>
              <w:rPr>
                <w:rFonts w:ascii="Palatino Linotype" w:hAnsi="Palatino Linotype"/>
                <w:b/>
                <w:szCs w:val="24"/>
              </w:rPr>
            </w:pPr>
            <w:r w:rsidRPr="00E43156">
              <w:rPr>
                <w:rFonts w:ascii="Palatino Linotype" w:hAnsi="Palatino Linotype"/>
                <w:b/>
                <w:szCs w:val="24"/>
              </w:rPr>
              <w:t xml:space="preserve">Frontier </w:t>
            </w:r>
            <w:r w:rsidR="00613C05">
              <w:rPr>
                <w:rFonts w:ascii="Palatino Linotype" w:hAnsi="Palatino Linotype"/>
                <w:b/>
                <w:szCs w:val="24"/>
              </w:rPr>
              <w:t>Crescent City Project</w:t>
            </w:r>
          </w:p>
        </w:tc>
      </w:tr>
      <w:tr w:rsidRPr="00352E7F" w:rsidR="00CF06BE" w:rsidTr="00CF06BE" w14:paraId="64AE7DF7"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CF06BE" w:rsidRDefault="00CF06BE" w14:paraId="414035EF" w14:textId="77777777">
            <w:pPr>
              <w:keepNext/>
              <w:keepLines/>
              <w:spacing w:before="120" w:after="120"/>
              <w:jc w:val="center"/>
              <w:rPr>
                <w:rFonts w:ascii="Palatino Linotype" w:hAnsi="Palatino Linotype"/>
                <w:i/>
                <w:sz w:val="20"/>
              </w:rPr>
            </w:pPr>
            <w:r w:rsidRPr="00ED777B">
              <w:rPr>
                <w:rFonts w:ascii="Palatino Linotype" w:hAnsi="Palatino Linotype"/>
                <w:i/>
                <w:sz w:val="20"/>
              </w:rPr>
              <w:t>Project Plan</w:t>
            </w:r>
          </w:p>
        </w:tc>
        <w:tc>
          <w:tcPr>
            <w:tcW w:w="6851" w:type="dxa"/>
            <w:gridSpan w:val="2"/>
            <w:tcBorders>
              <w:top w:val="single" w:color="auto" w:sz="4" w:space="0"/>
              <w:left w:val="single" w:color="auto" w:sz="4" w:space="0"/>
              <w:bottom w:val="single" w:color="auto" w:sz="4" w:space="0"/>
              <w:right w:val="single" w:color="auto" w:sz="4" w:space="0"/>
            </w:tcBorders>
            <w:vAlign w:val="center"/>
            <w:hideMark/>
          </w:tcPr>
          <w:p w:rsidRPr="00ED777B" w:rsidR="00CF06BE" w:rsidP="003C2840" w:rsidRDefault="00CF06BE" w14:paraId="5761F986" w14:textId="2B410413">
            <w:pPr>
              <w:keepNext/>
              <w:keepLines/>
              <w:rPr>
                <w:rFonts w:ascii="Palatino Linotype" w:hAnsi="Palatino Linotype"/>
                <w:sz w:val="20"/>
              </w:rPr>
            </w:pPr>
            <w:r w:rsidRPr="00ED777B">
              <w:rPr>
                <w:rFonts w:ascii="Palatino Linotype" w:hAnsi="Palatino Linotype"/>
                <w:sz w:val="20"/>
              </w:rPr>
              <w:t xml:space="preserve">The project proposes to </w:t>
            </w:r>
            <w:r w:rsidR="005B2CF9">
              <w:rPr>
                <w:rFonts w:ascii="Palatino Linotype" w:hAnsi="Palatino Linotype"/>
                <w:sz w:val="20"/>
              </w:rPr>
              <w:t xml:space="preserve">build </w:t>
            </w:r>
            <w:r w:rsidR="00727AC4">
              <w:rPr>
                <w:rFonts w:ascii="Palatino Linotype" w:hAnsi="Palatino Linotype"/>
                <w:sz w:val="20"/>
              </w:rPr>
              <w:t xml:space="preserve">last-mile </w:t>
            </w:r>
            <w:r w:rsidR="00B64E6D">
              <w:rPr>
                <w:rFonts w:ascii="Palatino Linotype" w:hAnsi="Palatino Linotype"/>
                <w:sz w:val="20"/>
              </w:rPr>
              <w:t xml:space="preserve">fiber </w:t>
            </w:r>
            <w:r w:rsidR="000101B7">
              <w:rPr>
                <w:rFonts w:ascii="Palatino Linotype" w:hAnsi="Palatino Linotype"/>
                <w:sz w:val="20"/>
              </w:rPr>
              <w:t xml:space="preserve">optic </w:t>
            </w:r>
            <w:r w:rsidR="00B64E6D">
              <w:rPr>
                <w:rFonts w:ascii="Palatino Linotype" w:hAnsi="Palatino Linotype"/>
                <w:sz w:val="20"/>
              </w:rPr>
              <w:t>infrastructure in Crescent City to enable fiber</w:t>
            </w:r>
            <w:r w:rsidR="007A19BF">
              <w:rPr>
                <w:rFonts w:ascii="Palatino Linotype" w:hAnsi="Palatino Linotype"/>
                <w:sz w:val="20"/>
              </w:rPr>
              <w:t>-</w:t>
            </w:r>
            <w:r w:rsidR="00B64E6D">
              <w:rPr>
                <w:rFonts w:ascii="Palatino Linotype" w:hAnsi="Palatino Linotype"/>
                <w:sz w:val="20"/>
              </w:rPr>
              <w:t>to</w:t>
            </w:r>
            <w:r w:rsidR="007A19BF">
              <w:rPr>
                <w:rFonts w:ascii="Palatino Linotype" w:hAnsi="Palatino Linotype"/>
                <w:sz w:val="20"/>
              </w:rPr>
              <w:t>-</w:t>
            </w:r>
            <w:r w:rsidR="00B64E6D">
              <w:rPr>
                <w:rFonts w:ascii="Palatino Linotype" w:hAnsi="Palatino Linotype"/>
                <w:sz w:val="20"/>
              </w:rPr>
              <w:t>the</w:t>
            </w:r>
            <w:r w:rsidR="007A19BF">
              <w:rPr>
                <w:rFonts w:ascii="Palatino Linotype" w:hAnsi="Palatino Linotype"/>
                <w:sz w:val="20"/>
              </w:rPr>
              <w:t>-</w:t>
            </w:r>
            <w:r w:rsidR="00B64E6D">
              <w:rPr>
                <w:rFonts w:ascii="Palatino Linotype" w:hAnsi="Palatino Linotype"/>
                <w:sz w:val="20"/>
              </w:rPr>
              <w:t>premise</w:t>
            </w:r>
            <w:r w:rsidRPr="00ED777B">
              <w:rPr>
                <w:rFonts w:ascii="Palatino Linotype" w:hAnsi="Palatino Linotype"/>
                <w:sz w:val="20"/>
              </w:rPr>
              <w:t xml:space="preserve"> </w:t>
            </w:r>
            <w:r w:rsidR="004E7A6C">
              <w:rPr>
                <w:rFonts w:ascii="Palatino Linotype" w:hAnsi="Palatino Linotype"/>
                <w:sz w:val="20"/>
              </w:rPr>
              <w:t xml:space="preserve">(FTTP) high-speed Internet </w:t>
            </w:r>
            <w:r w:rsidRPr="00ED777B">
              <w:rPr>
                <w:rFonts w:ascii="Palatino Linotype" w:hAnsi="Palatino Linotype"/>
                <w:sz w:val="20"/>
              </w:rPr>
              <w:t xml:space="preserve">service to </w:t>
            </w:r>
            <w:r w:rsidR="0017319E">
              <w:rPr>
                <w:rFonts w:ascii="Palatino Linotype" w:hAnsi="Palatino Linotype"/>
                <w:sz w:val="20"/>
              </w:rPr>
              <w:t>105</w:t>
            </w:r>
            <w:r w:rsidRPr="00ED777B">
              <w:rPr>
                <w:rFonts w:ascii="Palatino Linotype" w:hAnsi="Palatino Linotype"/>
                <w:sz w:val="20"/>
              </w:rPr>
              <w:t xml:space="preserve"> </w:t>
            </w:r>
            <w:r w:rsidR="00315BF1">
              <w:rPr>
                <w:rFonts w:ascii="Palatino Linotype" w:hAnsi="Palatino Linotype"/>
                <w:sz w:val="20"/>
              </w:rPr>
              <w:t>unserved</w:t>
            </w:r>
            <w:r w:rsidRPr="00ED777B">
              <w:rPr>
                <w:rFonts w:ascii="Palatino Linotype" w:hAnsi="Palatino Linotype"/>
                <w:sz w:val="20"/>
              </w:rPr>
              <w:t xml:space="preserve"> households. The project will provide </w:t>
            </w:r>
            <w:r w:rsidR="009324C3">
              <w:rPr>
                <w:rFonts w:ascii="Palatino Linotype" w:hAnsi="Palatino Linotype"/>
                <w:sz w:val="20"/>
              </w:rPr>
              <w:t>at least 50</w:t>
            </w:r>
            <w:r w:rsidRPr="00ED777B">
              <w:rPr>
                <w:rFonts w:ascii="Palatino Linotype" w:hAnsi="Palatino Linotype"/>
                <w:sz w:val="20"/>
              </w:rPr>
              <w:t xml:space="preserve"> Mbps download and </w:t>
            </w:r>
            <w:r w:rsidR="009324C3">
              <w:rPr>
                <w:rFonts w:ascii="Palatino Linotype" w:hAnsi="Palatino Linotype"/>
                <w:sz w:val="20"/>
              </w:rPr>
              <w:t>50</w:t>
            </w:r>
            <w:r w:rsidRPr="00ED777B">
              <w:rPr>
                <w:rFonts w:ascii="Palatino Linotype" w:hAnsi="Palatino Linotype"/>
                <w:sz w:val="20"/>
              </w:rPr>
              <w:t xml:space="preserve"> Mbps upload speeds.</w:t>
            </w:r>
          </w:p>
        </w:tc>
      </w:tr>
      <w:tr w:rsidRPr="00352E7F" w:rsidR="00CF06BE" w:rsidTr="00CF06BE" w14:paraId="5A2EACC6"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FC557D" w:rsidRDefault="00CF06BE" w14:paraId="054CD96B" w14:textId="77777777">
            <w:pPr>
              <w:keepNext/>
              <w:keepLines/>
              <w:jc w:val="center"/>
              <w:rPr>
                <w:rFonts w:ascii="Palatino Linotype" w:hAnsi="Palatino Linotype"/>
                <w:i/>
                <w:sz w:val="20"/>
              </w:rPr>
            </w:pPr>
            <w:r w:rsidRPr="00ED777B">
              <w:rPr>
                <w:rFonts w:ascii="Palatino Linotype" w:hAnsi="Palatino Linotype"/>
                <w:i/>
                <w:sz w:val="20"/>
              </w:rPr>
              <w:t xml:space="preserve">Project Size </w:t>
            </w:r>
          </w:p>
          <w:p w:rsidRPr="00ED777B" w:rsidR="00CF06BE" w:rsidRDefault="00CF06BE" w14:paraId="15236957" w14:textId="59FACB0F">
            <w:pPr>
              <w:keepNext/>
              <w:keepLines/>
              <w:jc w:val="center"/>
              <w:rPr>
                <w:rFonts w:ascii="Palatino Linotype" w:hAnsi="Palatino Linotype"/>
                <w:i/>
                <w:sz w:val="20"/>
              </w:rPr>
            </w:pPr>
            <w:r w:rsidRPr="00ED777B">
              <w:rPr>
                <w:rFonts w:ascii="Palatino Linotype" w:hAnsi="Palatino Linotype"/>
                <w:i/>
                <w:sz w:val="20"/>
              </w:rPr>
              <w:t>(in square miles)</w:t>
            </w:r>
          </w:p>
        </w:tc>
        <w:tc>
          <w:tcPr>
            <w:tcW w:w="6851" w:type="dxa"/>
            <w:gridSpan w:val="2"/>
            <w:tcBorders>
              <w:top w:val="single" w:color="auto" w:sz="4" w:space="0"/>
              <w:left w:val="single" w:color="auto" w:sz="4" w:space="0"/>
              <w:bottom w:val="single" w:color="auto" w:sz="4" w:space="0"/>
              <w:right w:val="single" w:color="auto" w:sz="4" w:space="0"/>
            </w:tcBorders>
            <w:vAlign w:val="center"/>
            <w:hideMark/>
          </w:tcPr>
          <w:p w:rsidRPr="00ED777B" w:rsidR="00CF06BE" w:rsidRDefault="00E4472A" w14:paraId="0A8CE4B5" w14:textId="3E1292D5">
            <w:pPr>
              <w:keepNext/>
              <w:keepLines/>
              <w:spacing w:before="120" w:after="120"/>
              <w:jc w:val="center"/>
              <w:rPr>
                <w:rFonts w:ascii="Palatino Linotype" w:hAnsi="Palatino Linotype"/>
                <w:sz w:val="20"/>
                <w:highlight w:val="yellow"/>
              </w:rPr>
            </w:pPr>
            <w:r>
              <w:rPr>
                <w:rFonts w:ascii="Palatino Linotype" w:hAnsi="Palatino Linotype"/>
                <w:sz w:val="20"/>
              </w:rPr>
              <w:t>0.11</w:t>
            </w:r>
          </w:p>
        </w:tc>
      </w:tr>
      <w:tr w:rsidRPr="00352E7F" w:rsidR="00CF06BE" w:rsidTr="00CF06BE" w14:paraId="196CC6C3"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CF06BE" w:rsidRDefault="00CF06BE" w14:paraId="4BA70A89" w14:textId="77777777">
            <w:pPr>
              <w:keepNext/>
              <w:keepLines/>
              <w:jc w:val="center"/>
              <w:rPr>
                <w:rFonts w:ascii="Palatino Linotype" w:hAnsi="Palatino Linotype"/>
                <w:i/>
                <w:sz w:val="20"/>
              </w:rPr>
            </w:pPr>
            <w:r w:rsidRPr="00ED777B">
              <w:rPr>
                <w:rFonts w:ascii="Palatino Linotype" w:hAnsi="Palatino Linotype"/>
                <w:i/>
                <w:sz w:val="20"/>
              </w:rPr>
              <w:t>Download/Upload speed</w:t>
            </w:r>
          </w:p>
        </w:tc>
        <w:tc>
          <w:tcPr>
            <w:tcW w:w="6851" w:type="dxa"/>
            <w:gridSpan w:val="2"/>
            <w:tcBorders>
              <w:top w:val="single" w:color="auto" w:sz="4" w:space="0"/>
              <w:left w:val="single" w:color="auto" w:sz="4" w:space="0"/>
              <w:bottom w:val="single" w:color="auto" w:sz="4" w:space="0"/>
              <w:right w:val="single" w:color="auto" w:sz="4" w:space="0"/>
            </w:tcBorders>
            <w:vAlign w:val="center"/>
            <w:hideMark/>
          </w:tcPr>
          <w:p w:rsidRPr="00ED777B" w:rsidR="00CF06BE" w:rsidRDefault="00613C05" w14:paraId="624C051B" w14:textId="1F49EAE3">
            <w:pPr>
              <w:keepNext/>
              <w:keepLines/>
              <w:spacing w:before="120" w:after="120"/>
              <w:jc w:val="center"/>
              <w:rPr>
                <w:rFonts w:ascii="Palatino Linotype" w:hAnsi="Palatino Linotype"/>
                <w:sz w:val="20"/>
              </w:rPr>
            </w:pPr>
            <w:r>
              <w:rPr>
                <w:rFonts w:ascii="Palatino Linotype" w:hAnsi="Palatino Linotype"/>
                <w:sz w:val="20"/>
              </w:rPr>
              <w:t>50</w:t>
            </w:r>
            <w:r w:rsidRPr="00ED777B" w:rsidR="00CF06BE">
              <w:rPr>
                <w:rFonts w:ascii="Palatino Linotype" w:hAnsi="Palatino Linotype"/>
                <w:sz w:val="20"/>
              </w:rPr>
              <w:t xml:space="preserve">Mbps / </w:t>
            </w:r>
            <w:r>
              <w:rPr>
                <w:rFonts w:ascii="Palatino Linotype" w:hAnsi="Palatino Linotype"/>
                <w:sz w:val="20"/>
              </w:rPr>
              <w:t>50</w:t>
            </w:r>
            <w:r w:rsidRPr="00ED777B" w:rsidR="00CF06BE">
              <w:rPr>
                <w:rFonts w:ascii="Palatino Linotype" w:hAnsi="Palatino Linotype"/>
                <w:sz w:val="20"/>
              </w:rPr>
              <w:t xml:space="preserve"> Mbps</w:t>
            </w:r>
          </w:p>
        </w:tc>
      </w:tr>
      <w:tr w:rsidRPr="00352E7F" w:rsidR="00CF06BE" w:rsidTr="00CF06BE" w14:paraId="5BE7D870"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CF06BE" w:rsidRDefault="00CF06BE" w14:paraId="7D11D42B" w14:textId="77777777">
            <w:pPr>
              <w:keepNext/>
              <w:keepLines/>
              <w:spacing w:before="120" w:after="120"/>
              <w:jc w:val="center"/>
              <w:rPr>
                <w:rFonts w:ascii="Palatino Linotype" w:hAnsi="Palatino Linotype"/>
                <w:i/>
                <w:sz w:val="20"/>
              </w:rPr>
            </w:pPr>
            <w:r w:rsidRPr="00ED777B">
              <w:rPr>
                <w:rFonts w:ascii="Palatino Linotype" w:hAnsi="Palatino Linotype"/>
                <w:i/>
                <w:sz w:val="20"/>
              </w:rPr>
              <w:t>Location</w:t>
            </w:r>
          </w:p>
        </w:tc>
        <w:tc>
          <w:tcPr>
            <w:tcW w:w="6851" w:type="dxa"/>
            <w:gridSpan w:val="2"/>
            <w:tcBorders>
              <w:top w:val="single" w:color="auto" w:sz="4" w:space="0"/>
              <w:left w:val="single" w:color="auto" w:sz="4" w:space="0"/>
              <w:bottom w:val="single" w:color="auto" w:sz="4" w:space="0"/>
              <w:right w:val="single" w:color="auto" w:sz="4" w:space="0"/>
            </w:tcBorders>
            <w:vAlign w:val="center"/>
            <w:hideMark/>
          </w:tcPr>
          <w:p w:rsidRPr="00ED777B" w:rsidR="00CF06BE" w:rsidRDefault="00613C05" w14:paraId="300571B4" w14:textId="081D439B">
            <w:pPr>
              <w:keepNext/>
              <w:keepLines/>
              <w:spacing w:before="120" w:after="120"/>
              <w:jc w:val="center"/>
              <w:rPr>
                <w:rFonts w:ascii="Palatino Linotype" w:hAnsi="Palatino Linotype"/>
                <w:sz w:val="20"/>
              </w:rPr>
            </w:pPr>
            <w:r>
              <w:rPr>
                <w:rFonts w:ascii="Palatino Linotype" w:hAnsi="Palatino Linotype"/>
                <w:sz w:val="20"/>
              </w:rPr>
              <w:t>Del Norte</w:t>
            </w:r>
          </w:p>
        </w:tc>
      </w:tr>
      <w:tr w:rsidRPr="00352E7F" w:rsidR="00CF06BE" w:rsidTr="00CF06BE" w14:paraId="06831FAB"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CF06BE" w:rsidRDefault="00CF06BE" w14:paraId="6867168E" w14:textId="77777777">
            <w:pPr>
              <w:keepNext/>
              <w:keepLines/>
              <w:jc w:val="center"/>
              <w:rPr>
                <w:rFonts w:ascii="Palatino Linotype" w:hAnsi="Palatino Linotype"/>
                <w:i/>
                <w:sz w:val="20"/>
              </w:rPr>
            </w:pPr>
            <w:r w:rsidRPr="00ED777B">
              <w:rPr>
                <w:rFonts w:ascii="Palatino Linotype" w:hAnsi="Palatino Linotype"/>
                <w:i/>
                <w:sz w:val="20"/>
              </w:rPr>
              <w:t>Community Name</w:t>
            </w:r>
          </w:p>
        </w:tc>
        <w:tc>
          <w:tcPr>
            <w:tcW w:w="6851" w:type="dxa"/>
            <w:gridSpan w:val="2"/>
            <w:tcBorders>
              <w:top w:val="single" w:color="auto" w:sz="4" w:space="0"/>
              <w:left w:val="single" w:color="auto" w:sz="4" w:space="0"/>
              <w:bottom w:val="single" w:color="auto" w:sz="4" w:space="0"/>
              <w:right w:val="single" w:color="auto" w:sz="4" w:space="0"/>
            </w:tcBorders>
            <w:vAlign w:val="center"/>
            <w:hideMark/>
          </w:tcPr>
          <w:p w:rsidRPr="00ED777B" w:rsidR="00CF06BE" w:rsidRDefault="00613C05" w14:paraId="55D92591" w14:textId="69392811">
            <w:pPr>
              <w:keepNext/>
              <w:keepLines/>
              <w:spacing w:before="120" w:after="120"/>
              <w:jc w:val="center"/>
              <w:rPr>
                <w:rFonts w:ascii="Palatino Linotype" w:hAnsi="Palatino Linotype"/>
                <w:sz w:val="20"/>
              </w:rPr>
            </w:pPr>
            <w:r>
              <w:rPr>
                <w:rFonts w:ascii="Palatino Linotype" w:hAnsi="Palatino Linotype"/>
                <w:color w:val="000000"/>
                <w:sz w:val="20"/>
              </w:rPr>
              <w:t>Crescent City</w:t>
            </w:r>
          </w:p>
        </w:tc>
      </w:tr>
      <w:tr w:rsidRPr="00352E7F" w:rsidR="002A7B97" w:rsidTr="002B3F69" w14:paraId="1903CA23"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2A7B97" w:rsidRDefault="002A7B97" w14:paraId="6F629D7D" w14:textId="468858C1">
            <w:pPr>
              <w:keepNext/>
              <w:keepLines/>
              <w:jc w:val="center"/>
              <w:rPr>
                <w:rFonts w:ascii="Palatino Linotype" w:hAnsi="Palatino Linotype"/>
                <w:i/>
                <w:sz w:val="20"/>
              </w:rPr>
            </w:pPr>
            <w:r w:rsidRPr="00ED777B">
              <w:rPr>
                <w:rFonts w:ascii="Palatino Linotype" w:hAnsi="Palatino Linotype"/>
                <w:i/>
                <w:sz w:val="20"/>
              </w:rPr>
              <w:t>Census Blo</w:t>
            </w:r>
            <w:r>
              <w:rPr>
                <w:rFonts w:ascii="Palatino Linotype" w:hAnsi="Palatino Linotype"/>
                <w:i/>
                <w:sz w:val="20"/>
              </w:rPr>
              <w:t>ck</w:t>
            </w:r>
            <w:r w:rsidRPr="00ED777B">
              <w:rPr>
                <w:rFonts w:ascii="Palatino Linotype" w:hAnsi="Palatino Linotype"/>
                <w:i/>
                <w:sz w:val="20"/>
              </w:rPr>
              <w:t>s</w:t>
            </w:r>
          </w:p>
        </w:tc>
        <w:tc>
          <w:tcPr>
            <w:tcW w:w="3425" w:type="dxa"/>
            <w:tcBorders>
              <w:top w:val="single" w:color="auto" w:sz="4" w:space="0"/>
              <w:left w:val="single" w:color="auto" w:sz="4" w:space="0"/>
              <w:bottom w:val="single" w:color="auto" w:sz="4" w:space="0"/>
              <w:right w:val="single" w:color="auto" w:sz="4" w:space="0"/>
            </w:tcBorders>
            <w:vAlign w:val="center"/>
            <w:hideMark/>
          </w:tcPr>
          <w:p w:rsidR="002A7B97" w:rsidP="00493099" w:rsidRDefault="002A7B97" w14:paraId="4C6DB43B" w14:textId="1FDCBA59">
            <w:pPr>
              <w:jc w:val="center"/>
              <w:rPr>
                <w:rFonts w:ascii="Palatino Linotype" w:hAnsi="Palatino Linotype"/>
                <w:color w:val="000000"/>
                <w:sz w:val="20"/>
              </w:rPr>
            </w:pPr>
            <w:r>
              <w:rPr>
                <w:rFonts w:ascii="Palatino Linotype" w:hAnsi="Palatino Linotype"/>
                <w:color w:val="000000"/>
                <w:sz w:val="20"/>
              </w:rPr>
              <w:t>060150001041007</w:t>
            </w:r>
          </w:p>
          <w:p w:rsidR="002A7B97" w:rsidP="00493099" w:rsidRDefault="002A7B97" w14:paraId="7C0F0A28" w14:textId="4090572F">
            <w:pPr>
              <w:jc w:val="center"/>
              <w:rPr>
                <w:rFonts w:ascii="Palatino Linotype" w:hAnsi="Palatino Linotype"/>
                <w:color w:val="000000"/>
                <w:sz w:val="20"/>
              </w:rPr>
            </w:pPr>
            <w:r>
              <w:rPr>
                <w:rFonts w:ascii="Palatino Linotype" w:hAnsi="Palatino Linotype"/>
                <w:color w:val="000000"/>
                <w:sz w:val="20"/>
              </w:rPr>
              <w:t>060150001041019</w:t>
            </w:r>
          </w:p>
          <w:p w:rsidR="002A7B97" w:rsidP="0035689C" w:rsidRDefault="002A7B97" w14:paraId="2F4C0916" w14:textId="77777777">
            <w:pPr>
              <w:jc w:val="center"/>
              <w:rPr>
                <w:rFonts w:ascii="Palatino Linotype" w:hAnsi="Palatino Linotype"/>
                <w:color w:val="000000"/>
                <w:sz w:val="20"/>
              </w:rPr>
            </w:pPr>
            <w:r>
              <w:rPr>
                <w:rFonts w:ascii="Palatino Linotype" w:hAnsi="Palatino Linotype"/>
                <w:color w:val="000000"/>
                <w:sz w:val="20"/>
              </w:rPr>
              <w:t>060150001051001</w:t>
            </w:r>
          </w:p>
        </w:tc>
        <w:tc>
          <w:tcPr>
            <w:tcW w:w="3426" w:type="dxa"/>
            <w:tcBorders>
              <w:top w:val="single" w:color="auto" w:sz="4" w:space="0"/>
              <w:left w:val="single" w:color="auto" w:sz="4" w:space="0"/>
              <w:bottom w:val="single" w:color="auto" w:sz="4" w:space="0"/>
              <w:right w:val="single" w:color="auto" w:sz="4" w:space="0"/>
            </w:tcBorders>
            <w:vAlign w:val="center"/>
          </w:tcPr>
          <w:p w:rsidR="002A7B97" w:rsidP="005215E2" w:rsidRDefault="002A7B97" w14:paraId="63BB9702" w14:textId="69C114E8">
            <w:pPr>
              <w:jc w:val="center"/>
              <w:rPr>
                <w:rFonts w:ascii="Palatino Linotype" w:hAnsi="Palatino Linotype"/>
                <w:color w:val="000000"/>
                <w:sz w:val="20"/>
              </w:rPr>
            </w:pPr>
            <w:r>
              <w:rPr>
                <w:rFonts w:ascii="Palatino Linotype" w:hAnsi="Palatino Linotype"/>
                <w:color w:val="000000"/>
                <w:sz w:val="20"/>
              </w:rPr>
              <w:t>060150001051003</w:t>
            </w:r>
          </w:p>
          <w:p w:rsidR="002A7B97" w:rsidP="005215E2" w:rsidRDefault="002A7B97" w14:paraId="0E842600" w14:textId="77777777">
            <w:pPr>
              <w:jc w:val="center"/>
              <w:rPr>
                <w:rFonts w:ascii="Palatino Linotype" w:hAnsi="Palatino Linotype"/>
                <w:color w:val="000000"/>
                <w:sz w:val="20"/>
              </w:rPr>
            </w:pPr>
            <w:r>
              <w:rPr>
                <w:rFonts w:ascii="Palatino Linotype" w:hAnsi="Palatino Linotype"/>
                <w:color w:val="000000"/>
                <w:sz w:val="20"/>
              </w:rPr>
              <w:t>060150001053001</w:t>
            </w:r>
          </w:p>
          <w:p w:rsidRPr="00ED777B" w:rsidR="002A7B97" w:rsidP="009A534C" w:rsidRDefault="002A7B97" w14:paraId="22906873" w14:textId="63021CA3">
            <w:pPr>
              <w:jc w:val="center"/>
              <w:rPr>
                <w:rFonts w:ascii="Palatino Linotype" w:hAnsi="Palatino Linotype"/>
                <w:color w:val="000000"/>
                <w:sz w:val="20"/>
              </w:rPr>
            </w:pPr>
            <w:r>
              <w:rPr>
                <w:rFonts w:ascii="Palatino Linotype" w:hAnsi="Palatino Linotype"/>
                <w:color w:val="000000"/>
                <w:sz w:val="20"/>
              </w:rPr>
              <w:t>060150001055008</w:t>
            </w:r>
          </w:p>
        </w:tc>
      </w:tr>
      <w:tr w:rsidRPr="00352E7F" w:rsidR="00CF06BE" w:rsidTr="00CF06BE" w14:paraId="101C8AF8"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CF06BE" w:rsidRDefault="00CF06BE" w14:paraId="416E69B2" w14:textId="384A62B3">
            <w:pPr>
              <w:keepNext/>
              <w:keepLines/>
              <w:jc w:val="center"/>
              <w:rPr>
                <w:rFonts w:ascii="Palatino Linotype" w:hAnsi="Palatino Linotype"/>
                <w:i/>
                <w:sz w:val="20"/>
              </w:rPr>
            </w:pPr>
            <w:r w:rsidRPr="00ED777B">
              <w:rPr>
                <w:rFonts w:ascii="Palatino Linotype" w:hAnsi="Palatino Linotype"/>
                <w:i/>
                <w:sz w:val="20"/>
              </w:rPr>
              <w:t xml:space="preserve"> </w:t>
            </w:r>
            <w:r w:rsidR="00E95E7A">
              <w:rPr>
                <w:rFonts w:ascii="Palatino Linotype" w:hAnsi="Palatino Linotype"/>
                <w:i/>
                <w:sz w:val="20"/>
              </w:rPr>
              <w:t xml:space="preserve">Weighted </w:t>
            </w:r>
            <w:r w:rsidRPr="00ED777B">
              <w:rPr>
                <w:rFonts w:ascii="Palatino Linotype" w:hAnsi="Palatino Linotype"/>
                <w:i/>
                <w:sz w:val="20"/>
              </w:rPr>
              <w:t>Median Household Income</w:t>
            </w:r>
            <w:r w:rsidR="00E95E7A">
              <w:rPr>
                <w:rStyle w:val="FootnoteReference"/>
                <w:rFonts w:ascii="Palatino Linotype" w:hAnsi="Palatino Linotype"/>
                <w:i/>
                <w:sz w:val="20"/>
              </w:rPr>
              <w:footnoteReference w:id="19"/>
            </w:r>
            <w:r w:rsidRPr="00ED777B">
              <w:rPr>
                <w:rFonts w:ascii="Palatino Linotype" w:hAnsi="Palatino Linotype"/>
                <w:i/>
                <w:sz w:val="20"/>
              </w:rPr>
              <w:t xml:space="preserve"> </w:t>
            </w:r>
          </w:p>
        </w:tc>
        <w:tc>
          <w:tcPr>
            <w:tcW w:w="6851" w:type="dxa"/>
            <w:gridSpan w:val="2"/>
            <w:tcBorders>
              <w:top w:val="single" w:color="auto" w:sz="4" w:space="0"/>
              <w:left w:val="single" w:color="auto" w:sz="4" w:space="0"/>
              <w:bottom w:val="single" w:color="auto" w:sz="4" w:space="0"/>
              <w:right w:val="single" w:color="auto" w:sz="4" w:space="0"/>
            </w:tcBorders>
            <w:vAlign w:val="center"/>
            <w:hideMark/>
          </w:tcPr>
          <w:p w:rsidRPr="00ED777B" w:rsidR="00CF06BE" w:rsidRDefault="00CF06BE" w14:paraId="43D9A85B" w14:textId="60355300">
            <w:pPr>
              <w:keepNext/>
              <w:keepLines/>
              <w:spacing w:before="120" w:after="120"/>
              <w:jc w:val="center"/>
              <w:rPr>
                <w:rFonts w:ascii="Palatino Linotype" w:hAnsi="Palatino Linotype"/>
                <w:sz w:val="20"/>
                <w:highlight w:val="yellow"/>
              </w:rPr>
            </w:pPr>
            <w:r w:rsidRPr="00ED777B">
              <w:rPr>
                <w:rFonts w:ascii="Palatino Linotype" w:hAnsi="Palatino Linotype"/>
                <w:sz w:val="20"/>
              </w:rPr>
              <w:t xml:space="preserve">$ </w:t>
            </w:r>
            <w:r w:rsidRPr="00ED777B" w:rsidR="00807F8A">
              <w:rPr>
                <w:rFonts w:ascii="Palatino Linotype" w:hAnsi="Palatino Linotype"/>
                <w:sz w:val="20"/>
              </w:rPr>
              <w:t>44,</w:t>
            </w:r>
            <w:r w:rsidR="00E13C7D">
              <w:rPr>
                <w:rFonts w:ascii="Palatino Linotype" w:hAnsi="Palatino Linotype"/>
                <w:sz w:val="20"/>
              </w:rPr>
              <w:t>227</w:t>
            </w:r>
          </w:p>
        </w:tc>
      </w:tr>
      <w:tr w:rsidRPr="00352E7F" w:rsidR="00CF06BE" w:rsidTr="00CF06BE" w14:paraId="51BD8896"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CF06BE" w:rsidRDefault="00CF06BE" w14:paraId="2FA5AF4B" w14:textId="77777777">
            <w:pPr>
              <w:keepNext/>
              <w:keepLines/>
              <w:jc w:val="center"/>
              <w:rPr>
                <w:rFonts w:ascii="Palatino Linotype" w:hAnsi="Palatino Linotype"/>
                <w:i/>
                <w:sz w:val="20"/>
              </w:rPr>
            </w:pPr>
            <w:r w:rsidRPr="00ED777B">
              <w:rPr>
                <w:rFonts w:ascii="Palatino Linotype" w:hAnsi="Palatino Linotype"/>
                <w:i/>
                <w:sz w:val="20"/>
              </w:rPr>
              <w:t>Estimated Potential Subscriber Size</w:t>
            </w:r>
          </w:p>
        </w:tc>
        <w:tc>
          <w:tcPr>
            <w:tcW w:w="6851" w:type="dxa"/>
            <w:gridSpan w:val="2"/>
            <w:tcBorders>
              <w:top w:val="single" w:color="auto" w:sz="4" w:space="0"/>
              <w:left w:val="single" w:color="auto" w:sz="4" w:space="0"/>
              <w:bottom w:val="single" w:color="auto" w:sz="4" w:space="0"/>
              <w:right w:val="single" w:color="auto" w:sz="4" w:space="0"/>
            </w:tcBorders>
            <w:vAlign w:val="center"/>
            <w:hideMark/>
          </w:tcPr>
          <w:p w:rsidRPr="00CE5E68" w:rsidR="00CF06BE" w:rsidRDefault="00A13745" w14:paraId="0242A4EB" w14:textId="2909E3BA">
            <w:pPr>
              <w:keepNext/>
              <w:keepLines/>
              <w:spacing w:before="120" w:after="120"/>
              <w:jc w:val="center"/>
              <w:rPr>
                <w:rFonts w:ascii="Palatino Linotype" w:hAnsi="Palatino Linotype"/>
                <w:sz w:val="20"/>
              </w:rPr>
            </w:pPr>
            <w:r w:rsidRPr="00CE5E68">
              <w:rPr>
                <w:rFonts w:ascii="Palatino Linotype" w:hAnsi="Palatino Linotype"/>
                <w:sz w:val="20"/>
              </w:rPr>
              <w:t>105</w:t>
            </w:r>
            <w:r w:rsidRPr="00CE5E68" w:rsidR="00CF06BE">
              <w:rPr>
                <w:rFonts w:ascii="Palatino Linotype" w:hAnsi="Palatino Linotype"/>
                <w:sz w:val="20"/>
              </w:rPr>
              <w:t xml:space="preserve"> households (2010 US Census)</w:t>
            </w:r>
          </w:p>
        </w:tc>
      </w:tr>
      <w:tr w:rsidRPr="00352E7F" w:rsidR="00CF06BE" w:rsidTr="00CF06BE" w14:paraId="630870A5"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CF06BE" w:rsidRDefault="00CF06BE" w14:paraId="6F2DCBB1" w14:textId="77777777">
            <w:pPr>
              <w:keepNext/>
              <w:keepLines/>
              <w:jc w:val="center"/>
              <w:rPr>
                <w:rFonts w:ascii="Palatino Linotype" w:hAnsi="Palatino Linotype"/>
                <w:i/>
                <w:sz w:val="20"/>
              </w:rPr>
            </w:pPr>
            <w:r w:rsidRPr="00ED777B">
              <w:rPr>
                <w:rFonts w:ascii="Palatino Linotype" w:hAnsi="Palatino Linotype"/>
                <w:i/>
                <w:sz w:val="20"/>
              </w:rPr>
              <w:t>Applicant Expectations</w:t>
            </w:r>
          </w:p>
        </w:tc>
        <w:tc>
          <w:tcPr>
            <w:tcW w:w="6851" w:type="dxa"/>
            <w:gridSpan w:val="2"/>
            <w:tcBorders>
              <w:top w:val="single" w:color="auto" w:sz="4" w:space="0"/>
              <w:left w:val="single" w:color="auto" w:sz="4" w:space="0"/>
              <w:bottom w:val="single" w:color="auto" w:sz="4" w:space="0"/>
              <w:right w:val="single" w:color="auto" w:sz="4" w:space="0"/>
            </w:tcBorders>
            <w:vAlign w:val="center"/>
            <w:hideMark/>
          </w:tcPr>
          <w:p w:rsidRPr="00CE5E68" w:rsidR="00CF06BE" w:rsidRDefault="00CE5E68" w14:paraId="4AEC370B" w14:textId="75549241">
            <w:pPr>
              <w:keepNext/>
              <w:keepLines/>
              <w:spacing w:before="120" w:after="120"/>
              <w:jc w:val="center"/>
              <w:rPr>
                <w:rFonts w:ascii="Palatino Linotype" w:hAnsi="Palatino Linotype"/>
                <w:sz w:val="20"/>
              </w:rPr>
            </w:pPr>
            <w:r w:rsidRPr="00CE5E68">
              <w:rPr>
                <w:rFonts w:ascii="Palatino Linotype" w:hAnsi="Palatino Linotype"/>
                <w:sz w:val="20"/>
              </w:rPr>
              <w:t>8</w:t>
            </w:r>
            <w:r w:rsidR="00476707">
              <w:rPr>
                <w:rFonts w:ascii="Palatino Linotype" w:hAnsi="Palatino Linotype"/>
                <w:sz w:val="20"/>
              </w:rPr>
              <w:t>4</w:t>
            </w:r>
            <w:r w:rsidRPr="00CE5E68" w:rsidR="00CF06BE">
              <w:rPr>
                <w:rFonts w:ascii="Palatino Linotype" w:hAnsi="Palatino Linotype"/>
                <w:sz w:val="20"/>
              </w:rPr>
              <w:t xml:space="preserve"> customers (</w:t>
            </w:r>
            <w:r w:rsidR="00F10FC4">
              <w:rPr>
                <w:rFonts w:ascii="Palatino Linotype" w:hAnsi="Palatino Linotype"/>
                <w:sz w:val="20"/>
              </w:rPr>
              <w:t>80</w:t>
            </w:r>
            <w:r w:rsidRPr="00CE5E68" w:rsidR="00CF06BE">
              <w:rPr>
                <w:rFonts w:ascii="Palatino Linotype" w:hAnsi="Palatino Linotype"/>
                <w:sz w:val="20"/>
              </w:rPr>
              <w:t>-percent take rate)</w:t>
            </w:r>
          </w:p>
        </w:tc>
      </w:tr>
      <w:tr w:rsidRPr="00352E7F" w:rsidR="00CF06BE" w:rsidTr="00CF06BE" w14:paraId="238B49EC"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CF06BE" w:rsidRDefault="00CF06BE" w14:paraId="55D64700" w14:textId="77777777">
            <w:pPr>
              <w:keepNext/>
              <w:keepLines/>
              <w:jc w:val="center"/>
              <w:rPr>
                <w:rFonts w:ascii="Palatino Linotype" w:hAnsi="Palatino Linotype"/>
                <w:i/>
                <w:sz w:val="20"/>
              </w:rPr>
            </w:pPr>
            <w:r w:rsidRPr="00ED777B">
              <w:rPr>
                <w:rFonts w:ascii="Palatino Linotype" w:hAnsi="Palatino Linotype"/>
                <w:i/>
                <w:sz w:val="20"/>
              </w:rPr>
              <w:t>Pricing Plan (Monthly)</w:t>
            </w:r>
          </w:p>
        </w:tc>
        <w:tc>
          <w:tcPr>
            <w:tcW w:w="6851" w:type="dxa"/>
            <w:gridSpan w:val="2"/>
            <w:tcBorders>
              <w:top w:val="single" w:color="auto" w:sz="4" w:space="0"/>
              <w:left w:val="single" w:color="auto" w:sz="4" w:space="0"/>
              <w:bottom w:val="single" w:color="auto" w:sz="4" w:space="0"/>
              <w:right w:val="single" w:color="auto" w:sz="4" w:space="0"/>
            </w:tcBorders>
            <w:vAlign w:val="center"/>
            <w:hideMark/>
          </w:tcPr>
          <w:p w:rsidRPr="00CE5E68" w:rsidR="00CF06BE" w:rsidRDefault="00D12B46" w14:paraId="186EBBC5" w14:textId="0FEBEEAD">
            <w:pPr>
              <w:keepNext/>
              <w:keepLines/>
              <w:jc w:val="center"/>
              <w:rPr>
                <w:rFonts w:ascii="Palatino Linotype" w:hAnsi="Palatino Linotype"/>
                <w:sz w:val="20"/>
              </w:rPr>
            </w:pPr>
            <w:r w:rsidRPr="00CE5E68">
              <w:rPr>
                <w:rFonts w:ascii="Palatino Linotype" w:hAnsi="Palatino Linotype"/>
                <w:sz w:val="20"/>
              </w:rPr>
              <w:t xml:space="preserve">Fiber </w:t>
            </w:r>
            <w:r w:rsidRPr="00CE5E68" w:rsidR="00CF06BE">
              <w:rPr>
                <w:rFonts w:ascii="Palatino Linotype" w:hAnsi="Palatino Linotype"/>
                <w:sz w:val="20"/>
              </w:rPr>
              <w:t>Internet (stand-alone pricing):</w:t>
            </w:r>
          </w:p>
          <w:p w:rsidRPr="00CE5E68" w:rsidR="00CF06BE" w:rsidRDefault="00062D72" w14:paraId="6B263634" w14:textId="5D4D27A8">
            <w:pPr>
              <w:keepNext/>
              <w:keepLines/>
              <w:ind w:left="-22"/>
              <w:jc w:val="center"/>
              <w:rPr>
                <w:rFonts w:ascii="Palatino Linotype" w:hAnsi="Palatino Linotype"/>
                <w:sz w:val="20"/>
              </w:rPr>
            </w:pPr>
            <w:r w:rsidRPr="00CE5E68">
              <w:rPr>
                <w:rFonts w:ascii="Palatino Linotype" w:hAnsi="Palatino Linotype"/>
                <w:sz w:val="20"/>
              </w:rPr>
              <w:t>50 Mbps / 50 Mbps for $39.99</w:t>
            </w:r>
          </w:p>
          <w:p w:rsidRPr="00CE5E68" w:rsidR="00062D72" w:rsidRDefault="00983DC8" w14:paraId="73F73431" w14:textId="4C31F070">
            <w:pPr>
              <w:keepNext/>
              <w:keepLines/>
              <w:ind w:left="-22"/>
              <w:jc w:val="center"/>
              <w:rPr>
                <w:rFonts w:ascii="Palatino Linotype" w:hAnsi="Palatino Linotype"/>
                <w:sz w:val="20"/>
              </w:rPr>
            </w:pPr>
            <w:r w:rsidRPr="00CE5E68">
              <w:rPr>
                <w:rFonts w:ascii="Palatino Linotype" w:hAnsi="Palatino Linotype"/>
                <w:sz w:val="20"/>
              </w:rPr>
              <w:t>100 Mbps / 100 Mbps for $49.99</w:t>
            </w:r>
          </w:p>
          <w:p w:rsidRPr="00CE5E68" w:rsidR="00983DC8" w:rsidRDefault="00332132" w14:paraId="32E1C723" w14:textId="7807DD34">
            <w:pPr>
              <w:keepNext/>
              <w:keepLines/>
              <w:ind w:left="-22"/>
              <w:jc w:val="center"/>
              <w:rPr>
                <w:rFonts w:ascii="Palatino Linotype" w:hAnsi="Palatino Linotype"/>
                <w:sz w:val="20"/>
              </w:rPr>
            </w:pPr>
            <w:r w:rsidRPr="00CE5E68">
              <w:rPr>
                <w:rFonts w:ascii="Palatino Linotype" w:hAnsi="Palatino Linotype"/>
                <w:sz w:val="20"/>
              </w:rPr>
              <w:t>940 Mbps / 880 Mbps for $74.99</w:t>
            </w:r>
          </w:p>
          <w:p w:rsidRPr="00CE5E68" w:rsidR="00CF06BE" w:rsidRDefault="00643D04" w14:paraId="33FA473A" w14:textId="6FEC6FDD">
            <w:pPr>
              <w:keepNext/>
              <w:keepLines/>
              <w:ind w:left="-22"/>
              <w:jc w:val="center"/>
              <w:rPr>
                <w:rFonts w:ascii="Palatino Linotype" w:hAnsi="Palatino Linotype"/>
                <w:sz w:val="20"/>
              </w:rPr>
            </w:pPr>
            <w:r w:rsidRPr="00CE5E68">
              <w:rPr>
                <w:rFonts w:ascii="Palatino Linotype" w:hAnsi="Palatino Linotype"/>
                <w:sz w:val="20"/>
              </w:rPr>
              <w:t>Low Income</w:t>
            </w:r>
            <w:r w:rsidRPr="00CE5E68" w:rsidR="00D12B46">
              <w:rPr>
                <w:rFonts w:ascii="Palatino Linotype" w:hAnsi="Palatino Linotype"/>
                <w:sz w:val="20"/>
              </w:rPr>
              <w:t xml:space="preserve"> 10</w:t>
            </w:r>
            <w:r w:rsidRPr="00CE5E68" w:rsidR="00062D72">
              <w:rPr>
                <w:rFonts w:ascii="Palatino Linotype" w:hAnsi="Palatino Linotype"/>
                <w:sz w:val="20"/>
              </w:rPr>
              <w:t xml:space="preserve"> Mbps </w:t>
            </w:r>
            <w:r w:rsidRPr="00CE5E68" w:rsidR="00D12B46">
              <w:rPr>
                <w:rFonts w:ascii="Palatino Linotype" w:hAnsi="Palatino Linotype"/>
                <w:sz w:val="20"/>
              </w:rPr>
              <w:t>/</w:t>
            </w:r>
            <w:r w:rsidRPr="00CE5E68" w:rsidR="00826272">
              <w:rPr>
                <w:rFonts w:ascii="Palatino Linotype" w:hAnsi="Palatino Linotype"/>
                <w:sz w:val="20"/>
              </w:rPr>
              <w:t xml:space="preserve"> </w:t>
            </w:r>
            <w:r w:rsidRPr="00CE5E68" w:rsidR="00D12B46">
              <w:rPr>
                <w:rFonts w:ascii="Palatino Linotype" w:hAnsi="Palatino Linotype"/>
                <w:sz w:val="20"/>
              </w:rPr>
              <w:t>1</w:t>
            </w:r>
            <w:r w:rsidRPr="00CE5E68" w:rsidR="004E56F9">
              <w:rPr>
                <w:rFonts w:ascii="Palatino Linotype" w:hAnsi="Palatino Linotype"/>
                <w:sz w:val="20"/>
              </w:rPr>
              <w:t xml:space="preserve"> Mbps</w:t>
            </w:r>
            <w:r w:rsidRPr="00CE5E68" w:rsidR="00CF06BE">
              <w:rPr>
                <w:rFonts w:ascii="Palatino Linotype" w:hAnsi="Palatino Linotype"/>
                <w:sz w:val="20"/>
              </w:rPr>
              <w:t xml:space="preserve"> for $1</w:t>
            </w:r>
            <w:r w:rsidRPr="00CE5E68" w:rsidR="006B7930">
              <w:rPr>
                <w:rFonts w:ascii="Palatino Linotype" w:hAnsi="Palatino Linotype"/>
                <w:sz w:val="20"/>
              </w:rPr>
              <w:t>4</w:t>
            </w:r>
            <w:r w:rsidRPr="00CE5E68" w:rsidR="00CF06BE">
              <w:rPr>
                <w:rFonts w:ascii="Palatino Linotype" w:hAnsi="Palatino Linotype"/>
                <w:sz w:val="20"/>
              </w:rPr>
              <w:t>.99</w:t>
            </w:r>
          </w:p>
        </w:tc>
      </w:tr>
      <w:tr w:rsidRPr="00352E7F" w:rsidR="00CF06BE" w:rsidTr="00CF06BE" w14:paraId="0E5CD0B6"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CF06BE" w:rsidRDefault="00CF06BE" w14:paraId="319FB202" w14:textId="77777777">
            <w:pPr>
              <w:keepNext/>
              <w:keepLines/>
              <w:jc w:val="center"/>
              <w:rPr>
                <w:rFonts w:ascii="Palatino Linotype" w:hAnsi="Palatino Linotype"/>
                <w:i/>
                <w:sz w:val="20"/>
              </w:rPr>
            </w:pPr>
            <w:r w:rsidRPr="00ED777B">
              <w:rPr>
                <w:rFonts w:ascii="Palatino Linotype" w:hAnsi="Palatino Linotype"/>
                <w:i/>
                <w:sz w:val="20"/>
              </w:rPr>
              <w:t>Deployment Schedule</w:t>
            </w:r>
            <w:r w:rsidRPr="00ED777B">
              <w:rPr>
                <w:rFonts w:ascii="Palatino Linotype" w:hAnsi="Palatino Linotype"/>
                <w:i/>
                <w:sz w:val="20"/>
              </w:rPr>
              <w:br/>
              <w:t>(from permit approval date)</w:t>
            </w:r>
          </w:p>
        </w:tc>
        <w:tc>
          <w:tcPr>
            <w:tcW w:w="6851" w:type="dxa"/>
            <w:gridSpan w:val="2"/>
            <w:tcBorders>
              <w:top w:val="single" w:color="auto" w:sz="4" w:space="0"/>
              <w:left w:val="single" w:color="auto" w:sz="4" w:space="0"/>
              <w:bottom w:val="single" w:color="auto" w:sz="4" w:space="0"/>
              <w:right w:val="single" w:color="auto" w:sz="4" w:space="0"/>
            </w:tcBorders>
            <w:vAlign w:val="center"/>
            <w:hideMark/>
          </w:tcPr>
          <w:p w:rsidRPr="00ED777B" w:rsidR="00CF06BE" w:rsidRDefault="00CF06BE" w14:paraId="567CD74F" w14:textId="42BC1AEC">
            <w:pPr>
              <w:keepNext/>
              <w:keepLines/>
              <w:spacing w:before="120" w:after="120"/>
              <w:jc w:val="center"/>
              <w:rPr>
                <w:rFonts w:ascii="Palatino Linotype" w:hAnsi="Palatino Linotype"/>
                <w:sz w:val="20"/>
              </w:rPr>
            </w:pPr>
            <w:r w:rsidRPr="00ED777B">
              <w:rPr>
                <w:rFonts w:ascii="Palatino Linotype" w:hAnsi="Palatino Linotype"/>
                <w:sz w:val="20"/>
              </w:rPr>
              <w:t>1</w:t>
            </w:r>
            <w:r w:rsidRPr="00ED777B" w:rsidR="009D583F">
              <w:rPr>
                <w:rFonts w:ascii="Palatino Linotype" w:hAnsi="Palatino Linotype"/>
                <w:sz w:val="20"/>
              </w:rPr>
              <w:t>1</w:t>
            </w:r>
            <w:r w:rsidRPr="00ED777B">
              <w:rPr>
                <w:rFonts w:ascii="Palatino Linotype" w:hAnsi="Palatino Linotype"/>
                <w:sz w:val="20"/>
              </w:rPr>
              <w:t xml:space="preserve"> months</w:t>
            </w:r>
          </w:p>
        </w:tc>
      </w:tr>
      <w:tr w:rsidRPr="00352E7F" w:rsidR="00CF06BE" w:rsidTr="00CF06BE" w14:paraId="3B50A349"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CF06BE" w:rsidRDefault="00CF06BE" w14:paraId="19BF95E2" w14:textId="3221E99A">
            <w:pPr>
              <w:keepNext/>
              <w:keepLines/>
              <w:jc w:val="center"/>
              <w:rPr>
                <w:rFonts w:ascii="Palatino Linotype" w:hAnsi="Palatino Linotype"/>
                <w:i/>
                <w:sz w:val="20"/>
              </w:rPr>
            </w:pPr>
            <w:r w:rsidRPr="00ED777B">
              <w:rPr>
                <w:rFonts w:ascii="Palatino Linotype" w:hAnsi="Palatino Linotype"/>
                <w:i/>
                <w:sz w:val="20"/>
              </w:rPr>
              <w:t>Proposed Project Budget (Total)</w:t>
            </w:r>
          </w:p>
        </w:tc>
        <w:tc>
          <w:tcPr>
            <w:tcW w:w="6851" w:type="dxa"/>
            <w:gridSpan w:val="2"/>
            <w:tcBorders>
              <w:top w:val="single" w:color="auto" w:sz="4" w:space="0"/>
              <w:left w:val="single" w:color="auto" w:sz="4" w:space="0"/>
              <w:bottom w:val="single" w:color="auto" w:sz="4" w:space="0"/>
              <w:right w:val="single" w:color="auto" w:sz="4" w:space="0"/>
            </w:tcBorders>
            <w:vAlign w:val="center"/>
            <w:hideMark/>
          </w:tcPr>
          <w:p w:rsidRPr="00A57526" w:rsidR="009772D5" w:rsidP="007B7935" w:rsidRDefault="00CF06BE" w14:paraId="65E5C8AE" w14:textId="5A04D74C">
            <w:pPr>
              <w:keepNext/>
              <w:keepLines/>
              <w:jc w:val="center"/>
              <w:rPr>
                <w:rFonts w:ascii="Palatino Linotype" w:hAnsi="Palatino Linotype"/>
                <w:sz w:val="20"/>
              </w:rPr>
            </w:pPr>
            <w:r w:rsidRPr="00A57526">
              <w:rPr>
                <w:rFonts w:ascii="Palatino Linotype" w:hAnsi="Palatino Linotype"/>
                <w:sz w:val="20"/>
              </w:rPr>
              <w:t>$</w:t>
            </w:r>
            <w:r w:rsidRPr="00A57526" w:rsidR="00C30270">
              <w:rPr>
                <w:rFonts w:ascii="Palatino Linotype" w:hAnsi="Palatino Linotype"/>
                <w:sz w:val="20"/>
              </w:rPr>
              <w:t xml:space="preserve"> </w:t>
            </w:r>
            <w:r w:rsidRPr="00A57526" w:rsidR="0031635E">
              <w:rPr>
                <w:rFonts w:ascii="Palatino Linotype" w:hAnsi="Palatino Linotype"/>
                <w:bCs/>
                <w:sz w:val="20"/>
              </w:rPr>
              <w:t>1,</w:t>
            </w:r>
            <w:r w:rsidRPr="00A57526" w:rsidR="0093254E">
              <w:rPr>
                <w:rFonts w:ascii="Palatino Linotype" w:hAnsi="Palatino Linotype"/>
                <w:bCs/>
                <w:sz w:val="20"/>
              </w:rPr>
              <w:t>413,293</w:t>
            </w:r>
          </w:p>
        </w:tc>
      </w:tr>
      <w:tr w:rsidRPr="00352E7F" w:rsidR="00C80EA9" w:rsidTr="00CF06BE" w14:paraId="110A5491" w14:textId="77777777">
        <w:tc>
          <w:tcPr>
            <w:tcW w:w="2499" w:type="dxa"/>
            <w:tcBorders>
              <w:top w:val="single" w:color="auto" w:sz="4" w:space="0"/>
              <w:left w:val="single" w:color="auto" w:sz="4" w:space="0"/>
              <w:bottom w:val="single" w:color="auto" w:sz="4" w:space="0"/>
              <w:right w:val="single" w:color="auto" w:sz="4" w:space="0"/>
            </w:tcBorders>
            <w:vAlign w:val="center"/>
          </w:tcPr>
          <w:p w:rsidRPr="00ED777B" w:rsidR="00C80EA9" w:rsidP="00C80EA9" w:rsidRDefault="00C80EA9" w14:paraId="620B3FAF" w14:textId="7216AC53">
            <w:pPr>
              <w:keepNext/>
              <w:keepLines/>
              <w:jc w:val="center"/>
              <w:rPr>
                <w:rFonts w:ascii="Palatino Linotype" w:hAnsi="Palatino Linotype"/>
                <w:i/>
                <w:sz w:val="20"/>
              </w:rPr>
            </w:pPr>
            <w:r w:rsidRPr="00ED777B">
              <w:rPr>
                <w:rFonts w:ascii="Palatino Linotype" w:hAnsi="Palatino Linotype"/>
                <w:i/>
                <w:sz w:val="20"/>
              </w:rPr>
              <w:t>Grant Requested Amount</w:t>
            </w:r>
          </w:p>
        </w:tc>
        <w:tc>
          <w:tcPr>
            <w:tcW w:w="6851" w:type="dxa"/>
            <w:gridSpan w:val="2"/>
            <w:tcBorders>
              <w:top w:val="single" w:color="auto" w:sz="4" w:space="0"/>
              <w:left w:val="single" w:color="auto" w:sz="4" w:space="0"/>
              <w:bottom w:val="single" w:color="auto" w:sz="4" w:space="0"/>
              <w:right w:val="single" w:color="auto" w:sz="4" w:space="0"/>
            </w:tcBorders>
            <w:vAlign w:val="center"/>
          </w:tcPr>
          <w:p w:rsidRPr="00A57526" w:rsidR="00C80EA9" w:rsidP="00C80EA9" w:rsidRDefault="0093254E" w14:paraId="64970792" w14:textId="4634D794">
            <w:pPr>
              <w:keepNext/>
              <w:keepLines/>
              <w:jc w:val="center"/>
              <w:rPr>
                <w:rFonts w:ascii="Palatino Linotype" w:hAnsi="Palatino Linotype"/>
                <w:sz w:val="20"/>
              </w:rPr>
            </w:pPr>
            <w:r w:rsidRPr="00A57526">
              <w:rPr>
                <w:rFonts w:ascii="Palatino Linotype" w:hAnsi="Palatino Linotype"/>
                <w:sz w:val="20"/>
              </w:rPr>
              <w:t xml:space="preserve">$ </w:t>
            </w:r>
            <w:r w:rsidRPr="00A57526">
              <w:rPr>
                <w:rFonts w:ascii="Palatino Linotype" w:hAnsi="Palatino Linotype"/>
                <w:bCs/>
                <w:sz w:val="20"/>
              </w:rPr>
              <w:t>1,413,293</w:t>
            </w:r>
          </w:p>
        </w:tc>
      </w:tr>
      <w:tr w:rsidRPr="00352E7F" w:rsidR="00C80EA9" w:rsidTr="00CF06BE" w14:paraId="5B8CD361"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C80EA9" w:rsidP="00C80EA9" w:rsidRDefault="00C80EA9" w14:paraId="43BABCF9" w14:textId="77777777">
            <w:pPr>
              <w:keepNext/>
              <w:keepLines/>
              <w:jc w:val="center"/>
              <w:rPr>
                <w:rFonts w:ascii="Palatino Linotype" w:hAnsi="Palatino Linotype"/>
                <w:i/>
                <w:sz w:val="20"/>
              </w:rPr>
            </w:pPr>
            <w:r w:rsidRPr="00ED777B">
              <w:rPr>
                <w:rFonts w:ascii="Palatino Linotype" w:hAnsi="Palatino Linotype"/>
                <w:i/>
                <w:sz w:val="20"/>
              </w:rPr>
              <w:t>CASF Grant Amount</w:t>
            </w:r>
          </w:p>
          <w:p w:rsidRPr="00ED777B" w:rsidR="00C80EA9" w:rsidP="00C80EA9" w:rsidRDefault="00C80EA9" w14:paraId="1F950CD3" w14:textId="03EA047C">
            <w:pPr>
              <w:keepNext/>
              <w:keepLines/>
              <w:jc w:val="center"/>
              <w:rPr>
                <w:rFonts w:ascii="Palatino Linotype" w:hAnsi="Palatino Linotype"/>
                <w:i/>
                <w:sz w:val="20"/>
              </w:rPr>
            </w:pPr>
            <w:r w:rsidRPr="00ED777B">
              <w:rPr>
                <w:rFonts w:ascii="Palatino Linotype" w:hAnsi="Palatino Linotype"/>
                <w:i/>
                <w:sz w:val="20"/>
              </w:rPr>
              <w:t>(100 percent)</w:t>
            </w:r>
          </w:p>
        </w:tc>
        <w:tc>
          <w:tcPr>
            <w:tcW w:w="6851" w:type="dxa"/>
            <w:gridSpan w:val="2"/>
            <w:tcBorders>
              <w:top w:val="single" w:color="auto" w:sz="4" w:space="0"/>
              <w:left w:val="single" w:color="auto" w:sz="4" w:space="0"/>
              <w:bottom w:val="single" w:color="auto" w:sz="4" w:space="0"/>
              <w:right w:val="single" w:color="auto" w:sz="4" w:space="0"/>
            </w:tcBorders>
            <w:vAlign w:val="center"/>
            <w:hideMark/>
          </w:tcPr>
          <w:p w:rsidRPr="00A57526" w:rsidR="00C80EA9" w:rsidP="00C80EA9" w:rsidRDefault="0093254E" w14:paraId="3419C44F" w14:textId="366CD6FB">
            <w:pPr>
              <w:keepNext/>
              <w:keepLines/>
              <w:spacing w:before="120" w:after="120"/>
              <w:jc w:val="center"/>
              <w:rPr>
                <w:rFonts w:ascii="Palatino Linotype" w:hAnsi="Palatino Linotype"/>
                <w:sz w:val="20"/>
              </w:rPr>
            </w:pPr>
            <w:r w:rsidRPr="00A57526">
              <w:rPr>
                <w:rFonts w:ascii="Palatino Linotype" w:hAnsi="Palatino Linotype"/>
                <w:sz w:val="20"/>
              </w:rPr>
              <w:t xml:space="preserve">$ </w:t>
            </w:r>
            <w:r w:rsidRPr="00A57526">
              <w:rPr>
                <w:rFonts w:ascii="Palatino Linotype" w:hAnsi="Palatino Linotype"/>
                <w:bCs/>
                <w:sz w:val="20"/>
              </w:rPr>
              <w:t>1,413,293</w:t>
            </w:r>
          </w:p>
        </w:tc>
      </w:tr>
      <w:tr w:rsidRPr="00352E7F" w:rsidR="00C80EA9" w:rsidTr="00CF06BE" w14:paraId="3067965A"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C80EA9" w:rsidP="00C80EA9" w:rsidRDefault="00C80EA9" w14:paraId="66ADC1DC" w14:textId="5D8ECD16">
            <w:pPr>
              <w:keepNext/>
              <w:keepLines/>
              <w:jc w:val="center"/>
              <w:rPr>
                <w:rFonts w:ascii="Palatino Linotype" w:hAnsi="Palatino Linotype"/>
                <w:i/>
                <w:sz w:val="20"/>
              </w:rPr>
            </w:pPr>
            <w:r w:rsidRPr="00ED777B">
              <w:rPr>
                <w:rFonts w:ascii="Palatino Linotype" w:hAnsi="Palatino Linotype"/>
                <w:i/>
                <w:sz w:val="20"/>
              </w:rPr>
              <w:t>Recommended Grant per household</w:t>
            </w:r>
          </w:p>
        </w:tc>
        <w:tc>
          <w:tcPr>
            <w:tcW w:w="6851" w:type="dxa"/>
            <w:gridSpan w:val="2"/>
            <w:tcBorders>
              <w:top w:val="single" w:color="auto" w:sz="4" w:space="0"/>
              <w:left w:val="single" w:color="auto" w:sz="4" w:space="0"/>
              <w:bottom w:val="single" w:color="auto" w:sz="4" w:space="0"/>
              <w:right w:val="single" w:color="auto" w:sz="4" w:space="0"/>
            </w:tcBorders>
            <w:vAlign w:val="center"/>
            <w:hideMark/>
          </w:tcPr>
          <w:p w:rsidRPr="00A57526" w:rsidR="00C80EA9" w:rsidP="00CE3FBC" w:rsidRDefault="00C80EA9" w14:paraId="32F30730" w14:textId="3BB56DE4">
            <w:pPr>
              <w:keepNext/>
              <w:keepLines/>
              <w:jc w:val="center"/>
              <w:rPr>
                <w:rFonts w:ascii="Palatino Linotype" w:hAnsi="Palatino Linotype"/>
                <w:sz w:val="20"/>
              </w:rPr>
            </w:pPr>
            <w:r w:rsidRPr="00A57526">
              <w:rPr>
                <w:rFonts w:ascii="Palatino Linotype" w:hAnsi="Palatino Linotype"/>
                <w:sz w:val="20"/>
              </w:rPr>
              <w:t xml:space="preserve">$ </w:t>
            </w:r>
            <w:r w:rsidRPr="00A57526" w:rsidR="00CE3FBC">
              <w:rPr>
                <w:rFonts w:ascii="Palatino Linotype" w:hAnsi="Palatino Linotype"/>
                <w:sz w:val="20"/>
              </w:rPr>
              <w:t>1</w:t>
            </w:r>
            <w:r w:rsidRPr="00A57526" w:rsidR="00F3573A">
              <w:rPr>
                <w:rFonts w:ascii="Palatino Linotype" w:hAnsi="Palatino Linotype"/>
                <w:sz w:val="20"/>
              </w:rPr>
              <w:t>3,460</w:t>
            </w:r>
          </w:p>
        </w:tc>
      </w:tr>
    </w:tbl>
    <w:p w:rsidR="00CF1ED4" w:rsidP="00CF1ED4" w:rsidRDefault="00CF06BE" w14:paraId="5F05447B" w14:textId="77777777">
      <w:pPr>
        <w:keepNext/>
        <w:keepLines/>
        <w:tabs>
          <w:tab w:val="center" w:pos="4680"/>
          <w:tab w:val="left" w:pos="8385"/>
        </w:tabs>
        <w:rPr>
          <w:rFonts w:ascii="Palatino Linotype" w:hAnsi="Palatino Linotype"/>
          <w:b/>
          <w:szCs w:val="24"/>
        </w:rPr>
      </w:pPr>
      <w:r w:rsidRPr="00352E7F">
        <w:rPr>
          <w:rFonts w:ascii="Palatino Linotype" w:hAnsi="Palatino Linotype"/>
          <w:b/>
          <w:szCs w:val="24"/>
        </w:rPr>
        <w:tab/>
      </w:r>
      <w:r w:rsidR="00CF1ED4">
        <w:rPr>
          <w:rFonts w:ascii="Palatino Linotype" w:hAnsi="Palatino Linotype"/>
          <w:b/>
          <w:szCs w:val="24"/>
        </w:rPr>
        <w:br w:type="page"/>
      </w:r>
    </w:p>
    <w:p w:rsidRPr="00ED777B" w:rsidR="009D3CE2" w:rsidP="00CF1ED4" w:rsidRDefault="009D3CE2" w14:paraId="1AAEA7E2" w14:textId="6521DC17">
      <w:pPr>
        <w:keepNext/>
        <w:keepLines/>
        <w:tabs>
          <w:tab w:val="center" w:pos="4680"/>
          <w:tab w:val="left" w:pos="8385"/>
        </w:tabs>
        <w:jc w:val="center"/>
        <w:rPr>
          <w:rFonts w:ascii="Palatino Linotype" w:hAnsi="Palatino Linotype"/>
          <w:b/>
          <w:szCs w:val="24"/>
        </w:rPr>
      </w:pPr>
      <w:r w:rsidRPr="00ED777B">
        <w:rPr>
          <w:rFonts w:ascii="Palatino Linotype" w:hAnsi="Palatino Linotype"/>
          <w:b/>
          <w:szCs w:val="24"/>
        </w:rPr>
        <w:lastRenderedPageBreak/>
        <w:t xml:space="preserve">APPENDIX </w:t>
      </w:r>
      <w:r w:rsidR="008C176E">
        <w:rPr>
          <w:rFonts w:ascii="Palatino Linotype" w:hAnsi="Palatino Linotype"/>
          <w:b/>
          <w:szCs w:val="24"/>
        </w:rPr>
        <w:t>A</w:t>
      </w:r>
    </w:p>
    <w:p w:rsidR="009D3CE2" w:rsidP="009D3CE2" w:rsidRDefault="009D3CE2" w14:paraId="396B49D7" w14:textId="3B4647AB">
      <w:pPr>
        <w:keepNext/>
        <w:keepLines/>
        <w:jc w:val="center"/>
        <w:rPr>
          <w:rFonts w:ascii="Palatino Linotype" w:hAnsi="Palatino Linotype"/>
          <w:b/>
          <w:szCs w:val="24"/>
        </w:rPr>
      </w:pPr>
      <w:r w:rsidRPr="00ED777B">
        <w:rPr>
          <w:rFonts w:ascii="Palatino Linotype" w:hAnsi="Palatino Linotype"/>
          <w:b/>
          <w:szCs w:val="24"/>
        </w:rPr>
        <w:t xml:space="preserve">Resolution </w:t>
      </w:r>
      <w:r w:rsidRPr="00ED777B" w:rsidR="0037682F">
        <w:rPr>
          <w:rFonts w:ascii="Palatino Linotype" w:hAnsi="Palatino Linotype"/>
          <w:b/>
          <w:szCs w:val="24"/>
        </w:rPr>
        <w:t>T</w:t>
      </w:r>
      <w:r w:rsidRPr="00E4278F" w:rsidR="0037682F">
        <w:rPr>
          <w:rFonts w:ascii="Palatino Linotype" w:hAnsi="Palatino Linotype"/>
          <w:b/>
          <w:szCs w:val="24"/>
        </w:rPr>
        <w:t>-17715</w:t>
      </w:r>
      <w:r>
        <w:rPr>
          <w:rFonts w:ascii="Palatino Linotype" w:hAnsi="Palatino Linotype"/>
          <w:b/>
          <w:szCs w:val="24"/>
        </w:rPr>
        <w:t xml:space="preserve">: </w:t>
      </w:r>
      <w:r w:rsidRPr="00352E7F">
        <w:rPr>
          <w:rFonts w:ascii="Palatino Linotype" w:hAnsi="Palatino Linotype"/>
          <w:b/>
          <w:szCs w:val="24"/>
        </w:rPr>
        <w:t xml:space="preserve">Frontier </w:t>
      </w:r>
      <w:r w:rsidR="00FF1469">
        <w:rPr>
          <w:rFonts w:ascii="Palatino Linotype" w:hAnsi="Palatino Linotype"/>
          <w:b/>
          <w:szCs w:val="24"/>
        </w:rPr>
        <w:t>Smith River</w:t>
      </w:r>
    </w:p>
    <w:p w:rsidRPr="00352E7F" w:rsidR="009D3CE2" w:rsidP="009D3CE2" w:rsidRDefault="009D3CE2" w14:paraId="63FC948B" w14:textId="77777777">
      <w:pPr>
        <w:keepNext/>
        <w:keepLines/>
        <w:spacing w:after="120"/>
        <w:jc w:val="center"/>
        <w:rPr>
          <w:rFonts w:ascii="Palatino Linotype" w:hAnsi="Palatino Linotype"/>
          <w:b/>
          <w:szCs w:val="24"/>
        </w:rPr>
      </w:pPr>
      <w:r>
        <w:rPr>
          <w:rFonts w:ascii="Palatino Linotype" w:hAnsi="Palatino Linotype"/>
          <w:b/>
          <w:szCs w:val="24"/>
        </w:rPr>
        <w:t>CASF Application Key Information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99"/>
        <w:gridCol w:w="6851"/>
      </w:tblGrid>
      <w:tr w:rsidRPr="00352E7F" w:rsidR="009D3CE2" w:rsidTr="00556FEA" w14:paraId="77F537E9" w14:textId="77777777">
        <w:tc>
          <w:tcPr>
            <w:tcW w:w="2499" w:type="dxa"/>
            <w:tcBorders>
              <w:top w:val="single" w:color="auto" w:sz="4" w:space="0"/>
              <w:left w:val="single" w:color="auto" w:sz="4" w:space="0"/>
              <w:bottom w:val="single" w:color="auto" w:sz="4" w:space="0"/>
              <w:right w:val="single" w:color="auto" w:sz="4" w:space="0"/>
            </w:tcBorders>
            <w:shd w:val="clear" w:color="auto" w:fill="BFBFBF"/>
            <w:vAlign w:val="center"/>
            <w:hideMark/>
          </w:tcPr>
          <w:p w:rsidRPr="00E43156" w:rsidR="009D3CE2" w:rsidP="00556FEA" w:rsidRDefault="009D3CE2" w14:paraId="6BDB97B9" w14:textId="77777777">
            <w:pPr>
              <w:keepNext/>
              <w:keepLines/>
              <w:spacing w:before="120" w:after="120"/>
              <w:jc w:val="center"/>
              <w:rPr>
                <w:rFonts w:ascii="Palatino Linotype" w:hAnsi="Palatino Linotype"/>
                <w:i/>
                <w:szCs w:val="24"/>
              </w:rPr>
            </w:pPr>
            <w:r w:rsidRPr="00E43156">
              <w:rPr>
                <w:rFonts w:ascii="Palatino Linotype" w:hAnsi="Palatino Linotype"/>
                <w:i/>
                <w:szCs w:val="24"/>
              </w:rPr>
              <w:t>Project Name</w:t>
            </w:r>
          </w:p>
        </w:tc>
        <w:tc>
          <w:tcPr>
            <w:tcW w:w="6851" w:type="dxa"/>
            <w:tcBorders>
              <w:top w:val="single" w:color="auto" w:sz="4" w:space="0"/>
              <w:left w:val="single" w:color="auto" w:sz="4" w:space="0"/>
              <w:bottom w:val="single" w:color="auto" w:sz="4" w:space="0"/>
              <w:right w:val="single" w:color="auto" w:sz="4" w:space="0"/>
            </w:tcBorders>
            <w:shd w:val="clear" w:color="auto" w:fill="BFBFBF"/>
            <w:vAlign w:val="center"/>
            <w:hideMark/>
          </w:tcPr>
          <w:p w:rsidRPr="00E43156" w:rsidR="009D3CE2" w:rsidP="00556FEA" w:rsidRDefault="009D3CE2" w14:paraId="62587E61" w14:textId="46C056AF">
            <w:pPr>
              <w:keepNext/>
              <w:keepLines/>
              <w:spacing w:before="120" w:after="120"/>
              <w:jc w:val="center"/>
              <w:rPr>
                <w:rFonts w:ascii="Palatino Linotype" w:hAnsi="Palatino Linotype"/>
                <w:b/>
                <w:szCs w:val="24"/>
              </w:rPr>
            </w:pPr>
            <w:r w:rsidRPr="00E43156">
              <w:rPr>
                <w:rFonts w:ascii="Palatino Linotype" w:hAnsi="Palatino Linotype"/>
                <w:b/>
                <w:szCs w:val="24"/>
              </w:rPr>
              <w:t xml:space="preserve">Frontier </w:t>
            </w:r>
            <w:r w:rsidR="00FF1469">
              <w:rPr>
                <w:rFonts w:ascii="Palatino Linotype" w:hAnsi="Palatino Linotype"/>
                <w:b/>
                <w:szCs w:val="24"/>
              </w:rPr>
              <w:t>Smith River</w:t>
            </w:r>
            <w:r>
              <w:rPr>
                <w:rFonts w:ascii="Palatino Linotype" w:hAnsi="Palatino Linotype"/>
                <w:b/>
                <w:szCs w:val="24"/>
              </w:rPr>
              <w:t xml:space="preserve"> Project</w:t>
            </w:r>
          </w:p>
        </w:tc>
      </w:tr>
      <w:tr w:rsidRPr="00352E7F" w:rsidR="009D3CE2" w:rsidTr="00556FEA" w14:paraId="0E90B124"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156EDC55" w14:textId="77777777">
            <w:pPr>
              <w:keepNext/>
              <w:keepLines/>
              <w:spacing w:before="120" w:after="120"/>
              <w:jc w:val="center"/>
              <w:rPr>
                <w:rFonts w:ascii="Palatino Linotype" w:hAnsi="Palatino Linotype"/>
                <w:i/>
                <w:sz w:val="20"/>
              </w:rPr>
            </w:pPr>
            <w:r w:rsidRPr="00ED777B">
              <w:rPr>
                <w:rFonts w:ascii="Palatino Linotype" w:hAnsi="Palatino Linotype"/>
                <w:i/>
                <w:sz w:val="20"/>
              </w:rPr>
              <w:t>Project Plan</w:t>
            </w:r>
          </w:p>
        </w:tc>
        <w:tc>
          <w:tcPr>
            <w:tcW w:w="6851" w:type="dxa"/>
            <w:tcBorders>
              <w:top w:val="single" w:color="auto" w:sz="4" w:space="0"/>
              <w:left w:val="single" w:color="auto" w:sz="4" w:space="0"/>
              <w:bottom w:val="single" w:color="auto" w:sz="4" w:space="0"/>
              <w:right w:val="single" w:color="auto" w:sz="4" w:space="0"/>
            </w:tcBorders>
            <w:vAlign w:val="center"/>
            <w:hideMark/>
          </w:tcPr>
          <w:p w:rsidRPr="00ED777B" w:rsidR="009D3CE2" w:rsidP="003C2840" w:rsidRDefault="009D3CE2" w14:paraId="590777ED" w14:textId="555FFE39">
            <w:pPr>
              <w:keepNext/>
              <w:keepLines/>
              <w:rPr>
                <w:rFonts w:ascii="Palatino Linotype" w:hAnsi="Palatino Linotype"/>
                <w:sz w:val="20"/>
              </w:rPr>
            </w:pPr>
            <w:r w:rsidRPr="00ED777B">
              <w:rPr>
                <w:rFonts w:ascii="Palatino Linotype" w:hAnsi="Palatino Linotype"/>
                <w:sz w:val="20"/>
              </w:rPr>
              <w:t xml:space="preserve">The project proposes to </w:t>
            </w:r>
            <w:r>
              <w:rPr>
                <w:rFonts w:ascii="Palatino Linotype" w:hAnsi="Palatino Linotype"/>
                <w:sz w:val="20"/>
              </w:rPr>
              <w:t xml:space="preserve">build last-mile fiber optic infrastructure in </w:t>
            </w:r>
            <w:r w:rsidR="00F8706A">
              <w:rPr>
                <w:rFonts w:ascii="Palatino Linotype" w:hAnsi="Palatino Linotype"/>
                <w:sz w:val="20"/>
              </w:rPr>
              <w:t xml:space="preserve">Smith River </w:t>
            </w:r>
            <w:r>
              <w:rPr>
                <w:rFonts w:ascii="Palatino Linotype" w:hAnsi="Palatino Linotype"/>
                <w:sz w:val="20"/>
              </w:rPr>
              <w:t>to enable fiber</w:t>
            </w:r>
            <w:r w:rsidR="00253FA7">
              <w:rPr>
                <w:rFonts w:ascii="Palatino Linotype" w:hAnsi="Palatino Linotype"/>
                <w:sz w:val="20"/>
              </w:rPr>
              <w:t>-</w:t>
            </w:r>
            <w:r>
              <w:rPr>
                <w:rFonts w:ascii="Palatino Linotype" w:hAnsi="Palatino Linotype"/>
                <w:sz w:val="20"/>
              </w:rPr>
              <w:t>to</w:t>
            </w:r>
            <w:r w:rsidR="00253FA7">
              <w:rPr>
                <w:rFonts w:ascii="Palatino Linotype" w:hAnsi="Palatino Linotype"/>
                <w:sz w:val="20"/>
              </w:rPr>
              <w:t>-</w:t>
            </w:r>
            <w:r>
              <w:rPr>
                <w:rFonts w:ascii="Palatino Linotype" w:hAnsi="Palatino Linotype"/>
                <w:sz w:val="20"/>
              </w:rPr>
              <w:t>the</w:t>
            </w:r>
            <w:r w:rsidR="00253FA7">
              <w:rPr>
                <w:rFonts w:ascii="Palatino Linotype" w:hAnsi="Palatino Linotype"/>
                <w:sz w:val="20"/>
              </w:rPr>
              <w:t>-</w:t>
            </w:r>
            <w:r>
              <w:rPr>
                <w:rFonts w:ascii="Palatino Linotype" w:hAnsi="Palatino Linotype"/>
                <w:sz w:val="20"/>
              </w:rPr>
              <w:t>premise</w:t>
            </w:r>
            <w:r w:rsidRPr="00ED777B">
              <w:rPr>
                <w:rFonts w:ascii="Palatino Linotype" w:hAnsi="Palatino Linotype"/>
                <w:sz w:val="20"/>
              </w:rPr>
              <w:t xml:space="preserve"> </w:t>
            </w:r>
            <w:r>
              <w:rPr>
                <w:rFonts w:ascii="Palatino Linotype" w:hAnsi="Palatino Linotype"/>
                <w:sz w:val="20"/>
              </w:rPr>
              <w:t xml:space="preserve">(FTTP) high-speed Internet </w:t>
            </w:r>
            <w:r w:rsidRPr="00ED777B">
              <w:rPr>
                <w:rFonts w:ascii="Palatino Linotype" w:hAnsi="Palatino Linotype"/>
                <w:sz w:val="20"/>
              </w:rPr>
              <w:t>service to</w:t>
            </w:r>
            <w:r w:rsidRPr="006F2421">
              <w:rPr>
                <w:rFonts w:ascii="Palatino Linotype" w:hAnsi="Palatino Linotype"/>
                <w:sz w:val="20"/>
              </w:rPr>
              <w:t xml:space="preserve"> </w:t>
            </w:r>
            <w:r w:rsidRPr="006F2421" w:rsidR="00F8706A">
              <w:rPr>
                <w:rFonts w:ascii="Palatino Linotype" w:hAnsi="Palatino Linotype"/>
                <w:sz w:val="20"/>
              </w:rPr>
              <w:t>55</w:t>
            </w:r>
            <w:r w:rsidRPr="006F2421">
              <w:rPr>
                <w:rFonts w:ascii="Palatino Linotype" w:hAnsi="Palatino Linotype"/>
                <w:sz w:val="20"/>
              </w:rPr>
              <w:t xml:space="preserve"> </w:t>
            </w:r>
            <w:r>
              <w:rPr>
                <w:rFonts w:ascii="Palatino Linotype" w:hAnsi="Palatino Linotype"/>
                <w:sz w:val="20"/>
              </w:rPr>
              <w:t>unserved</w:t>
            </w:r>
            <w:r w:rsidRPr="00ED777B">
              <w:rPr>
                <w:rFonts w:ascii="Palatino Linotype" w:hAnsi="Palatino Linotype"/>
                <w:sz w:val="20"/>
              </w:rPr>
              <w:t xml:space="preserve"> households. The project will provide </w:t>
            </w:r>
            <w:r>
              <w:rPr>
                <w:rFonts w:ascii="Palatino Linotype" w:hAnsi="Palatino Linotype"/>
                <w:sz w:val="20"/>
              </w:rPr>
              <w:t>at least 50</w:t>
            </w:r>
            <w:r w:rsidRPr="00ED777B">
              <w:rPr>
                <w:rFonts w:ascii="Palatino Linotype" w:hAnsi="Palatino Linotype"/>
                <w:sz w:val="20"/>
              </w:rPr>
              <w:t xml:space="preserve"> Mbps download and </w:t>
            </w:r>
            <w:r>
              <w:rPr>
                <w:rFonts w:ascii="Palatino Linotype" w:hAnsi="Palatino Linotype"/>
                <w:sz w:val="20"/>
              </w:rPr>
              <w:t>50</w:t>
            </w:r>
            <w:r w:rsidRPr="00ED777B">
              <w:rPr>
                <w:rFonts w:ascii="Palatino Linotype" w:hAnsi="Palatino Linotype"/>
                <w:sz w:val="20"/>
              </w:rPr>
              <w:t xml:space="preserve"> Mbps upload speeds.</w:t>
            </w:r>
          </w:p>
        </w:tc>
      </w:tr>
      <w:tr w:rsidRPr="00352E7F" w:rsidR="009D3CE2" w:rsidTr="00556FEA" w14:paraId="24D976E6"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5FE87716" w14:textId="77777777">
            <w:pPr>
              <w:keepNext/>
              <w:keepLines/>
              <w:jc w:val="center"/>
              <w:rPr>
                <w:rFonts w:ascii="Palatino Linotype" w:hAnsi="Palatino Linotype"/>
                <w:i/>
                <w:sz w:val="20"/>
              </w:rPr>
            </w:pPr>
            <w:r w:rsidRPr="00ED777B">
              <w:rPr>
                <w:rFonts w:ascii="Palatino Linotype" w:hAnsi="Palatino Linotype"/>
                <w:i/>
                <w:sz w:val="20"/>
              </w:rPr>
              <w:t xml:space="preserve">Project Size </w:t>
            </w:r>
          </w:p>
          <w:p w:rsidRPr="00ED777B" w:rsidR="009D3CE2" w:rsidP="00556FEA" w:rsidRDefault="009D3CE2" w14:paraId="742D6BFE" w14:textId="77777777">
            <w:pPr>
              <w:keepNext/>
              <w:keepLines/>
              <w:jc w:val="center"/>
              <w:rPr>
                <w:rFonts w:ascii="Palatino Linotype" w:hAnsi="Palatino Linotype"/>
                <w:i/>
                <w:sz w:val="20"/>
              </w:rPr>
            </w:pPr>
            <w:r w:rsidRPr="00ED777B">
              <w:rPr>
                <w:rFonts w:ascii="Palatino Linotype" w:hAnsi="Palatino Linotype"/>
                <w:i/>
                <w:sz w:val="20"/>
              </w:rPr>
              <w:t>(in square miles)</w:t>
            </w:r>
          </w:p>
        </w:tc>
        <w:tc>
          <w:tcPr>
            <w:tcW w:w="6851"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657C68" w14:paraId="0D94E9C9" w14:textId="21135371">
            <w:pPr>
              <w:keepNext/>
              <w:keepLines/>
              <w:spacing w:before="120" w:after="120"/>
              <w:jc w:val="center"/>
              <w:rPr>
                <w:rFonts w:ascii="Palatino Linotype" w:hAnsi="Palatino Linotype"/>
                <w:sz w:val="20"/>
                <w:highlight w:val="yellow"/>
              </w:rPr>
            </w:pPr>
            <w:r w:rsidRPr="00657C68">
              <w:rPr>
                <w:rFonts w:ascii="Palatino Linotype" w:hAnsi="Palatino Linotype"/>
                <w:sz w:val="20"/>
              </w:rPr>
              <w:t>0.015</w:t>
            </w:r>
          </w:p>
        </w:tc>
      </w:tr>
      <w:tr w:rsidRPr="00352E7F" w:rsidR="009D3CE2" w:rsidTr="00556FEA" w14:paraId="4B124775"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45B315D8" w14:textId="77777777">
            <w:pPr>
              <w:keepNext/>
              <w:keepLines/>
              <w:jc w:val="center"/>
              <w:rPr>
                <w:rFonts w:ascii="Palatino Linotype" w:hAnsi="Palatino Linotype"/>
                <w:i/>
                <w:sz w:val="20"/>
              </w:rPr>
            </w:pPr>
            <w:r w:rsidRPr="00ED777B">
              <w:rPr>
                <w:rFonts w:ascii="Palatino Linotype" w:hAnsi="Palatino Linotype"/>
                <w:i/>
                <w:sz w:val="20"/>
              </w:rPr>
              <w:t>Download/Upload speed</w:t>
            </w:r>
          </w:p>
        </w:tc>
        <w:tc>
          <w:tcPr>
            <w:tcW w:w="6851"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0259D378" w14:textId="77777777">
            <w:pPr>
              <w:keepNext/>
              <w:keepLines/>
              <w:spacing w:before="120" w:after="120"/>
              <w:jc w:val="center"/>
              <w:rPr>
                <w:rFonts w:ascii="Palatino Linotype" w:hAnsi="Palatino Linotype"/>
                <w:sz w:val="20"/>
              </w:rPr>
            </w:pPr>
            <w:r>
              <w:rPr>
                <w:rFonts w:ascii="Palatino Linotype" w:hAnsi="Palatino Linotype"/>
                <w:sz w:val="20"/>
              </w:rPr>
              <w:t>50</w:t>
            </w:r>
            <w:r w:rsidRPr="00ED777B">
              <w:rPr>
                <w:rFonts w:ascii="Palatino Linotype" w:hAnsi="Palatino Linotype"/>
                <w:sz w:val="20"/>
              </w:rPr>
              <w:t xml:space="preserve">Mbps / </w:t>
            </w:r>
            <w:r>
              <w:rPr>
                <w:rFonts w:ascii="Palatino Linotype" w:hAnsi="Palatino Linotype"/>
                <w:sz w:val="20"/>
              </w:rPr>
              <w:t>50</w:t>
            </w:r>
            <w:r w:rsidRPr="00ED777B">
              <w:rPr>
                <w:rFonts w:ascii="Palatino Linotype" w:hAnsi="Palatino Linotype"/>
                <w:sz w:val="20"/>
              </w:rPr>
              <w:t xml:space="preserve"> Mbps</w:t>
            </w:r>
          </w:p>
        </w:tc>
      </w:tr>
      <w:tr w:rsidRPr="00352E7F" w:rsidR="009D3CE2" w:rsidTr="00556FEA" w14:paraId="69EE5AB5"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174C3B6F" w14:textId="77777777">
            <w:pPr>
              <w:keepNext/>
              <w:keepLines/>
              <w:spacing w:before="120" w:after="120"/>
              <w:jc w:val="center"/>
              <w:rPr>
                <w:rFonts w:ascii="Palatino Linotype" w:hAnsi="Palatino Linotype"/>
                <w:i/>
                <w:sz w:val="20"/>
              </w:rPr>
            </w:pPr>
            <w:r w:rsidRPr="00ED777B">
              <w:rPr>
                <w:rFonts w:ascii="Palatino Linotype" w:hAnsi="Palatino Linotype"/>
                <w:i/>
                <w:sz w:val="20"/>
              </w:rPr>
              <w:t>Location</w:t>
            </w:r>
          </w:p>
        </w:tc>
        <w:tc>
          <w:tcPr>
            <w:tcW w:w="6851"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1112BC" w14:paraId="6290D954" w14:textId="2F8F275E">
            <w:pPr>
              <w:keepNext/>
              <w:keepLines/>
              <w:spacing w:before="120" w:after="120"/>
              <w:jc w:val="center"/>
              <w:rPr>
                <w:rFonts w:ascii="Palatino Linotype" w:hAnsi="Palatino Linotype"/>
                <w:sz w:val="20"/>
              </w:rPr>
            </w:pPr>
            <w:r>
              <w:rPr>
                <w:rFonts w:ascii="Palatino Linotype" w:hAnsi="Palatino Linotype"/>
                <w:sz w:val="20"/>
              </w:rPr>
              <w:t>Del Norte</w:t>
            </w:r>
          </w:p>
        </w:tc>
      </w:tr>
      <w:tr w:rsidRPr="00352E7F" w:rsidR="009D3CE2" w:rsidTr="00556FEA" w14:paraId="27F9F851"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781AC0DF" w14:textId="77777777">
            <w:pPr>
              <w:keepNext/>
              <w:keepLines/>
              <w:jc w:val="center"/>
              <w:rPr>
                <w:rFonts w:ascii="Palatino Linotype" w:hAnsi="Palatino Linotype"/>
                <w:i/>
                <w:sz w:val="20"/>
              </w:rPr>
            </w:pPr>
            <w:r w:rsidRPr="00ED777B">
              <w:rPr>
                <w:rFonts w:ascii="Palatino Linotype" w:hAnsi="Palatino Linotype"/>
                <w:i/>
                <w:sz w:val="20"/>
              </w:rPr>
              <w:t>Community Name</w:t>
            </w:r>
          </w:p>
        </w:tc>
        <w:tc>
          <w:tcPr>
            <w:tcW w:w="6851"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7D157E" w14:paraId="3566132A" w14:textId="5D5DC24A">
            <w:pPr>
              <w:keepNext/>
              <w:keepLines/>
              <w:spacing w:before="120" w:after="120"/>
              <w:jc w:val="center"/>
              <w:rPr>
                <w:rFonts w:ascii="Palatino Linotype" w:hAnsi="Palatino Linotype"/>
                <w:sz w:val="20"/>
              </w:rPr>
            </w:pPr>
            <w:proofErr w:type="spellStart"/>
            <w:r>
              <w:rPr>
                <w:rFonts w:ascii="Palatino Linotype" w:hAnsi="Palatino Linotype"/>
                <w:sz w:val="20"/>
              </w:rPr>
              <w:t>Howonquet</w:t>
            </w:r>
            <w:proofErr w:type="spellEnd"/>
            <w:r>
              <w:rPr>
                <w:rFonts w:ascii="Palatino Linotype" w:hAnsi="Palatino Linotype"/>
                <w:sz w:val="20"/>
              </w:rPr>
              <w:t xml:space="preserve"> Village</w:t>
            </w:r>
            <w:r w:rsidR="00230D73">
              <w:rPr>
                <w:rFonts w:ascii="Palatino Linotype" w:hAnsi="Palatino Linotype"/>
                <w:sz w:val="20"/>
              </w:rPr>
              <w:t xml:space="preserve"> Mobile Homes</w:t>
            </w:r>
          </w:p>
        </w:tc>
      </w:tr>
      <w:tr w:rsidRPr="00352E7F" w:rsidR="009D3CE2" w:rsidTr="00556FEA" w14:paraId="04A95E10"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3BB80EE6" w14:textId="3B1A5D23">
            <w:pPr>
              <w:keepNext/>
              <w:keepLines/>
              <w:jc w:val="center"/>
              <w:rPr>
                <w:rFonts w:ascii="Palatino Linotype" w:hAnsi="Palatino Linotype"/>
                <w:i/>
                <w:sz w:val="20"/>
              </w:rPr>
            </w:pPr>
            <w:r w:rsidRPr="00ED777B">
              <w:rPr>
                <w:rFonts w:ascii="Palatino Linotype" w:hAnsi="Palatino Linotype"/>
                <w:i/>
                <w:sz w:val="20"/>
              </w:rPr>
              <w:t>Census Blocks</w:t>
            </w:r>
          </w:p>
        </w:tc>
        <w:tc>
          <w:tcPr>
            <w:tcW w:w="6851" w:type="dxa"/>
            <w:tcBorders>
              <w:top w:val="single" w:color="auto" w:sz="4" w:space="0"/>
              <w:left w:val="single" w:color="auto" w:sz="4" w:space="0"/>
              <w:bottom w:val="single" w:color="auto" w:sz="4" w:space="0"/>
              <w:right w:val="single" w:color="auto" w:sz="4" w:space="0"/>
            </w:tcBorders>
            <w:vAlign w:val="center"/>
            <w:hideMark/>
          </w:tcPr>
          <w:p w:rsidR="001F40AA" w:rsidP="00862384" w:rsidRDefault="00AE0557" w14:paraId="2BB7EE97" w14:textId="77777777">
            <w:pPr>
              <w:jc w:val="center"/>
              <w:rPr>
                <w:rFonts w:ascii="Palatino Linotype" w:hAnsi="Palatino Linotype"/>
                <w:color w:val="000000"/>
                <w:sz w:val="20"/>
              </w:rPr>
            </w:pPr>
            <w:r>
              <w:rPr>
                <w:rFonts w:ascii="Palatino Linotype" w:hAnsi="Palatino Linotype"/>
                <w:color w:val="000000"/>
                <w:sz w:val="20"/>
              </w:rPr>
              <w:t>06015</w:t>
            </w:r>
            <w:r w:rsidR="006930CA">
              <w:rPr>
                <w:rFonts w:ascii="Palatino Linotype" w:hAnsi="Palatino Linotype"/>
                <w:color w:val="000000"/>
                <w:sz w:val="20"/>
              </w:rPr>
              <w:t>0002021</w:t>
            </w:r>
            <w:r w:rsidR="00D048A7">
              <w:rPr>
                <w:rFonts w:ascii="Palatino Linotype" w:hAnsi="Palatino Linotype"/>
                <w:color w:val="000000"/>
                <w:sz w:val="20"/>
              </w:rPr>
              <w:t>083</w:t>
            </w:r>
          </w:p>
          <w:p w:rsidR="002A32DB" w:rsidP="00862384" w:rsidRDefault="002A32DB" w14:paraId="5AD8A604" w14:textId="77777777">
            <w:pPr>
              <w:jc w:val="center"/>
              <w:rPr>
                <w:rFonts w:ascii="Palatino Linotype" w:hAnsi="Palatino Linotype"/>
                <w:color w:val="000000"/>
                <w:sz w:val="20"/>
              </w:rPr>
            </w:pPr>
            <w:r>
              <w:rPr>
                <w:rFonts w:ascii="Palatino Linotype" w:hAnsi="Palatino Linotype"/>
                <w:color w:val="000000"/>
                <w:sz w:val="20"/>
              </w:rPr>
              <w:t>060150002021087</w:t>
            </w:r>
          </w:p>
          <w:p w:rsidR="002A32DB" w:rsidP="00862384" w:rsidRDefault="002A32DB" w14:paraId="76820E87" w14:textId="77777777">
            <w:pPr>
              <w:jc w:val="center"/>
              <w:rPr>
                <w:rFonts w:ascii="Palatino Linotype" w:hAnsi="Palatino Linotype"/>
                <w:color w:val="000000"/>
                <w:sz w:val="20"/>
              </w:rPr>
            </w:pPr>
            <w:r>
              <w:rPr>
                <w:rFonts w:ascii="Palatino Linotype" w:hAnsi="Palatino Linotype"/>
                <w:color w:val="000000"/>
                <w:sz w:val="20"/>
              </w:rPr>
              <w:t>060150002021090</w:t>
            </w:r>
          </w:p>
          <w:p w:rsidR="002A32DB" w:rsidP="00862384" w:rsidRDefault="002A32DB" w14:paraId="774F2993" w14:textId="77777777">
            <w:pPr>
              <w:jc w:val="center"/>
              <w:rPr>
                <w:rFonts w:ascii="Palatino Linotype" w:hAnsi="Palatino Linotype"/>
                <w:color w:val="000000"/>
                <w:sz w:val="20"/>
              </w:rPr>
            </w:pPr>
            <w:r>
              <w:rPr>
                <w:rFonts w:ascii="Palatino Linotype" w:hAnsi="Palatino Linotype"/>
                <w:color w:val="000000"/>
                <w:sz w:val="20"/>
              </w:rPr>
              <w:t>060150002021091</w:t>
            </w:r>
          </w:p>
          <w:p w:rsidRPr="00ED777B" w:rsidR="002A32DB" w:rsidP="00862384" w:rsidRDefault="002A32DB" w14:paraId="694484D9" w14:textId="53B0AB1F">
            <w:pPr>
              <w:jc w:val="center"/>
              <w:rPr>
                <w:rFonts w:ascii="Palatino Linotype" w:hAnsi="Palatino Linotype"/>
                <w:color w:val="000000"/>
                <w:sz w:val="20"/>
              </w:rPr>
            </w:pPr>
            <w:r>
              <w:rPr>
                <w:rFonts w:ascii="Palatino Linotype" w:hAnsi="Palatino Linotype"/>
                <w:color w:val="000000"/>
                <w:sz w:val="20"/>
              </w:rPr>
              <w:t>060150002021</w:t>
            </w:r>
            <w:r w:rsidR="003519D5">
              <w:rPr>
                <w:rFonts w:ascii="Palatino Linotype" w:hAnsi="Palatino Linotype"/>
                <w:color w:val="000000"/>
                <w:sz w:val="20"/>
              </w:rPr>
              <w:t>104</w:t>
            </w:r>
          </w:p>
        </w:tc>
      </w:tr>
      <w:tr w:rsidRPr="00352E7F" w:rsidR="009D3CE2" w:rsidTr="00556FEA" w14:paraId="5F25D7DA"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708A4E7F" w14:textId="2259E730">
            <w:pPr>
              <w:keepNext/>
              <w:keepLines/>
              <w:jc w:val="center"/>
              <w:rPr>
                <w:rFonts w:ascii="Palatino Linotype" w:hAnsi="Palatino Linotype"/>
                <w:i/>
                <w:sz w:val="20"/>
              </w:rPr>
            </w:pPr>
            <w:r w:rsidRPr="00ED777B">
              <w:rPr>
                <w:rFonts w:ascii="Palatino Linotype" w:hAnsi="Palatino Linotype"/>
                <w:i/>
                <w:sz w:val="20"/>
              </w:rPr>
              <w:t>Median Household Income</w:t>
            </w:r>
          </w:p>
        </w:tc>
        <w:tc>
          <w:tcPr>
            <w:tcW w:w="6851"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04F2514E" w14:textId="49237DA9">
            <w:pPr>
              <w:keepNext/>
              <w:keepLines/>
              <w:spacing w:before="120" w:after="120"/>
              <w:jc w:val="center"/>
              <w:rPr>
                <w:rFonts w:ascii="Palatino Linotype" w:hAnsi="Palatino Linotype"/>
                <w:sz w:val="20"/>
                <w:highlight w:val="yellow"/>
              </w:rPr>
            </w:pPr>
            <w:r w:rsidRPr="00ED777B">
              <w:rPr>
                <w:rFonts w:ascii="Palatino Linotype" w:hAnsi="Palatino Linotype"/>
                <w:sz w:val="20"/>
              </w:rPr>
              <w:t xml:space="preserve">$ </w:t>
            </w:r>
            <w:r w:rsidR="006930CA">
              <w:rPr>
                <w:rFonts w:ascii="Palatino Linotype" w:hAnsi="Palatino Linotype"/>
                <w:sz w:val="20"/>
              </w:rPr>
              <w:t>31,901</w:t>
            </w:r>
          </w:p>
        </w:tc>
      </w:tr>
      <w:tr w:rsidRPr="00352E7F" w:rsidR="009D3CE2" w:rsidTr="00556FEA" w14:paraId="4E8242B9"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49D6C114" w14:textId="77777777">
            <w:pPr>
              <w:keepNext/>
              <w:keepLines/>
              <w:jc w:val="center"/>
              <w:rPr>
                <w:rFonts w:ascii="Palatino Linotype" w:hAnsi="Palatino Linotype"/>
                <w:i/>
                <w:sz w:val="20"/>
              </w:rPr>
            </w:pPr>
            <w:r w:rsidRPr="00ED777B">
              <w:rPr>
                <w:rFonts w:ascii="Palatino Linotype" w:hAnsi="Palatino Linotype"/>
                <w:i/>
                <w:sz w:val="20"/>
              </w:rPr>
              <w:t>Estimated Potential Subscriber Size</w:t>
            </w:r>
          </w:p>
        </w:tc>
        <w:tc>
          <w:tcPr>
            <w:tcW w:w="6851" w:type="dxa"/>
            <w:tcBorders>
              <w:top w:val="single" w:color="auto" w:sz="4" w:space="0"/>
              <w:left w:val="single" w:color="auto" w:sz="4" w:space="0"/>
              <w:bottom w:val="single" w:color="auto" w:sz="4" w:space="0"/>
              <w:right w:val="single" w:color="auto" w:sz="4" w:space="0"/>
            </w:tcBorders>
            <w:vAlign w:val="center"/>
            <w:hideMark/>
          </w:tcPr>
          <w:p w:rsidRPr="006930CA" w:rsidR="009D3CE2" w:rsidP="00556FEA" w:rsidRDefault="006930CA" w14:paraId="4EB9F1E8" w14:textId="55A9F104">
            <w:pPr>
              <w:keepNext/>
              <w:keepLines/>
              <w:spacing w:before="120" w:after="120"/>
              <w:jc w:val="center"/>
              <w:rPr>
                <w:rFonts w:ascii="Palatino Linotype" w:hAnsi="Palatino Linotype"/>
                <w:sz w:val="20"/>
              </w:rPr>
            </w:pPr>
            <w:r w:rsidRPr="006930CA">
              <w:rPr>
                <w:rFonts w:ascii="Palatino Linotype" w:hAnsi="Palatino Linotype"/>
                <w:sz w:val="20"/>
              </w:rPr>
              <w:t>55</w:t>
            </w:r>
            <w:r w:rsidRPr="006930CA" w:rsidR="009D3CE2">
              <w:rPr>
                <w:rFonts w:ascii="Palatino Linotype" w:hAnsi="Palatino Linotype"/>
                <w:sz w:val="20"/>
              </w:rPr>
              <w:t xml:space="preserve"> households (2010 US Census)</w:t>
            </w:r>
          </w:p>
        </w:tc>
      </w:tr>
      <w:tr w:rsidRPr="00352E7F" w:rsidR="009D3CE2" w:rsidTr="00556FEA" w14:paraId="1DDBFB14"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76468D31" w14:textId="77777777">
            <w:pPr>
              <w:keepNext/>
              <w:keepLines/>
              <w:jc w:val="center"/>
              <w:rPr>
                <w:rFonts w:ascii="Palatino Linotype" w:hAnsi="Palatino Linotype"/>
                <w:i/>
                <w:sz w:val="20"/>
              </w:rPr>
            </w:pPr>
            <w:r w:rsidRPr="00ED777B">
              <w:rPr>
                <w:rFonts w:ascii="Palatino Linotype" w:hAnsi="Palatino Linotype"/>
                <w:i/>
                <w:sz w:val="20"/>
              </w:rPr>
              <w:t>Applicant Expectations</w:t>
            </w:r>
          </w:p>
        </w:tc>
        <w:tc>
          <w:tcPr>
            <w:tcW w:w="6851" w:type="dxa"/>
            <w:tcBorders>
              <w:top w:val="single" w:color="auto" w:sz="4" w:space="0"/>
              <w:left w:val="single" w:color="auto" w:sz="4" w:space="0"/>
              <w:bottom w:val="single" w:color="auto" w:sz="4" w:space="0"/>
              <w:right w:val="single" w:color="auto" w:sz="4" w:space="0"/>
            </w:tcBorders>
            <w:vAlign w:val="center"/>
            <w:hideMark/>
          </w:tcPr>
          <w:p w:rsidRPr="003C56EA" w:rsidR="009D3CE2" w:rsidP="00556FEA" w:rsidRDefault="003C56EA" w14:paraId="0BA396C7" w14:textId="72D09551">
            <w:pPr>
              <w:keepNext/>
              <w:keepLines/>
              <w:spacing w:before="120" w:after="120"/>
              <w:jc w:val="center"/>
              <w:rPr>
                <w:rFonts w:ascii="Palatino Linotype" w:hAnsi="Palatino Linotype"/>
                <w:sz w:val="20"/>
              </w:rPr>
            </w:pPr>
            <w:r w:rsidRPr="003C56EA">
              <w:rPr>
                <w:rFonts w:ascii="Palatino Linotype" w:hAnsi="Palatino Linotype"/>
                <w:sz w:val="20"/>
              </w:rPr>
              <w:t>4</w:t>
            </w:r>
            <w:r w:rsidR="00F10FC4">
              <w:rPr>
                <w:rFonts w:ascii="Palatino Linotype" w:hAnsi="Palatino Linotype"/>
                <w:sz w:val="20"/>
              </w:rPr>
              <w:t>4</w:t>
            </w:r>
            <w:r w:rsidRPr="003C56EA" w:rsidR="009D3CE2">
              <w:rPr>
                <w:rFonts w:ascii="Palatino Linotype" w:hAnsi="Palatino Linotype"/>
                <w:sz w:val="20"/>
              </w:rPr>
              <w:t xml:space="preserve"> customers (</w:t>
            </w:r>
            <w:r w:rsidR="00EC1C09">
              <w:rPr>
                <w:rFonts w:ascii="Palatino Linotype" w:hAnsi="Palatino Linotype"/>
                <w:sz w:val="20"/>
              </w:rPr>
              <w:t>80</w:t>
            </w:r>
            <w:r w:rsidRPr="003C56EA" w:rsidR="009D3CE2">
              <w:rPr>
                <w:rFonts w:ascii="Palatino Linotype" w:hAnsi="Palatino Linotype"/>
                <w:sz w:val="20"/>
              </w:rPr>
              <w:t>-percent take rate)</w:t>
            </w:r>
          </w:p>
        </w:tc>
      </w:tr>
      <w:tr w:rsidRPr="00352E7F" w:rsidR="009D3CE2" w:rsidTr="00556FEA" w14:paraId="1E8BEC7D"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1B3BFD3E" w14:textId="77777777">
            <w:pPr>
              <w:keepNext/>
              <w:keepLines/>
              <w:jc w:val="center"/>
              <w:rPr>
                <w:rFonts w:ascii="Palatino Linotype" w:hAnsi="Palatino Linotype"/>
                <w:i/>
                <w:sz w:val="20"/>
              </w:rPr>
            </w:pPr>
            <w:r w:rsidRPr="00ED777B">
              <w:rPr>
                <w:rFonts w:ascii="Palatino Linotype" w:hAnsi="Palatino Linotype"/>
                <w:i/>
                <w:sz w:val="20"/>
              </w:rPr>
              <w:t>Pricing Plan (Monthly)</w:t>
            </w:r>
          </w:p>
        </w:tc>
        <w:tc>
          <w:tcPr>
            <w:tcW w:w="6851"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676EF83B" w14:textId="77777777">
            <w:pPr>
              <w:keepNext/>
              <w:keepLines/>
              <w:jc w:val="center"/>
              <w:rPr>
                <w:rFonts w:ascii="Palatino Linotype" w:hAnsi="Palatino Linotype"/>
                <w:sz w:val="20"/>
              </w:rPr>
            </w:pPr>
            <w:r>
              <w:rPr>
                <w:rFonts w:ascii="Palatino Linotype" w:hAnsi="Palatino Linotype"/>
                <w:sz w:val="20"/>
              </w:rPr>
              <w:t xml:space="preserve">Fiber </w:t>
            </w:r>
            <w:r w:rsidRPr="00ED777B">
              <w:rPr>
                <w:rFonts w:ascii="Palatino Linotype" w:hAnsi="Palatino Linotype"/>
                <w:sz w:val="20"/>
              </w:rPr>
              <w:t>Internet (stand-alone pricing):</w:t>
            </w:r>
          </w:p>
          <w:p w:rsidR="009D3CE2" w:rsidP="00556FEA" w:rsidRDefault="009D3CE2" w14:paraId="2735DEEE" w14:textId="77777777">
            <w:pPr>
              <w:keepNext/>
              <w:keepLines/>
              <w:ind w:left="-22"/>
              <w:jc w:val="center"/>
              <w:rPr>
                <w:rFonts w:ascii="Palatino Linotype" w:hAnsi="Palatino Linotype"/>
                <w:sz w:val="20"/>
              </w:rPr>
            </w:pPr>
            <w:r>
              <w:rPr>
                <w:rFonts w:ascii="Palatino Linotype" w:hAnsi="Palatino Linotype"/>
                <w:sz w:val="20"/>
              </w:rPr>
              <w:t>50 Mbps / 50 Mbps for $39.99</w:t>
            </w:r>
          </w:p>
          <w:p w:rsidR="009D3CE2" w:rsidP="00556FEA" w:rsidRDefault="009D3CE2" w14:paraId="58B60EBA" w14:textId="77777777">
            <w:pPr>
              <w:keepNext/>
              <w:keepLines/>
              <w:ind w:left="-22"/>
              <w:jc w:val="center"/>
              <w:rPr>
                <w:rFonts w:ascii="Palatino Linotype" w:hAnsi="Palatino Linotype"/>
                <w:sz w:val="20"/>
              </w:rPr>
            </w:pPr>
            <w:r>
              <w:rPr>
                <w:rFonts w:ascii="Palatino Linotype" w:hAnsi="Palatino Linotype"/>
                <w:sz w:val="20"/>
              </w:rPr>
              <w:t>100 Mbps / 100 Mbps for $49.99</w:t>
            </w:r>
          </w:p>
          <w:p w:rsidRPr="00ED777B" w:rsidR="009D3CE2" w:rsidP="00556FEA" w:rsidRDefault="009D3CE2" w14:paraId="5B5FCD3C" w14:textId="77777777">
            <w:pPr>
              <w:keepNext/>
              <w:keepLines/>
              <w:ind w:left="-22"/>
              <w:jc w:val="center"/>
              <w:rPr>
                <w:rFonts w:ascii="Palatino Linotype" w:hAnsi="Palatino Linotype"/>
                <w:sz w:val="20"/>
              </w:rPr>
            </w:pPr>
            <w:r>
              <w:rPr>
                <w:rFonts w:ascii="Palatino Linotype" w:hAnsi="Palatino Linotype"/>
                <w:sz w:val="20"/>
              </w:rPr>
              <w:t>940 Mbps / 880 Mbps for $74.99</w:t>
            </w:r>
          </w:p>
          <w:p w:rsidRPr="00ED777B" w:rsidR="009D3CE2" w:rsidP="00556FEA" w:rsidRDefault="009D3CE2" w14:paraId="05516492" w14:textId="77777777">
            <w:pPr>
              <w:keepNext/>
              <w:keepLines/>
              <w:ind w:left="-22"/>
              <w:jc w:val="center"/>
              <w:rPr>
                <w:rFonts w:ascii="Palatino Linotype" w:hAnsi="Palatino Linotype"/>
                <w:sz w:val="20"/>
              </w:rPr>
            </w:pPr>
            <w:r>
              <w:rPr>
                <w:rFonts w:ascii="Palatino Linotype" w:hAnsi="Palatino Linotype"/>
                <w:sz w:val="20"/>
              </w:rPr>
              <w:t>Low Income 10 Mbps / 1 Mbps</w:t>
            </w:r>
            <w:r w:rsidRPr="00ED777B">
              <w:rPr>
                <w:rFonts w:ascii="Palatino Linotype" w:hAnsi="Palatino Linotype"/>
                <w:sz w:val="20"/>
              </w:rPr>
              <w:t xml:space="preserve"> for $1</w:t>
            </w:r>
            <w:r>
              <w:rPr>
                <w:rFonts w:ascii="Palatino Linotype" w:hAnsi="Palatino Linotype"/>
                <w:sz w:val="20"/>
              </w:rPr>
              <w:t>4</w:t>
            </w:r>
            <w:r w:rsidRPr="00ED777B">
              <w:rPr>
                <w:rFonts w:ascii="Palatino Linotype" w:hAnsi="Palatino Linotype"/>
                <w:sz w:val="20"/>
              </w:rPr>
              <w:t>.99</w:t>
            </w:r>
          </w:p>
        </w:tc>
      </w:tr>
      <w:tr w:rsidRPr="00352E7F" w:rsidR="009D3CE2" w:rsidTr="00556FEA" w14:paraId="40288113"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78FC3AC4" w14:textId="77777777">
            <w:pPr>
              <w:keepNext/>
              <w:keepLines/>
              <w:jc w:val="center"/>
              <w:rPr>
                <w:rFonts w:ascii="Palatino Linotype" w:hAnsi="Palatino Linotype"/>
                <w:i/>
                <w:sz w:val="20"/>
              </w:rPr>
            </w:pPr>
            <w:r w:rsidRPr="00ED777B">
              <w:rPr>
                <w:rFonts w:ascii="Palatino Linotype" w:hAnsi="Palatino Linotype"/>
                <w:i/>
                <w:sz w:val="20"/>
              </w:rPr>
              <w:t>Deployment Schedule</w:t>
            </w:r>
            <w:r w:rsidRPr="00ED777B">
              <w:rPr>
                <w:rFonts w:ascii="Palatino Linotype" w:hAnsi="Palatino Linotype"/>
                <w:i/>
                <w:sz w:val="20"/>
              </w:rPr>
              <w:br/>
              <w:t>(from permit approval date)</w:t>
            </w:r>
          </w:p>
        </w:tc>
        <w:tc>
          <w:tcPr>
            <w:tcW w:w="6851"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7F677CB7" w14:textId="77777777">
            <w:pPr>
              <w:keepNext/>
              <w:keepLines/>
              <w:spacing w:before="120" w:after="120"/>
              <w:jc w:val="center"/>
              <w:rPr>
                <w:rFonts w:ascii="Palatino Linotype" w:hAnsi="Palatino Linotype"/>
                <w:sz w:val="20"/>
              </w:rPr>
            </w:pPr>
            <w:r w:rsidRPr="00ED777B">
              <w:rPr>
                <w:rFonts w:ascii="Palatino Linotype" w:hAnsi="Palatino Linotype"/>
                <w:sz w:val="20"/>
              </w:rPr>
              <w:t>11 months</w:t>
            </w:r>
          </w:p>
        </w:tc>
      </w:tr>
      <w:tr w:rsidRPr="00352E7F" w:rsidR="009D3CE2" w:rsidTr="00556FEA" w14:paraId="4126CFC5"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6CEC94D6" w14:textId="77777777">
            <w:pPr>
              <w:keepNext/>
              <w:keepLines/>
              <w:jc w:val="center"/>
              <w:rPr>
                <w:rFonts w:ascii="Palatino Linotype" w:hAnsi="Palatino Linotype"/>
                <w:i/>
                <w:sz w:val="20"/>
              </w:rPr>
            </w:pPr>
            <w:r w:rsidRPr="00ED777B">
              <w:rPr>
                <w:rFonts w:ascii="Palatino Linotype" w:hAnsi="Palatino Linotype"/>
                <w:i/>
                <w:sz w:val="20"/>
              </w:rPr>
              <w:t>Proposed Project Budget (Total)</w:t>
            </w:r>
          </w:p>
        </w:tc>
        <w:tc>
          <w:tcPr>
            <w:tcW w:w="6851" w:type="dxa"/>
            <w:tcBorders>
              <w:top w:val="single" w:color="auto" w:sz="4" w:space="0"/>
              <w:left w:val="single" w:color="auto" w:sz="4" w:space="0"/>
              <w:bottom w:val="single" w:color="auto" w:sz="4" w:space="0"/>
              <w:right w:val="single" w:color="auto" w:sz="4" w:space="0"/>
            </w:tcBorders>
            <w:vAlign w:val="center"/>
            <w:hideMark/>
          </w:tcPr>
          <w:p w:rsidRPr="00403313" w:rsidR="0045536C" w:rsidP="007A74C8" w:rsidRDefault="009D3CE2" w14:paraId="4B16B4E7" w14:textId="2040E682">
            <w:pPr>
              <w:keepNext/>
              <w:keepLines/>
              <w:jc w:val="center"/>
              <w:rPr>
                <w:rFonts w:ascii="Palatino Linotype" w:hAnsi="Palatino Linotype"/>
                <w:bCs/>
                <w:sz w:val="20"/>
              </w:rPr>
            </w:pPr>
            <w:r w:rsidRPr="00403313">
              <w:rPr>
                <w:rFonts w:ascii="Palatino Linotype" w:hAnsi="Palatino Linotype"/>
                <w:sz w:val="20"/>
              </w:rPr>
              <w:t xml:space="preserve">$ </w:t>
            </w:r>
            <w:r w:rsidRPr="00403313" w:rsidR="000D52AF">
              <w:rPr>
                <w:rFonts w:ascii="Palatino Linotype" w:hAnsi="Palatino Linotype"/>
                <w:bCs/>
                <w:sz w:val="20"/>
              </w:rPr>
              <w:t>1,428,479</w:t>
            </w:r>
          </w:p>
        </w:tc>
      </w:tr>
      <w:tr w:rsidRPr="00352E7F" w:rsidR="009D3CE2" w:rsidTr="00556FEA" w14:paraId="20D2F5F3" w14:textId="77777777">
        <w:tc>
          <w:tcPr>
            <w:tcW w:w="2499" w:type="dxa"/>
            <w:tcBorders>
              <w:top w:val="single" w:color="auto" w:sz="4" w:space="0"/>
              <w:left w:val="single" w:color="auto" w:sz="4" w:space="0"/>
              <w:bottom w:val="single" w:color="auto" w:sz="4" w:space="0"/>
              <w:right w:val="single" w:color="auto" w:sz="4" w:space="0"/>
            </w:tcBorders>
            <w:vAlign w:val="center"/>
          </w:tcPr>
          <w:p w:rsidRPr="00ED777B" w:rsidR="009D3CE2" w:rsidP="00556FEA" w:rsidRDefault="009D3CE2" w14:paraId="08FD87D8" w14:textId="77777777">
            <w:pPr>
              <w:keepNext/>
              <w:keepLines/>
              <w:jc w:val="center"/>
              <w:rPr>
                <w:rFonts w:ascii="Palatino Linotype" w:hAnsi="Palatino Linotype"/>
                <w:i/>
                <w:sz w:val="20"/>
              </w:rPr>
            </w:pPr>
            <w:r w:rsidRPr="00ED777B">
              <w:rPr>
                <w:rFonts w:ascii="Palatino Linotype" w:hAnsi="Palatino Linotype"/>
                <w:i/>
                <w:sz w:val="20"/>
              </w:rPr>
              <w:t>Grant Requested Amount</w:t>
            </w:r>
          </w:p>
        </w:tc>
        <w:tc>
          <w:tcPr>
            <w:tcW w:w="6851" w:type="dxa"/>
            <w:tcBorders>
              <w:top w:val="single" w:color="auto" w:sz="4" w:space="0"/>
              <w:left w:val="single" w:color="auto" w:sz="4" w:space="0"/>
              <w:bottom w:val="single" w:color="auto" w:sz="4" w:space="0"/>
              <w:right w:val="single" w:color="auto" w:sz="4" w:space="0"/>
            </w:tcBorders>
            <w:vAlign w:val="center"/>
          </w:tcPr>
          <w:p w:rsidRPr="00403313" w:rsidR="009D3CE2" w:rsidP="000D52AF" w:rsidRDefault="000D52AF" w14:paraId="015123B1" w14:textId="179B3ECE">
            <w:pPr>
              <w:keepNext/>
              <w:keepLines/>
              <w:jc w:val="center"/>
              <w:rPr>
                <w:rFonts w:ascii="Palatino Linotype" w:hAnsi="Palatino Linotype"/>
                <w:sz w:val="20"/>
              </w:rPr>
            </w:pPr>
            <w:r w:rsidRPr="00403313">
              <w:rPr>
                <w:rFonts w:ascii="Palatino Linotype" w:hAnsi="Palatino Linotype"/>
                <w:sz w:val="20"/>
              </w:rPr>
              <w:t xml:space="preserve">$ </w:t>
            </w:r>
            <w:r w:rsidRPr="00403313">
              <w:rPr>
                <w:rFonts w:ascii="Palatino Linotype" w:hAnsi="Palatino Linotype"/>
                <w:bCs/>
                <w:sz w:val="20"/>
              </w:rPr>
              <w:t>1,428,479</w:t>
            </w:r>
          </w:p>
        </w:tc>
      </w:tr>
      <w:tr w:rsidRPr="00352E7F" w:rsidR="009D3CE2" w:rsidTr="00556FEA" w14:paraId="585C0CE7"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58322B0B" w14:textId="77777777">
            <w:pPr>
              <w:keepNext/>
              <w:keepLines/>
              <w:jc w:val="center"/>
              <w:rPr>
                <w:rFonts w:ascii="Palatino Linotype" w:hAnsi="Palatino Linotype"/>
                <w:i/>
                <w:sz w:val="20"/>
              </w:rPr>
            </w:pPr>
            <w:r w:rsidRPr="00ED777B">
              <w:rPr>
                <w:rFonts w:ascii="Palatino Linotype" w:hAnsi="Palatino Linotype"/>
                <w:i/>
                <w:sz w:val="20"/>
              </w:rPr>
              <w:t>CASF Grant Amount</w:t>
            </w:r>
          </w:p>
          <w:p w:rsidRPr="00ED777B" w:rsidR="009D3CE2" w:rsidP="00556FEA" w:rsidRDefault="009D3CE2" w14:paraId="17AA1A14" w14:textId="77777777">
            <w:pPr>
              <w:keepNext/>
              <w:keepLines/>
              <w:jc w:val="center"/>
              <w:rPr>
                <w:rFonts w:ascii="Palatino Linotype" w:hAnsi="Palatino Linotype"/>
                <w:i/>
                <w:sz w:val="20"/>
              </w:rPr>
            </w:pPr>
            <w:r w:rsidRPr="00ED777B">
              <w:rPr>
                <w:rFonts w:ascii="Palatino Linotype" w:hAnsi="Palatino Linotype"/>
                <w:i/>
                <w:sz w:val="20"/>
              </w:rPr>
              <w:t>(100 percent)</w:t>
            </w:r>
          </w:p>
        </w:tc>
        <w:tc>
          <w:tcPr>
            <w:tcW w:w="6851" w:type="dxa"/>
            <w:tcBorders>
              <w:top w:val="single" w:color="auto" w:sz="4" w:space="0"/>
              <w:left w:val="single" w:color="auto" w:sz="4" w:space="0"/>
              <w:bottom w:val="single" w:color="auto" w:sz="4" w:space="0"/>
              <w:right w:val="single" w:color="auto" w:sz="4" w:space="0"/>
            </w:tcBorders>
            <w:vAlign w:val="center"/>
            <w:hideMark/>
          </w:tcPr>
          <w:p w:rsidRPr="00403313" w:rsidR="009D3CE2" w:rsidP="00556FEA" w:rsidRDefault="000D52AF" w14:paraId="73B74196" w14:textId="5C50638E">
            <w:pPr>
              <w:keepNext/>
              <w:keepLines/>
              <w:spacing w:before="120" w:after="120"/>
              <w:jc w:val="center"/>
              <w:rPr>
                <w:rFonts w:ascii="Palatino Linotype" w:hAnsi="Palatino Linotype"/>
                <w:sz w:val="20"/>
              </w:rPr>
            </w:pPr>
            <w:r w:rsidRPr="00403313">
              <w:rPr>
                <w:rFonts w:ascii="Palatino Linotype" w:hAnsi="Palatino Linotype"/>
                <w:sz w:val="20"/>
              </w:rPr>
              <w:t xml:space="preserve">$ </w:t>
            </w:r>
            <w:r w:rsidRPr="00403313">
              <w:rPr>
                <w:rFonts w:ascii="Palatino Linotype" w:hAnsi="Palatino Linotype"/>
                <w:bCs/>
                <w:sz w:val="20"/>
              </w:rPr>
              <w:t>1,428,479</w:t>
            </w:r>
          </w:p>
        </w:tc>
      </w:tr>
      <w:tr w:rsidRPr="00352E7F" w:rsidR="009D3CE2" w:rsidTr="00556FEA" w14:paraId="758C0EC4" w14:textId="77777777">
        <w:tc>
          <w:tcPr>
            <w:tcW w:w="2499" w:type="dxa"/>
            <w:tcBorders>
              <w:top w:val="single" w:color="auto" w:sz="4" w:space="0"/>
              <w:left w:val="single" w:color="auto" w:sz="4" w:space="0"/>
              <w:bottom w:val="single" w:color="auto" w:sz="4" w:space="0"/>
              <w:right w:val="single" w:color="auto" w:sz="4" w:space="0"/>
            </w:tcBorders>
            <w:vAlign w:val="center"/>
            <w:hideMark/>
          </w:tcPr>
          <w:p w:rsidRPr="00ED777B" w:rsidR="009D3CE2" w:rsidP="00556FEA" w:rsidRDefault="009D3CE2" w14:paraId="5E67EC08" w14:textId="77777777">
            <w:pPr>
              <w:keepNext/>
              <w:keepLines/>
              <w:jc w:val="center"/>
              <w:rPr>
                <w:rFonts w:ascii="Palatino Linotype" w:hAnsi="Palatino Linotype"/>
                <w:i/>
                <w:sz w:val="20"/>
              </w:rPr>
            </w:pPr>
            <w:r w:rsidRPr="00ED777B">
              <w:rPr>
                <w:rFonts w:ascii="Palatino Linotype" w:hAnsi="Palatino Linotype"/>
                <w:i/>
                <w:sz w:val="20"/>
              </w:rPr>
              <w:t>Recommended Grant per household</w:t>
            </w:r>
          </w:p>
        </w:tc>
        <w:tc>
          <w:tcPr>
            <w:tcW w:w="6851" w:type="dxa"/>
            <w:tcBorders>
              <w:top w:val="single" w:color="auto" w:sz="4" w:space="0"/>
              <w:left w:val="single" w:color="auto" w:sz="4" w:space="0"/>
              <w:bottom w:val="single" w:color="auto" w:sz="4" w:space="0"/>
              <w:right w:val="single" w:color="auto" w:sz="4" w:space="0"/>
            </w:tcBorders>
            <w:vAlign w:val="center"/>
            <w:hideMark/>
          </w:tcPr>
          <w:p w:rsidRPr="00403313" w:rsidR="009D3CE2" w:rsidP="00556FEA" w:rsidRDefault="009D3CE2" w14:paraId="53D6E13F" w14:textId="6416C50F">
            <w:pPr>
              <w:keepNext/>
              <w:keepLines/>
              <w:jc w:val="center"/>
              <w:rPr>
                <w:rFonts w:ascii="Palatino Linotype" w:hAnsi="Palatino Linotype"/>
                <w:sz w:val="20"/>
              </w:rPr>
            </w:pPr>
            <w:r w:rsidRPr="00403313">
              <w:rPr>
                <w:rFonts w:ascii="Palatino Linotype" w:hAnsi="Palatino Linotype"/>
                <w:sz w:val="20"/>
              </w:rPr>
              <w:t xml:space="preserve">$ </w:t>
            </w:r>
            <w:r w:rsidRPr="00403313" w:rsidR="00822578">
              <w:rPr>
                <w:rFonts w:ascii="Palatino Linotype" w:hAnsi="Palatino Linotype"/>
                <w:sz w:val="20"/>
              </w:rPr>
              <w:t>25,972</w:t>
            </w:r>
          </w:p>
        </w:tc>
      </w:tr>
    </w:tbl>
    <w:p w:rsidR="003D5C0A" w:rsidP="003D5C0A" w:rsidRDefault="009D3CE2" w14:paraId="78ADBE74" w14:textId="77777777">
      <w:pPr>
        <w:keepNext/>
        <w:keepLines/>
        <w:tabs>
          <w:tab w:val="center" w:pos="4680"/>
          <w:tab w:val="left" w:pos="8385"/>
        </w:tabs>
        <w:rPr>
          <w:rFonts w:ascii="Palatino Linotype" w:hAnsi="Palatino Linotype"/>
          <w:b/>
          <w:szCs w:val="24"/>
        </w:rPr>
        <w:sectPr w:rsidR="003D5C0A" w:rsidSect="00CD586D">
          <w:footerReference w:type="default" r:id="rId16"/>
          <w:type w:val="continuous"/>
          <w:pgSz w:w="12240" w:h="15840"/>
          <w:pgMar w:top="1440" w:right="1440" w:bottom="1440" w:left="1440" w:header="720" w:footer="720" w:gutter="0"/>
          <w:pgNumType w:start="1"/>
          <w:cols w:space="720"/>
          <w:docGrid w:linePitch="360"/>
        </w:sectPr>
      </w:pPr>
      <w:r w:rsidRPr="00352E7F">
        <w:rPr>
          <w:rFonts w:ascii="Palatino Linotype" w:hAnsi="Palatino Linotype"/>
          <w:b/>
          <w:szCs w:val="24"/>
        </w:rPr>
        <w:tab/>
      </w:r>
    </w:p>
    <w:p w:rsidR="00F21DCA" w:rsidP="00EA61CC" w:rsidRDefault="00F21DCA" w14:paraId="0271277E" w14:textId="24F57C49">
      <w:pPr>
        <w:keepNext/>
        <w:keepLines/>
        <w:tabs>
          <w:tab w:val="center" w:pos="4680"/>
          <w:tab w:val="left" w:pos="8385"/>
        </w:tabs>
        <w:jc w:val="center"/>
        <w:rPr>
          <w:rFonts w:ascii="Palatino Linotype" w:hAnsi="Palatino Linotype"/>
          <w:b/>
          <w:szCs w:val="24"/>
        </w:rPr>
      </w:pPr>
      <w:r>
        <w:rPr>
          <w:rFonts w:ascii="Palatino Linotype" w:hAnsi="Palatino Linotype"/>
          <w:b/>
          <w:szCs w:val="24"/>
        </w:rPr>
        <w:lastRenderedPageBreak/>
        <w:t>APPENDIX B</w:t>
      </w:r>
    </w:p>
    <w:p w:rsidR="00F21DCA" w:rsidP="00F21DCA" w:rsidRDefault="00F21DCA" w14:paraId="4A04C2A6" w14:textId="77777777">
      <w:pPr>
        <w:keepNext/>
        <w:keepLines/>
        <w:jc w:val="center"/>
        <w:rPr>
          <w:rFonts w:ascii="Palatino Linotype" w:hAnsi="Palatino Linotype"/>
          <w:b/>
          <w:szCs w:val="24"/>
        </w:rPr>
      </w:pPr>
      <w:r w:rsidRPr="00352E7F">
        <w:rPr>
          <w:rFonts w:ascii="Palatino Linotype" w:hAnsi="Palatino Linotype"/>
          <w:b/>
          <w:szCs w:val="24"/>
        </w:rPr>
        <w:t xml:space="preserve">Resolution </w:t>
      </w:r>
      <w:r w:rsidRPr="00ED777B">
        <w:rPr>
          <w:rFonts w:ascii="Palatino Linotype" w:hAnsi="Palatino Linotype"/>
          <w:b/>
          <w:szCs w:val="24"/>
        </w:rPr>
        <w:t>T</w:t>
      </w:r>
      <w:r w:rsidRPr="00E4278F">
        <w:rPr>
          <w:rFonts w:ascii="Palatino Linotype" w:hAnsi="Palatino Linotype"/>
          <w:b/>
          <w:szCs w:val="24"/>
        </w:rPr>
        <w:t>-17715</w:t>
      </w:r>
      <w:r>
        <w:rPr>
          <w:rFonts w:ascii="Palatino Linotype" w:hAnsi="Palatino Linotype"/>
          <w:b/>
          <w:szCs w:val="24"/>
        </w:rPr>
        <w:t xml:space="preserve">: </w:t>
      </w:r>
      <w:r w:rsidRPr="00352E7F">
        <w:rPr>
          <w:rFonts w:ascii="Palatino Linotype" w:hAnsi="Palatino Linotype"/>
          <w:b/>
          <w:szCs w:val="24"/>
        </w:rPr>
        <w:t xml:space="preserve">Frontier </w:t>
      </w:r>
      <w:r>
        <w:rPr>
          <w:rFonts w:ascii="Palatino Linotype" w:hAnsi="Palatino Linotype"/>
          <w:b/>
          <w:szCs w:val="24"/>
        </w:rPr>
        <w:t>Smith River</w:t>
      </w:r>
    </w:p>
    <w:p w:rsidR="00F21DCA" w:rsidP="00F21DCA" w:rsidRDefault="00F21DCA" w14:paraId="33AC24C9" w14:textId="77777777">
      <w:pPr>
        <w:spacing w:line="259" w:lineRule="auto"/>
        <w:jc w:val="center"/>
        <w:rPr>
          <w:rFonts w:ascii="Palatino Linotype" w:hAnsi="Palatino Linotype"/>
          <w:b/>
          <w:szCs w:val="24"/>
        </w:rPr>
      </w:pPr>
      <w:r w:rsidRPr="00352E7F">
        <w:rPr>
          <w:rFonts w:ascii="Palatino Linotype" w:hAnsi="Palatino Linotype"/>
          <w:b/>
          <w:szCs w:val="24"/>
        </w:rPr>
        <w:t>Location Map</w:t>
      </w:r>
      <w:r>
        <w:rPr>
          <w:rFonts w:ascii="Palatino Linotype" w:hAnsi="Palatino Linotype"/>
          <w:b/>
          <w:szCs w:val="24"/>
        </w:rPr>
        <w:t xml:space="preserve">s </w:t>
      </w:r>
    </w:p>
    <w:p w:rsidR="00F21DCA" w:rsidP="00FE439F" w:rsidRDefault="009A7164" w14:paraId="60337BA2" w14:textId="353B0505">
      <w:pPr>
        <w:spacing w:line="259" w:lineRule="auto"/>
        <w:jc w:val="center"/>
        <w:rPr>
          <w:rFonts w:ascii="Palatino Linotype" w:hAnsi="Palatino Linotype"/>
          <w:b/>
          <w:szCs w:val="24"/>
        </w:rPr>
      </w:pPr>
      <w:r>
        <w:rPr>
          <w:noProof/>
        </w:rPr>
        <w:drawing>
          <wp:inline distT="0" distB="0" distL="0" distR="0" wp14:anchorId="343C7213" wp14:editId="6EB57702">
            <wp:extent cx="5785944" cy="7487734"/>
            <wp:effectExtent l="0" t="0" r="5715"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5785944" cy="7487734"/>
                    </a:xfrm>
                    <a:prstGeom prst="rect">
                      <a:avLst/>
                    </a:prstGeom>
                  </pic:spPr>
                </pic:pic>
              </a:graphicData>
            </a:graphic>
          </wp:inline>
        </w:drawing>
      </w:r>
    </w:p>
    <w:p w:rsidR="00616047" w:rsidP="007877E0" w:rsidRDefault="00FB4E68" w14:paraId="4571D0E3" w14:textId="77777777">
      <w:pPr>
        <w:spacing w:line="259" w:lineRule="auto"/>
        <w:jc w:val="center"/>
        <w:rPr>
          <w:rFonts w:ascii="Palatino Linotype" w:hAnsi="Palatino Linotype"/>
          <w:b/>
          <w:szCs w:val="24"/>
        </w:rPr>
      </w:pPr>
      <w:r>
        <w:rPr>
          <w:rFonts w:ascii="Palatino Linotype" w:hAnsi="Palatino Linotype"/>
          <w:b/>
          <w:szCs w:val="24"/>
        </w:rPr>
        <w:lastRenderedPageBreak/>
        <w:t>APPENDIX B</w:t>
      </w:r>
    </w:p>
    <w:p w:rsidR="00FB4E68" w:rsidP="007877E0" w:rsidRDefault="00FB4E68" w14:paraId="05A72B1A" w14:textId="42FB8032">
      <w:pPr>
        <w:spacing w:line="259" w:lineRule="auto"/>
        <w:jc w:val="center"/>
        <w:rPr>
          <w:rFonts w:ascii="Palatino Linotype" w:hAnsi="Palatino Linotype"/>
          <w:b/>
          <w:szCs w:val="24"/>
        </w:rPr>
      </w:pPr>
      <w:r w:rsidRPr="00352E7F">
        <w:rPr>
          <w:rFonts w:ascii="Palatino Linotype" w:hAnsi="Palatino Linotype"/>
          <w:b/>
          <w:szCs w:val="24"/>
        </w:rPr>
        <w:t xml:space="preserve">Resolution </w:t>
      </w:r>
      <w:r w:rsidRPr="00ED777B" w:rsidR="0037682F">
        <w:rPr>
          <w:rFonts w:ascii="Palatino Linotype" w:hAnsi="Palatino Linotype"/>
          <w:b/>
          <w:szCs w:val="24"/>
        </w:rPr>
        <w:t>T</w:t>
      </w:r>
      <w:r w:rsidRPr="00E4278F" w:rsidR="0037682F">
        <w:rPr>
          <w:rFonts w:ascii="Palatino Linotype" w:hAnsi="Palatino Linotype"/>
          <w:b/>
          <w:szCs w:val="24"/>
        </w:rPr>
        <w:t>-17715</w:t>
      </w:r>
      <w:r>
        <w:rPr>
          <w:rFonts w:ascii="Palatino Linotype" w:hAnsi="Palatino Linotype"/>
          <w:b/>
          <w:szCs w:val="24"/>
        </w:rPr>
        <w:t xml:space="preserve">: </w:t>
      </w:r>
      <w:r w:rsidRPr="00352E7F">
        <w:rPr>
          <w:rFonts w:ascii="Palatino Linotype" w:hAnsi="Palatino Linotype"/>
          <w:b/>
          <w:szCs w:val="24"/>
        </w:rPr>
        <w:t xml:space="preserve">Frontier </w:t>
      </w:r>
      <w:r w:rsidR="00822578">
        <w:rPr>
          <w:rFonts w:ascii="Palatino Linotype" w:hAnsi="Palatino Linotype"/>
          <w:b/>
          <w:szCs w:val="24"/>
        </w:rPr>
        <w:t>Smith River</w:t>
      </w:r>
    </w:p>
    <w:p w:rsidR="003D5C0A" w:rsidP="00FE439F" w:rsidRDefault="00FB4E68" w14:paraId="6AF90AC4" w14:textId="0F89525E">
      <w:pPr>
        <w:spacing w:line="259" w:lineRule="auto"/>
        <w:jc w:val="center"/>
        <w:rPr>
          <w:rFonts w:ascii="Palatino Linotype" w:hAnsi="Palatino Linotype"/>
          <w:b/>
          <w:szCs w:val="24"/>
        </w:rPr>
      </w:pPr>
      <w:r w:rsidRPr="7D6BB62A">
        <w:rPr>
          <w:rFonts w:ascii="Palatino Linotype" w:hAnsi="Palatino Linotype"/>
          <w:b/>
          <w:bCs/>
        </w:rPr>
        <w:t xml:space="preserve">Location Maps </w:t>
      </w:r>
      <w:r w:rsidR="006560C9">
        <w:rPr>
          <w:noProof/>
        </w:rPr>
        <w:drawing>
          <wp:inline distT="0" distB="0" distL="0" distR="0" wp14:anchorId="2229986C" wp14:editId="1D9114A7">
            <wp:extent cx="5779008" cy="7461504"/>
            <wp:effectExtent l="0" t="0" r="0" b="635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5779008" cy="7461504"/>
                    </a:xfrm>
                    <a:prstGeom prst="rect">
                      <a:avLst/>
                    </a:prstGeom>
                  </pic:spPr>
                </pic:pic>
              </a:graphicData>
            </a:graphic>
          </wp:inline>
        </w:drawing>
      </w:r>
    </w:p>
    <w:p w:rsidR="006560C9" w:rsidP="00FE439F" w:rsidRDefault="006560C9" w14:paraId="3E79D410" w14:textId="4428C421">
      <w:pPr>
        <w:spacing w:line="259" w:lineRule="auto"/>
        <w:jc w:val="center"/>
        <w:rPr>
          <w:rFonts w:ascii="Palatino Linotype" w:hAnsi="Palatino Linotype"/>
          <w:b/>
          <w:szCs w:val="24"/>
        </w:rPr>
        <w:sectPr w:rsidR="006560C9" w:rsidSect="003D5C0A">
          <w:footerReference w:type="default" r:id="rId19"/>
          <w:pgSz w:w="12240" w:h="15840"/>
          <w:pgMar w:top="1440" w:right="1440" w:bottom="1440" w:left="1440" w:header="720" w:footer="720" w:gutter="0"/>
          <w:pgNumType w:start="1"/>
          <w:cols w:space="720"/>
          <w:docGrid w:linePitch="360"/>
        </w:sectPr>
      </w:pPr>
    </w:p>
    <w:p w:rsidRPr="00352E7F" w:rsidR="00CF0C77" w:rsidP="00CF0C77" w:rsidRDefault="00CF0C77" w14:paraId="434E6B7A" w14:textId="08891D55">
      <w:pPr>
        <w:keepNext/>
        <w:keepLines/>
        <w:jc w:val="center"/>
        <w:rPr>
          <w:rFonts w:ascii="Palatino Linotype" w:hAnsi="Palatino Linotype"/>
          <w:b/>
          <w:szCs w:val="24"/>
        </w:rPr>
      </w:pPr>
      <w:r w:rsidRPr="00352E7F">
        <w:rPr>
          <w:rFonts w:ascii="Palatino Linotype" w:hAnsi="Palatino Linotype"/>
          <w:b/>
          <w:szCs w:val="24"/>
        </w:rPr>
        <w:lastRenderedPageBreak/>
        <w:t xml:space="preserve">APPENDIX </w:t>
      </w:r>
      <w:r w:rsidR="003D5C0A">
        <w:rPr>
          <w:rFonts w:ascii="Palatino Linotype" w:hAnsi="Palatino Linotype"/>
          <w:b/>
          <w:szCs w:val="24"/>
        </w:rPr>
        <w:t>C</w:t>
      </w:r>
    </w:p>
    <w:p w:rsidRPr="00352E7F" w:rsidR="00CF0C77" w:rsidP="00CF0C77" w:rsidRDefault="00CF0C77" w14:paraId="327DFB64" w14:textId="20642631">
      <w:pPr>
        <w:keepNext/>
        <w:keepLines/>
        <w:jc w:val="center"/>
        <w:rPr>
          <w:rFonts w:ascii="Palatino Linotype" w:hAnsi="Palatino Linotype"/>
          <w:b/>
          <w:szCs w:val="24"/>
        </w:rPr>
      </w:pPr>
      <w:r w:rsidRPr="00352E7F">
        <w:rPr>
          <w:rFonts w:ascii="Palatino Linotype" w:hAnsi="Palatino Linotype"/>
          <w:b/>
          <w:szCs w:val="24"/>
        </w:rPr>
        <w:t xml:space="preserve">Resolution </w:t>
      </w:r>
      <w:r w:rsidRPr="00ED777B" w:rsidR="0037682F">
        <w:rPr>
          <w:rFonts w:ascii="Palatino Linotype" w:hAnsi="Palatino Linotype"/>
          <w:b/>
          <w:szCs w:val="24"/>
        </w:rPr>
        <w:t>T</w:t>
      </w:r>
      <w:r w:rsidRPr="00E4278F" w:rsidR="0037682F">
        <w:rPr>
          <w:rFonts w:ascii="Palatino Linotype" w:hAnsi="Palatino Linotype"/>
          <w:b/>
          <w:szCs w:val="24"/>
        </w:rPr>
        <w:t>-17715</w:t>
      </w:r>
      <w:r>
        <w:rPr>
          <w:rFonts w:ascii="Palatino Linotype" w:hAnsi="Palatino Linotype"/>
          <w:b/>
          <w:szCs w:val="24"/>
        </w:rPr>
        <w:t xml:space="preserve">: </w:t>
      </w:r>
      <w:r w:rsidRPr="00352E7F">
        <w:rPr>
          <w:rFonts w:ascii="Palatino Linotype" w:hAnsi="Palatino Linotype"/>
          <w:b/>
          <w:szCs w:val="24"/>
        </w:rPr>
        <w:t xml:space="preserve">Frontier </w:t>
      </w:r>
      <w:r w:rsidR="00A666CC">
        <w:rPr>
          <w:rFonts w:ascii="Palatino Linotype" w:hAnsi="Palatino Linotype"/>
          <w:b/>
          <w:szCs w:val="24"/>
        </w:rPr>
        <w:t>Crescent City and Smith River</w:t>
      </w:r>
    </w:p>
    <w:p w:rsidRPr="00352E7F" w:rsidR="00CF0C77" w:rsidP="00CF0C77" w:rsidRDefault="00774EEB" w14:paraId="2621FD87" w14:textId="0DC9CFC2">
      <w:pPr>
        <w:keepNext/>
        <w:keepLines/>
        <w:jc w:val="center"/>
        <w:rPr>
          <w:rFonts w:ascii="Palatino Linotype" w:hAnsi="Palatino Linotype"/>
          <w:b/>
          <w:szCs w:val="24"/>
        </w:rPr>
      </w:pPr>
      <w:r>
        <w:rPr>
          <w:rFonts w:ascii="Palatino Linotype" w:hAnsi="Palatino Linotype"/>
          <w:b/>
          <w:szCs w:val="24"/>
        </w:rPr>
        <w:t>Payments to CASF Recipients</w:t>
      </w:r>
    </w:p>
    <w:p w:rsidRPr="00352E7F" w:rsidR="00CF0C77" w:rsidP="00CF0C77" w:rsidRDefault="00CF0C77" w14:paraId="7B3EDC0A" w14:textId="77777777">
      <w:pPr>
        <w:autoSpaceDE w:val="0"/>
        <w:autoSpaceDN w:val="0"/>
        <w:adjustRightInd w:val="0"/>
        <w:rPr>
          <w:rFonts w:ascii="Palatino Linotype" w:hAnsi="Palatino Linotype"/>
          <w:color w:val="000000"/>
          <w:szCs w:val="24"/>
        </w:rPr>
      </w:pPr>
    </w:p>
    <w:p w:rsidRPr="00352E7F" w:rsidR="00CF0C77" w:rsidP="00CF0C77" w:rsidRDefault="00CF0C77" w14:paraId="358C6F0F" w14:textId="6D4D51BF">
      <w:pPr>
        <w:autoSpaceDE w:val="0"/>
        <w:autoSpaceDN w:val="0"/>
        <w:adjustRightInd w:val="0"/>
        <w:rPr>
          <w:rFonts w:ascii="Palatino Linotype" w:hAnsi="Palatino Linotype"/>
          <w:color w:val="000000"/>
          <w:szCs w:val="24"/>
        </w:rPr>
      </w:pPr>
      <w:r w:rsidRPr="00352E7F">
        <w:rPr>
          <w:rFonts w:ascii="Palatino Linotype" w:hAnsi="Palatino Linotype"/>
          <w:color w:val="000000"/>
          <w:szCs w:val="24"/>
        </w:rPr>
        <w:t xml:space="preserve">Pub. Util. Code </w:t>
      </w:r>
      <w:r w:rsidRPr="006219D0" w:rsidR="00534E7A">
        <w:rPr>
          <w:rFonts w:ascii="Palatino Linotype" w:hAnsi="Palatino Linotype"/>
        </w:rPr>
        <w:t>§</w:t>
      </w:r>
      <w:r w:rsidRPr="00352E7F">
        <w:rPr>
          <w:rFonts w:ascii="Palatino Linotype" w:hAnsi="Palatino Linotype"/>
          <w:color w:val="000000"/>
          <w:szCs w:val="24"/>
        </w:rPr>
        <w:t xml:space="preserve"> 281(f)(11) define</w:t>
      </w:r>
      <w:r w:rsidR="00472096">
        <w:rPr>
          <w:rFonts w:ascii="Palatino Linotype" w:hAnsi="Palatino Linotype"/>
          <w:color w:val="000000"/>
          <w:szCs w:val="24"/>
        </w:rPr>
        <w:t>s</w:t>
      </w:r>
      <w:r w:rsidRPr="00352E7F">
        <w:rPr>
          <w:rFonts w:ascii="Palatino Linotype" w:hAnsi="Palatino Linotype"/>
          <w:color w:val="000000"/>
          <w:szCs w:val="24"/>
        </w:rPr>
        <w:t xml:space="preserve"> the costs the Commission may reimburse as follows:</w:t>
      </w:r>
    </w:p>
    <w:p w:rsidRPr="00352E7F" w:rsidR="00CF0C77" w:rsidP="00CF0C77" w:rsidRDefault="00CF0C77" w14:paraId="3535BEF0" w14:textId="77777777">
      <w:pPr>
        <w:pStyle w:val="ListParagraph"/>
        <w:numPr>
          <w:ilvl w:val="0"/>
          <w:numId w:val="12"/>
        </w:numPr>
        <w:autoSpaceDE w:val="0"/>
        <w:autoSpaceDN w:val="0"/>
        <w:adjustRightInd w:val="0"/>
        <w:rPr>
          <w:rFonts w:ascii="Palatino Linotype" w:hAnsi="Palatino Linotype"/>
          <w:color w:val="000000"/>
          <w:szCs w:val="24"/>
        </w:rPr>
      </w:pPr>
      <w:r w:rsidRPr="00352E7F">
        <w:rPr>
          <w:rFonts w:ascii="Palatino Linotype" w:hAnsi="Palatino Linotype"/>
          <w:color w:val="000000"/>
          <w:szCs w:val="24"/>
        </w:rPr>
        <w:t xml:space="preserve">Costs directly related to the deployment of </w:t>
      </w:r>
      <w:proofErr w:type="gramStart"/>
      <w:r w:rsidRPr="00352E7F">
        <w:rPr>
          <w:rFonts w:ascii="Palatino Linotype" w:hAnsi="Palatino Linotype"/>
          <w:color w:val="000000"/>
          <w:szCs w:val="24"/>
        </w:rPr>
        <w:t>infrastructure;</w:t>
      </w:r>
      <w:proofErr w:type="gramEnd"/>
    </w:p>
    <w:p w:rsidRPr="00352E7F" w:rsidR="00CF0C77" w:rsidP="00CF0C77" w:rsidRDefault="00CF0C77" w14:paraId="69EAD347" w14:textId="77777777">
      <w:pPr>
        <w:pStyle w:val="ListParagraph"/>
        <w:numPr>
          <w:ilvl w:val="0"/>
          <w:numId w:val="12"/>
        </w:numPr>
        <w:autoSpaceDE w:val="0"/>
        <w:autoSpaceDN w:val="0"/>
        <w:adjustRightInd w:val="0"/>
        <w:rPr>
          <w:rFonts w:ascii="Palatino Linotype" w:hAnsi="Palatino Linotype"/>
          <w:color w:val="000000"/>
          <w:szCs w:val="24"/>
        </w:rPr>
      </w:pPr>
      <w:r w:rsidRPr="00352E7F">
        <w:rPr>
          <w:rFonts w:ascii="Palatino Linotype" w:hAnsi="Palatino Linotype"/>
          <w:color w:val="000000"/>
          <w:szCs w:val="24"/>
        </w:rPr>
        <w:t>Costs to lease access to property or for Internet backhaul services for a period not to exceed five years; and</w:t>
      </w:r>
    </w:p>
    <w:p w:rsidRPr="00352E7F" w:rsidR="00CF0C77" w:rsidP="00CF0C77" w:rsidRDefault="00CF0C77" w14:paraId="70B83FAE" w14:textId="77777777">
      <w:pPr>
        <w:pStyle w:val="ListParagraph"/>
        <w:numPr>
          <w:ilvl w:val="0"/>
          <w:numId w:val="12"/>
        </w:numPr>
        <w:autoSpaceDE w:val="0"/>
        <w:autoSpaceDN w:val="0"/>
        <w:adjustRightInd w:val="0"/>
        <w:rPr>
          <w:rFonts w:ascii="Palatino Linotype" w:hAnsi="Palatino Linotype"/>
          <w:color w:val="000000"/>
          <w:szCs w:val="24"/>
        </w:rPr>
      </w:pPr>
      <w:r w:rsidRPr="00352E7F">
        <w:rPr>
          <w:rFonts w:ascii="Palatino Linotype" w:hAnsi="Palatino Linotype"/>
          <w:color w:val="000000"/>
          <w:szCs w:val="24"/>
        </w:rPr>
        <w:t>Costs incurred by an existing facility-based broadband provider to upgrade its existing facilities to provide for interconnection.</w:t>
      </w:r>
    </w:p>
    <w:p w:rsidRPr="00352E7F" w:rsidR="00CF0C77" w:rsidP="00CF0C77" w:rsidRDefault="00CF0C77" w14:paraId="676FDDD6" w14:textId="77777777">
      <w:pPr>
        <w:autoSpaceDE w:val="0"/>
        <w:autoSpaceDN w:val="0"/>
        <w:adjustRightInd w:val="0"/>
        <w:rPr>
          <w:rFonts w:ascii="Palatino Linotype" w:hAnsi="Palatino Linotype"/>
          <w:color w:val="000000"/>
          <w:szCs w:val="24"/>
        </w:rPr>
      </w:pPr>
    </w:p>
    <w:p w:rsidRPr="00352E7F" w:rsidR="00CF0C77" w:rsidP="00CF0C77" w:rsidRDefault="00CF0C77" w14:paraId="499E3CAC" w14:textId="77777777">
      <w:pPr>
        <w:autoSpaceDE w:val="0"/>
        <w:autoSpaceDN w:val="0"/>
        <w:adjustRightInd w:val="0"/>
        <w:rPr>
          <w:rFonts w:ascii="Palatino Linotype" w:hAnsi="Palatino Linotype"/>
          <w:color w:val="000000"/>
          <w:szCs w:val="24"/>
        </w:rPr>
      </w:pPr>
      <w:r w:rsidRPr="006219D0">
        <w:rPr>
          <w:rFonts w:ascii="Palatino Linotype" w:hAnsi="Palatino Linotype"/>
          <w:color w:val="000000"/>
        </w:rPr>
        <w:t>Additionally, D. 18-12-018 (Appendix 1, Section 7) caps administrative expenses directly related to the project at 15 percent of the grant amount.</w:t>
      </w:r>
      <w:r w:rsidRPr="006219D0">
        <w:rPr>
          <w:rStyle w:val="FootnoteReference"/>
          <w:rFonts w:ascii="Palatino Linotype" w:hAnsi="Palatino Linotype"/>
          <w:color w:val="000000"/>
        </w:rPr>
        <w:footnoteReference w:id="20"/>
      </w:r>
      <w:r w:rsidRPr="006219D0">
        <w:rPr>
          <w:rFonts w:ascii="Palatino Linotype" w:hAnsi="Palatino Linotype"/>
          <w:color w:val="000000"/>
        </w:rPr>
        <w:t xml:space="preserve">  </w:t>
      </w:r>
    </w:p>
    <w:p w:rsidRPr="00352E7F" w:rsidR="00CF0C77" w:rsidP="00CF0C77" w:rsidRDefault="00CF0C77" w14:paraId="568A7BD5" w14:textId="77777777">
      <w:pPr>
        <w:autoSpaceDE w:val="0"/>
        <w:autoSpaceDN w:val="0"/>
        <w:adjustRightInd w:val="0"/>
        <w:rPr>
          <w:rFonts w:ascii="Palatino Linotype" w:hAnsi="Palatino Linotype"/>
          <w:color w:val="000000"/>
          <w:szCs w:val="24"/>
        </w:rPr>
      </w:pPr>
    </w:p>
    <w:p w:rsidRPr="00352E7F" w:rsidR="00CF0C77" w:rsidP="00CF0C77" w:rsidRDefault="00CF0C77" w14:paraId="16598069" w14:textId="1233F429">
      <w:pPr>
        <w:autoSpaceDE w:val="0"/>
        <w:autoSpaceDN w:val="0"/>
        <w:adjustRightInd w:val="0"/>
        <w:rPr>
          <w:rFonts w:ascii="Palatino Linotype" w:hAnsi="Palatino Linotype"/>
          <w:color w:val="000000"/>
          <w:szCs w:val="24"/>
        </w:rPr>
      </w:pPr>
      <w:r w:rsidRPr="00352E7F">
        <w:rPr>
          <w:rFonts w:ascii="Palatino Linotype" w:hAnsi="Palatino Linotype"/>
          <w:color w:val="000000"/>
          <w:szCs w:val="24"/>
        </w:rPr>
        <w:t>The grantee may submit reimbursement requests at the following intervals:</w:t>
      </w:r>
    </w:p>
    <w:p w:rsidRPr="00352E7F" w:rsidR="00CF0C77" w:rsidP="00CF0C77" w:rsidRDefault="00CF0C77" w14:paraId="02A00B33" w14:textId="77777777">
      <w:pPr>
        <w:pStyle w:val="ListParagraph"/>
        <w:numPr>
          <w:ilvl w:val="0"/>
          <w:numId w:val="13"/>
        </w:numPr>
        <w:autoSpaceDE w:val="0"/>
        <w:autoSpaceDN w:val="0"/>
        <w:adjustRightInd w:val="0"/>
        <w:rPr>
          <w:rFonts w:ascii="Palatino Linotype" w:hAnsi="Palatino Linotype"/>
          <w:color w:val="000000"/>
          <w:szCs w:val="24"/>
        </w:rPr>
      </w:pPr>
      <w:r w:rsidRPr="00352E7F">
        <w:rPr>
          <w:rFonts w:ascii="Palatino Linotype" w:hAnsi="Palatino Linotype"/>
          <w:color w:val="000000"/>
          <w:szCs w:val="24"/>
        </w:rPr>
        <w:t xml:space="preserve">10 percent </w:t>
      </w:r>
      <w:proofErr w:type="gramStart"/>
      <w:r w:rsidRPr="00352E7F">
        <w:rPr>
          <w:rFonts w:ascii="Palatino Linotype" w:hAnsi="Palatino Linotype"/>
          <w:color w:val="000000"/>
          <w:szCs w:val="24"/>
        </w:rPr>
        <w:t>completion;</w:t>
      </w:r>
      <w:proofErr w:type="gramEnd"/>
    </w:p>
    <w:p w:rsidRPr="00352E7F" w:rsidR="00CF0C77" w:rsidP="00CF0C77" w:rsidRDefault="00CF0C77" w14:paraId="50DA48D7" w14:textId="77777777">
      <w:pPr>
        <w:pStyle w:val="ListParagraph"/>
        <w:numPr>
          <w:ilvl w:val="0"/>
          <w:numId w:val="13"/>
        </w:numPr>
        <w:autoSpaceDE w:val="0"/>
        <w:autoSpaceDN w:val="0"/>
        <w:adjustRightInd w:val="0"/>
        <w:rPr>
          <w:rFonts w:ascii="Palatino Linotype" w:hAnsi="Palatino Linotype"/>
          <w:color w:val="000000"/>
          <w:szCs w:val="24"/>
        </w:rPr>
      </w:pPr>
      <w:r w:rsidRPr="00352E7F">
        <w:rPr>
          <w:rFonts w:ascii="Palatino Linotype" w:hAnsi="Palatino Linotype"/>
          <w:color w:val="000000"/>
          <w:szCs w:val="24"/>
        </w:rPr>
        <w:t xml:space="preserve">35 percent </w:t>
      </w:r>
      <w:proofErr w:type="gramStart"/>
      <w:r w:rsidRPr="00352E7F">
        <w:rPr>
          <w:rFonts w:ascii="Palatino Linotype" w:hAnsi="Palatino Linotype"/>
          <w:color w:val="000000"/>
          <w:szCs w:val="24"/>
        </w:rPr>
        <w:t>completion;</w:t>
      </w:r>
      <w:proofErr w:type="gramEnd"/>
      <w:r w:rsidRPr="00352E7F">
        <w:rPr>
          <w:rFonts w:ascii="Palatino Linotype" w:hAnsi="Palatino Linotype"/>
          <w:color w:val="000000"/>
          <w:szCs w:val="24"/>
        </w:rPr>
        <w:t xml:space="preserve"> </w:t>
      </w:r>
    </w:p>
    <w:p w:rsidRPr="00352E7F" w:rsidR="00CF0C77" w:rsidP="00CF0C77" w:rsidRDefault="00CF0C77" w14:paraId="61294B7A" w14:textId="77777777">
      <w:pPr>
        <w:pStyle w:val="ListParagraph"/>
        <w:numPr>
          <w:ilvl w:val="0"/>
          <w:numId w:val="13"/>
        </w:numPr>
        <w:autoSpaceDE w:val="0"/>
        <w:autoSpaceDN w:val="0"/>
        <w:adjustRightInd w:val="0"/>
        <w:rPr>
          <w:rFonts w:ascii="Palatino Linotype" w:hAnsi="Palatino Linotype"/>
          <w:color w:val="000000"/>
          <w:szCs w:val="24"/>
        </w:rPr>
      </w:pPr>
      <w:r w:rsidRPr="00352E7F">
        <w:rPr>
          <w:rFonts w:ascii="Palatino Linotype" w:hAnsi="Palatino Linotype"/>
          <w:color w:val="000000"/>
          <w:szCs w:val="24"/>
        </w:rPr>
        <w:t xml:space="preserve">60 percent </w:t>
      </w:r>
      <w:proofErr w:type="gramStart"/>
      <w:r w:rsidRPr="00352E7F">
        <w:rPr>
          <w:rFonts w:ascii="Palatino Linotype" w:hAnsi="Palatino Linotype"/>
          <w:color w:val="000000"/>
          <w:szCs w:val="24"/>
        </w:rPr>
        <w:t>completion;</w:t>
      </w:r>
      <w:proofErr w:type="gramEnd"/>
      <w:r w:rsidRPr="00352E7F">
        <w:rPr>
          <w:rFonts w:ascii="Palatino Linotype" w:hAnsi="Palatino Linotype"/>
          <w:color w:val="000000"/>
          <w:szCs w:val="24"/>
        </w:rPr>
        <w:t xml:space="preserve"> </w:t>
      </w:r>
    </w:p>
    <w:p w:rsidRPr="00352E7F" w:rsidR="00CF0C77" w:rsidP="00CF0C77" w:rsidRDefault="00CF0C77" w14:paraId="08418355" w14:textId="77777777">
      <w:pPr>
        <w:pStyle w:val="ListParagraph"/>
        <w:numPr>
          <w:ilvl w:val="0"/>
          <w:numId w:val="13"/>
        </w:numPr>
        <w:autoSpaceDE w:val="0"/>
        <w:autoSpaceDN w:val="0"/>
        <w:adjustRightInd w:val="0"/>
        <w:rPr>
          <w:rFonts w:ascii="Palatino Linotype" w:hAnsi="Palatino Linotype"/>
          <w:color w:val="000000"/>
          <w:szCs w:val="24"/>
        </w:rPr>
      </w:pPr>
      <w:r w:rsidRPr="00352E7F">
        <w:rPr>
          <w:rFonts w:ascii="Palatino Linotype" w:hAnsi="Palatino Linotype"/>
          <w:color w:val="000000"/>
          <w:szCs w:val="24"/>
        </w:rPr>
        <w:t xml:space="preserve">85 percent completion; and </w:t>
      </w:r>
    </w:p>
    <w:p w:rsidRPr="00352E7F" w:rsidR="00CF0C77" w:rsidP="00CF0C77" w:rsidRDefault="00CF0C77" w14:paraId="5457F898" w14:textId="77777777">
      <w:pPr>
        <w:pStyle w:val="ListParagraph"/>
        <w:numPr>
          <w:ilvl w:val="0"/>
          <w:numId w:val="13"/>
        </w:numPr>
        <w:autoSpaceDE w:val="0"/>
        <w:autoSpaceDN w:val="0"/>
        <w:adjustRightInd w:val="0"/>
        <w:rPr>
          <w:rFonts w:ascii="Palatino Linotype" w:hAnsi="Palatino Linotype"/>
          <w:color w:val="000000"/>
          <w:szCs w:val="24"/>
        </w:rPr>
      </w:pPr>
      <w:r w:rsidRPr="00352E7F">
        <w:rPr>
          <w:rFonts w:ascii="Palatino Linotype" w:hAnsi="Palatino Linotype"/>
          <w:color w:val="000000"/>
          <w:szCs w:val="24"/>
        </w:rPr>
        <w:t xml:space="preserve">100 percent completion. </w:t>
      </w:r>
    </w:p>
    <w:p w:rsidRPr="00352E7F" w:rsidR="00CF0C77" w:rsidP="00CF0C77" w:rsidRDefault="00CF0C77" w14:paraId="4DE8B935" w14:textId="77777777">
      <w:pPr>
        <w:autoSpaceDE w:val="0"/>
        <w:autoSpaceDN w:val="0"/>
        <w:adjustRightInd w:val="0"/>
        <w:rPr>
          <w:rFonts w:ascii="Palatino Linotype" w:hAnsi="Palatino Linotype"/>
          <w:color w:val="000000"/>
          <w:szCs w:val="24"/>
        </w:rPr>
      </w:pPr>
    </w:p>
    <w:p w:rsidRPr="00352E7F" w:rsidR="00CF0C77" w:rsidP="00CF0C77" w:rsidRDefault="00CF0C77" w14:paraId="741605DC" w14:textId="77777777">
      <w:pPr>
        <w:autoSpaceDE w:val="0"/>
        <w:autoSpaceDN w:val="0"/>
        <w:adjustRightInd w:val="0"/>
        <w:rPr>
          <w:rFonts w:ascii="Palatino Linotype" w:hAnsi="Palatino Linotype"/>
          <w:color w:val="000000"/>
          <w:szCs w:val="24"/>
        </w:rPr>
      </w:pPr>
      <w:r w:rsidRPr="00352E7F">
        <w:rPr>
          <w:rFonts w:ascii="Palatino Linotype" w:hAnsi="Palatino Linotype"/>
          <w:color w:val="000000"/>
          <w:szCs w:val="24"/>
        </w:rPr>
        <w:t>The final 15 percent payment request (from 85 to 100 percent) will not be paid without an approved completion report. Payments are based on submitted receipts, invoices and other supporting documentation showing expenditures incurred for the project in accordance with the approved CASF funding budget included in the CASF grantee’s application.</w:t>
      </w:r>
    </w:p>
    <w:p w:rsidRPr="00352E7F" w:rsidR="00CF0C77" w:rsidP="00CF0C77" w:rsidRDefault="00CF0C77" w14:paraId="0BEBC070" w14:textId="77777777">
      <w:pPr>
        <w:autoSpaceDE w:val="0"/>
        <w:autoSpaceDN w:val="0"/>
        <w:adjustRightInd w:val="0"/>
        <w:rPr>
          <w:rFonts w:ascii="Palatino Linotype" w:hAnsi="Palatino Linotype"/>
          <w:color w:val="000000"/>
          <w:szCs w:val="24"/>
        </w:rPr>
      </w:pPr>
    </w:p>
    <w:p w:rsidR="00CF0C77" w:rsidP="00534E7A" w:rsidRDefault="00CF0C77" w14:paraId="0408A73F" w14:textId="1AC29CA8">
      <w:pPr>
        <w:pStyle w:val="BodyText"/>
        <w:tabs>
          <w:tab w:val="left" w:pos="1170"/>
        </w:tabs>
        <w:rPr>
          <w:rFonts w:ascii="Palatino Linotype" w:hAnsi="Palatino Linotype"/>
          <w:szCs w:val="24"/>
        </w:rPr>
      </w:pPr>
      <w:r w:rsidRPr="00352E7F">
        <w:rPr>
          <w:rFonts w:ascii="Palatino Linotype" w:hAnsi="Palatino Linotype"/>
          <w:color w:val="000000"/>
          <w:szCs w:val="24"/>
        </w:rPr>
        <w:t>Payment to grantees shall follow the process adopted for funds created under P</w:t>
      </w:r>
      <w:r w:rsidR="00885A24">
        <w:rPr>
          <w:rFonts w:ascii="Palatino Linotype" w:hAnsi="Palatino Linotype"/>
          <w:color w:val="000000"/>
          <w:szCs w:val="24"/>
        </w:rPr>
        <w:t xml:space="preserve">ublic </w:t>
      </w:r>
      <w:r w:rsidRPr="00352E7F">
        <w:rPr>
          <w:rFonts w:ascii="Palatino Linotype" w:hAnsi="Palatino Linotype"/>
          <w:color w:val="000000"/>
          <w:szCs w:val="24"/>
        </w:rPr>
        <w:t>U</w:t>
      </w:r>
      <w:r w:rsidR="00885A24">
        <w:rPr>
          <w:rFonts w:ascii="Palatino Linotype" w:hAnsi="Palatino Linotype"/>
          <w:color w:val="000000"/>
          <w:szCs w:val="24"/>
        </w:rPr>
        <w:t>tilities</w:t>
      </w:r>
      <w:r w:rsidRPr="00352E7F">
        <w:rPr>
          <w:rFonts w:ascii="Palatino Linotype" w:hAnsi="Palatino Linotype"/>
          <w:color w:val="000000"/>
          <w:szCs w:val="24"/>
        </w:rPr>
        <w:t xml:space="preserve"> Code §</w:t>
      </w:r>
      <w:r w:rsidR="00377D4E">
        <w:rPr>
          <w:rFonts w:ascii="Palatino Linotype" w:hAnsi="Palatino Linotype"/>
          <w:color w:val="000000"/>
          <w:szCs w:val="24"/>
        </w:rPr>
        <w:t xml:space="preserve"> </w:t>
      </w:r>
      <w:r w:rsidRPr="00352E7F">
        <w:rPr>
          <w:rFonts w:ascii="Palatino Linotype" w:hAnsi="Palatino Linotype"/>
          <w:color w:val="000000"/>
          <w:szCs w:val="24"/>
        </w:rPr>
        <w:t>270.  The Commission generally processes payments within 20-25 business days, including Communications Division and Administrative Services review time.</w:t>
      </w:r>
      <w:r w:rsidRPr="00352E7F">
        <w:rPr>
          <w:rFonts w:ascii="Palatino Linotype" w:hAnsi="Palatino Linotype"/>
          <w:szCs w:val="24"/>
        </w:rPr>
        <w:t xml:space="preserve">  The State Controller’s Office (SCO) requires an additional 14- 21 days to issue payment from the day that requests are received by SCO from </w:t>
      </w:r>
      <w:r w:rsidRPr="00352E7F">
        <w:rPr>
          <w:rFonts w:ascii="Palatino Linotype" w:hAnsi="Palatino Linotype"/>
          <w:color w:val="000000"/>
          <w:szCs w:val="24"/>
        </w:rPr>
        <w:t>Administrative Services</w:t>
      </w:r>
      <w:r w:rsidRPr="00352E7F">
        <w:rPr>
          <w:rFonts w:ascii="Palatino Linotype" w:hAnsi="Palatino Linotype"/>
          <w:szCs w:val="24"/>
        </w:rPr>
        <w:t>.</w:t>
      </w:r>
    </w:p>
    <w:p w:rsidRPr="00352E7F" w:rsidR="00CF0C77" w:rsidRDefault="00CF0C77" w14:paraId="64C19B5E" w14:textId="77777777">
      <w:pPr>
        <w:rPr>
          <w:rFonts w:ascii="Palatino Linotype" w:hAnsi="Palatino Linotype"/>
          <w:szCs w:val="24"/>
        </w:rPr>
      </w:pPr>
    </w:p>
    <w:sectPr w:rsidRPr="00352E7F" w:rsidR="00CF0C77" w:rsidSect="003D5C0A">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5428E" w14:textId="77777777" w:rsidR="002257A0" w:rsidRDefault="002257A0" w:rsidP="00CF06BE">
      <w:r>
        <w:separator/>
      </w:r>
    </w:p>
  </w:endnote>
  <w:endnote w:type="continuationSeparator" w:id="0">
    <w:p w14:paraId="03BBA347" w14:textId="77777777" w:rsidR="002257A0" w:rsidRDefault="002257A0" w:rsidP="00CF06BE">
      <w:r>
        <w:continuationSeparator/>
      </w:r>
    </w:p>
  </w:endnote>
  <w:endnote w:type="continuationNotice" w:id="1">
    <w:p w14:paraId="7E47E62A" w14:textId="77777777" w:rsidR="002257A0" w:rsidRDefault="00225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Antiqua">
    <w:altName w:val="Cambria"/>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7CE6F" w14:textId="7A1B4B3D" w:rsidR="00534E7A" w:rsidRDefault="002257A0">
    <w:pPr>
      <w:pStyle w:val="Footer"/>
      <w:jc w:val="center"/>
    </w:pPr>
    <w:sdt>
      <w:sdtPr>
        <w:id w:val="138464227"/>
        <w:docPartObj>
          <w:docPartGallery w:val="Page Numbers (Bottom of Page)"/>
          <w:docPartUnique/>
        </w:docPartObj>
      </w:sdtPr>
      <w:sdtEndPr>
        <w:rPr>
          <w:noProof/>
        </w:rPr>
      </w:sdtEndPr>
      <w:sdtContent>
        <w:r w:rsidR="00534E7A">
          <w:fldChar w:fldCharType="begin"/>
        </w:r>
        <w:r w:rsidR="00534E7A">
          <w:instrText xml:space="preserve"> PAGE   \* MERGEFORMAT </w:instrText>
        </w:r>
        <w:r w:rsidR="00534E7A">
          <w:fldChar w:fldCharType="separate"/>
        </w:r>
        <w:r w:rsidR="00534E7A">
          <w:rPr>
            <w:noProof/>
          </w:rPr>
          <w:t>9</w:t>
        </w:r>
        <w:r w:rsidR="00534E7A">
          <w:rPr>
            <w:noProof/>
          </w:rPr>
          <w:fldChar w:fldCharType="end"/>
        </w:r>
      </w:sdtContent>
    </w:sdt>
  </w:p>
  <w:p w14:paraId="0EBF0ABE" w14:textId="77777777" w:rsidR="00534E7A" w:rsidRDefault="00534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8BC92" w14:textId="4A62B654" w:rsidR="00534E7A" w:rsidRPr="00534E7A" w:rsidRDefault="00ED308D">
    <w:pPr>
      <w:pStyle w:val="Footer"/>
      <w:rPr>
        <w:sz w:val="20"/>
      </w:rPr>
    </w:pPr>
    <w:r>
      <w:rPr>
        <w:sz w:val="20"/>
      </w:rPr>
      <w:t>349920347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140783"/>
      <w:docPartObj>
        <w:docPartGallery w:val="Page Numbers (Bottom of Page)"/>
        <w:docPartUnique/>
      </w:docPartObj>
    </w:sdtPr>
    <w:sdtEndPr>
      <w:rPr>
        <w:noProof/>
      </w:rPr>
    </w:sdtEndPr>
    <w:sdtContent>
      <w:p w14:paraId="78E3821B" w14:textId="332499EC" w:rsidR="00534E7A" w:rsidRDefault="00675532">
        <w:pPr>
          <w:pStyle w:val="Footer"/>
          <w:jc w:val="center"/>
        </w:pPr>
        <w:r>
          <w:t xml:space="preserve">Appendix </w:t>
        </w:r>
        <w:r w:rsidR="004070F1">
          <w:t>A</w:t>
        </w:r>
        <w:r w:rsidR="00534E7A">
          <w:t>-</w:t>
        </w:r>
        <w:r w:rsidR="00534E7A">
          <w:fldChar w:fldCharType="begin"/>
        </w:r>
        <w:r w:rsidR="00534E7A">
          <w:instrText xml:space="preserve"> PAGE   \* MERGEFORMAT </w:instrText>
        </w:r>
        <w:r w:rsidR="00534E7A">
          <w:fldChar w:fldCharType="separate"/>
        </w:r>
        <w:r w:rsidR="00534E7A">
          <w:rPr>
            <w:noProof/>
          </w:rPr>
          <w:t>1</w:t>
        </w:r>
        <w:r w:rsidR="00534E7A">
          <w:rPr>
            <w:noProof/>
          </w:rPr>
          <w:fldChar w:fldCharType="end"/>
        </w:r>
      </w:p>
    </w:sdtContent>
  </w:sdt>
  <w:p w14:paraId="4B034F74" w14:textId="77777777" w:rsidR="00534E7A" w:rsidRDefault="00534E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540474"/>
      <w:docPartObj>
        <w:docPartGallery w:val="Page Numbers (Bottom of Page)"/>
        <w:docPartUnique/>
      </w:docPartObj>
    </w:sdtPr>
    <w:sdtEndPr>
      <w:rPr>
        <w:noProof/>
      </w:rPr>
    </w:sdtEndPr>
    <w:sdtContent>
      <w:p w14:paraId="7F3D335E" w14:textId="4DA7020C" w:rsidR="004070F1" w:rsidRDefault="004070F1">
        <w:pPr>
          <w:pStyle w:val="Footer"/>
          <w:jc w:val="center"/>
        </w:pPr>
        <w:r>
          <w:t>Appendix B-</w:t>
        </w:r>
        <w:r>
          <w:fldChar w:fldCharType="begin"/>
        </w:r>
        <w:r>
          <w:instrText xml:space="preserve"> PAGE   \* MERGEFORMAT </w:instrText>
        </w:r>
        <w:r>
          <w:fldChar w:fldCharType="separate"/>
        </w:r>
        <w:r>
          <w:rPr>
            <w:noProof/>
          </w:rPr>
          <w:t>1</w:t>
        </w:r>
        <w:r>
          <w:rPr>
            <w:noProof/>
          </w:rPr>
          <w:fldChar w:fldCharType="end"/>
        </w:r>
      </w:p>
    </w:sdtContent>
  </w:sdt>
  <w:p w14:paraId="69E8A2F8" w14:textId="77777777" w:rsidR="004070F1" w:rsidRDefault="004070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975965"/>
      <w:docPartObj>
        <w:docPartGallery w:val="Page Numbers (Bottom of Page)"/>
        <w:docPartUnique/>
      </w:docPartObj>
    </w:sdtPr>
    <w:sdtEndPr>
      <w:rPr>
        <w:noProof/>
      </w:rPr>
    </w:sdtEndPr>
    <w:sdtContent>
      <w:p w14:paraId="680AB6A6" w14:textId="147971B1" w:rsidR="004070F1" w:rsidRDefault="004070F1">
        <w:pPr>
          <w:pStyle w:val="Footer"/>
          <w:jc w:val="center"/>
        </w:pPr>
        <w:r>
          <w:t>Appendix C-</w:t>
        </w:r>
        <w:r>
          <w:fldChar w:fldCharType="begin"/>
        </w:r>
        <w:r>
          <w:instrText xml:space="preserve"> PAGE   \* MERGEFORMAT </w:instrText>
        </w:r>
        <w:r>
          <w:fldChar w:fldCharType="separate"/>
        </w:r>
        <w:r>
          <w:rPr>
            <w:noProof/>
          </w:rPr>
          <w:t>1</w:t>
        </w:r>
        <w:r>
          <w:rPr>
            <w:noProof/>
          </w:rPr>
          <w:fldChar w:fldCharType="end"/>
        </w:r>
      </w:p>
    </w:sdtContent>
  </w:sdt>
  <w:p w14:paraId="7E0DED7F" w14:textId="77777777" w:rsidR="004070F1" w:rsidRDefault="00407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B10AE" w14:textId="77777777" w:rsidR="002257A0" w:rsidRDefault="002257A0" w:rsidP="00CF06BE">
      <w:r>
        <w:separator/>
      </w:r>
    </w:p>
  </w:footnote>
  <w:footnote w:type="continuationSeparator" w:id="0">
    <w:p w14:paraId="4DA4E7E9" w14:textId="77777777" w:rsidR="002257A0" w:rsidRDefault="002257A0" w:rsidP="00CF06BE">
      <w:r>
        <w:continuationSeparator/>
      </w:r>
    </w:p>
  </w:footnote>
  <w:footnote w:type="continuationNotice" w:id="1">
    <w:p w14:paraId="211D13A5" w14:textId="77777777" w:rsidR="002257A0" w:rsidRDefault="002257A0"/>
  </w:footnote>
  <w:footnote w:id="2">
    <w:p w14:paraId="539CC349" w14:textId="39A08742" w:rsidR="00534E7A" w:rsidRPr="0006135D" w:rsidRDefault="00534E7A" w:rsidP="00C71B3A">
      <w:pPr>
        <w:pStyle w:val="FootnoteText"/>
        <w:rPr>
          <w:rFonts w:ascii="Palatino Linotype" w:hAnsi="Palatino Linotype"/>
          <w:sz w:val="20"/>
          <w:szCs w:val="20"/>
        </w:rPr>
      </w:pPr>
      <w:r w:rsidRPr="0006135D">
        <w:rPr>
          <w:rStyle w:val="FootnoteReference"/>
          <w:rFonts w:ascii="Palatino Linotype" w:hAnsi="Palatino Linotype"/>
          <w:sz w:val="20"/>
          <w:szCs w:val="20"/>
        </w:rPr>
        <w:footnoteRef/>
      </w:r>
      <w:r w:rsidRPr="0006135D">
        <w:rPr>
          <w:rFonts w:ascii="Palatino Linotype" w:hAnsi="Palatino Linotype"/>
          <w:sz w:val="20"/>
          <w:szCs w:val="20"/>
        </w:rPr>
        <w:t xml:space="preserve">  </w:t>
      </w:r>
      <w:r w:rsidRPr="0006135D">
        <w:rPr>
          <w:rFonts w:ascii="Palatino Linotype" w:hAnsi="Palatino Linotype" w:cs="BookAntiqua"/>
          <w:sz w:val="20"/>
          <w:szCs w:val="20"/>
        </w:rPr>
        <w:t xml:space="preserve">AB 1665 is codified at Public Utilities (Pub. Util.) </w:t>
      </w:r>
      <w:r w:rsidRPr="00534E7A">
        <w:rPr>
          <w:rFonts w:ascii="Palatino Linotype" w:hAnsi="Palatino Linotype" w:cs="BookAntiqua"/>
          <w:sz w:val="20"/>
          <w:szCs w:val="20"/>
        </w:rPr>
        <w:t xml:space="preserve">Code </w:t>
      </w:r>
      <w:r w:rsidRPr="00534E7A">
        <w:rPr>
          <w:rFonts w:ascii="Palatino Linotype" w:hAnsi="Palatino Linotype"/>
          <w:sz w:val="20"/>
          <w:szCs w:val="20"/>
        </w:rPr>
        <w:t>§</w:t>
      </w:r>
      <w:r w:rsidRPr="0006135D">
        <w:rPr>
          <w:rFonts w:ascii="Palatino Linotype" w:hAnsi="Palatino Linotype" w:cs="BookAntiqua"/>
          <w:sz w:val="20"/>
          <w:szCs w:val="20"/>
        </w:rPr>
        <w:t xml:space="preserve"> 281.</w:t>
      </w:r>
    </w:p>
  </w:footnote>
  <w:footnote w:id="3">
    <w:p w14:paraId="1770A7F8" w14:textId="1E84A360" w:rsidR="00534E7A" w:rsidRPr="002E6E73" w:rsidRDefault="00534E7A">
      <w:pPr>
        <w:pStyle w:val="FootnoteText"/>
        <w:rPr>
          <w:rFonts w:ascii="Palatino Linotype" w:hAnsi="Palatino Linotype"/>
          <w:sz w:val="20"/>
          <w:szCs w:val="20"/>
        </w:rPr>
      </w:pPr>
      <w:r w:rsidRPr="0006135D">
        <w:rPr>
          <w:rStyle w:val="FootnoteReference"/>
          <w:rFonts w:ascii="Palatino Linotype" w:hAnsi="Palatino Linotype"/>
          <w:sz w:val="20"/>
          <w:szCs w:val="20"/>
        </w:rPr>
        <w:footnoteRef/>
      </w:r>
      <w:r w:rsidR="167C61B8" w:rsidRPr="0006135D">
        <w:rPr>
          <w:rFonts w:ascii="Palatino Linotype" w:hAnsi="Palatino Linotype"/>
          <w:sz w:val="20"/>
          <w:szCs w:val="20"/>
        </w:rPr>
        <w:t xml:space="preserve"> </w:t>
      </w:r>
      <w:r w:rsidR="167C61B8">
        <w:rPr>
          <w:rFonts w:ascii="Palatino Linotype" w:hAnsi="Palatino Linotype"/>
          <w:sz w:val="20"/>
          <w:szCs w:val="20"/>
        </w:rPr>
        <w:t xml:space="preserve"> </w:t>
      </w:r>
      <w:r w:rsidR="167C61B8" w:rsidRPr="002E6E73">
        <w:rPr>
          <w:rFonts w:ascii="Palatino Linotype" w:hAnsi="Palatino Linotype"/>
          <w:sz w:val="20"/>
          <w:szCs w:val="20"/>
        </w:rPr>
        <w:t xml:space="preserve">The Commission extended the CASF Infrastructure application deadline from April 1 to May 4, 2020, and all subsequent deadlines are moved back by five weeks due to COVID-19 public health emergency. </w:t>
      </w:r>
      <w:r w:rsidR="167C61B8" w:rsidRPr="009B6E2C">
        <w:rPr>
          <w:rFonts w:ascii="Palatino Linotype" w:hAnsi="Palatino Linotype"/>
          <w:i/>
          <w:iCs/>
          <w:sz w:val="20"/>
          <w:szCs w:val="20"/>
        </w:rPr>
        <w:t>See</w:t>
      </w:r>
      <w:r w:rsidR="167C61B8" w:rsidRPr="002E6E73">
        <w:rPr>
          <w:rFonts w:ascii="Palatino Linotype" w:hAnsi="Palatino Linotype"/>
          <w:sz w:val="20"/>
          <w:szCs w:val="20"/>
        </w:rPr>
        <w:t xml:space="preserve"> Executive Director Letter to CASF Distribution and Service Lists, Postponement of the 2020 CASF Infrastructure Application Deadlines, March 20, 2020.</w:t>
      </w:r>
    </w:p>
  </w:footnote>
  <w:footnote w:id="4">
    <w:p w14:paraId="2C29143D" w14:textId="77777777" w:rsidR="00127629" w:rsidRPr="00AB196E" w:rsidRDefault="00127629" w:rsidP="00127629">
      <w:pPr>
        <w:pStyle w:val="FootnoteText"/>
        <w:rPr>
          <w:rFonts w:ascii="Palatino Linotype" w:eastAsiaTheme="minorEastAsia" w:hAnsi="Palatino Linotype"/>
          <w:sz w:val="20"/>
          <w:szCs w:val="20"/>
        </w:rPr>
      </w:pPr>
      <w:r w:rsidRPr="00AB196E">
        <w:rPr>
          <w:rStyle w:val="FootnoteReference"/>
          <w:rFonts w:ascii="Palatino Linotype" w:hAnsi="Palatino Linotype"/>
          <w:sz w:val="20"/>
          <w:szCs w:val="20"/>
        </w:rPr>
        <w:footnoteRef/>
      </w:r>
      <w:r w:rsidRPr="00AB196E">
        <w:rPr>
          <w:rFonts w:ascii="Palatino Linotype" w:hAnsi="Palatino Linotype"/>
          <w:sz w:val="20"/>
          <w:szCs w:val="20"/>
        </w:rPr>
        <w:t xml:space="preserve"> </w:t>
      </w:r>
      <w:r w:rsidRPr="00AB196E">
        <w:rPr>
          <w:rFonts w:ascii="Palatino Linotype" w:hAnsi="Palatino Linotype"/>
          <w:i/>
          <w:iCs/>
          <w:sz w:val="20"/>
          <w:szCs w:val="20"/>
        </w:rPr>
        <w:t>See</w:t>
      </w:r>
      <w:r w:rsidRPr="00AB196E">
        <w:rPr>
          <w:rFonts w:ascii="Palatino Linotype" w:hAnsi="Palatino Linotype"/>
          <w:sz w:val="20"/>
          <w:szCs w:val="20"/>
        </w:rPr>
        <w:t xml:space="preserve"> Public Utilities Code § 281(b)(1)(B)(ii).</w:t>
      </w:r>
    </w:p>
  </w:footnote>
  <w:footnote w:id="5">
    <w:p w14:paraId="3EFA3A35" w14:textId="77777777" w:rsidR="00127629" w:rsidRDefault="00127629" w:rsidP="00127629">
      <w:pPr>
        <w:pStyle w:val="FootnoteText"/>
        <w:rPr>
          <w:rFonts w:ascii="Palatino Linotype" w:hAnsi="Palatino Linotype"/>
        </w:rPr>
      </w:pPr>
      <w:r w:rsidRPr="00AB196E">
        <w:rPr>
          <w:rStyle w:val="FootnoteReference"/>
          <w:rFonts w:ascii="Palatino Linotype" w:hAnsi="Palatino Linotype"/>
          <w:sz w:val="20"/>
          <w:szCs w:val="20"/>
        </w:rPr>
        <w:footnoteRef/>
      </w:r>
      <w:r w:rsidRPr="00AB196E">
        <w:rPr>
          <w:rFonts w:ascii="Palatino Linotype" w:hAnsi="Palatino Linotype"/>
          <w:sz w:val="20"/>
          <w:szCs w:val="20"/>
        </w:rPr>
        <w:t xml:space="preserve"> </w:t>
      </w:r>
      <w:r w:rsidRPr="00AB196E">
        <w:rPr>
          <w:rFonts w:ascii="Palatino Linotype" w:hAnsi="Palatino Linotype"/>
          <w:i/>
          <w:iCs/>
          <w:sz w:val="20"/>
          <w:szCs w:val="20"/>
        </w:rPr>
        <w:t>See</w:t>
      </w:r>
      <w:r w:rsidRPr="00AB196E">
        <w:rPr>
          <w:rFonts w:ascii="Palatino Linotype" w:hAnsi="Palatino Linotype"/>
          <w:sz w:val="20"/>
          <w:szCs w:val="20"/>
        </w:rPr>
        <w:t xml:space="preserve"> Staff Proposal on State-Federal Broadband Infrastructure Funds Leveraging Rulemaking (R.)20-08-021, October 1, 2020, which is pending Commission decision.</w:t>
      </w:r>
      <w:r>
        <w:rPr>
          <w:rFonts w:ascii="Palatino Linotype" w:hAnsi="Palatino Linotype"/>
        </w:rPr>
        <w:t xml:space="preserve"> </w:t>
      </w:r>
    </w:p>
  </w:footnote>
  <w:footnote w:id="6">
    <w:p w14:paraId="42964E70" w14:textId="7600C7BA" w:rsidR="00534E7A" w:rsidRPr="00783AE3" w:rsidRDefault="00534E7A">
      <w:pPr>
        <w:pStyle w:val="FootnoteText"/>
        <w:rPr>
          <w:rFonts w:ascii="Palatino Linotype" w:hAnsi="Palatino Linotype"/>
          <w:sz w:val="20"/>
          <w:szCs w:val="20"/>
        </w:rPr>
      </w:pPr>
      <w:r w:rsidRPr="00783AE3">
        <w:rPr>
          <w:rStyle w:val="FootnoteReference"/>
          <w:rFonts w:ascii="Palatino Linotype" w:hAnsi="Palatino Linotype"/>
          <w:sz w:val="20"/>
          <w:szCs w:val="20"/>
        </w:rPr>
        <w:footnoteRef/>
      </w:r>
      <w:r w:rsidRPr="00783AE3">
        <w:rPr>
          <w:rFonts w:ascii="Palatino Linotype" w:hAnsi="Palatino Linotype"/>
          <w:sz w:val="20"/>
          <w:szCs w:val="20"/>
        </w:rPr>
        <w:t xml:space="preserve"> https://www.cpuc.ca.gov/General.aspx?id=1040</w:t>
      </w:r>
    </w:p>
  </w:footnote>
  <w:footnote w:id="7">
    <w:p w14:paraId="6341EFE6" w14:textId="6DE8432D" w:rsidR="00534E7A" w:rsidRDefault="00534E7A">
      <w:pPr>
        <w:pStyle w:val="FootnoteText"/>
      </w:pPr>
      <w:r w:rsidRPr="00783AE3">
        <w:rPr>
          <w:rStyle w:val="FootnoteReference"/>
          <w:rFonts w:ascii="Palatino Linotype" w:hAnsi="Palatino Linotype"/>
          <w:sz w:val="20"/>
          <w:szCs w:val="20"/>
        </w:rPr>
        <w:footnoteRef/>
      </w:r>
      <w:r w:rsidRPr="00783AE3">
        <w:rPr>
          <w:rFonts w:ascii="Palatino Linotype" w:hAnsi="Palatino Linotype"/>
          <w:sz w:val="20"/>
          <w:szCs w:val="20"/>
        </w:rPr>
        <w:t xml:space="preserve"> https://www.cpuc.ca.gov/General.aspx?id=8246</w:t>
      </w:r>
    </w:p>
  </w:footnote>
  <w:footnote w:id="8">
    <w:p w14:paraId="791D2CE3" w14:textId="281C0EBE" w:rsidR="005334D1" w:rsidRPr="00D34935" w:rsidRDefault="005334D1" w:rsidP="005334D1">
      <w:pPr>
        <w:pStyle w:val="FootnoteText"/>
        <w:rPr>
          <w:rFonts w:ascii="Palatino Linotype" w:hAnsi="Palatino Linotype" w:cs="Times New Roman"/>
          <w:sz w:val="20"/>
          <w:szCs w:val="20"/>
        </w:rPr>
      </w:pPr>
      <w:r w:rsidRPr="44E7BABB">
        <w:rPr>
          <w:rStyle w:val="FootnoteReference"/>
          <w:rFonts w:ascii="Times New Roman" w:hAnsi="Times New Roman" w:cs="Times New Roman"/>
          <w:sz w:val="20"/>
          <w:szCs w:val="20"/>
        </w:rPr>
        <w:footnoteRef/>
      </w:r>
      <w:r w:rsidR="167C61B8" w:rsidRPr="44E7BABB">
        <w:rPr>
          <w:rFonts w:ascii="Times New Roman" w:hAnsi="Times New Roman" w:cs="Times New Roman"/>
          <w:sz w:val="20"/>
          <w:szCs w:val="20"/>
        </w:rPr>
        <w:t xml:space="preserve"> </w:t>
      </w:r>
      <w:r w:rsidR="167C61B8" w:rsidRPr="00D34935">
        <w:rPr>
          <w:rFonts w:ascii="Palatino Linotype" w:hAnsi="Palatino Linotype" w:cs="Times New Roman"/>
          <w:sz w:val="20"/>
          <w:szCs w:val="20"/>
        </w:rPr>
        <w:t xml:space="preserve">Pub. Util. </w:t>
      </w:r>
      <w:r w:rsidR="167C61B8" w:rsidRPr="00534E7A">
        <w:rPr>
          <w:rFonts w:ascii="Palatino Linotype" w:hAnsi="Palatino Linotype" w:cs="Times New Roman"/>
          <w:sz w:val="20"/>
          <w:szCs w:val="20"/>
        </w:rPr>
        <w:t xml:space="preserve">Code </w:t>
      </w:r>
      <w:r w:rsidR="167C61B8" w:rsidRPr="00534E7A">
        <w:rPr>
          <w:rFonts w:ascii="Palatino Linotype" w:hAnsi="Palatino Linotype"/>
          <w:sz w:val="20"/>
          <w:szCs w:val="20"/>
        </w:rPr>
        <w:t>§</w:t>
      </w:r>
      <w:r w:rsidR="167C61B8" w:rsidRPr="00534E7A">
        <w:rPr>
          <w:rFonts w:ascii="Palatino Linotype" w:hAnsi="Palatino Linotype" w:cs="Times New Roman"/>
          <w:sz w:val="20"/>
          <w:szCs w:val="20"/>
        </w:rPr>
        <w:t xml:space="preserve"> 281</w:t>
      </w:r>
      <w:r w:rsidR="167C61B8" w:rsidRPr="00D34935">
        <w:rPr>
          <w:rFonts w:ascii="Palatino Linotype" w:hAnsi="Palatino Linotype" w:cs="Times New Roman"/>
          <w:sz w:val="20"/>
          <w:szCs w:val="20"/>
        </w:rPr>
        <w:t>(f)(4)(A)(ii) prohibits the Commission from awarding CASF funding to a project applicant if the existing facility-based broadband provider demonstrates, in response to the Commission’s annual offer, that it will deploy broadband or upgrade existing broadband service throughout the proposed project area within 180 days.</w:t>
      </w:r>
    </w:p>
  </w:footnote>
  <w:footnote w:id="9">
    <w:p w14:paraId="6653584D" w14:textId="141E01D8" w:rsidR="003A0FA4" w:rsidRDefault="003A0FA4">
      <w:pPr>
        <w:pStyle w:val="FootnoteText"/>
      </w:pPr>
      <w:r>
        <w:rPr>
          <w:rStyle w:val="FootnoteReference"/>
        </w:rPr>
        <w:footnoteRef/>
      </w:r>
      <w:r w:rsidR="167C61B8">
        <w:t xml:space="preserve"> </w:t>
      </w:r>
      <w:r w:rsidR="167C61B8" w:rsidRPr="00D34935">
        <w:rPr>
          <w:rFonts w:ascii="Palatino Linotype" w:hAnsi="Palatino Linotype" w:cs="Times New Roman"/>
          <w:sz w:val="20"/>
          <w:szCs w:val="20"/>
        </w:rPr>
        <w:t xml:space="preserve">Pub. Util. </w:t>
      </w:r>
      <w:r w:rsidR="167C61B8" w:rsidRPr="00534E7A">
        <w:rPr>
          <w:rFonts w:ascii="Palatino Linotype" w:hAnsi="Palatino Linotype" w:cs="Times New Roman"/>
          <w:sz w:val="20"/>
          <w:szCs w:val="20"/>
        </w:rPr>
        <w:t xml:space="preserve">Code </w:t>
      </w:r>
      <w:r w:rsidR="167C61B8" w:rsidRPr="00534E7A">
        <w:rPr>
          <w:rFonts w:ascii="Palatino Linotype" w:hAnsi="Palatino Linotype"/>
          <w:sz w:val="20"/>
          <w:szCs w:val="20"/>
        </w:rPr>
        <w:t>§</w:t>
      </w:r>
      <w:r w:rsidR="167C61B8" w:rsidRPr="00534E7A">
        <w:rPr>
          <w:rFonts w:ascii="Palatino Linotype" w:hAnsi="Palatino Linotype" w:cs="Times New Roman"/>
          <w:sz w:val="20"/>
          <w:szCs w:val="20"/>
        </w:rPr>
        <w:t xml:space="preserve"> 281</w:t>
      </w:r>
      <w:r w:rsidR="167C61B8" w:rsidRPr="00D34935">
        <w:rPr>
          <w:rFonts w:ascii="Palatino Linotype" w:hAnsi="Palatino Linotype" w:cs="Times New Roman"/>
          <w:sz w:val="20"/>
          <w:szCs w:val="20"/>
        </w:rPr>
        <w:t>(f)(</w:t>
      </w:r>
      <w:r w:rsidR="167C61B8">
        <w:rPr>
          <w:rFonts w:ascii="Palatino Linotype" w:hAnsi="Palatino Linotype" w:cs="Times New Roman"/>
          <w:sz w:val="20"/>
          <w:szCs w:val="20"/>
        </w:rPr>
        <w:t>5</w:t>
      </w:r>
      <w:r w:rsidR="167C61B8" w:rsidRPr="00D34935">
        <w:rPr>
          <w:rFonts w:ascii="Palatino Linotype" w:hAnsi="Palatino Linotype" w:cs="Times New Roman"/>
          <w:sz w:val="20"/>
          <w:szCs w:val="20"/>
        </w:rPr>
        <w:t>)(</w:t>
      </w:r>
      <w:r w:rsidR="167C61B8">
        <w:rPr>
          <w:rFonts w:ascii="Palatino Linotype" w:hAnsi="Palatino Linotype" w:cs="Times New Roman"/>
          <w:sz w:val="20"/>
          <w:szCs w:val="20"/>
        </w:rPr>
        <w:t>C</w:t>
      </w:r>
      <w:r w:rsidR="167C61B8" w:rsidRPr="00D34935">
        <w:rPr>
          <w:rFonts w:ascii="Palatino Linotype" w:hAnsi="Palatino Linotype" w:cs="Times New Roman"/>
          <w:sz w:val="20"/>
          <w:szCs w:val="20"/>
        </w:rPr>
        <w:t>)(</w:t>
      </w:r>
      <w:proofErr w:type="spellStart"/>
      <w:r w:rsidR="167C61B8" w:rsidRPr="00D34935">
        <w:rPr>
          <w:rFonts w:ascii="Palatino Linotype" w:hAnsi="Palatino Linotype" w:cs="Times New Roman"/>
          <w:sz w:val="20"/>
          <w:szCs w:val="20"/>
        </w:rPr>
        <w:t>i</w:t>
      </w:r>
      <w:proofErr w:type="spellEnd"/>
      <w:r w:rsidR="167C61B8" w:rsidRPr="00D34935">
        <w:rPr>
          <w:rFonts w:ascii="Palatino Linotype" w:hAnsi="Palatino Linotype" w:cs="Times New Roman"/>
          <w:sz w:val="20"/>
          <w:szCs w:val="20"/>
        </w:rPr>
        <w:t xml:space="preserve">) prohibited the Commission, prior to July 1, 2020, from awarding CASF funding to a project applicant </w:t>
      </w:r>
      <w:r w:rsidR="167C61B8">
        <w:rPr>
          <w:rFonts w:ascii="Palatino Linotype" w:hAnsi="Palatino Linotype" w:cs="Times New Roman"/>
          <w:sz w:val="20"/>
          <w:szCs w:val="20"/>
        </w:rPr>
        <w:t>where an existing facility-based broadband provider has accepted federal funds for broadband deployment from Phase II of the Connect America Fund.</w:t>
      </w:r>
    </w:p>
  </w:footnote>
  <w:footnote w:id="10">
    <w:p w14:paraId="0EB0D853" w14:textId="02C6CEC6" w:rsidR="00D01ABA" w:rsidRPr="00A8081A" w:rsidRDefault="00D01ABA">
      <w:pPr>
        <w:pStyle w:val="FootnoteText"/>
        <w:rPr>
          <w:rFonts w:ascii="Palatino Linotype" w:hAnsi="Palatino Linotype"/>
          <w:sz w:val="20"/>
          <w:szCs w:val="20"/>
        </w:rPr>
      </w:pPr>
      <w:r w:rsidRPr="00A8081A">
        <w:rPr>
          <w:rStyle w:val="FootnoteReference"/>
          <w:rFonts w:ascii="Palatino Linotype" w:hAnsi="Palatino Linotype"/>
          <w:sz w:val="20"/>
          <w:szCs w:val="20"/>
        </w:rPr>
        <w:footnoteRef/>
      </w:r>
      <w:r w:rsidRPr="00A8081A">
        <w:rPr>
          <w:rFonts w:ascii="Palatino Linotype" w:hAnsi="Palatino Linotype"/>
          <w:sz w:val="20"/>
          <w:szCs w:val="20"/>
        </w:rPr>
        <w:t xml:space="preserve"> </w:t>
      </w:r>
      <w:r w:rsidR="00135FCD" w:rsidRPr="0084428E">
        <w:rPr>
          <w:rFonts w:ascii="Palatino Linotype" w:hAnsi="Palatino Linotype"/>
          <w:i/>
          <w:iCs/>
          <w:sz w:val="20"/>
          <w:szCs w:val="20"/>
        </w:rPr>
        <w:t xml:space="preserve">See </w:t>
      </w:r>
      <w:r w:rsidR="00135FCD" w:rsidRPr="0084428E">
        <w:rPr>
          <w:rFonts w:ascii="Palatino Linotype" w:hAnsi="Palatino Linotype"/>
          <w:sz w:val="20"/>
          <w:szCs w:val="20"/>
        </w:rPr>
        <w:t>https://www.broadbandmap.ca.gov/federalfunding/</w:t>
      </w:r>
      <w:r w:rsidR="008D0E3A" w:rsidRPr="0084428E">
        <w:rPr>
          <w:rFonts w:ascii="Palatino Linotype" w:hAnsi="Palatino Linotype"/>
          <w:sz w:val="20"/>
          <w:szCs w:val="20"/>
        </w:rPr>
        <w:t>.</w:t>
      </w:r>
      <w:r w:rsidR="008D0E3A">
        <w:rPr>
          <w:rFonts w:ascii="Palatino Linotype" w:hAnsi="Palatino Linotype"/>
          <w:sz w:val="20"/>
          <w:szCs w:val="20"/>
        </w:rPr>
        <w:t xml:space="preserve"> </w:t>
      </w:r>
    </w:p>
  </w:footnote>
  <w:footnote w:id="11">
    <w:p w14:paraId="0DE2B1E4" w14:textId="77777777" w:rsidR="001F6AA6" w:rsidRPr="00ED777B" w:rsidRDefault="001F6AA6" w:rsidP="001F6AA6">
      <w:pPr>
        <w:pStyle w:val="FootnoteText"/>
        <w:rPr>
          <w:rFonts w:ascii="Palatino Linotype" w:hAnsi="Palatino Linotype"/>
          <w:sz w:val="20"/>
          <w:szCs w:val="20"/>
        </w:rPr>
      </w:pPr>
      <w:r>
        <w:rPr>
          <w:rStyle w:val="FootnoteReference"/>
        </w:rPr>
        <w:footnoteRef/>
      </w:r>
      <w:r>
        <w:t xml:space="preserve"> </w:t>
      </w:r>
      <w:r w:rsidRPr="00ED777B">
        <w:rPr>
          <w:rFonts w:ascii="Palatino Linotype" w:hAnsi="Palatino Linotype"/>
          <w:sz w:val="20"/>
          <w:szCs w:val="20"/>
        </w:rPr>
        <w:t xml:space="preserve">Dial-up provides speed less than </w:t>
      </w:r>
      <w:r>
        <w:rPr>
          <w:rFonts w:ascii="Palatino Linotype" w:hAnsi="Palatino Linotype"/>
          <w:sz w:val="20"/>
          <w:szCs w:val="20"/>
        </w:rPr>
        <w:t>200</w:t>
      </w:r>
      <w:r w:rsidRPr="00ED777B">
        <w:rPr>
          <w:rFonts w:ascii="Palatino Linotype" w:hAnsi="Palatino Linotype"/>
          <w:sz w:val="20"/>
          <w:szCs w:val="20"/>
        </w:rPr>
        <w:t xml:space="preserve"> </w:t>
      </w:r>
      <w:r>
        <w:rPr>
          <w:rFonts w:ascii="Palatino Linotype" w:hAnsi="Palatino Linotype"/>
          <w:sz w:val="20"/>
          <w:szCs w:val="20"/>
        </w:rPr>
        <w:t>K</w:t>
      </w:r>
      <w:r w:rsidRPr="00ED777B">
        <w:rPr>
          <w:rFonts w:ascii="Palatino Linotype" w:hAnsi="Palatino Linotype"/>
          <w:sz w:val="20"/>
          <w:szCs w:val="20"/>
        </w:rPr>
        <w:t xml:space="preserve">bps downstream and </w:t>
      </w:r>
      <w:r>
        <w:rPr>
          <w:rFonts w:ascii="Palatino Linotype" w:hAnsi="Palatino Linotype"/>
          <w:sz w:val="20"/>
          <w:szCs w:val="20"/>
        </w:rPr>
        <w:t>200</w:t>
      </w:r>
      <w:r w:rsidRPr="00ED777B">
        <w:rPr>
          <w:rFonts w:ascii="Palatino Linotype" w:hAnsi="Palatino Linotype"/>
          <w:sz w:val="20"/>
          <w:szCs w:val="20"/>
        </w:rPr>
        <w:t xml:space="preserve"> </w:t>
      </w:r>
      <w:r>
        <w:rPr>
          <w:rFonts w:ascii="Palatino Linotype" w:hAnsi="Palatino Linotype"/>
          <w:sz w:val="20"/>
          <w:szCs w:val="20"/>
        </w:rPr>
        <w:t>K</w:t>
      </w:r>
      <w:r w:rsidRPr="00ED777B">
        <w:rPr>
          <w:rFonts w:ascii="Palatino Linotype" w:hAnsi="Palatino Linotype"/>
          <w:sz w:val="20"/>
          <w:szCs w:val="20"/>
        </w:rPr>
        <w:t>bps upstream.</w:t>
      </w:r>
    </w:p>
  </w:footnote>
  <w:footnote w:id="12">
    <w:p w14:paraId="73D0F240" w14:textId="77777777" w:rsidR="00107E1E" w:rsidRPr="003F0843" w:rsidRDefault="00107E1E" w:rsidP="00107E1E">
      <w:pPr>
        <w:pStyle w:val="FootnoteText"/>
        <w:rPr>
          <w:rFonts w:ascii="Palatino Linotype" w:hAnsi="Palatino Linotype"/>
          <w:sz w:val="20"/>
          <w:szCs w:val="20"/>
        </w:rPr>
      </w:pPr>
      <w:r>
        <w:rPr>
          <w:rStyle w:val="FootnoteReference"/>
        </w:rPr>
        <w:footnoteRef/>
      </w:r>
      <w:r>
        <w:t xml:space="preserve"> </w:t>
      </w:r>
      <w:r>
        <w:rPr>
          <w:rFonts w:ascii="Palatino Linotype" w:hAnsi="Palatino Linotype"/>
          <w:sz w:val="20"/>
          <w:szCs w:val="20"/>
        </w:rPr>
        <w:t>Household estimates are based on the 2010 U.S. Census data updated with population and demographic information published by the California Department of Finance on May 1, 2019.</w:t>
      </w:r>
    </w:p>
  </w:footnote>
  <w:footnote w:id="13">
    <w:p w14:paraId="5337A88B" w14:textId="14D0B324" w:rsidR="00534E7A" w:rsidRPr="00F52FD9" w:rsidRDefault="00534E7A" w:rsidP="008C7941">
      <w:pPr>
        <w:pStyle w:val="FootnoteText"/>
        <w:rPr>
          <w:rFonts w:ascii="Palatino Linotype" w:hAnsi="Palatino Linotype"/>
          <w:sz w:val="20"/>
          <w:szCs w:val="20"/>
        </w:rPr>
      </w:pPr>
      <w:r w:rsidRPr="00F52FD9">
        <w:rPr>
          <w:rStyle w:val="FootnoteReference"/>
          <w:rFonts w:ascii="Palatino Linotype" w:hAnsi="Palatino Linotype"/>
          <w:sz w:val="20"/>
          <w:szCs w:val="20"/>
        </w:rPr>
        <w:footnoteRef/>
      </w:r>
      <w:r w:rsidR="48D6FFE1" w:rsidRPr="00F52FD9">
        <w:rPr>
          <w:rFonts w:ascii="Palatino Linotype" w:hAnsi="Palatino Linotype"/>
          <w:sz w:val="20"/>
          <w:szCs w:val="20"/>
        </w:rPr>
        <w:t xml:space="preserve"> </w:t>
      </w:r>
      <w:r w:rsidR="48D6FFE1" w:rsidRPr="006D3F2C">
        <w:rPr>
          <w:rFonts w:ascii="Palatino Linotype" w:hAnsi="Palatino Linotype"/>
          <w:i/>
          <w:iCs/>
          <w:sz w:val="20"/>
          <w:szCs w:val="20"/>
        </w:rPr>
        <w:t>See</w:t>
      </w:r>
      <w:r w:rsidR="48D6FFE1" w:rsidRPr="00F52FD9">
        <w:rPr>
          <w:rFonts w:ascii="Palatino Linotype" w:hAnsi="Palatino Linotype"/>
          <w:sz w:val="20"/>
          <w:szCs w:val="20"/>
        </w:rPr>
        <w:t xml:space="preserve"> </w:t>
      </w:r>
      <w:r w:rsidR="48D6FFE1" w:rsidRPr="00F52FD9">
        <w:rPr>
          <w:rFonts w:ascii="Palatino Linotype" w:hAnsi="Palatino Linotype" w:cs="Times New Roman"/>
          <w:sz w:val="20"/>
          <w:szCs w:val="20"/>
        </w:rPr>
        <w:t>Pub. Util. Code, § 281(f)(1</w:t>
      </w:r>
      <w:r w:rsidR="48D6FFE1">
        <w:rPr>
          <w:rFonts w:ascii="Palatino Linotype" w:hAnsi="Palatino Linotype" w:cs="Times New Roman"/>
          <w:sz w:val="20"/>
          <w:szCs w:val="20"/>
        </w:rPr>
        <w:t>2</w:t>
      </w:r>
      <w:r w:rsidR="48D6FFE1" w:rsidRPr="00F52FD9">
        <w:rPr>
          <w:rFonts w:ascii="Palatino Linotype" w:hAnsi="Palatino Linotype" w:cs="Times New Roman"/>
          <w:sz w:val="20"/>
          <w:szCs w:val="20"/>
        </w:rPr>
        <w:t xml:space="preserve">).  </w:t>
      </w:r>
    </w:p>
  </w:footnote>
  <w:footnote w:id="14">
    <w:p w14:paraId="52ED4CF5" w14:textId="77777777" w:rsidR="00161C2F" w:rsidRDefault="00161C2F" w:rsidP="00161C2F">
      <w:pPr>
        <w:pStyle w:val="FootnoteText"/>
      </w:pPr>
      <w:r>
        <w:rPr>
          <w:rStyle w:val="FootnoteReference"/>
        </w:rPr>
        <w:footnoteRef/>
      </w:r>
      <w:r>
        <w:t xml:space="preserve"> </w:t>
      </w:r>
      <w:r w:rsidRPr="00F114BE">
        <w:rPr>
          <w:rFonts w:ascii="Palatino Linotype" w:hAnsi="Palatino Linotype"/>
          <w:sz w:val="20"/>
          <w:szCs w:val="20"/>
        </w:rPr>
        <w:t>D.18-12-018  Table 1. Summary of Funding Level Determinations - Maximum funding level is 100 percent.</w:t>
      </w:r>
    </w:p>
  </w:footnote>
  <w:footnote w:id="15">
    <w:p w14:paraId="26F61F6B" w14:textId="77777777" w:rsidR="009C4260" w:rsidRPr="007F3503" w:rsidRDefault="009C4260" w:rsidP="009C4260">
      <w:pPr>
        <w:pStyle w:val="FootnoteText"/>
        <w:rPr>
          <w:rFonts w:ascii="Palatino Linotype" w:hAnsi="Palatino Linotype"/>
          <w:sz w:val="20"/>
          <w:szCs w:val="20"/>
        </w:rPr>
      </w:pPr>
      <w:r w:rsidRPr="007F3503">
        <w:rPr>
          <w:rStyle w:val="FootnoteReference"/>
          <w:rFonts w:ascii="Palatino Linotype" w:hAnsi="Palatino Linotype"/>
          <w:sz w:val="20"/>
          <w:szCs w:val="20"/>
        </w:rPr>
        <w:footnoteRef/>
      </w:r>
      <w:r w:rsidRPr="007F3503">
        <w:rPr>
          <w:rFonts w:ascii="Palatino Linotype" w:hAnsi="Palatino Linotype"/>
          <w:sz w:val="20"/>
          <w:szCs w:val="20"/>
        </w:rPr>
        <w:t xml:space="preserve"> </w:t>
      </w:r>
      <w:r w:rsidRPr="007F3503">
        <w:rPr>
          <w:rFonts w:ascii="Palatino Linotype" w:hAnsi="Palatino Linotype"/>
          <w:i/>
          <w:iCs/>
          <w:sz w:val="20"/>
          <w:szCs w:val="20"/>
        </w:rPr>
        <w:t>See</w:t>
      </w:r>
      <w:r w:rsidRPr="007F3503">
        <w:rPr>
          <w:rFonts w:ascii="Palatino Linotype" w:hAnsi="Palatino Linotype"/>
          <w:sz w:val="20"/>
          <w:szCs w:val="20"/>
        </w:rPr>
        <w:t xml:space="preserve"> 2019 Annual Report on the California Advanced Services Fund, California Public Utilities Commission, Issued April 2020, </w:t>
      </w:r>
      <w:proofErr w:type="gramStart"/>
      <w:r w:rsidRPr="007F3503">
        <w:rPr>
          <w:rFonts w:ascii="Palatino Linotype" w:hAnsi="Palatino Linotype"/>
          <w:sz w:val="20"/>
          <w:szCs w:val="20"/>
        </w:rPr>
        <w:t>Table</w:t>
      </w:r>
      <w:proofErr w:type="gramEnd"/>
      <w:r w:rsidRPr="007F3503">
        <w:rPr>
          <w:rFonts w:ascii="Palatino Linotype" w:hAnsi="Palatino Linotype"/>
          <w:sz w:val="20"/>
          <w:szCs w:val="20"/>
        </w:rPr>
        <w:t xml:space="preserve"> </w:t>
      </w:r>
      <w:r>
        <w:rPr>
          <w:rFonts w:ascii="Palatino Linotype" w:hAnsi="Palatino Linotype"/>
          <w:sz w:val="20"/>
          <w:szCs w:val="20"/>
        </w:rPr>
        <w:t>7</w:t>
      </w:r>
      <w:r w:rsidRPr="007F3503">
        <w:rPr>
          <w:rFonts w:ascii="Palatino Linotype" w:hAnsi="Palatino Linotype"/>
          <w:sz w:val="20"/>
          <w:szCs w:val="20"/>
        </w:rPr>
        <w:t>: Remaining Unserved Households in Each Consorti</w:t>
      </w:r>
      <w:r>
        <w:rPr>
          <w:rFonts w:ascii="Palatino Linotype" w:hAnsi="Palatino Linotype"/>
          <w:sz w:val="20"/>
          <w:szCs w:val="20"/>
        </w:rPr>
        <w:t>a</w:t>
      </w:r>
      <w:r w:rsidRPr="007F3503">
        <w:rPr>
          <w:rFonts w:ascii="Palatino Linotype" w:hAnsi="Palatino Linotype"/>
          <w:sz w:val="20"/>
          <w:szCs w:val="20"/>
        </w:rPr>
        <w:t xml:space="preserve"> Region.</w:t>
      </w:r>
    </w:p>
  </w:footnote>
  <w:footnote w:id="16">
    <w:p w14:paraId="4B683DF5" w14:textId="77777777" w:rsidR="0073785D" w:rsidRDefault="0073785D" w:rsidP="0073785D">
      <w:pPr>
        <w:pStyle w:val="FootnoteText"/>
      </w:pPr>
      <w:r>
        <w:rPr>
          <w:rStyle w:val="FootnoteReference"/>
        </w:rPr>
        <w:footnoteRef/>
      </w:r>
      <w:r>
        <w:t xml:space="preserve"> </w:t>
      </w:r>
      <w:r w:rsidRPr="00F114BE">
        <w:rPr>
          <w:rFonts w:ascii="Palatino Linotype" w:hAnsi="Palatino Linotype"/>
          <w:sz w:val="20"/>
          <w:szCs w:val="20"/>
        </w:rPr>
        <w:t>D.18-12-018  Table 1. Summary of Funding Level Determinations - Maximum funding level is 100 percent.</w:t>
      </w:r>
    </w:p>
  </w:footnote>
  <w:footnote w:id="17">
    <w:p w14:paraId="5F12E775" w14:textId="77777777" w:rsidR="004F141E" w:rsidRPr="007F3503" w:rsidRDefault="004F141E" w:rsidP="004F141E">
      <w:pPr>
        <w:pStyle w:val="FootnoteText"/>
        <w:rPr>
          <w:rFonts w:ascii="Palatino Linotype" w:hAnsi="Palatino Linotype"/>
          <w:sz w:val="20"/>
          <w:szCs w:val="20"/>
        </w:rPr>
      </w:pPr>
      <w:r w:rsidRPr="007F3503">
        <w:rPr>
          <w:rStyle w:val="FootnoteReference"/>
          <w:rFonts w:ascii="Palatino Linotype" w:hAnsi="Palatino Linotype"/>
          <w:sz w:val="20"/>
          <w:szCs w:val="20"/>
        </w:rPr>
        <w:footnoteRef/>
      </w:r>
      <w:r w:rsidRPr="007F3503">
        <w:rPr>
          <w:rFonts w:ascii="Palatino Linotype" w:hAnsi="Palatino Linotype"/>
          <w:sz w:val="20"/>
          <w:szCs w:val="20"/>
        </w:rPr>
        <w:t xml:space="preserve"> </w:t>
      </w:r>
      <w:r w:rsidRPr="007F3503">
        <w:rPr>
          <w:rFonts w:ascii="Palatino Linotype" w:hAnsi="Palatino Linotype"/>
          <w:i/>
          <w:iCs/>
          <w:sz w:val="20"/>
          <w:szCs w:val="20"/>
        </w:rPr>
        <w:t>See</w:t>
      </w:r>
      <w:r w:rsidRPr="007F3503">
        <w:rPr>
          <w:rFonts w:ascii="Palatino Linotype" w:hAnsi="Palatino Linotype"/>
          <w:sz w:val="20"/>
          <w:szCs w:val="20"/>
        </w:rPr>
        <w:t xml:space="preserve"> 2019 Annual Report on the California Advanced Services Fund, California Public Utilities Commission, Issued April 2020, </w:t>
      </w:r>
      <w:proofErr w:type="gramStart"/>
      <w:r w:rsidRPr="007F3503">
        <w:rPr>
          <w:rFonts w:ascii="Palatino Linotype" w:hAnsi="Palatino Linotype"/>
          <w:sz w:val="20"/>
          <w:szCs w:val="20"/>
        </w:rPr>
        <w:t>Table</w:t>
      </w:r>
      <w:proofErr w:type="gramEnd"/>
      <w:r w:rsidRPr="007F3503">
        <w:rPr>
          <w:rFonts w:ascii="Palatino Linotype" w:hAnsi="Palatino Linotype"/>
          <w:sz w:val="20"/>
          <w:szCs w:val="20"/>
        </w:rPr>
        <w:t xml:space="preserve"> </w:t>
      </w:r>
      <w:r>
        <w:rPr>
          <w:rFonts w:ascii="Palatino Linotype" w:hAnsi="Palatino Linotype"/>
          <w:sz w:val="20"/>
          <w:szCs w:val="20"/>
        </w:rPr>
        <w:t>7</w:t>
      </w:r>
      <w:r w:rsidRPr="007F3503">
        <w:rPr>
          <w:rFonts w:ascii="Palatino Linotype" w:hAnsi="Palatino Linotype"/>
          <w:sz w:val="20"/>
          <w:szCs w:val="20"/>
        </w:rPr>
        <w:t>: Remaining Unserved Households in Each Consorti</w:t>
      </w:r>
      <w:r>
        <w:rPr>
          <w:rFonts w:ascii="Palatino Linotype" w:hAnsi="Palatino Linotype"/>
          <w:sz w:val="20"/>
          <w:szCs w:val="20"/>
        </w:rPr>
        <w:t>a</w:t>
      </w:r>
      <w:r w:rsidRPr="007F3503">
        <w:rPr>
          <w:rFonts w:ascii="Palatino Linotype" w:hAnsi="Palatino Linotype"/>
          <w:sz w:val="20"/>
          <w:szCs w:val="20"/>
        </w:rPr>
        <w:t xml:space="preserve"> Region.</w:t>
      </w:r>
    </w:p>
  </w:footnote>
  <w:footnote w:id="18">
    <w:p w14:paraId="3E5DEAC7" w14:textId="77777777" w:rsidR="00534E7A" w:rsidRPr="000455A9" w:rsidRDefault="00534E7A" w:rsidP="00CF06BE">
      <w:pPr>
        <w:pStyle w:val="FootnoteText"/>
        <w:spacing w:after="120" w:line="240" w:lineRule="exact"/>
        <w:rPr>
          <w:rFonts w:ascii="Palatino Linotype" w:hAnsi="Palatino Linotype" w:cs="Times New Roman"/>
          <w:sz w:val="20"/>
          <w:szCs w:val="20"/>
        </w:rPr>
      </w:pPr>
      <w:r w:rsidRPr="000455A9">
        <w:rPr>
          <w:rStyle w:val="FootnoteReference"/>
          <w:rFonts w:ascii="Palatino Linotype" w:hAnsi="Palatino Linotype" w:cs="Times New Roman"/>
          <w:sz w:val="20"/>
          <w:szCs w:val="20"/>
        </w:rPr>
        <w:footnoteRef/>
      </w:r>
      <w:r w:rsidRPr="000455A9">
        <w:rPr>
          <w:rFonts w:ascii="Palatino Linotype" w:hAnsi="Palatino Linotype" w:cs="Times New Roman"/>
          <w:sz w:val="20"/>
          <w:szCs w:val="20"/>
        </w:rPr>
        <w:t xml:space="preserve"> </w:t>
      </w:r>
      <w:r w:rsidRPr="000455A9">
        <w:rPr>
          <w:rFonts w:ascii="Palatino Linotype" w:hAnsi="Palatino Linotype" w:cs="Times New Roman"/>
          <w:i/>
          <w:iCs/>
          <w:sz w:val="20"/>
          <w:szCs w:val="20"/>
        </w:rPr>
        <w:t xml:space="preserve">Approval of the California Advanced Services Fund (CASF) Application Requirements and Scoring Criteria for Awarding CASF Funds </w:t>
      </w:r>
      <w:r w:rsidRPr="000455A9">
        <w:rPr>
          <w:rFonts w:ascii="Palatino Linotype" w:hAnsi="Palatino Linotype" w:cs="Times New Roman"/>
          <w:sz w:val="20"/>
          <w:szCs w:val="20"/>
        </w:rPr>
        <w:t>(2008) Cal. P.U.C. Res. No. T-17143 at 4.</w:t>
      </w:r>
    </w:p>
  </w:footnote>
  <w:footnote w:id="19">
    <w:p w14:paraId="18B93663" w14:textId="675DBA57" w:rsidR="00E95E7A" w:rsidRDefault="00E95E7A">
      <w:pPr>
        <w:pStyle w:val="FootnoteText"/>
      </w:pPr>
      <w:r>
        <w:rPr>
          <w:rStyle w:val="FootnoteReference"/>
        </w:rPr>
        <w:footnoteRef/>
      </w:r>
      <w:r>
        <w:t xml:space="preserve"> </w:t>
      </w:r>
      <w:r w:rsidR="00EB69E1" w:rsidRPr="00CE3FBC">
        <w:rPr>
          <w:rFonts w:ascii="Palatino Linotype" w:hAnsi="Palatino Linotype"/>
          <w:sz w:val="20"/>
          <w:szCs w:val="20"/>
        </w:rPr>
        <w:t>Staff performed a weighted average calculation of the census block group median household incomes to accurately represent the income distribution of the households in the project area.</w:t>
      </w:r>
    </w:p>
  </w:footnote>
  <w:footnote w:id="20">
    <w:p w14:paraId="702FDB09" w14:textId="3239F7C6" w:rsidR="00534E7A" w:rsidRPr="00ED66B7" w:rsidRDefault="00534E7A" w:rsidP="00CF0C77">
      <w:pPr>
        <w:pStyle w:val="FootnoteText"/>
        <w:rPr>
          <w:rFonts w:ascii="Palatino Linotype" w:hAnsi="Palatino Linotype" w:cs="Times New Roman"/>
          <w:sz w:val="20"/>
          <w:szCs w:val="20"/>
        </w:rPr>
      </w:pPr>
      <w:r w:rsidRPr="009D69FB">
        <w:rPr>
          <w:rStyle w:val="FootnoteReference"/>
          <w:rFonts w:ascii="Times New Roman" w:hAnsi="Times New Roman" w:cs="Times New Roman"/>
          <w:sz w:val="20"/>
          <w:szCs w:val="20"/>
        </w:rPr>
        <w:footnoteRef/>
      </w:r>
      <w:r w:rsidRPr="009D69FB">
        <w:rPr>
          <w:rFonts w:ascii="Times New Roman" w:hAnsi="Times New Roman" w:cs="Times New Roman"/>
          <w:sz w:val="20"/>
          <w:szCs w:val="20"/>
        </w:rPr>
        <w:t xml:space="preserve"> </w:t>
      </w:r>
      <w:r w:rsidRPr="00ED66B7">
        <w:rPr>
          <w:rFonts w:ascii="Palatino Linotype" w:hAnsi="Palatino Linotype" w:cs="Times New Roman"/>
          <w:sz w:val="20"/>
          <w:szCs w:val="20"/>
        </w:rPr>
        <w:t>Administrative costs are define</w:t>
      </w:r>
      <w:r>
        <w:rPr>
          <w:rFonts w:ascii="Palatino Linotype" w:hAnsi="Palatino Linotype" w:cs="Times New Roman"/>
          <w:sz w:val="20"/>
          <w:szCs w:val="20"/>
        </w:rPr>
        <w:t>d</w:t>
      </w:r>
      <w:r w:rsidRPr="00ED66B7">
        <w:rPr>
          <w:rFonts w:ascii="Palatino Linotype" w:hAnsi="Palatino Linotype" w:cs="Times New Roman"/>
          <w:sz w:val="20"/>
          <w:szCs w:val="20"/>
        </w:rPr>
        <w:t xml:space="preserve"> as “indirect overhead costs attributable to a project, per generally accepted accounting principles (GAAP), and the direct cost of complying with Commission administrative and regulatory requirements related to the grant itself.” Applicants seeking additional funds will require a Commission exemption included in a draft resolution.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69E48" w14:textId="47046FCE" w:rsidR="00534E7A" w:rsidRPr="00CC02A9" w:rsidRDefault="00534E7A" w:rsidP="005417CB">
    <w:pPr>
      <w:pStyle w:val="Header"/>
      <w:rPr>
        <w:rFonts w:ascii="Palatino Linotype" w:hAnsi="Palatino Linotype"/>
        <w:sz w:val="22"/>
        <w:szCs w:val="22"/>
      </w:rPr>
    </w:pPr>
    <w:r w:rsidRPr="00CC02A9">
      <w:rPr>
        <w:rFonts w:ascii="Palatino Linotype" w:hAnsi="Palatino Linotype"/>
        <w:sz w:val="22"/>
        <w:szCs w:val="22"/>
      </w:rPr>
      <w:t>R</w:t>
    </w:r>
    <w:r>
      <w:rPr>
        <w:rFonts w:ascii="Palatino Linotype" w:hAnsi="Palatino Linotype"/>
        <w:sz w:val="22"/>
        <w:szCs w:val="22"/>
      </w:rPr>
      <w:t>esolution T-17</w:t>
    </w:r>
    <w:r w:rsidR="00DA11B1">
      <w:rPr>
        <w:rFonts w:ascii="Palatino Linotype" w:hAnsi="Palatino Linotype"/>
        <w:sz w:val="22"/>
        <w:szCs w:val="22"/>
      </w:rPr>
      <w:t>715</w:t>
    </w:r>
    <w:r w:rsidRPr="00CC02A9">
      <w:rPr>
        <w:rFonts w:ascii="Palatino Linotype" w:hAnsi="Palatino Linotype"/>
        <w:sz w:val="22"/>
        <w:szCs w:val="22"/>
      </w:rPr>
      <w:tab/>
    </w:r>
    <w:r w:rsidR="000F48A0">
      <w:rPr>
        <w:rFonts w:ascii="Palatino Linotype" w:hAnsi="Palatino Linotype"/>
        <w:sz w:val="22"/>
        <w:szCs w:val="22"/>
      </w:rPr>
      <w:t>DRAFT</w:t>
    </w:r>
    <w:r w:rsidRPr="00CC02A9">
      <w:rPr>
        <w:rFonts w:ascii="Palatino Linotype" w:hAnsi="Palatino Linotype"/>
        <w:sz w:val="22"/>
        <w:szCs w:val="22"/>
      </w:rPr>
      <w:tab/>
    </w:r>
    <w:r w:rsidR="00136CEF">
      <w:rPr>
        <w:rFonts w:ascii="Palatino Linotype" w:hAnsi="Palatino Linotype"/>
        <w:sz w:val="22"/>
        <w:szCs w:val="22"/>
      </w:rPr>
      <w:t>De</w:t>
    </w:r>
    <w:r w:rsidR="000F6018">
      <w:rPr>
        <w:rFonts w:ascii="Palatino Linotype" w:hAnsi="Palatino Linotype"/>
        <w:sz w:val="22"/>
        <w:szCs w:val="22"/>
      </w:rPr>
      <w:t>cember 17</w:t>
    </w:r>
    <w:r>
      <w:rPr>
        <w:rFonts w:ascii="Palatino Linotype" w:hAnsi="Palatino Linotype"/>
        <w:sz w:val="22"/>
        <w:szCs w:val="22"/>
      </w:rPr>
      <w:t>, 20</w:t>
    </w:r>
    <w:r w:rsidR="00796260">
      <w:rPr>
        <w:rFonts w:ascii="Palatino Linotype" w:hAnsi="Palatino Linotype"/>
        <w:sz w:val="22"/>
        <w:szCs w:val="22"/>
      </w:rPr>
      <w:t>20</w:t>
    </w:r>
  </w:p>
  <w:p w14:paraId="3482EFEC" w14:textId="77777777" w:rsidR="00534E7A" w:rsidRPr="00D74B2C" w:rsidRDefault="00534E7A" w:rsidP="005417CB">
    <w:pPr>
      <w:pStyle w:val="Header"/>
      <w:tabs>
        <w:tab w:val="left" w:pos="6860"/>
      </w:tabs>
      <w:rPr>
        <w:rFonts w:ascii="Palatino Linotype" w:hAnsi="Palatino Linotype"/>
        <w:sz w:val="22"/>
        <w:szCs w:val="22"/>
      </w:rPr>
    </w:pPr>
    <w:r>
      <w:rPr>
        <w:rFonts w:ascii="Palatino Linotype" w:hAnsi="Palatino Linotype"/>
        <w:sz w:val="22"/>
        <w:szCs w:val="22"/>
      </w:rPr>
      <w:t>CD/JSC</w:t>
    </w:r>
    <w:r w:rsidRPr="00D74B2C">
      <w:rPr>
        <w:rFonts w:ascii="Palatino Linotype" w:hAnsi="Palatino Linotype"/>
        <w:sz w:val="22"/>
        <w:szCs w:val="22"/>
      </w:rPr>
      <w:tab/>
    </w:r>
    <w:r w:rsidRPr="00D74B2C">
      <w:rPr>
        <w:rFonts w:ascii="Palatino Linotype" w:hAnsi="Palatino Linotype"/>
        <w:sz w:val="22"/>
        <w:szCs w:val="22"/>
      </w:rPr>
      <w:tab/>
    </w:r>
    <w:r>
      <w:rPr>
        <w:rFonts w:ascii="Palatino Linotype" w:hAnsi="Palatino Linotype"/>
        <w:sz w:val="22"/>
        <w:szCs w:val="22"/>
      </w:rPr>
      <w:tab/>
    </w:r>
  </w:p>
  <w:p w14:paraId="5381AC05" w14:textId="77777777" w:rsidR="00534E7A" w:rsidRDefault="00534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2AD9" w14:textId="5FB23754" w:rsidR="00534E7A" w:rsidRPr="00CC02A9" w:rsidRDefault="00534E7A" w:rsidP="00A46241">
    <w:pPr>
      <w:pStyle w:val="Header"/>
      <w:rPr>
        <w:rFonts w:ascii="Palatino Linotype" w:hAnsi="Palatino Linotype"/>
        <w:sz w:val="22"/>
        <w:szCs w:val="22"/>
      </w:rPr>
    </w:pPr>
    <w:r w:rsidRPr="00CC02A9">
      <w:rPr>
        <w:rFonts w:ascii="Palatino Linotype" w:hAnsi="Palatino Linotype"/>
        <w:sz w:val="22"/>
        <w:szCs w:val="22"/>
      </w:rPr>
      <w:t>R</w:t>
    </w:r>
    <w:r>
      <w:rPr>
        <w:rFonts w:ascii="Palatino Linotype" w:hAnsi="Palatino Linotype"/>
        <w:sz w:val="22"/>
        <w:szCs w:val="22"/>
      </w:rPr>
      <w:t>esolution T-17</w:t>
    </w:r>
    <w:r w:rsidR="00800935">
      <w:rPr>
        <w:rFonts w:ascii="Palatino Linotype" w:hAnsi="Palatino Linotype"/>
        <w:sz w:val="22"/>
        <w:szCs w:val="22"/>
      </w:rPr>
      <w:t>715</w:t>
    </w:r>
    <w:r w:rsidRPr="00CC02A9">
      <w:rPr>
        <w:rFonts w:ascii="Palatino Linotype" w:hAnsi="Palatino Linotype"/>
        <w:sz w:val="22"/>
        <w:szCs w:val="22"/>
      </w:rPr>
      <w:tab/>
    </w:r>
    <w:r w:rsidR="000F48A0">
      <w:rPr>
        <w:rFonts w:ascii="Palatino Linotype" w:hAnsi="Palatino Linotype"/>
        <w:sz w:val="22"/>
        <w:szCs w:val="22"/>
      </w:rPr>
      <w:t>DRAFT</w:t>
    </w:r>
    <w:r w:rsidRPr="00CC02A9">
      <w:rPr>
        <w:rFonts w:ascii="Palatino Linotype" w:hAnsi="Palatino Linotype"/>
        <w:sz w:val="22"/>
        <w:szCs w:val="22"/>
      </w:rPr>
      <w:tab/>
    </w:r>
    <w:r>
      <w:rPr>
        <w:rFonts w:ascii="Palatino Linotype" w:hAnsi="Palatino Linotype"/>
        <w:sz w:val="22"/>
        <w:szCs w:val="22"/>
      </w:rPr>
      <w:t>Agenda ID #</w:t>
    </w:r>
    <w:r w:rsidR="00841CE3">
      <w:rPr>
        <w:rFonts w:ascii="Palatino Linotype" w:hAnsi="Palatino Linotype"/>
        <w:sz w:val="22"/>
        <w:szCs w:val="22"/>
      </w:rPr>
      <w:t xml:space="preserve"> </w:t>
    </w:r>
    <w:r w:rsidR="00E0257F">
      <w:rPr>
        <w:rFonts w:ascii="Palatino Linotype" w:hAnsi="Palatino Linotype"/>
        <w:sz w:val="22"/>
        <w:szCs w:val="22"/>
      </w:rPr>
      <w:t>18992</w:t>
    </w:r>
  </w:p>
  <w:p w14:paraId="686937B9" w14:textId="678F5220" w:rsidR="00534E7A" w:rsidRDefault="00534E7A" w:rsidP="00A46241">
    <w:pPr>
      <w:pStyle w:val="Header"/>
      <w:rPr>
        <w:rFonts w:ascii="Palatino Linotype" w:hAnsi="Palatino Linotype"/>
        <w:sz w:val="22"/>
        <w:szCs w:val="22"/>
      </w:rPr>
    </w:pPr>
    <w:r>
      <w:rPr>
        <w:rFonts w:ascii="Palatino Linotype" w:hAnsi="Palatino Linotype"/>
        <w:sz w:val="22"/>
        <w:szCs w:val="22"/>
      </w:rPr>
      <w:t>CD/JSC</w:t>
    </w:r>
  </w:p>
  <w:p w14:paraId="004E96CE" w14:textId="77777777" w:rsidR="007D47DA" w:rsidRDefault="007D47DA" w:rsidP="00A46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4A90"/>
    <w:multiLevelType w:val="hybridMultilevel"/>
    <w:tmpl w:val="70061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B092F"/>
    <w:multiLevelType w:val="hybridMultilevel"/>
    <w:tmpl w:val="C5340D1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F4E5BD4"/>
    <w:multiLevelType w:val="hybridMultilevel"/>
    <w:tmpl w:val="22A4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D799C"/>
    <w:multiLevelType w:val="hybridMultilevel"/>
    <w:tmpl w:val="F6269FE4"/>
    <w:lvl w:ilvl="0" w:tplc="1B723F98">
      <w:start w:val="3"/>
      <w:numFmt w:val="upperRoman"/>
      <w:lvlText w:val="%1."/>
      <w:lvlJc w:val="left"/>
      <w:pPr>
        <w:tabs>
          <w:tab w:val="num" w:pos="720"/>
        </w:tabs>
        <w:ind w:left="720" w:hanging="360"/>
      </w:pPr>
      <w:rPr>
        <w:rFonts w:ascii="Palatino Linotype" w:hAnsi="Palatino Linotype" w:hint="default"/>
        <w:b/>
        <w:bCs/>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244B9F"/>
    <w:multiLevelType w:val="hybridMultilevel"/>
    <w:tmpl w:val="556436CC"/>
    <w:lvl w:ilvl="0" w:tplc="8EACF728">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785BF2"/>
    <w:multiLevelType w:val="hybridMultilevel"/>
    <w:tmpl w:val="A63CEA2E"/>
    <w:lvl w:ilvl="0" w:tplc="28B4E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A08DE"/>
    <w:multiLevelType w:val="hybridMultilevel"/>
    <w:tmpl w:val="C698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9470E"/>
    <w:multiLevelType w:val="hybridMultilevel"/>
    <w:tmpl w:val="93CA132E"/>
    <w:lvl w:ilvl="0" w:tplc="C43A73A0">
      <w:start w:val="1"/>
      <w:numFmt w:val="upperRoman"/>
      <w:lvlText w:val="%1."/>
      <w:lvlJc w:val="left"/>
      <w:pPr>
        <w:ind w:left="1440" w:hanging="720"/>
      </w:pPr>
      <w:rPr>
        <w:rFonts w:hint="default"/>
      </w:rPr>
    </w:lvl>
    <w:lvl w:ilvl="1" w:tplc="28AE2A06">
      <w:start w:val="1"/>
      <w:numFmt w:val="lowerLetter"/>
      <w:lvlText w:val="%2."/>
      <w:lvlJc w:val="left"/>
      <w:pPr>
        <w:ind w:left="1440" w:hanging="360"/>
      </w:pPr>
    </w:lvl>
    <w:lvl w:ilvl="2" w:tplc="89C4AD5E">
      <w:start w:val="1"/>
      <w:numFmt w:val="lowerRoman"/>
      <w:lvlText w:val="%3."/>
      <w:lvlJc w:val="right"/>
      <w:pPr>
        <w:ind w:left="2160" w:hanging="180"/>
      </w:pPr>
    </w:lvl>
    <w:lvl w:ilvl="3" w:tplc="79F8928C">
      <w:start w:val="1"/>
      <w:numFmt w:val="decimal"/>
      <w:lvlText w:val="%4."/>
      <w:lvlJc w:val="left"/>
      <w:pPr>
        <w:ind w:left="2880" w:hanging="360"/>
      </w:pPr>
    </w:lvl>
    <w:lvl w:ilvl="4" w:tplc="B10E02FC">
      <w:start w:val="1"/>
      <w:numFmt w:val="lowerLetter"/>
      <w:lvlText w:val="%5."/>
      <w:lvlJc w:val="left"/>
      <w:pPr>
        <w:ind w:left="3600" w:hanging="360"/>
      </w:pPr>
    </w:lvl>
    <w:lvl w:ilvl="5" w:tplc="F91432E2">
      <w:start w:val="1"/>
      <w:numFmt w:val="lowerRoman"/>
      <w:lvlText w:val="%6."/>
      <w:lvlJc w:val="right"/>
      <w:pPr>
        <w:ind w:left="4320" w:hanging="180"/>
      </w:pPr>
    </w:lvl>
    <w:lvl w:ilvl="6" w:tplc="943C35B0">
      <w:start w:val="1"/>
      <w:numFmt w:val="upperRoman"/>
      <w:lvlText w:val="%7."/>
      <w:lvlJc w:val="left"/>
      <w:pPr>
        <w:ind w:left="5040" w:hanging="360"/>
      </w:pPr>
      <w:rPr>
        <w:rFonts w:hint="default"/>
      </w:rPr>
    </w:lvl>
    <w:lvl w:ilvl="7" w:tplc="02303DF0">
      <w:start w:val="1"/>
      <w:numFmt w:val="lowerLetter"/>
      <w:lvlText w:val="%8."/>
      <w:lvlJc w:val="left"/>
      <w:pPr>
        <w:ind w:left="5760" w:hanging="360"/>
      </w:pPr>
    </w:lvl>
    <w:lvl w:ilvl="8" w:tplc="A6FA556C">
      <w:start w:val="1"/>
      <w:numFmt w:val="lowerRoman"/>
      <w:lvlText w:val="%9."/>
      <w:lvlJc w:val="right"/>
      <w:pPr>
        <w:ind w:left="6480" w:hanging="180"/>
      </w:pPr>
    </w:lvl>
  </w:abstractNum>
  <w:abstractNum w:abstractNumId="8" w15:restartNumberingAfterBreak="0">
    <w:nsid w:val="1A973833"/>
    <w:multiLevelType w:val="hybridMultilevel"/>
    <w:tmpl w:val="B02E4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F0482"/>
    <w:multiLevelType w:val="hybridMultilevel"/>
    <w:tmpl w:val="250A512A"/>
    <w:lvl w:ilvl="0" w:tplc="25CAFC6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625DD"/>
    <w:multiLevelType w:val="hybridMultilevel"/>
    <w:tmpl w:val="64E41124"/>
    <w:lvl w:ilvl="0" w:tplc="94B6B1B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C4B7A"/>
    <w:multiLevelType w:val="hybridMultilevel"/>
    <w:tmpl w:val="47C0F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75B71"/>
    <w:multiLevelType w:val="hybridMultilevel"/>
    <w:tmpl w:val="B5AC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B24E8"/>
    <w:multiLevelType w:val="hybridMultilevel"/>
    <w:tmpl w:val="6D7E0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A818DE"/>
    <w:multiLevelType w:val="hybridMultilevel"/>
    <w:tmpl w:val="4A98142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81D298C"/>
    <w:multiLevelType w:val="hybridMultilevel"/>
    <w:tmpl w:val="1B249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07F48"/>
    <w:multiLevelType w:val="hybridMultilevel"/>
    <w:tmpl w:val="7702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3400C"/>
    <w:multiLevelType w:val="hybridMultilevel"/>
    <w:tmpl w:val="C5340D1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7836753"/>
    <w:multiLevelType w:val="hybridMultilevel"/>
    <w:tmpl w:val="1C380C1A"/>
    <w:lvl w:ilvl="0" w:tplc="3D70533C">
      <w:start w:val="1"/>
      <w:numFmt w:val="upperRoman"/>
      <w:lvlText w:val="%1."/>
      <w:lvlJc w:val="left"/>
      <w:pPr>
        <w:ind w:left="720" w:hanging="360"/>
      </w:pPr>
      <w:rPr>
        <w:b/>
        <w:bCs/>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4E517C"/>
    <w:multiLevelType w:val="hybridMultilevel"/>
    <w:tmpl w:val="7A662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737AD"/>
    <w:multiLevelType w:val="hybridMultilevel"/>
    <w:tmpl w:val="2B4ED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E393E"/>
    <w:multiLevelType w:val="hybridMultilevel"/>
    <w:tmpl w:val="8D22F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1731BA"/>
    <w:multiLevelType w:val="hybridMultilevel"/>
    <w:tmpl w:val="B2A4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D0C"/>
    <w:multiLevelType w:val="hybridMultilevel"/>
    <w:tmpl w:val="1D54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36651"/>
    <w:multiLevelType w:val="hybridMultilevel"/>
    <w:tmpl w:val="DD3841F0"/>
    <w:lvl w:ilvl="0" w:tplc="5AD65B0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54922A6D"/>
    <w:multiLevelType w:val="hybridMultilevel"/>
    <w:tmpl w:val="DD3841F0"/>
    <w:lvl w:ilvl="0" w:tplc="5AD65B0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495162F"/>
    <w:multiLevelType w:val="hybridMultilevel"/>
    <w:tmpl w:val="DD3841F0"/>
    <w:lvl w:ilvl="0" w:tplc="5AD65B0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55170DB7"/>
    <w:multiLevelType w:val="hybridMultilevel"/>
    <w:tmpl w:val="D020E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110B39"/>
    <w:multiLevelType w:val="hybridMultilevel"/>
    <w:tmpl w:val="05B2E35A"/>
    <w:lvl w:ilvl="0" w:tplc="12B2AA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611DE1"/>
    <w:multiLevelType w:val="hybridMultilevel"/>
    <w:tmpl w:val="16CC0106"/>
    <w:lvl w:ilvl="0" w:tplc="FDD688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35794"/>
    <w:multiLevelType w:val="hybridMultilevel"/>
    <w:tmpl w:val="318899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2884EB0">
      <w:start w:val="1"/>
      <w:numFmt w:val="upperLetter"/>
      <w:lvlText w:val="%5."/>
      <w:lvlJc w:val="left"/>
      <w:pPr>
        <w:ind w:left="3600" w:hanging="360"/>
      </w:pPr>
      <w:rPr>
        <w:rFonts w:hint="default"/>
      </w:rPr>
    </w:lvl>
    <w:lvl w:ilvl="5" w:tplc="5BB0C0A8">
      <w:start w:val="2"/>
      <w:numFmt w:val="decimal"/>
      <w:lvlText w:val="%6"/>
      <w:lvlJc w:val="left"/>
      <w:pPr>
        <w:ind w:left="4500" w:hanging="360"/>
      </w:pPr>
      <w:rPr>
        <w:rFonts w:hint="default"/>
      </w:rPr>
    </w:lvl>
    <w:lvl w:ilvl="6" w:tplc="DA02FE66">
      <w:start w:val="2"/>
      <w:numFmt w:val="upperRoman"/>
      <w:lvlText w:val="%7."/>
      <w:lvlJc w:val="left"/>
      <w:pPr>
        <w:ind w:left="747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13B48"/>
    <w:multiLevelType w:val="hybridMultilevel"/>
    <w:tmpl w:val="0A744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F61D12"/>
    <w:multiLevelType w:val="hybridMultilevel"/>
    <w:tmpl w:val="7A662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A5763"/>
    <w:multiLevelType w:val="hybridMultilevel"/>
    <w:tmpl w:val="AAE4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34FD3"/>
    <w:multiLevelType w:val="hybridMultilevel"/>
    <w:tmpl w:val="8D580942"/>
    <w:lvl w:ilvl="0" w:tplc="1E7E25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9C15ECE"/>
    <w:multiLevelType w:val="hybridMultilevel"/>
    <w:tmpl w:val="097E9382"/>
    <w:lvl w:ilvl="0" w:tplc="228A8AF8">
      <w:start w:val="1"/>
      <w:numFmt w:val="upperRoman"/>
      <w:lvlText w:val="%1."/>
      <w:lvlJc w:val="left"/>
      <w:pPr>
        <w:ind w:left="1080" w:hanging="720"/>
      </w:pPr>
    </w:lvl>
    <w:lvl w:ilvl="1" w:tplc="654A540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1E73C1"/>
    <w:multiLevelType w:val="hybridMultilevel"/>
    <w:tmpl w:val="E4506F4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FF5DDF"/>
    <w:multiLevelType w:val="hybridMultilevel"/>
    <w:tmpl w:val="0BF62B76"/>
    <w:lvl w:ilvl="0" w:tplc="5652E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05D41"/>
    <w:multiLevelType w:val="hybridMultilevel"/>
    <w:tmpl w:val="556436CC"/>
    <w:lvl w:ilvl="0" w:tplc="8EACF728">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1E148B"/>
    <w:multiLevelType w:val="hybridMultilevel"/>
    <w:tmpl w:val="41CA3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8B5786"/>
    <w:multiLevelType w:val="hybridMultilevel"/>
    <w:tmpl w:val="02DA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371B1"/>
    <w:multiLevelType w:val="hybridMultilevel"/>
    <w:tmpl w:val="5CA80F54"/>
    <w:lvl w:ilvl="0" w:tplc="7C8EC63E">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686ED7E4">
      <w:start w:val="1"/>
      <w:numFmt w:val="upperRoman"/>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75F94"/>
    <w:multiLevelType w:val="hybridMultilevel"/>
    <w:tmpl w:val="F7B6A75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7E1119F3"/>
    <w:multiLevelType w:val="hybridMultilevel"/>
    <w:tmpl w:val="6778D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4"/>
  </w:num>
  <w:num w:numId="10">
    <w:abstractNumId w:val="17"/>
  </w:num>
  <w:num w:numId="11">
    <w:abstractNumId w:val="1"/>
  </w:num>
  <w:num w:numId="12">
    <w:abstractNumId w:val="6"/>
  </w:num>
  <w:num w:numId="13">
    <w:abstractNumId w:val="40"/>
  </w:num>
  <w:num w:numId="14">
    <w:abstractNumId w:val="13"/>
  </w:num>
  <w:num w:numId="15">
    <w:abstractNumId w:val="21"/>
  </w:num>
  <w:num w:numId="16">
    <w:abstractNumId w:val="36"/>
  </w:num>
  <w:num w:numId="17">
    <w:abstractNumId w:val="2"/>
  </w:num>
  <w:num w:numId="18">
    <w:abstractNumId w:val="42"/>
  </w:num>
  <w:num w:numId="19">
    <w:abstractNumId w:val="26"/>
  </w:num>
  <w:num w:numId="20">
    <w:abstractNumId w:val="22"/>
  </w:num>
  <w:num w:numId="21">
    <w:abstractNumId w:val="16"/>
  </w:num>
  <w:num w:numId="22">
    <w:abstractNumId w:val="0"/>
  </w:num>
  <w:num w:numId="23">
    <w:abstractNumId w:val="30"/>
  </w:num>
  <w:num w:numId="24">
    <w:abstractNumId w:val="37"/>
  </w:num>
  <w:num w:numId="25">
    <w:abstractNumId w:val="33"/>
  </w:num>
  <w:num w:numId="26">
    <w:abstractNumId w:val="27"/>
  </w:num>
  <w:num w:numId="27">
    <w:abstractNumId w:val="9"/>
  </w:num>
  <w:num w:numId="28">
    <w:abstractNumId w:val="10"/>
  </w:num>
  <w:num w:numId="29">
    <w:abstractNumId w:val="15"/>
  </w:num>
  <w:num w:numId="30">
    <w:abstractNumId w:val="34"/>
  </w:num>
  <w:num w:numId="31">
    <w:abstractNumId w:val="23"/>
  </w:num>
  <w:num w:numId="32">
    <w:abstractNumId w:val="5"/>
  </w:num>
  <w:num w:numId="33">
    <w:abstractNumId w:val="12"/>
  </w:num>
  <w:num w:numId="34">
    <w:abstractNumId w:val="28"/>
  </w:num>
  <w:num w:numId="35">
    <w:abstractNumId w:val="29"/>
  </w:num>
  <w:num w:numId="36">
    <w:abstractNumId w:val="35"/>
  </w:num>
  <w:num w:numId="37">
    <w:abstractNumId w:val="4"/>
  </w:num>
  <w:num w:numId="38">
    <w:abstractNumId w:val="8"/>
  </w:num>
  <w:num w:numId="39">
    <w:abstractNumId w:val="41"/>
  </w:num>
  <w:num w:numId="40">
    <w:abstractNumId w:val="7"/>
  </w:num>
  <w:num w:numId="41">
    <w:abstractNumId w:val="25"/>
  </w:num>
  <w:num w:numId="42">
    <w:abstractNumId w:val="24"/>
  </w:num>
  <w:num w:numId="43">
    <w:abstractNumId w:val="38"/>
  </w:num>
  <w:num w:numId="44">
    <w:abstractNumId w:val="19"/>
  </w:num>
  <w:num w:numId="45">
    <w:abstractNumId w:val="32"/>
  </w:num>
  <w:num w:numId="46">
    <w:abstractNumId w:val="1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6BE"/>
    <w:rsid w:val="0000041D"/>
    <w:rsid w:val="00000AC0"/>
    <w:rsid w:val="00000EBD"/>
    <w:rsid w:val="000011F9"/>
    <w:rsid w:val="0000156A"/>
    <w:rsid w:val="00001661"/>
    <w:rsid w:val="000018EF"/>
    <w:rsid w:val="00001F3E"/>
    <w:rsid w:val="00002F99"/>
    <w:rsid w:val="00003427"/>
    <w:rsid w:val="00003AA1"/>
    <w:rsid w:val="00004672"/>
    <w:rsid w:val="0000475B"/>
    <w:rsid w:val="00005218"/>
    <w:rsid w:val="000057E6"/>
    <w:rsid w:val="000058ED"/>
    <w:rsid w:val="0000591F"/>
    <w:rsid w:val="00005983"/>
    <w:rsid w:val="00007125"/>
    <w:rsid w:val="00007BAD"/>
    <w:rsid w:val="000101B7"/>
    <w:rsid w:val="000105BC"/>
    <w:rsid w:val="0001064D"/>
    <w:rsid w:val="00010DD8"/>
    <w:rsid w:val="00011610"/>
    <w:rsid w:val="0001178F"/>
    <w:rsid w:val="00011B28"/>
    <w:rsid w:val="00012577"/>
    <w:rsid w:val="00012CB4"/>
    <w:rsid w:val="000136D5"/>
    <w:rsid w:val="00013A04"/>
    <w:rsid w:val="00014513"/>
    <w:rsid w:val="00014694"/>
    <w:rsid w:val="000155E8"/>
    <w:rsid w:val="000155F5"/>
    <w:rsid w:val="0001590A"/>
    <w:rsid w:val="00016413"/>
    <w:rsid w:val="0001667B"/>
    <w:rsid w:val="00016F06"/>
    <w:rsid w:val="00016FFC"/>
    <w:rsid w:val="0001725B"/>
    <w:rsid w:val="00017565"/>
    <w:rsid w:val="00017968"/>
    <w:rsid w:val="00017C70"/>
    <w:rsid w:val="00017F58"/>
    <w:rsid w:val="00020053"/>
    <w:rsid w:val="000207C7"/>
    <w:rsid w:val="00020A63"/>
    <w:rsid w:val="000226A8"/>
    <w:rsid w:val="00022F05"/>
    <w:rsid w:val="00023770"/>
    <w:rsid w:val="00025E45"/>
    <w:rsid w:val="00026322"/>
    <w:rsid w:val="000267F7"/>
    <w:rsid w:val="000269E1"/>
    <w:rsid w:val="000273E2"/>
    <w:rsid w:val="000273E8"/>
    <w:rsid w:val="000275B3"/>
    <w:rsid w:val="000277AF"/>
    <w:rsid w:val="0003028D"/>
    <w:rsid w:val="00030601"/>
    <w:rsid w:val="00030E59"/>
    <w:rsid w:val="00031072"/>
    <w:rsid w:val="00031576"/>
    <w:rsid w:val="00031F51"/>
    <w:rsid w:val="000323FF"/>
    <w:rsid w:val="0003271F"/>
    <w:rsid w:val="0003277C"/>
    <w:rsid w:val="00033391"/>
    <w:rsid w:val="00033A06"/>
    <w:rsid w:val="00033A3E"/>
    <w:rsid w:val="0003415D"/>
    <w:rsid w:val="0003434C"/>
    <w:rsid w:val="0003443F"/>
    <w:rsid w:val="00035032"/>
    <w:rsid w:val="00035A51"/>
    <w:rsid w:val="00036651"/>
    <w:rsid w:val="00036E55"/>
    <w:rsid w:val="000371F8"/>
    <w:rsid w:val="000378E7"/>
    <w:rsid w:val="00037B95"/>
    <w:rsid w:val="0004000E"/>
    <w:rsid w:val="000403C3"/>
    <w:rsid w:val="00040480"/>
    <w:rsid w:val="000406F4"/>
    <w:rsid w:val="00040ECF"/>
    <w:rsid w:val="000410C2"/>
    <w:rsid w:val="00041BB6"/>
    <w:rsid w:val="00042C49"/>
    <w:rsid w:val="00042E7C"/>
    <w:rsid w:val="00042F19"/>
    <w:rsid w:val="000430A2"/>
    <w:rsid w:val="0004369C"/>
    <w:rsid w:val="000438CF"/>
    <w:rsid w:val="00043AB2"/>
    <w:rsid w:val="00043F1B"/>
    <w:rsid w:val="00043F54"/>
    <w:rsid w:val="00044FC7"/>
    <w:rsid w:val="000455A9"/>
    <w:rsid w:val="00045980"/>
    <w:rsid w:val="00046C38"/>
    <w:rsid w:val="00046EDA"/>
    <w:rsid w:val="0004709C"/>
    <w:rsid w:val="0004767A"/>
    <w:rsid w:val="00047D07"/>
    <w:rsid w:val="00047D61"/>
    <w:rsid w:val="0005047A"/>
    <w:rsid w:val="000506E8"/>
    <w:rsid w:val="000509AF"/>
    <w:rsid w:val="00050F8A"/>
    <w:rsid w:val="00051023"/>
    <w:rsid w:val="000510F8"/>
    <w:rsid w:val="000512C9"/>
    <w:rsid w:val="00051A19"/>
    <w:rsid w:val="0005264F"/>
    <w:rsid w:val="00053249"/>
    <w:rsid w:val="000532D2"/>
    <w:rsid w:val="00053A96"/>
    <w:rsid w:val="00054403"/>
    <w:rsid w:val="00054670"/>
    <w:rsid w:val="00054CB8"/>
    <w:rsid w:val="00054FD7"/>
    <w:rsid w:val="00055018"/>
    <w:rsid w:val="00055FD2"/>
    <w:rsid w:val="000560FA"/>
    <w:rsid w:val="00056152"/>
    <w:rsid w:val="00056753"/>
    <w:rsid w:val="0005689B"/>
    <w:rsid w:val="00056EE7"/>
    <w:rsid w:val="000571BA"/>
    <w:rsid w:val="000574DF"/>
    <w:rsid w:val="000576D1"/>
    <w:rsid w:val="0005786A"/>
    <w:rsid w:val="00057892"/>
    <w:rsid w:val="00057CCF"/>
    <w:rsid w:val="00060DF6"/>
    <w:rsid w:val="0006135D"/>
    <w:rsid w:val="00062491"/>
    <w:rsid w:val="000624F1"/>
    <w:rsid w:val="00062550"/>
    <w:rsid w:val="00062605"/>
    <w:rsid w:val="000629AA"/>
    <w:rsid w:val="00062C12"/>
    <w:rsid w:val="00062D72"/>
    <w:rsid w:val="00063324"/>
    <w:rsid w:val="00063774"/>
    <w:rsid w:val="0006479B"/>
    <w:rsid w:val="000648CE"/>
    <w:rsid w:val="00065A4A"/>
    <w:rsid w:val="00065B85"/>
    <w:rsid w:val="00066060"/>
    <w:rsid w:val="000661D2"/>
    <w:rsid w:val="000667EC"/>
    <w:rsid w:val="00066B02"/>
    <w:rsid w:val="000676CB"/>
    <w:rsid w:val="0006774C"/>
    <w:rsid w:val="00067B40"/>
    <w:rsid w:val="00067C58"/>
    <w:rsid w:val="00070281"/>
    <w:rsid w:val="00071358"/>
    <w:rsid w:val="000714D1"/>
    <w:rsid w:val="00071BDE"/>
    <w:rsid w:val="00071CB1"/>
    <w:rsid w:val="00072824"/>
    <w:rsid w:val="0007290F"/>
    <w:rsid w:val="00072F39"/>
    <w:rsid w:val="0007373C"/>
    <w:rsid w:val="00074316"/>
    <w:rsid w:val="000746C0"/>
    <w:rsid w:val="000746F7"/>
    <w:rsid w:val="00075F40"/>
    <w:rsid w:val="00076F25"/>
    <w:rsid w:val="00077105"/>
    <w:rsid w:val="000774FA"/>
    <w:rsid w:val="00077608"/>
    <w:rsid w:val="00077F7E"/>
    <w:rsid w:val="000810D7"/>
    <w:rsid w:val="000814B3"/>
    <w:rsid w:val="00081A3E"/>
    <w:rsid w:val="00081C25"/>
    <w:rsid w:val="000820B0"/>
    <w:rsid w:val="000821E3"/>
    <w:rsid w:val="00082420"/>
    <w:rsid w:val="0008245E"/>
    <w:rsid w:val="00082970"/>
    <w:rsid w:val="00084837"/>
    <w:rsid w:val="00084BA1"/>
    <w:rsid w:val="0008517E"/>
    <w:rsid w:val="00085359"/>
    <w:rsid w:val="00085478"/>
    <w:rsid w:val="00086023"/>
    <w:rsid w:val="00086517"/>
    <w:rsid w:val="00086667"/>
    <w:rsid w:val="0008688A"/>
    <w:rsid w:val="00086C43"/>
    <w:rsid w:val="00087138"/>
    <w:rsid w:val="0008734F"/>
    <w:rsid w:val="00087679"/>
    <w:rsid w:val="00087E3D"/>
    <w:rsid w:val="00090C6A"/>
    <w:rsid w:val="00090CF0"/>
    <w:rsid w:val="00090E4A"/>
    <w:rsid w:val="000914B9"/>
    <w:rsid w:val="00091ECE"/>
    <w:rsid w:val="00092092"/>
    <w:rsid w:val="00092646"/>
    <w:rsid w:val="0009288C"/>
    <w:rsid w:val="00092F12"/>
    <w:rsid w:val="000936E2"/>
    <w:rsid w:val="00093BDA"/>
    <w:rsid w:val="0009408C"/>
    <w:rsid w:val="000943B3"/>
    <w:rsid w:val="00094651"/>
    <w:rsid w:val="0009481E"/>
    <w:rsid w:val="00095A79"/>
    <w:rsid w:val="00095C28"/>
    <w:rsid w:val="0009615F"/>
    <w:rsid w:val="00096B6D"/>
    <w:rsid w:val="00096C93"/>
    <w:rsid w:val="00096CFD"/>
    <w:rsid w:val="00097764"/>
    <w:rsid w:val="00097811"/>
    <w:rsid w:val="00097898"/>
    <w:rsid w:val="000A0762"/>
    <w:rsid w:val="000A0E28"/>
    <w:rsid w:val="000A111F"/>
    <w:rsid w:val="000A3761"/>
    <w:rsid w:val="000A3BEE"/>
    <w:rsid w:val="000A3D89"/>
    <w:rsid w:val="000A3FA7"/>
    <w:rsid w:val="000A5E18"/>
    <w:rsid w:val="000A6448"/>
    <w:rsid w:val="000A6802"/>
    <w:rsid w:val="000A6D61"/>
    <w:rsid w:val="000B018F"/>
    <w:rsid w:val="000B0FEC"/>
    <w:rsid w:val="000B1570"/>
    <w:rsid w:val="000B21F9"/>
    <w:rsid w:val="000B2607"/>
    <w:rsid w:val="000B2B67"/>
    <w:rsid w:val="000B31AD"/>
    <w:rsid w:val="000B321C"/>
    <w:rsid w:val="000B334F"/>
    <w:rsid w:val="000B3D58"/>
    <w:rsid w:val="000B4288"/>
    <w:rsid w:val="000B4339"/>
    <w:rsid w:val="000B460B"/>
    <w:rsid w:val="000B524D"/>
    <w:rsid w:val="000B5252"/>
    <w:rsid w:val="000B5AC5"/>
    <w:rsid w:val="000B633C"/>
    <w:rsid w:val="000B66C1"/>
    <w:rsid w:val="000B719E"/>
    <w:rsid w:val="000B7745"/>
    <w:rsid w:val="000C0516"/>
    <w:rsid w:val="000C089C"/>
    <w:rsid w:val="000C0D5E"/>
    <w:rsid w:val="000C151F"/>
    <w:rsid w:val="000C15D8"/>
    <w:rsid w:val="000C16E1"/>
    <w:rsid w:val="000C19A8"/>
    <w:rsid w:val="000C1EF6"/>
    <w:rsid w:val="000C1F0B"/>
    <w:rsid w:val="000C2168"/>
    <w:rsid w:val="000C41D2"/>
    <w:rsid w:val="000C4CB9"/>
    <w:rsid w:val="000C71C0"/>
    <w:rsid w:val="000C7308"/>
    <w:rsid w:val="000C7D37"/>
    <w:rsid w:val="000D01C6"/>
    <w:rsid w:val="000D0B02"/>
    <w:rsid w:val="000D157F"/>
    <w:rsid w:val="000D1908"/>
    <w:rsid w:val="000D1E6A"/>
    <w:rsid w:val="000D252B"/>
    <w:rsid w:val="000D2A76"/>
    <w:rsid w:val="000D2E30"/>
    <w:rsid w:val="000D3630"/>
    <w:rsid w:val="000D3BE3"/>
    <w:rsid w:val="000D40AD"/>
    <w:rsid w:val="000D43FC"/>
    <w:rsid w:val="000D52AF"/>
    <w:rsid w:val="000D6088"/>
    <w:rsid w:val="000D6D27"/>
    <w:rsid w:val="000D7052"/>
    <w:rsid w:val="000D7161"/>
    <w:rsid w:val="000D77D5"/>
    <w:rsid w:val="000D7806"/>
    <w:rsid w:val="000D7DC4"/>
    <w:rsid w:val="000E0435"/>
    <w:rsid w:val="000E0CAE"/>
    <w:rsid w:val="000E264D"/>
    <w:rsid w:val="000E2D37"/>
    <w:rsid w:val="000E3014"/>
    <w:rsid w:val="000E37D5"/>
    <w:rsid w:val="000E39BC"/>
    <w:rsid w:val="000E44AD"/>
    <w:rsid w:val="000E45F3"/>
    <w:rsid w:val="000E4600"/>
    <w:rsid w:val="000E49EF"/>
    <w:rsid w:val="000E4D6A"/>
    <w:rsid w:val="000E4D6C"/>
    <w:rsid w:val="000E4E8D"/>
    <w:rsid w:val="000E50A9"/>
    <w:rsid w:val="000E52AB"/>
    <w:rsid w:val="000E54E9"/>
    <w:rsid w:val="000E5EFF"/>
    <w:rsid w:val="000E6165"/>
    <w:rsid w:val="000E6A65"/>
    <w:rsid w:val="000E703C"/>
    <w:rsid w:val="000E7DCB"/>
    <w:rsid w:val="000F0313"/>
    <w:rsid w:val="000F0423"/>
    <w:rsid w:val="000F0956"/>
    <w:rsid w:val="000F0F7D"/>
    <w:rsid w:val="000F1B4D"/>
    <w:rsid w:val="000F1C7B"/>
    <w:rsid w:val="000F212B"/>
    <w:rsid w:val="000F27E5"/>
    <w:rsid w:val="000F2E65"/>
    <w:rsid w:val="000F4299"/>
    <w:rsid w:val="000F465A"/>
    <w:rsid w:val="000F48A0"/>
    <w:rsid w:val="000F4D2D"/>
    <w:rsid w:val="000F57B0"/>
    <w:rsid w:val="000F5B58"/>
    <w:rsid w:val="000F5BDC"/>
    <w:rsid w:val="000F6018"/>
    <w:rsid w:val="000F6260"/>
    <w:rsid w:val="000F66FA"/>
    <w:rsid w:val="000F6B51"/>
    <w:rsid w:val="000F6D0D"/>
    <w:rsid w:val="000F6E83"/>
    <w:rsid w:val="000F7437"/>
    <w:rsid w:val="000F7865"/>
    <w:rsid w:val="000F7A34"/>
    <w:rsid w:val="000F7EF4"/>
    <w:rsid w:val="00100200"/>
    <w:rsid w:val="00101176"/>
    <w:rsid w:val="00101337"/>
    <w:rsid w:val="0010186C"/>
    <w:rsid w:val="00101FEF"/>
    <w:rsid w:val="00102024"/>
    <w:rsid w:val="001022A9"/>
    <w:rsid w:val="0010267E"/>
    <w:rsid w:val="001027EB"/>
    <w:rsid w:val="00102815"/>
    <w:rsid w:val="00102C34"/>
    <w:rsid w:val="00103120"/>
    <w:rsid w:val="00103CD9"/>
    <w:rsid w:val="001041F3"/>
    <w:rsid w:val="001044D5"/>
    <w:rsid w:val="00104DC2"/>
    <w:rsid w:val="0010530F"/>
    <w:rsid w:val="00105994"/>
    <w:rsid w:val="00106028"/>
    <w:rsid w:val="001062BE"/>
    <w:rsid w:val="0010680D"/>
    <w:rsid w:val="00106F6B"/>
    <w:rsid w:val="00107BBF"/>
    <w:rsid w:val="00107C9C"/>
    <w:rsid w:val="00107E1E"/>
    <w:rsid w:val="00110608"/>
    <w:rsid w:val="00110964"/>
    <w:rsid w:val="00110AF1"/>
    <w:rsid w:val="001111AA"/>
    <w:rsid w:val="001111AC"/>
    <w:rsid w:val="0011121E"/>
    <w:rsid w:val="001112BC"/>
    <w:rsid w:val="001118C8"/>
    <w:rsid w:val="00113010"/>
    <w:rsid w:val="001134CF"/>
    <w:rsid w:val="001138CD"/>
    <w:rsid w:val="00114E98"/>
    <w:rsid w:val="00115548"/>
    <w:rsid w:val="00115614"/>
    <w:rsid w:val="001160AD"/>
    <w:rsid w:val="00116140"/>
    <w:rsid w:val="00116607"/>
    <w:rsid w:val="00116F9E"/>
    <w:rsid w:val="00117071"/>
    <w:rsid w:val="001171AF"/>
    <w:rsid w:val="001178CB"/>
    <w:rsid w:val="00117BFE"/>
    <w:rsid w:val="00120202"/>
    <w:rsid w:val="001205B2"/>
    <w:rsid w:val="0012073D"/>
    <w:rsid w:val="00120E41"/>
    <w:rsid w:val="001216C9"/>
    <w:rsid w:val="0012173F"/>
    <w:rsid w:val="00121E2F"/>
    <w:rsid w:val="00122153"/>
    <w:rsid w:val="001233E3"/>
    <w:rsid w:val="00123771"/>
    <w:rsid w:val="00124517"/>
    <w:rsid w:val="00124552"/>
    <w:rsid w:val="001248B1"/>
    <w:rsid w:val="00124CD4"/>
    <w:rsid w:val="001251BB"/>
    <w:rsid w:val="001260D5"/>
    <w:rsid w:val="001261BF"/>
    <w:rsid w:val="001265B9"/>
    <w:rsid w:val="001267D6"/>
    <w:rsid w:val="00126AF5"/>
    <w:rsid w:val="00126E3A"/>
    <w:rsid w:val="001275C7"/>
    <w:rsid w:val="00127629"/>
    <w:rsid w:val="00130587"/>
    <w:rsid w:val="00130663"/>
    <w:rsid w:val="00131245"/>
    <w:rsid w:val="001312E1"/>
    <w:rsid w:val="00131C88"/>
    <w:rsid w:val="00131E01"/>
    <w:rsid w:val="00131E6C"/>
    <w:rsid w:val="00131EBB"/>
    <w:rsid w:val="00131F7B"/>
    <w:rsid w:val="001325EE"/>
    <w:rsid w:val="001331B7"/>
    <w:rsid w:val="00133280"/>
    <w:rsid w:val="00133CBB"/>
    <w:rsid w:val="00133EC1"/>
    <w:rsid w:val="00133ECC"/>
    <w:rsid w:val="00134146"/>
    <w:rsid w:val="0013430C"/>
    <w:rsid w:val="00134468"/>
    <w:rsid w:val="001345BE"/>
    <w:rsid w:val="00134739"/>
    <w:rsid w:val="001348C7"/>
    <w:rsid w:val="00134ED0"/>
    <w:rsid w:val="00134F34"/>
    <w:rsid w:val="00134FDD"/>
    <w:rsid w:val="00135062"/>
    <w:rsid w:val="00135309"/>
    <w:rsid w:val="00135753"/>
    <w:rsid w:val="001359DC"/>
    <w:rsid w:val="00135A84"/>
    <w:rsid w:val="00135ED0"/>
    <w:rsid w:val="00135FCD"/>
    <w:rsid w:val="0013600A"/>
    <w:rsid w:val="001368D7"/>
    <w:rsid w:val="00136918"/>
    <w:rsid w:val="00136CEF"/>
    <w:rsid w:val="00137593"/>
    <w:rsid w:val="001376B9"/>
    <w:rsid w:val="001378E7"/>
    <w:rsid w:val="00140462"/>
    <w:rsid w:val="00141A88"/>
    <w:rsid w:val="00141C00"/>
    <w:rsid w:val="0014213D"/>
    <w:rsid w:val="001428C4"/>
    <w:rsid w:val="00142951"/>
    <w:rsid w:val="00142C1A"/>
    <w:rsid w:val="00143DFF"/>
    <w:rsid w:val="001442B9"/>
    <w:rsid w:val="00144B86"/>
    <w:rsid w:val="00145390"/>
    <w:rsid w:val="00145758"/>
    <w:rsid w:val="00146409"/>
    <w:rsid w:val="001470AB"/>
    <w:rsid w:val="001474D2"/>
    <w:rsid w:val="00147991"/>
    <w:rsid w:val="00147D00"/>
    <w:rsid w:val="00147F93"/>
    <w:rsid w:val="001506B2"/>
    <w:rsid w:val="00151609"/>
    <w:rsid w:val="001518AB"/>
    <w:rsid w:val="00151BFE"/>
    <w:rsid w:val="00152269"/>
    <w:rsid w:val="001524FD"/>
    <w:rsid w:val="00152FA3"/>
    <w:rsid w:val="00153027"/>
    <w:rsid w:val="001543BF"/>
    <w:rsid w:val="0015455B"/>
    <w:rsid w:val="001570E6"/>
    <w:rsid w:val="001579AE"/>
    <w:rsid w:val="00157A1A"/>
    <w:rsid w:val="00160901"/>
    <w:rsid w:val="00160984"/>
    <w:rsid w:val="00161535"/>
    <w:rsid w:val="00161C08"/>
    <w:rsid w:val="00161C2F"/>
    <w:rsid w:val="00162C0C"/>
    <w:rsid w:val="00163937"/>
    <w:rsid w:val="00163A7E"/>
    <w:rsid w:val="00164325"/>
    <w:rsid w:val="00164FF8"/>
    <w:rsid w:val="001650B9"/>
    <w:rsid w:val="00165991"/>
    <w:rsid w:val="00165BB7"/>
    <w:rsid w:val="0016617C"/>
    <w:rsid w:val="00166BD1"/>
    <w:rsid w:val="00167172"/>
    <w:rsid w:val="0017028B"/>
    <w:rsid w:val="00170B1F"/>
    <w:rsid w:val="00170BB6"/>
    <w:rsid w:val="001711E6"/>
    <w:rsid w:val="00171387"/>
    <w:rsid w:val="00171E4C"/>
    <w:rsid w:val="0017208A"/>
    <w:rsid w:val="00172C87"/>
    <w:rsid w:val="0017319E"/>
    <w:rsid w:val="0017440A"/>
    <w:rsid w:val="001756F3"/>
    <w:rsid w:val="001759F1"/>
    <w:rsid w:val="0017697D"/>
    <w:rsid w:val="00176FC0"/>
    <w:rsid w:val="00177249"/>
    <w:rsid w:val="0017774E"/>
    <w:rsid w:val="00180954"/>
    <w:rsid w:val="00180C9D"/>
    <w:rsid w:val="001811CE"/>
    <w:rsid w:val="001813D1"/>
    <w:rsid w:val="00181C4B"/>
    <w:rsid w:val="0018211B"/>
    <w:rsid w:val="001825C6"/>
    <w:rsid w:val="00182A6E"/>
    <w:rsid w:val="00182BF7"/>
    <w:rsid w:val="00182EA3"/>
    <w:rsid w:val="0018325E"/>
    <w:rsid w:val="001841E7"/>
    <w:rsid w:val="00184D7C"/>
    <w:rsid w:val="00184F37"/>
    <w:rsid w:val="00185557"/>
    <w:rsid w:val="00185793"/>
    <w:rsid w:val="00186312"/>
    <w:rsid w:val="0018671B"/>
    <w:rsid w:val="00186937"/>
    <w:rsid w:val="001874B1"/>
    <w:rsid w:val="00190624"/>
    <w:rsid w:val="0019101C"/>
    <w:rsid w:val="001915A3"/>
    <w:rsid w:val="00191771"/>
    <w:rsid w:val="00191931"/>
    <w:rsid w:val="00191953"/>
    <w:rsid w:val="001920C4"/>
    <w:rsid w:val="00192566"/>
    <w:rsid w:val="00192AA8"/>
    <w:rsid w:val="00192B31"/>
    <w:rsid w:val="00192C43"/>
    <w:rsid w:val="0019351A"/>
    <w:rsid w:val="00193C0E"/>
    <w:rsid w:val="00193FF2"/>
    <w:rsid w:val="00194422"/>
    <w:rsid w:val="001950F2"/>
    <w:rsid w:val="00195757"/>
    <w:rsid w:val="00195A11"/>
    <w:rsid w:val="00195A84"/>
    <w:rsid w:val="001961B1"/>
    <w:rsid w:val="0019673D"/>
    <w:rsid w:val="00196A43"/>
    <w:rsid w:val="00196D29"/>
    <w:rsid w:val="00196E73"/>
    <w:rsid w:val="001970F6"/>
    <w:rsid w:val="00197224"/>
    <w:rsid w:val="0019761C"/>
    <w:rsid w:val="0019781F"/>
    <w:rsid w:val="00197E70"/>
    <w:rsid w:val="001A0859"/>
    <w:rsid w:val="001A126E"/>
    <w:rsid w:val="001A13A1"/>
    <w:rsid w:val="001A18D3"/>
    <w:rsid w:val="001A19A9"/>
    <w:rsid w:val="001A25D9"/>
    <w:rsid w:val="001A2D6A"/>
    <w:rsid w:val="001A35F2"/>
    <w:rsid w:val="001A375D"/>
    <w:rsid w:val="001A4560"/>
    <w:rsid w:val="001A4870"/>
    <w:rsid w:val="001A4B6A"/>
    <w:rsid w:val="001A4B72"/>
    <w:rsid w:val="001A5285"/>
    <w:rsid w:val="001A56B6"/>
    <w:rsid w:val="001A678D"/>
    <w:rsid w:val="001A6EC7"/>
    <w:rsid w:val="001A77EF"/>
    <w:rsid w:val="001B02CE"/>
    <w:rsid w:val="001B0D7E"/>
    <w:rsid w:val="001B11D8"/>
    <w:rsid w:val="001B18B2"/>
    <w:rsid w:val="001B1BBA"/>
    <w:rsid w:val="001B2CDA"/>
    <w:rsid w:val="001B3171"/>
    <w:rsid w:val="001B34E1"/>
    <w:rsid w:val="001B389D"/>
    <w:rsid w:val="001B40A1"/>
    <w:rsid w:val="001B4281"/>
    <w:rsid w:val="001B51D1"/>
    <w:rsid w:val="001B51D5"/>
    <w:rsid w:val="001B5286"/>
    <w:rsid w:val="001B5DC1"/>
    <w:rsid w:val="001B6828"/>
    <w:rsid w:val="001B6939"/>
    <w:rsid w:val="001B6A0A"/>
    <w:rsid w:val="001B6ED2"/>
    <w:rsid w:val="001B76DF"/>
    <w:rsid w:val="001B7930"/>
    <w:rsid w:val="001B7E17"/>
    <w:rsid w:val="001C021A"/>
    <w:rsid w:val="001C0B78"/>
    <w:rsid w:val="001C1531"/>
    <w:rsid w:val="001C153B"/>
    <w:rsid w:val="001C1DBA"/>
    <w:rsid w:val="001C210E"/>
    <w:rsid w:val="001C23E3"/>
    <w:rsid w:val="001C2C88"/>
    <w:rsid w:val="001C2FB7"/>
    <w:rsid w:val="001C30BB"/>
    <w:rsid w:val="001C30D8"/>
    <w:rsid w:val="001C3E4D"/>
    <w:rsid w:val="001C4043"/>
    <w:rsid w:val="001C4208"/>
    <w:rsid w:val="001C453E"/>
    <w:rsid w:val="001C5269"/>
    <w:rsid w:val="001C570A"/>
    <w:rsid w:val="001C6BAD"/>
    <w:rsid w:val="001C7576"/>
    <w:rsid w:val="001C773E"/>
    <w:rsid w:val="001D02E7"/>
    <w:rsid w:val="001D0544"/>
    <w:rsid w:val="001D0746"/>
    <w:rsid w:val="001D1992"/>
    <w:rsid w:val="001D1E41"/>
    <w:rsid w:val="001D1FA0"/>
    <w:rsid w:val="001D2558"/>
    <w:rsid w:val="001D2AE9"/>
    <w:rsid w:val="001D3135"/>
    <w:rsid w:val="001D47B2"/>
    <w:rsid w:val="001D4843"/>
    <w:rsid w:val="001D50A8"/>
    <w:rsid w:val="001D527D"/>
    <w:rsid w:val="001D5656"/>
    <w:rsid w:val="001D59D6"/>
    <w:rsid w:val="001D68DC"/>
    <w:rsid w:val="001D6A22"/>
    <w:rsid w:val="001E0586"/>
    <w:rsid w:val="001E0703"/>
    <w:rsid w:val="001E0C03"/>
    <w:rsid w:val="001E2772"/>
    <w:rsid w:val="001E3A27"/>
    <w:rsid w:val="001E40BC"/>
    <w:rsid w:val="001E4586"/>
    <w:rsid w:val="001E48D2"/>
    <w:rsid w:val="001E4C9B"/>
    <w:rsid w:val="001E5899"/>
    <w:rsid w:val="001E5AE2"/>
    <w:rsid w:val="001E61A4"/>
    <w:rsid w:val="001E64A5"/>
    <w:rsid w:val="001E6A26"/>
    <w:rsid w:val="001E6AFA"/>
    <w:rsid w:val="001E7155"/>
    <w:rsid w:val="001E7488"/>
    <w:rsid w:val="001E7655"/>
    <w:rsid w:val="001E76CA"/>
    <w:rsid w:val="001E7775"/>
    <w:rsid w:val="001E7D5D"/>
    <w:rsid w:val="001E7D65"/>
    <w:rsid w:val="001F0DD3"/>
    <w:rsid w:val="001F133D"/>
    <w:rsid w:val="001F1AAC"/>
    <w:rsid w:val="001F1E34"/>
    <w:rsid w:val="001F20CD"/>
    <w:rsid w:val="001F2410"/>
    <w:rsid w:val="001F24DB"/>
    <w:rsid w:val="001F2B84"/>
    <w:rsid w:val="001F2BC2"/>
    <w:rsid w:val="001F2BE1"/>
    <w:rsid w:val="001F2E63"/>
    <w:rsid w:val="001F32AA"/>
    <w:rsid w:val="001F35CC"/>
    <w:rsid w:val="001F36E1"/>
    <w:rsid w:val="001F3B5A"/>
    <w:rsid w:val="001F40AA"/>
    <w:rsid w:val="001F463E"/>
    <w:rsid w:val="001F5587"/>
    <w:rsid w:val="001F5CFB"/>
    <w:rsid w:val="001F6AA6"/>
    <w:rsid w:val="001F74CE"/>
    <w:rsid w:val="001F7BE4"/>
    <w:rsid w:val="001F7E58"/>
    <w:rsid w:val="0020012D"/>
    <w:rsid w:val="00200229"/>
    <w:rsid w:val="002004F7"/>
    <w:rsid w:val="00200AB8"/>
    <w:rsid w:val="0020166B"/>
    <w:rsid w:val="00201CC9"/>
    <w:rsid w:val="00201D0F"/>
    <w:rsid w:val="00201F72"/>
    <w:rsid w:val="00202A5C"/>
    <w:rsid w:val="0020320D"/>
    <w:rsid w:val="002036FF"/>
    <w:rsid w:val="002038E7"/>
    <w:rsid w:val="00203B2A"/>
    <w:rsid w:val="00203EC8"/>
    <w:rsid w:val="002040CF"/>
    <w:rsid w:val="002050A6"/>
    <w:rsid w:val="00205282"/>
    <w:rsid w:val="00205D73"/>
    <w:rsid w:val="00205F72"/>
    <w:rsid w:val="0020613F"/>
    <w:rsid w:val="00206366"/>
    <w:rsid w:val="00206C0D"/>
    <w:rsid w:val="00206F83"/>
    <w:rsid w:val="002076A5"/>
    <w:rsid w:val="00207F5E"/>
    <w:rsid w:val="002106C6"/>
    <w:rsid w:val="00210BB7"/>
    <w:rsid w:val="00210C6A"/>
    <w:rsid w:val="00210F1D"/>
    <w:rsid w:val="0021232A"/>
    <w:rsid w:val="0021267A"/>
    <w:rsid w:val="00212B2D"/>
    <w:rsid w:val="00212E64"/>
    <w:rsid w:val="002135A3"/>
    <w:rsid w:val="00214A3A"/>
    <w:rsid w:val="00214ADA"/>
    <w:rsid w:val="00214EBB"/>
    <w:rsid w:val="002150F1"/>
    <w:rsid w:val="00215F6A"/>
    <w:rsid w:val="002160A7"/>
    <w:rsid w:val="00216299"/>
    <w:rsid w:val="00216770"/>
    <w:rsid w:val="00216F3B"/>
    <w:rsid w:val="00217097"/>
    <w:rsid w:val="0021784A"/>
    <w:rsid w:val="00217D84"/>
    <w:rsid w:val="00220275"/>
    <w:rsid w:val="00220300"/>
    <w:rsid w:val="00220CBB"/>
    <w:rsid w:val="00220EB0"/>
    <w:rsid w:val="0022139E"/>
    <w:rsid w:val="002213C3"/>
    <w:rsid w:val="00221D1B"/>
    <w:rsid w:val="0022257F"/>
    <w:rsid w:val="00222616"/>
    <w:rsid w:val="00222F88"/>
    <w:rsid w:val="00223BCF"/>
    <w:rsid w:val="00224161"/>
    <w:rsid w:val="00224322"/>
    <w:rsid w:val="00224B1C"/>
    <w:rsid w:val="0022506A"/>
    <w:rsid w:val="002257A0"/>
    <w:rsid w:val="0022588D"/>
    <w:rsid w:val="0022600E"/>
    <w:rsid w:val="0022656D"/>
    <w:rsid w:val="00226AF2"/>
    <w:rsid w:val="00230D73"/>
    <w:rsid w:val="0023124C"/>
    <w:rsid w:val="00232CAC"/>
    <w:rsid w:val="00232EBB"/>
    <w:rsid w:val="002331AA"/>
    <w:rsid w:val="002331C0"/>
    <w:rsid w:val="0023327C"/>
    <w:rsid w:val="002338AB"/>
    <w:rsid w:val="00233F74"/>
    <w:rsid w:val="0023423B"/>
    <w:rsid w:val="00234575"/>
    <w:rsid w:val="00235575"/>
    <w:rsid w:val="00236E74"/>
    <w:rsid w:val="00237223"/>
    <w:rsid w:val="002372AB"/>
    <w:rsid w:val="002377D4"/>
    <w:rsid w:val="00237A68"/>
    <w:rsid w:val="00237E21"/>
    <w:rsid w:val="00237F98"/>
    <w:rsid w:val="002406B1"/>
    <w:rsid w:val="002408FE"/>
    <w:rsid w:val="00240FA1"/>
    <w:rsid w:val="0024150F"/>
    <w:rsid w:val="0024222C"/>
    <w:rsid w:val="0024264C"/>
    <w:rsid w:val="002426FF"/>
    <w:rsid w:val="00242A09"/>
    <w:rsid w:val="00243F17"/>
    <w:rsid w:val="002442C1"/>
    <w:rsid w:val="00244A04"/>
    <w:rsid w:val="00244E99"/>
    <w:rsid w:val="002453D1"/>
    <w:rsid w:val="002455C0"/>
    <w:rsid w:val="00246673"/>
    <w:rsid w:val="002469CC"/>
    <w:rsid w:val="00247149"/>
    <w:rsid w:val="00247933"/>
    <w:rsid w:val="00247FF2"/>
    <w:rsid w:val="0025053A"/>
    <w:rsid w:val="0025197C"/>
    <w:rsid w:val="00252532"/>
    <w:rsid w:val="00252D40"/>
    <w:rsid w:val="00252F37"/>
    <w:rsid w:val="00253300"/>
    <w:rsid w:val="0025346C"/>
    <w:rsid w:val="00253671"/>
    <w:rsid w:val="00253A34"/>
    <w:rsid w:val="00253C3A"/>
    <w:rsid w:val="00253FA7"/>
    <w:rsid w:val="00253FE9"/>
    <w:rsid w:val="0025419C"/>
    <w:rsid w:val="00254406"/>
    <w:rsid w:val="002545DD"/>
    <w:rsid w:val="00256D2A"/>
    <w:rsid w:val="00257071"/>
    <w:rsid w:val="0025707B"/>
    <w:rsid w:val="0025747A"/>
    <w:rsid w:val="00257D33"/>
    <w:rsid w:val="00260056"/>
    <w:rsid w:val="002604AC"/>
    <w:rsid w:val="002605FF"/>
    <w:rsid w:val="00260661"/>
    <w:rsid w:val="00260AE3"/>
    <w:rsid w:val="00260D71"/>
    <w:rsid w:val="00260E87"/>
    <w:rsid w:val="00261B4C"/>
    <w:rsid w:val="00261D82"/>
    <w:rsid w:val="00261D86"/>
    <w:rsid w:val="00261F1A"/>
    <w:rsid w:val="00262228"/>
    <w:rsid w:val="002633C7"/>
    <w:rsid w:val="00263769"/>
    <w:rsid w:val="00263A70"/>
    <w:rsid w:val="00263AA3"/>
    <w:rsid w:val="00263D2E"/>
    <w:rsid w:val="00263E4B"/>
    <w:rsid w:val="00264052"/>
    <w:rsid w:val="00265C25"/>
    <w:rsid w:val="00265DF1"/>
    <w:rsid w:val="00266DD1"/>
    <w:rsid w:val="0027154A"/>
    <w:rsid w:val="00271A90"/>
    <w:rsid w:val="00271B7E"/>
    <w:rsid w:val="00272BC9"/>
    <w:rsid w:val="00273B3C"/>
    <w:rsid w:val="00273F7D"/>
    <w:rsid w:val="00273FC3"/>
    <w:rsid w:val="002741D5"/>
    <w:rsid w:val="00274B24"/>
    <w:rsid w:val="00274E0F"/>
    <w:rsid w:val="002756A3"/>
    <w:rsid w:val="002757CA"/>
    <w:rsid w:val="00275CB5"/>
    <w:rsid w:val="00276167"/>
    <w:rsid w:val="002762F5"/>
    <w:rsid w:val="00276640"/>
    <w:rsid w:val="00276C42"/>
    <w:rsid w:val="00280994"/>
    <w:rsid w:val="00281419"/>
    <w:rsid w:val="002815C6"/>
    <w:rsid w:val="0028220D"/>
    <w:rsid w:val="002825D3"/>
    <w:rsid w:val="00282690"/>
    <w:rsid w:val="00283941"/>
    <w:rsid w:val="002839EB"/>
    <w:rsid w:val="00283AE3"/>
    <w:rsid w:val="0028428C"/>
    <w:rsid w:val="002847D5"/>
    <w:rsid w:val="00284FB5"/>
    <w:rsid w:val="00285784"/>
    <w:rsid w:val="002857FF"/>
    <w:rsid w:val="00285CBB"/>
    <w:rsid w:val="00286C2C"/>
    <w:rsid w:val="0028733F"/>
    <w:rsid w:val="00287B70"/>
    <w:rsid w:val="00287D80"/>
    <w:rsid w:val="00290896"/>
    <w:rsid w:val="00290947"/>
    <w:rsid w:val="00290E5B"/>
    <w:rsid w:val="00290E89"/>
    <w:rsid w:val="00291011"/>
    <w:rsid w:val="0029156B"/>
    <w:rsid w:val="00291CAB"/>
    <w:rsid w:val="00291CE2"/>
    <w:rsid w:val="00292570"/>
    <w:rsid w:val="002925C0"/>
    <w:rsid w:val="002935EB"/>
    <w:rsid w:val="0029423B"/>
    <w:rsid w:val="00294982"/>
    <w:rsid w:val="00294B58"/>
    <w:rsid w:val="0029555B"/>
    <w:rsid w:val="00295B62"/>
    <w:rsid w:val="00295C7D"/>
    <w:rsid w:val="00296365"/>
    <w:rsid w:val="00297A3E"/>
    <w:rsid w:val="002A06E0"/>
    <w:rsid w:val="002A1281"/>
    <w:rsid w:val="002A1515"/>
    <w:rsid w:val="002A18C5"/>
    <w:rsid w:val="002A1DA9"/>
    <w:rsid w:val="002A1F38"/>
    <w:rsid w:val="002A2416"/>
    <w:rsid w:val="002A2450"/>
    <w:rsid w:val="002A2A2B"/>
    <w:rsid w:val="002A2BD6"/>
    <w:rsid w:val="002A32DB"/>
    <w:rsid w:val="002A3525"/>
    <w:rsid w:val="002A5208"/>
    <w:rsid w:val="002A57DD"/>
    <w:rsid w:val="002A6493"/>
    <w:rsid w:val="002A65A7"/>
    <w:rsid w:val="002A6AEB"/>
    <w:rsid w:val="002A6B9C"/>
    <w:rsid w:val="002A6CA5"/>
    <w:rsid w:val="002A76E7"/>
    <w:rsid w:val="002A77C4"/>
    <w:rsid w:val="002A77CA"/>
    <w:rsid w:val="002A7849"/>
    <w:rsid w:val="002A7A9A"/>
    <w:rsid w:val="002A7B97"/>
    <w:rsid w:val="002A7F44"/>
    <w:rsid w:val="002B033B"/>
    <w:rsid w:val="002B03D5"/>
    <w:rsid w:val="002B097B"/>
    <w:rsid w:val="002B0DA1"/>
    <w:rsid w:val="002B1440"/>
    <w:rsid w:val="002B1F34"/>
    <w:rsid w:val="002B213B"/>
    <w:rsid w:val="002B21E6"/>
    <w:rsid w:val="002B28D2"/>
    <w:rsid w:val="002B2B74"/>
    <w:rsid w:val="002B2BCD"/>
    <w:rsid w:val="002B2FA8"/>
    <w:rsid w:val="002B3367"/>
    <w:rsid w:val="002B3DA6"/>
    <w:rsid w:val="002B3F03"/>
    <w:rsid w:val="002B3F69"/>
    <w:rsid w:val="002B452C"/>
    <w:rsid w:val="002B4745"/>
    <w:rsid w:val="002B54D1"/>
    <w:rsid w:val="002B579A"/>
    <w:rsid w:val="002B5908"/>
    <w:rsid w:val="002B649A"/>
    <w:rsid w:val="002B69EB"/>
    <w:rsid w:val="002B6A72"/>
    <w:rsid w:val="002B6E13"/>
    <w:rsid w:val="002B704E"/>
    <w:rsid w:val="002B7442"/>
    <w:rsid w:val="002B7576"/>
    <w:rsid w:val="002B7A22"/>
    <w:rsid w:val="002B7BFF"/>
    <w:rsid w:val="002B7D36"/>
    <w:rsid w:val="002B7EC2"/>
    <w:rsid w:val="002B7F6F"/>
    <w:rsid w:val="002C0259"/>
    <w:rsid w:val="002C0FA5"/>
    <w:rsid w:val="002C108A"/>
    <w:rsid w:val="002C1F4B"/>
    <w:rsid w:val="002C210B"/>
    <w:rsid w:val="002C291C"/>
    <w:rsid w:val="002C2AF0"/>
    <w:rsid w:val="002C3BE7"/>
    <w:rsid w:val="002C3C85"/>
    <w:rsid w:val="002C3E6F"/>
    <w:rsid w:val="002C4756"/>
    <w:rsid w:val="002C5069"/>
    <w:rsid w:val="002C57F2"/>
    <w:rsid w:val="002C5944"/>
    <w:rsid w:val="002C5F47"/>
    <w:rsid w:val="002C66F7"/>
    <w:rsid w:val="002C6EE6"/>
    <w:rsid w:val="002C7003"/>
    <w:rsid w:val="002C7474"/>
    <w:rsid w:val="002C7AC1"/>
    <w:rsid w:val="002D0285"/>
    <w:rsid w:val="002D0AEC"/>
    <w:rsid w:val="002D182D"/>
    <w:rsid w:val="002D18EB"/>
    <w:rsid w:val="002D2423"/>
    <w:rsid w:val="002D2E56"/>
    <w:rsid w:val="002D2FCD"/>
    <w:rsid w:val="002D3A76"/>
    <w:rsid w:val="002D4095"/>
    <w:rsid w:val="002D437A"/>
    <w:rsid w:val="002D498D"/>
    <w:rsid w:val="002D676B"/>
    <w:rsid w:val="002D7FF9"/>
    <w:rsid w:val="002E0357"/>
    <w:rsid w:val="002E0B30"/>
    <w:rsid w:val="002E2026"/>
    <w:rsid w:val="002E220E"/>
    <w:rsid w:val="002E368E"/>
    <w:rsid w:val="002E3806"/>
    <w:rsid w:val="002E3AC6"/>
    <w:rsid w:val="002E3B9D"/>
    <w:rsid w:val="002E4208"/>
    <w:rsid w:val="002E5C53"/>
    <w:rsid w:val="002E6E73"/>
    <w:rsid w:val="002E71F3"/>
    <w:rsid w:val="002E747E"/>
    <w:rsid w:val="002E7D09"/>
    <w:rsid w:val="002E7FCC"/>
    <w:rsid w:val="002F07FE"/>
    <w:rsid w:val="002F0DC1"/>
    <w:rsid w:val="002F129E"/>
    <w:rsid w:val="002F1846"/>
    <w:rsid w:val="002F1899"/>
    <w:rsid w:val="002F1BF7"/>
    <w:rsid w:val="002F1D37"/>
    <w:rsid w:val="002F1FA0"/>
    <w:rsid w:val="002F2034"/>
    <w:rsid w:val="002F2123"/>
    <w:rsid w:val="002F2363"/>
    <w:rsid w:val="002F23F5"/>
    <w:rsid w:val="002F2F62"/>
    <w:rsid w:val="002F3CCC"/>
    <w:rsid w:val="002F4300"/>
    <w:rsid w:val="002F4587"/>
    <w:rsid w:val="002F5580"/>
    <w:rsid w:val="002F59B4"/>
    <w:rsid w:val="002F5FB8"/>
    <w:rsid w:val="002F6074"/>
    <w:rsid w:val="002F6AA2"/>
    <w:rsid w:val="002F6B33"/>
    <w:rsid w:val="002F6C46"/>
    <w:rsid w:val="002F6ED9"/>
    <w:rsid w:val="002F7448"/>
    <w:rsid w:val="0030014F"/>
    <w:rsid w:val="00300519"/>
    <w:rsid w:val="0030056B"/>
    <w:rsid w:val="00300AFC"/>
    <w:rsid w:val="003018B9"/>
    <w:rsid w:val="00301D3E"/>
    <w:rsid w:val="00302A1D"/>
    <w:rsid w:val="00302E35"/>
    <w:rsid w:val="00302FEF"/>
    <w:rsid w:val="003030D5"/>
    <w:rsid w:val="00303365"/>
    <w:rsid w:val="0030344D"/>
    <w:rsid w:val="00303627"/>
    <w:rsid w:val="00304528"/>
    <w:rsid w:val="00304779"/>
    <w:rsid w:val="00304B83"/>
    <w:rsid w:val="00305618"/>
    <w:rsid w:val="00305959"/>
    <w:rsid w:val="00306C15"/>
    <w:rsid w:val="00306C36"/>
    <w:rsid w:val="00306C66"/>
    <w:rsid w:val="003070A6"/>
    <w:rsid w:val="003071D4"/>
    <w:rsid w:val="003075DD"/>
    <w:rsid w:val="003077DC"/>
    <w:rsid w:val="00307AC5"/>
    <w:rsid w:val="00310D66"/>
    <w:rsid w:val="00310E4B"/>
    <w:rsid w:val="003115C9"/>
    <w:rsid w:val="00311B63"/>
    <w:rsid w:val="00312858"/>
    <w:rsid w:val="003128EE"/>
    <w:rsid w:val="00312FEE"/>
    <w:rsid w:val="00313A22"/>
    <w:rsid w:val="00313D6E"/>
    <w:rsid w:val="00313E6F"/>
    <w:rsid w:val="003142D3"/>
    <w:rsid w:val="00314479"/>
    <w:rsid w:val="0031526E"/>
    <w:rsid w:val="0031557C"/>
    <w:rsid w:val="00315745"/>
    <w:rsid w:val="00315BF1"/>
    <w:rsid w:val="00315E1C"/>
    <w:rsid w:val="0031635E"/>
    <w:rsid w:val="00316791"/>
    <w:rsid w:val="00316B17"/>
    <w:rsid w:val="0031761E"/>
    <w:rsid w:val="00317976"/>
    <w:rsid w:val="00317B36"/>
    <w:rsid w:val="003202BE"/>
    <w:rsid w:val="00320967"/>
    <w:rsid w:val="003209E3"/>
    <w:rsid w:val="00321487"/>
    <w:rsid w:val="00321587"/>
    <w:rsid w:val="00321CFB"/>
    <w:rsid w:val="00321FF7"/>
    <w:rsid w:val="003220F9"/>
    <w:rsid w:val="00323945"/>
    <w:rsid w:val="00323A5E"/>
    <w:rsid w:val="00324567"/>
    <w:rsid w:val="00324EFB"/>
    <w:rsid w:val="00325E40"/>
    <w:rsid w:val="0032625E"/>
    <w:rsid w:val="00326345"/>
    <w:rsid w:val="003265AC"/>
    <w:rsid w:val="00326751"/>
    <w:rsid w:val="003276DB"/>
    <w:rsid w:val="00327AB7"/>
    <w:rsid w:val="00327F4D"/>
    <w:rsid w:val="003314C5"/>
    <w:rsid w:val="003317EB"/>
    <w:rsid w:val="00332132"/>
    <w:rsid w:val="003327E5"/>
    <w:rsid w:val="0033291D"/>
    <w:rsid w:val="00332D58"/>
    <w:rsid w:val="00332EFB"/>
    <w:rsid w:val="0033304F"/>
    <w:rsid w:val="00333520"/>
    <w:rsid w:val="00333567"/>
    <w:rsid w:val="0033473D"/>
    <w:rsid w:val="00334CEE"/>
    <w:rsid w:val="003354B1"/>
    <w:rsid w:val="00335564"/>
    <w:rsid w:val="00335C80"/>
    <w:rsid w:val="00335E82"/>
    <w:rsid w:val="00335F39"/>
    <w:rsid w:val="00336305"/>
    <w:rsid w:val="00336400"/>
    <w:rsid w:val="003365E8"/>
    <w:rsid w:val="00336740"/>
    <w:rsid w:val="003368F0"/>
    <w:rsid w:val="00336CD3"/>
    <w:rsid w:val="00336DBC"/>
    <w:rsid w:val="00337872"/>
    <w:rsid w:val="00337B36"/>
    <w:rsid w:val="00337F32"/>
    <w:rsid w:val="00340A90"/>
    <w:rsid w:val="00341241"/>
    <w:rsid w:val="003412CF"/>
    <w:rsid w:val="00341D68"/>
    <w:rsid w:val="00341E52"/>
    <w:rsid w:val="00342200"/>
    <w:rsid w:val="00342380"/>
    <w:rsid w:val="00342778"/>
    <w:rsid w:val="00342807"/>
    <w:rsid w:val="00342C1F"/>
    <w:rsid w:val="00342C72"/>
    <w:rsid w:val="00343694"/>
    <w:rsid w:val="003442C3"/>
    <w:rsid w:val="0034452A"/>
    <w:rsid w:val="00344BFB"/>
    <w:rsid w:val="00344C12"/>
    <w:rsid w:val="003454D8"/>
    <w:rsid w:val="003467F7"/>
    <w:rsid w:val="00346A8A"/>
    <w:rsid w:val="003478EF"/>
    <w:rsid w:val="003479DF"/>
    <w:rsid w:val="003501A0"/>
    <w:rsid w:val="00350323"/>
    <w:rsid w:val="0035055D"/>
    <w:rsid w:val="00350746"/>
    <w:rsid w:val="00351281"/>
    <w:rsid w:val="003519A5"/>
    <w:rsid w:val="003519D5"/>
    <w:rsid w:val="00351E78"/>
    <w:rsid w:val="003527D4"/>
    <w:rsid w:val="00352853"/>
    <w:rsid w:val="00352A35"/>
    <w:rsid w:val="00352A7E"/>
    <w:rsid w:val="00352E3E"/>
    <w:rsid w:val="00352E7F"/>
    <w:rsid w:val="00352FAB"/>
    <w:rsid w:val="00353147"/>
    <w:rsid w:val="003543FD"/>
    <w:rsid w:val="00354E93"/>
    <w:rsid w:val="00355232"/>
    <w:rsid w:val="0035575B"/>
    <w:rsid w:val="0035689C"/>
    <w:rsid w:val="00356CF5"/>
    <w:rsid w:val="00357E94"/>
    <w:rsid w:val="00360030"/>
    <w:rsid w:val="00360322"/>
    <w:rsid w:val="003607B9"/>
    <w:rsid w:val="00360AB5"/>
    <w:rsid w:val="0036148F"/>
    <w:rsid w:val="00361D17"/>
    <w:rsid w:val="00362D67"/>
    <w:rsid w:val="00362F03"/>
    <w:rsid w:val="003631E9"/>
    <w:rsid w:val="00364648"/>
    <w:rsid w:val="00365029"/>
    <w:rsid w:val="0036526C"/>
    <w:rsid w:val="003654E6"/>
    <w:rsid w:val="00365975"/>
    <w:rsid w:val="00366A90"/>
    <w:rsid w:val="00367096"/>
    <w:rsid w:val="003674C8"/>
    <w:rsid w:val="00367926"/>
    <w:rsid w:val="00367D4F"/>
    <w:rsid w:val="00367D7D"/>
    <w:rsid w:val="0037050C"/>
    <w:rsid w:val="0037071F"/>
    <w:rsid w:val="00370F7A"/>
    <w:rsid w:val="0037209A"/>
    <w:rsid w:val="003722FF"/>
    <w:rsid w:val="00372F72"/>
    <w:rsid w:val="00374493"/>
    <w:rsid w:val="003747BD"/>
    <w:rsid w:val="00374993"/>
    <w:rsid w:val="00375883"/>
    <w:rsid w:val="003759C6"/>
    <w:rsid w:val="00375E13"/>
    <w:rsid w:val="0037602A"/>
    <w:rsid w:val="003764D0"/>
    <w:rsid w:val="00376823"/>
    <w:rsid w:val="0037682F"/>
    <w:rsid w:val="00376E64"/>
    <w:rsid w:val="00376E8B"/>
    <w:rsid w:val="00377360"/>
    <w:rsid w:val="003774F8"/>
    <w:rsid w:val="00377692"/>
    <w:rsid w:val="00377D4E"/>
    <w:rsid w:val="003801F0"/>
    <w:rsid w:val="00380DFD"/>
    <w:rsid w:val="0038140F"/>
    <w:rsid w:val="003816BA"/>
    <w:rsid w:val="00381AF2"/>
    <w:rsid w:val="00381CC2"/>
    <w:rsid w:val="003820AD"/>
    <w:rsid w:val="00382D63"/>
    <w:rsid w:val="00383578"/>
    <w:rsid w:val="0038416A"/>
    <w:rsid w:val="00384261"/>
    <w:rsid w:val="0038439F"/>
    <w:rsid w:val="00384630"/>
    <w:rsid w:val="00384AB2"/>
    <w:rsid w:val="00384E01"/>
    <w:rsid w:val="00385B0A"/>
    <w:rsid w:val="00385D79"/>
    <w:rsid w:val="00385F2D"/>
    <w:rsid w:val="00387111"/>
    <w:rsid w:val="003872D1"/>
    <w:rsid w:val="003873B8"/>
    <w:rsid w:val="00387F64"/>
    <w:rsid w:val="00390CE6"/>
    <w:rsid w:val="00391131"/>
    <w:rsid w:val="0039124A"/>
    <w:rsid w:val="003913A6"/>
    <w:rsid w:val="00391503"/>
    <w:rsid w:val="00391563"/>
    <w:rsid w:val="0039223B"/>
    <w:rsid w:val="003922FD"/>
    <w:rsid w:val="00392DBB"/>
    <w:rsid w:val="00393FBB"/>
    <w:rsid w:val="003942CD"/>
    <w:rsid w:val="003942FB"/>
    <w:rsid w:val="00394CDB"/>
    <w:rsid w:val="00394DA3"/>
    <w:rsid w:val="0039566B"/>
    <w:rsid w:val="00395A77"/>
    <w:rsid w:val="00395EEE"/>
    <w:rsid w:val="00396331"/>
    <w:rsid w:val="003965E4"/>
    <w:rsid w:val="003A0347"/>
    <w:rsid w:val="003A0675"/>
    <w:rsid w:val="003A0B29"/>
    <w:rsid w:val="003A0BCA"/>
    <w:rsid w:val="003A0FA4"/>
    <w:rsid w:val="003A1261"/>
    <w:rsid w:val="003A1549"/>
    <w:rsid w:val="003A1EF4"/>
    <w:rsid w:val="003A2A78"/>
    <w:rsid w:val="003A2FC0"/>
    <w:rsid w:val="003A407D"/>
    <w:rsid w:val="003A448C"/>
    <w:rsid w:val="003A4522"/>
    <w:rsid w:val="003A49E7"/>
    <w:rsid w:val="003A4CBA"/>
    <w:rsid w:val="003A59BF"/>
    <w:rsid w:val="003A5A5D"/>
    <w:rsid w:val="003A5B49"/>
    <w:rsid w:val="003A5BC7"/>
    <w:rsid w:val="003A6CC5"/>
    <w:rsid w:val="003A7254"/>
    <w:rsid w:val="003A7390"/>
    <w:rsid w:val="003B020D"/>
    <w:rsid w:val="003B076D"/>
    <w:rsid w:val="003B0C48"/>
    <w:rsid w:val="003B18E7"/>
    <w:rsid w:val="003B3193"/>
    <w:rsid w:val="003B32ED"/>
    <w:rsid w:val="003B382B"/>
    <w:rsid w:val="003B3E87"/>
    <w:rsid w:val="003B4587"/>
    <w:rsid w:val="003B4C11"/>
    <w:rsid w:val="003B4C23"/>
    <w:rsid w:val="003B5309"/>
    <w:rsid w:val="003B5CA8"/>
    <w:rsid w:val="003B5F4E"/>
    <w:rsid w:val="003B65B8"/>
    <w:rsid w:val="003B67E4"/>
    <w:rsid w:val="003B699C"/>
    <w:rsid w:val="003B6A7A"/>
    <w:rsid w:val="003B6F01"/>
    <w:rsid w:val="003B73BB"/>
    <w:rsid w:val="003C091C"/>
    <w:rsid w:val="003C2348"/>
    <w:rsid w:val="003C26DE"/>
    <w:rsid w:val="003C27CC"/>
    <w:rsid w:val="003C27E2"/>
    <w:rsid w:val="003C2840"/>
    <w:rsid w:val="003C32FB"/>
    <w:rsid w:val="003C3B70"/>
    <w:rsid w:val="003C4483"/>
    <w:rsid w:val="003C4CA2"/>
    <w:rsid w:val="003C562A"/>
    <w:rsid w:val="003C56EA"/>
    <w:rsid w:val="003C5EEC"/>
    <w:rsid w:val="003C6830"/>
    <w:rsid w:val="003C690F"/>
    <w:rsid w:val="003C707F"/>
    <w:rsid w:val="003C7415"/>
    <w:rsid w:val="003C7834"/>
    <w:rsid w:val="003D01CF"/>
    <w:rsid w:val="003D01F7"/>
    <w:rsid w:val="003D05DF"/>
    <w:rsid w:val="003D06EC"/>
    <w:rsid w:val="003D143E"/>
    <w:rsid w:val="003D211E"/>
    <w:rsid w:val="003D22F1"/>
    <w:rsid w:val="003D3306"/>
    <w:rsid w:val="003D3F1D"/>
    <w:rsid w:val="003D430C"/>
    <w:rsid w:val="003D477C"/>
    <w:rsid w:val="003D4818"/>
    <w:rsid w:val="003D4AE3"/>
    <w:rsid w:val="003D54CA"/>
    <w:rsid w:val="003D5C0A"/>
    <w:rsid w:val="003D6246"/>
    <w:rsid w:val="003D64E6"/>
    <w:rsid w:val="003D72A2"/>
    <w:rsid w:val="003D75A6"/>
    <w:rsid w:val="003E1052"/>
    <w:rsid w:val="003E112A"/>
    <w:rsid w:val="003E1299"/>
    <w:rsid w:val="003E182F"/>
    <w:rsid w:val="003E1D14"/>
    <w:rsid w:val="003E2F09"/>
    <w:rsid w:val="003E313C"/>
    <w:rsid w:val="003E3C0C"/>
    <w:rsid w:val="003E3D5E"/>
    <w:rsid w:val="003E438A"/>
    <w:rsid w:val="003E458F"/>
    <w:rsid w:val="003E4C25"/>
    <w:rsid w:val="003E6497"/>
    <w:rsid w:val="003E66D1"/>
    <w:rsid w:val="003E718E"/>
    <w:rsid w:val="003E71D2"/>
    <w:rsid w:val="003E7CC4"/>
    <w:rsid w:val="003E7EAB"/>
    <w:rsid w:val="003F011D"/>
    <w:rsid w:val="003F02FA"/>
    <w:rsid w:val="003F0303"/>
    <w:rsid w:val="003F0325"/>
    <w:rsid w:val="003F03C0"/>
    <w:rsid w:val="003F0597"/>
    <w:rsid w:val="003F07B8"/>
    <w:rsid w:val="003F0843"/>
    <w:rsid w:val="003F0B29"/>
    <w:rsid w:val="003F1A42"/>
    <w:rsid w:val="003F1DF6"/>
    <w:rsid w:val="003F22D7"/>
    <w:rsid w:val="003F230F"/>
    <w:rsid w:val="003F2830"/>
    <w:rsid w:val="003F2F60"/>
    <w:rsid w:val="003F3299"/>
    <w:rsid w:val="003F553B"/>
    <w:rsid w:val="003F563C"/>
    <w:rsid w:val="003F6071"/>
    <w:rsid w:val="003F7934"/>
    <w:rsid w:val="00400036"/>
    <w:rsid w:val="004002F0"/>
    <w:rsid w:val="0040035F"/>
    <w:rsid w:val="00400F65"/>
    <w:rsid w:val="00401054"/>
    <w:rsid w:val="00401981"/>
    <w:rsid w:val="00401A73"/>
    <w:rsid w:val="0040223E"/>
    <w:rsid w:val="0040296C"/>
    <w:rsid w:val="00402A54"/>
    <w:rsid w:val="00402BCE"/>
    <w:rsid w:val="00403218"/>
    <w:rsid w:val="00403313"/>
    <w:rsid w:val="00403C16"/>
    <w:rsid w:val="00403C84"/>
    <w:rsid w:val="00403FC2"/>
    <w:rsid w:val="004046E1"/>
    <w:rsid w:val="004050B3"/>
    <w:rsid w:val="00405108"/>
    <w:rsid w:val="0040556C"/>
    <w:rsid w:val="00405CB6"/>
    <w:rsid w:val="00405EAF"/>
    <w:rsid w:val="00406FFA"/>
    <w:rsid w:val="00407023"/>
    <w:rsid w:val="004070F1"/>
    <w:rsid w:val="0040713C"/>
    <w:rsid w:val="00407D61"/>
    <w:rsid w:val="0041045E"/>
    <w:rsid w:val="004112D6"/>
    <w:rsid w:val="00411818"/>
    <w:rsid w:val="00411E65"/>
    <w:rsid w:val="004137C9"/>
    <w:rsid w:val="00413A4A"/>
    <w:rsid w:val="00414C48"/>
    <w:rsid w:val="00414EAD"/>
    <w:rsid w:val="00415D12"/>
    <w:rsid w:val="00416187"/>
    <w:rsid w:val="004161D8"/>
    <w:rsid w:val="00416259"/>
    <w:rsid w:val="00416307"/>
    <w:rsid w:val="00416AA3"/>
    <w:rsid w:val="00416FDC"/>
    <w:rsid w:val="00417089"/>
    <w:rsid w:val="0042021B"/>
    <w:rsid w:val="00420C75"/>
    <w:rsid w:val="004218DD"/>
    <w:rsid w:val="00421E8B"/>
    <w:rsid w:val="00422297"/>
    <w:rsid w:val="00422922"/>
    <w:rsid w:val="004235C5"/>
    <w:rsid w:val="00423817"/>
    <w:rsid w:val="00423D0C"/>
    <w:rsid w:val="00424789"/>
    <w:rsid w:val="00424931"/>
    <w:rsid w:val="00425BD9"/>
    <w:rsid w:val="00426683"/>
    <w:rsid w:val="00426821"/>
    <w:rsid w:val="00427559"/>
    <w:rsid w:val="00430248"/>
    <w:rsid w:val="0043104A"/>
    <w:rsid w:val="00431534"/>
    <w:rsid w:val="004329AD"/>
    <w:rsid w:val="00432A74"/>
    <w:rsid w:val="00432ECD"/>
    <w:rsid w:val="0043306B"/>
    <w:rsid w:val="0043364B"/>
    <w:rsid w:val="00433BBB"/>
    <w:rsid w:val="00434414"/>
    <w:rsid w:val="004348A9"/>
    <w:rsid w:val="00434CA0"/>
    <w:rsid w:val="00435F9B"/>
    <w:rsid w:val="00435FE8"/>
    <w:rsid w:val="00436E35"/>
    <w:rsid w:val="00437192"/>
    <w:rsid w:val="004372FE"/>
    <w:rsid w:val="0043736E"/>
    <w:rsid w:val="0043793B"/>
    <w:rsid w:val="00437F47"/>
    <w:rsid w:val="00441050"/>
    <w:rsid w:val="0044153D"/>
    <w:rsid w:val="00441C2B"/>
    <w:rsid w:val="00441DF2"/>
    <w:rsid w:val="0044212B"/>
    <w:rsid w:val="004427A6"/>
    <w:rsid w:val="00443278"/>
    <w:rsid w:val="00443C78"/>
    <w:rsid w:val="00443F53"/>
    <w:rsid w:val="004448C3"/>
    <w:rsid w:val="00444D81"/>
    <w:rsid w:val="00444F5D"/>
    <w:rsid w:val="00445B36"/>
    <w:rsid w:val="00446309"/>
    <w:rsid w:val="00446635"/>
    <w:rsid w:val="00446DFB"/>
    <w:rsid w:val="00447089"/>
    <w:rsid w:val="00447AB7"/>
    <w:rsid w:val="00447B92"/>
    <w:rsid w:val="00447DE2"/>
    <w:rsid w:val="00447E80"/>
    <w:rsid w:val="00450B53"/>
    <w:rsid w:val="004512A3"/>
    <w:rsid w:val="004519D5"/>
    <w:rsid w:val="0045254C"/>
    <w:rsid w:val="00452616"/>
    <w:rsid w:val="00453322"/>
    <w:rsid w:val="00453DE6"/>
    <w:rsid w:val="00454C42"/>
    <w:rsid w:val="00454DE1"/>
    <w:rsid w:val="00454ED4"/>
    <w:rsid w:val="00454F38"/>
    <w:rsid w:val="00454F40"/>
    <w:rsid w:val="004551EE"/>
    <w:rsid w:val="0045536C"/>
    <w:rsid w:val="004566FC"/>
    <w:rsid w:val="0045686E"/>
    <w:rsid w:val="00456A61"/>
    <w:rsid w:val="00456C2D"/>
    <w:rsid w:val="00456CD4"/>
    <w:rsid w:val="00456E0F"/>
    <w:rsid w:val="00457591"/>
    <w:rsid w:val="004575C9"/>
    <w:rsid w:val="00457946"/>
    <w:rsid w:val="00457DB9"/>
    <w:rsid w:val="0046063C"/>
    <w:rsid w:val="00460FDA"/>
    <w:rsid w:val="00461904"/>
    <w:rsid w:val="00461A8C"/>
    <w:rsid w:val="004634C5"/>
    <w:rsid w:val="00463531"/>
    <w:rsid w:val="00463B35"/>
    <w:rsid w:val="00463B70"/>
    <w:rsid w:val="00464521"/>
    <w:rsid w:val="0046480F"/>
    <w:rsid w:val="00464C9D"/>
    <w:rsid w:val="0046592C"/>
    <w:rsid w:val="0046595A"/>
    <w:rsid w:val="0046679D"/>
    <w:rsid w:val="00466AC6"/>
    <w:rsid w:val="00467003"/>
    <w:rsid w:val="00467005"/>
    <w:rsid w:val="0046701F"/>
    <w:rsid w:val="00467302"/>
    <w:rsid w:val="00470AF0"/>
    <w:rsid w:val="00470C74"/>
    <w:rsid w:val="0047169A"/>
    <w:rsid w:val="00472096"/>
    <w:rsid w:val="00472125"/>
    <w:rsid w:val="0047265D"/>
    <w:rsid w:val="0047338B"/>
    <w:rsid w:val="004738BC"/>
    <w:rsid w:val="00473FA6"/>
    <w:rsid w:val="0047402F"/>
    <w:rsid w:val="0047455C"/>
    <w:rsid w:val="00474598"/>
    <w:rsid w:val="004761B3"/>
    <w:rsid w:val="004764C7"/>
    <w:rsid w:val="00476707"/>
    <w:rsid w:val="0047687C"/>
    <w:rsid w:val="00477401"/>
    <w:rsid w:val="0047751E"/>
    <w:rsid w:val="00477C48"/>
    <w:rsid w:val="00477E54"/>
    <w:rsid w:val="00477F63"/>
    <w:rsid w:val="00480020"/>
    <w:rsid w:val="00480787"/>
    <w:rsid w:val="0048243E"/>
    <w:rsid w:val="0048253E"/>
    <w:rsid w:val="00482A6B"/>
    <w:rsid w:val="0048318F"/>
    <w:rsid w:val="0048369E"/>
    <w:rsid w:val="004836B0"/>
    <w:rsid w:val="004836E8"/>
    <w:rsid w:val="00483723"/>
    <w:rsid w:val="004839E8"/>
    <w:rsid w:val="00483B75"/>
    <w:rsid w:val="00483CF7"/>
    <w:rsid w:val="00483DC5"/>
    <w:rsid w:val="004842B1"/>
    <w:rsid w:val="004856DF"/>
    <w:rsid w:val="00485BB6"/>
    <w:rsid w:val="004865A1"/>
    <w:rsid w:val="00486D19"/>
    <w:rsid w:val="00486E75"/>
    <w:rsid w:val="00487CAC"/>
    <w:rsid w:val="00490046"/>
    <w:rsid w:val="00490742"/>
    <w:rsid w:val="00491B9E"/>
    <w:rsid w:val="00491C7D"/>
    <w:rsid w:val="00491E1E"/>
    <w:rsid w:val="00492643"/>
    <w:rsid w:val="00492716"/>
    <w:rsid w:val="00492969"/>
    <w:rsid w:val="00492990"/>
    <w:rsid w:val="00493099"/>
    <w:rsid w:val="004930A5"/>
    <w:rsid w:val="004941E3"/>
    <w:rsid w:val="004944EA"/>
    <w:rsid w:val="00494A16"/>
    <w:rsid w:val="0049642F"/>
    <w:rsid w:val="00496B02"/>
    <w:rsid w:val="0049704E"/>
    <w:rsid w:val="00497834"/>
    <w:rsid w:val="004978B6"/>
    <w:rsid w:val="00497A5A"/>
    <w:rsid w:val="004A0017"/>
    <w:rsid w:val="004A0058"/>
    <w:rsid w:val="004A04AB"/>
    <w:rsid w:val="004A06BE"/>
    <w:rsid w:val="004A0778"/>
    <w:rsid w:val="004A18A6"/>
    <w:rsid w:val="004A208C"/>
    <w:rsid w:val="004A227B"/>
    <w:rsid w:val="004A235C"/>
    <w:rsid w:val="004A2383"/>
    <w:rsid w:val="004A24D9"/>
    <w:rsid w:val="004A272D"/>
    <w:rsid w:val="004A2D58"/>
    <w:rsid w:val="004A3718"/>
    <w:rsid w:val="004A37A8"/>
    <w:rsid w:val="004A3C6B"/>
    <w:rsid w:val="004A41C8"/>
    <w:rsid w:val="004A47D3"/>
    <w:rsid w:val="004A5006"/>
    <w:rsid w:val="004A526B"/>
    <w:rsid w:val="004A53B0"/>
    <w:rsid w:val="004A56BD"/>
    <w:rsid w:val="004A5726"/>
    <w:rsid w:val="004A5823"/>
    <w:rsid w:val="004A5D87"/>
    <w:rsid w:val="004A650F"/>
    <w:rsid w:val="004A76A7"/>
    <w:rsid w:val="004A7A4C"/>
    <w:rsid w:val="004B01A0"/>
    <w:rsid w:val="004B0ED4"/>
    <w:rsid w:val="004B1806"/>
    <w:rsid w:val="004B1CDA"/>
    <w:rsid w:val="004B241C"/>
    <w:rsid w:val="004B2BD9"/>
    <w:rsid w:val="004B2F46"/>
    <w:rsid w:val="004B3168"/>
    <w:rsid w:val="004B3F2C"/>
    <w:rsid w:val="004B4298"/>
    <w:rsid w:val="004B48ED"/>
    <w:rsid w:val="004B4F9C"/>
    <w:rsid w:val="004B604C"/>
    <w:rsid w:val="004B6055"/>
    <w:rsid w:val="004B68C3"/>
    <w:rsid w:val="004B75D6"/>
    <w:rsid w:val="004C02D5"/>
    <w:rsid w:val="004C16B6"/>
    <w:rsid w:val="004C18B3"/>
    <w:rsid w:val="004C1C61"/>
    <w:rsid w:val="004C1FD4"/>
    <w:rsid w:val="004C29B7"/>
    <w:rsid w:val="004C325A"/>
    <w:rsid w:val="004C33AC"/>
    <w:rsid w:val="004C3D5E"/>
    <w:rsid w:val="004C496E"/>
    <w:rsid w:val="004C4A21"/>
    <w:rsid w:val="004C4E6F"/>
    <w:rsid w:val="004C54E0"/>
    <w:rsid w:val="004C5607"/>
    <w:rsid w:val="004C66FB"/>
    <w:rsid w:val="004C6C25"/>
    <w:rsid w:val="004C6E7D"/>
    <w:rsid w:val="004C7AE9"/>
    <w:rsid w:val="004C7D85"/>
    <w:rsid w:val="004C7F4A"/>
    <w:rsid w:val="004D0142"/>
    <w:rsid w:val="004D02EF"/>
    <w:rsid w:val="004D0753"/>
    <w:rsid w:val="004D274E"/>
    <w:rsid w:val="004D285A"/>
    <w:rsid w:val="004D2AE3"/>
    <w:rsid w:val="004D2C6D"/>
    <w:rsid w:val="004D3257"/>
    <w:rsid w:val="004D37F6"/>
    <w:rsid w:val="004D3916"/>
    <w:rsid w:val="004D4132"/>
    <w:rsid w:val="004D4C23"/>
    <w:rsid w:val="004D4D87"/>
    <w:rsid w:val="004D4E83"/>
    <w:rsid w:val="004D54A0"/>
    <w:rsid w:val="004D56AC"/>
    <w:rsid w:val="004D5DDE"/>
    <w:rsid w:val="004D5FB5"/>
    <w:rsid w:val="004D64EB"/>
    <w:rsid w:val="004D7216"/>
    <w:rsid w:val="004D767C"/>
    <w:rsid w:val="004E10D7"/>
    <w:rsid w:val="004E1582"/>
    <w:rsid w:val="004E173C"/>
    <w:rsid w:val="004E18DA"/>
    <w:rsid w:val="004E1A53"/>
    <w:rsid w:val="004E2003"/>
    <w:rsid w:val="004E2063"/>
    <w:rsid w:val="004E219C"/>
    <w:rsid w:val="004E2214"/>
    <w:rsid w:val="004E25F9"/>
    <w:rsid w:val="004E26D5"/>
    <w:rsid w:val="004E2A9C"/>
    <w:rsid w:val="004E2FCA"/>
    <w:rsid w:val="004E3387"/>
    <w:rsid w:val="004E3443"/>
    <w:rsid w:val="004E3B38"/>
    <w:rsid w:val="004E3E7B"/>
    <w:rsid w:val="004E407D"/>
    <w:rsid w:val="004E430D"/>
    <w:rsid w:val="004E4E27"/>
    <w:rsid w:val="004E4E71"/>
    <w:rsid w:val="004E50FB"/>
    <w:rsid w:val="004E54C9"/>
    <w:rsid w:val="004E56F9"/>
    <w:rsid w:val="004E68AC"/>
    <w:rsid w:val="004E68D1"/>
    <w:rsid w:val="004E6E98"/>
    <w:rsid w:val="004E6F76"/>
    <w:rsid w:val="004E7547"/>
    <w:rsid w:val="004E7636"/>
    <w:rsid w:val="004E7A6C"/>
    <w:rsid w:val="004F0115"/>
    <w:rsid w:val="004F1223"/>
    <w:rsid w:val="004F141E"/>
    <w:rsid w:val="004F2448"/>
    <w:rsid w:val="004F2AA3"/>
    <w:rsid w:val="004F2AD5"/>
    <w:rsid w:val="004F3474"/>
    <w:rsid w:val="004F398D"/>
    <w:rsid w:val="004F3BFF"/>
    <w:rsid w:val="004F410E"/>
    <w:rsid w:val="004F41B6"/>
    <w:rsid w:val="004F4929"/>
    <w:rsid w:val="004F4D9E"/>
    <w:rsid w:val="004F52E9"/>
    <w:rsid w:val="004F5785"/>
    <w:rsid w:val="004F5983"/>
    <w:rsid w:val="004F62D8"/>
    <w:rsid w:val="004F6BB8"/>
    <w:rsid w:val="004F6BE7"/>
    <w:rsid w:val="004F7039"/>
    <w:rsid w:val="004F7580"/>
    <w:rsid w:val="005016A2"/>
    <w:rsid w:val="005018F0"/>
    <w:rsid w:val="0050192C"/>
    <w:rsid w:val="005019F1"/>
    <w:rsid w:val="00502BB4"/>
    <w:rsid w:val="005030AD"/>
    <w:rsid w:val="005051C1"/>
    <w:rsid w:val="00505C41"/>
    <w:rsid w:val="00506848"/>
    <w:rsid w:val="00506C57"/>
    <w:rsid w:val="005074C1"/>
    <w:rsid w:val="00507984"/>
    <w:rsid w:val="005079D6"/>
    <w:rsid w:val="00510FF2"/>
    <w:rsid w:val="005111B1"/>
    <w:rsid w:val="0051166C"/>
    <w:rsid w:val="0051200B"/>
    <w:rsid w:val="00513083"/>
    <w:rsid w:val="005131D5"/>
    <w:rsid w:val="00513579"/>
    <w:rsid w:val="005136F9"/>
    <w:rsid w:val="00514A43"/>
    <w:rsid w:val="00514C6B"/>
    <w:rsid w:val="00514E34"/>
    <w:rsid w:val="0051504B"/>
    <w:rsid w:val="005158C2"/>
    <w:rsid w:val="005158F8"/>
    <w:rsid w:val="0051592B"/>
    <w:rsid w:val="00515A5A"/>
    <w:rsid w:val="00515FCB"/>
    <w:rsid w:val="00516436"/>
    <w:rsid w:val="0051647C"/>
    <w:rsid w:val="00516A9B"/>
    <w:rsid w:val="005175AC"/>
    <w:rsid w:val="00517A7B"/>
    <w:rsid w:val="00517B8C"/>
    <w:rsid w:val="00517F66"/>
    <w:rsid w:val="00520077"/>
    <w:rsid w:val="00520249"/>
    <w:rsid w:val="00520C60"/>
    <w:rsid w:val="00520DBE"/>
    <w:rsid w:val="005215E2"/>
    <w:rsid w:val="00521AE5"/>
    <w:rsid w:val="00522407"/>
    <w:rsid w:val="00522725"/>
    <w:rsid w:val="0052315A"/>
    <w:rsid w:val="005235C3"/>
    <w:rsid w:val="005247EE"/>
    <w:rsid w:val="00524D0C"/>
    <w:rsid w:val="0052599C"/>
    <w:rsid w:val="00525BC6"/>
    <w:rsid w:val="00526A18"/>
    <w:rsid w:val="00526CD0"/>
    <w:rsid w:val="0052753A"/>
    <w:rsid w:val="00527A4A"/>
    <w:rsid w:val="005300FF"/>
    <w:rsid w:val="00530539"/>
    <w:rsid w:val="00530923"/>
    <w:rsid w:val="00530B4E"/>
    <w:rsid w:val="0053189C"/>
    <w:rsid w:val="00531C5E"/>
    <w:rsid w:val="00532424"/>
    <w:rsid w:val="00532CF9"/>
    <w:rsid w:val="005334D1"/>
    <w:rsid w:val="00533605"/>
    <w:rsid w:val="00534281"/>
    <w:rsid w:val="005345E4"/>
    <w:rsid w:val="00534999"/>
    <w:rsid w:val="00534E7A"/>
    <w:rsid w:val="00535162"/>
    <w:rsid w:val="00535245"/>
    <w:rsid w:val="0053563F"/>
    <w:rsid w:val="005362B4"/>
    <w:rsid w:val="005365B0"/>
    <w:rsid w:val="005365DF"/>
    <w:rsid w:val="005367AC"/>
    <w:rsid w:val="00536F26"/>
    <w:rsid w:val="005371B8"/>
    <w:rsid w:val="005375C7"/>
    <w:rsid w:val="0053782E"/>
    <w:rsid w:val="00540044"/>
    <w:rsid w:val="0054029C"/>
    <w:rsid w:val="005403F9"/>
    <w:rsid w:val="00540700"/>
    <w:rsid w:val="0054094B"/>
    <w:rsid w:val="00540E41"/>
    <w:rsid w:val="0054166A"/>
    <w:rsid w:val="005417CB"/>
    <w:rsid w:val="00541D54"/>
    <w:rsid w:val="005421CA"/>
    <w:rsid w:val="00542738"/>
    <w:rsid w:val="00542AB0"/>
    <w:rsid w:val="00542FBF"/>
    <w:rsid w:val="00543856"/>
    <w:rsid w:val="00543F27"/>
    <w:rsid w:val="005440A3"/>
    <w:rsid w:val="00544960"/>
    <w:rsid w:val="00544EFF"/>
    <w:rsid w:val="00545C50"/>
    <w:rsid w:val="00546016"/>
    <w:rsid w:val="00546F61"/>
    <w:rsid w:val="0055001C"/>
    <w:rsid w:val="005504BA"/>
    <w:rsid w:val="00550B5F"/>
    <w:rsid w:val="005518E0"/>
    <w:rsid w:val="00551FEC"/>
    <w:rsid w:val="005525DC"/>
    <w:rsid w:val="005526AB"/>
    <w:rsid w:val="00553A2C"/>
    <w:rsid w:val="00553E92"/>
    <w:rsid w:val="0055413B"/>
    <w:rsid w:val="00555852"/>
    <w:rsid w:val="005564F7"/>
    <w:rsid w:val="00556ABD"/>
    <w:rsid w:val="00556D7F"/>
    <w:rsid w:val="00556FEA"/>
    <w:rsid w:val="005575F7"/>
    <w:rsid w:val="005579DB"/>
    <w:rsid w:val="00557B21"/>
    <w:rsid w:val="00560546"/>
    <w:rsid w:val="0056058C"/>
    <w:rsid w:val="0056134C"/>
    <w:rsid w:val="0056149F"/>
    <w:rsid w:val="00561A4C"/>
    <w:rsid w:val="00561D30"/>
    <w:rsid w:val="00562318"/>
    <w:rsid w:val="00562DEA"/>
    <w:rsid w:val="00564114"/>
    <w:rsid w:val="0056472C"/>
    <w:rsid w:val="00565004"/>
    <w:rsid w:val="005650DC"/>
    <w:rsid w:val="005658CE"/>
    <w:rsid w:val="00565E4B"/>
    <w:rsid w:val="0056601F"/>
    <w:rsid w:val="00566C51"/>
    <w:rsid w:val="00566D6C"/>
    <w:rsid w:val="00567526"/>
    <w:rsid w:val="00570B20"/>
    <w:rsid w:val="00570BB6"/>
    <w:rsid w:val="00570BE4"/>
    <w:rsid w:val="00570E44"/>
    <w:rsid w:val="00571CAE"/>
    <w:rsid w:val="00572443"/>
    <w:rsid w:val="00572984"/>
    <w:rsid w:val="00573242"/>
    <w:rsid w:val="00573425"/>
    <w:rsid w:val="00573A50"/>
    <w:rsid w:val="00573A80"/>
    <w:rsid w:val="00573B36"/>
    <w:rsid w:val="00574537"/>
    <w:rsid w:val="00574AEA"/>
    <w:rsid w:val="00574F43"/>
    <w:rsid w:val="005751C6"/>
    <w:rsid w:val="00575307"/>
    <w:rsid w:val="0057583F"/>
    <w:rsid w:val="0057599E"/>
    <w:rsid w:val="00575CD5"/>
    <w:rsid w:val="005765A0"/>
    <w:rsid w:val="00577930"/>
    <w:rsid w:val="00577E35"/>
    <w:rsid w:val="00580050"/>
    <w:rsid w:val="00580129"/>
    <w:rsid w:val="005802E0"/>
    <w:rsid w:val="005809CC"/>
    <w:rsid w:val="005809DE"/>
    <w:rsid w:val="00580C71"/>
    <w:rsid w:val="005810DA"/>
    <w:rsid w:val="00581B11"/>
    <w:rsid w:val="0058257D"/>
    <w:rsid w:val="00582AB4"/>
    <w:rsid w:val="00582AD6"/>
    <w:rsid w:val="00582D4F"/>
    <w:rsid w:val="00583544"/>
    <w:rsid w:val="005837E7"/>
    <w:rsid w:val="0058384E"/>
    <w:rsid w:val="00583B9D"/>
    <w:rsid w:val="00584031"/>
    <w:rsid w:val="00584577"/>
    <w:rsid w:val="005845E9"/>
    <w:rsid w:val="00584CCE"/>
    <w:rsid w:val="00584EAB"/>
    <w:rsid w:val="00586062"/>
    <w:rsid w:val="0058645F"/>
    <w:rsid w:val="005864C6"/>
    <w:rsid w:val="00586E3D"/>
    <w:rsid w:val="00587039"/>
    <w:rsid w:val="0058733A"/>
    <w:rsid w:val="005873F7"/>
    <w:rsid w:val="005879A5"/>
    <w:rsid w:val="00587A85"/>
    <w:rsid w:val="00587ECA"/>
    <w:rsid w:val="0059021A"/>
    <w:rsid w:val="00590351"/>
    <w:rsid w:val="005906CA"/>
    <w:rsid w:val="0059070D"/>
    <w:rsid w:val="00590BC3"/>
    <w:rsid w:val="00590DB7"/>
    <w:rsid w:val="00591657"/>
    <w:rsid w:val="00591CA0"/>
    <w:rsid w:val="00592900"/>
    <w:rsid w:val="00592A1F"/>
    <w:rsid w:val="00593844"/>
    <w:rsid w:val="00593BC4"/>
    <w:rsid w:val="00593D65"/>
    <w:rsid w:val="00593DF3"/>
    <w:rsid w:val="00594296"/>
    <w:rsid w:val="005943D2"/>
    <w:rsid w:val="00594BA9"/>
    <w:rsid w:val="0059591E"/>
    <w:rsid w:val="00595C12"/>
    <w:rsid w:val="00595E61"/>
    <w:rsid w:val="005968BF"/>
    <w:rsid w:val="005970EF"/>
    <w:rsid w:val="00597AD7"/>
    <w:rsid w:val="00597EA8"/>
    <w:rsid w:val="00597F67"/>
    <w:rsid w:val="005A0B29"/>
    <w:rsid w:val="005A2279"/>
    <w:rsid w:val="005A24AC"/>
    <w:rsid w:val="005A320C"/>
    <w:rsid w:val="005A32DA"/>
    <w:rsid w:val="005A3B43"/>
    <w:rsid w:val="005A5E23"/>
    <w:rsid w:val="005A6394"/>
    <w:rsid w:val="005A6465"/>
    <w:rsid w:val="005A6DCF"/>
    <w:rsid w:val="005A6F80"/>
    <w:rsid w:val="005A78CF"/>
    <w:rsid w:val="005A79D1"/>
    <w:rsid w:val="005B0111"/>
    <w:rsid w:val="005B0F7C"/>
    <w:rsid w:val="005B14AB"/>
    <w:rsid w:val="005B1AC4"/>
    <w:rsid w:val="005B26B8"/>
    <w:rsid w:val="005B2CF9"/>
    <w:rsid w:val="005B4196"/>
    <w:rsid w:val="005B429F"/>
    <w:rsid w:val="005B43BB"/>
    <w:rsid w:val="005B4478"/>
    <w:rsid w:val="005B464F"/>
    <w:rsid w:val="005B4C84"/>
    <w:rsid w:val="005B5621"/>
    <w:rsid w:val="005B57BC"/>
    <w:rsid w:val="005B5FBE"/>
    <w:rsid w:val="005B6118"/>
    <w:rsid w:val="005B7ACF"/>
    <w:rsid w:val="005B7D5B"/>
    <w:rsid w:val="005B7F1F"/>
    <w:rsid w:val="005C0454"/>
    <w:rsid w:val="005C08A7"/>
    <w:rsid w:val="005C0A02"/>
    <w:rsid w:val="005C0C20"/>
    <w:rsid w:val="005C1860"/>
    <w:rsid w:val="005C1EB7"/>
    <w:rsid w:val="005C2265"/>
    <w:rsid w:val="005C281A"/>
    <w:rsid w:val="005C2E0D"/>
    <w:rsid w:val="005C3102"/>
    <w:rsid w:val="005C3132"/>
    <w:rsid w:val="005C33F4"/>
    <w:rsid w:val="005C3698"/>
    <w:rsid w:val="005C3F70"/>
    <w:rsid w:val="005C4808"/>
    <w:rsid w:val="005C4AEA"/>
    <w:rsid w:val="005C4BF6"/>
    <w:rsid w:val="005C4EAC"/>
    <w:rsid w:val="005C61ED"/>
    <w:rsid w:val="005C6531"/>
    <w:rsid w:val="005C6614"/>
    <w:rsid w:val="005C736C"/>
    <w:rsid w:val="005D048D"/>
    <w:rsid w:val="005D0E12"/>
    <w:rsid w:val="005D11D6"/>
    <w:rsid w:val="005D13B7"/>
    <w:rsid w:val="005D189E"/>
    <w:rsid w:val="005D1D8A"/>
    <w:rsid w:val="005D3032"/>
    <w:rsid w:val="005D399E"/>
    <w:rsid w:val="005D3FC1"/>
    <w:rsid w:val="005D41A5"/>
    <w:rsid w:val="005D4476"/>
    <w:rsid w:val="005D53A3"/>
    <w:rsid w:val="005D5986"/>
    <w:rsid w:val="005D5A52"/>
    <w:rsid w:val="005D5A5A"/>
    <w:rsid w:val="005D6468"/>
    <w:rsid w:val="005D677F"/>
    <w:rsid w:val="005D7C19"/>
    <w:rsid w:val="005E0239"/>
    <w:rsid w:val="005E0C68"/>
    <w:rsid w:val="005E1070"/>
    <w:rsid w:val="005E1A74"/>
    <w:rsid w:val="005E218B"/>
    <w:rsid w:val="005E2257"/>
    <w:rsid w:val="005E257E"/>
    <w:rsid w:val="005E2649"/>
    <w:rsid w:val="005E28C5"/>
    <w:rsid w:val="005E2E69"/>
    <w:rsid w:val="005E32EB"/>
    <w:rsid w:val="005E3510"/>
    <w:rsid w:val="005E3A39"/>
    <w:rsid w:val="005E3BB1"/>
    <w:rsid w:val="005E3C34"/>
    <w:rsid w:val="005E3FDB"/>
    <w:rsid w:val="005E43AE"/>
    <w:rsid w:val="005E43D7"/>
    <w:rsid w:val="005E45DB"/>
    <w:rsid w:val="005E4786"/>
    <w:rsid w:val="005E4991"/>
    <w:rsid w:val="005E4FF2"/>
    <w:rsid w:val="005E53E9"/>
    <w:rsid w:val="005E5E9D"/>
    <w:rsid w:val="005E6326"/>
    <w:rsid w:val="005E6D9F"/>
    <w:rsid w:val="005E6E73"/>
    <w:rsid w:val="005E72C1"/>
    <w:rsid w:val="005E7738"/>
    <w:rsid w:val="005E7B10"/>
    <w:rsid w:val="005E7D8D"/>
    <w:rsid w:val="005E7EFA"/>
    <w:rsid w:val="005F0608"/>
    <w:rsid w:val="005F0D1C"/>
    <w:rsid w:val="005F115A"/>
    <w:rsid w:val="005F1609"/>
    <w:rsid w:val="005F1748"/>
    <w:rsid w:val="005F1A6F"/>
    <w:rsid w:val="005F1FD9"/>
    <w:rsid w:val="005F2273"/>
    <w:rsid w:val="005F2A03"/>
    <w:rsid w:val="005F2F5A"/>
    <w:rsid w:val="005F38BF"/>
    <w:rsid w:val="005F3937"/>
    <w:rsid w:val="005F3CEE"/>
    <w:rsid w:val="005F4566"/>
    <w:rsid w:val="005F49B8"/>
    <w:rsid w:val="005F4CDE"/>
    <w:rsid w:val="005F56B9"/>
    <w:rsid w:val="005F5D18"/>
    <w:rsid w:val="005F6EE1"/>
    <w:rsid w:val="005F7508"/>
    <w:rsid w:val="005F7794"/>
    <w:rsid w:val="0060012B"/>
    <w:rsid w:val="00600BDC"/>
    <w:rsid w:val="00601480"/>
    <w:rsid w:val="00601D5D"/>
    <w:rsid w:val="00601FA5"/>
    <w:rsid w:val="00602145"/>
    <w:rsid w:val="0060223A"/>
    <w:rsid w:val="0060243D"/>
    <w:rsid w:val="006029AF"/>
    <w:rsid w:val="00602A17"/>
    <w:rsid w:val="00602C75"/>
    <w:rsid w:val="00603014"/>
    <w:rsid w:val="00603036"/>
    <w:rsid w:val="006037A7"/>
    <w:rsid w:val="00603CD4"/>
    <w:rsid w:val="006049B1"/>
    <w:rsid w:val="00604CC4"/>
    <w:rsid w:val="00604FB1"/>
    <w:rsid w:val="00605073"/>
    <w:rsid w:val="00605116"/>
    <w:rsid w:val="0060516C"/>
    <w:rsid w:val="00605C06"/>
    <w:rsid w:val="00605FA8"/>
    <w:rsid w:val="00606E9C"/>
    <w:rsid w:val="00606F95"/>
    <w:rsid w:val="0060724E"/>
    <w:rsid w:val="00607796"/>
    <w:rsid w:val="00607C12"/>
    <w:rsid w:val="0061025D"/>
    <w:rsid w:val="00610F98"/>
    <w:rsid w:val="006113C2"/>
    <w:rsid w:val="006118D3"/>
    <w:rsid w:val="006122F9"/>
    <w:rsid w:val="00612A96"/>
    <w:rsid w:val="00612EE5"/>
    <w:rsid w:val="00613C05"/>
    <w:rsid w:val="00614118"/>
    <w:rsid w:val="006151CE"/>
    <w:rsid w:val="00615806"/>
    <w:rsid w:val="00616047"/>
    <w:rsid w:val="006163FA"/>
    <w:rsid w:val="006167AA"/>
    <w:rsid w:val="0061777E"/>
    <w:rsid w:val="0062024B"/>
    <w:rsid w:val="006204EE"/>
    <w:rsid w:val="00620574"/>
    <w:rsid w:val="006206B1"/>
    <w:rsid w:val="0062094E"/>
    <w:rsid w:val="00620FFD"/>
    <w:rsid w:val="00621281"/>
    <w:rsid w:val="006219D0"/>
    <w:rsid w:val="00621B80"/>
    <w:rsid w:val="00621E93"/>
    <w:rsid w:val="00622247"/>
    <w:rsid w:val="006232E5"/>
    <w:rsid w:val="00624199"/>
    <w:rsid w:val="00624358"/>
    <w:rsid w:val="006245C5"/>
    <w:rsid w:val="006247B6"/>
    <w:rsid w:val="00624E27"/>
    <w:rsid w:val="0062518B"/>
    <w:rsid w:val="006253D6"/>
    <w:rsid w:val="00625625"/>
    <w:rsid w:val="00625D90"/>
    <w:rsid w:val="0062611F"/>
    <w:rsid w:val="0062716F"/>
    <w:rsid w:val="006275F9"/>
    <w:rsid w:val="00627CD7"/>
    <w:rsid w:val="00627F00"/>
    <w:rsid w:val="0063058A"/>
    <w:rsid w:val="00630F4E"/>
    <w:rsid w:val="00630F5D"/>
    <w:rsid w:val="006319F5"/>
    <w:rsid w:val="00631A04"/>
    <w:rsid w:val="006322BB"/>
    <w:rsid w:val="00633267"/>
    <w:rsid w:val="006334DD"/>
    <w:rsid w:val="00634404"/>
    <w:rsid w:val="006344EE"/>
    <w:rsid w:val="0063468B"/>
    <w:rsid w:val="0063499C"/>
    <w:rsid w:val="00634CA1"/>
    <w:rsid w:val="00635162"/>
    <w:rsid w:val="006352EF"/>
    <w:rsid w:val="00635522"/>
    <w:rsid w:val="006357B1"/>
    <w:rsid w:val="006375C0"/>
    <w:rsid w:val="00637D7A"/>
    <w:rsid w:val="006403FE"/>
    <w:rsid w:val="006406CF"/>
    <w:rsid w:val="006413AD"/>
    <w:rsid w:val="00641695"/>
    <w:rsid w:val="00642453"/>
    <w:rsid w:val="00642533"/>
    <w:rsid w:val="00642982"/>
    <w:rsid w:val="00642D47"/>
    <w:rsid w:val="00642F41"/>
    <w:rsid w:val="006435AC"/>
    <w:rsid w:val="00643918"/>
    <w:rsid w:val="00643D04"/>
    <w:rsid w:val="00643DE7"/>
    <w:rsid w:val="00643E33"/>
    <w:rsid w:val="00644050"/>
    <w:rsid w:val="006440ED"/>
    <w:rsid w:val="006447DA"/>
    <w:rsid w:val="0064539C"/>
    <w:rsid w:val="006458D7"/>
    <w:rsid w:val="006467EF"/>
    <w:rsid w:val="00646A0F"/>
    <w:rsid w:val="00646C69"/>
    <w:rsid w:val="0064746E"/>
    <w:rsid w:val="0064796D"/>
    <w:rsid w:val="0065009F"/>
    <w:rsid w:val="006500E0"/>
    <w:rsid w:val="0065035D"/>
    <w:rsid w:val="00651193"/>
    <w:rsid w:val="00651414"/>
    <w:rsid w:val="00651713"/>
    <w:rsid w:val="006519E9"/>
    <w:rsid w:val="006525D6"/>
    <w:rsid w:val="006528D0"/>
    <w:rsid w:val="00652D6C"/>
    <w:rsid w:val="0065309E"/>
    <w:rsid w:val="0065358F"/>
    <w:rsid w:val="00654029"/>
    <w:rsid w:val="006541C0"/>
    <w:rsid w:val="006542BC"/>
    <w:rsid w:val="0065487F"/>
    <w:rsid w:val="00654C31"/>
    <w:rsid w:val="0065592E"/>
    <w:rsid w:val="00655A7F"/>
    <w:rsid w:val="00655B85"/>
    <w:rsid w:val="006560C9"/>
    <w:rsid w:val="0065635A"/>
    <w:rsid w:val="00656977"/>
    <w:rsid w:val="00656EB5"/>
    <w:rsid w:val="006572FF"/>
    <w:rsid w:val="00657C68"/>
    <w:rsid w:val="00660265"/>
    <w:rsid w:val="0066066A"/>
    <w:rsid w:val="006608CC"/>
    <w:rsid w:val="00660C9B"/>
    <w:rsid w:val="00661014"/>
    <w:rsid w:val="0066128E"/>
    <w:rsid w:val="00661531"/>
    <w:rsid w:val="00661892"/>
    <w:rsid w:val="006618AE"/>
    <w:rsid w:val="00662BD5"/>
    <w:rsid w:val="00662DAD"/>
    <w:rsid w:val="0066311B"/>
    <w:rsid w:val="00663769"/>
    <w:rsid w:val="00663BA7"/>
    <w:rsid w:val="00664539"/>
    <w:rsid w:val="00664D66"/>
    <w:rsid w:val="006652B3"/>
    <w:rsid w:val="00665346"/>
    <w:rsid w:val="0066563F"/>
    <w:rsid w:val="00665BAA"/>
    <w:rsid w:val="00665CCD"/>
    <w:rsid w:val="0066600A"/>
    <w:rsid w:val="006665FE"/>
    <w:rsid w:val="00666EAC"/>
    <w:rsid w:val="00667646"/>
    <w:rsid w:val="0067037D"/>
    <w:rsid w:val="00670DBB"/>
    <w:rsid w:val="00671555"/>
    <w:rsid w:val="00671A79"/>
    <w:rsid w:val="00671DC9"/>
    <w:rsid w:val="00671E85"/>
    <w:rsid w:val="006724DF"/>
    <w:rsid w:val="00672667"/>
    <w:rsid w:val="006747C9"/>
    <w:rsid w:val="00674849"/>
    <w:rsid w:val="0067516E"/>
    <w:rsid w:val="00675532"/>
    <w:rsid w:val="00675C2D"/>
    <w:rsid w:val="006768F7"/>
    <w:rsid w:val="00676B75"/>
    <w:rsid w:val="006779D3"/>
    <w:rsid w:val="00677D20"/>
    <w:rsid w:val="006802B6"/>
    <w:rsid w:val="00681C04"/>
    <w:rsid w:val="00681C5C"/>
    <w:rsid w:val="006835DF"/>
    <w:rsid w:val="00683EEB"/>
    <w:rsid w:val="0068403C"/>
    <w:rsid w:val="006849DA"/>
    <w:rsid w:val="0068566F"/>
    <w:rsid w:val="006859F7"/>
    <w:rsid w:val="00685C21"/>
    <w:rsid w:val="00685EBB"/>
    <w:rsid w:val="00687676"/>
    <w:rsid w:val="006900E6"/>
    <w:rsid w:val="0069056D"/>
    <w:rsid w:val="00690E02"/>
    <w:rsid w:val="00690FFC"/>
    <w:rsid w:val="0069137B"/>
    <w:rsid w:val="00691456"/>
    <w:rsid w:val="00691AA6"/>
    <w:rsid w:val="006921F8"/>
    <w:rsid w:val="00692328"/>
    <w:rsid w:val="00692347"/>
    <w:rsid w:val="0069246C"/>
    <w:rsid w:val="0069250D"/>
    <w:rsid w:val="0069278D"/>
    <w:rsid w:val="006928A6"/>
    <w:rsid w:val="00692C59"/>
    <w:rsid w:val="006930CA"/>
    <w:rsid w:val="0069386C"/>
    <w:rsid w:val="00693D6D"/>
    <w:rsid w:val="00694242"/>
    <w:rsid w:val="006945DC"/>
    <w:rsid w:val="00694ED2"/>
    <w:rsid w:val="006951FE"/>
    <w:rsid w:val="006953E4"/>
    <w:rsid w:val="00695524"/>
    <w:rsid w:val="0069555C"/>
    <w:rsid w:val="0069584B"/>
    <w:rsid w:val="00695B99"/>
    <w:rsid w:val="00695B9C"/>
    <w:rsid w:val="00695E52"/>
    <w:rsid w:val="00696380"/>
    <w:rsid w:val="006966E9"/>
    <w:rsid w:val="00697065"/>
    <w:rsid w:val="0069706D"/>
    <w:rsid w:val="006970FB"/>
    <w:rsid w:val="00697103"/>
    <w:rsid w:val="0069721E"/>
    <w:rsid w:val="0069772F"/>
    <w:rsid w:val="006A0009"/>
    <w:rsid w:val="006A0C56"/>
    <w:rsid w:val="006A0E8E"/>
    <w:rsid w:val="006A1398"/>
    <w:rsid w:val="006A171B"/>
    <w:rsid w:val="006A2395"/>
    <w:rsid w:val="006A2680"/>
    <w:rsid w:val="006A276B"/>
    <w:rsid w:val="006A3366"/>
    <w:rsid w:val="006A3453"/>
    <w:rsid w:val="006A36E3"/>
    <w:rsid w:val="006A46B7"/>
    <w:rsid w:val="006A4CB4"/>
    <w:rsid w:val="006A4F77"/>
    <w:rsid w:val="006A506E"/>
    <w:rsid w:val="006A56BE"/>
    <w:rsid w:val="006A57EB"/>
    <w:rsid w:val="006A5CDC"/>
    <w:rsid w:val="006A6411"/>
    <w:rsid w:val="006A66A7"/>
    <w:rsid w:val="006A792B"/>
    <w:rsid w:val="006A79F0"/>
    <w:rsid w:val="006A79F2"/>
    <w:rsid w:val="006B0083"/>
    <w:rsid w:val="006B0847"/>
    <w:rsid w:val="006B0883"/>
    <w:rsid w:val="006B1A10"/>
    <w:rsid w:val="006B20FD"/>
    <w:rsid w:val="006B2B5A"/>
    <w:rsid w:val="006B4418"/>
    <w:rsid w:val="006B4843"/>
    <w:rsid w:val="006B4EF9"/>
    <w:rsid w:val="006B50BC"/>
    <w:rsid w:val="006B50F0"/>
    <w:rsid w:val="006B5F10"/>
    <w:rsid w:val="006B66DF"/>
    <w:rsid w:val="006B6CFF"/>
    <w:rsid w:val="006B6E3B"/>
    <w:rsid w:val="006B71E3"/>
    <w:rsid w:val="006B7930"/>
    <w:rsid w:val="006B7A1E"/>
    <w:rsid w:val="006B7E11"/>
    <w:rsid w:val="006C0C7C"/>
    <w:rsid w:val="006C1768"/>
    <w:rsid w:val="006C2D07"/>
    <w:rsid w:val="006C303D"/>
    <w:rsid w:val="006C3383"/>
    <w:rsid w:val="006C3448"/>
    <w:rsid w:val="006C3F42"/>
    <w:rsid w:val="006C4285"/>
    <w:rsid w:val="006C43B4"/>
    <w:rsid w:val="006C476E"/>
    <w:rsid w:val="006C4F5F"/>
    <w:rsid w:val="006C6966"/>
    <w:rsid w:val="006C6ADD"/>
    <w:rsid w:val="006C7762"/>
    <w:rsid w:val="006C7E9C"/>
    <w:rsid w:val="006C7EE3"/>
    <w:rsid w:val="006D000B"/>
    <w:rsid w:val="006D02F1"/>
    <w:rsid w:val="006D0407"/>
    <w:rsid w:val="006D046B"/>
    <w:rsid w:val="006D059F"/>
    <w:rsid w:val="006D0864"/>
    <w:rsid w:val="006D0950"/>
    <w:rsid w:val="006D10B2"/>
    <w:rsid w:val="006D13D8"/>
    <w:rsid w:val="006D1532"/>
    <w:rsid w:val="006D1DF3"/>
    <w:rsid w:val="006D28CD"/>
    <w:rsid w:val="006D2C66"/>
    <w:rsid w:val="006D39A8"/>
    <w:rsid w:val="006D39CD"/>
    <w:rsid w:val="006D3BC5"/>
    <w:rsid w:val="006D3F2C"/>
    <w:rsid w:val="006D4029"/>
    <w:rsid w:val="006D45BE"/>
    <w:rsid w:val="006D53D6"/>
    <w:rsid w:val="006D6306"/>
    <w:rsid w:val="006D63B4"/>
    <w:rsid w:val="006D70B6"/>
    <w:rsid w:val="006D73C6"/>
    <w:rsid w:val="006D741E"/>
    <w:rsid w:val="006D747C"/>
    <w:rsid w:val="006D7A73"/>
    <w:rsid w:val="006E0391"/>
    <w:rsid w:val="006E0E9A"/>
    <w:rsid w:val="006E0EDA"/>
    <w:rsid w:val="006E14EF"/>
    <w:rsid w:val="006E16C5"/>
    <w:rsid w:val="006E19C1"/>
    <w:rsid w:val="006E2312"/>
    <w:rsid w:val="006E25B6"/>
    <w:rsid w:val="006E2768"/>
    <w:rsid w:val="006E28B7"/>
    <w:rsid w:val="006E3313"/>
    <w:rsid w:val="006E3336"/>
    <w:rsid w:val="006E369C"/>
    <w:rsid w:val="006E3A3E"/>
    <w:rsid w:val="006E4B20"/>
    <w:rsid w:val="006E527F"/>
    <w:rsid w:val="006E5466"/>
    <w:rsid w:val="006E65CE"/>
    <w:rsid w:val="006E6E85"/>
    <w:rsid w:val="006F00B0"/>
    <w:rsid w:val="006F0305"/>
    <w:rsid w:val="006F04FE"/>
    <w:rsid w:val="006F05F4"/>
    <w:rsid w:val="006F07CF"/>
    <w:rsid w:val="006F0B9D"/>
    <w:rsid w:val="006F0C99"/>
    <w:rsid w:val="006F181E"/>
    <w:rsid w:val="006F20A6"/>
    <w:rsid w:val="006F22B2"/>
    <w:rsid w:val="006F23C3"/>
    <w:rsid w:val="006F2421"/>
    <w:rsid w:val="006F2582"/>
    <w:rsid w:val="006F3083"/>
    <w:rsid w:val="006F35C8"/>
    <w:rsid w:val="006F4F58"/>
    <w:rsid w:val="006F4F9B"/>
    <w:rsid w:val="006F578B"/>
    <w:rsid w:val="006F5877"/>
    <w:rsid w:val="006F5D86"/>
    <w:rsid w:val="006F662F"/>
    <w:rsid w:val="006F6910"/>
    <w:rsid w:val="006F6C3A"/>
    <w:rsid w:val="006F77D4"/>
    <w:rsid w:val="0070052D"/>
    <w:rsid w:val="0070058D"/>
    <w:rsid w:val="0070070A"/>
    <w:rsid w:val="00700EAB"/>
    <w:rsid w:val="00700EB4"/>
    <w:rsid w:val="007010AF"/>
    <w:rsid w:val="00701451"/>
    <w:rsid w:val="00701893"/>
    <w:rsid w:val="0070212E"/>
    <w:rsid w:val="007021F7"/>
    <w:rsid w:val="007026CC"/>
    <w:rsid w:val="007028B7"/>
    <w:rsid w:val="00702A33"/>
    <w:rsid w:val="00702BB2"/>
    <w:rsid w:val="00702CEF"/>
    <w:rsid w:val="00703298"/>
    <w:rsid w:val="007037B0"/>
    <w:rsid w:val="007039C0"/>
    <w:rsid w:val="00704B5A"/>
    <w:rsid w:val="00704C89"/>
    <w:rsid w:val="00704EE7"/>
    <w:rsid w:val="007053FF"/>
    <w:rsid w:val="00705FD2"/>
    <w:rsid w:val="00706D2D"/>
    <w:rsid w:val="00706ECB"/>
    <w:rsid w:val="00707272"/>
    <w:rsid w:val="00707810"/>
    <w:rsid w:val="00707DF4"/>
    <w:rsid w:val="00707F0F"/>
    <w:rsid w:val="00710B30"/>
    <w:rsid w:val="007111D7"/>
    <w:rsid w:val="00711224"/>
    <w:rsid w:val="007116A8"/>
    <w:rsid w:val="00711984"/>
    <w:rsid w:val="00711B73"/>
    <w:rsid w:val="00711D01"/>
    <w:rsid w:val="00711E63"/>
    <w:rsid w:val="00711FE8"/>
    <w:rsid w:val="00712E07"/>
    <w:rsid w:val="00712E36"/>
    <w:rsid w:val="00713131"/>
    <w:rsid w:val="00713185"/>
    <w:rsid w:val="0071362D"/>
    <w:rsid w:val="007136E4"/>
    <w:rsid w:val="007143D3"/>
    <w:rsid w:val="00714545"/>
    <w:rsid w:val="007151A9"/>
    <w:rsid w:val="00715B85"/>
    <w:rsid w:val="00716A8D"/>
    <w:rsid w:val="0071709D"/>
    <w:rsid w:val="00717773"/>
    <w:rsid w:val="00717D3C"/>
    <w:rsid w:val="007210BD"/>
    <w:rsid w:val="00721F8A"/>
    <w:rsid w:val="0072241F"/>
    <w:rsid w:val="00722B2B"/>
    <w:rsid w:val="00722ECB"/>
    <w:rsid w:val="007230F2"/>
    <w:rsid w:val="007239D0"/>
    <w:rsid w:val="00724C7F"/>
    <w:rsid w:val="00724F86"/>
    <w:rsid w:val="00725351"/>
    <w:rsid w:val="007266ED"/>
    <w:rsid w:val="00727AC4"/>
    <w:rsid w:val="0073005E"/>
    <w:rsid w:val="007327C1"/>
    <w:rsid w:val="0073288D"/>
    <w:rsid w:val="00732F2D"/>
    <w:rsid w:val="00733102"/>
    <w:rsid w:val="007332AF"/>
    <w:rsid w:val="00733A5F"/>
    <w:rsid w:val="00733BA2"/>
    <w:rsid w:val="0073404D"/>
    <w:rsid w:val="0073475B"/>
    <w:rsid w:val="00734EC7"/>
    <w:rsid w:val="00734F95"/>
    <w:rsid w:val="00735DF9"/>
    <w:rsid w:val="00736AEB"/>
    <w:rsid w:val="007375E1"/>
    <w:rsid w:val="0073785D"/>
    <w:rsid w:val="007405E8"/>
    <w:rsid w:val="00740A32"/>
    <w:rsid w:val="007411DD"/>
    <w:rsid w:val="007412D7"/>
    <w:rsid w:val="007417C8"/>
    <w:rsid w:val="00742305"/>
    <w:rsid w:val="007425CA"/>
    <w:rsid w:val="00742A9E"/>
    <w:rsid w:val="007432EF"/>
    <w:rsid w:val="007439A0"/>
    <w:rsid w:val="00743D8A"/>
    <w:rsid w:val="0074423D"/>
    <w:rsid w:val="00744E30"/>
    <w:rsid w:val="00744EA8"/>
    <w:rsid w:val="0074518E"/>
    <w:rsid w:val="00745353"/>
    <w:rsid w:val="00745436"/>
    <w:rsid w:val="007454FD"/>
    <w:rsid w:val="0074664E"/>
    <w:rsid w:val="0074676B"/>
    <w:rsid w:val="00747034"/>
    <w:rsid w:val="00747BFA"/>
    <w:rsid w:val="007503E7"/>
    <w:rsid w:val="007505E1"/>
    <w:rsid w:val="00750879"/>
    <w:rsid w:val="00751046"/>
    <w:rsid w:val="00751269"/>
    <w:rsid w:val="00751F72"/>
    <w:rsid w:val="00751FE7"/>
    <w:rsid w:val="0075311A"/>
    <w:rsid w:val="00753916"/>
    <w:rsid w:val="00753B9A"/>
    <w:rsid w:val="00753DD6"/>
    <w:rsid w:val="00756528"/>
    <w:rsid w:val="0075778F"/>
    <w:rsid w:val="00757B08"/>
    <w:rsid w:val="00760165"/>
    <w:rsid w:val="007608EB"/>
    <w:rsid w:val="00760A61"/>
    <w:rsid w:val="00760BCE"/>
    <w:rsid w:val="00760DBC"/>
    <w:rsid w:val="00761050"/>
    <w:rsid w:val="00761CCD"/>
    <w:rsid w:val="00761F8B"/>
    <w:rsid w:val="007621CD"/>
    <w:rsid w:val="00762466"/>
    <w:rsid w:val="007627B2"/>
    <w:rsid w:val="00762A55"/>
    <w:rsid w:val="00762CC8"/>
    <w:rsid w:val="0076332E"/>
    <w:rsid w:val="007642DA"/>
    <w:rsid w:val="00764AC2"/>
    <w:rsid w:val="00764B4E"/>
    <w:rsid w:val="00765429"/>
    <w:rsid w:val="007658B5"/>
    <w:rsid w:val="00766753"/>
    <w:rsid w:val="00767073"/>
    <w:rsid w:val="00770027"/>
    <w:rsid w:val="00770AD9"/>
    <w:rsid w:val="0077114A"/>
    <w:rsid w:val="00771284"/>
    <w:rsid w:val="00771735"/>
    <w:rsid w:val="00771BB0"/>
    <w:rsid w:val="0077204F"/>
    <w:rsid w:val="00772528"/>
    <w:rsid w:val="007725D9"/>
    <w:rsid w:val="0077281B"/>
    <w:rsid w:val="0077380E"/>
    <w:rsid w:val="0077381A"/>
    <w:rsid w:val="007741A9"/>
    <w:rsid w:val="00774BA1"/>
    <w:rsid w:val="00774D2A"/>
    <w:rsid w:val="00774EEB"/>
    <w:rsid w:val="0077540C"/>
    <w:rsid w:val="00775878"/>
    <w:rsid w:val="0077594A"/>
    <w:rsid w:val="00775F23"/>
    <w:rsid w:val="00776E8C"/>
    <w:rsid w:val="00777409"/>
    <w:rsid w:val="00777EA8"/>
    <w:rsid w:val="007805E1"/>
    <w:rsid w:val="0078062F"/>
    <w:rsid w:val="007826E4"/>
    <w:rsid w:val="00783199"/>
    <w:rsid w:val="00783499"/>
    <w:rsid w:val="007834E0"/>
    <w:rsid w:val="00783AE3"/>
    <w:rsid w:val="007847A8"/>
    <w:rsid w:val="007847EF"/>
    <w:rsid w:val="0078492D"/>
    <w:rsid w:val="00784DC6"/>
    <w:rsid w:val="00785ABA"/>
    <w:rsid w:val="00785C8D"/>
    <w:rsid w:val="00785DEE"/>
    <w:rsid w:val="00785EA1"/>
    <w:rsid w:val="00785FF7"/>
    <w:rsid w:val="00786C1A"/>
    <w:rsid w:val="0078754A"/>
    <w:rsid w:val="007877E0"/>
    <w:rsid w:val="00787937"/>
    <w:rsid w:val="00787ACB"/>
    <w:rsid w:val="0079076D"/>
    <w:rsid w:val="00790935"/>
    <w:rsid w:val="00790DEE"/>
    <w:rsid w:val="00791444"/>
    <w:rsid w:val="00791FA5"/>
    <w:rsid w:val="007922AF"/>
    <w:rsid w:val="00792D31"/>
    <w:rsid w:val="007937C1"/>
    <w:rsid w:val="007939C0"/>
    <w:rsid w:val="00793A9E"/>
    <w:rsid w:val="00794492"/>
    <w:rsid w:val="00794566"/>
    <w:rsid w:val="0079471A"/>
    <w:rsid w:val="0079510B"/>
    <w:rsid w:val="0079515E"/>
    <w:rsid w:val="00796260"/>
    <w:rsid w:val="00796408"/>
    <w:rsid w:val="00797DF7"/>
    <w:rsid w:val="00797FDA"/>
    <w:rsid w:val="007A0254"/>
    <w:rsid w:val="007A19BF"/>
    <w:rsid w:val="007A1B09"/>
    <w:rsid w:val="007A1C21"/>
    <w:rsid w:val="007A1F84"/>
    <w:rsid w:val="007A21CC"/>
    <w:rsid w:val="007A2265"/>
    <w:rsid w:val="007A2456"/>
    <w:rsid w:val="007A299D"/>
    <w:rsid w:val="007A2FC1"/>
    <w:rsid w:val="007A3516"/>
    <w:rsid w:val="007A3841"/>
    <w:rsid w:val="007A385E"/>
    <w:rsid w:val="007A38CA"/>
    <w:rsid w:val="007A3E65"/>
    <w:rsid w:val="007A4E6D"/>
    <w:rsid w:val="007A5456"/>
    <w:rsid w:val="007A5500"/>
    <w:rsid w:val="007A56AD"/>
    <w:rsid w:val="007A60EA"/>
    <w:rsid w:val="007A6348"/>
    <w:rsid w:val="007A6495"/>
    <w:rsid w:val="007A661C"/>
    <w:rsid w:val="007A6850"/>
    <w:rsid w:val="007A70D5"/>
    <w:rsid w:val="007A74C8"/>
    <w:rsid w:val="007A769B"/>
    <w:rsid w:val="007A7873"/>
    <w:rsid w:val="007A793E"/>
    <w:rsid w:val="007B01F5"/>
    <w:rsid w:val="007B11B9"/>
    <w:rsid w:val="007B1374"/>
    <w:rsid w:val="007B215F"/>
    <w:rsid w:val="007B3474"/>
    <w:rsid w:val="007B38F2"/>
    <w:rsid w:val="007B3B2B"/>
    <w:rsid w:val="007B53C5"/>
    <w:rsid w:val="007B5587"/>
    <w:rsid w:val="007B55BB"/>
    <w:rsid w:val="007B599E"/>
    <w:rsid w:val="007B5B46"/>
    <w:rsid w:val="007B61AC"/>
    <w:rsid w:val="007B6B15"/>
    <w:rsid w:val="007B6BC5"/>
    <w:rsid w:val="007B6C35"/>
    <w:rsid w:val="007B6F2D"/>
    <w:rsid w:val="007B70F4"/>
    <w:rsid w:val="007B729D"/>
    <w:rsid w:val="007B7353"/>
    <w:rsid w:val="007B7935"/>
    <w:rsid w:val="007B7966"/>
    <w:rsid w:val="007B7CD7"/>
    <w:rsid w:val="007C0EC3"/>
    <w:rsid w:val="007C0FAB"/>
    <w:rsid w:val="007C1135"/>
    <w:rsid w:val="007C16F2"/>
    <w:rsid w:val="007C1AF2"/>
    <w:rsid w:val="007C1D28"/>
    <w:rsid w:val="007C2685"/>
    <w:rsid w:val="007C2F05"/>
    <w:rsid w:val="007C426D"/>
    <w:rsid w:val="007C44FD"/>
    <w:rsid w:val="007C4884"/>
    <w:rsid w:val="007C49F7"/>
    <w:rsid w:val="007C4A23"/>
    <w:rsid w:val="007C52D0"/>
    <w:rsid w:val="007C5B6F"/>
    <w:rsid w:val="007C5B96"/>
    <w:rsid w:val="007C5CD5"/>
    <w:rsid w:val="007C5EBB"/>
    <w:rsid w:val="007C5FA5"/>
    <w:rsid w:val="007C6426"/>
    <w:rsid w:val="007C6555"/>
    <w:rsid w:val="007C6A86"/>
    <w:rsid w:val="007C707E"/>
    <w:rsid w:val="007D119B"/>
    <w:rsid w:val="007D122D"/>
    <w:rsid w:val="007D157E"/>
    <w:rsid w:val="007D1C39"/>
    <w:rsid w:val="007D1CC6"/>
    <w:rsid w:val="007D22A3"/>
    <w:rsid w:val="007D24A8"/>
    <w:rsid w:val="007D250B"/>
    <w:rsid w:val="007D2934"/>
    <w:rsid w:val="007D2F7F"/>
    <w:rsid w:val="007D47DA"/>
    <w:rsid w:val="007D4850"/>
    <w:rsid w:val="007D4C1A"/>
    <w:rsid w:val="007D4C9A"/>
    <w:rsid w:val="007D5400"/>
    <w:rsid w:val="007D54B9"/>
    <w:rsid w:val="007D568D"/>
    <w:rsid w:val="007D5D5C"/>
    <w:rsid w:val="007D62B9"/>
    <w:rsid w:val="007D7217"/>
    <w:rsid w:val="007D72B9"/>
    <w:rsid w:val="007D79A5"/>
    <w:rsid w:val="007E077B"/>
    <w:rsid w:val="007E0A39"/>
    <w:rsid w:val="007E158A"/>
    <w:rsid w:val="007E15C7"/>
    <w:rsid w:val="007E22F1"/>
    <w:rsid w:val="007E341C"/>
    <w:rsid w:val="007E4543"/>
    <w:rsid w:val="007E4732"/>
    <w:rsid w:val="007E4E03"/>
    <w:rsid w:val="007E5C9E"/>
    <w:rsid w:val="007E5F49"/>
    <w:rsid w:val="007E72D5"/>
    <w:rsid w:val="007E77BA"/>
    <w:rsid w:val="007E7C91"/>
    <w:rsid w:val="007E7D8B"/>
    <w:rsid w:val="007F038E"/>
    <w:rsid w:val="007F0498"/>
    <w:rsid w:val="007F05DD"/>
    <w:rsid w:val="007F0B41"/>
    <w:rsid w:val="007F0C92"/>
    <w:rsid w:val="007F0D85"/>
    <w:rsid w:val="007F1163"/>
    <w:rsid w:val="007F20A2"/>
    <w:rsid w:val="007F2C2C"/>
    <w:rsid w:val="007F2CDA"/>
    <w:rsid w:val="007F30AC"/>
    <w:rsid w:val="007F3503"/>
    <w:rsid w:val="007F353B"/>
    <w:rsid w:val="007F3EF8"/>
    <w:rsid w:val="007F4249"/>
    <w:rsid w:val="007F42DB"/>
    <w:rsid w:val="007F4D13"/>
    <w:rsid w:val="007F4DB8"/>
    <w:rsid w:val="007F6133"/>
    <w:rsid w:val="007F62BE"/>
    <w:rsid w:val="007F6476"/>
    <w:rsid w:val="007F6738"/>
    <w:rsid w:val="007F6BA4"/>
    <w:rsid w:val="007F7587"/>
    <w:rsid w:val="007F768A"/>
    <w:rsid w:val="00800003"/>
    <w:rsid w:val="008000D5"/>
    <w:rsid w:val="00800935"/>
    <w:rsid w:val="00800FC3"/>
    <w:rsid w:val="008018CD"/>
    <w:rsid w:val="0080268F"/>
    <w:rsid w:val="00803AEA"/>
    <w:rsid w:val="00803DE0"/>
    <w:rsid w:val="00803E69"/>
    <w:rsid w:val="00803E8F"/>
    <w:rsid w:val="008041C3"/>
    <w:rsid w:val="00804714"/>
    <w:rsid w:val="00804A2F"/>
    <w:rsid w:val="00805167"/>
    <w:rsid w:val="00805381"/>
    <w:rsid w:val="008053B7"/>
    <w:rsid w:val="0080583B"/>
    <w:rsid w:val="00805948"/>
    <w:rsid w:val="00805C1F"/>
    <w:rsid w:val="00806505"/>
    <w:rsid w:val="00807009"/>
    <w:rsid w:val="008072F7"/>
    <w:rsid w:val="00807CDD"/>
    <w:rsid w:val="00807F48"/>
    <w:rsid w:val="00807F8A"/>
    <w:rsid w:val="0081035C"/>
    <w:rsid w:val="008106A2"/>
    <w:rsid w:val="00810E48"/>
    <w:rsid w:val="00811B6B"/>
    <w:rsid w:val="0081256E"/>
    <w:rsid w:val="0081265C"/>
    <w:rsid w:val="00812770"/>
    <w:rsid w:val="008127E9"/>
    <w:rsid w:val="00812D2C"/>
    <w:rsid w:val="00813147"/>
    <w:rsid w:val="00813351"/>
    <w:rsid w:val="00813825"/>
    <w:rsid w:val="00813B1F"/>
    <w:rsid w:val="00813C6B"/>
    <w:rsid w:val="00813E8B"/>
    <w:rsid w:val="00813F02"/>
    <w:rsid w:val="0081424E"/>
    <w:rsid w:val="00814632"/>
    <w:rsid w:val="0081485F"/>
    <w:rsid w:val="00814B0F"/>
    <w:rsid w:val="00815B2C"/>
    <w:rsid w:val="0081629A"/>
    <w:rsid w:val="0081682C"/>
    <w:rsid w:val="00816FA3"/>
    <w:rsid w:val="00817AA2"/>
    <w:rsid w:val="00817BCD"/>
    <w:rsid w:val="00817F56"/>
    <w:rsid w:val="00820076"/>
    <w:rsid w:val="00820F67"/>
    <w:rsid w:val="008216CB"/>
    <w:rsid w:val="008224B5"/>
    <w:rsid w:val="00822578"/>
    <w:rsid w:val="0082282A"/>
    <w:rsid w:val="00822D91"/>
    <w:rsid w:val="0082345A"/>
    <w:rsid w:val="00823B09"/>
    <w:rsid w:val="00823E1D"/>
    <w:rsid w:val="00823F2D"/>
    <w:rsid w:val="00824502"/>
    <w:rsid w:val="008248A5"/>
    <w:rsid w:val="00824E74"/>
    <w:rsid w:val="00825297"/>
    <w:rsid w:val="00825BD8"/>
    <w:rsid w:val="00826272"/>
    <w:rsid w:val="00826319"/>
    <w:rsid w:val="008263A6"/>
    <w:rsid w:val="00826725"/>
    <w:rsid w:val="0082719B"/>
    <w:rsid w:val="0082731D"/>
    <w:rsid w:val="0082784E"/>
    <w:rsid w:val="00830A98"/>
    <w:rsid w:val="00830B24"/>
    <w:rsid w:val="008317D8"/>
    <w:rsid w:val="00831E9B"/>
    <w:rsid w:val="00832405"/>
    <w:rsid w:val="00832487"/>
    <w:rsid w:val="00832519"/>
    <w:rsid w:val="00832904"/>
    <w:rsid w:val="00833517"/>
    <w:rsid w:val="00833AE0"/>
    <w:rsid w:val="00833B5F"/>
    <w:rsid w:val="008347CE"/>
    <w:rsid w:val="00834BDF"/>
    <w:rsid w:val="00835463"/>
    <w:rsid w:val="008355EC"/>
    <w:rsid w:val="00835719"/>
    <w:rsid w:val="00835ACD"/>
    <w:rsid w:val="008369AD"/>
    <w:rsid w:val="00836A51"/>
    <w:rsid w:val="00836EE1"/>
    <w:rsid w:val="008378EB"/>
    <w:rsid w:val="008403A8"/>
    <w:rsid w:val="008415BB"/>
    <w:rsid w:val="0084194A"/>
    <w:rsid w:val="00841CE3"/>
    <w:rsid w:val="008421FA"/>
    <w:rsid w:val="00842779"/>
    <w:rsid w:val="008430E8"/>
    <w:rsid w:val="0084428E"/>
    <w:rsid w:val="00844370"/>
    <w:rsid w:val="00844578"/>
    <w:rsid w:val="00844788"/>
    <w:rsid w:val="0084488A"/>
    <w:rsid w:val="00844A65"/>
    <w:rsid w:val="00844A9F"/>
    <w:rsid w:val="00844B08"/>
    <w:rsid w:val="008456C6"/>
    <w:rsid w:val="00845853"/>
    <w:rsid w:val="00845CD3"/>
    <w:rsid w:val="00846C32"/>
    <w:rsid w:val="00846EBC"/>
    <w:rsid w:val="0084725B"/>
    <w:rsid w:val="00847E52"/>
    <w:rsid w:val="0085004C"/>
    <w:rsid w:val="0085090E"/>
    <w:rsid w:val="00851CCC"/>
    <w:rsid w:val="008524FB"/>
    <w:rsid w:val="00852921"/>
    <w:rsid w:val="00852BB5"/>
    <w:rsid w:val="00852E8E"/>
    <w:rsid w:val="008534C6"/>
    <w:rsid w:val="008540BB"/>
    <w:rsid w:val="00854FC0"/>
    <w:rsid w:val="0085562C"/>
    <w:rsid w:val="00855D44"/>
    <w:rsid w:val="008568DB"/>
    <w:rsid w:val="00857C45"/>
    <w:rsid w:val="00860351"/>
    <w:rsid w:val="008603D1"/>
    <w:rsid w:val="008603D3"/>
    <w:rsid w:val="008603ED"/>
    <w:rsid w:val="00860553"/>
    <w:rsid w:val="00860608"/>
    <w:rsid w:val="00860646"/>
    <w:rsid w:val="00860EDD"/>
    <w:rsid w:val="00861355"/>
    <w:rsid w:val="00861C41"/>
    <w:rsid w:val="00862384"/>
    <w:rsid w:val="0086250D"/>
    <w:rsid w:val="00862523"/>
    <w:rsid w:val="00862A07"/>
    <w:rsid w:val="008631AB"/>
    <w:rsid w:val="008636CE"/>
    <w:rsid w:val="00863919"/>
    <w:rsid w:val="00863EB5"/>
    <w:rsid w:val="0086444C"/>
    <w:rsid w:val="00864597"/>
    <w:rsid w:val="0086485A"/>
    <w:rsid w:val="0086494E"/>
    <w:rsid w:val="008650F6"/>
    <w:rsid w:val="00866EAF"/>
    <w:rsid w:val="00866F5A"/>
    <w:rsid w:val="00867190"/>
    <w:rsid w:val="00867445"/>
    <w:rsid w:val="00867535"/>
    <w:rsid w:val="008675E1"/>
    <w:rsid w:val="00870B6B"/>
    <w:rsid w:val="00870F6F"/>
    <w:rsid w:val="00871553"/>
    <w:rsid w:val="00871906"/>
    <w:rsid w:val="00871E49"/>
    <w:rsid w:val="00871FDE"/>
    <w:rsid w:val="00872AFC"/>
    <w:rsid w:val="00873167"/>
    <w:rsid w:val="00873207"/>
    <w:rsid w:val="008733B5"/>
    <w:rsid w:val="00873817"/>
    <w:rsid w:val="0087400E"/>
    <w:rsid w:val="00874160"/>
    <w:rsid w:val="008742C9"/>
    <w:rsid w:val="008747EB"/>
    <w:rsid w:val="00874E68"/>
    <w:rsid w:val="008756C9"/>
    <w:rsid w:val="00876ADC"/>
    <w:rsid w:val="00876C4B"/>
    <w:rsid w:val="008773E7"/>
    <w:rsid w:val="008778E9"/>
    <w:rsid w:val="00877CC2"/>
    <w:rsid w:val="008811E3"/>
    <w:rsid w:val="008814C8"/>
    <w:rsid w:val="008821A7"/>
    <w:rsid w:val="00885457"/>
    <w:rsid w:val="00885A24"/>
    <w:rsid w:val="00885C85"/>
    <w:rsid w:val="00886820"/>
    <w:rsid w:val="00886897"/>
    <w:rsid w:val="00886954"/>
    <w:rsid w:val="00886E96"/>
    <w:rsid w:val="0088768D"/>
    <w:rsid w:val="008878EA"/>
    <w:rsid w:val="00887C58"/>
    <w:rsid w:val="00890094"/>
    <w:rsid w:val="00890883"/>
    <w:rsid w:val="008924DC"/>
    <w:rsid w:val="00892A18"/>
    <w:rsid w:val="00893377"/>
    <w:rsid w:val="00893693"/>
    <w:rsid w:val="0089397C"/>
    <w:rsid w:val="00893C8D"/>
    <w:rsid w:val="00894E48"/>
    <w:rsid w:val="00895437"/>
    <w:rsid w:val="00895CFF"/>
    <w:rsid w:val="008960D5"/>
    <w:rsid w:val="008969E0"/>
    <w:rsid w:val="00897006"/>
    <w:rsid w:val="008979A0"/>
    <w:rsid w:val="00897E23"/>
    <w:rsid w:val="008A01DF"/>
    <w:rsid w:val="008A0454"/>
    <w:rsid w:val="008A0763"/>
    <w:rsid w:val="008A0D13"/>
    <w:rsid w:val="008A0DC1"/>
    <w:rsid w:val="008A1DA0"/>
    <w:rsid w:val="008A274F"/>
    <w:rsid w:val="008A2B22"/>
    <w:rsid w:val="008A2D24"/>
    <w:rsid w:val="008A31C5"/>
    <w:rsid w:val="008A329A"/>
    <w:rsid w:val="008A3492"/>
    <w:rsid w:val="008A3930"/>
    <w:rsid w:val="008A3C95"/>
    <w:rsid w:val="008A40B5"/>
    <w:rsid w:val="008A4327"/>
    <w:rsid w:val="008A4597"/>
    <w:rsid w:val="008A57E4"/>
    <w:rsid w:val="008A5C36"/>
    <w:rsid w:val="008A6C9C"/>
    <w:rsid w:val="008B068F"/>
    <w:rsid w:val="008B0966"/>
    <w:rsid w:val="008B0F8A"/>
    <w:rsid w:val="008B1B5B"/>
    <w:rsid w:val="008B1D15"/>
    <w:rsid w:val="008B2295"/>
    <w:rsid w:val="008B22C4"/>
    <w:rsid w:val="008B2C85"/>
    <w:rsid w:val="008B34A9"/>
    <w:rsid w:val="008B4013"/>
    <w:rsid w:val="008B4B32"/>
    <w:rsid w:val="008B4C3C"/>
    <w:rsid w:val="008B5025"/>
    <w:rsid w:val="008B512F"/>
    <w:rsid w:val="008B5F25"/>
    <w:rsid w:val="008B61E8"/>
    <w:rsid w:val="008B650A"/>
    <w:rsid w:val="008B6711"/>
    <w:rsid w:val="008B6964"/>
    <w:rsid w:val="008B74CE"/>
    <w:rsid w:val="008B7814"/>
    <w:rsid w:val="008C08EC"/>
    <w:rsid w:val="008C176E"/>
    <w:rsid w:val="008C1881"/>
    <w:rsid w:val="008C1BB1"/>
    <w:rsid w:val="008C1BBB"/>
    <w:rsid w:val="008C2233"/>
    <w:rsid w:val="008C227F"/>
    <w:rsid w:val="008C240F"/>
    <w:rsid w:val="008C32CA"/>
    <w:rsid w:val="008C332A"/>
    <w:rsid w:val="008C3E3B"/>
    <w:rsid w:val="008C5111"/>
    <w:rsid w:val="008C5928"/>
    <w:rsid w:val="008C5BDD"/>
    <w:rsid w:val="008C636E"/>
    <w:rsid w:val="008C755E"/>
    <w:rsid w:val="008C758D"/>
    <w:rsid w:val="008C7781"/>
    <w:rsid w:val="008C7941"/>
    <w:rsid w:val="008C7AB1"/>
    <w:rsid w:val="008C7BE0"/>
    <w:rsid w:val="008C7F23"/>
    <w:rsid w:val="008D03A8"/>
    <w:rsid w:val="008D0BEC"/>
    <w:rsid w:val="008D0CC0"/>
    <w:rsid w:val="008D0E3A"/>
    <w:rsid w:val="008D0FA2"/>
    <w:rsid w:val="008D1331"/>
    <w:rsid w:val="008D1361"/>
    <w:rsid w:val="008D148D"/>
    <w:rsid w:val="008D1635"/>
    <w:rsid w:val="008D1904"/>
    <w:rsid w:val="008D1B46"/>
    <w:rsid w:val="008D2050"/>
    <w:rsid w:val="008D25FF"/>
    <w:rsid w:val="008D28F8"/>
    <w:rsid w:val="008D4260"/>
    <w:rsid w:val="008D43BF"/>
    <w:rsid w:val="008D4835"/>
    <w:rsid w:val="008D5328"/>
    <w:rsid w:val="008D542A"/>
    <w:rsid w:val="008D64B5"/>
    <w:rsid w:val="008D68A7"/>
    <w:rsid w:val="008D725F"/>
    <w:rsid w:val="008D78B4"/>
    <w:rsid w:val="008D7F19"/>
    <w:rsid w:val="008E00BD"/>
    <w:rsid w:val="008E0423"/>
    <w:rsid w:val="008E04E6"/>
    <w:rsid w:val="008E07F5"/>
    <w:rsid w:val="008E13CB"/>
    <w:rsid w:val="008E16A4"/>
    <w:rsid w:val="008E2C1E"/>
    <w:rsid w:val="008E368B"/>
    <w:rsid w:val="008E3B03"/>
    <w:rsid w:val="008E408E"/>
    <w:rsid w:val="008E5041"/>
    <w:rsid w:val="008E583D"/>
    <w:rsid w:val="008E5865"/>
    <w:rsid w:val="008E5E4C"/>
    <w:rsid w:val="008E6416"/>
    <w:rsid w:val="008E658C"/>
    <w:rsid w:val="008E65D4"/>
    <w:rsid w:val="008E6698"/>
    <w:rsid w:val="008E7356"/>
    <w:rsid w:val="008E7815"/>
    <w:rsid w:val="008E7DA6"/>
    <w:rsid w:val="008F0382"/>
    <w:rsid w:val="008F11FD"/>
    <w:rsid w:val="008F19D9"/>
    <w:rsid w:val="008F1F87"/>
    <w:rsid w:val="008F208B"/>
    <w:rsid w:val="008F24CF"/>
    <w:rsid w:val="008F294D"/>
    <w:rsid w:val="008F2E1A"/>
    <w:rsid w:val="008F3BB6"/>
    <w:rsid w:val="008F3E92"/>
    <w:rsid w:val="008F4BEE"/>
    <w:rsid w:val="008F53D8"/>
    <w:rsid w:val="008F5947"/>
    <w:rsid w:val="008F5BF7"/>
    <w:rsid w:val="008F689E"/>
    <w:rsid w:val="008F68F2"/>
    <w:rsid w:val="008F69A6"/>
    <w:rsid w:val="008F7632"/>
    <w:rsid w:val="008F796F"/>
    <w:rsid w:val="008F7F05"/>
    <w:rsid w:val="009003C4"/>
    <w:rsid w:val="00900820"/>
    <w:rsid w:val="00900DE5"/>
    <w:rsid w:val="0090152A"/>
    <w:rsid w:val="009018E1"/>
    <w:rsid w:val="00902265"/>
    <w:rsid w:val="00902455"/>
    <w:rsid w:val="00902BF9"/>
    <w:rsid w:val="00902DC3"/>
    <w:rsid w:val="00903139"/>
    <w:rsid w:val="00903C0C"/>
    <w:rsid w:val="00903D45"/>
    <w:rsid w:val="00903F37"/>
    <w:rsid w:val="009048DF"/>
    <w:rsid w:val="00904A14"/>
    <w:rsid w:val="00904A67"/>
    <w:rsid w:val="009058CB"/>
    <w:rsid w:val="00905901"/>
    <w:rsid w:val="00905932"/>
    <w:rsid w:val="00906739"/>
    <w:rsid w:val="0090683F"/>
    <w:rsid w:val="00906B92"/>
    <w:rsid w:val="00906FAC"/>
    <w:rsid w:val="00907719"/>
    <w:rsid w:val="00907EDA"/>
    <w:rsid w:val="00907FCE"/>
    <w:rsid w:val="00910B7D"/>
    <w:rsid w:val="00910F48"/>
    <w:rsid w:val="00911109"/>
    <w:rsid w:val="00911C33"/>
    <w:rsid w:val="009127AD"/>
    <w:rsid w:val="0091306F"/>
    <w:rsid w:val="009130B8"/>
    <w:rsid w:val="009139C1"/>
    <w:rsid w:val="009139E8"/>
    <w:rsid w:val="00913F9B"/>
    <w:rsid w:val="0091411A"/>
    <w:rsid w:val="00914238"/>
    <w:rsid w:val="009149A7"/>
    <w:rsid w:val="00914CCE"/>
    <w:rsid w:val="00914E7D"/>
    <w:rsid w:val="00915BAD"/>
    <w:rsid w:val="009165DC"/>
    <w:rsid w:val="00916610"/>
    <w:rsid w:val="00916D8E"/>
    <w:rsid w:val="00917405"/>
    <w:rsid w:val="0091749D"/>
    <w:rsid w:val="00920433"/>
    <w:rsid w:val="009208FE"/>
    <w:rsid w:val="00920C4F"/>
    <w:rsid w:val="00920CE6"/>
    <w:rsid w:val="00920FDA"/>
    <w:rsid w:val="00921542"/>
    <w:rsid w:val="00921A7C"/>
    <w:rsid w:val="0092216E"/>
    <w:rsid w:val="0092221B"/>
    <w:rsid w:val="00922248"/>
    <w:rsid w:val="00923257"/>
    <w:rsid w:val="00923483"/>
    <w:rsid w:val="00923629"/>
    <w:rsid w:val="009236F3"/>
    <w:rsid w:val="009239A0"/>
    <w:rsid w:val="00923E4F"/>
    <w:rsid w:val="0092432A"/>
    <w:rsid w:val="00924430"/>
    <w:rsid w:val="00924F58"/>
    <w:rsid w:val="009250A5"/>
    <w:rsid w:val="00925112"/>
    <w:rsid w:val="0092530C"/>
    <w:rsid w:val="0092590B"/>
    <w:rsid w:val="00925A35"/>
    <w:rsid w:val="00925A8D"/>
    <w:rsid w:val="00926172"/>
    <w:rsid w:val="00926CBD"/>
    <w:rsid w:val="0092700E"/>
    <w:rsid w:val="009273B4"/>
    <w:rsid w:val="0092763B"/>
    <w:rsid w:val="00927B96"/>
    <w:rsid w:val="00927FC5"/>
    <w:rsid w:val="009305C3"/>
    <w:rsid w:val="009309BC"/>
    <w:rsid w:val="00930BD5"/>
    <w:rsid w:val="009313DE"/>
    <w:rsid w:val="00931AB1"/>
    <w:rsid w:val="00931B8F"/>
    <w:rsid w:val="00931E67"/>
    <w:rsid w:val="0093211A"/>
    <w:rsid w:val="009324C3"/>
    <w:rsid w:val="0093254E"/>
    <w:rsid w:val="00932CB4"/>
    <w:rsid w:val="00933172"/>
    <w:rsid w:val="00933677"/>
    <w:rsid w:val="00933865"/>
    <w:rsid w:val="00935BD6"/>
    <w:rsid w:val="00935E49"/>
    <w:rsid w:val="0093715F"/>
    <w:rsid w:val="00937B5F"/>
    <w:rsid w:val="0094004F"/>
    <w:rsid w:val="009400B1"/>
    <w:rsid w:val="009409C6"/>
    <w:rsid w:val="00940FC5"/>
    <w:rsid w:val="00942AAE"/>
    <w:rsid w:val="009434ED"/>
    <w:rsid w:val="00943B78"/>
    <w:rsid w:val="00943C36"/>
    <w:rsid w:val="00944DA0"/>
    <w:rsid w:val="00945013"/>
    <w:rsid w:val="00946E14"/>
    <w:rsid w:val="00947052"/>
    <w:rsid w:val="009479CB"/>
    <w:rsid w:val="00947BDA"/>
    <w:rsid w:val="00950848"/>
    <w:rsid w:val="00950E88"/>
    <w:rsid w:val="009513DD"/>
    <w:rsid w:val="009521C9"/>
    <w:rsid w:val="00952F2A"/>
    <w:rsid w:val="00953104"/>
    <w:rsid w:val="00953250"/>
    <w:rsid w:val="00953385"/>
    <w:rsid w:val="00953DDA"/>
    <w:rsid w:val="00953FB0"/>
    <w:rsid w:val="0095429C"/>
    <w:rsid w:val="0095459B"/>
    <w:rsid w:val="00954EC9"/>
    <w:rsid w:val="0095509A"/>
    <w:rsid w:val="009556E9"/>
    <w:rsid w:val="00955896"/>
    <w:rsid w:val="009562C2"/>
    <w:rsid w:val="0095658A"/>
    <w:rsid w:val="009568F8"/>
    <w:rsid w:val="00957586"/>
    <w:rsid w:val="00957D20"/>
    <w:rsid w:val="009605AA"/>
    <w:rsid w:val="00960C82"/>
    <w:rsid w:val="00960EFC"/>
    <w:rsid w:val="009614C7"/>
    <w:rsid w:val="00962A4F"/>
    <w:rsid w:val="00962B93"/>
    <w:rsid w:val="00963692"/>
    <w:rsid w:val="00963A80"/>
    <w:rsid w:val="00963FB5"/>
    <w:rsid w:val="009643AB"/>
    <w:rsid w:val="0096474D"/>
    <w:rsid w:val="0096494C"/>
    <w:rsid w:val="00964BA9"/>
    <w:rsid w:val="00965469"/>
    <w:rsid w:val="00965C1D"/>
    <w:rsid w:val="00965DAE"/>
    <w:rsid w:val="0096678A"/>
    <w:rsid w:val="00966907"/>
    <w:rsid w:val="00966C90"/>
    <w:rsid w:val="00966DA2"/>
    <w:rsid w:val="00967295"/>
    <w:rsid w:val="009677B4"/>
    <w:rsid w:val="009677EC"/>
    <w:rsid w:val="00970105"/>
    <w:rsid w:val="0097077B"/>
    <w:rsid w:val="009708D2"/>
    <w:rsid w:val="00970DC2"/>
    <w:rsid w:val="00970F39"/>
    <w:rsid w:val="00971172"/>
    <w:rsid w:val="00971405"/>
    <w:rsid w:val="009717B2"/>
    <w:rsid w:val="00971C0F"/>
    <w:rsid w:val="009720A1"/>
    <w:rsid w:val="009720E1"/>
    <w:rsid w:val="00972155"/>
    <w:rsid w:val="0097232B"/>
    <w:rsid w:val="0097316D"/>
    <w:rsid w:val="00973711"/>
    <w:rsid w:val="009738F9"/>
    <w:rsid w:val="009748F1"/>
    <w:rsid w:val="00974C11"/>
    <w:rsid w:val="00975315"/>
    <w:rsid w:val="009753C3"/>
    <w:rsid w:val="00975DB2"/>
    <w:rsid w:val="00975E78"/>
    <w:rsid w:val="00976182"/>
    <w:rsid w:val="00976835"/>
    <w:rsid w:val="009772D5"/>
    <w:rsid w:val="0097764F"/>
    <w:rsid w:val="009810CC"/>
    <w:rsid w:val="009814FC"/>
    <w:rsid w:val="00981B2C"/>
    <w:rsid w:val="00981BB4"/>
    <w:rsid w:val="00981CBF"/>
    <w:rsid w:val="00981F84"/>
    <w:rsid w:val="00982EAE"/>
    <w:rsid w:val="009832F3"/>
    <w:rsid w:val="00983DC8"/>
    <w:rsid w:val="00984533"/>
    <w:rsid w:val="00984B78"/>
    <w:rsid w:val="00984E1C"/>
    <w:rsid w:val="00984EA6"/>
    <w:rsid w:val="00984FBD"/>
    <w:rsid w:val="00985293"/>
    <w:rsid w:val="009852AE"/>
    <w:rsid w:val="00985351"/>
    <w:rsid w:val="0098595A"/>
    <w:rsid w:val="00986D79"/>
    <w:rsid w:val="009877A4"/>
    <w:rsid w:val="00987E6C"/>
    <w:rsid w:val="0099051C"/>
    <w:rsid w:val="00990C77"/>
    <w:rsid w:val="00990E77"/>
    <w:rsid w:val="00991052"/>
    <w:rsid w:val="00991285"/>
    <w:rsid w:val="009915C8"/>
    <w:rsid w:val="00991B55"/>
    <w:rsid w:val="009926B0"/>
    <w:rsid w:val="009929C4"/>
    <w:rsid w:val="009931B5"/>
    <w:rsid w:val="00993D85"/>
    <w:rsid w:val="00993E36"/>
    <w:rsid w:val="0099413D"/>
    <w:rsid w:val="00994600"/>
    <w:rsid w:val="00994905"/>
    <w:rsid w:val="00994B97"/>
    <w:rsid w:val="00994BB7"/>
    <w:rsid w:val="00994E6B"/>
    <w:rsid w:val="009950A5"/>
    <w:rsid w:val="0099522B"/>
    <w:rsid w:val="0099561D"/>
    <w:rsid w:val="009966EB"/>
    <w:rsid w:val="00996CB4"/>
    <w:rsid w:val="00996F37"/>
    <w:rsid w:val="00997020"/>
    <w:rsid w:val="009977BD"/>
    <w:rsid w:val="00997BF1"/>
    <w:rsid w:val="009A0961"/>
    <w:rsid w:val="009A0D39"/>
    <w:rsid w:val="009A13A7"/>
    <w:rsid w:val="009A244D"/>
    <w:rsid w:val="009A289F"/>
    <w:rsid w:val="009A2DC1"/>
    <w:rsid w:val="009A534C"/>
    <w:rsid w:val="009A5444"/>
    <w:rsid w:val="009A592F"/>
    <w:rsid w:val="009A5ABE"/>
    <w:rsid w:val="009A6133"/>
    <w:rsid w:val="009A67E8"/>
    <w:rsid w:val="009A6A5B"/>
    <w:rsid w:val="009A6EF2"/>
    <w:rsid w:val="009A7164"/>
    <w:rsid w:val="009A7229"/>
    <w:rsid w:val="009A7655"/>
    <w:rsid w:val="009B02A6"/>
    <w:rsid w:val="009B0376"/>
    <w:rsid w:val="009B0A65"/>
    <w:rsid w:val="009B0FF7"/>
    <w:rsid w:val="009B13E8"/>
    <w:rsid w:val="009B1653"/>
    <w:rsid w:val="009B2596"/>
    <w:rsid w:val="009B25A3"/>
    <w:rsid w:val="009B2E56"/>
    <w:rsid w:val="009B2EB4"/>
    <w:rsid w:val="009B2EE6"/>
    <w:rsid w:val="009B3178"/>
    <w:rsid w:val="009B359E"/>
    <w:rsid w:val="009B4022"/>
    <w:rsid w:val="009B4474"/>
    <w:rsid w:val="009B4D77"/>
    <w:rsid w:val="009B55AC"/>
    <w:rsid w:val="009B5826"/>
    <w:rsid w:val="009B5B3D"/>
    <w:rsid w:val="009B6767"/>
    <w:rsid w:val="009B67ED"/>
    <w:rsid w:val="009B6E2C"/>
    <w:rsid w:val="009B6F12"/>
    <w:rsid w:val="009B710F"/>
    <w:rsid w:val="009B75B2"/>
    <w:rsid w:val="009B7C9B"/>
    <w:rsid w:val="009C00A8"/>
    <w:rsid w:val="009C01FA"/>
    <w:rsid w:val="009C0CF2"/>
    <w:rsid w:val="009C12BB"/>
    <w:rsid w:val="009C12F7"/>
    <w:rsid w:val="009C14B9"/>
    <w:rsid w:val="009C2C81"/>
    <w:rsid w:val="009C2FAA"/>
    <w:rsid w:val="009C3E77"/>
    <w:rsid w:val="009C3FC6"/>
    <w:rsid w:val="009C404F"/>
    <w:rsid w:val="009C4260"/>
    <w:rsid w:val="009C443E"/>
    <w:rsid w:val="009C446B"/>
    <w:rsid w:val="009C4CCC"/>
    <w:rsid w:val="009C4E57"/>
    <w:rsid w:val="009C4F1E"/>
    <w:rsid w:val="009C51A2"/>
    <w:rsid w:val="009C6152"/>
    <w:rsid w:val="009C65BF"/>
    <w:rsid w:val="009C6EFC"/>
    <w:rsid w:val="009C6F14"/>
    <w:rsid w:val="009C72D6"/>
    <w:rsid w:val="009C7D6E"/>
    <w:rsid w:val="009D11C0"/>
    <w:rsid w:val="009D11F9"/>
    <w:rsid w:val="009D1919"/>
    <w:rsid w:val="009D1FD5"/>
    <w:rsid w:val="009D2764"/>
    <w:rsid w:val="009D2A72"/>
    <w:rsid w:val="009D2A9F"/>
    <w:rsid w:val="009D364D"/>
    <w:rsid w:val="009D3A76"/>
    <w:rsid w:val="009D3CE2"/>
    <w:rsid w:val="009D5531"/>
    <w:rsid w:val="009D583F"/>
    <w:rsid w:val="009D5EA2"/>
    <w:rsid w:val="009D5ECE"/>
    <w:rsid w:val="009D62CB"/>
    <w:rsid w:val="009D69FB"/>
    <w:rsid w:val="009D6BC7"/>
    <w:rsid w:val="009D6F93"/>
    <w:rsid w:val="009D77C9"/>
    <w:rsid w:val="009D7AD7"/>
    <w:rsid w:val="009E14C3"/>
    <w:rsid w:val="009E1B84"/>
    <w:rsid w:val="009E1D4F"/>
    <w:rsid w:val="009E1F40"/>
    <w:rsid w:val="009E2937"/>
    <w:rsid w:val="009E37FD"/>
    <w:rsid w:val="009E3D83"/>
    <w:rsid w:val="009E4B12"/>
    <w:rsid w:val="009E4FC2"/>
    <w:rsid w:val="009E510B"/>
    <w:rsid w:val="009E555E"/>
    <w:rsid w:val="009E5AB7"/>
    <w:rsid w:val="009E5B64"/>
    <w:rsid w:val="009E5BC2"/>
    <w:rsid w:val="009E60FB"/>
    <w:rsid w:val="009E6AAB"/>
    <w:rsid w:val="009E7588"/>
    <w:rsid w:val="009E7871"/>
    <w:rsid w:val="009F016C"/>
    <w:rsid w:val="009F0487"/>
    <w:rsid w:val="009F0571"/>
    <w:rsid w:val="009F0754"/>
    <w:rsid w:val="009F07BC"/>
    <w:rsid w:val="009F0D53"/>
    <w:rsid w:val="009F1A75"/>
    <w:rsid w:val="009F1E9E"/>
    <w:rsid w:val="009F2D19"/>
    <w:rsid w:val="009F2D25"/>
    <w:rsid w:val="009F3280"/>
    <w:rsid w:val="009F348B"/>
    <w:rsid w:val="009F3C48"/>
    <w:rsid w:val="009F3E5B"/>
    <w:rsid w:val="009F44CB"/>
    <w:rsid w:val="009F47E7"/>
    <w:rsid w:val="009F4CC9"/>
    <w:rsid w:val="009F4E6C"/>
    <w:rsid w:val="009F68D3"/>
    <w:rsid w:val="009F713E"/>
    <w:rsid w:val="009F7186"/>
    <w:rsid w:val="00A00139"/>
    <w:rsid w:val="00A00156"/>
    <w:rsid w:val="00A006A2"/>
    <w:rsid w:val="00A011F1"/>
    <w:rsid w:val="00A018B1"/>
    <w:rsid w:val="00A01B22"/>
    <w:rsid w:val="00A01EFD"/>
    <w:rsid w:val="00A01F67"/>
    <w:rsid w:val="00A0335C"/>
    <w:rsid w:val="00A033B4"/>
    <w:rsid w:val="00A03A55"/>
    <w:rsid w:val="00A04640"/>
    <w:rsid w:val="00A04E32"/>
    <w:rsid w:val="00A056D2"/>
    <w:rsid w:val="00A05D70"/>
    <w:rsid w:val="00A05D8C"/>
    <w:rsid w:val="00A0612D"/>
    <w:rsid w:val="00A06344"/>
    <w:rsid w:val="00A0704E"/>
    <w:rsid w:val="00A073E2"/>
    <w:rsid w:val="00A074CF"/>
    <w:rsid w:val="00A10136"/>
    <w:rsid w:val="00A113CB"/>
    <w:rsid w:val="00A12548"/>
    <w:rsid w:val="00A12702"/>
    <w:rsid w:val="00A12839"/>
    <w:rsid w:val="00A12B0E"/>
    <w:rsid w:val="00A13079"/>
    <w:rsid w:val="00A13294"/>
    <w:rsid w:val="00A1357D"/>
    <w:rsid w:val="00A13745"/>
    <w:rsid w:val="00A138DB"/>
    <w:rsid w:val="00A1428A"/>
    <w:rsid w:val="00A14C25"/>
    <w:rsid w:val="00A14E3B"/>
    <w:rsid w:val="00A155A2"/>
    <w:rsid w:val="00A15B02"/>
    <w:rsid w:val="00A164F5"/>
    <w:rsid w:val="00A16EB2"/>
    <w:rsid w:val="00A16FDF"/>
    <w:rsid w:val="00A17303"/>
    <w:rsid w:val="00A17568"/>
    <w:rsid w:val="00A17579"/>
    <w:rsid w:val="00A201A6"/>
    <w:rsid w:val="00A209E5"/>
    <w:rsid w:val="00A217E0"/>
    <w:rsid w:val="00A21AA0"/>
    <w:rsid w:val="00A22251"/>
    <w:rsid w:val="00A22A84"/>
    <w:rsid w:val="00A23445"/>
    <w:rsid w:val="00A23F67"/>
    <w:rsid w:val="00A2429D"/>
    <w:rsid w:val="00A2477B"/>
    <w:rsid w:val="00A24EA6"/>
    <w:rsid w:val="00A25214"/>
    <w:rsid w:val="00A25712"/>
    <w:rsid w:val="00A25FAE"/>
    <w:rsid w:val="00A25FB3"/>
    <w:rsid w:val="00A26229"/>
    <w:rsid w:val="00A26A38"/>
    <w:rsid w:val="00A26D0B"/>
    <w:rsid w:val="00A26DE9"/>
    <w:rsid w:val="00A30C68"/>
    <w:rsid w:val="00A30F74"/>
    <w:rsid w:val="00A315D1"/>
    <w:rsid w:val="00A3183E"/>
    <w:rsid w:val="00A32BEF"/>
    <w:rsid w:val="00A33803"/>
    <w:rsid w:val="00A33AA8"/>
    <w:rsid w:val="00A34065"/>
    <w:rsid w:val="00A34164"/>
    <w:rsid w:val="00A34AC2"/>
    <w:rsid w:val="00A350DA"/>
    <w:rsid w:val="00A35126"/>
    <w:rsid w:val="00A3522F"/>
    <w:rsid w:val="00A3531C"/>
    <w:rsid w:val="00A360FC"/>
    <w:rsid w:val="00A36105"/>
    <w:rsid w:val="00A36186"/>
    <w:rsid w:val="00A37D1F"/>
    <w:rsid w:val="00A40029"/>
    <w:rsid w:val="00A40235"/>
    <w:rsid w:val="00A41130"/>
    <w:rsid w:val="00A414FC"/>
    <w:rsid w:val="00A417A2"/>
    <w:rsid w:val="00A4185D"/>
    <w:rsid w:val="00A42416"/>
    <w:rsid w:val="00A42432"/>
    <w:rsid w:val="00A4258C"/>
    <w:rsid w:val="00A435EC"/>
    <w:rsid w:val="00A43789"/>
    <w:rsid w:val="00A43B71"/>
    <w:rsid w:val="00A4441F"/>
    <w:rsid w:val="00A444D7"/>
    <w:rsid w:val="00A44994"/>
    <w:rsid w:val="00A45128"/>
    <w:rsid w:val="00A45ACD"/>
    <w:rsid w:val="00A46048"/>
    <w:rsid w:val="00A46241"/>
    <w:rsid w:val="00A46C88"/>
    <w:rsid w:val="00A47500"/>
    <w:rsid w:val="00A476EF"/>
    <w:rsid w:val="00A47F5A"/>
    <w:rsid w:val="00A50464"/>
    <w:rsid w:val="00A507BC"/>
    <w:rsid w:val="00A5138A"/>
    <w:rsid w:val="00A52792"/>
    <w:rsid w:val="00A52AEC"/>
    <w:rsid w:val="00A52D5C"/>
    <w:rsid w:val="00A53D3C"/>
    <w:rsid w:val="00A53D6F"/>
    <w:rsid w:val="00A53FF6"/>
    <w:rsid w:val="00A54700"/>
    <w:rsid w:val="00A549A3"/>
    <w:rsid w:val="00A54A9D"/>
    <w:rsid w:val="00A55DD7"/>
    <w:rsid w:val="00A55F68"/>
    <w:rsid w:val="00A56913"/>
    <w:rsid w:val="00A57526"/>
    <w:rsid w:val="00A57727"/>
    <w:rsid w:val="00A57D35"/>
    <w:rsid w:val="00A57E71"/>
    <w:rsid w:val="00A63AC1"/>
    <w:rsid w:val="00A64129"/>
    <w:rsid w:val="00A649EC"/>
    <w:rsid w:val="00A654B0"/>
    <w:rsid w:val="00A65519"/>
    <w:rsid w:val="00A65B9A"/>
    <w:rsid w:val="00A65D07"/>
    <w:rsid w:val="00A65D5F"/>
    <w:rsid w:val="00A6600F"/>
    <w:rsid w:val="00A6639A"/>
    <w:rsid w:val="00A666B6"/>
    <w:rsid w:val="00A666CC"/>
    <w:rsid w:val="00A671B6"/>
    <w:rsid w:val="00A6739F"/>
    <w:rsid w:val="00A67643"/>
    <w:rsid w:val="00A678FD"/>
    <w:rsid w:val="00A67BA1"/>
    <w:rsid w:val="00A7035F"/>
    <w:rsid w:val="00A705F8"/>
    <w:rsid w:val="00A7147A"/>
    <w:rsid w:val="00A714EA"/>
    <w:rsid w:val="00A71861"/>
    <w:rsid w:val="00A71917"/>
    <w:rsid w:val="00A7270C"/>
    <w:rsid w:val="00A737EA"/>
    <w:rsid w:val="00A737FB"/>
    <w:rsid w:val="00A738F4"/>
    <w:rsid w:val="00A74249"/>
    <w:rsid w:val="00A74997"/>
    <w:rsid w:val="00A74DA8"/>
    <w:rsid w:val="00A74E9D"/>
    <w:rsid w:val="00A751AC"/>
    <w:rsid w:val="00A75AA3"/>
    <w:rsid w:val="00A762F1"/>
    <w:rsid w:val="00A7643F"/>
    <w:rsid w:val="00A766DC"/>
    <w:rsid w:val="00A769F4"/>
    <w:rsid w:val="00A76D26"/>
    <w:rsid w:val="00A774DF"/>
    <w:rsid w:val="00A77632"/>
    <w:rsid w:val="00A77EE9"/>
    <w:rsid w:val="00A8081A"/>
    <w:rsid w:val="00A81556"/>
    <w:rsid w:val="00A818A7"/>
    <w:rsid w:val="00A8205A"/>
    <w:rsid w:val="00A823CE"/>
    <w:rsid w:val="00A82506"/>
    <w:rsid w:val="00A82658"/>
    <w:rsid w:val="00A83834"/>
    <w:rsid w:val="00A842B1"/>
    <w:rsid w:val="00A8494E"/>
    <w:rsid w:val="00A84B4E"/>
    <w:rsid w:val="00A84E66"/>
    <w:rsid w:val="00A85227"/>
    <w:rsid w:val="00A85783"/>
    <w:rsid w:val="00A85EAF"/>
    <w:rsid w:val="00A85F11"/>
    <w:rsid w:val="00A85F8D"/>
    <w:rsid w:val="00A86224"/>
    <w:rsid w:val="00A87497"/>
    <w:rsid w:val="00A87CB9"/>
    <w:rsid w:val="00A87F21"/>
    <w:rsid w:val="00A907F2"/>
    <w:rsid w:val="00A90A51"/>
    <w:rsid w:val="00A90B82"/>
    <w:rsid w:val="00A92EB2"/>
    <w:rsid w:val="00A93159"/>
    <w:rsid w:val="00A93FDC"/>
    <w:rsid w:val="00A94274"/>
    <w:rsid w:val="00A95587"/>
    <w:rsid w:val="00A95A64"/>
    <w:rsid w:val="00A963ED"/>
    <w:rsid w:val="00A96739"/>
    <w:rsid w:val="00A96809"/>
    <w:rsid w:val="00A96871"/>
    <w:rsid w:val="00A96A00"/>
    <w:rsid w:val="00A9716B"/>
    <w:rsid w:val="00A975EA"/>
    <w:rsid w:val="00A97620"/>
    <w:rsid w:val="00A977B7"/>
    <w:rsid w:val="00A977BF"/>
    <w:rsid w:val="00A97866"/>
    <w:rsid w:val="00A97C1C"/>
    <w:rsid w:val="00A97EBE"/>
    <w:rsid w:val="00A97F66"/>
    <w:rsid w:val="00AA03CC"/>
    <w:rsid w:val="00AA17F7"/>
    <w:rsid w:val="00AA18A7"/>
    <w:rsid w:val="00AA1EB8"/>
    <w:rsid w:val="00AA205B"/>
    <w:rsid w:val="00AA2091"/>
    <w:rsid w:val="00AA210C"/>
    <w:rsid w:val="00AA297A"/>
    <w:rsid w:val="00AA304D"/>
    <w:rsid w:val="00AA3CEB"/>
    <w:rsid w:val="00AA48EF"/>
    <w:rsid w:val="00AA4A33"/>
    <w:rsid w:val="00AA4C4D"/>
    <w:rsid w:val="00AA5508"/>
    <w:rsid w:val="00AA68C1"/>
    <w:rsid w:val="00AA6C3D"/>
    <w:rsid w:val="00AA78D2"/>
    <w:rsid w:val="00AA7B35"/>
    <w:rsid w:val="00AB11D4"/>
    <w:rsid w:val="00AB1735"/>
    <w:rsid w:val="00AB196E"/>
    <w:rsid w:val="00AB1C36"/>
    <w:rsid w:val="00AB1F48"/>
    <w:rsid w:val="00AB26F7"/>
    <w:rsid w:val="00AB2922"/>
    <w:rsid w:val="00AB294B"/>
    <w:rsid w:val="00AB29EC"/>
    <w:rsid w:val="00AB2F4C"/>
    <w:rsid w:val="00AB3214"/>
    <w:rsid w:val="00AB321D"/>
    <w:rsid w:val="00AB343C"/>
    <w:rsid w:val="00AB380D"/>
    <w:rsid w:val="00AB3B15"/>
    <w:rsid w:val="00AB406F"/>
    <w:rsid w:val="00AB465D"/>
    <w:rsid w:val="00AB5088"/>
    <w:rsid w:val="00AB513B"/>
    <w:rsid w:val="00AB5754"/>
    <w:rsid w:val="00AB579E"/>
    <w:rsid w:val="00AB5F11"/>
    <w:rsid w:val="00AB6856"/>
    <w:rsid w:val="00AB69B8"/>
    <w:rsid w:val="00AB6A38"/>
    <w:rsid w:val="00AB6E4B"/>
    <w:rsid w:val="00AB7562"/>
    <w:rsid w:val="00AC0D42"/>
    <w:rsid w:val="00AC1437"/>
    <w:rsid w:val="00AC149B"/>
    <w:rsid w:val="00AC281E"/>
    <w:rsid w:val="00AC295F"/>
    <w:rsid w:val="00AC383D"/>
    <w:rsid w:val="00AC3A19"/>
    <w:rsid w:val="00AC4085"/>
    <w:rsid w:val="00AC40CA"/>
    <w:rsid w:val="00AC434F"/>
    <w:rsid w:val="00AC4C2A"/>
    <w:rsid w:val="00AC4E01"/>
    <w:rsid w:val="00AC62A6"/>
    <w:rsid w:val="00AC6C59"/>
    <w:rsid w:val="00AC717C"/>
    <w:rsid w:val="00AC71C6"/>
    <w:rsid w:val="00AC7541"/>
    <w:rsid w:val="00AC791A"/>
    <w:rsid w:val="00AC7D34"/>
    <w:rsid w:val="00AD002F"/>
    <w:rsid w:val="00AD1CFE"/>
    <w:rsid w:val="00AD1D9B"/>
    <w:rsid w:val="00AD272E"/>
    <w:rsid w:val="00AD2ACB"/>
    <w:rsid w:val="00AD2DF1"/>
    <w:rsid w:val="00AD34A3"/>
    <w:rsid w:val="00AD3DEF"/>
    <w:rsid w:val="00AD433B"/>
    <w:rsid w:val="00AD4617"/>
    <w:rsid w:val="00AD47BA"/>
    <w:rsid w:val="00AD4A2E"/>
    <w:rsid w:val="00AD4EF3"/>
    <w:rsid w:val="00AD5A9F"/>
    <w:rsid w:val="00AD5C77"/>
    <w:rsid w:val="00AD5FA6"/>
    <w:rsid w:val="00AD6C2C"/>
    <w:rsid w:val="00AD6F4A"/>
    <w:rsid w:val="00AD7296"/>
    <w:rsid w:val="00AD7A9C"/>
    <w:rsid w:val="00AD7C24"/>
    <w:rsid w:val="00AD7CDB"/>
    <w:rsid w:val="00AD7D63"/>
    <w:rsid w:val="00AD7F0A"/>
    <w:rsid w:val="00AD7FB1"/>
    <w:rsid w:val="00AE016C"/>
    <w:rsid w:val="00AE0172"/>
    <w:rsid w:val="00AE0312"/>
    <w:rsid w:val="00AE0557"/>
    <w:rsid w:val="00AE115F"/>
    <w:rsid w:val="00AE1795"/>
    <w:rsid w:val="00AE18B8"/>
    <w:rsid w:val="00AE19B3"/>
    <w:rsid w:val="00AE1FF4"/>
    <w:rsid w:val="00AE2A5A"/>
    <w:rsid w:val="00AE42B4"/>
    <w:rsid w:val="00AE4523"/>
    <w:rsid w:val="00AE56D4"/>
    <w:rsid w:val="00AE57DF"/>
    <w:rsid w:val="00AE5C82"/>
    <w:rsid w:val="00AE6ADA"/>
    <w:rsid w:val="00AE6C97"/>
    <w:rsid w:val="00AE6DFE"/>
    <w:rsid w:val="00AE6EF2"/>
    <w:rsid w:val="00AE70BD"/>
    <w:rsid w:val="00AE768C"/>
    <w:rsid w:val="00AF03C9"/>
    <w:rsid w:val="00AF0A2D"/>
    <w:rsid w:val="00AF0D55"/>
    <w:rsid w:val="00AF142B"/>
    <w:rsid w:val="00AF15D8"/>
    <w:rsid w:val="00AF25C1"/>
    <w:rsid w:val="00AF3162"/>
    <w:rsid w:val="00AF4919"/>
    <w:rsid w:val="00AF49ED"/>
    <w:rsid w:val="00AF5C05"/>
    <w:rsid w:val="00AF5C7A"/>
    <w:rsid w:val="00AF5E21"/>
    <w:rsid w:val="00AF68B0"/>
    <w:rsid w:val="00AF6DA2"/>
    <w:rsid w:val="00AF6FDD"/>
    <w:rsid w:val="00AF719C"/>
    <w:rsid w:val="00AF732B"/>
    <w:rsid w:val="00AF73E0"/>
    <w:rsid w:val="00AF7430"/>
    <w:rsid w:val="00AF7888"/>
    <w:rsid w:val="00AF7CF4"/>
    <w:rsid w:val="00B001A4"/>
    <w:rsid w:val="00B01201"/>
    <w:rsid w:val="00B012A8"/>
    <w:rsid w:val="00B01533"/>
    <w:rsid w:val="00B028ED"/>
    <w:rsid w:val="00B02BF1"/>
    <w:rsid w:val="00B030CF"/>
    <w:rsid w:val="00B035EC"/>
    <w:rsid w:val="00B037C2"/>
    <w:rsid w:val="00B03A01"/>
    <w:rsid w:val="00B04301"/>
    <w:rsid w:val="00B04320"/>
    <w:rsid w:val="00B05D12"/>
    <w:rsid w:val="00B06289"/>
    <w:rsid w:val="00B06E61"/>
    <w:rsid w:val="00B07A58"/>
    <w:rsid w:val="00B10846"/>
    <w:rsid w:val="00B1093B"/>
    <w:rsid w:val="00B11257"/>
    <w:rsid w:val="00B11637"/>
    <w:rsid w:val="00B11EB8"/>
    <w:rsid w:val="00B12320"/>
    <w:rsid w:val="00B12727"/>
    <w:rsid w:val="00B12877"/>
    <w:rsid w:val="00B12FBC"/>
    <w:rsid w:val="00B13212"/>
    <w:rsid w:val="00B1371B"/>
    <w:rsid w:val="00B13F81"/>
    <w:rsid w:val="00B143FF"/>
    <w:rsid w:val="00B15669"/>
    <w:rsid w:val="00B161D9"/>
    <w:rsid w:val="00B1747F"/>
    <w:rsid w:val="00B17E08"/>
    <w:rsid w:val="00B2192E"/>
    <w:rsid w:val="00B21D0D"/>
    <w:rsid w:val="00B21E0D"/>
    <w:rsid w:val="00B2263D"/>
    <w:rsid w:val="00B22C85"/>
    <w:rsid w:val="00B230C6"/>
    <w:rsid w:val="00B2414E"/>
    <w:rsid w:val="00B2515A"/>
    <w:rsid w:val="00B25414"/>
    <w:rsid w:val="00B25517"/>
    <w:rsid w:val="00B25C3D"/>
    <w:rsid w:val="00B25C62"/>
    <w:rsid w:val="00B25E65"/>
    <w:rsid w:val="00B25F2D"/>
    <w:rsid w:val="00B26053"/>
    <w:rsid w:val="00B2636E"/>
    <w:rsid w:val="00B2681E"/>
    <w:rsid w:val="00B269B8"/>
    <w:rsid w:val="00B27AF2"/>
    <w:rsid w:val="00B30630"/>
    <w:rsid w:val="00B30E19"/>
    <w:rsid w:val="00B314C8"/>
    <w:rsid w:val="00B316E8"/>
    <w:rsid w:val="00B31A7D"/>
    <w:rsid w:val="00B31C23"/>
    <w:rsid w:val="00B31FBB"/>
    <w:rsid w:val="00B32469"/>
    <w:rsid w:val="00B325A2"/>
    <w:rsid w:val="00B32630"/>
    <w:rsid w:val="00B32AA3"/>
    <w:rsid w:val="00B32C04"/>
    <w:rsid w:val="00B333ED"/>
    <w:rsid w:val="00B33997"/>
    <w:rsid w:val="00B33A24"/>
    <w:rsid w:val="00B33C62"/>
    <w:rsid w:val="00B33C64"/>
    <w:rsid w:val="00B3429C"/>
    <w:rsid w:val="00B34381"/>
    <w:rsid w:val="00B34398"/>
    <w:rsid w:val="00B34760"/>
    <w:rsid w:val="00B36A48"/>
    <w:rsid w:val="00B373B0"/>
    <w:rsid w:val="00B37BAE"/>
    <w:rsid w:val="00B404F9"/>
    <w:rsid w:val="00B40709"/>
    <w:rsid w:val="00B41F8B"/>
    <w:rsid w:val="00B42019"/>
    <w:rsid w:val="00B4213F"/>
    <w:rsid w:val="00B4393A"/>
    <w:rsid w:val="00B449D9"/>
    <w:rsid w:val="00B452A4"/>
    <w:rsid w:val="00B460DF"/>
    <w:rsid w:val="00B4615D"/>
    <w:rsid w:val="00B46A76"/>
    <w:rsid w:val="00B46E97"/>
    <w:rsid w:val="00B47147"/>
    <w:rsid w:val="00B47E5F"/>
    <w:rsid w:val="00B47F05"/>
    <w:rsid w:val="00B500C9"/>
    <w:rsid w:val="00B504AD"/>
    <w:rsid w:val="00B51169"/>
    <w:rsid w:val="00B51345"/>
    <w:rsid w:val="00B51A7B"/>
    <w:rsid w:val="00B5206E"/>
    <w:rsid w:val="00B52119"/>
    <w:rsid w:val="00B530BA"/>
    <w:rsid w:val="00B53124"/>
    <w:rsid w:val="00B539B3"/>
    <w:rsid w:val="00B53CE6"/>
    <w:rsid w:val="00B54E23"/>
    <w:rsid w:val="00B556BF"/>
    <w:rsid w:val="00B560D6"/>
    <w:rsid w:val="00B568C7"/>
    <w:rsid w:val="00B56D1E"/>
    <w:rsid w:val="00B56D6D"/>
    <w:rsid w:val="00B56FC9"/>
    <w:rsid w:val="00B5731D"/>
    <w:rsid w:val="00B57624"/>
    <w:rsid w:val="00B576B4"/>
    <w:rsid w:val="00B60BDE"/>
    <w:rsid w:val="00B60CD6"/>
    <w:rsid w:val="00B6168D"/>
    <w:rsid w:val="00B617D0"/>
    <w:rsid w:val="00B6318A"/>
    <w:rsid w:val="00B63730"/>
    <w:rsid w:val="00B63979"/>
    <w:rsid w:val="00B64018"/>
    <w:rsid w:val="00B64E6D"/>
    <w:rsid w:val="00B651C9"/>
    <w:rsid w:val="00B65F4E"/>
    <w:rsid w:val="00B65FC4"/>
    <w:rsid w:val="00B6602B"/>
    <w:rsid w:val="00B66261"/>
    <w:rsid w:val="00B667A1"/>
    <w:rsid w:val="00B66D8C"/>
    <w:rsid w:val="00B67002"/>
    <w:rsid w:val="00B674E1"/>
    <w:rsid w:val="00B703E7"/>
    <w:rsid w:val="00B704DB"/>
    <w:rsid w:val="00B70860"/>
    <w:rsid w:val="00B70D8B"/>
    <w:rsid w:val="00B71F52"/>
    <w:rsid w:val="00B73377"/>
    <w:rsid w:val="00B73850"/>
    <w:rsid w:val="00B744C0"/>
    <w:rsid w:val="00B74649"/>
    <w:rsid w:val="00B758C2"/>
    <w:rsid w:val="00B75DE8"/>
    <w:rsid w:val="00B75E33"/>
    <w:rsid w:val="00B769CA"/>
    <w:rsid w:val="00B76C62"/>
    <w:rsid w:val="00B77EEB"/>
    <w:rsid w:val="00B80092"/>
    <w:rsid w:val="00B81535"/>
    <w:rsid w:val="00B818A0"/>
    <w:rsid w:val="00B81A29"/>
    <w:rsid w:val="00B81CC7"/>
    <w:rsid w:val="00B832B1"/>
    <w:rsid w:val="00B833DD"/>
    <w:rsid w:val="00B83C08"/>
    <w:rsid w:val="00B84923"/>
    <w:rsid w:val="00B84B7D"/>
    <w:rsid w:val="00B8572F"/>
    <w:rsid w:val="00B8701F"/>
    <w:rsid w:val="00B877FC"/>
    <w:rsid w:val="00B87930"/>
    <w:rsid w:val="00B9013D"/>
    <w:rsid w:val="00B905A1"/>
    <w:rsid w:val="00B905D2"/>
    <w:rsid w:val="00B909AA"/>
    <w:rsid w:val="00B90D59"/>
    <w:rsid w:val="00B90E51"/>
    <w:rsid w:val="00B915B0"/>
    <w:rsid w:val="00B927C0"/>
    <w:rsid w:val="00B92D81"/>
    <w:rsid w:val="00B94065"/>
    <w:rsid w:val="00B943EF"/>
    <w:rsid w:val="00B94E4F"/>
    <w:rsid w:val="00B956CD"/>
    <w:rsid w:val="00B964DF"/>
    <w:rsid w:val="00B96B61"/>
    <w:rsid w:val="00B96F9A"/>
    <w:rsid w:val="00B96F9D"/>
    <w:rsid w:val="00B974E4"/>
    <w:rsid w:val="00B97D9C"/>
    <w:rsid w:val="00B97EBB"/>
    <w:rsid w:val="00BA0346"/>
    <w:rsid w:val="00BA05DC"/>
    <w:rsid w:val="00BA07F3"/>
    <w:rsid w:val="00BA0ECA"/>
    <w:rsid w:val="00BA1715"/>
    <w:rsid w:val="00BA273D"/>
    <w:rsid w:val="00BA29AE"/>
    <w:rsid w:val="00BA29C5"/>
    <w:rsid w:val="00BA29E8"/>
    <w:rsid w:val="00BA3525"/>
    <w:rsid w:val="00BA35FA"/>
    <w:rsid w:val="00BA3623"/>
    <w:rsid w:val="00BA464A"/>
    <w:rsid w:val="00BA5020"/>
    <w:rsid w:val="00BA52E5"/>
    <w:rsid w:val="00BA5E07"/>
    <w:rsid w:val="00BA5F17"/>
    <w:rsid w:val="00BA6B2A"/>
    <w:rsid w:val="00BA76B8"/>
    <w:rsid w:val="00BA78F7"/>
    <w:rsid w:val="00BA79F1"/>
    <w:rsid w:val="00BA7A89"/>
    <w:rsid w:val="00BB0092"/>
    <w:rsid w:val="00BB03A6"/>
    <w:rsid w:val="00BB0DF7"/>
    <w:rsid w:val="00BB17C5"/>
    <w:rsid w:val="00BB1CC7"/>
    <w:rsid w:val="00BB1D17"/>
    <w:rsid w:val="00BB1F32"/>
    <w:rsid w:val="00BB216E"/>
    <w:rsid w:val="00BB24F8"/>
    <w:rsid w:val="00BB2931"/>
    <w:rsid w:val="00BB2CB0"/>
    <w:rsid w:val="00BB2F09"/>
    <w:rsid w:val="00BB33E0"/>
    <w:rsid w:val="00BB36A1"/>
    <w:rsid w:val="00BB37FA"/>
    <w:rsid w:val="00BB3F35"/>
    <w:rsid w:val="00BB4BCD"/>
    <w:rsid w:val="00BB4C3A"/>
    <w:rsid w:val="00BB4EEE"/>
    <w:rsid w:val="00BB4F1A"/>
    <w:rsid w:val="00BB4FF6"/>
    <w:rsid w:val="00BB501C"/>
    <w:rsid w:val="00BB58F6"/>
    <w:rsid w:val="00BB5930"/>
    <w:rsid w:val="00BB5D64"/>
    <w:rsid w:val="00BB6845"/>
    <w:rsid w:val="00BB69B9"/>
    <w:rsid w:val="00BB75B8"/>
    <w:rsid w:val="00BC010F"/>
    <w:rsid w:val="00BC0497"/>
    <w:rsid w:val="00BC1396"/>
    <w:rsid w:val="00BC173F"/>
    <w:rsid w:val="00BC1BB6"/>
    <w:rsid w:val="00BC23C9"/>
    <w:rsid w:val="00BC2445"/>
    <w:rsid w:val="00BC2C28"/>
    <w:rsid w:val="00BC32A0"/>
    <w:rsid w:val="00BC34A3"/>
    <w:rsid w:val="00BC3CBA"/>
    <w:rsid w:val="00BC3EFB"/>
    <w:rsid w:val="00BC567B"/>
    <w:rsid w:val="00BD046A"/>
    <w:rsid w:val="00BD092C"/>
    <w:rsid w:val="00BD1473"/>
    <w:rsid w:val="00BD2A24"/>
    <w:rsid w:val="00BD3505"/>
    <w:rsid w:val="00BD357D"/>
    <w:rsid w:val="00BD361A"/>
    <w:rsid w:val="00BD38E3"/>
    <w:rsid w:val="00BD3F89"/>
    <w:rsid w:val="00BD514F"/>
    <w:rsid w:val="00BD5917"/>
    <w:rsid w:val="00BD6492"/>
    <w:rsid w:val="00BD6DE8"/>
    <w:rsid w:val="00BD6DFB"/>
    <w:rsid w:val="00BD7A11"/>
    <w:rsid w:val="00BD7C50"/>
    <w:rsid w:val="00BE02EC"/>
    <w:rsid w:val="00BE05C6"/>
    <w:rsid w:val="00BE07D6"/>
    <w:rsid w:val="00BE15AE"/>
    <w:rsid w:val="00BE223D"/>
    <w:rsid w:val="00BE2576"/>
    <w:rsid w:val="00BE29CD"/>
    <w:rsid w:val="00BE3222"/>
    <w:rsid w:val="00BE3515"/>
    <w:rsid w:val="00BE393B"/>
    <w:rsid w:val="00BE3F17"/>
    <w:rsid w:val="00BE423F"/>
    <w:rsid w:val="00BE447F"/>
    <w:rsid w:val="00BE4784"/>
    <w:rsid w:val="00BE49A4"/>
    <w:rsid w:val="00BE49CD"/>
    <w:rsid w:val="00BE4CA7"/>
    <w:rsid w:val="00BE5511"/>
    <w:rsid w:val="00BE5D4B"/>
    <w:rsid w:val="00BE5FFF"/>
    <w:rsid w:val="00BE6C13"/>
    <w:rsid w:val="00BE720E"/>
    <w:rsid w:val="00BE78CF"/>
    <w:rsid w:val="00BE7AC4"/>
    <w:rsid w:val="00BF1EC9"/>
    <w:rsid w:val="00BF255C"/>
    <w:rsid w:val="00BF359A"/>
    <w:rsid w:val="00BF3A4F"/>
    <w:rsid w:val="00BF4B87"/>
    <w:rsid w:val="00BF4F6E"/>
    <w:rsid w:val="00BF5467"/>
    <w:rsid w:val="00BF58FC"/>
    <w:rsid w:val="00BF5C2C"/>
    <w:rsid w:val="00BF5D44"/>
    <w:rsid w:val="00BF6EF7"/>
    <w:rsid w:val="00BF76B1"/>
    <w:rsid w:val="00BF782A"/>
    <w:rsid w:val="00BF7A49"/>
    <w:rsid w:val="00C0048E"/>
    <w:rsid w:val="00C00E26"/>
    <w:rsid w:val="00C00FC3"/>
    <w:rsid w:val="00C01295"/>
    <w:rsid w:val="00C0193C"/>
    <w:rsid w:val="00C0197C"/>
    <w:rsid w:val="00C01D44"/>
    <w:rsid w:val="00C02DE9"/>
    <w:rsid w:val="00C046DD"/>
    <w:rsid w:val="00C05202"/>
    <w:rsid w:val="00C05321"/>
    <w:rsid w:val="00C0557E"/>
    <w:rsid w:val="00C05F86"/>
    <w:rsid w:val="00C062EE"/>
    <w:rsid w:val="00C0688B"/>
    <w:rsid w:val="00C072CB"/>
    <w:rsid w:val="00C079EA"/>
    <w:rsid w:val="00C106EB"/>
    <w:rsid w:val="00C10724"/>
    <w:rsid w:val="00C1074A"/>
    <w:rsid w:val="00C10A18"/>
    <w:rsid w:val="00C10E86"/>
    <w:rsid w:val="00C126C1"/>
    <w:rsid w:val="00C1440A"/>
    <w:rsid w:val="00C14D38"/>
    <w:rsid w:val="00C14E4E"/>
    <w:rsid w:val="00C1513C"/>
    <w:rsid w:val="00C15738"/>
    <w:rsid w:val="00C15A32"/>
    <w:rsid w:val="00C16651"/>
    <w:rsid w:val="00C16EED"/>
    <w:rsid w:val="00C17440"/>
    <w:rsid w:val="00C177A5"/>
    <w:rsid w:val="00C17FAF"/>
    <w:rsid w:val="00C20A5B"/>
    <w:rsid w:val="00C20C91"/>
    <w:rsid w:val="00C219B3"/>
    <w:rsid w:val="00C21FA1"/>
    <w:rsid w:val="00C22AA7"/>
    <w:rsid w:val="00C22CA7"/>
    <w:rsid w:val="00C232A5"/>
    <w:rsid w:val="00C2357C"/>
    <w:rsid w:val="00C2391B"/>
    <w:rsid w:val="00C23B87"/>
    <w:rsid w:val="00C23E8B"/>
    <w:rsid w:val="00C25C3D"/>
    <w:rsid w:val="00C26413"/>
    <w:rsid w:val="00C2733A"/>
    <w:rsid w:val="00C27A97"/>
    <w:rsid w:val="00C27F54"/>
    <w:rsid w:val="00C30270"/>
    <w:rsid w:val="00C302EF"/>
    <w:rsid w:val="00C30349"/>
    <w:rsid w:val="00C3073F"/>
    <w:rsid w:val="00C31111"/>
    <w:rsid w:val="00C31347"/>
    <w:rsid w:val="00C3176C"/>
    <w:rsid w:val="00C31875"/>
    <w:rsid w:val="00C3194A"/>
    <w:rsid w:val="00C3197B"/>
    <w:rsid w:val="00C31FA0"/>
    <w:rsid w:val="00C327A0"/>
    <w:rsid w:val="00C3289F"/>
    <w:rsid w:val="00C32B36"/>
    <w:rsid w:val="00C3312A"/>
    <w:rsid w:val="00C334D0"/>
    <w:rsid w:val="00C33503"/>
    <w:rsid w:val="00C341F8"/>
    <w:rsid w:val="00C34752"/>
    <w:rsid w:val="00C34D4B"/>
    <w:rsid w:val="00C350C5"/>
    <w:rsid w:val="00C352BA"/>
    <w:rsid w:val="00C35A3B"/>
    <w:rsid w:val="00C35C5E"/>
    <w:rsid w:val="00C35F26"/>
    <w:rsid w:val="00C3605C"/>
    <w:rsid w:val="00C3645E"/>
    <w:rsid w:val="00C3649D"/>
    <w:rsid w:val="00C366BB"/>
    <w:rsid w:val="00C37151"/>
    <w:rsid w:val="00C37CDF"/>
    <w:rsid w:val="00C40132"/>
    <w:rsid w:val="00C4018B"/>
    <w:rsid w:val="00C4068C"/>
    <w:rsid w:val="00C4189C"/>
    <w:rsid w:val="00C41924"/>
    <w:rsid w:val="00C41A33"/>
    <w:rsid w:val="00C41A85"/>
    <w:rsid w:val="00C42E32"/>
    <w:rsid w:val="00C433B8"/>
    <w:rsid w:val="00C434A0"/>
    <w:rsid w:val="00C434A3"/>
    <w:rsid w:val="00C435AE"/>
    <w:rsid w:val="00C438B6"/>
    <w:rsid w:val="00C44064"/>
    <w:rsid w:val="00C4458A"/>
    <w:rsid w:val="00C447E1"/>
    <w:rsid w:val="00C448D7"/>
    <w:rsid w:val="00C452EB"/>
    <w:rsid w:val="00C45E27"/>
    <w:rsid w:val="00C462EE"/>
    <w:rsid w:val="00C4634D"/>
    <w:rsid w:val="00C4641D"/>
    <w:rsid w:val="00C4645A"/>
    <w:rsid w:val="00C4646D"/>
    <w:rsid w:val="00C46AE8"/>
    <w:rsid w:val="00C47095"/>
    <w:rsid w:val="00C470C5"/>
    <w:rsid w:val="00C5058F"/>
    <w:rsid w:val="00C50642"/>
    <w:rsid w:val="00C50F22"/>
    <w:rsid w:val="00C5138B"/>
    <w:rsid w:val="00C51466"/>
    <w:rsid w:val="00C52279"/>
    <w:rsid w:val="00C53305"/>
    <w:rsid w:val="00C533C8"/>
    <w:rsid w:val="00C536D8"/>
    <w:rsid w:val="00C53926"/>
    <w:rsid w:val="00C53D65"/>
    <w:rsid w:val="00C5496F"/>
    <w:rsid w:val="00C54B72"/>
    <w:rsid w:val="00C54D72"/>
    <w:rsid w:val="00C55314"/>
    <w:rsid w:val="00C55788"/>
    <w:rsid w:val="00C55B66"/>
    <w:rsid w:val="00C55C84"/>
    <w:rsid w:val="00C55DAD"/>
    <w:rsid w:val="00C55F2F"/>
    <w:rsid w:val="00C56615"/>
    <w:rsid w:val="00C56785"/>
    <w:rsid w:val="00C5739F"/>
    <w:rsid w:val="00C57D19"/>
    <w:rsid w:val="00C60089"/>
    <w:rsid w:val="00C6070A"/>
    <w:rsid w:val="00C60A27"/>
    <w:rsid w:val="00C60E09"/>
    <w:rsid w:val="00C6134F"/>
    <w:rsid w:val="00C6167B"/>
    <w:rsid w:val="00C61748"/>
    <w:rsid w:val="00C61794"/>
    <w:rsid w:val="00C6218A"/>
    <w:rsid w:val="00C62291"/>
    <w:rsid w:val="00C62A09"/>
    <w:rsid w:val="00C6375D"/>
    <w:rsid w:val="00C65D13"/>
    <w:rsid w:val="00C666E7"/>
    <w:rsid w:val="00C66BA0"/>
    <w:rsid w:val="00C67502"/>
    <w:rsid w:val="00C677BB"/>
    <w:rsid w:val="00C67BB5"/>
    <w:rsid w:val="00C708CB"/>
    <w:rsid w:val="00C70FDF"/>
    <w:rsid w:val="00C71451"/>
    <w:rsid w:val="00C71AA6"/>
    <w:rsid w:val="00C71B3A"/>
    <w:rsid w:val="00C72020"/>
    <w:rsid w:val="00C7285B"/>
    <w:rsid w:val="00C7294D"/>
    <w:rsid w:val="00C72E58"/>
    <w:rsid w:val="00C73371"/>
    <w:rsid w:val="00C73859"/>
    <w:rsid w:val="00C73C37"/>
    <w:rsid w:val="00C74232"/>
    <w:rsid w:val="00C7450F"/>
    <w:rsid w:val="00C74CD1"/>
    <w:rsid w:val="00C75BD2"/>
    <w:rsid w:val="00C75C8C"/>
    <w:rsid w:val="00C75D87"/>
    <w:rsid w:val="00C766A8"/>
    <w:rsid w:val="00C7698F"/>
    <w:rsid w:val="00C76B46"/>
    <w:rsid w:val="00C801CB"/>
    <w:rsid w:val="00C80EA9"/>
    <w:rsid w:val="00C8234F"/>
    <w:rsid w:val="00C82FA5"/>
    <w:rsid w:val="00C831D8"/>
    <w:rsid w:val="00C83469"/>
    <w:rsid w:val="00C8451B"/>
    <w:rsid w:val="00C85312"/>
    <w:rsid w:val="00C85334"/>
    <w:rsid w:val="00C85505"/>
    <w:rsid w:val="00C86237"/>
    <w:rsid w:val="00C86287"/>
    <w:rsid w:val="00C869B8"/>
    <w:rsid w:val="00C86B14"/>
    <w:rsid w:val="00C879BC"/>
    <w:rsid w:val="00C87D20"/>
    <w:rsid w:val="00C87E50"/>
    <w:rsid w:val="00C90725"/>
    <w:rsid w:val="00C90930"/>
    <w:rsid w:val="00C90B31"/>
    <w:rsid w:val="00C90C35"/>
    <w:rsid w:val="00C911A9"/>
    <w:rsid w:val="00C91E8A"/>
    <w:rsid w:val="00C92E48"/>
    <w:rsid w:val="00C935F4"/>
    <w:rsid w:val="00C935F7"/>
    <w:rsid w:val="00C9392C"/>
    <w:rsid w:val="00C93A27"/>
    <w:rsid w:val="00C94C5D"/>
    <w:rsid w:val="00C95D92"/>
    <w:rsid w:val="00C95FD4"/>
    <w:rsid w:val="00C9666B"/>
    <w:rsid w:val="00C96706"/>
    <w:rsid w:val="00CA1562"/>
    <w:rsid w:val="00CA1C35"/>
    <w:rsid w:val="00CA1DA4"/>
    <w:rsid w:val="00CA2B50"/>
    <w:rsid w:val="00CA3093"/>
    <w:rsid w:val="00CA43F5"/>
    <w:rsid w:val="00CA5900"/>
    <w:rsid w:val="00CA5E76"/>
    <w:rsid w:val="00CA6041"/>
    <w:rsid w:val="00CA60E0"/>
    <w:rsid w:val="00CA6651"/>
    <w:rsid w:val="00CA6D3A"/>
    <w:rsid w:val="00CA7586"/>
    <w:rsid w:val="00CA75E5"/>
    <w:rsid w:val="00CB0295"/>
    <w:rsid w:val="00CB0B9A"/>
    <w:rsid w:val="00CB0D13"/>
    <w:rsid w:val="00CB12CB"/>
    <w:rsid w:val="00CB235C"/>
    <w:rsid w:val="00CB2864"/>
    <w:rsid w:val="00CB32F3"/>
    <w:rsid w:val="00CB385F"/>
    <w:rsid w:val="00CB3A44"/>
    <w:rsid w:val="00CB433C"/>
    <w:rsid w:val="00CB4376"/>
    <w:rsid w:val="00CB47DF"/>
    <w:rsid w:val="00CB4CDD"/>
    <w:rsid w:val="00CB52C4"/>
    <w:rsid w:val="00CB5653"/>
    <w:rsid w:val="00CB5B94"/>
    <w:rsid w:val="00CB65BE"/>
    <w:rsid w:val="00CB6690"/>
    <w:rsid w:val="00CB691B"/>
    <w:rsid w:val="00CB6C0A"/>
    <w:rsid w:val="00CB6E68"/>
    <w:rsid w:val="00CB7412"/>
    <w:rsid w:val="00CB75DF"/>
    <w:rsid w:val="00CB7B73"/>
    <w:rsid w:val="00CB7E56"/>
    <w:rsid w:val="00CB7FA0"/>
    <w:rsid w:val="00CC0616"/>
    <w:rsid w:val="00CC0B86"/>
    <w:rsid w:val="00CC13BC"/>
    <w:rsid w:val="00CC1684"/>
    <w:rsid w:val="00CC229C"/>
    <w:rsid w:val="00CC2746"/>
    <w:rsid w:val="00CC3BA9"/>
    <w:rsid w:val="00CC45C8"/>
    <w:rsid w:val="00CC48FD"/>
    <w:rsid w:val="00CC50E0"/>
    <w:rsid w:val="00CC6B25"/>
    <w:rsid w:val="00CC772C"/>
    <w:rsid w:val="00CC7FC9"/>
    <w:rsid w:val="00CD0779"/>
    <w:rsid w:val="00CD0E65"/>
    <w:rsid w:val="00CD271D"/>
    <w:rsid w:val="00CD281E"/>
    <w:rsid w:val="00CD2E05"/>
    <w:rsid w:val="00CD361C"/>
    <w:rsid w:val="00CD378E"/>
    <w:rsid w:val="00CD37C4"/>
    <w:rsid w:val="00CD3C12"/>
    <w:rsid w:val="00CD3EB9"/>
    <w:rsid w:val="00CD4420"/>
    <w:rsid w:val="00CD4790"/>
    <w:rsid w:val="00CD4D5E"/>
    <w:rsid w:val="00CD5303"/>
    <w:rsid w:val="00CD586D"/>
    <w:rsid w:val="00CD63D8"/>
    <w:rsid w:val="00CD76A7"/>
    <w:rsid w:val="00CD76A8"/>
    <w:rsid w:val="00CD7A5A"/>
    <w:rsid w:val="00CE01D6"/>
    <w:rsid w:val="00CE0FB4"/>
    <w:rsid w:val="00CE17A9"/>
    <w:rsid w:val="00CE327A"/>
    <w:rsid w:val="00CE3440"/>
    <w:rsid w:val="00CE37E4"/>
    <w:rsid w:val="00CE3D20"/>
    <w:rsid w:val="00CE3E40"/>
    <w:rsid w:val="00CE3FBC"/>
    <w:rsid w:val="00CE4089"/>
    <w:rsid w:val="00CE467B"/>
    <w:rsid w:val="00CE493D"/>
    <w:rsid w:val="00CE4B8A"/>
    <w:rsid w:val="00CE502E"/>
    <w:rsid w:val="00CE51AE"/>
    <w:rsid w:val="00CE5291"/>
    <w:rsid w:val="00CE53B5"/>
    <w:rsid w:val="00CE5812"/>
    <w:rsid w:val="00CE5883"/>
    <w:rsid w:val="00CE5E68"/>
    <w:rsid w:val="00CE63A2"/>
    <w:rsid w:val="00CE68A6"/>
    <w:rsid w:val="00CE6C38"/>
    <w:rsid w:val="00CE7653"/>
    <w:rsid w:val="00CF05C0"/>
    <w:rsid w:val="00CF06BE"/>
    <w:rsid w:val="00CF0C77"/>
    <w:rsid w:val="00CF1586"/>
    <w:rsid w:val="00CF1BAD"/>
    <w:rsid w:val="00CF1C31"/>
    <w:rsid w:val="00CF1ED4"/>
    <w:rsid w:val="00CF2BF7"/>
    <w:rsid w:val="00CF302C"/>
    <w:rsid w:val="00CF33AD"/>
    <w:rsid w:val="00CF4C9E"/>
    <w:rsid w:val="00CF4ED1"/>
    <w:rsid w:val="00CF5428"/>
    <w:rsid w:val="00CF5F9B"/>
    <w:rsid w:val="00CF64D0"/>
    <w:rsid w:val="00CF68D0"/>
    <w:rsid w:val="00CF69A9"/>
    <w:rsid w:val="00CF6E0E"/>
    <w:rsid w:val="00CF7047"/>
    <w:rsid w:val="00CF7BFD"/>
    <w:rsid w:val="00D0136A"/>
    <w:rsid w:val="00D01499"/>
    <w:rsid w:val="00D01ABA"/>
    <w:rsid w:val="00D01B48"/>
    <w:rsid w:val="00D028FB"/>
    <w:rsid w:val="00D02F0F"/>
    <w:rsid w:val="00D03F2D"/>
    <w:rsid w:val="00D048A7"/>
    <w:rsid w:val="00D0573D"/>
    <w:rsid w:val="00D0710B"/>
    <w:rsid w:val="00D07C39"/>
    <w:rsid w:val="00D1051D"/>
    <w:rsid w:val="00D10A91"/>
    <w:rsid w:val="00D1144A"/>
    <w:rsid w:val="00D1188E"/>
    <w:rsid w:val="00D11971"/>
    <w:rsid w:val="00D11A80"/>
    <w:rsid w:val="00D126D3"/>
    <w:rsid w:val="00D12B46"/>
    <w:rsid w:val="00D12DDC"/>
    <w:rsid w:val="00D1375A"/>
    <w:rsid w:val="00D1376C"/>
    <w:rsid w:val="00D13B34"/>
    <w:rsid w:val="00D13C35"/>
    <w:rsid w:val="00D14AB7"/>
    <w:rsid w:val="00D14FEE"/>
    <w:rsid w:val="00D15343"/>
    <w:rsid w:val="00D15F37"/>
    <w:rsid w:val="00D1643D"/>
    <w:rsid w:val="00D16852"/>
    <w:rsid w:val="00D16E32"/>
    <w:rsid w:val="00D17801"/>
    <w:rsid w:val="00D17A30"/>
    <w:rsid w:val="00D17A45"/>
    <w:rsid w:val="00D17E7F"/>
    <w:rsid w:val="00D17FEC"/>
    <w:rsid w:val="00D20792"/>
    <w:rsid w:val="00D20EE8"/>
    <w:rsid w:val="00D21651"/>
    <w:rsid w:val="00D22168"/>
    <w:rsid w:val="00D223F6"/>
    <w:rsid w:val="00D22F38"/>
    <w:rsid w:val="00D23A6F"/>
    <w:rsid w:val="00D2413F"/>
    <w:rsid w:val="00D24554"/>
    <w:rsid w:val="00D24587"/>
    <w:rsid w:val="00D247D5"/>
    <w:rsid w:val="00D24ADC"/>
    <w:rsid w:val="00D24CD2"/>
    <w:rsid w:val="00D24D48"/>
    <w:rsid w:val="00D250D3"/>
    <w:rsid w:val="00D25771"/>
    <w:rsid w:val="00D263DD"/>
    <w:rsid w:val="00D26AE1"/>
    <w:rsid w:val="00D27193"/>
    <w:rsid w:val="00D27B15"/>
    <w:rsid w:val="00D30AC8"/>
    <w:rsid w:val="00D30ECC"/>
    <w:rsid w:val="00D31430"/>
    <w:rsid w:val="00D31F57"/>
    <w:rsid w:val="00D32374"/>
    <w:rsid w:val="00D325F3"/>
    <w:rsid w:val="00D32F27"/>
    <w:rsid w:val="00D333EA"/>
    <w:rsid w:val="00D33D29"/>
    <w:rsid w:val="00D34028"/>
    <w:rsid w:val="00D343B4"/>
    <w:rsid w:val="00D34935"/>
    <w:rsid w:val="00D34D0A"/>
    <w:rsid w:val="00D34E6F"/>
    <w:rsid w:val="00D35313"/>
    <w:rsid w:val="00D35926"/>
    <w:rsid w:val="00D360CF"/>
    <w:rsid w:val="00D37169"/>
    <w:rsid w:val="00D37733"/>
    <w:rsid w:val="00D40B97"/>
    <w:rsid w:val="00D41024"/>
    <w:rsid w:val="00D41E72"/>
    <w:rsid w:val="00D42612"/>
    <w:rsid w:val="00D43434"/>
    <w:rsid w:val="00D437B9"/>
    <w:rsid w:val="00D437CF"/>
    <w:rsid w:val="00D43AE2"/>
    <w:rsid w:val="00D43FB5"/>
    <w:rsid w:val="00D44974"/>
    <w:rsid w:val="00D44CF1"/>
    <w:rsid w:val="00D45AB2"/>
    <w:rsid w:val="00D46547"/>
    <w:rsid w:val="00D465A8"/>
    <w:rsid w:val="00D46EE7"/>
    <w:rsid w:val="00D46EF9"/>
    <w:rsid w:val="00D472E6"/>
    <w:rsid w:val="00D4781A"/>
    <w:rsid w:val="00D47B6C"/>
    <w:rsid w:val="00D47F8C"/>
    <w:rsid w:val="00D50762"/>
    <w:rsid w:val="00D514E4"/>
    <w:rsid w:val="00D51E29"/>
    <w:rsid w:val="00D52809"/>
    <w:rsid w:val="00D52C6A"/>
    <w:rsid w:val="00D53701"/>
    <w:rsid w:val="00D53900"/>
    <w:rsid w:val="00D53AC4"/>
    <w:rsid w:val="00D53D04"/>
    <w:rsid w:val="00D54237"/>
    <w:rsid w:val="00D5496C"/>
    <w:rsid w:val="00D55279"/>
    <w:rsid w:val="00D557C7"/>
    <w:rsid w:val="00D55EF4"/>
    <w:rsid w:val="00D5644D"/>
    <w:rsid w:val="00D56F16"/>
    <w:rsid w:val="00D57A8A"/>
    <w:rsid w:val="00D57F15"/>
    <w:rsid w:val="00D62481"/>
    <w:rsid w:val="00D6252B"/>
    <w:rsid w:val="00D62DC0"/>
    <w:rsid w:val="00D63599"/>
    <w:rsid w:val="00D63F07"/>
    <w:rsid w:val="00D64102"/>
    <w:rsid w:val="00D644DB"/>
    <w:rsid w:val="00D6471D"/>
    <w:rsid w:val="00D653A3"/>
    <w:rsid w:val="00D65682"/>
    <w:rsid w:val="00D65833"/>
    <w:rsid w:val="00D65CF2"/>
    <w:rsid w:val="00D662B8"/>
    <w:rsid w:val="00D66617"/>
    <w:rsid w:val="00D66974"/>
    <w:rsid w:val="00D66B90"/>
    <w:rsid w:val="00D672F8"/>
    <w:rsid w:val="00D677AD"/>
    <w:rsid w:val="00D67D53"/>
    <w:rsid w:val="00D7077A"/>
    <w:rsid w:val="00D70914"/>
    <w:rsid w:val="00D70B58"/>
    <w:rsid w:val="00D71763"/>
    <w:rsid w:val="00D71DDD"/>
    <w:rsid w:val="00D71F23"/>
    <w:rsid w:val="00D7224C"/>
    <w:rsid w:val="00D72484"/>
    <w:rsid w:val="00D727D8"/>
    <w:rsid w:val="00D72CE5"/>
    <w:rsid w:val="00D72DA0"/>
    <w:rsid w:val="00D73566"/>
    <w:rsid w:val="00D73FF8"/>
    <w:rsid w:val="00D740C3"/>
    <w:rsid w:val="00D7489E"/>
    <w:rsid w:val="00D748E3"/>
    <w:rsid w:val="00D74CBC"/>
    <w:rsid w:val="00D75585"/>
    <w:rsid w:val="00D758DC"/>
    <w:rsid w:val="00D761AE"/>
    <w:rsid w:val="00D764AD"/>
    <w:rsid w:val="00D76998"/>
    <w:rsid w:val="00D806B2"/>
    <w:rsid w:val="00D80CA5"/>
    <w:rsid w:val="00D81144"/>
    <w:rsid w:val="00D81251"/>
    <w:rsid w:val="00D8139E"/>
    <w:rsid w:val="00D817C4"/>
    <w:rsid w:val="00D81A40"/>
    <w:rsid w:val="00D81DA0"/>
    <w:rsid w:val="00D820D7"/>
    <w:rsid w:val="00D82C14"/>
    <w:rsid w:val="00D82D6A"/>
    <w:rsid w:val="00D83398"/>
    <w:rsid w:val="00D837EC"/>
    <w:rsid w:val="00D845E9"/>
    <w:rsid w:val="00D84B23"/>
    <w:rsid w:val="00D84BE6"/>
    <w:rsid w:val="00D85C48"/>
    <w:rsid w:val="00D85F97"/>
    <w:rsid w:val="00D87F12"/>
    <w:rsid w:val="00D87FAC"/>
    <w:rsid w:val="00D901C0"/>
    <w:rsid w:val="00D902D1"/>
    <w:rsid w:val="00D9122C"/>
    <w:rsid w:val="00D91709"/>
    <w:rsid w:val="00D91AB6"/>
    <w:rsid w:val="00D92BD6"/>
    <w:rsid w:val="00D9325A"/>
    <w:rsid w:val="00D93748"/>
    <w:rsid w:val="00D95481"/>
    <w:rsid w:val="00D95632"/>
    <w:rsid w:val="00D96149"/>
    <w:rsid w:val="00D9649E"/>
    <w:rsid w:val="00D96A49"/>
    <w:rsid w:val="00D96DFF"/>
    <w:rsid w:val="00D96F39"/>
    <w:rsid w:val="00D971B5"/>
    <w:rsid w:val="00D97253"/>
    <w:rsid w:val="00D97EE9"/>
    <w:rsid w:val="00D97F9B"/>
    <w:rsid w:val="00DA038A"/>
    <w:rsid w:val="00DA0575"/>
    <w:rsid w:val="00DA094D"/>
    <w:rsid w:val="00DA11B1"/>
    <w:rsid w:val="00DA1633"/>
    <w:rsid w:val="00DA1769"/>
    <w:rsid w:val="00DA19C5"/>
    <w:rsid w:val="00DA1B61"/>
    <w:rsid w:val="00DA2D83"/>
    <w:rsid w:val="00DA398B"/>
    <w:rsid w:val="00DA3A1A"/>
    <w:rsid w:val="00DA3DFC"/>
    <w:rsid w:val="00DA4108"/>
    <w:rsid w:val="00DA4272"/>
    <w:rsid w:val="00DA4397"/>
    <w:rsid w:val="00DA517C"/>
    <w:rsid w:val="00DA5273"/>
    <w:rsid w:val="00DA5471"/>
    <w:rsid w:val="00DA5B66"/>
    <w:rsid w:val="00DA60DA"/>
    <w:rsid w:val="00DA68CD"/>
    <w:rsid w:val="00DB00E7"/>
    <w:rsid w:val="00DB02D0"/>
    <w:rsid w:val="00DB05D1"/>
    <w:rsid w:val="00DB0B8A"/>
    <w:rsid w:val="00DB118C"/>
    <w:rsid w:val="00DB1ABC"/>
    <w:rsid w:val="00DB1F43"/>
    <w:rsid w:val="00DB2BF3"/>
    <w:rsid w:val="00DB2EEB"/>
    <w:rsid w:val="00DB32AF"/>
    <w:rsid w:val="00DB3A37"/>
    <w:rsid w:val="00DB408A"/>
    <w:rsid w:val="00DB4C93"/>
    <w:rsid w:val="00DB511A"/>
    <w:rsid w:val="00DB5D6B"/>
    <w:rsid w:val="00DB60D1"/>
    <w:rsid w:val="00DB60DB"/>
    <w:rsid w:val="00DB6A93"/>
    <w:rsid w:val="00DB7856"/>
    <w:rsid w:val="00DB7C7A"/>
    <w:rsid w:val="00DC0DF4"/>
    <w:rsid w:val="00DC165E"/>
    <w:rsid w:val="00DC18ED"/>
    <w:rsid w:val="00DC1998"/>
    <w:rsid w:val="00DC203D"/>
    <w:rsid w:val="00DC2922"/>
    <w:rsid w:val="00DC2F5E"/>
    <w:rsid w:val="00DC3223"/>
    <w:rsid w:val="00DC34B5"/>
    <w:rsid w:val="00DC4847"/>
    <w:rsid w:val="00DC497B"/>
    <w:rsid w:val="00DC49C1"/>
    <w:rsid w:val="00DC5E4D"/>
    <w:rsid w:val="00DC625F"/>
    <w:rsid w:val="00DC62CD"/>
    <w:rsid w:val="00DC6B52"/>
    <w:rsid w:val="00DC78F5"/>
    <w:rsid w:val="00DC7A90"/>
    <w:rsid w:val="00DC7EFC"/>
    <w:rsid w:val="00DD01DC"/>
    <w:rsid w:val="00DD041F"/>
    <w:rsid w:val="00DD1839"/>
    <w:rsid w:val="00DD1B79"/>
    <w:rsid w:val="00DD1BFD"/>
    <w:rsid w:val="00DD2068"/>
    <w:rsid w:val="00DD2632"/>
    <w:rsid w:val="00DD26D6"/>
    <w:rsid w:val="00DD2ABC"/>
    <w:rsid w:val="00DD2F62"/>
    <w:rsid w:val="00DD3FA1"/>
    <w:rsid w:val="00DD46ED"/>
    <w:rsid w:val="00DD5082"/>
    <w:rsid w:val="00DD52E5"/>
    <w:rsid w:val="00DD54E6"/>
    <w:rsid w:val="00DD7E06"/>
    <w:rsid w:val="00DD7FE1"/>
    <w:rsid w:val="00DE0225"/>
    <w:rsid w:val="00DE0AB2"/>
    <w:rsid w:val="00DE0DCB"/>
    <w:rsid w:val="00DE2A4B"/>
    <w:rsid w:val="00DE2AD5"/>
    <w:rsid w:val="00DE2FE3"/>
    <w:rsid w:val="00DE3231"/>
    <w:rsid w:val="00DE3637"/>
    <w:rsid w:val="00DE4532"/>
    <w:rsid w:val="00DE5353"/>
    <w:rsid w:val="00DE595A"/>
    <w:rsid w:val="00DE60C0"/>
    <w:rsid w:val="00DE6628"/>
    <w:rsid w:val="00DE6E4F"/>
    <w:rsid w:val="00DE729C"/>
    <w:rsid w:val="00DF034A"/>
    <w:rsid w:val="00DF08CF"/>
    <w:rsid w:val="00DF117F"/>
    <w:rsid w:val="00DF1989"/>
    <w:rsid w:val="00DF2653"/>
    <w:rsid w:val="00DF2C31"/>
    <w:rsid w:val="00DF3070"/>
    <w:rsid w:val="00DF3633"/>
    <w:rsid w:val="00DF3AF3"/>
    <w:rsid w:val="00DF3BED"/>
    <w:rsid w:val="00DF3D95"/>
    <w:rsid w:val="00DF408C"/>
    <w:rsid w:val="00DF4834"/>
    <w:rsid w:val="00DF4EF5"/>
    <w:rsid w:val="00DF5629"/>
    <w:rsid w:val="00DF5F09"/>
    <w:rsid w:val="00DF608D"/>
    <w:rsid w:val="00DF7806"/>
    <w:rsid w:val="00DF784B"/>
    <w:rsid w:val="00DF79FE"/>
    <w:rsid w:val="00DF7FA2"/>
    <w:rsid w:val="00E00017"/>
    <w:rsid w:val="00E00E43"/>
    <w:rsid w:val="00E0184D"/>
    <w:rsid w:val="00E01D44"/>
    <w:rsid w:val="00E021BC"/>
    <w:rsid w:val="00E0257F"/>
    <w:rsid w:val="00E02859"/>
    <w:rsid w:val="00E02A56"/>
    <w:rsid w:val="00E0351D"/>
    <w:rsid w:val="00E03C1F"/>
    <w:rsid w:val="00E03E90"/>
    <w:rsid w:val="00E042D0"/>
    <w:rsid w:val="00E04789"/>
    <w:rsid w:val="00E051A8"/>
    <w:rsid w:val="00E05317"/>
    <w:rsid w:val="00E053B5"/>
    <w:rsid w:val="00E05C58"/>
    <w:rsid w:val="00E05EF2"/>
    <w:rsid w:val="00E06963"/>
    <w:rsid w:val="00E06A6C"/>
    <w:rsid w:val="00E06B0B"/>
    <w:rsid w:val="00E07037"/>
    <w:rsid w:val="00E0774A"/>
    <w:rsid w:val="00E10A74"/>
    <w:rsid w:val="00E10F1F"/>
    <w:rsid w:val="00E10F97"/>
    <w:rsid w:val="00E112FD"/>
    <w:rsid w:val="00E11308"/>
    <w:rsid w:val="00E11A6A"/>
    <w:rsid w:val="00E12030"/>
    <w:rsid w:val="00E12B6E"/>
    <w:rsid w:val="00E13553"/>
    <w:rsid w:val="00E13C7D"/>
    <w:rsid w:val="00E14444"/>
    <w:rsid w:val="00E14C9E"/>
    <w:rsid w:val="00E14DE3"/>
    <w:rsid w:val="00E14F8E"/>
    <w:rsid w:val="00E14FC6"/>
    <w:rsid w:val="00E16015"/>
    <w:rsid w:val="00E17CDF"/>
    <w:rsid w:val="00E17D78"/>
    <w:rsid w:val="00E21157"/>
    <w:rsid w:val="00E21288"/>
    <w:rsid w:val="00E21AB1"/>
    <w:rsid w:val="00E21E4C"/>
    <w:rsid w:val="00E21F34"/>
    <w:rsid w:val="00E22CA6"/>
    <w:rsid w:val="00E23130"/>
    <w:rsid w:val="00E237D5"/>
    <w:rsid w:val="00E237D8"/>
    <w:rsid w:val="00E23E9B"/>
    <w:rsid w:val="00E242F1"/>
    <w:rsid w:val="00E2449A"/>
    <w:rsid w:val="00E2458B"/>
    <w:rsid w:val="00E24D64"/>
    <w:rsid w:val="00E24FD2"/>
    <w:rsid w:val="00E255A0"/>
    <w:rsid w:val="00E25BD6"/>
    <w:rsid w:val="00E25D8D"/>
    <w:rsid w:val="00E25ECD"/>
    <w:rsid w:val="00E26A8B"/>
    <w:rsid w:val="00E26BAC"/>
    <w:rsid w:val="00E27116"/>
    <w:rsid w:val="00E2777B"/>
    <w:rsid w:val="00E30581"/>
    <w:rsid w:val="00E3179F"/>
    <w:rsid w:val="00E31D1D"/>
    <w:rsid w:val="00E32165"/>
    <w:rsid w:val="00E3239E"/>
    <w:rsid w:val="00E325DB"/>
    <w:rsid w:val="00E33915"/>
    <w:rsid w:val="00E3512E"/>
    <w:rsid w:val="00E358E1"/>
    <w:rsid w:val="00E3590F"/>
    <w:rsid w:val="00E359C9"/>
    <w:rsid w:val="00E361E7"/>
    <w:rsid w:val="00E373F2"/>
    <w:rsid w:val="00E3766F"/>
    <w:rsid w:val="00E37B52"/>
    <w:rsid w:val="00E37D42"/>
    <w:rsid w:val="00E4015C"/>
    <w:rsid w:val="00E40368"/>
    <w:rsid w:val="00E421D4"/>
    <w:rsid w:val="00E42680"/>
    <w:rsid w:val="00E4278F"/>
    <w:rsid w:val="00E42CF2"/>
    <w:rsid w:val="00E42D5B"/>
    <w:rsid w:val="00E43053"/>
    <w:rsid w:val="00E43156"/>
    <w:rsid w:val="00E43DC7"/>
    <w:rsid w:val="00E4472A"/>
    <w:rsid w:val="00E44761"/>
    <w:rsid w:val="00E44C23"/>
    <w:rsid w:val="00E44CEC"/>
    <w:rsid w:val="00E45646"/>
    <w:rsid w:val="00E458EC"/>
    <w:rsid w:val="00E45B09"/>
    <w:rsid w:val="00E4642E"/>
    <w:rsid w:val="00E46A6F"/>
    <w:rsid w:val="00E46E95"/>
    <w:rsid w:val="00E4705E"/>
    <w:rsid w:val="00E477E7"/>
    <w:rsid w:val="00E47A02"/>
    <w:rsid w:val="00E505F7"/>
    <w:rsid w:val="00E50702"/>
    <w:rsid w:val="00E526C6"/>
    <w:rsid w:val="00E52A83"/>
    <w:rsid w:val="00E52AB8"/>
    <w:rsid w:val="00E530F7"/>
    <w:rsid w:val="00E53246"/>
    <w:rsid w:val="00E53730"/>
    <w:rsid w:val="00E53846"/>
    <w:rsid w:val="00E54940"/>
    <w:rsid w:val="00E54D78"/>
    <w:rsid w:val="00E54EB2"/>
    <w:rsid w:val="00E552B0"/>
    <w:rsid w:val="00E55B40"/>
    <w:rsid w:val="00E55F02"/>
    <w:rsid w:val="00E56082"/>
    <w:rsid w:val="00E56146"/>
    <w:rsid w:val="00E56C10"/>
    <w:rsid w:val="00E56D6A"/>
    <w:rsid w:val="00E57926"/>
    <w:rsid w:val="00E57EE3"/>
    <w:rsid w:val="00E601F5"/>
    <w:rsid w:val="00E6039B"/>
    <w:rsid w:val="00E603AF"/>
    <w:rsid w:val="00E6073D"/>
    <w:rsid w:val="00E608BF"/>
    <w:rsid w:val="00E60BC4"/>
    <w:rsid w:val="00E617D3"/>
    <w:rsid w:val="00E61BBC"/>
    <w:rsid w:val="00E620BA"/>
    <w:rsid w:val="00E62268"/>
    <w:rsid w:val="00E629B4"/>
    <w:rsid w:val="00E63313"/>
    <w:rsid w:val="00E63615"/>
    <w:rsid w:val="00E640EA"/>
    <w:rsid w:val="00E6503C"/>
    <w:rsid w:val="00E6561D"/>
    <w:rsid w:val="00E65EC7"/>
    <w:rsid w:val="00E6658E"/>
    <w:rsid w:val="00E6755E"/>
    <w:rsid w:val="00E67ADB"/>
    <w:rsid w:val="00E70A3D"/>
    <w:rsid w:val="00E70EB7"/>
    <w:rsid w:val="00E71421"/>
    <w:rsid w:val="00E734F7"/>
    <w:rsid w:val="00E73B9A"/>
    <w:rsid w:val="00E73D67"/>
    <w:rsid w:val="00E75295"/>
    <w:rsid w:val="00E75654"/>
    <w:rsid w:val="00E763D2"/>
    <w:rsid w:val="00E76A05"/>
    <w:rsid w:val="00E76C35"/>
    <w:rsid w:val="00E77422"/>
    <w:rsid w:val="00E77465"/>
    <w:rsid w:val="00E77908"/>
    <w:rsid w:val="00E77FDA"/>
    <w:rsid w:val="00E806A2"/>
    <w:rsid w:val="00E813EC"/>
    <w:rsid w:val="00E817B7"/>
    <w:rsid w:val="00E81A40"/>
    <w:rsid w:val="00E82265"/>
    <w:rsid w:val="00E8290D"/>
    <w:rsid w:val="00E82D3E"/>
    <w:rsid w:val="00E82D4C"/>
    <w:rsid w:val="00E82DA8"/>
    <w:rsid w:val="00E82EA8"/>
    <w:rsid w:val="00E83044"/>
    <w:rsid w:val="00E834A0"/>
    <w:rsid w:val="00E83712"/>
    <w:rsid w:val="00E837AF"/>
    <w:rsid w:val="00E838C2"/>
    <w:rsid w:val="00E83E6B"/>
    <w:rsid w:val="00E844D4"/>
    <w:rsid w:val="00E84B66"/>
    <w:rsid w:val="00E858B1"/>
    <w:rsid w:val="00E861AB"/>
    <w:rsid w:val="00E86CA7"/>
    <w:rsid w:val="00E86D79"/>
    <w:rsid w:val="00E87A59"/>
    <w:rsid w:val="00E87A5A"/>
    <w:rsid w:val="00E87CA2"/>
    <w:rsid w:val="00E902C9"/>
    <w:rsid w:val="00E90563"/>
    <w:rsid w:val="00E90845"/>
    <w:rsid w:val="00E9158D"/>
    <w:rsid w:val="00E927A4"/>
    <w:rsid w:val="00E93208"/>
    <w:rsid w:val="00E93BEA"/>
    <w:rsid w:val="00E94160"/>
    <w:rsid w:val="00E949F5"/>
    <w:rsid w:val="00E94D11"/>
    <w:rsid w:val="00E95AAD"/>
    <w:rsid w:val="00E95E7A"/>
    <w:rsid w:val="00E96BA1"/>
    <w:rsid w:val="00E97732"/>
    <w:rsid w:val="00E97FBC"/>
    <w:rsid w:val="00EA0010"/>
    <w:rsid w:val="00EA0753"/>
    <w:rsid w:val="00EA0770"/>
    <w:rsid w:val="00EA08E3"/>
    <w:rsid w:val="00EA092C"/>
    <w:rsid w:val="00EA1490"/>
    <w:rsid w:val="00EA194E"/>
    <w:rsid w:val="00EA1B9D"/>
    <w:rsid w:val="00EA223F"/>
    <w:rsid w:val="00EA227E"/>
    <w:rsid w:val="00EA2330"/>
    <w:rsid w:val="00EA26BE"/>
    <w:rsid w:val="00EA289C"/>
    <w:rsid w:val="00EA2D0C"/>
    <w:rsid w:val="00EA36F4"/>
    <w:rsid w:val="00EA3766"/>
    <w:rsid w:val="00EA3A49"/>
    <w:rsid w:val="00EA3D7A"/>
    <w:rsid w:val="00EA4381"/>
    <w:rsid w:val="00EA43B1"/>
    <w:rsid w:val="00EA5658"/>
    <w:rsid w:val="00EA5715"/>
    <w:rsid w:val="00EA5A13"/>
    <w:rsid w:val="00EA5BB3"/>
    <w:rsid w:val="00EA61AD"/>
    <w:rsid w:val="00EA61CC"/>
    <w:rsid w:val="00EA6DCF"/>
    <w:rsid w:val="00EA7659"/>
    <w:rsid w:val="00EB006B"/>
    <w:rsid w:val="00EB0A32"/>
    <w:rsid w:val="00EB12C9"/>
    <w:rsid w:val="00EB1365"/>
    <w:rsid w:val="00EB1647"/>
    <w:rsid w:val="00EB19ED"/>
    <w:rsid w:val="00EB2017"/>
    <w:rsid w:val="00EB2AEC"/>
    <w:rsid w:val="00EB2DE1"/>
    <w:rsid w:val="00EB2EFD"/>
    <w:rsid w:val="00EB327C"/>
    <w:rsid w:val="00EB340A"/>
    <w:rsid w:val="00EB37EA"/>
    <w:rsid w:val="00EB3B6F"/>
    <w:rsid w:val="00EB3D23"/>
    <w:rsid w:val="00EB4444"/>
    <w:rsid w:val="00EB4447"/>
    <w:rsid w:val="00EB4CC1"/>
    <w:rsid w:val="00EB50D2"/>
    <w:rsid w:val="00EB5137"/>
    <w:rsid w:val="00EB59D2"/>
    <w:rsid w:val="00EB6093"/>
    <w:rsid w:val="00EB6602"/>
    <w:rsid w:val="00EB69E1"/>
    <w:rsid w:val="00EB6B8D"/>
    <w:rsid w:val="00EB7722"/>
    <w:rsid w:val="00EB7FB4"/>
    <w:rsid w:val="00EC042F"/>
    <w:rsid w:val="00EC112C"/>
    <w:rsid w:val="00EC15DF"/>
    <w:rsid w:val="00EC1609"/>
    <w:rsid w:val="00EC1C09"/>
    <w:rsid w:val="00EC21C9"/>
    <w:rsid w:val="00EC228F"/>
    <w:rsid w:val="00EC2E96"/>
    <w:rsid w:val="00EC3C43"/>
    <w:rsid w:val="00EC4136"/>
    <w:rsid w:val="00EC43A9"/>
    <w:rsid w:val="00EC4677"/>
    <w:rsid w:val="00EC4A1B"/>
    <w:rsid w:val="00EC51E9"/>
    <w:rsid w:val="00EC5D4B"/>
    <w:rsid w:val="00EC6355"/>
    <w:rsid w:val="00EC6E25"/>
    <w:rsid w:val="00EC75ED"/>
    <w:rsid w:val="00EC7709"/>
    <w:rsid w:val="00EC79CE"/>
    <w:rsid w:val="00EC7CFF"/>
    <w:rsid w:val="00ED0485"/>
    <w:rsid w:val="00ED0619"/>
    <w:rsid w:val="00ED0804"/>
    <w:rsid w:val="00ED106A"/>
    <w:rsid w:val="00ED157F"/>
    <w:rsid w:val="00ED15E0"/>
    <w:rsid w:val="00ED17BD"/>
    <w:rsid w:val="00ED1929"/>
    <w:rsid w:val="00ED1CA8"/>
    <w:rsid w:val="00ED2127"/>
    <w:rsid w:val="00ED2AC9"/>
    <w:rsid w:val="00ED308D"/>
    <w:rsid w:val="00ED3236"/>
    <w:rsid w:val="00ED3751"/>
    <w:rsid w:val="00ED3824"/>
    <w:rsid w:val="00ED4527"/>
    <w:rsid w:val="00ED4841"/>
    <w:rsid w:val="00ED4872"/>
    <w:rsid w:val="00ED4C87"/>
    <w:rsid w:val="00ED4CDC"/>
    <w:rsid w:val="00ED522A"/>
    <w:rsid w:val="00ED526D"/>
    <w:rsid w:val="00ED54F4"/>
    <w:rsid w:val="00ED55B7"/>
    <w:rsid w:val="00ED5604"/>
    <w:rsid w:val="00ED5720"/>
    <w:rsid w:val="00ED5863"/>
    <w:rsid w:val="00ED5D38"/>
    <w:rsid w:val="00ED5ED5"/>
    <w:rsid w:val="00ED66B7"/>
    <w:rsid w:val="00ED6D07"/>
    <w:rsid w:val="00ED7266"/>
    <w:rsid w:val="00ED75FB"/>
    <w:rsid w:val="00ED777B"/>
    <w:rsid w:val="00ED7B12"/>
    <w:rsid w:val="00EE02D1"/>
    <w:rsid w:val="00EE0BF7"/>
    <w:rsid w:val="00EE0D9A"/>
    <w:rsid w:val="00EE13B3"/>
    <w:rsid w:val="00EE215C"/>
    <w:rsid w:val="00EE2F58"/>
    <w:rsid w:val="00EE3115"/>
    <w:rsid w:val="00EE3BF3"/>
    <w:rsid w:val="00EE4400"/>
    <w:rsid w:val="00EE4683"/>
    <w:rsid w:val="00EE4A55"/>
    <w:rsid w:val="00EE4DCC"/>
    <w:rsid w:val="00EE500C"/>
    <w:rsid w:val="00EE50C2"/>
    <w:rsid w:val="00EE5591"/>
    <w:rsid w:val="00EE5FC0"/>
    <w:rsid w:val="00EE655A"/>
    <w:rsid w:val="00EE6C06"/>
    <w:rsid w:val="00EE78F0"/>
    <w:rsid w:val="00EE7BB6"/>
    <w:rsid w:val="00EE7DEE"/>
    <w:rsid w:val="00EF05BB"/>
    <w:rsid w:val="00EF05F5"/>
    <w:rsid w:val="00EF1625"/>
    <w:rsid w:val="00EF22EF"/>
    <w:rsid w:val="00EF25DF"/>
    <w:rsid w:val="00EF29B2"/>
    <w:rsid w:val="00EF2E38"/>
    <w:rsid w:val="00EF3082"/>
    <w:rsid w:val="00EF3152"/>
    <w:rsid w:val="00EF3346"/>
    <w:rsid w:val="00EF360A"/>
    <w:rsid w:val="00EF4480"/>
    <w:rsid w:val="00EF54DD"/>
    <w:rsid w:val="00EF645A"/>
    <w:rsid w:val="00EF6523"/>
    <w:rsid w:val="00EF6CAE"/>
    <w:rsid w:val="00F00B72"/>
    <w:rsid w:val="00F01044"/>
    <w:rsid w:val="00F01179"/>
    <w:rsid w:val="00F028E1"/>
    <w:rsid w:val="00F02DD1"/>
    <w:rsid w:val="00F02EE7"/>
    <w:rsid w:val="00F03774"/>
    <w:rsid w:val="00F0385A"/>
    <w:rsid w:val="00F04075"/>
    <w:rsid w:val="00F0414B"/>
    <w:rsid w:val="00F04308"/>
    <w:rsid w:val="00F0433C"/>
    <w:rsid w:val="00F04442"/>
    <w:rsid w:val="00F0547B"/>
    <w:rsid w:val="00F05623"/>
    <w:rsid w:val="00F056BC"/>
    <w:rsid w:val="00F061C1"/>
    <w:rsid w:val="00F06852"/>
    <w:rsid w:val="00F0743F"/>
    <w:rsid w:val="00F07C81"/>
    <w:rsid w:val="00F07CF0"/>
    <w:rsid w:val="00F1028A"/>
    <w:rsid w:val="00F10C71"/>
    <w:rsid w:val="00F10FC4"/>
    <w:rsid w:val="00F114BE"/>
    <w:rsid w:val="00F11949"/>
    <w:rsid w:val="00F11B64"/>
    <w:rsid w:val="00F131A7"/>
    <w:rsid w:val="00F1358A"/>
    <w:rsid w:val="00F138B8"/>
    <w:rsid w:val="00F13909"/>
    <w:rsid w:val="00F13A67"/>
    <w:rsid w:val="00F13E2A"/>
    <w:rsid w:val="00F14051"/>
    <w:rsid w:val="00F142DB"/>
    <w:rsid w:val="00F143CE"/>
    <w:rsid w:val="00F1446A"/>
    <w:rsid w:val="00F14BF2"/>
    <w:rsid w:val="00F14E76"/>
    <w:rsid w:val="00F15C8E"/>
    <w:rsid w:val="00F15E50"/>
    <w:rsid w:val="00F165A8"/>
    <w:rsid w:val="00F16A62"/>
    <w:rsid w:val="00F16EA4"/>
    <w:rsid w:val="00F17324"/>
    <w:rsid w:val="00F1755C"/>
    <w:rsid w:val="00F17AD4"/>
    <w:rsid w:val="00F17C0F"/>
    <w:rsid w:val="00F17FD8"/>
    <w:rsid w:val="00F206F1"/>
    <w:rsid w:val="00F2089A"/>
    <w:rsid w:val="00F20AB0"/>
    <w:rsid w:val="00F20BFE"/>
    <w:rsid w:val="00F20D8E"/>
    <w:rsid w:val="00F21637"/>
    <w:rsid w:val="00F21825"/>
    <w:rsid w:val="00F21DCA"/>
    <w:rsid w:val="00F220BE"/>
    <w:rsid w:val="00F23442"/>
    <w:rsid w:val="00F2380E"/>
    <w:rsid w:val="00F23A2C"/>
    <w:rsid w:val="00F24AE6"/>
    <w:rsid w:val="00F24CB6"/>
    <w:rsid w:val="00F2542F"/>
    <w:rsid w:val="00F257AD"/>
    <w:rsid w:val="00F25838"/>
    <w:rsid w:val="00F25EE1"/>
    <w:rsid w:val="00F26A91"/>
    <w:rsid w:val="00F275E6"/>
    <w:rsid w:val="00F309D7"/>
    <w:rsid w:val="00F3100E"/>
    <w:rsid w:val="00F31091"/>
    <w:rsid w:val="00F3120D"/>
    <w:rsid w:val="00F31814"/>
    <w:rsid w:val="00F31C03"/>
    <w:rsid w:val="00F321CA"/>
    <w:rsid w:val="00F32769"/>
    <w:rsid w:val="00F32867"/>
    <w:rsid w:val="00F33A7B"/>
    <w:rsid w:val="00F34679"/>
    <w:rsid w:val="00F34C4A"/>
    <w:rsid w:val="00F34FC1"/>
    <w:rsid w:val="00F353EE"/>
    <w:rsid w:val="00F354A4"/>
    <w:rsid w:val="00F3573A"/>
    <w:rsid w:val="00F35754"/>
    <w:rsid w:val="00F35CAB"/>
    <w:rsid w:val="00F35E64"/>
    <w:rsid w:val="00F36009"/>
    <w:rsid w:val="00F3617D"/>
    <w:rsid w:val="00F36400"/>
    <w:rsid w:val="00F3695F"/>
    <w:rsid w:val="00F37070"/>
    <w:rsid w:val="00F37200"/>
    <w:rsid w:val="00F373A8"/>
    <w:rsid w:val="00F37918"/>
    <w:rsid w:val="00F37A08"/>
    <w:rsid w:val="00F37A24"/>
    <w:rsid w:val="00F37C62"/>
    <w:rsid w:val="00F40127"/>
    <w:rsid w:val="00F40142"/>
    <w:rsid w:val="00F40DB4"/>
    <w:rsid w:val="00F41B67"/>
    <w:rsid w:val="00F41C65"/>
    <w:rsid w:val="00F41F6E"/>
    <w:rsid w:val="00F42003"/>
    <w:rsid w:val="00F42576"/>
    <w:rsid w:val="00F446E4"/>
    <w:rsid w:val="00F45A1D"/>
    <w:rsid w:val="00F45CBA"/>
    <w:rsid w:val="00F45CD7"/>
    <w:rsid w:val="00F46291"/>
    <w:rsid w:val="00F46851"/>
    <w:rsid w:val="00F4726D"/>
    <w:rsid w:val="00F47926"/>
    <w:rsid w:val="00F5079F"/>
    <w:rsid w:val="00F52A7A"/>
    <w:rsid w:val="00F52C7A"/>
    <w:rsid w:val="00F52CA7"/>
    <w:rsid w:val="00F52FD9"/>
    <w:rsid w:val="00F53926"/>
    <w:rsid w:val="00F541A1"/>
    <w:rsid w:val="00F558E1"/>
    <w:rsid w:val="00F55CE5"/>
    <w:rsid w:val="00F5611D"/>
    <w:rsid w:val="00F561F4"/>
    <w:rsid w:val="00F568D9"/>
    <w:rsid w:val="00F5697F"/>
    <w:rsid w:val="00F56AF2"/>
    <w:rsid w:val="00F56E51"/>
    <w:rsid w:val="00F5712C"/>
    <w:rsid w:val="00F573EE"/>
    <w:rsid w:val="00F576CD"/>
    <w:rsid w:val="00F57745"/>
    <w:rsid w:val="00F5791B"/>
    <w:rsid w:val="00F615F5"/>
    <w:rsid w:val="00F61C36"/>
    <w:rsid w:val="00F61CA9"/>
    <w:rsid w:val="00F61FA4"/>
    <w:rsid w:val="00F6365D"/>
    <w:rsid w:val="00F63725"/>
    <w:rsid w:val="00F63C6E"/>
    <w:rsid w:val="00F6490D"/>
    <w:rsid w:val="00F651F7"/>
    <w:rsid w:val="00F6591E"/>
    <w:rsid w:val="00F66212"/>
    <w:rsid w:val="00F6642A"/>
    <w:rsid w:val="00F669AF"/>
    <w:rsid w:val="00F673EF"/>
    <w:rsid w:val="00F674B2"/>
    <w:rsid w:val="00F67F59"/>
    <w:rsid w:val="00F67FBD"/>
    <w:rsid w:val="00F706F9"/>
    <w:rsid w:val="00F707A3"/>
    <w:rsid w:val="00F71055"/>
    <w:rsid w:val="00F7148B"/>
    <w:rsid w:val="00F714BA"/>
    <w:rsid w:val="00F7178E"/>
    <w:rsid w:val="00F71CE6"/>
    <w:rsid w:val="00F71E6C"/>
    <w:rsid w:val="00F72D97"/>
    <w:rsid w:val="00F72E21"/>
    <w:rsid w:val="00F732D2"/>
    <w:rsid w:val="00F735E3"/>
    <w:rsid w:val="00F73CF5"/>
    <w:rsid w:val="00F73DBC"/>
    <w:rsid w:val="00F74CF4"/>
    <w:rsid w:val="00F757DE"/>
    <w:rsid w:val="00F75B82"/>
    <w:rsid w:val="00F75DB2"/>
    <w:rsid w:val="00F7607E"/>
    <w:rsid w:val="00F762F7"/>
    <w:rsid w:val="00F76347"/>
    <w:rsid w:val="00F7696B"/>
    <w:rsid w:val="00F775FF"/>
    <w:rsid w:val="00F77C9D"/>
    <w:rsid w:val="00F77CBE"/>
    <w:rsid w:val="00F8010C"/>
    <w:rsid w:val="00F80D35"/>
    <w:rsid w:val="00F81900"/>
    <w:rsid w:val="00F81C8E"/>
    <w:rsid w:val="00F81F8A"/>
    <w:rsid w:val="00F8350A"/>
    <w:rsid w:val="00F84209"/>
    <w:rsid w:val="00F851B2"/>
    <w:rsid w:val="00F85901"/>
    <w:rsid w:val="00F85EC5"/>
    <w:rsid w:val="00F865A0"/>
    <w:rsid w:val="00F8706A"/>
    <w:rsid w:val="00F87406"/>
    <w:rsid w:val="00F87C09"/>
    <w:rsid w:val="00F87D82"/>
    <w:rsid w:val="00F90235"/>
    <w:rsid w:val="00F9032D"/>
    <w:rsid w:val="00F90928"/>
    <w:rsid w:val="00F9158E"/>
    <w:rsid w:val="00F91A87"/>
    <w:rsid w:val="00F91E2A"/>
    <w:rsid w:val="00F9200E"/>
    <w:rsid w:val="00F92726"/>
    <w:rsid w:val="00F92ADE"/>
    <w:rsid w:val="00F93854"/>
    <w:rsid w:val="00F93974"/>
    <w:rsid w:val="00F93EC6"/>
    <w:rsid w:val="00F94029"/>
    <w:rsid w:val="00F949C4"/>
    <w:rsid w:val="00F95EF3"/>
    <w:rsid w:val="00F96563"/>
    <w:rsid w:val="00F96BC3"/>
    <w:rsid w:val="00F97D75"/>
    <w:rsid w:val="00FA0079"/>
    <w:rsid w:val="00FA020F"/>
    <w:rsid w:val="00FA0D78"/>
    <w:rsid w:val="00FA1524"/>
    <w:rsid w:val="00FA19FC"/>
    <w:rsid w:val="00FA1F69"/>
    <w:rsid w:val="00FA21C5"/>
    <w:rsid w:val="00FA26AF"/>
    <w:rsid w:val="00FA2F08"/>
    <w:rsid w:val="00FA3942"/>
    <w:rsid w:val="00FA4071"/>
    <w:rsid w:val="00FA4B55"/>
    <w:rsid w:val="00FA4C7F"/>
    <w:rsid w:val="00FA59F5"/>
    <w:rsid w:val="00FA6162"/>
    <w:rsid w:val="00FA6966"/>
    <w:rsid w:val="00FA703E"/>
    <w:rsid w:val="00FA76C6"/>
    <w:rsid w:val="00FB004C"/>
    <w:rsid w:val="00FB09B1"/>
    <w:rsid w:val="00FB1274"/>
    <w:rsid w:val="00FB157E"/>
    <w:rsid w:val="00FB2499"/>
    <w:rsid w:val="00FB2A1E"/>
    <w:rsid w:val="00FB2FC1"/>
    <w:rsid w:val="00FB326A"/>
    <w:rsid w:val="00FB3316"/>
    <w:rsid w:val="00FB33A0"/>
    <w:rsid w:val="00FB36ED"/>
    <w:rsid w:val="00FB38EE"/>
    <w:rsid w:val="00FB3C30"/>
    <w:rsid w:val="00FB49A6"/>
    <w:rsid w:val="00FB4E68"/>
    <w:rsid w:val="00FB4F97"/>
    <w:rsid w:val="00FB526E"/>
    <w:rsid w:val="00FB5422"/>
    <w:rsid w:val="00FB5712"/>
    <w:rsid w:val="00FB5741"/>
    <w:rsid w:val="00FB5C6A"/>
    <w:rsid w:val="00FB5D8E"/>
    <w:rsid w:val="00FB625A"/>
    <w:rsid w:val="00FB6300"/>
    <w:rsid w:val="00FB706F"/>
    <w:rsid w:val="00FB75AB"/>
    <w:rsid w:val="00FB7914"/>
    <w:rsid w:val="00FB7B61"/>
    <w:rsid w:val="00FB7B90"/>
    <w:rsid w:val="00FB7CF0"/>
    <w:rsid w:val="00FC0003"/>
    <w:rsid w:val="00FC043B"/>
    <w:rsid w:val="00FC09B9"/>
    <w:rsid w:val="00FC0BC3"/>
    <w:rsid w:val="00FC10A0"/>
    <w:rsid w:val="00FC110C"/>
    <w:rsid w:val="00FC28DF"/>
    <w:rsid w:val="00FC2AEB"/>
    <w:rsid w:val="00FC2C24"/>
    <w:rsid w:val="00FC2CAB"/>
    <w:rsid w:val="00FC2F85"/>
    <w:rsid w:val="00FC3095"/>
    <w:rsid w:val="00FC3120"/>
    <w:rsid w:val="00FC322A"/>
    <w:rsid w:val="00FC32FF"/>
    <w:rsid w:val="00FC381C"/>
    <w:rsid w:val="00FC3C00"/>
    <w:rsid w:val="00FC4666"/>
    <w:rsid w:val="00FC4E24"/>
    <w:rsid w:val="00FC54C8"/>
    <w:rsid w:val="00FC550E"/>
    <w:rsid w:val="00FC557D"/>
    <w:rsid w:val="00FC6856"/>
    <w:rsid w:val="00FC6C8D"/>
    <w:rsid w:val="00FC7050"/>
    <w:rsid w:val="00FC709B"/>
    <w:rsid w:val="00FC76F0"/>
    <w:rsid w:val="00FC7996"/>
    <w:rsid w:val="00FD0087"/>
    <w:rsid w:val="00FD00A4"/>
    <w:rsid w:val="00FD05EB"/>
    <w:rsid w:val="00FD07F1"/>
    <w:rsid w:val="00FD1082"/>
    <w:rsid w:val="00FD151D"/>
    <w:rsid w:val="00FD20DA"/>
    <w:rsid w:val="00FD231F"/>
    <w:rsid w:val="00FD2A64"/>
    <w:rsid w:val="00FD3F85"/>
    <w:rsid w:val="00FD4A8B"/>
    <w:rsid w:val="00FD5A43"/>
    <w:rsid w:val="00FD68AB"/>
    <w:rsid w:val="00FD6A61"/>
    <w:rsid w:val="00FD7771"/>
    <w:rsid w:val="00FD7F67"/>
    <w:rsid w:val="00FE016F"/>
    <w:rsid w:val="00FE078A"/>
    <w:rsid w:val="00FE0970"/>
    <w:rsid w:val="00FE0E97"/>
    <w:rsid w:val="00FE16A3"/>
    <w:rsid w:val="00FE185B"/>
    <w:rsid w:val="00FE1C7E"/>
    <w:rsid w:val="00FE244A"/>
    <w:rsid w:val="00FE2B2A"/>
    <w:rsid w:val="00FE382E"/>
    <w:rsid w:val="00FE39F4"/>
    <w:rsid w:val="00FE4214"/>
    <w:rsid w:val="00FE439F"/>
    <w:rsid w:val="00FE4619"/>
    <w:rsid w:val="00FE4B92"/>
    <w:rsid w:val="00FE55DD"/>
    <w:rsid w:val="00FE5897"/>
    <w:rsid w:val="00FE67DF"/>
    <w:rsid w:val="00FE6856"/>
    <w:rsid w:val="00FE7495"/>
    <w:rsid w:val="00FE7999"/>
    <w:rsid w:val="00FF0E28"/>
    <w:rsid w:val="00FF1111"/>
    <w:rsid w:val="00FF142F"/>
    <w:rsid w:val="00FF1469"/>
    <w:rsid w:val="00FF2345"/>
    <w:rsid w:val="00FF26EA"/>
    <w:rsid w:val="00FF2769"/>
    <w:rsid w:val="00FF27AD"/>
    <w:rsid w:val="00FF2A79"/>
    <w:rsid w:val="00FF2EBA"/>
    <w:rsid w:val="00FF3CA0"/>
    <w:rsid w:val="00FF4768"/>
    <w:rsid w:val="00FF4E05"/>
    <w:rsid w:val="00FF504E"/>
    <w:rsid w:val="00FF50DF"/>
    <w:rsid w:val="00FF53BC"/>
    <w:rsid w:val="00FF5A59"/>
    <w:rsid w:val="00FF61BD"/>
    <w:rsid w:val="00FF68DD"/>
    <w:rsid w:val="00FF6DB4"/>
    <w:rsid w:val="00FF7A92"/>
    <w:rsid w:val="00FF7CCD"/>
    <w:rsid w:val="00FF7DE7"/>
    <w:rsid w:val="01D90AA5"/>
    <w:rsid w:val="01E8C6C1"/>
    <w:rsid w:val="02F53F09"/>
    <w:rsid w:val="02F91599"/>
    <w:rsid w:val="03604B48"/>
    <w:rsid w:val="078596AD"/>
    <w:rsid w:val="087ADE69"/>
    <w:rsid w:val="0952C66E"/>
    <w:rsid w:val="09C3B128"/>
    <w:rsid w:val="0B2AD287"/>
    <w:rsid w:val="0B58A28C"/>
    <w:rsid w:val="0B68E7BF"/>
    <w:rsid w:val="0BCB4C7E"/>
    <w:rsid w:val="0C2A075F"/>
    <w:rsid w:val="0CD1C397"/>
    <w:rsid w:val="0F7E0AF1"/>
    <w:rsid w:val="10B818A3"/>
    <w:rsid w:val="1161BC32"/>
    <w:rsid w:val="11735496"/>
    <w:rsid w:val="1222C482"/>
    <w:rsid w:val="12D11C32"/>
    <w:rsid w:val="12EDE94F"/>
    <w:rsid w:val="13D26B89"/>
    <w:rsid w:val="142D8D17"/>
    <w:rsid w:val="14680FBA"/>
    <w:rsid w:val="14B131C6"/>
    <w:rsid w:val="162E9739"/>
    <w:rsid w:val="167C61B8"/>
    <w:rsid w:val="1755523B"/>
    <w:rsid w:val="17B30981"/>
    <w:rsid w:val="17BC5AB1"/>
    <w:rsid w:val="17C97116"/>
    <w:rsid w:val="198D8ECC"/>
    <w:rsid w:val="1B0F03DC"/>
    <w:rsid w:val="1C773E86"/>
    <w:rsid w:val="1E63B7DE"/>
    <w:rsid w:val="20D7FE5A"/>
    <w:rsid w:val="244B5B5D"/>
    <w:rsid w:val="24D86DC5"/>
    <w:rsid w:val="25770621"/>
    <w:rsid w:val="266CB225"/>
    <w:rsid w:val="26EB5FF4"/>
    <w:rsid w:val="2780AED4"/>
    <w:rsid w:val="28A3504D"/>
    <w:rsid w:val="2A7E1209"/>
    <w:rsid w:val="2B15DC34"/>
    <w:rsid w:val="2C06CE45"/>
    <w:rsid w:val="2C3FD5AC"/>
    <w:rsid w:val="2CC2BC11"/>
    <w:rsid w:val="2D44BD4B"/>
    <w:rsid w:val="2FA42F2A"/>
    <w:rsid w:val="32A1476B"/>
    <w:rsid w:val="32CA8A63"/>
    <w:rsid w:val="33E071CF"/>
    <w:rsid w:val="341BC2C1"/>
    <w:rsid w:val="3439903F"/>
    <w:rsid w:val="34791A7E"/>
    <w:rsid w:val="34B77886"/>
    <w:rsid w:val="353E6F1D"/>
    <w:rsid w:val="358EFB6E"/>
    <w:rsid w:val="373EE8E0"/>
    <w:rsid w:val="38248055"/>
    <w:rsid w:val="3861B1B7"/>
    <w:rsid w:val="390A4CB8"/>
    <w:rsid w:val="397E01AD"/>
    <w:rsid w:val="3996DCC4"/>
    <w:rsid w:val="3A1D1A6E"/>
    <w:rsid w:val="3A8BD926"/>
    <w:rsid w:val="3AD2BCF2"/>
    <w:rsid w:val="3B0A1040"/>
    <w:rsid w:val="3B8781A6"/>
    <w:rsid w:val="3C3D4FC5"/>
    <w:rsid w:val="3C4138D3"/>
    <w:rsid w:val="3C5EEA76"/>
    <w:rsid w:val="3CD0D704"/>
    <w:rsid w:val="3DEDEAE1"/>
    <w:rsid w:val="3E60F32B"/>
    <w:rsid w:val="3E6EF105"/>
    <w:rsid w:val="3E7E4C0C"/>
    <w:rsid w:val="3E9036D3"/>
    <w:rsid w:val="3F35318D"/>
    <w:rsid w:val="3FF6DDF4"/>
    <w:rsid w:val="40439484"/>
    <w:rsid w:val="412C1008"/>
    <w:rsid w:val="42E8457F"/>
    <w:rsid w:val="4459906D"/>
    <w:rsid w:val="44D2E6B1"/>
    <w:rsid w:val="44E7BABB"/>
    <w:rsid w:val="45D4A853"/>
    <w:rsid w:val="46F7C5C6"/>
    <w:rsid w:val="4702D4C3"/>
    <w:rsid w:val="486EA8F6"/>
    <w:rsid w:val="48D6FFE1"/>
    <w:rsid w:val="4A1ED0D5"/>
    <w:rsid w:val="4A2BDE34"/>
    <w:rsid w:val="4A41C155"/>
    <w:rsid w:val="4A8319EE"/>
    <w:rsid w:val="4AD8B14A"/>
    <w:rsid w:val="4BAEC043"/>
    <w:rsid w:val="4C3D49A6"/>
    <w:rsid w:val="4C6920A4"/>
    <w:rsid w:val="4CBB0EA9"/>
    <w:rsid w:val="4E023E18"/>
    <w:rsid w:val="4E2ADAE4"/>
    <w:rsid w:val="4E70A0D5"/>
    <w:rsid w:val="502AE06A"/>
    <w:rsid w:val="50B43862"/>
    <w:rsid w:val="50EEAE97"/>
    <w:rsid w:val="533F2045"/>
    <w:rsid w:val="53BCF639"/>
    <w:rsid w:val="5473EA6F"/>
    <w:rsid w:val="55153AC8"/>
    <w:rsid w:val="5533C834"/>
    <w:rsid w:val="56218815"/>
    <w:rsid w:val="57DE91F2"/>
    <w:rsid w:val="588D790D"/>
    <w:rsid w:val="5997E075"/>
    <w:rsid w:val="59BAA08E"/>
    <w:rsid w:val="5A3AC932"/>
    <w:rsid w:val="5B30B4D6"/>
    <w:rsid w:val="5B4EFC2A"/>
    <w:rsid w:val="5CD57353"/>
    <w:rsid w:val="5D99AFD6"/>
    <w:rsid w:val="5F0806C7"/>
    <w:rsid w:val="5F2E3977"/>
    <w:rsid w:val="609F17A7"/>
    <w:rsid w:val="6190DB85"/>
    <w:rsid w:val="63148AB5"/>
    <w:rsid w:val="640C0818"/>
    <w:rsid w:val="641BB1B6"/>
    <w:rsid w:val="642319A6"/>
    <w:rsid w:val="6457F49E"/>
    <w:rsid w:val="6610B16F"/>
    <w:rsid w:val="67CCC5F4"/>
    <w:rsid w:val="67DB00DB"/>
    <w:rsid w:val="68E1CEB5"/>
    <w:rsid w:val="69797D98"/>
    <w:rsid w:val="6A9C50AC"/>
    <w:rsid w:val="6B60446C"/>
    <w:rsid w:val="6B7DC0AE"/>
    <w:rsid w:val="6B9ED776"/>
    <w:rsid w:val="6BC7FE22"/>
    <w:rsid w:val="6C0DC119"/>
    <w:rsid w:val="6CF5FE9B"/>
    <w:rsid w:val="6E9C90CF"/>
    <w:rsid w:val="6F9C77A2"/>
    <w:rsid w:val="6FB0A15E"/>
    <w:rsid w:val="70DBE4BB"/>
    <w:rsid w:val="71021EEB"/>
    <w:rsid w:val="7120AECE"/>
    <w:rsid w:val="721A87B3"/>
    <w:rsid w:val="734D6708"/>
    <w:rsid w:val="738D23D0"/>
    <w:rsid w:val="73B58DCB"/>
    <w:rsid w:val="745751F5"/>
    <w:rsid w:val="74581152"/>
    <w:rsid w:val="74618715"/>
    <w:rsid w:val="74D91355"/>
    <w:rsid w:val="758A0A68"/>
    <w:rsid w:val="75994E34"/>
    <w:rsid w:val="7606C549"/>
    <w:rsid w:val="76274D51"/>
    <w:rsid w:val="76D33C7D"/>
    <w:rsid w:val="770A225A"/>
    <w:rsid w:val="776D3D7E"/>
    <w:rsid w:val="7785A181"/>
    <w:rsid w:val="780F546E"/>
    <w:rsid w:val="783CB6AD"/>
    <w:rsid w:val="79CD9B62"/>
    <w:rsid w:val="7B04D8A1"/>
    <w:rsid w:val="7BD5D5A9"/>
    <w:rsid w:val="7C7FDC5B"/>
    <w:rsid w:val="7CB462A3"/>
    <w:rsid w:val="7CFEE420"/>
    <w:rsid w:val="7D1CA1A2"/>
    <w:rsid w:val="7D25779B"/>
    <w:rsid w:val="7D548C5F"/>
    <w:rsid w:val="7D6BB62A"/>
    <w:rsid w:val="7D74E92B"/>
    <w:rsid w:val="7ECD9B35"/>
    <w:rsid w:val="7F045F0A"/>
    <w:rsid w:val="7F06B8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0D5F2"/>
  <w15:chartTrackingRefBased/>
  <w15:docId w15:val="{198DF97C-CF0C-4624-ABA1-2E66BBE2A0EE}"/>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CD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F06BE"/>
    <w:pPr>
      <w:keepNext/>
      <w:outlineLvl w:val="0"/>
    </w:pPr>
    <w:rPr>
      <w:rFonts w:ascii="Palatino" w:hAnsi="Palatino"/>
      <w:b/>
      <w:u w:val="single"/>
    </w:rPr>
  </w:style>
  <w:style w:type="paragraph" w:styleId="Heading2">
    <w:name w:val="heading 2"/>
    <w:basedOn w:val="Normal"/>
    <w:next w:val="Normal"/>
    <w:link w:val="Heading2Char"/>
    <w:unhideWhenUsed/>
    <w:qFormat/>
    <w:rsid w:val="00CF06BE"/>
    <w:pPr>
      <w:keepNext/>
      <w:tabs>
        <w:tab w:val="left" w:pos="720"/>
      </w:tabs>
      <w:spacing w:after="120"/>
      <w:ind w:left="720"/>
      <w:outlineLvl w:val="1"/>
    </w:pPr>
    <w:rPr>
      <w:rFonts w:ascii="Palatino" w:hAnsi="Palatino"/>
      <w:b/>
    </w:rPr>
  </w:style>
  <w:style w:type="paragraph" w:styleId="Heading6">
    <w:name w:val="heading 6"/>
    <w:basedOn w:val="Normal"/>
    <w:next w:val="Normal"/>
    <w:link w:val="Heading6Char"/>
    <w:semiHidden/>
    <w:unhideWhenUsed/>
    <w:qFormat/>
    <w:rsid w:val="00CF06BE"/>
    <w:pPr>
      <w:keepNext/>
      <w:spacing w:before="120"/>
      <w:jc w:val="righ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6BE"/>
    <w:rPr>
      <w:rFonts w:ascii="Palatino" w:eastAsia="Times New Roman" w:hAnsi="Palatino" w:cs="Times New Roman"/>
      <w:b/>
      <w:sz w:val="24"/>
      <w:szCs w:val="20"/>
      <w:u w:val="single"/>
    </w:rPr>
  </w:style>
  <w:style w:type="character" w:customStyle="1" w:styleId="Heading2Char">
    <w:name w:val="Heading 2 Char"/>
    <w:basedOn w:val="DefaultParagraphFont"/>
    <w:link w:val="Heading2"/>
    <w:rsid w:val="00CF06BE"/>
    <w:rPr>
      <w:rFonts w:ascii="Palatino" w:eastAsia="Times New Roman" w:hAnsi="Palatino" w:cs="Times New Roman"/>
      <w:b/>
      <w:sz w:val="24"/>
      <w:szCs w:val="20"/>
    </w:rPr>
  </w:style>
  <w:style w:type="character" w:customStyle="1" w:styleId="Heading6Char">
    <w:name w:val="Heading 6 Char"/>
    <w:basedOn w:val="DefaultParagraphFont"/>
    <w:link w:val="Heading6"/>
    <w:semiHidden/>
    <w:rsid w:val="00CF06BE"/>
    <w:rPr>
      <w:rFonts w:ascii="Times New Roman" w:eastAsia="Times New Roman" w:hAnsi="Times New Roman" w:cs="Times New Roman"/>
      <w:sz w:val="24"/>
      <w:szCs w:val="20"/>
    </w:rPr>
  </w:style>
  <w:style w:type="character" w:styleId="Hyperlink">
    <w:name w:val="Hyperlink"/>
    <w:uiPriority w:val="99"/>
    <w:semiHidden/>
    <w:unhideWhenUsed/>
    <w:rsid w:val="00CF06BE"/>
    <w:rPr>
      <w:color w:val="0000FF"/>
      <w:u w:val="single"/>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locked/>
    <w:rsid w:val="00CF06BE"/>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uiPriority w:val="99"/>
    <w:unhideWhenUsed/>
    <w:rsid w:val="00CF06BE"/>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CF06BE"/>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CF06BE"/>
  </w:style>
  <w:style w:type="character" w:customStyle="1" w:styleId="CommentTextChar">
    <w:name w:val="Comment Text Char"/>
    <w:basedOn w:val="DefaultParagraphFont"/>
    <w:link w:val="CommentText"/>
    <w:uiPriority w:val="99"/>
    <w:rsid w:val="00CF06BE"/>
    <w:rPr>
      <w:rFonts w:ascii="Times New Roman" w:eastAsia="Times New Roman" w:hAnsi="Times New Roman" w:cs="Times New Roman"/>
      <w:sz w:val="20"/>
      <w:szCs w:val="20"/>
    </w:rPr>
  </w:style>
  <w:style w:type="paragraph" w:styleId="BodyText">
    <w:name w:val="Body Text"/>
    <w:basedOn w:val="Normal"/>
    <w:link w:val="BodyTextChar1"/>
    <w:unhideWhenUsed/>
    <w:rsid w:val="00CF06BE"/>
    <w:pPr>
      <w:tabs>
        <w:tab w:val="left" w:pos="720"/>
      </w:tabs>
      <w:spacing w:after="120"/>
    </w:pPr>
    <w:rPr>
      <w:rFonts w:ascii="Palatino" w:hAnsi="Palatino"/>
    </w:rPr>
  </w:style>
  <w:style w:type="character" w:customStyle="1" w:styleId="BodyTextChar">
    <w:name w:val="Body Text Char"/>
    <w:basedOn w:val="DefaultParagraphFont"/>
    <w:uiPriority w:val="99"/>
    <w:semiHidden/>
    <w:rsid w:val="00CF06BE"/>
    <w:rPr>
      <w:rFonts w:ascii="Times New Roman" w:eastAsia="Times New Roman" w:hAnsi="Times New Roman" w:cs="Times New Roman"/>
      <w:sz w:val="20"/>
      <w:szCs w:val="20"/>
    </w:rPr>
  </w:style>
  <w:style w:type="paragraph" w:styleId="ListParagraph">
    <w:name w:val="List Paragraph"/>
    <w:basedOn w:val="Normal"/>
    <w:uiPriority w:val="34"/>
    <w:qFormat/>
    <w:rsid w:val="00CF06BE"/>
    <w:pPr>
      <w:ind w:left="720"/>
    </w:pPr>
  </w:style>
  <w:style w:type="paragraph" w:customStyle="1" w:styleId="xl41">
    <w:name w:val="xl41"/>
    <w:basedOn w:val="Normal"/>
    <w:rsid w:val="00CF06BE"/>
    <w:pPr>
      <w:overflowPunct w:val="0"/>
      <w:autoSpaceDE w:val="0"/>
      <w:autoSpaceDN w:val="0"/>
      <w:adjustRightInd w:val="0"/>
      <w:spacing w:before="100" w:after="100"/>
    </w:pPr>
    <w:rPr>
      <w:rFonts w:ascii="Arial Unicode MS" w:eastAsia="Arial Unicode MS"/>
    </w:rPr>
  </w:style>
  <w:style w:type="paragraph" w:customStyle="1" w:styleId="xl24">
    <w:name w:val="xl24"/>
    <w:basedOn w:val="Normal"/>
    <w:rsid w:val="00CF06BE"/>
    <w:pPr>
      <w:spacing w:before="100" w:beforeAutospacing="1" w:after="100" w:afterAutospacing="1"/>
      <w:jc w:val="right"/>
    </w:pPr>
    <w:rPr>
      <w:rFonts w:ascii="Arial Unicode MS" w:eastAsia="Arial Unicode MS" w:hAnsi="Arial Unicode MS" w:cs="Arial Unicode MS"/>
      <w:b/>
      <w:bCs/>
      <w:szCs w:val="24"/>
    </w:rPr>
  </w:style>
  <w:style w:type="paragraph" w:customStyle="1" w:styleId="xl28">
    <w:name w:val="xl28"/>
    <w:basedOn w:val="Normal"/>
    <w:rsid w:val="00CF06BE"/>
    <w:pPr>
      <w:spacing w:before="100" w:beforeAutospacing="1" w:after="100" w:afterAutospacing="1"/>
    </w:pPr>
    <w:rPr>
      <w:rFonts w:ascii="Arial" w:eastAsia="Arial Unicode MS" w:hAnsi="Arial" w:cs="Arial"/>
      <w:b/>
      <w:bCs/>
      <w:szCs w:val="24"/>
    </w:rPr>
  </w:style>
  <w:style w:type="paragraph" w:customStyle="1" w:styleId="Default">
    <w:name w:val="Default"/>
    <w:rsid w:val="00CF06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unhideWhenUsed/>
    <w:rsid w:val="00CF06BE"/>
    <w:rPr>
      <w:vertAlign w:val="superscript"/>
    </w:rPr>
  </w:style>
  <w:style w:type="character" w:styleId="CommentReference">
    <w:name w:val="annotation reference"/>
    <w:uiPriority w:val="99"/>
    <w:unhideWhenUsed/>
    <w:rsid w:val="00CF06BE"/>
    <w:rPr>
      <w:sz w:val="16"/>
      <w:szCs w:val="16"/>
    </w:rPr>
  </w:style>
  <w:style w:type="character" w:customStyle="1" w:styleId="BodyTextChar1">
    <w:name w:val="Body Text Char1"/>
    <w:link w:val="BodyText"/>
    <w:locked/>
    <w:rsid w:val="00CF06BE"/>
    <w:rPr>
      <w:rFonts w:ascii="Palatino" w:eastAsia="Times New Roman" w:hAnsi="Palatino" w:cs="Times New Roman"/>
      <w:sz w:val="24"/>
      <w:szCs w:val="20"/>
    </w:rPr>
  </w:style>
  <w:style w:type="table" w:styleId="TableGrid">
    <w:name w:val="Table Grid"/>
    <w:basedOn w:val="TableNormal"/>
    <w:uiPriority w:val="39"/>
    <w:rsid w:val="00CF0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6BE"/>
    <w:rPr>
      <w:rFonts w:ascii="Segoe UI" w:eastAsia="Times New Roman" w:hAnsi="Segoe UI" w:cs="Segoe UI"/>
      <w:sz w:val="18"/>
      <w:szCs w:val="18"/>
    </w:rPr>
  </w:style>
  <w:style w:type="paragraph" w:styleId="Header">
    <w:name w:val="header"/>
    <w:basedOn w:val="Normal"/>
    <w:link w:val="HeaderChar"/>
    <w:unhideWhenUsed/>
    <w:rsid w:val="005417CB"/>
    <w:pPr>
      <w:tabs>
        <w:tab w:val="center" w:pos="4680"/>
        <w:tab w:val="right" w:pos="9360"/>
      </w:tabs>
    </w:pPr>
  </w:style>
  <w:style w:type="character" w:customStyle="1" w:styleId="HeaderChar">
    <w:name w:val="Header Char"/>
    <w:basedOn w:val="DefaultParagraphFont"/>
    <w:link w:val="Header"/>
    <w:uiPriority w:val="99"/>
    <w:rsid w:val="005417C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17CB"/>
    <w:pPr>
      <w:tabs>
        <w:tab w:val="center" w:pos="4680"/>
        <w:tab w:val="right" w:pos="9360"/>
      </w:tabs>
    </w:pPr>
  </w:style>
  <w:style w:type="character" w:customStyle="1" w:styleId="FooterChar">
    <w:name w:val="Footer Char"/>
    <w:basedOn w:val="DefaultParagraphFont"/>
    <w:link w:val="Footer"/>
    <w:uiPriority w:val="99"/>
    <w:rsid w:val="005417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5032"/>
    <w:rPr>
      <w:b/>
      <w:bCs/>
    </w:rPr>
  </w:style>
  <w:style w:type="character" w:customStyle="1" w:styleId="CommentSubjectChar">
    <w:name w:val="Comment Subject Char"/>
    <w:basedOn w:val="CommentTextChar"/>
    <w:link w:val="CommentSubject"/>
    <w:uiPriority w:val="99"/>
    <w:semiHidden/>
    <w:rsid w:val="00035032"/>
    <w:rPr>
      <w:rFonts w:ascii="Times New Roman" w:eastAsia="Times New Roman" w:hAnsi="Times New Roman" w:cs="Times New Roman"/>
      <w:b/>
      <w:bCs/>
      <w:sz w:val="20"/>
      <w:szCs w:val="20"/>
    </w:rPr>
  </w:style>
  <w:style w:type="paragraph" w:styleId="Caption">
    <w:name w:val="caption"/>
    <w:basedOn w:val="Normal"/>
    <w:next w:val="Normal"/>
    <w:unhideWhenUsed/>
    <w:qFormat/>
    <w:rsid w:val="007B6BC5"/>
    <w:pPr>
      <w:spacing w:after="200"/>
    </w:pPr>
    <w:rPr>
      <w:i/>
      <w:iCs/>
      <w:color w:val="44546A" w:themeColor="text2"/>
      <w:sz w:val="18"/>
      <w:szCs w:val="18"/>
    </w:rPr>
  </w:style>
  <w:style w:type="paragraph" w:styleId="EndnoteText">
    <w:name w:val="endnote text"/>
    <w:basedOn w:val="Normal"/>
    <w:link w:val="EndnoteTextChar"/>
    <w:uiPriority w:val="99"/>
    <w:semiHidden/>
    <w:unhideWhenUsed/>
    <w:rsid w:val="00A17579"/>
  </w:style>
  <w:style w:type="character" w:customStyle="1" w:styleId="EndnoteTextChar">
    <w:name w:val="Endnote Text Char"/>
    <w:basedOn w:val="DefaultParagraphFont"/>
    <w:link w:val="EndnoteText"/>
    <w:uiPriority w:val="99"/>
    <w:semiHidden/>
    <w:rsid w:val="00A1757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17579"/>
    <w:rPr>
      <w:vertAlign w:val="superscript"/>
    </w:rPr>
  </w:style>
  <w:style w:type="paragraph" w:styleId="PlainText">
    <w:name w:val="Plain Text"/>
    <w:basedOn w:val="Normal"/>
    <w:link w:val="PlainTextChar"/>
    <w:uiPriority w:val="99"/>
    <w:semiHidden/>
    <w:unhideWhenUsed/>
    <w:rsid w:val="004F011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F0115"/>
    <w:rPr>
      <w:rFonts w:ascii="Calibri" w:hAnsi="Calibri"/>
      <w:szCs w:val="21"/>
    </w:rPr>
  </w:style>
  <w:style w:type="paragraph" w:styleId="Revision">
    <w:name w:val="Revision"/>
    <w:hidden/>
    <w:uiPriority w:val="99"/>
    <w:semiHidden/>
    <w:rsid w:val="009A0D39"/>
    <w:pPr>
      <w:spacing w:after="0" w:line="240" w:lineRule="auto"/>
    </w:pPr>
    <w:rPr>
      <w:rFonts w:ascii="Times New Roman" w:eastAsia="Times New Roman" w:hAnsi="Times New Roman" w:cs="Times New Roman"/>
      <w:sz w:val="24"/>
      <w:szCs w:val="20"/>
    </w:rPr>
  </w:style>
  <w:style w:type="character" w:styleId="BookTitle">
    <w:name w:val="Book Title"/>
    <w:basedOn w:val="DefaultParagraphFont"/>
    <w:uiPriority w:val="33"/>
    <w:qFormat/>
    <w:rsid w:val="001A77E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444655">
      <w:bodyDiv w:val="1"/>
      <w:marLeft w:val="0"/>
      <w:marRight w:val="0"/>
      <w:marTop w:val="0"/>
      <w:marBottom w:val="0"/>
      <w:divBdr>
        <w:top w:val="none" w:sz="0" w:space="0" w:color="auto"/>
        <w:left w:val="none" w:sz="0" w:space="0" w:color="auto"/>
        <w:bottom w:val="none" w:sz="0" w:space="0" w:color="auto"/>
        <w:right w:val="none" w:sz="0" w:space="0" w:color="auto"/>
      </w:divBdr>
    </w:div>
    <w:div w:id="695497991">
      <w:bodyDiv w:val="1"/>
      <w:marLeft w:val="0"/>
      <w:marRight w:val="0"/>
      <w:marTop w:val="0"/>
      <w:marBottom w:val="0"/>
      <w:divBdr>
        <w:top w:val="none" w:sz="0" w:space="0" w:color="auto"/>
        <w:left w:val="none" w:sz="0" w:space="0" w:color="auto"/>
        <w:bottom w:val="none" w:sz="0" w:space="0" w:color="auto"/>
        <w:right w:val="none" w:sz="0" w:space="0" w:color="auto"/>
      </w:divBdr>
    </w:div>
    <w:div w:id="765152939">
      <w:bodyDiv w:val="1"/>
      <w:marLeft w:val="0"/>
      <w:marRight w:val="0"/>
      <w:marTop w:val="0"/>
      <w:marBottom w:val="0"/>
      <w:divBdr>
        <w:top w:val="none" w:sz="0" w:space="0" w:color="auto"/>
        <w:left w:val="none" w:sz="0" w:space="0" w:color="auto"/>
        <w:bottom w:val="none" w:sz="0" w:space="0" w:color="auto"/>
        <w:right w:val="none" w:sz="0" w:space="0" w:color="auto"/>
      </w:divBdr>
    </w:div>
    <w:div w:id="828054755">
      <w:bodyDiv w:val="1"/>
      <w:marLeft w:val="0"/>
      <w:marRight w:val="0"/>
      <w:marTop w:val="0"/>
      <w:marBottom w:val="0"/>
      <w:divBdr>
        <w:top w:val="none" w:sz="0" w:space="0" w:color="auto"/>
        <w:left w:val="none" w:sz="0" w:space="0" w:color="auto"/>
        <w:bottom w:val="none" w:sz="0" w:space="0" w:color="auto"/>
        <w:right w:val="none" w:sz="0" w:space="0" w:color="auto"/>
      </w:divBdr>
    </w:div>
    <w:div w:id="1136525608">
      <w:bodyDiv w:val="1"/>
      <w:marLeft w:val="0"/>
      <w:marRight w:val="0"/>
      <w:marTop w:val="0"/>
      <w:marBottom w:val="0"/>
      <w:divBdr>
        <w:top w:val="none" w:sz="0" w:space="0" w:color="auto"/>
        <w:left w:val="none" w:sz="0" w:space="0" w:color="auto"/>
        <w:bottom w:val="none" w:sz="0" w:space="0" w:color="auto"/>
        <w:right w:val="none" w:sz="0" w:space="0" w:color="auto"/>
      </w:divBdr>
    </w:div>
    <w:div w:id="1306662800">
      <w:bodyDiv w:val="1"/>
      <w:marLeft w:val="0"/>
      <w:marRight w:val="0"/>
      <w:marTop w:val="0"/>
      <w:marBottom w:val="0"/>
      <w:divBdr>
        <w:top w:val="none" w:sz="0" w:space="0" w:color="auto"/>
        <w:left w:val="none" w:sz="0" w:space="0" w:color="auto"/>
        <w:bottom w:val="none" w:sz="0" w:space="0" w:color="auto"/>
        <w:right w:val="none" w:sz="0" w:space="0" w:color="auto"/>
      </w:divBdr>
    </w:div>
    <w:div w:id="1830633349">
      <w:bodyDiv w:val="1"/>
      <w:marLeft w:val="0"/>
      <w:marRight w:val="0"/>
      <w:marTop w:val="0"/>
      <w:marBottom w:val="0"/>
      <w:divBdr>
        <w:top w:val="none" w:sz="0" w:space="0" w:color="auto"/>
        <w:left w:val="none" w:sz="0" w:space="0" w:color="auto"/>
        <w:bottom w:val="none" w:sz="0" w:space="0" w:color="auto"/>
        <w:right w:val="none" w:sz="0" w:space="0" w:color="auto"/>
      </w:divBdr>
    </w:div>
    <w:div w:id="1955284357">
      <w:bodyDiv w:val="1"/>
      <w:marLeft w:val="0"/>
      <w:marRight w:val="0"/>
      <w:marTop w:val="0"/>
      <w:marBottom w:val="0"/>
      <w:divBdr>
        <w:top w:val="none" w:sz="0" w:space="0" w:color="auto"/>
        <w:left w:val="none" w:sz="0" w:space="0" w:color="auto"/>
        <w:bottom w:val="none" w:sz="0" w:space="0" w:color="auto"/>
        <w:right w:val="none" w:sz="0" w:space="0" w:color="auto"/>
      </w:divBdr>
    </w:div>
    <w:div w:id="1968001752">
      <w:bodyDiv w:val="1"/>
      <w:marLeft w:val="0"/>
      <w:marRight w:val="0"/>
      <w:marTop w:val="0"/>
      <w:marBottom w:val="0"/>
      <w:divBdr>
        <w:top w:val="none" w:sz="0" w:space="0" w:color="auto"/>
        <w:left w:val="none" w:sz="0" w:space="0" w:color="auto"/>
        <w:bottom w:val="none" w:sz="0" w:space="0" w:color="auto"/>
        <w:right w:val="none" w:sz="0" w:space="0" w:color="auto"/>
      </w:divBdr>
    </w:div>
    <w:div w:id="20433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uc.ca.gov/PUC/docu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6B2E1BCDB2504D933FD085D860C7E1" ma:contentTypeVersion="8" ma:contentTypeDescription="Create a new document." ma:contentTypeScope="" ma:versionID="c991e4ef5e550da66e51b42e60b04a0c">
  <xsd:schema xmlns:xsd="http://www.w3.org/2001/XMLSchema" xmlns:xs="http://www.w3.org/2001/XMLSchema" xmlns:p="http://schemas.microsoft.com/office/2006/metadata/properties" xmlns:ns2="83eba1bf-38a7-40a8-a330-407b02a4aad4" xmlns:ns3="4d6b6a68-9856-4839-af60-2c31bf8d9205" targetNamespace="http://schemas.microsoft.com/office/2006/metadata/properties" ma:root="true" ma:fieldsID="b8d724260e287cb51fc9d9e7272fa118" ns2:_="" ns3:_="">
    <xsd:import namespace="83eba1bf-38a7-40a8-a330-407b02a4aad4"/>
    <xsd:import namespace="4d6b6a68-9856-4839-af60-2c31bf8d92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ba1bf-38a7-40a8-a330-407b02a4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b6a68-9856-4839-af60-2c31bf8d92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d6b6a68-9856-4839-af60-2c31bf8d9205">
      <UserInfo>
        <DisplayName>Gallardo, Enrique</DisplayName>
        <AccountId>28</AccountId>
        <AccountType/>
      </UserInfo>
      <UserInfo>
        <DisplayName>Mulligan, Jack M.</DisplayName>
        <AccountId>109</AccountId>
        <AccountType/>
      </UserInfo>
      <UserInfo>
        <DisplayName>Fischer, Louise E.</DisplayName>
        <AccountId>13</AccountId>
        <AccountType/>
      </UserInfo>
      <UserInfo>
        <DisplayName>Huang, Xiao Selena</DisplayName>
        <AccountId>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D7E14-2631-4F95-8DD0-E65F9A1BEDDA}">
  <ds:schemaRefs>
    <ds:schemaRef ds:uri="http://schemas.microsoft.com/sharepoint/v3/contenttype/forms"/>
  </ds:schemaRefs>
</ds:datastoreItem>
</file>

<file path=customXml/itemProps2.xml><?xml version="1.0" encoding="utf-8"?>
<ds:datastoreItem xmlns:ds="http://schemas.openxmlformats.org/officeDocument/2006/customXml" ds:itemID="{8EA833EC-C687-4A62-8F7D-1335DC96A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ba1bf-38a7-40a8-a330-407b02a4aad4"/>
    <ds:schemaRef ds:uri="4d6b6a68-9856-4839-af60-2c31bf8d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86DC5-1087-4408-ABC4-F09C499FF554}">
  <ds:schemaRefs>
    <ds:schemaRef ds:uri="http://schemas.microsoft.com/office/2006/metadata/properties"/>
    <ds:schemaRef ds:uri="http://schemas.microsoft.com/office/infopath/2007/PartnerControls"/>
    <ds:schemaRef ds:uri="4d6b6a68-9856-4839-af60-2c31bf8d9205"/>
  </ds:schemaRefs>
</ds:datastoreItem>
</file>

<file path=customXml/itemProps4.xml><?xml version="1.0" encoding="utf-8"?>
<ds:datastoreItem xmlns:ds="http://schemas.openxmlformats.org/officeDocument/2006/customXml" ds:itemID="{FCCBB2B7-DF66-42D1-984D-9B59FB2CB59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23</ap:Pages>
  <ap:Words>5385</ap:Words>
  <ap:Characters>30701</ap:Characters>
  <ap:Application>Microsoft Office Word</ap:Application>
  <ap:DocSecurity>0</ap:DocSecurity>
  <ap:Lines>255</ap:Lines>
  <ap:Paragraphs>72</ap:Paragraphs>
  <ap:ScaleCrop>false</ap:ScaleCrop>
  <ap:Company/>
  <ap:LinksUpToDate>false</ap:LinksUpToDate>
  <ap:CharactersWithSpaces>36014</ap:CharactersWithSpaces>
  <ap:SharedDoc>false</ap:SharedDoc>
  <ap:HLinks>
    <vt:vector baseType="variant" size="6">
      <vt:variant>
        <vt:i4>458783</vt:i4>
      </vt:variant>
      <vt:variant>
        <vt:i4>0</vt:i4>
      </vt:variant>
      <vt:variant>
        <vt:i4>0</vt:i4>
      </vt:variant>
      <vt:variant>
        <vt:i4>5</vt:i4>
      </vt:variant>
      <vt:variant>
        <vt:lpwstr>http://www.cpuc.ca.gov/PUC/documents/</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2019-10-31T21:53:00Z</cp:lastPrinted>
  <dcterms:created xsi:type="dcterms:W3CDTF">2020-11-13T15:53:53Z</dcterms:created>
  <dcterms:modified xsi:type="dcterms:W3CDTF">2020-11-13T15:53:53Z</dcterms:modified>
</cp:coreProperties>
</file>