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742ADB" w:rsidR="008B197F" w:rsidP="00742ADB" w:rsidRDefault="00B80F6A" w14:paraId="243E4A4F" w14:textId="3A609C4B">
      <w:pPr>
        <w:pStyle w:val="Header"/>
        <w:tabs>
          <w:tab w:val="clear" w:pos="4320"/>
          <w:tab w:val="clear" w:pos="8640"/>
          <w:tab w:val="center" w:pos="4680"/>
          <w:tab w:val="right" w:pos="9360"/>
        </w:tabs>
        <w:jc w:val="right"/>
        <w:rPr>
          <w:rFonts w:ascii="Book Antiqua" w:hAnsi="Book Antiqua"/>
          <w:b/>
          <w:szCs w:val="26"/>
        </w:rPr>
      </w:pPr>
      <w:r w:rsidRPr="008B197F">
        <w:rPr>
          <w:rFonts w:ascii="Book Antiqua" w:hAnsi="Book Antiqua"/>
        </w:rPr>
        <w:t>ALJ/</w:t>
      </w:r>
      <w:r w:rsidR="00455112">
        <w:rPr>
          <w:rFonts w:ascii="Book Antiqua" w:hAnsi="Book Antiqua"/>
        </w:rPr>
        <w:t>RMD</w:t>
      </w:r>
      <w:r w:rsidRPr="008B197F">
        <w:rPr>
          <w:rFonts w:ascii="Book Antiqua" w:hAnsi="Book Antiqua"/>
        </w:rPr>
        <w:t>/</w:t>
      </w:r>
      <w:proofErr w:type="spellStart"/>
      <w:r w:rsidRPr="008B197F" w:rsidR="008B197F">
        <w:rPr>
          <w:rFonts w:ascii="Book Antiqua" w:hAnsi="Book Antiqua"/>
        </w:rPr>
        <w:t>mln</w:t>
      </w:r>
      <w:proofErr w:type="spellEnd"/>
      <w:r w:rsidR="00742ADB">
        <w:rPr>
          <w:rFonts w:ascii="Book Antiqua" w:hAnsi="Book Antiqua"/>
        </w:rPr>
        <w:t>/</w:t>
      </w:r>
      <w:proofErr w:type="spellStart"/>
      <w:r w:rsidR="00742ADB">
        <w:rPr>
          <w:rFonts w:ascii="Book Antiqua" w:hAnsi="Book Antiqua"/>
        </w:rPr>
        <w:t>avs</w:t>
      </w:r>
      <w:proofErr w:type="spellEnd"/>
      <w:r w:rsidRPr="00270AB9" w:rsidR="008B197F">
        <w:rPr>
          <w:rFonts w:ascii="Book Antiqua" w:hAnsi="Book Antiqua"/>
          <w:szCs w:val="26"/>
        </w:rPr>
        <w:tab/>
        <w:t xml:space="preserve"> </w:t>
      </w:r>
      <w:r w:rsidRPr="00270AB9" w:rsidR="008B197F">
        <w:rPr>
          <w:rFonts w:ascii="Arial" w:hAnsi="Arial" w:cs="Arial"/>
          <w:b/>
          <w:szCs w:val="26"/>
        </w:rPr>
        <w:t>PROPOSED DECISION</w:t>
      </w:r>
      <w:r w:rsidRPr="00270AB9" w:rsidR="008B197F">
        <w:rPr>
          <w:rFonts w:ascii="Book Antiqua" w:hAnsi="Book Antiqua"/>
          <w:szCs w:val="26"/>
        </w:rPr>
        <w:tab/>
      </w:r>
      <w:r w:rsidRPr="00742ADB" w:rsidR="008B197F">
        <w:rPr>
          <w:rFonts w:ascii="Book Antiqua" w:hAnsi="Book Antiqua"/>
          <w:b/>
          <w:szCs w:val="26"/>
        </w:rPr>
        <w:t>Agenda ID #</w:t>
      </w:r>
      <w:r w:rsidR="00742ADB">
        <w:rPr>
          <w:rFonts w:ascii="Book Antiqua" w:hAnsi="Book Antiqua"/>
          <w:b/>
          <w:szCs w:val="26"/>
        </w:rPr>
        <w:t>18935</w:t>
      </w:r>
    </w:p>
    <w:p w:rsidRPr="00742ADB" w:rsidR="008B197F" w:rsidP="00742ADB" w:rsidRDefault="008B197F" w14:paraId="04B57180" w14:textId="77777777">
      <w:pPr>
        <w:tabs>
          <w:tab w:val="center" w:pos="4320"/>
          <w:tab w:val="right" w:pos="9360"/>
        </w:tabs>
        <w:jc w:val="right"/>
        <w:rPr>
          <w:rFonts w:ascii="Book Antiqua" w:hAnsi="Book Antiqua"/>
          <w:b/>
          <w:szCs w:val="26"/>
        </w:rPr>
      </w:pPr>
      <w:r w:rsidRPr="00742ADB">
        <w:rPr>
          <w:rFonts w:ascii="Book Antiqua" w:hAnsi="Book Antiqua"/>
          <w:b/>
          <w:szCs w:val="26"/>
        </w:rPr>
        <w:tab/>
      </w:r>
      <w:r w:rsidRPr="00742ADB">
        <w:rPr>
          <w:rFonts w:ascii="Book Antiqua" w:hAnsi="Book Antiqua"/>
          <w:b/>
          <w:szCs w:val="26"/>
        </w:rPr>
        <w:tab/>
        <w:t>Ratesetting</w:t>
      </w:r>
    </w:p>
    <w:p w:rsidRPr="00742ADB" w:rsidR="008B197F" w:rsidP="00742ADB" w:rsidRDefault="008B197F" w14:paraId="3FCFE2D6" w14:textId="77777777">
      <w:pPr>
        <w:tabs>
          <w:tab w:val="center" w:pos="4680"/>
          <w:tab w:val="right" w:pos="9360"/>
        </w:tabs>
        <w:jc w:val="right"/>
        <w:rPr>
          <w:rFonts w:ascii="Book Antiqua" w:hAnsi="Book Antiqua"/>
          <w:b/>
          <w:szCs w:val="26"/>
        </w:rPr>
      </w:pPr>
    </w:p>
    <w:p w:rsidRPr="00270AB9" w:rsidR="008B197F" w:rsidP="008B197F" w:rsidRDefault="008B197F" w14:paraId="253E1372" w14:textId="77777777">
      <w:pPr>
        <w:suppressAutoHyphens/>
        <w:rPr>
          <w:rFonts w:ascii="Book Antiqua" w:hAnsi="Book Antiqua"/>
          <w:szCs w:val="26"/>
        </w:rPr>
      </w:pPr>
      <w:r w:rsidRPr="00270AB9">
        <w:rPr>
          <w:rFonts w:ascii="Book Antiqua" w:hAnsi="Book Antiqua"/>
          <w:szCs w:val="26"/>
        </w:rPr>
        <w:t>Decision ____________</w:t>
      </w:r>
    </w:p>
    <w:p w:rsidR="008B197F" w:rsidP="008B197F" w:rsidRDefault="008B197F" w14:paraId="597CBEE0" w14:textId="77777777">
      <w:pPr>
        <w:pStyle w:val="Header"/>
        <w:tabs>
          <w:tab w:val="clear" w:pos="4320"/>
          <w:tab w:val="clear" w:pos="8640"/>
          <w:tab w:val="center" w:pos="4680"/>
          <w:tab w:val="right" w:pos="9360"/>
        </w:tabs>
      </w:pPr>
    </w:p>
    <w:p w:rsidRPr="008B197F" w:rsidR="00B80F6A" w:rsidRDefault="00B80F6A" w14:paraId="56F4E7E0" w14:textId="77777777">
      <w:pPr>
        <w:pStyle w:val="titlebar"/>
        <w:rPr>
          <w:rFonts w:ascii="Arial" w:hAnsi="Arial" w:cs="Arial"/>
          <w:sz w:val="24"/>
        </w:rPr>
      </w:pPr>
      <w:r w:rsidRPr="008B197F">
        <w:rPr>
          <w:rFonts w:ascii="Arial" w:hAnsi="Arial" w:cs="Arial"/>
          <w:sz w:val="24"/>
        </w:rPr>
        <w:t>BEFORE THE PUBLIC UTILITIES COMMISSION OF THE STATE OF CALIFORNIA</w:t>
      </w:r>
    </w:p>
    <w:p w:rsidR="00B80F6A" w:rsidRDefault="00B80F6A" w14:paraId="0C7056F7" w14:textId="77777777">
      <w:pPr>
        <w:suppressAutoHyphens/>
      </w:pPr>
    </w:p>
    <w:tbl>
      <w:tblPr>
        <w:tblW w:w="9558" w:type="dxa"/>
        <w:tblLayout w:type="fixed"/>
        <w:tblLook w:val="0000" w:firstRow="0" w:lastRow="0" w:firstColumn="0" w:lastColumn="0" w:noHBand="0" w:noVBand="0"/>
      </w:tblPr>
      <w:tblGrid>
        <w:gridCol w:w="4950"/>
        <w:gridCol w:w="4608"/>
      </w:tblGrid>
      <w:tr w:rsidRPr="008B197F" w:rsidR="00B80F6A" w:rsidTr="00D547D7" w14:paraId="163AA52A" w14:textId="77777777">
        <w:tc>
          <w:tcPr>
            <w:tcW w:w="4950" w:type="dxa"/>
            <w:tcBorders>
              <w:bottom w:val="single" w:color="auto" w:sz="6" w:space="0"/>
              <w:right w:val="single" w:color="auto" w:sz="6" w:space="0"/>
            </w:tcBorders>
          </w:tcPr>
          <w:p w:rsidRPr="008B197F" w:rsidR="00455112" w:rsidP="00D670D1" w:rsidRDefault="00455112" w14:paraId="6E8B181D" w14:textId="63214645">
            <w:pPr>
              <w:tabs>
                <w:tab w:val="left" w:pos="1440"/>
                <w:tab w:val="left" w:pos="3600"/>
              </w:tabs>
              <w:rPr>
                <w:rFonts w:ascii="Book Antiqua" w:hAnsi="Book Antiqua"/>
              </w:rPr>
            </w:pPr>
            <w:r w:rsidRPr="00455112">
              <w:rPr>
                <w:rFonts w:ascii="Book Antiqua" w:hAnsi="Book Antiqua"/>
              </w:rPr>
              <w:t>Application of PACIFIC GAS AND ELECTRIC COMPANY, a California corporation, for a Permit to Construct the Vierra Reinforcement Project Pursuant to General Order 131-D (U39E).</w:t>
            </w:r>
          </w:p>
          <w:p w:rsidRPr="008B197F" w:rsidR="00B80F6A" w:rsidRDefault="00B80F6A" w14:paraId="3E77FBF7" w14:textId="77777777">
            <w:pPr>
              <w:rPr>
                <w:rFonts w:ascii="Book Antiqua" w:hAnsi="Book Antiqua"/>
              </w:rPr>
            </w:pPr>
          </w:p>
        </w:tc>
        <w:tc>
          <w:tcPr>
            <w:tcW w:w="4608" w:type="dxa"/>
            <w:tcBorders>
              <w:left w:val="nil"/>
            </w:tcBorders>
          </w:tcPr>
          <w:p w:rsidRPr="008B197F" w:rsidR="00B80F6A" w:rsidRDefault="00B80F6A" w14:paraId="1C0A04B4" w14:textId="77777777">
            <w:pPr>
              <w:jc w:val="center"/>
              <w:rPr>
                <w:rFonts w:ascii="Book Antiqua" w:hAnsi="Book Antiqua"/>
              </w:rPr>
            </w:pPr>
          </w:p>
          <w:p w:rsidRPr="008B197F" w:rsidR="008B197F" w:rsidP="00D670D1" w:rsidRDefault="008B197F" w14:paraId="17532CA9" w14:textId="77777777">
            <w:pPr>
              <w:jc w:val="center"/>
              <w:rPr>
                <w:rFonts w:ascii="Book Antiqua" w:hAnsi="Book Antiqua"/>
              </w:rPr>
            </w:pPr>
          </w:p>
          <w:p w:rsidRPr="008B197F" w:rsidR="00D670D1" w:rsidP="00D670D1" w:rsidRDefault="009E5C3F" w14:paraId="47633C4A" w14:textId="44359C88">
            <w:pPr>
              <w:jc w:val="center"/>
              <w:rPr>
                <w:rFonts w:ascii="Book Antiqua" w:hAnsi="Book Antiqua"/>
              </w:rPr>
            </w:pPr>
            <w:r w:rsidRPr="008B197F">
              <w:rPr>
                <w:rFonts w:ascii="Book Antiqua" w:hAnsi="Book Antiqua"/>
              </w:rPr>
              <w:t>A</w:t>
            </w:r>
            <w:r w:rsidRPr="008B197F" w:rsidR="00D670D1">
              <w:rPr>
                <w:rFonts w:ascii="Book Antiqua" w:hAnsi="Book Antiqua"/>
              </w:rPr>
              <w:t xml:space="preserve">pplication </w:t>
            </w:r>
            <w:r w:rsidR="00455112">
              <w:rPr>
                <w:rFonts w:ascii="Book Antiqua" w:hAnsi="Book Antiqua"/>
              </w:rPr>
              <w:t>18-06-004</w:t>
            </w:r>
          </w:p>
          <w:p w:rsidRPr="008B197F" w:rsidR="00B80F6A" w:rsidRDefault="00B80F6A" w14:paraId="450CC6FD" w14:textId="77777777">
            <w:pPr>
              <w:jc w:val="center"/>
              <w:rPr>
                <w:rFonts w:ascii="Book Antiqua" w:hAnsi="Book Antiqua"/>
              </w:rPr>
            </w:pPr>
          </w:p>
        </w:tc>
      </w:tr>
    </w:tbl>
    <w:p w:rsidRPr="008B197F" w:rsidR="00B80F6A" w:rsidRDefault="00B80F6A" w14:paraId="62DEFA26" w14:textId="77777777">
      <w:pPr>
        <w:suppressAutoHyphens/>
        <w:rPr>
          <w:rFonts w:ascii="Book Antiqua" w:hAnsi="Book Antiqua"/>
        </w:rPr>
      </w:pPr>
    </w:p>
    <w:p w:rsidRPr="008B197F" w:rsidR="00B80F6A" w:rsidRDefault="00B80F6A" w14:paraId="1F2F5EFF" w14:textId="77777777">
      <w:pPr>
        <w:rPr>
          <w:rFonts w:ascii="Book Antiqua" w:hAnsi="Book Antiqua"/>
        </w:rPr>
      </w:pPr>
    </w:p>
    <w:p w:rsidRPr="008B197F" w:rsidR="00D670D1" w:rsidP="00D670D1" w:rsidRDefault="00D670D1" w14:paraId="775C1248" w14:textId="77777777">
      <w:pPr>
        <w:pStyle w:val="main"/>
        <w:rPr>
          <w:rFonts w:ascii="Arial" w:hAnsi="Arial" w:cs="Arial"/>
        </w:rPr>
      </w:pPr>
      <w:r w:rsidRPr="008B197F">
        <w:rPr>
          <w:rFonts w:ascii="Arial" w:hAnsi="Arial" w:cs="Arial"/>
        </w:rPr>
        <w:t>ORDER EXTENDING STATUTORY DEADLINE</w:t>
      </w:r>
    </w:p>
    <w:p w:rsidR="00B80F6A" w:rsidRDefault="00B80F6A" w14:paraId="199F9B8D" w14:textId="77777777">
      <w:pPr>
        <w:suppressAutoHyphens/>
      </w:pPr>
    </w:p>
    <w:p w:rsidRPr="008B197F" w:rsidR="00B80F6A" w:rsidRDefault="00B80F6A" w14:paraId="1B1F29EC" w14:textId="01BE0B9C">
      <w:pPr>
        <w:pStyle w:val="Heading1"/>
        <w:spacing w:before="0" w:after="0" w:line="360" w:lineRule="auto"/>
        <w:rPr>
          <w:rFonts w:ascii="Arial" w:hAnsi="Arial" w:cs="Arial"/>
        </w:rPr>
      </w:pPr>
      <w:bookmarkStart w:name="_Toc370798910" w:id="0"/>
      <w:r w:rsidRPr="008B197F">
        <w:rPr>
          <w:rFonts w:ascii="Arial" w:hAnsi="Arial" w:cs="Arial"/>
        </w:rPr>
        <w:t>Summary</w:t>
      </w:r>
      <w:bookmarkEnd w:id="0"/>
    </w:p>
    <w:p w:rsidRPr="008B197F" w:rsidR="008B197F" w:rsidP="008B197F" w:rsidRDefault="008B197F" w14:paraId="72D00249" w14:textId="3291FC5B">
      <w:pPr>
        <w:pStyle w:val="standard"/>
        <w:rPr>
          <w:rFonts w:ascii="Book Antiqua" w:hAnsi="Book Antiqua"/>
        </w:rPr>
      </w:pPr>
      <w:r w:rsidRPr="008B197F">
        <w:rPr>
          <w:rFonts w:ascii="Book Antiqua" w:hAnsi="Book Antiqua"/>
        </w:rPr>
        <w:t>This decision extends the statutory deadline in th</w:t>
      </w:r>
      <w:r w:rsidR="00DB4074">
        <w:rPr>
          <w:rFonts w:ascii="Book Antiqua" w:hAnsi="Book Antiqua"/>
        </w:rPr>
        <w:t>is</w:t>
      </w:r>
      <w:r w:rsidRPr="008B197F">
        <w:rPr>
          <w:rFonts w:ascii="Book Antiqua" w:hAnsi="Book Antiqua"/>
        </w:rPr>
        <w:t xml:space="preserve"> proceeding to </w:t>
      </w:r>
      <w:r w:rsidRPr="008B197F">
        <w:rPr>
          <w:rFonts w:ascii="Book Antiqua" w:hAnsi="Book Antiqua"/>
        </w:rPr>
        <w:br/>
      </w:r>
      <w:r w:rsidR="00455112">
        <w:rPr>
          <w:rFonts w:ascii="Book Antiqua" w:hAnsi="Book Antiqua"/>
        </w:rPr>
        <w:t>June 6</w:t>
      </w:r>
      <w:r w:rsidRPr="008B197F">
        <w:rPr>
          <w:rFonts w:ascii="Book Antiqua" w:hAnsi="Book Antiqua"/>
        </w:rPr>
        <w:t>, 202</w:t>
      </w:r>
      <w:r w:rsidR="00DB4074">
        <w:rPr>
          <w:rFonts w:ascii="Book Antiqua" w:hAnsi="Book Antiqua"/>
        </w:rPr>
        <w:t>1</w:t>
      </w:r>
      <w:r w:rsidRPr="008B197F">
        <w:rPr>
          <w:rFonts w:ascii="Book Antiqua" w:hAnsi="Book Antiqua"/>
        </w:rPr>
        <w:t>.</w:t>
      </w:r>
    </w:p>
    <w:p w:rsidRPr="00270AB9" w:rsidR="008B197F" w:rsidP="00FD687E" w:rsidRDefault="008B197F" w14:paraId="70E0A1CF" w14:textId="77777777">
      <w:pPr>
        <w:pStyle w:val="ListParagraph"/>
        <w:keepNext/>
        <w:numPr>
          <w:ilvl w:val="0"/>
          <w:numId w:val="6"/>
        </w:numPr>
        <w:spacing w:after="120"/>
        <w:ind w:left="446" w:hanging="446"/>
        <w:contextualSpacing w:val="0"/>
        <w:outlineLvl w:val="0"/>
        <w:rPr>
          <w:rFonts w:ascii="Arial" w:hAnsi="Arial" w:cs="Arial"/>
          <w:b/>
        </w:rPr>
      </w:pPr>
      <w:bookmarkStart w:name="_Hlk54963046" w:id="1"/>
      <w:r w:rsidRPr="00270AB9">
        <w:rPr>
          <w:rFonts w:ascii="Arial" w:hAnsi="Arial" w:cs="Arial"/>
          <w:b/>
        </w:rPr>
        <w:t>Background</w:t>
      </w:r>
    </w:p>
    <w:bookmarkEnd w:id="1"/>
    <w:p w:rsidR="00DE02E2" w:rsidP="00DE02E2" w:rsidRDefault="00DE02E2" w14:paraId="4FF17D18" w14:textId="77777777">
      <w:pPr>
        <w:spacing w:line="360" w:lineRule="auto"/>
        <w:ind w:firstLine="720"/>
        <w:rPr>
          <w:rFonts w:ascii="Book Antiqua" w:hAnsi="Book Antiqua" w:cs="Arial"/>
          <w:color w:val="000000"/>
          <w:szCs w:val="26"/>
        </w:rPr>
      </w:pPr>
      <w:r w:rsidRPr="00FD25E2">
        <w:rPr>
          <w:rFonts w:ascii="Book Antiqua" w:hAnsi="Book Antiqua"/>
        </w:rPr>
        <w:t xml:space="preserve">Public </w:t>
      </w:r>
      <w:r w:rsidRPr="00FD25E2">
        <w:rPr>
          <w:rFonts w:ascii="Book Antiqua" w:hAnsi="Book Antiqua" w:cs="Arial"/>
          <w:color w:val="000000"/>
          <w:szCs w:val="26"/>
        </w:rPr>
        <w:t xml:space="preserve">Utilities Code (Pub. Util. Code) </w:t>
      </w:r>
      <w:r>
        <w:rPr>
          <w:rFonts w:ascii="Book Antiqua" w:hAnsi="Book Antiqua" w:cs="Arial"/>
          <w:color w:val="000000"/>
          <w:szCs w:val="26"/>
        </w:rPr>
        <w:t>§</w:t>
      </w:r>
      <w:r w:rsidRPr="00FD25E2">
        <w:rPr>
          <w:rFonts w:ascii="Book Antiqua" w:hAnsi="Book Antiqua" w:cs="Arial"/>
          <w:color w:val="000000"/>
          <w:szCs w:val="26"/>
        </w:rPr>
        <w:t xml:space="preserve"> 1701.5(a)</w:t>
      </w:r>
      <w:r w:rsidRPr="00B013A2">
        <w:rPr>
          <w:rFonts w:ascii="Book Antiqua" w:hAnsi="Book Antiqua" w:cs="Arial"/>
          <w:color w:val="000000"/>
          <w:szCs w:val="26"/>
          <w:vertAlign w:val="superscript"/>
        </w:rPr>
        <w:footnoteReference w:id="2"/>
      </w:r>
      <w:r>
        <w:rPr>
          <w:rFonts w:ascii="Book Antiqua" w:hAnsi="Book Antiqua" w:cs="Arial"/>
          <w:color w:val="000000"/>
          <w:szCs w:val="26"/>
        </w:rPr>
        <w:t xml:space="preserve"> p</w:t>
      </w:r>
      <w:r w:rsidRPr="00FD25E2">
        <w:rPr>
          <w:rFonts w:ascii="Book Antiqua" w:hAnsi="Book Antiqua" w:cs="Arial"/>
          <w:color w:val="000000"/>
          <w:szCs w:val="26"/>
        </w:rPr>
        <w:t xml:space="preserve">rovides that the Commission shall resolve the issues raised in the scoping memo of a ratesetting proceeding within 18 months of the date the proceeding is initiated, unless the Commission makes a written determination that the deadline cannot be met and issues an order extending the deadline.  In this proceeding, the </w:t>
      </w:r>
      <w:r>
        <w:rPr>
          <w:rFonts w:ascii="Book Antiqua" w:hAnsi="Book Antiqua" w:cs="Arial"/>
          <w:color w:val="000000"/>
          <w:szCs w:val="26"/>
        </w:rPr>
        <w:t>currently applicable statutory deadline expires on December 6, 2020.  Today’s decision extends this statutory deadline for an additional six-months, until June 6, 2021.</w:t>
      </w:r>
    </w:p>
    <w:p w:rsidR="00DE02E2" w:rsidP="00DE02E2" w:rsidRDefault="00DE02E2" w14:paraId="7E58E5D2" w14:textId="3317836C">
      <w:pPr>
        <w:spacing w:line="360" w:lineRule="auto"/>
        <w:ind w:firstLine="720"/>
        <w:rPr>
          <w:rFonts w:ascii="Book Antiqua" w:hAnsi="Book Antiqua"/>
        </w:rPr>
      </w:pPr>
      <w:r w:rsidRPr="006C7A25">
        <w:rPr>
          <w:rFonts w:ascii="Book Antiqua" w:hAnsi="Book Antiqua"/>
        </w:rPr>
        <w:lastRenderedPageBreak/>
        <w:t xml:space="preserve">On June 6, 2018, Pacific Gas and Electric Company (PG&amp;E) filed </w:t>
      </w:r>
      <w:r>
        <w:rPr>
          <w:rFonts w:ascii="Book Antiqua" w:hAnsi="Book Antiqua"/>
        </w:rPr>
        <w:t>this Application</w:t>
      </w:r>
      <w:r w:rsidRPr="006C7A25">
        <w:rPr>
          <w:rFonts w:ascii="Book Antiqua" w:hAnsi="Book Antiqua"/>
        </w:rPr>
        <w:t xml:space="preserve"> requesting a permit to construct the Vierra Reinforcement Project</w:t>
      </w:r>
      <w:r>
        <w:rPr>
          <w:rFonts w:ascii="Book Antiqua" w:hAnsi="Book Antiqua"/>
        </w:rPr>
        <w:t>.</w:t>
      </w:r>
      <w:r>
        <w:rPr>
          <w:rStyle w:val="FootnoteReference"/>
          <w:rFonts w:ascii="Book Antiqua" w:hAnsi="Book Antiqua"/>
        </w:rPr>
        <w:footnoteReference w:id="3"/>
      </w:r>
      <w:r>
        <w:rPr>
          <w:rFonts w:ascii="Book Antiqua" w:hAnsi="Book Antiqua"/>
        </w:rPr>
        <w:t xml:space="preserve">  No protests to the Application were filed.  For purposes of determining the statutory deadline of this proceeding under Pub.</w:t>
      </w:r>
      <w:r w:rsidRPr="00CA415F">
        <w:rPr>
          <w:rFonts w:ascii="Book Antiqua" w:hAnsi="Book Antiqua"/>
        </w:rPr>
        <w:t xml:space="preserve"> Util. Code § 1701.5(a)</w:t>
      </w:r>
      <w:r>
        <w:rPr>
          <w:rFonts w:ascii="Book Antiqua" w:hAnsi="Book Antiqua"/>
        </w:rPr>
        <w:t>, June</w:t>
      </w:r>
      <w:r w:rsidR="00BE07DC">
        <w:rPr>
          <w:rFonts w:ascii="Book Antiqua" w:hAnsi="Book Antiqua"/>
        </w:rPr>
        <w:t> </w:t>
      </w:r>
      <w:r>
        <w:rPr>
          <w:rFonts w:ascii="Book Antiqua" w:hAnsi="Book Antiqua"/>
        </w:rPr>
        <w:t>6,</w:t>
      </w:r>
      <w:r w:rsidR="00BE07DC">
        <w:rPr>
          <w:rFonts w:ascii="Book Antiqua" w:hAnsi="Book Antiqua"/>
        </w:rPr>
        <w:t> </w:t>
      </w:r>
      <w:r>
        <w:rPr>
          <w:rFonts w:ascii="Book Antiqua" w:hAnsi="Book Antiqua"/>
        </w:rPr>
        <w:t xml:space="preserve">2018 is the date this proceeding was initiated. </w:t>
      </w:r>
    </w:p>
    <w:p w:rsidR="00DE02E2" w:rsidP="00DE02E2" w:rsidRDefault="00DE02E2" w14:paraId="33759CE8" w14:textId="3299D7B4">
      <w:pPr>
        <w:spacing w:line="360" w:lineRule="auto"/>
        <w:ind w:firstLine="720"/>
        <w:rPr>
          <w:rFonts w:ascii="Book Antiqua" w:hAnsi="Book Antiqua"/>
        </w:rPr>
      </w:pPr>
      <w:r>
        <w:rPr>
          <w:rFonts w:ascii="Book Antiqua" w:hAnsi="Book Antiqua"/>
        </w:rPr>
        <w:t>O</w:t>
      </w:r>
      <w:r w:rsidRPr="00FD25E2">
        <w:rPr>
          <w:rFonts w:ascii="Book Antiqua" w:hAnsi="Book Antiqua"/>
        </w:rPr>
        <w:t xml:space="preserve">n </w:t>
      </w:r>
      <w:r>
        <w:rPr>
          <w:rFonts w:ascii="Book Antiqua" w:hAnsi="Book Antiqua"/>
        </w:rPr>
        <w:t>November 14</w:t>
      </w:r>
      <w:r w:rsidRPr="00FD25E2">
        <w:rPr>
          <w:rFonts w:ascii="Book Antiqua" w:hAnsi="Book Antiqua"/>
        </w:rPr>
        <w:t>, 2018</w:t>
      </w:r>
      <w:r>
        <w:rPr>
          <w:rFonts w:ascii="Book Antiqua" w:hAnsi="Book Antiqua"/>
        </w:rPr>
        <w:t>, a</w:t>
      </w:r>
      <w:r w:rsidRPr="00FD25E2">
        <w:rPr>
          <w:rFonts w:ascii="Book Antiqua" w:hAnsi="Book Antiqua"/>
        </w:rPr>
        <w:t xml:space="preserve"> </w:t>
      </w:r>
      <w:r>
        <w:rPr>
          <w:rFonts w:ascii="Book Antiqua" w:hAnsi="Book Antiqua"/>
        </w:rPr>
        <w:t>p</w:t>
      </w:r>
      <w:r w:rsidRPr="00FD25E2">
        <w:rPr>
          <w:rFonts w:ascii="Book Antiqua" w:hAnsi="Book Antiqua"/>
        </w:rPr>
        <w:t xml:space="preserve">rehearing </w:t>
      </w:r>
      <w:r>
        <w:rPr>
          <w:rFonts w:ascii="Book Antiqua" w:hAnsi="Book Antiqua"/>
        </w:rPr>
        <w:t>c</w:t>
      </w:r>
      <w:r w:rsidRPr="00FD25E2">
        <w:rPr>
          <w:rFonts w:ascii="Book Antiqua" w:hAnsi="Book Antiqua"/>
        </w:rPr>
        <w:t>onference</w:t>
      </w:r>
      <w:r>
        <w:rPr>
          <w:rFonts w:ascii="Book Antiqua" w:hAnsi="Book Antiqua"/>
        </w:rPr>
        <w:t xml:space="preserve"> </w:t>
      </w:r>
      <w:r w:rsidR="009A2E6B">
        <w:rPr>
          <w:rFonts w:ascii="Book Antiqua" w:hAnsi="Book Antiqua"/>
        </w:rPr>
        <w:t xml:space="preserve">(PHC) </w:t>
      </w:r>
      <w:r w:rsidRPr="00FD25E2">
        <w:rPr>
          <w:rFonts w:ascii="Book Antiqua" w:hAnsi="Book Antiqua"/>
        </w:rPr>
        <w:t xml:space="preserve">was held to discuss the issues of law and fact and to determine the schedule for resolving the matter.  </w:t>
      </w:r>
    </w:p>
    <w:p w:rsidR="00DE02E2" w:rsidP="00DE02E2" w:rsidRDefault="00DE02E2" w14:paraId="42112E3F" w14:textId="77777777">
      <w:pPr>
        <w:spacing w:line="360" w:lineRule="auto"/>
        <w:ind w:firstLine="720"/>
        <w:rPr>
          <w:rFonts w:ascii="Book Antiqua" w:hAnsi="Book Antiqua"/>
        </w:rPr>
      </w:pPr>
      <w:r>
        <w:rPr>
          <w:rFonts w:ascii="Book Antiqua" w:hAnsi="Book Antiqua"/>
        </w:rPr>
        <w:t>On March 25</w:t>
      </w:r>
      <w:r w:rsidRPr="00FD25E2">
        <w:rPr>
          <w:rFonts w:ascii="Book Antiqua" w:hAnsi="Book Antiqua"/>
        </w:rPr>
        <w:t>,</w:t>
      </w:r>
      <w:r>
        <w:rPr>
          <w:rFonts w:ascii="Book Antiqua" w:hAnsi="Book Antiqua"/>
        </w:rPr>
        <w:t> </w:t>
      </w:r>
      <w:r w:rsidRPr="00FD25E2">
        <w:rPr>
          <w:rFonts w:ascii="Book Antiqua" w:hAnsi="Book Antiqua"/>
        </w:rPr>
        <w:t>2018</w:t>
      </w:r>
      <w:r>
        <w:rPr>
          <w:rFonts w:ascii="Book Antiqua" w:hAnsi="Book Antiqua"/>
        </w:rPr>
        <w:t>, t</w:t>
      </w:r>
      <w:r w:rsidRPr="00FD25E2">
        <w:rPr>
          <w:rFonts w:ascii="Book Antiqua" w:hAnsi="Book Antiqua"/>
        </w:rPr>
        <w:t>he assigned Commissioner issue</w:t>
      </w:r>
      <w:r>
        <w:rPr>
          <w:rFonts w:ascii="Book Antiqua" w:hAnsi="Book Antiqua"/>
        </w:rPr>
        <w:t xml:space="preserve">d </w:t>
      </w:r>
      <w:r w:rsidRPr="00FD25E2">
        <w:rPr>
          <w:rFonts w:ascii="Book Antiqua" w:hAnsi="Book Antiqua"/>
        </w:rPr>
        <w:t xml:space="preserve">the Scoping Memo and Ruling </w:t>
      </w:r>
      <w:r>
        <w:rPr>
          <w:rFonts w:ascii="Book Antiqua" w:hAnsi="Book Antiqua"/>
        </w:rPr>
        <w:t>(Scoping Memo)</w:t>
      </w:r>
      <w:r w:rsidRPr="00FD25E2">
        <w:rPr>
          <w:rFonts w:ascii="Book Antiqua" w:hAnsi="Book Antiqua"/>
        </w:rPr>
        <w:t>.</w:t>
      </w:r>
      <w:r>
        <w:rPr>
          <w:rFonts w:ascii="Book Antiqua" w:hAnsi="Book Antiqua"/>
        </w:rPr>
        <w:t xml:space="preserve">  As authorized under</w:t>
      </w:r>
      <w:r w:rsidRPr="00CA415F">
        <w:rPr>
          <w:rFonts w:ascii="Book Antiqua" w:hAnsi="Book Antiqua"/>
        </w:rPr>
        <w:t xml:space="preserve"> Pub. Util. Code § 1701.5(a)</w:t>
      </w:r>
      <w:r>
        <w:rPr>
          <w:rFonts w:ascii="Book Antiqua" w:hAnsi="Book Antiqua"/>
        </w:rPr>
        <w:t>, the assigned Commissioner established</w:t>
      </w:r>
      <w:r w:rsidRPr="0011415B">
        <w:rPr>
          <w:rFonts w:ascii="Book Antiqua" w:hAnsi="Book Antiqua"/>
        </w:rPr>
        <w:t xml:space="preserve"> a </w:t>
      </w:r>
      <w:r>
        <w:rPr>
          <w:rFonts w:ascii="Book Antiqua" w:hAnsi="Book Antiqua"/>
        </w:rPr>
        <w:t xml:space="preserve">24-month </w:t>
      </w:r>
      <w:r w:rsidRPr="0011415B">
        <w:rPr>
          <w:rFonts w:ascii="Book Antiqua" w:hAnsi="Book Antiqua"/>
        </w:rPr>
        <w:t>statutory deadline</w:t>
      </w:r>
      <w:r w:rsidRPr="00CA415F">
        <w:rPr>
          <w:rFonts w:ascii="Book Antiqua" w:hAnsi="Book Antiqua"/>
        </w:rPr>
        <w:t xml:space="preserve"> </w:t>
      </w:r>
      <w:r>
        <w:rPr>
          <w:rFonts w:ascii="Book Antiqua" w:hAnsi="Book Antiqua"/>
        </w:rPr>
        <w:t xml:space="preserve">in the </w:t>
      </w:r>
      <w:r w:rsidRPr="0011415B">
        <w:rPr>
          <w:rFonts w:ascii="Book Antiqua" w:hAnsi="Book Antiqua"/>
        </w:rPr>
        <w:t>Scoping Memo</w:t>
      </w:r>
      <w:r>
        <w:rPr>
          <w:rFonts w:ascii="Book Antiqua" w:hAnsi="Book Antiqua"/>
        </w:rPr>
        <w:t xml:space="preserve">, a deadline of </w:t>
      </w:r>
      <w:r w:rsidRPr="0011415B">
        <w:rPr>
          <w:rFonts w:ascii="Book Antiqua" w:hAnsi="Book Antiqua"/>
        </w:rPr>
        <w:t>June 6, 2020</w:t>
      </w:r>
      <w:r>
        <w:rPr>
          <w:rFonts w:ascii="Book Antiqua" w:hAnsi="Book Antiqua"/>
        </w:rPr>
        <w:t xml:space="preserve">. </w:t>
      </w:r>
    </w:p>
    <w:p w:rsidR="00DE02E2" w:rsidP="00DE02E2" w:rsidRDefault="00DE02E2" w14:paraId="2828090B" w14:textId="77777777">
      <w:pPr>
        <w:spacing w:line="360" w:lineRule="auto"/>
        <w:ind w:firstLine="720"/>
        <w:rPr>
          <w:rFonts w:ascii="Book Antiqua" w:hAnsi="Book Antiqua"/>
        </w:rPr>
      </w:pPr>
      <w:r>
        <w:rPr>
          <w:rFonts w:ascii="Book Antiqua" w:hAnsi="Book Antiqua"/>
        </w:rPr>
        <w:t>On May 28, 2020, the Commission issued Decision (D.) 20-05-054, which extended the statutory deadline for this proceeding for an additional six-months, until December 6, 2020.  At the time this Commission issued this decision, the Commission’s Energy Division was continuing its work on completing and publishing draft environmental review documents for PG&amp;E’s proposed project.  The Energy Division expected to publish its draft environmental review documents in approximately April of 2020.  However, the Energy Division’s work on this draft took more time than originally expected.</w:t>
      </w:r>
      <w:r w:rsidRPr="008B536E">
        <w:rPr>
          <w:rFonts w:ascii="Calibri" w:hAnsi="Calibri" w:cs="Calibri"/>
          <w:sz w:val="22"/>
          <w:szCs w:val="22"/>
        </w:rPr>
        <w:t xml:space="preserve"> </w:t>
      </w:r>
      <w:r>
        <w:rPr>
          <w:rFonts w:ascii="Calibri" w:hAnsi="Calibri" w:cs="Calibri"/>
          <w:sz w:val="22"/>
          <w:szCs w:val="22"/>
        </w:rPr>
        <w:t xml:space="preserve"> </w:t>
      </w:r>
    </w:p>
    <w:p w:rsidR="00DE02E2" w:rsidP="00DE02E2" w:rsidRDefault="00DE02E2" w14:paraId="22EFC2E4" w14:textId="77777777">
      <w:pPr>
        <w:spacing w:line="360" w:lineRule="auto"/>
        <w:ind w:firstLine="720"/>
        <w:rPr>
          <w:rFonts w:ascii="Book Antiqua" w:hAnsi="Book Antiqua"/>
        </w:rPr>
      </w:pPr>
      <w:r>
        <w:rPr>
          <w:rFonts w:ascii="Book Antiqua" w:hAnsi="Book Antiqua"/>
        </w:rPr>
        <w:t xml:space="preserve">On </w:t>
      </w:r>
      <w:r w:rsidRPr="008B536E">
        <w:rPr>
          <w:rFonts w:ascii="Book Antiqua" w:hAnsi="Book Antiqua"/>
        </w:rPr>
        <w:t>October 1</w:t>
      </w:r>
      <w:r>
        <w:rPr>
          <w:rFonts w:ascii="Book Antiqua" w:hAnsi="Book Antiqua"/>
        </w:rPr>
        <w:t>5</w:t>
      </w:r>
      <w:r w:rsidRPr="008B536E">
        <w:rPr>
          <w:rFonts w:ascii="Book Antiqua" w:hAnsi="Book Antiqua"/>
        </w:rPr>
        <w:t>, 2020</w:t>
      </w:r>
      <w:r>
        <w:rPr>
          <w:rFonts w:ascii="Book Antiqua" w:hAnsi="Book Antiqua"/>
        </w:rPr>
        <w:t xml:space="preserve">, the Energy Division published the environmental review documents, the Draft </w:t>
      </w:r>
      <w:r w:rsidRPr="008B536E">
        <w:rPr>
          <w:rFonts w:ascii="Book Antiqua" w:hAnsi="Book Antiqua"/>
        </w:rPr>
        <w:t>Mitigated Negative</w:t>
      </w:r>
      <w:r>
        <w:rPr>
          <w:rFonts w:ascii="Book Antiqua" w:hAnsi="Book Antiqua"/>
        </w:rPr>
        <w:t xml:space="preserve"> </w:t>
      </w:r>
      <w:r w:rsidRPr="008B536E">
        <w:rPr>
          <w:rFonts w:ascii="Book Antiqua" w:hAnsi="Book Antiqua"/>
        </w:rPr>
        <w:t>Declaration and supporting Initial Study (</w:t>
      </w:r>
      <w:r>
        <w:rPr>
          <w:rFonts w:ascii="Book Antiqua" w:hAnsi="Book Antiqua"/>
        </w:rPr>
        <w:t xml:space="preserve">Draft </w:t>
      </w:r>
      <w:r w:rsidRPr="008B536E">
        <w:rPr>
          <w:rFonts w:ascii="Book Antiqua" w:hAnsi="Book Antiqua"/>
        </w:rPr>
        <w:t>IS/MND) for PG&amp;E</w:t>
      </w:r>
      <w:r>
        <w:rPr>
          <w:rFonts w:ascii="Book Antiqua" w:hAnsi="Book Antiqua"/>
        </w:rPr>
        <w:t xml:space="preserve">’s Application for a </w:t>
      </w:r>
      <w:r w:rsidRPr="008B536E">
        <w:rPr>
          <w:rFonts w:ascii="Book Antiqua" w:hAnsi="Book Antiqua"/>
        </w:rPr>
        <w:t xml:space="preserve">permit to construct </w:t>
      </w:r>
      <w:r w:rsidRPr="008B536E">
        <w:rPr>
          <w:rFonts w:ascii="Book Antiqua" w:hAnsi="Book Antiqua"/>
        </w:rPr>
        <w:lastRenderedPageBreak/>
        <w:t>the Vierra Reinforcement Project</w:t>
      </w:r>
      <w:r>
        <w:rPr>
          <w:rFonts w:ascii="Book Antiqua" w:hAnsi="Book Antiqua"/>
        </w:rPr>
        <w:t>.</w:t>
      </w:r>
      <w:r>
        <w:rPr>
          <w:rStyle w:val="FootnoteReference"/>
          <w:rFonts w:ascii="Book Antiqua" w:hAnsi="Book Antiqua"/>
        </w:rPr>
        <w:footnoteReference w:id="4"/>
      </w:r>
      <w:r>
        <w:rPr>
          <w:rFonts w:ascii="Book Antiqua" w:hAnsi="Book Antiqua"/>
        </w:rPr>
        <w:t xml:space="preserve">  The Energy Division’s publication of this Draft IS/MND initiated a 30-day public comment period. During this public comment period, interested stakeholders are permitted to submit comments to Energy Division on this draft pursuant to the instructions set forth in the public notice.</w:t>
      </w:r>
    </w:p>
    <w:p w:rsidR="00DE02E2" w:rsidP="00DE02E2" w:rsidRDefault="00DE02E2" w14:paraId="63145AC6" w14:textId="2AAFB324">
      <w:pPr>
        <w:spacing w:line="360" w:lineRule="auto"/>
        <w:ind w:firstLine="720"/>
        <w:rPr>
          <w:rFonts w:ascii="Book Antiqua" w:hAnsi="Book Antiqua"/>
        </w:rPr>
      </w:pPr>
      <w:r>
        <w:rPr>
          <w:rFonts w:ascii="Book Antiqua" w:hAnsi="Book Antiqua"/>
        </w:rPr>
        <w:t xml:space="preserve">The public comment period ends on </w:t>
      </w:r>
      <w:r w:rsidRPr="008B536E">
        <w:rPr>
          <w:rFonts w:ascii="Book Antiqua" w:hAnsi="Book Antiqua"/>
        </w:rPr>
        <w:t>November 16, 2020</w:t>
      </w:r>
      <w:r>
        <w:rPr>
          <w:rFonts w:ascii="Book Antiqua" w:hAnsi="Book Antiqua"/>
        </w:rPr>
        <w:t xml:space="preserve">. </w:t>
      </w:r>
      <w:r w:rsidR="00D33388">
        <w:rPr>
          <w:rFonts w:ascii="Book Antiqua" w:hAnsi="Book Antiqua"/>
        </w:rPr>
        <w:t xml:space="preserve"> </w:t>
      </w:r>
      <w:r>
        <w:rPr>
          <w:rFonts w:ascii="Book Antiqua" w:hAnsi="Book Antiqua"/>
        </w:rPr>
        <w:t xml:space="preserve">Following this comment </w:t>
      </w:r>
      <w:r w:rsidRPr="00D67DDB">
        <w:t>period, the Energy Division will revise</w:t>
      </w:r>
      <w:r w:rsidRPr="00AC55B4">
        <w:rPr>
          <w:rFonts w:ascii="Book Antiqua" w:hAnsi="Book Antiqua"/>
        </w:rPr>
        <w:t xml:space="preserve"> the </w:t>
      </w:r>
      <w:r>
        <w:rPr>
          <w:rFonts w:ascii="Book Antiqua" w:hAnsi="Book Antiqua"/>
        </w:rPr>
        <w:t>Draft IS/MND</w:t>
      </w:r>
      <w:r w:rsidRPr="00AC55B4">
        <w:rPr>
          <w:rFonts w:ascii="Book Antiqua" w:hAnsi="Book Antiqua"/>
        </w:rPr>
        <w:t xml:space="preserve"> in response to comments </w:t>
      </w:r>
      <w:r>
        <w:rPr>
          <w:rFonts w:ascii="Book Antiqua" w:hAnsi="Book Antiqua"/>
        </w:rPr>
        <w:t xml:space="preserve">and </w:t>
      </w:r>
      <w:r w:rsidRPr="008B536E">
        <w:rPr>
          <w:rFonts w:ascii="Book Antiqua" w:hAnsi="Book Antiqua"/>
        </w:rPr>
        <w:t>p</w:t>
      </w:r>
      <w:r>
        <w:rPr>
          <w:rFonts w:ascii="Book Antiqua" w:hAnsi="Book Antiqua"/>
        </w:rPr>
        <w:t>ublish</w:t>
      </w:r>
      <w:r w:rsidRPr="008B536E">
        <w:rPr>
          <w:rFonts w:ascii="Book Antiqua" w:hAnsi="Book Antiqua"/>
        </w:rPr>
        <w:t xml:space="preserve"> a Final IS/MND</w:t>
      </w:r>
      <w:r>
        <w:rPr>
          <w:rFonts w:ascii="Book Antiqua" w:hAnsi="Book Antiqua"/>
        </w:rPr>
        <w:t xml:space="preserve">.  Publication of the final documents </w:t>
      </w:r>
      <w:r w:rsidRPr="009561B0">
        <w:rPr>
          <w:rFonts w:ascii="Book Antiqua" w:hAnsi="Book Antiqua"/>
        </w:rPr>
        <w:t>is expected to occur in</w:t>
      </w:r>
      <w:r>
        <w:rPr>
          <w:rFonts w:ascii="Book Antiqua" w:hAnsi="Book Antiqua"/>
        </w:rPr>
        <w:t xml:space="preserve"> early</w:t>
      </w:r>
      <w:r w:rsidRPr="009561B0">
        <w:rPr>
          <w:rFonts w:ascii="Book Antiqua" w:hAnsi="Book Antiqua"/>
        </w:rPr>
        <w:t xml:space="preserve"> 202</w:t>
      </w:r>
      <w:r>
        <w:rPr>
          <w:rFonts w:ascii="Book Antiqua" w:hAnsi="Book Antiqua"/>
        </w:rPr>
        <w:t>1</w:t>
      </w:r>
      <w:r w:rsidRPr="009561B0">
        <w:rPr>
          <w:rFonts w:ascii="Book Antiqua" w:hAnsi="Book Antiqua"/>
        </w:rPr>
        <w:t>.</w:t>
      </w:r>
    </w:p>
    <w:p w:rsidR="00DE02E2" w:rsidP="00DE02E2" w:rsidRDefault="00DE02E2" w14:paraId="1EEB55BE" w14:textId="77777777">
      <w:pPr>
        <w:spacing w:line="360" w:lineRule="auto"/>
        <w:ind w:firstLine="720"/>
        <w:rPr>
          <w:rFonts w:ascii="Book Antiqua" w:hAnsi="Book Antiqua"/>
        </w:rPr>
      </w:pPr>
      <w:r w:rsidRPr="009561B0">
        <w:rPr>
          <w:rFonts w:ascii="Book Antiqua" w:hAnsi="Book Antiqua"/>
        </w:rPr>
        <w:t>Following</w:t>
      </w:r>
      <w:r>
        <w:rPr>
          <w:rFonts w:ascii="Book Antiqua" w:hAnsi="Book Antiqua"/>
        </w:rPr>
        <w:t xml:space="preserve"> the Energy Division’s</w:t>
      </w:r>
      <w:r w:rsidRPr="009561B0">
        <w:rPr>
          <w:rFonts w:ascii="Book Antiqua" w:hAnsi="Book Antiqua"/>
        </w:rPr>
        <w:t xml:space="preserve"> publication of the final document</w:t>
      </w:r>
      <w:r>
        <w:rPr>
          <w:rFonts w:ascii="Book Antiqua" w:hAnsi="Book Antiqua"/>
        </w:rPr>
        <w:t>s</w:t>
      </w:r>
      <w:r w:rsidRPr="009561B0">
        <w:rPr>
          <w:rFonts w:ascii="Book Antiqua" w:hAnsi="Book Antiqua"/>
        </w:rPr>
        <w:t xml:space="preserve">, the Commission </w:t>
      </w:r>
      <w:r>
        <w:rPr>
          <w:rFonts w:ascii="Book Antiqua" w:hAnsi="Book Antiqua"/>
        </w:rPr>
        <w:t xml:space="preserve">will </w:t>
      </w:r>
      <w:r w:rsidRPr="009561B0">
        <w:rPr>
          <w:rFonts w:ascii="Book Antiqua" w:hAnsi="Book Antiqua"/>
        </w:rPr>
        <w:t xml:space="preserve">require </w:t>
      </w:r>
      <w:r>
        <w:rPr>
          <w:rFonts w:ascii="Book Antiqua" w:hAnsi="Book Antiqua"/>
        </w:rPr>
        <w:t xml:space="preserve">additional </w:t>
      </w:r>
      <w:r w:rsidRPr="009561B0">
        <w:rPr>
          <w:rFonts w:ascii="Book Antiqua" w:hAnsi="Book Antiqua"/>
        </w:rPr>
        <w:t>time to prepare a proposed decision</w:t>
      </w:r>
      <w:r>
        <w:rPr>
          <w:rFonts w:ascii="Book Antiqua" w:hAnsi="Book Antiqua"/>
        </w:rPr>
        <w:t>, review any comments submitted on the proposed decision,</w:t>
      </w:r>
      <w:r w:rsidRPr="009561B0">
        <w:rPr>
          <w:rFonts w:ascii="Book Antiqua" w:hAnsi="Book Antiqua"/>
        </w:rPr>
        <w:t xml:space="preserve"> and vote on the matter.</w:t>
      </w:r>
    </w:p>
    <w:p w:rsidR="00DE02E2" w:rsidP="00DE02E2" w:rsidRDefault="00DE02E2" w14:paraId="5DED5E78" w14:textId="7F9238DE">
      <w:pPr>
        <w:spacing w:line="360" w:lineRule="auto"/>
        <w:ind w:firstLine="720"/>
        <w:rPr>
          <w:rFonts w:ascii="Book Antiqua" w:hAnsi="Book Antiqua"/>
        </w:rPr>
      </w:pPr>
      <w:r w:rsidRPr="000C3EB8">
        <w:rPr>
          <w:rFonts w:ascii="Book Antiqua" w:hAnsi="Book Antiqua"/>
        </w:rPr>
        <w:t>Therefore, an extension of the statutory deadline</w:t>
      </w:r>
      <w:r>
        <w:rPr>
          <w:rFonts w:ascii="Book Antiqua" w:hAnsi="Book Antiqua"/>
        </w:rPr>
        <w:t xml:space="preserve"> for an additional six-months,</w:t>
      </w:r>
      <w:r w:rsidRPr="000C3EB8">
        <w:rPr>
          <w:rFonts w:ascii="Book Antiqua" w:hAnsi="Book Antiqua"/>
        </w:rPr>
        <w:t xml:space="preserve"> until </w:t>
      </w:r>
      <w:r>
        <w:rPr>
          <w:rFonts w:ascii="Book Antiqua" w:hAnsi="Book Antiqua"/>
        </w:rPr>
        <w:t>June</w:t>
      </w:r>
      <w:r w:rsidRPr="000C3EB8">
        <w:rPr>
          <w:rFonts w:ascii="Book Antiqua" w:hAnsi="Book Antiqua"/>
        </w:rPr>
        <w:t xml:space="preserve"> 6, 202</w:t>
      </w:r>
      <w:r>
        <w:rPr>
          <w:rFonts w:ascii="Book Antiqua" w:hAnsi="Book Antiqua"/>
        </w:rPr>
        <w:t xml:space="preserve">1, is needed so that </w:t>
      </w:r>
      <w:r w:rsidRPr="009561B0">
        <w:rPr>
          <w:rFonts w:ascii="Book Antiqua" w:hAnsi="Book Antiqua"/>
        </w:rPr>
        <w:t>the Commission</w:t>
      </w:r>
      <w:r>
        <w:rPr>
          <w:rFonts w:ascii="Book Antiqua" w:hAnsi="Book Antiqua"/>
        </w:rPr>
        <w:t xml:space="preserve"> may</w:t>
      </w:r>
      <w:r w:rsidRPr="009561B0">
        <w:rPr>
          <w:rFonts w:ascii="Book Antiqua" w:hAnsi="Book Antiqua"/>
        </w:rPr>
        <w:t xml:space="preserve"> complete its review </w:t>
      </w:r>
      <w:r>
        <w:rPr>
          <w:rFonts w:ascii="Book Antiqua" w:hAnsi="Book Antiqua"/>
        </w:rPr>
        <w:t xml:space="preserve">of </w:t>
      </w:r>
      <w:r w:rsidRPr="009561B0">
        <w:rPr>
          <w:rFonts w:ascii="Book Antiqua" w:hAnsi="Book Antiqua"/>
        </w:rPr>
        <w:t xml:space="preserve">PG&amp;E’s proposal in this proceeding. </w:t>
      </w:r>
      <w:r>
        <w:rPr>
          <w:rFonts w:ascii="Book Antiqua" w:hAnsi="Book Antiqua"/>
        </w:rPr>
        <w:t xml:space="preserve"> This extension will allow additional time for the </w:t>
      </w:r>
      <w:r w:rsidRPr="000C3EB8">
        <w:rPr>
          <w:rFonts w:ascii="Book Antiqua" w:hAnsi="Book Antiqua"/>
        </w:rPr>
        <w:t xml:space="preserve">Energy Division to complete its </w:t>
      </w:r>
      <w:r>
        <w:rPr>
          <w:rFonts w:ascii="Book Antiqua" w:hAnsi="Book Antiqua"/>
        </w:rPr>
        <w:t xml:space="preserve">environmental review </w:t>
      </w:r>
      <w:r w:rsidRPr="000C3EB8">
        <w:rPr>
          <w:rFonts w:ascii="Book Antiqua" w:hAnsi="Book Antiqua"/>
        </w:rPr>
        <w:t xml:space="preserve">work, </w:t>
      </w:r>
      <w:r>
        <w:rPr>
          <w:rFonts w:ascii="Book Antiqua" w:hAnsi="Book Antiqua"/>
        </w:rPr>
        <w:t>the assigned Administrative Law Judge</w:t>
      </w:r>
      <w:r w:rsidR="00D33388">
        <w:rPr>
          <w:rFonts w:ascii="Book Antiqua" w:hAnsi="Book Antiqua"/>
        </w:rPr>
        <w:t xml:space="preserve"> (ALJ)</w:t>
      </w:r>
      <w:r>
        <w:rPr>
          <w:rFonts w:ascii="Book Antiqua" w:hAnsi="Book Antiqua"/>
        </w:rPr>
        <w:t xml:space="preserve"> </w:t>
      </w:r>
      <w:r w:rsidRPr="000C3EB8">
        <w:rPr>
          <w:rFonts w:ascii="Book Antiqua" w:hAnsi="Book Antiqua"/>
        </w:rPr>
        <w:t>to issue a proposed decision for public review and comment, and the Commission to deliberate and issue its final decision</w:t>
      </w:r>
      <w:r>
        <w:rPr>
          <w:rFonts w:ascii="Book Antiqua" w:hAnsi="Book Antiqua"/>
        </w:rPr>
        <w:t xml:space="preserve"> in this proceeding.</w:t>
      </w:r>
    </w:p>
    <w:p w:rsidRPr="009B2873" w:rsidR="00BF5032" w:rsidP="00BF5032" w:rsidRDefault="00BF5032" w14:paraId="7DC34082" w14:textId="038F6F1A">
      <w:pPr>
        <w:pStyle w:val="Heading1"/>
        <w:numPr>
          <w:ilvl w:val="0"/>
          <w:numId w:val="6"/>
        </w:numPr>
        <w:spacing w:before="0"/>
        <w:ind w:left="446" w:hanging="446"/>
        <w:rPr>
          <w:rFonts w:ascii="Arial" w:hAnsi="Arial" w:cs="Arial"/>
        </w:rPr>
      </w:pPr>
      <w:r w:rsidRPr="009B2873">
        <w:rPr>
          <w:rFonts w:ascii="Arial" w:hAnsi="Arial" w:cs="Arial"/>
        </w:rPr>
        <w:t>Waiver of Comment</w:t>
      </w:r>
      <w:r>
        <w:rPr>
          <w:rFonts w:ascii="Arial" w:hAnsi="Arial" w:cs="Arial"/>
        </w:rPr>
        <w:t>s on Proposed Decision</w:t>
      </w:r>
    </w:p>
    <w:p w:rsidRPr="0014752A" w:rsidR="00D670D1" w:rsidP="00D670D1" w:rsidRDefault="000903F9" w14:paraId="38517DB2" w14:textId="1D7C2D6B">
      <w:pPr>
        <w:pStyle w:val="standard"/>
        <w:rPr>
          <w:rFonts w:ascii="Book Antiqua" w:hAnsi="Book Antiqua"/>
        </w:rPr>
      </w:pPr>
      <w:r w:rsidRPr="000903F9">
        <w:rPr>
          <w:rFonts w:ascii="Book Antiqua" w:hAnsi="Book Antiqua"/>
        </w:rPr>
        <w:t xml:space="preserve">Under Rule 14.6(c)(4) of the Commission’s Rules of Practice and Procedure, the Commission may reduce or waive the period for public review and comment of proposed decisions extending the deadline for resolving </w:t>
      </w:r>
      <w:r w:rsidRPr="000903F9">
        <w:rPr>
          <w:rFonts w:ascii="Book Antiqua" w:hAnsi="Book Antiqua"/>
        </w:rPr>
        <w:lastRenderedPageBreak/>
        <w:t>ratesetting proceedings.  Accordingly, the otherwise applicable period for public review and comment is being waived</w:t>
      </w:r>
      <w:r w:rsidRPr="0014752A" w:rsidR="00D670D1">
        <w:rPr>
          <w:rFonts w:ascii="Book Antiqua" w:hAnsi="Book Antiqua"/>
        </w:rPr>
        <w:t>.</w:t>
      </w:r>
    </w:p>
    <w:p w:rsidRPr="009B2873" w:rsidR="00BF5032" w:rsidP="00BF5032" w:rsidRDefault="00BF5032" w14:paraId="4BA3DD46" w14:textId="77777777">
      <w:pPr>
        <w:pStyle w:val="Heading1"/>
        <w:numPr>
          <w:ilvl w:val="0"/>
          <w:numId w:val="6"/>
        </w:numPr>
        <w:spacing w:before="0"/>
        <w:ind w:left="446" w:hanging="446"/>
        <w:rPr>
          <w:rFonts w:ascii="Arial" w:hAnsi="Arial" w:cs="Arial"/>
        </w:rPr>
      </w:pPr>
      <w:r w:rsidRPr="009B2873">
        <w:rPr>
          <w:rFonts w:ascii="Arial" w:hAnsi="Arial" w:cs="Arial"/>
        </w:rPr>
        <w:t>Assignment of Proceeding</w:t>
      </w:r>
    </w:p>
    <w:p w:rsidR="00D670D1" w:rsidP="00D670D1" w:rsidRDefault="000903F9" w14:paraId="795AD861" w14:textId="331CACFF">
      <w:pPr>
        <w:pStyle w:val="standard"/>
        <w:rPr>
          <w:rFonts w:ascii="Book Antiqua" w:hAnsi="Book Antiqua"/>
        </w:rPr>
      </w:pPr>
      <w:r w:rsidRPr="000903F9">
        <w:rPr>
          <w:rFonts w:ascii="Book Antiqua" w:hAnsi="Book Antiqua"/>
        </w:rPr>
        <w:t>Clifford Rechtschaffen is the assigned Commissioner and Regina</w:t>
      </w:r>
      <w:r w:rsidR="00D33388">
        <w:rPr>
          <w:rFonts w:ascii="Book Antiqua" w:hAnsi="Book Antiqua"/>
        </w:rPr>
        <w:t> </w:t>
      </w:r>
      <w:r w:rsidRPr="000903F9">
        <w:rPr>
          <w:rFonts w:ascii="Book Antiqua" w:hAnsi="Book Antiqua"/>
        </w:rPr>
        <w:t xml:space="preserve">DeAngelis is the assigned </w:t>
      </w:r>
      <w:r w:rsidR="00D33388">
        <w:rPr>
          <w:rFonts w:ascii="Book Antiqua" w:hAnsi="Book Antiqua"/>
        </w:rPr>
        <w:t>ALJ</w:t>
      </w:r>
      <w:r w:rsidRPr="000903F9">
        <w:rPr>
          <w:rFonts w:ascii="Book Antiqua" w:hAnsi="Book Antiqua"/>
        </w:rPr>
        <w:t xml:space="preserve"> in this proceeding</w:t>
      </w:r>
      <w:r w:rsidRPr="0014752A" w:rsidR="00D670D1">
        <w:rPr>
          <w:rFonts w:ascii="Book Antiqua" w:hAnsi="Book Antiqua"/>
        </w:rPr>
        <w:t>.</w:t>
      </w:r>
    </w:p>
    <w:p w:rsidRPr="00FD25E2" w:rsidR="000903F9" w:rsidP="000903F9" w:rsidRDefault="000903F9" w14:paraId="5F64C62B" w14:textId="77777777">
      <w:pPr>
        <w:pStyle w:val="dummy"/>
        <w:tabs>
          <w:tab w:val="left" w:pos="6973"/>
        </w:tabs>
        <w:spacing w:before="0" w:after="0" w:line="360" w:lineRule="auto"/>
        <w:rPr>
          <w:rFonts w:ascii="Arial" w:hAnsi="Arial" w:cs="Arial"/>
        </w:rPr>
      </w:pPr>
      <w:r w:rsidRPr="00FD25E2">
        <w:rPr>
          <w:rFonts w:ascii="Arial" w:hAnsi="Arial" w:cs="Arial"/>
        </w:rPr>
        <w:t>Findings of Fact</w:t>
      </w:r>
    </w:p>
    <w:p w:rsidRPr="00FD25E2" w:rsidR="000903F9" w:rsidP="000903F9" w:rsidRDefault="000903F9" w14:paraId="38133D48" w14:textId="77777777">
      <w:pPr>
        <w:pStyle w:val="num1"/>
        <w:numPr>
          <w:ilvl w:val="0"/>
          <w:numId w:val="7"/>
        </w:numPr>
        <w:rPr>
          <w:rFonts w:ascii="Book Antiqua" w:hAnsi="Book Antiqua"/>
        </w:rPr>
      </w:pPr>
      <w:r w:rsidRPr="00FD25E2">
        <w:rPr>
          <w:rFonts w:ascii="Book Antiqua" w:hAnsi="Book Antiqua"/>
        </w:rPr>
        <w:t xml:space="preserve">This </w:t>
      </w:r>
      <w:r>
        <w:rPr>
          <w:rFonts w:ascii="Book Antiqua" w:hAnsi="Book Antiqua"/>
        </w:rPr>
        <w:t>A</w:t>
      </w:r>
      <w:r w:rsidRPr="00FD25E2">
        <w:rPr>
          <w:rFonts w:ascii="Book Antiqua" w:hAnsi="Book Antiqua"/>
        </w:rPr>
        <w:t xml:space="preserve">pplication was filed by </w:t>
      </w:r>
      <w:r w:rsidRPr="006C7A25">
        <w:rPr>
          <w:rFonts w:ascii="Book Antiqua" w:hAnsi="Book Antiqua"/>
        </w:rPr>
        <w:t>P</w:t>
      </w:r>
      <w:r>
        <w:rPr>
          <w:rFonts w:ascii="Book Antiqua" w:hAnsi="Book Antiqua"/>
        </w:rPr>
        <w:t>G&amp;E</w:t>
      </w:r>
      <w:r w:rsidRPr="00FD25E2">
        <w:rPr>
          <w:rFonts w:ascii="Book Antiqua" w:hAnsi="Book Antiqua"/>
        </w:rPr>
        <w:t xml:space="preserve">, on </w:t>
      </w:r>
      <w:r>
        <w:rPr>
          <w:rFonts w:ascii="Book Antiqua" w:hAnsi="Book Antiqua"/>
        </w:rPr>
        <w:t>June 6</w:t>
      </w:r>
      <w:r w:rsidRPr="00FD25E2">
        <w:rPr>
          <w:rFonts w:ascii="Book Antiqua" w:hAnsi="Book Antiqua"/>
        </w:rPr>
        <w:t>,</w:t>
      </w:r>
      <w:r>
        <w:rPr>
          <w:rFonts w:ascii="Book Antiqua" w:hAnsi="Book Antiqua"/>
        </w:rPr>
        <w:t> </w:t>
      </w:r>
      <w:r w:rsidRPr="00FD25E2">
        <w:rPr>
          <w:rFonts w:ascii="Book Antiqua" w:hAnsi="Book Antiqua"/>
        </w:rPr>
        <w:t xml:space="preserve">2018.  </w:t>
      </w:r>
    </w:p>
    <w:p w:rsidRPr="00FD25E2" w:rsidR="000903F9" w:rsidP="000903F9" w:rsidRDefault="000903F9" w14:paraId="5522CEF1" w14:textId="5F44ED3F">
      <w:pPr>
        <w:pStyle w:val="num1"/>
        <w:numPr>
          <w:ilvl w:val="0"/>
          <w:numId w:val="7"/>
        </w:numPr>
        <w:rPr>
          <w:rFonts w:ascii="Book Antiqua" w:hAnsi="Book Antiqua"/>
        </w:rPr>
      </w:pPr>
      <w:r w:rsidRPr="00FD25E2">
        <w:rPr>
          <w:rFonts w:ascii="Book Antiqua" w:hAnsi="Book Antiqua"/>
        </w:rPr>
        <w:t xml:space="preserve">A </w:t>
      </w:r>
      <w:r w:rsidR="009A2E6B">
        <w:rPr>
          <w:rFonts w:ascii="Book Antiqua" w:hAnsi="Book Antiqua"/>
        </w:rPr>
        <w:t>PHC</w:t>
      </w:r>
      <w:r>
        <w:rPr>
          <w:rFonts w:ascii="Book Antiqua" w:hAnsi="Book Antiqua"/>
        </w:rPr>
        <w:t xml:space="preserve"> </w:t>
      </w:r>
      <w:r w:rsidRPr="00FD25E2">
        <w:rPr>
          <w:rFonts w:ascii="Book Antiqua" w:hAnsi="Book Antiqua"/>
        </w:rPr>
        <w:t xml:space="preserve">was held on </w:t>
      </w:r>
      <w:r>
        <w:rPr>
          <w:rFonts w:ascii="Book Antiqua" w:hAnsi="Book Antiqua"/>
        </w:rPr>
        <w:t>November 14</w:t>
      </w:r>
      <w:r w:rsidRPr="00FD25E2">
        <w:rPr>
          <w:rFonts w:ascii="Book Antiqua" w:hAnsi="Book Antiqua"/>
        </w:rPr>
        <w:t xml:space="preserve">, 2018.  </w:t>
      </w:r>
    </w:p>
    <w:p w:rsidR="000903F9" w:rsidP="000903F9" w:rsidRDefault="000903F9" w14:paraId="3369E0F2" w14:textId="77777777">
      <w:pPr>
        <w:pStyle w:val="num1"/>
        <w:numPr>
          <w:ilvl w:val="0"/>
          <w:numId w:val="7"/>
        </w:numPr>
        <w:rPr>
          <w:rFonts w:ascii="Book Antiqua" w:hAnsi="Book Antiqua"/>
        </w:rPr>
      </w:pPr>
      <w:r w:rsidRPr="00FD25E2">
        <w:rPr>
          <w:rFonts w:ascii="Book Antiqua" w:hAnsi="Book Antiqua"/>
        </w:rPr>
        <w:t xml:space="preserve">On </w:t>
      </w:r>
      <w:r>
        <w:rPr>
          <w:rFonts w:ascii="Book Antiqua" w:hAnsi="Book Antiqua"/>
        </w:rPr>
        <w:t>March 25</w:t>
      </w:r>
      <w:r w:rsidRPr="00FD25E2">
        <w:rPr>
          <w:rFonts w:ascii="Book Antiqua" w:hAnsi="Book Antiqua"/>
        </w:rPr>
        <w:t xml:space="preserve">, 2018, the </w:t>
      </w:r>
      <w:r>
        <w:rPr>
          <w:rFonts w:ascii="Book Antiqua" w:hAnsi="Book Antiqua"/>
        </w:rPr>
        <w:t>assigned Commissioner issued the S</w:t>
      </w:r>
      <w:r w:rsidRPr="00FD25E2">
        <w:rPr>
          <w:rFonts w:ascii="Book Antiqua" w:hAnsi="Book Antiqua"/>
        </w:rPr>
        <w:t xml:space="preserve">coping </w:t>
      </w:r>
      <w:r>
        <w:rPr>
          <w:rFonts w:ascii="Book Antiqua" w:hAnsi="Book Antiqua"/>
        </w:rPr>
        <w:t>M</w:t>
      </w:r>
      <w:r w:rsidRPr="00FD25E2">
        <w:rPr>
          <w:rFonts w:ascii="Book Antiqua" w:hAnsi="Book Antiqua"/>
        </w:rPr>
        <w:t>em</w:t>
      </w:r>
      <w:r>
        <w:rPr>
          <w:rFonts w:ascii="Book Antiqua" w:hAnsi="Book Antiqua"/>
        </w:rPr>
        <w:t>o, which set the statutory deadline on June 6, 2020.</w:t>
      </w:r>
    </w:p>
    <w:p w:rsidR="000903F9" w:rsidP="000903F9" w:rsidRDefault="000903F9" w14:paraId="7FE7853E" w14:textId="77777777">
      <w:pPr>
        <w:pStyle w:val="num1"/>
        <w:numPr>
          <w:ilvl w:val="0"/>
          <w:numId w:val="7"/>
        </w:numPr>
        <w:rPr>
          <w:rFonts w:ascii="Book Antiqua" w:hAnsi="Book Antiqua"/>
        </w:rPr>
      </w:pPr>
      <w:r>
        <w:rPr>
          <w:rFonts w:ascii="Book Antiqua" w:hAnsi="Book Antiqua"/>
        </w:rPr>
        <w:t>On May 28, 2020, the Commission issued D.20-05-054 extending the statutory deadline to December 6, 2020.</w:t>
      </w:r>
    </w:p>
    <w:p w:rsidR="000903F9" w:rsidP="000903F9" w:rsidRDefault="000903F9" w14:paraId="6FEF99DA" w14:textId="139CCDAE">
      <w:pPr>
        <w:pStyle w:val="num1"/>
        <w:numPr>
          <w:ilvl w:val="0"/>
          <w:numId w:val="7"/>
        </w:numPr>
        <w:rPr>
          <w:rFonts w:ascii="Book Antiqua" w:hAnsi="Book Antiqua"/>
        </w:rPr>
      </w:pPr>
      <w:r w:rsidRPr="007228BF">
        <w:rPr>
          <w:rFonts w:ascii="Book Antiqua" w:hAnsi="Book Antiqua"/>
        </w:rPr>
        <w:t xml:space="preserve">An </w:t>
      </w:r>
      <w:r w:rsidR="00DE02E2">
        <w:rPr>
          <w:rFonts w:ascii="Book Antiqua" w:hAnsi="Book Antiqua"/>
        </w:rPr>
        <w:t xml:space="preserve">additional </w:t>
      </w:r>
      <w:r w:rsidRPr="007228BF">
        <w:rPr>
          <w:rFonts w:ascii="Book Antiqua" w:hAnsi="Book Antiqua"/>
        </w:rPr>
        <w:t xml:space="preserve">extension of time is needed to finalize the environmental review documents and </w:t>
      </w:r>
      <w:r>
        <w:rPr>
          <w:rFonts w:ascii="Book Antiqua" w:hAnsi="Book Antiqua"/>
        </w:rPr>
        <w:t xml:space="preserve">to </w:t>
      </w:r>
      <w:r w:rsidRPr="007228BF">
        <w:rPr>
          <w:rFonts w:ascii="Book Antiqua" w:hAnsi="Book Antiqua"/>
        </w:rPr>
        <w:t>prepare</w:t>
      </w:r>
      <w:r>
        <w:rPr>
          <w:rFonts w:ascii="Book Antiqua" w:hAnsi="Book Antiqua"/>
        </w:rPr>
        <w:t>, issue, and vote on</w:t>
      </w:r>
      <w:r w:rsidRPr="007228BF">
        <w:rPr>
          <w:rFonts w:ascii="Book Antiqua" w:hAnsi="Book Antiqua"/>
        </w:rPr>
        <w:t xml:space="preserve"> a Commission decision</w:t>
      </w:r>
      <w:r>
        <w:rPr>
          <w:rFonts w:ascii="Book Antiqua" w:hAnsi="Book Antiqua"/>
        </w:rPr>
        <w:t xml:space="preserve"> in this proceeding</w:t>
      </w:r>
      <w:r w:rsidRPr="007228BF">
        <w:rPr>
          <w:rFonts w:ascii="Book Antiqua" w:hAnsi="Book Antiqua"/>
        </w:rPr>
        <w:t>.</w:t>
      </w:r>
    </w:p>
    <w:p w:rsidRPr="0057320C" w:rsidR="00DE02E2" w:rsidP="00DE02E2" w:rsidRDefault="00DE02E2" w14:paraId="46D4C668" w14:textId="618C2073">
      <w:pPr>
        <w:pStyle w:val="num1"/>
        <w:numPr>
          <w:ilvl w:val="0"/>
          <w:numId w:val="7"/>
        </w:numPr>
        <w:rPr>
          <w:rFonts w:ascii="Book Antiqua" w:hAnsi="Book Antiqua"/>
        </w:rPr>
      </w:pPr>
      <w:r w:rsidRPr="0057320C">
        <w:rPr>
          <w:rFonts w:ascii="Book Antiqua" w:hAnsi="Book Antiqua"/>
        </w:rPr>
        <w:t xml:space="preserve">An extension of the statutory deadline for an additional six months, to </w:t>
      </w:r>
      <w:r w:rsidRPr="0057320C">
        <w:rPr>
          <w:rFonts w:ascii="Book Antiqua" w:hAnsi="Book Antiqua"/>
        </w:rPr>
        <w:br/>
        <w:t>June 6, 2021, is necessary so that the Commission may complete its review of PG&amp;E’s request for a permit to construct the Vierra Reinforcement Project.</w:t>
      </w:r>
    </w:p>
    <w:p w:rsidRPr="00FD25E2" w:rsidR="009E7219" w:rsidP="009A2E6B" w:rsidRDefault="009E7219" w14:paraId="0C28976C" w14:textId="68758158">
      <w:pPr>
        <w:pStyle w:val="dummy"/>
        <w:keepNext w:val="0"/>
        <w:spacing w:before="0"/>
        <w:rPr>
          <w:rFonts w:ascii="Arial" w:hAnsi="Arial" w:cs="Arial"/>
        </w:rPr>
      </w:pPr>
      <w:r w:rsidRPr="00FD25E2">
        <w:rPr>
          <w:rFonts w:ascii="Arial" w:hAnsi="Arial" w:cs="Arial"/>
        </w:rPr>
        <w:t>Conclusion of Law</w:t>
      </w:r>
    </w:p>
    <w:p w:rsidRPr="00FD25E2" w:rsidR="009E7219" w:rsidP="009A2E6B" w:rsidRDefault="009E7219" w14:paraId="0C45C92D" w14:textId="77777777">
      <w:pPr>
        <w:pStyle w:val="standard"/>
        <w:rPr>
          <w:rFonts w:ascii="Book Antiqua" w:hAnsi="Book Antiqua"/>
        </w:rPr>
      </w:pPr>
      <w:r w:rsidRPr="00FD25E2">
        <w:rPr>
          <w:rFonts w:ascii="Book Antiqua" w:hAnsi="Book Antiqua"/>
        </w:rPr>
        <w:t xml:space="preserve">Pursuant to the authority granted to the Commission under Pub. Util. Code § 1701.5(a), the statutory deadline should be extended to </w:t>
      </w:r>
      <w:r>
        <w:rPr>
          <w:rFonts w:ascii="Book Antiqua" w:hAnsi="Book Antiqua"/>
        </w:rPr>
        <w:t>June 6</w:t>
      </w:r>
      <w:r w:rsidRPr="00FD25E2">
        <w:rPr>
          <w:rFonts w:ascii="Book Antiqua" w:hAnsi="Book Antiqua"/>
        </w:rPr>
        <w:t>, 202</w:t>
      </w:r>
      <w:r>
        <w:rPr>
          <w:rFonts w:ascii="Book Antiqua" w:hAnsi="Book Antiqua"/>
        </w:rPr>
        <w:t>1</w:t>
      </w:r>
      <w:r w:rsidRPr="00FD25E2">
        <w:rPr>
          <w:rFonts w:ascii="Book Antiqua" w:hAnsi="Book Antiqua"/>
        </w:rPr>
        <w:t>.</w:t>
      </w:r>
    </w:p>
    <w:p w:rsidRPr="00FD25E2" w:rsidR="009E7219" w:rsidP="009A2E6B" w:rsidRDefault="009E7219" w14:paraId="57536CD7" w14:textId="77777777">
      <w:pPr>
        <w:pStyle w:val="standard"/>
        <w:keepNext/>
        <w:keepLines/>
        <w:spacing w:before="120"/>
        <w:rPr>
          <w:rFonts w:ascii="Book Antiqua" w:hAnsi="Book Antiqua"/>
        </w:rPr>
      </w:pPr>
      <w:r w:rsidRPr="00FD25E2">
        <w:rPr>
          <w:rFonts w:ascii="Arial" w:hAnsi="Arial" w:cs="Arial"/>
          <w:b/>
        </w:rPr>
        <w:lastRenderedPageBreak/>
        <w:t>IT IS ORDERED</w:t>
      </w:r>
      <w:r>
        <w:t xml:space="preserve"> </w:t>
      </w:r>
      <w:r w:rsidRPr="00FD25E2">
        <w:rPr>
          <w:rFonts w:ascii="Book Antiqua" w:hAnsi="Book Antiqua"/>
        </w:rPr>
        <w:t xml:space="preserve">that the statutory deadline in this proceeding is extended until </w:t>
      </w:r>
      <w:r>
        <w:rPr>
          <w:rFonts w:ascii="Book Antiqua" w:hAnsi="Book Antiqua"/>
        </w:rPr>
        <w:t>June 6</w:t>
      </w:r>
      <w:r w:rsidRPr="00FD25E2">
        <w:rPr>
          <w:rFonts w:ascii="Book Antiqua" w:hAnsi="Book Antiqua"/>
        </w:rPr>
        <w:t>, 202</w:t>
      </w:r>
      <w:r>
        <w:rPr>
          <w:rFonts w:ascii="Book Antiqua" w:hAnsi="Book Antiqua"/>
        </w:rPr>
        <w:t>1</w:t>
      </w:r>
      <w:r w:rsidRPr="00FD25E2">
        <w:rPr>
          <w:rFonts w:ascii="Book Antiqua" w:hAnsi="Book Antiqua"/>
        </w:rPr>
        <w:t>.</w:t>
      </w:r>
    </w:p>
    <w:p w:rsidR="00D670D1" w:rsidP="009A2E6B" w:rsidRDefault="00D670D1" w14:paraId="23C14801" w14:textId="77777777">
      <w:pPr>
        <w:pStyle w:val="standard"/>
        <w:keepNext/>
        <w:keepLines/>
      </w:pPr>
      <w:r>
        <w:t>This order is effective today.</w:t>
      </w:r>
    </w:p>
    <w:p w:rsidR="00D670D1" w:rsidP="009A2E6B" w:rsidRDefault="00D670D1" w14:paraId="48F40669" w14:textId="724E7721">
      <w:pPr>
        <w:pStyle w:val="standard"/>
        <w:keepNext/>
        <w:keepLines/>
      </w:pPr>
      <w:r>
        <w:t>Date</w:t>
      </w:r>
      <w:r w:rsidR="00081FE0">
        <w:t xml:space="preserve">d </w:t>
      </w:r>
      <w:r w:rsidR="00CC2D95">
        <w:t>__________________</w:t>
      </w:r>
      <w:r w:rsidR="00C064C0">
        <w:t>,</w:t>
      </w:r>
      <w:r w:rsidR="005751E4">
        <w:t xml:space="preserve"> </w:t>
      </w:r>
      <w:r>
        <w:t>at San Francisco, California.</w:t>
      </w:r>
    </w:p>
    <w:p w:rsidR="009A2E6B" w:rsidP="009A2E6B" w:rsidRDefault="009A2E6B" w14:paraId="473D26BF" w14:textId="10044DAC">
      <w:pPr>
        <w:pStyle w:val="standard"/>
        <w:keepNext/>
        <w:keepLines/>
      </w:pPr>
    </w:p>
    <w:p w:rsidR="009A2E6B" w:rsidP="009A2E6B" w:rsidRDefault="009A2E6B" w14:paraId="102482A0" w14:textId="77777777">
      <w:pPr>
        <w:pStyle w:val="standard"/>
        <w:keepNext/>
        <w:keepLines/>
      </w:pPr>
    </w:p>
    <w:sectPr w:rsidR="009A2E6B">
      <w:headerReference w:type="default" r:id="rId7"/>
      <w:footerReference w:type="default" r:id="rId8"/>
      <w:footerReference w:type="first" r:id="rId9"/>
      <w:pgSz w:w="12240" w:h="15840" w:code="1"/>
      <w:pgMar w:top="1152"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959596" w14:textId="77777777" w:rsidR="00032EDD" w:rsidRDefault="00032EDD">
      <w:r>
        <w:separator/>
      </w:r>
    </w:p>
  </w:endnote>
  <w:endnote w:type="continuationSeparator" w:id="0">
    <w:p w14:paraId="03DC4163" w14:textId="77777777" w:rsidR="00032EDD" w:rsidRDefault="00032E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Palatino">
    <w:altName w:val="Book Antiqua"/>
    <w:charset w:val="00"/>
    <w:family w:val="auto"/>
    <w:pitch w:val="variable"/>
    <w:sig w:usb0="00000003" w:usb1="00000000" w:usb2="00000000" w:usb3="00000000" w:csb0="00000003"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4845A7" w14:textId="4ED0A602" w:rsidR="00B80F6A" w:rsidRDefault="00B80F6A">
    <w:pPr>
      <w:pStyle w:val="Footer"/>
      <w:rPr>
        <w:rStyle w:val="PageNumber"/>
        <w:sz w:val="24"/>
        <w:szCs w:val="24"/>
      </w:rPr>
    </w:pPr>
    <w:r>
      <w:rPr>
        <w:rStyle w:val="PageNumber"/>
        <w:sz w:val="24"/>
        <w:szCs w:val="24"/>
      </w:rPr>
      <w:t xml:space="preserve">- </w:t>
    </w:r>
    <w:r>
      <w:rPr>
        <w:rStyle w:val="PageNumber"/>
        <w:sz w:val="24"/>
        <w:szCs w:val="24"/>
      </w:rPr>
      <w:fldChar w:fldCharType="begin"/>
    </w:r>
    <w:r>
      <w:rPr>
        <w:rStyle w:val="PageNumber"/>
        <w:sz w:val="24"/>
        <w:szCs w:val="24"/>
      </w:rPr>
      <w:instrText xml:space="preserve"> PAGE </w:instrText>
    </w:r>
    <w:r>
      <w:rPr>
        <w:rStyle w:val="PageNumber"/>
        <w:sz w:val="24"/>
        <w:szCs w:val="24"/>
      </w:rPr>
      <w:fldChar w:fldCharType="separate"/>
    </w:r>
    <w:r w:rsidR="004B46C0">
      <w:rPr>
        <w:rStyle w:val="PageNumber"/>
        <w:noProof/>
        <w:sz w:val="24"/>
        <w:szCs w:val="24"/>
      </w:rPr>
      <w:t>2</w:t>
    </w:r>
    <w:r>
      <w:rPr>
        <w:rStyle w:val="PageNumber"/>
        <w:sz w:val="24"/>
        <w:szCs w:val="24"/>
      </w:rPr>
      <w:fldChar w:fldCharType="end"/>
    </w:r>
    <w:r>
      <w:rPr>
        <w:rStyle w:val="PageNumber"/>
        <w:sz w:val="24"/>
        <w:szCs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AC24DD" w14:textId="17A107C5" w:rsidR="00B80F6A" w:rsidRDefault="003D2232">
    <w:pPr>
      <w:pStyle w:val="Footer"/>
      <w:jc w:val="left"/>
      <w:rPr>
        <w:rStyle w:val="PageNumber"/>
        <w:sz w:val="24"/>
        <w:szCs w:val="24"/>
      </w:rPr>
    </w:pPr>
    <w:r w:rsidRPr="003D2232">
      <w:rPr>
        <w:rFonts w:ascii="Tahoma" w:hAnsi="Tahoma" w:cs="Tahoma"/>
        <w:sz w:val="17"/>
        <w:szCs w:val="17"/>
      </w:rPr>
      <w:t>349937592</w:t>
    </w:r>
    <w:r w:rsidR="00B80F6A">
      <w:rPr>
        <w:rStyle w:val="PageNumber"/>
        <w:sz w:val="24"/>
        <w:szCs w:val="24"/>
      </w:rPr>
      <w:tab/>
      <w:t xml:space="preserve">- </w:t>
    </w:r>
    <w:r w:rsidR="00B80F6A">
      <w:rPr>
        <w:rStyle w:val="PageNumber"/>
        <w:sz w:val="24"/>
        <w:szCs w:val="24"/>
      </w:rPr>
      <w:fldChar w:fldCharType="begin"/>
    </w:r>
    <w:r w:rsidR="00B80F6A">
      <w:rPr>
        <w:rStyle w:val="PageNumber"/>
        <w:sz w:val="24"/>
        <w:szCs w:val="24"/>
      </w:rPr>
      <w:instrText xml:space="preserve"> PAGE </w:instrText>
    </w:r>
    <w:r w:rsidR="00B80F6A">
      <w:rPr>
        <w:rStyle w:val="PageNumber"/>
        <w:sz w:val="24"/>
        <w:szCs w:val="24"/>
      </w:rPr>
      <w:fldChar w:fldCharType="separate"/>
    </w:r>
    <w:r w:rsidR="004B46C0">
      <w:rPr>
        <w:rStyle w:val="PageNumber"/>
        <w:noProof/>
        <w:sz w:val="24"/>
        <w:szCs w:val="24"/>
      </w:rPr>
      <w:t>1</w:t>
    </w:r>
    <w:r w:rsidR="00B80F6A">
      <w:rPr>
        <w:rStyle w:val="PageNumber"/>
        <w:sz w:val="24"/>
        <w:szCs w:val="24"/>
      </w:rPr>
      <w:fldChar w:fldCharType="end"/>
    </w:r>
    <w:r w:rsidR="00B80F6A">
      <w:rPr>
        <w:rStyle w:val="PageNumber"/>
        <w:sz w:val="24"/>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44C911" w14:textId="77777777" w:rsidR="00032EDD" w:rsidRDefault="00032EDD">
      <w:r>
        <w:separator/>
      </w:r>
    </w:p>
  </w:footnote>
  <w:footnote w:type="continuationSeparator" w:id="0">
    <w:p w14:paraId="3CF74F3F" w14:textId="77777777" w:rsidR="00032EDD" w:rsidRDefault="00032EDD">
      <w:r>
        <w:continuationSeparator/>
      </w:r>
    </w:p>
  </w:footnote>
  <w:footnote w:type="continuationNotice" w:id="1">
    <w:p w14:paraId="226500C9" w14:textId="77777777" w:rsidR="00032EDD" w:rsidRDefault="00032EDD">
      <w:pPr>
        <w:rPr>
          <w:sz w:val="22"/>
        </w:rPr>
      </w:pPr>
    </w:p>
    <w:p w14:paraId="17DBD280" w14:textId="77777777" w:rsidR="00032EDD" w:rsidRDefault="00032EDD">
      <w:pPr>
        <w:jc w:val="right"/>
        <w:rPr>
          <w:sz w:val="22"/>
        </w:rPr>
      </w:pPr>
      <w:r>
        <w:rPr>
          <w:i/>
          <w:sz w:val="22"/>
        </w:rPr>
        <w:t xml:space="preserve">Footnote </w:t>
      </w:r>
      <w:proofErr w:type="gramStart"/>
      <w:r>
        <w:rPr>
          <w:i/>
          <w:sz w:val="22"/>
        </w:rPr>
        <w:t>continued on</w:t>
      </w:r>
      <w:proofErr w:type="gramEnd"/>
      <w:r>
        <w:rPr>
          <w:i/>
          <w:sz w:val="22"/>
        </w:rPr>
        <w:t xml:space="preserve"> next page</w:t>
      </w:r>
    </w:p>
  </w:footnote>
  <w:footnote w:id="2">
    <w:p w14:paraId="0EF38B8F" w14:textId="79905A26" w:rsidR="00DE02E2" w:rsidRPr="005A1E0A" w:rsidRDefault="00DE02E2" w:rsidP="00DE02E2">
      <w:pPr>
        <w:pStyle w:val="FootnoteText"/>
        <w:spacing w:after="120"/>
        <w:rPr>
          <w:rFonts w:ascii="Book Antiqua" w:hAnsi="Book Antiqua"/>
          <w:sz w:val="22"/>
          <w:szCs w:val="22"/>
        </w:rPr>
      </w:pPr>
      <w:r w:rsidRPr="005A1E0A">
        <w:rPr>
          <w:rStyle w:val="FootnoteReference"/>
          <w:rFonts w:ascii="Book Antiqua" w:hAnsi="Book Antiqua"/>
          <w:sz w:val="22"/>
          <w:szCs w:val="22"/>
        </w:rPr>
        <w:footnoteRef/>
      </w:r>
      <w:r w:rsidRPr="005A1E0A">
        <w:rPr>
          <w:rFonts w:ascii="Book Antiqua" w:hAnsi="Book Antiqua"/>
          <w:sz w:val="22"/>
          <w:szCs w:val="22"/>
        </w:rPr>
        <w:t xml:space="preserve">  </w:t>
      </w:r>
      <w:r>
        <w:rPr>
          <w:rFonts w:ascii="Book Antiqua" w:hAnsi="Book Antiqua"/>
          <w:sz w:val="22"/>
          <w:szCs w:val="22"/>
        </w:rPr>
        <w:t>Section 1701.5(a) provides:</w:t>
      </w:r>
      <w:r w:rsidRPr="00AA6558">
        <w:rPr>
          <w:rFonts w:ascii="Verdana" w:hAnsi="Verdana"/>
          <w:color w:val="333333"/>
          <w:sz w:val="22"/>
          <w:szCs w:val="22"/>
          <w:bdr w:val="none" w:sz="0" w:space="0" w:color="auto" w:frame="1"/>
          <w:lang w:val="en"/>
        </w:rPr>
        <w:t xml:space="preserve"> </w:t>
      </w:r>
      <w:r>
        <w:rPr>
          <w:rFonts w:ascii="Verdana" w:hAnsi="Verdana"/>
          <w:color w:val="333333"/>
          <w:sz w:val="22"/>
          <w:szCs w:val="22"/>
          <w:bdr w:val="none" w:sz="0" w:space="0" w:color="auto" w:frame="1"/>
          <w:lang w:val="en"/>
        </w:rPr>
        <w:t>“</w:t>
      </w:r>
      <w:r w:rsidRPr="00AA6558">
        <w:rPr>
          <w:rFonts w:ascii="Book Antiqua" w:hAnsi="Book Antiqua"/>
          <w:sz w:val="22"/>
          <w:szCs w:val="22"/>
          <w:lang w:val="en"/>
        </w:rPr>
        <w:t>(a) Except as specified in subdivision (b), in a ratesetting or quasi</w:t>
      </w:r>
      <w:r w:rsidR="00BE07DC">
        <w:rPr>
          <w:rFonts w:ascii="Book Antiqua" w:hAnsi="Book Antiqua"/>
          <w:sz w:val="22"/>
          <w:szCs w:val="22"/>
          <w:lang w:val="en"/>
        </w:rPr>
        <w:noBreakHyphen/>
      </w:r>
      <w:r w:rsidRPr="00AA6558">
        <w:rPr>
          <w:rFonts w:ascii="Book Antiqua" w:hAnsi="Book Antiqua"/>
          <w:sz w:val="22"/>
          <w:szCs w:val="22"/>
          <w:lang w:val="en"/>
        </w:rPr>
        <w:t>legislative case, the commission shall resolve the issues raised in the scoping memo within 18 months of the date the proceeding is initiated, unless the commission makes a written determination that the deadline cannot be met, including findings as to the reason, and issues an order extending the deadline.</w:t>
      </w:r>
      <w:r>
        <w:rPr>
          <w:rFonts w:ascii="Book Antiqua" w:hAnsi="Book Antiqua"/>
          <w:sz w:val="22"/>
          <w:szCs w:val="22"/>
          <w:lang w:val="en"/>
        </w:rPr>
        <w:t>”</w:t>
      </w:r>
    </w:p>
  </w:footnote>
  <w:footnote w:id="3">
    <w:p w14:paraId="46C1CCF6" w14:textId="6F7D082E" w:rsidR="00DE02E2" w:rsidRDefault="00DE02E2" w:rsidP="00DE02E2">
      <w:pPr>
        <w:pStyle w:val="FootnoteText"/>
      </w:pPr>
      <w:r>
        <w:rPr>
          <w:rStyle w:val="FootnoteReference"/>
        </w:rPr>
        <w:footnoteRef/>
      </w:r>
      <w:r>
        <w:t xml:space="preserve"> </w:t>
      </w:r>
      <w:r w:rsidRPr="00BE07DC">
        <w:rPr>
          <w:rFonts w:ascii="Book Antiqua" w:hAnsi="Book Antiqua"/>
          <w:sz w:val="22"/>
          <w:szCs w:val="22"/>
        </w:rPr>
        <w:t xml:space="preserve">All documents filed in this Application proceeding are available on the Commission’s website at: </w:t>
      </w:r>
      <w:hyperlink r:id="rId1" w:history="1">
        <w:r w:rsidRPr="00BE07DC">
          <w:rPr>
            <w:rStyle w:val="Hyperlink"/>
            <w:rFonts w:ascii="Book Antiqua" w:hAnsi="Book Antiqua"/>
            <w:sz w:val="22"/>
            <w:szCs w:val="22"/>
          </w:rPr>
          <w:t>https://apps.cpuc.ca.gov/apex/f?p=401:56:0::NO:RP,57,RIR:P5_PROCEEDING_SELECT:A1806004</w:t>
        </w:r>
      </w:hyperlink>
      <w:r w:rsidRPr="00BE07DC">
        <w:rPr>
          <w:rFonts w:ascii="Book Antiqua" w:hAnsi="Book Antiqua"/>
          <w:sz w:val="22"/>
          <w:szCs w:val="22"/>
        </w:rPr>
        <w:t>.</w:t>
      </w:r>
    </w:p>
  </w:footnote>
  <w:footnote w:id="4">
    <w:p w14:paraId="316FBCCF" w14:textId="279C955C" w:rsidR="00DE02E2" w:rsidRDefault="00DE02E2" w:rsidP="00DE02E2">
      <w:pPr>
        <w:pStyle w:val="FootnoteText"/>
      </w:pPr>
      <w:r>
        <w:rPr>
          <w:rStyle w:val="FootnoteReference"/>
        </w:rPr>
        <w:footnoteRef/>
      </w:r>
      <w:r>
        <w:t xml:space="preserve"> </w:t>
      </w:r>
      <w:r w:rsidRPr="00D33388">
        <w:rPr>
          <w:rFonts w:ascii="Book Antiqua" w:hAnsi="Book Antiqua"/>
          <w:sz w:val="22"/>
          <w:szCs w:val="22"/>
        </w:rPr>
        <w:t>The Draft IS/MND is available on the Commission’s website at:</w:t>
      </w:r>
      <w:r w:rsidRPr="0057320C">
        <w:rPr>
          <w:rFonts w:ascii="Book Antiqua" w:hAnsi="Book Antiqua"/>
        </w:rPr>
        <w:t xml:space="preserve"> </w:t>
      </w:r>
      <w:hyperlink r:id="rId2" w:history="1">
        <w:r w:rsidRPr="0057320C">
          <w:rPr>
            <w:rStyle w:val="Hyperlink"/>
            <w:rFonts w:ascii="Book Antiqua" w:hAnsi="Book Antiqua"/>
          </w:rPr>
          <w:t>https://www.cpuc.ca.gov/environment/info/CEC/VierraReinforcement/index.htm</w:t>
        </w:r>
      </w:hyperlink>
      <w:r w:rsidRPr="0057320C">
        <w:rPr>
          <w:rFonts w:ascii="Book Antiqua" w:hAnsi="Book Antiqu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EB9F79" w14:textId="1A87CA4C" w:rsidR="008B197F" w:rsidRDefault="00A66BCB" w:rsidP="008B197F">
    <w:pPr>
      <w:pStyle w:val="Header"/>
      <w:tabs>
        <w:tab w:val="clear" w:pos="8640"/>
        <w:tab w:val="right" w:pos="9360"/>
      </w:tabs>
    </w:pPr>
    <w:r>
      <w:rPr>
        <w:rFonts w:ascii="Book Antiqua" w:hAnsi="Book Antiqua"/>
      </w:rPr>
      <w:t>A.18-06-</w:t>
    </w:r>
    <w:proofErr w:type="gramStart"/>
    <w:r>
      <w:rPr>
        <w:rFonts w:ascii="Book Antiqua" w:hAnsi="Book Antiqua"/>
      </w:rPr>
      <w:t>004</w:t>
    </w:r>
    <w:r w:rsidR="00B80F6A" w:rsidRPr="008B197F">
      <w:rPr>
        <w:rFonts w:ascii="Book Antiqua" w:hAnsi="Book Antiqua"/>
      </w:rPr>
      <w:t xml:space="preserve">  ALJ</w:t>
    </w:r>
    <w:proofErr w:type="gramEnd"/>
    <w:r w:rsidR="00B80F6A" w:rsidRPr="008B197F">
      <w:rPr>
        <w:rFonts w:ascii="Book Antiqua" w:hAnsi="Book Antiqua"/>
      </w:rPr>
      <w:t>/</w:t>
    </w:r>
    <w:r>
      <w:rPr>
        <w:rFonts w:ascii="Book Antiqua" w:hAnsi="Book Antiqua"/>
      </w:rPr>
      <w:t>RMD</w:t>
    </w:r>
    <w:r w:rsidR="008B197F" w:rsidRPr="008B197F">
      <w:rPr>
        <w:rFonts w:ascii="Book Antiqua" w:hAnsi="Book Antiqua"/>
      </w:rPr>
      <w:t>/</w:t>
    </w:r>
    <w:proofErr w:type="spellStart"/>
    <w:r w:rsidR="008B197F" w:rsidRPr="008B197F">
      <w:rPr>
        <w:rFonts w:ascii="Book Antiqua" w:hAnsi="Book Antiqua"/>
      </w:rPr>
      <w:t>mln</w:t>
    </w:r>
    <w:proofErr w:type="spellEnd"/>
    <w:r w:rsidR="00742ADB">
      <w:rPr>
        <w:rFonts w:ascii="Book Antiqua" w:hAnsi="Book Antiqua"/>
      </w:rPr>
      <w:t>/</w:t>
    </w:r>
    <w:proofErr w:type="spellStart"/>
    <w:r w:rsidR="00742ADB">
      <w:rPr>
        <w:rFonts w:ascii="Book Antiqua" w:hAnsi="Book Antiqua"/>
      </w:rPr>
      <w:t>avs</w:t>
    </w:r>
    <w:proofErr w:type="spellEnd"/>
    <w:r w:rsidR="008B197F">
      <w:tab/>
    </w:r>
    <w:r w:rsidR="008B197F">
      <w:tab/>
    </w:r>
    <w:r w:rsidR="008B197F" w:rsidRPr="008B197F">
      <w:rPr>
        <w:rFonts w:ascii="Arial" w:hAnsi="Arial" w:cs="Arial"/>
        <w:b/>
        <w:sz w:val="32"/>
        <w:szCs w:val="32"/>
      </w:rPr>
      <w:t>PROPOSED DECISION</w:t>
    </w:r>
  </w:p>
  <w:p w14:paraId="42DBC429" w14:textId="5A6A7339" w:rsidR="00B80F6A" w:rsidRDefault="00B80F6A">
    <w:pPr>
      <w:pStyle w:val="Header"/>
    </w:pPr>
  </w:p>
  <w:p w14:paraId="40D32960" w14:textId="77777777" w:rsidR="00742ADB" w:rsidRDefault="00742A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3B381E"/>
    <w:multiLevelType w:val="singleLevel"/>
    <w:tmpl w:val="2FB6A734"/>
    <w:lvl w:ilvl="0">
      <w:start w:val="1"/>
      <w:numFmt w:val="decimal"/>
      <w:lvlText w:val="%1."/>
      <w:legacy w:legacy="1" w:legacySpace="144" w:legacyIndent="0"/>
      <w:lvlJc w:val="left"/>
    </w:lvl>
  </w:abstractNum>
  <w:abstractNum w:abstractNumId="1" w15:restartNumberingAfterBreak="0">
    <w:nsid w:val="2DD46003"/>
    <w:multiLevelType w:val="singleLevel"/>
    <w:tmpl w:val="2FB6A734"/>
    <w:lvl w:ilvl="0">
      <w:start w:val="1"/>
      <w:numFmt w:val="decimal"/>
      <w:lvlText w:val="%1."/>
      <w:legacy w:legacy="1" w:legacySpace="144" w:legacyIndent="0"/>
      <w:lvlJc w:val="left"/>
    </w:lvl>
  </w:abstractNum>
  <w:abstractNum w:abstractNumId="2" w15:restartNumberingAfterBreak="0">
    <w:nsid w:val="46446937"/>
    <w:multiLevelType w:val="singleLevel"/>
    <w:tmpl w:val="2FB6A734"/>
    <w:lvl w:ilvl="0">
      <w:start w:val="1"/>
      <w:numFmt w:val="decimal"/>
      <w:lvlText w:val="%1."/>
      <w:legacy w:legacy="1" w:legacySpace="144" w:legacyIndent="0"/>
      <w:lvlJc w:val="left"/>
    </w:lvl>
  </w:abstractNum>
  <w:abstractNum w:abstractNumId="3" w15:restartNumberingAfterBreak="0">
    <w:nsid w:val="519636B5"/>
    <w:multiLevelType w:val="hybridMultilevel"/>
    <w:tmpl w:val="D03076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E474F4"/>
    <w:multiLevelType w:val="hybridMultilevel"/>
    <w:tmpl w:val="39947110"/>
    <w:lvl w:ilvl="0" w:tplc="2FB6A734">
      <w:start w:val="1"/>
      <w:numFmt w:val="decimal"/>
      <w:lvlText w:val="%1."/>
      <w:lvlJc w:val="left"/>
      <w:pPr>
        <w:ind w:left="45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15:restartNumberingAfterBreak="0">
    <w:nsid w:val="7B1C30FD"/>
    <w:multiLevelType w:val="singleLevel"/>
    <w:tmpl w:val="2FB6A734"/>
    <w:lvl w:ilvl="0">
      <w:start w:val="1"/>
      <w:numFmt w:val="decimal"/>
      <w:lvlText w:val="%1."/>
      <w:legacy w:legacy="1" w:legacySpace="144" w:legacyIndent="0"/>
      <w:lvlJc w:val="left"/>
    </w:lvl>
  </w:abstractNum>
  <w:abstractNum w:abstractNumId="6" w15:restartNumberingAfterBreak="0">
    <w:nsid w:val="7D905FC4"/>
    <w:multiLevelType w:val="hybridMultilevel"/>
    <w:tmpl w:val="79A087D0"/>
    <w:lvl w:ilvl="0" w:tplc="BE4A95F8">
      <w:start w:val="1"/>
      <w:numFmt w:val="decimal"/>
      <w:lvlText w:val="%1."/>
      <w:legacy w:legacy="1" w:legacySpace="144" w:legacyIndent="0"/>
      <w:lvlJc w:val="left"/>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1"/>
  </w:num>
  <w:num w:numId="2">
    <w:abstractNumId w:val="0"/>
  </w:num>
  <w:num w:numId="3">
    <w:abstractNumId w:val="5"/>
  </w:num>
  <w:num w:numId="4">
    <w:abstractNumId w:val="2"/>
  </w:num>
  <w:num w:numId="5">
    <w:abstractNumId w:val="4"/>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removePersonalInformation/>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0D1"/>
    <w:rsid w:val="00032EDD"/>
    <w:rsid w:val="00036577"/>
    <w:rsid w:val="00042D7A"/>
    <w:rsid w:val="00081FE0"/>
    <w:rsid w:val="000903F9"/>
    <w:rsid w:val="00095B57"/>
    <w:rsid w:val="000B0A57"/>
    <w:rsid w:val="000B226D"/>
    <w:rsid w:val="000C2963"/>
    <w:rsid w:val="00125084"/>
    <w:rsid w:val="00130E3D"/>
    <w:rsid w:val="001416FF"/>
    <w:rsid w:val="0014752A"/>
    <w:rsid w:val="002615AE"/>
    <w:rsid w:val="00263268"/>
    <w:rsid w:val="00276151"/>
    <w:rsid w:val="00286C29"/>
    <w:rsid w:val="002A0D31"/>
    <w:rsid w:val="002E1486"/>
    <w:rsid w:val="00332538"/>
    <w:rsid w:val="003752A4"/>
    <w:rsid w:val="003824F2"/>
    <w:rsid w:val="003D2232"/>
    <w:rsid w:val="00422E23"/>
    <w:rsid w:val="00455112"/>
    <w:rsid w:val="00456882"/>
    <w:rsid w:val="0046034C"/>
    <w:rsid w:val="00467E96"/>
    <w:rsid w:val="004B46C0"/>
    <w:rsid w:val="004D2981"/>
    <w:rsid w:val="00570AE0"/>
    <w:rsid w:val="0057320C"/>
    <w:rsid w:val="005751E4"/>
    <w:rsid w:val="00631A50"/>
    <w:rsid w:val="00651D25"/>
    <w:rsid w:val="006847DD"/>
    <w:rsid w:val="006A45D4"/>
    <w:rsid w:val="006F5932"/>
    <w:rsid w:val="007014D7"/>
    <w:rsid w:val="007124F9"/>
    <w:rsid w:val="00712A71"/>
    <w:rsid w:val="00716FB9"/>
    <w:rsid w:val="00722D76"/>
    <w:rsid w:val="00735A6A"/>
    <w:rsid w:val="00742ADB"/>
    <w:rsid w:val="00784A1A"/>
    <w:rsid w:val="007B009A"/>
    <w:rsid w:val="007E5B68"/>
    <w:rsid w:val="008051F3"/>
    <w:rsid w:val="00806EC2"/>
    <w:rsid w:val="00821219"/>
    <w:rsid w:val="008B197F"/>
    <w:rsid w:val="009011EA"/>
    <w:rsid w:val="009422CD"/>
    <w:rsid w:val="009903CC"/>
    <w:rsid w:val="009A2E6B"/>
    <w:rsid w:val="009C7E06"/>
    <w:rsid w:val="009E5C3F"/>
    <w:rsid w:val="009E7219"/>
    <w:rsid w:val="00A111D2"/>
    <w:rsid w:val="00A21A07"/>
    <w:rsid w:val="00A570E6"/>
    <w:rsid w:val="00A66BCB"/>
    <w:rsid w:val="00A7647B"/>
    <w:rsid w:val="00A9452F"/>
    <w:rsid w:val="00A95E49"/>
    <w:rsid w:val="00AA3FA5"/>
    <w:rsid w:val="00AD4ACB"/>
    <w:rsid w:val="00AF1EFE"/>
    <w:rsid w:val="00B80F6A"/>
    <w:rsid w:val="00B93AFE"/>
    <w:rsid w:val="00BA152A"/>
    <w:rsid w:val="00BE07DC"/>
    <w:rsid w:val="00BE08C1"/>
    <w:rsid w:val="00BE1900"/>
    <w:rsid w:val="00BF5032"/>
    <w:rsid w:val="00C064C0"/>
    <w:rsid w:val="00C1699E"/>
    <w:rsid w:val="00C24B85"/>
    <w:rsid w:val="00C30DCD"/>
    <w:rsid w:val="00C37BFF"/>
    <w:rsid w:val="00CC2D95"/>
    <w:rsid w:val="00D1751B"/>
    <w:rsid w:val="00D33388"/>
    <w:rsid w:val="00D36D8D"/>
    <w:rsid w:val="00D547D7"/>
    <w:rsid w:val="00D670D1"/>
    <w:rsid w:val="00DB4074"/>
    <w:rsid w:val="00DE02E2"/>
    <w:rsid w:val="00E14129"/>
    <w:rsid w:val="00E40511"/>
    <w:rsid w:val="00F1412B"/>
    <w:rsid w:val="00F6635F"/>
    <w:rsid w:val="00F850D1"/>
    <w:rsid w:val="00FD68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D0B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4"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Palatino" w:hAnsi="Palatino"/>
      <w:sz w:val="26"/>
    </w:rPr>
  </w:style>
  <w:style w:type="paragraph" w:styleId="Heading1">
    <w:name w:val="heading 1"/>
    <w:basedOn w:val="Normal"/>
    <w:next w:val="standard"/>
    <w:uiPriority w:val="4"/>
    <w:qFormat/>
    <w:pPr>
      <w:keepNext/>
      <w:spacing w:before="120" w:after="120"/>
      <w:outlineLvl w:val="0"/>
    </w:pPr>
    <w:rPr>
      <w:rFonts w:ascii="Helvetica" w:hAnsi="Helvetica"/>
      <w:b/>
      <w:kern w:val="28"/>
    </w:rPr>
  </w:style>
  <w:style w:type="paragraph" w:styleId="Heading2">
    <w:name w:val="heading 2"/>
    <w:basedOn w:val="Normal"/>
    <w:next w:val="sub1"/>
    <w:qFormat/>
    <w:pPr>
      <w:keepNext/>
      <w:spacing w:before="120" w:after="120"/>
      <w:ind w:firstLine="1440"/>
      <w:outlineLvl w:val="1"/>
    </w:pPr>
    <w:rPr>
      <w:rFonts w:ascii="Helvetica" w:hAnsi="Helvetica"/>
      <w:b/>
      <w:i/>
    </w:rPr>
  </w:style>
  <w:style w:type="paragraph" w:styleId="Heading3">
    <w:name w:val="heading 3"/>
    <w:basedOn w:val="Normal"/>
    <w:next w:val="sub2"/>
    <w:qFormat/>
    <w:pPr>
      <w:keepNext/>
      <w:spacing w:before="120" w:after="120"/>
      <w:ind w:firstLine="2160"/>
      <w:outlineLvl w:val="2"/>
    </w:pPr>
    <w:rPr>
      <w:rFonts w:ascii="Helvetica" w:hAnsi="Helvetica"/>
      <w:b/>
    </w:rPr>
  </w:style>
  <w:style w:type="paragraph" w:styleId="Heading4">
    <w:name w:val="heading 4"/>
    <w:basedOn w:val="Normal"/>
    <w:next w:val="sub3"/>
    <w:qFormat/>
    <w:pPr>
      <w:keepNext/>
      <w:spacing w:before="120" w:after="120"/>
      <w:ind w:firstLine="2880"/>
      <w:outlineLvl w:val="3"/>
    </w:pPr>
    <w:rPr>
      <w:rFonts w:ascii="Helvetica" w:hAnsi="Helvetica"/>
      <w:b/>
      <w:i/>
    </w:rPr>
  </w:style>
  <w:style w:type="paragraph" w:styleId="Heading5">
    <w:name w:val="heading 5"/>
    <w:basedOn w:val="Normal"/>
    <w:next w:val="sub4"/>
    <w:qFormat/>
    <w:pPr>
      <w:spacing w:before="120" w:after="120"/>
      <w:ind w:firstLine="3600"/>
      <w:outlineLvl w:val="4"/>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pPr>
      <w:spacing w:after="240"/>
    </w:pPr>
    <w:rPr>
      <w:sz w:val="24"/>
    </w:rPr>
  </w:style>
  <w:style w:type="character" w:styleId="FootnoteReference">
    <w:name w:val="footnote reference"/>
    <w:aliases w:val="o,fr,Style 3,o1,o2,o3,o4,o5,o6,o11,o21,o7,o + Times New Roman,Style 12,(NECG) Footnote Reference,Appel note de bas de p,Style 124"/>
    <w:semiHidden/>
    <w:rPr>
      <w:sz w:val="24"/>
      <w:vertAlign w:val="superscript"/>
    </w:rPr>
  </w:style>
  <w:style w:type="paragraph" w:customStyle="1" w:styleId="standard">
    <w:name w:val="standard"/>
    <w:basedOn w:val="Normal"/>
    <w:link w:val="standardChar"/>
    <w:pPr>
      <w:spacing w:line="360" w:lineRule="auto"/>
      <w:ind w:firstLine="720"/>
    </w:pPr>
  </w:style>
  <w:style w:type="paragraph" w:styleId="Subtitle">
    <w:name w:val="Subtitle"/>
    <w:basedOn w:val="Normal"/>
    <w:qFormat/>
    <w:pPr>
      <w:spacing w:after="60"/>
      <w:jc w:val="center"/>
    </w:pPr>
    <w:rPr>
      <w:rFonts w:ascii="Arial" w:hAnsi="Arial"/>
    </w:rPr>
  </w:style>
  <w:style w:type="paragraph" w:customStyle="1" w:styleId="Quote1">
    <w:name w:val="Quote1"/>
    <w:basedOn w:val="standard"/>
    <w:next w:val="standard"/>
    <w:pPr>
      <w:spacing w:before="120" w:after="240" w:line="240" w:lineRule="auto"/>
      <w:ind w:left="720" w:right="720" w:firstLine="0"/>
    </w:pPr>
  </w:style>
  <w:style w:type="paragraph" w:customStyle="1" w:styleId="letter">
    <w:name w:val="letter"/>
    <w:basedOn w:val="num1"/>
    <w:pPr>
      <w:spacing w:after="120" w:line="240" w:lineRule="auto"/>
      <w:ind w:left="994" w:hanging="274"/>
    </w:pPr>
  </w:style>
  <w:style w:type="paragraph" w:styleId="TOC4">
    <w:name w:val="toc 4"/>
    <w:basedOn w:val="Normal"/>
    <w:next w:val="Normal"/>
    <w:semiHidden/>
    <w:pPr>
      <w:tabs>
        <w:tab w:val="right" w:leader="dot" w:pos="9360"/>
      </w:tabs>
      <w:ind w:left="720"/>
    </w:pPr>
  </w:style>
  <w:style w:type="paragraph" w:customStyle="1" w:styleId="main">
    <w:name w:val="main"/>
    <w:basedOn w:val="Normal"/>
    <w:link w:val="mainChar"/>
    <w:pPr>
      <w:jc w:val="center"/>
    </w:pPr>
    <w:rPr>
      <w:rFonts w:ascii="Helvetica" w:hAnsi="Helvetica"/>
      <w:b/>
    </w:rPr>
  </w:style>
  <w:style w:type="paragraph" w:customStyle="1" w:styleId="mainex">
    <w:name w:val="mainex"/>
    <w:basedOn w:val="main"/>
    <w:pPr>
      <w:keepNext/>
    </w:pPr>
    <w:rPr>
      <w:spacing w:val="120"/>
    </w:rPr>
  </w:style>
  <w:style w:type="paragraph" w:customStyle="1" w:styleId="num1">
    <w:name w:val="num1"/>
    <w:basedOn w:val="Normal"/>
    <w:pPr>
      <w:tabs>
        <w:tab w:val="left" w:pos="-720"/>
      </w:tabs>
      <w:suppressAutoHyphens/>
      <w:spacing w:line="360" w:lineRule="auto"/>
      <w:ind w:firstLine="360"/>
    </w:pPr>
  </w:style>
  <w:style w:type="paragraph" w:styleId="Header">
    <w:name w:val="header"/>
    <w:basedOn w:val="Normal"/>
    <w:link w:val="HeaderChar"/>
    <w:pPr>
      <w:widowControl w:val="0"/>
      <w:tabs>
        <w:tab w:val="center" w:pos="4320"/>
        <w:tab w:val="right" w:pos="8640"/>
      </w:tabs>
    </w:pPr>
  </w:style>
  <w:style w:type="paragraph" w:customStyle="1" w:styleId="num2">
    <w:name w:val="num2"/>
    <w:basedOn w:val="num1"/>
    <w:pPr>
      <w:ind w:firstLine="270"/>
    </w:pPr>
  </w:style>
  <w:style w:type="paragraph" w:styleId="Footer">
    <w:name w:val="footer"/>
    <w:basedOn w:val="Normal"/>
    <w:pPr>
      <w:tabs>
        <w:tab w:val="center" w:pos="4320"/>
        <w:tab w:val="right" w:pos="8640"/>
      </w:tabs>
      <w:jc w:val="center"/>
    </w:pPr>
  </w:style>
  <w:style w:type="paragraph" w:customStyle="1" w:styleId="sub1">
    <w:name w:val="sub1"/>
    <w:basedOn w:val="Normal"/>
    <w:pPr>
      <w:spacing w:line="360" w:lineRule="auto"/>
      <w:ind w:firstLine="1440"/>
    </w:pPr>
  </w:style>
  <w:style w:type="paragraph" w:customStyle="1" w:styleId="titlebar">
    <w:name w:val="title bar"/>
    <w:basedOn w:val="main"/>
    <w:pPr>
      <w:keepNext/>
      <w:suppressAutoHyphens/>
    </w:pPr>
  </w:style>
  <w:style w:type="character" w:styleId="PageNumber">
    <w:name w:val="page number"/>
    <w:basedOn w:val="DefaultParagraphFont"/>
  </w:style>
  <w:style w:type="paragraph" w:customStyle="1" w:styleId="sub2">
    <w:name w:val="sub2"/>
    <w:basedOn w:val="Normal"/>
    <w:pPr>
      <w:spacing w:line="360" w:lineRule="auto"/>
      <w:ind w:firstLine="2160"/>
    </w:pPr>
  </w:style>
  <w:style w:type="paragraph" w:customStyle="1" w:styleId="sub3">
    <w:name w:val="sub3"/>
    <w:basedOn w:val="Normal"/>
    <w:pPr>
      <w:spacing w:line="360" w:lineRule="auto"/>
      <w:ind w:firstLine="2880"/>
    </w:pPr>
  </w:style>
  <w:style w:type="paragraph" w:customStyle="1" w:styleId="sub4">
    <w:name w:val="sub4"/>
    <w:basedOn w:val="Normal"/>
    <w:pPr>
      <w:ind w:firstLine="3600"/>
    </w:pPr>
  </w:style>
  <w:style w:type="paragraph" w:customStyle="1" w:styleId="dummy">
    <w:name w:val="dummy"/>
    <w:basedOn w:val="Heading1"/>
    <w:pPr>
      <w:outlineLvl w:val="9"/>
    </w:pPr>
  </w:style>
  <w:style w:type="character" w:customStyle="1" w:styleId="standardChar">
    <w:name w:val="standard Char"/>
    <w:link w:val="standard"/>
    <w:rPr>
      <w:rFonts w:ascii="Palatino" w:hAnsi="Palatino"/>
      <w:sz w:val="26"/>
      <w:lang w:val="en-US" w:eastAsia="en-US" w:bidi="ar-SA"/>
    </w:rPr>
  </w:style>
  <w:style w:type="paragraph" w:styleId="BodyTextIndent">
    <w:name w:val="Body Text Indent"/>
    <w:basedOn w:val="Normal"/>
    <w:pPr>
      <w:spacing w:after="120"/>
      <w:ind w:left="360"/>
    </w:pPr>
  </w:style>
  <w:style w:type="character" w:customStyle="1" w:styleId="mainChar">
    <w:name w:val="main Char"/>
    <w:link w:val="main"/>
    <w:rPr>
      <w:rFonts w:ascii="Helvetica" w:hAnsi="Helvetica"/>
      <w:b/>
      <w:sz w:val="26"/>
      <w:lang w:val="en-US" w:eastAsia="en-US" w:bidi="ar-SA"/>
    </w:rPr>
  </w:style>
  <w:style w:type="character" w:customStyle="1" w:styleId="HeaderChar">
    <w:name w:val="Header Char"/>
    <w:link w:val="Header"/>
    <w:rsid w:val="00D36D8D"/>
    <w:rPr>
      <w:rFonts w:ascii="Palatino" w:hAnsi="Palatino"/>
      <w:sz w:val="26"/>
    </w:rPr>
  </w:style>
  <w:style w:type="character" w:customStyle="1" w:styleId="FootnoteTextChar">
    <w:name w:val="Footnote Text Char"/>
    <w:link w:val="FootnoteText"/>
    <w:semiHidden/>
    <w:rsid w:val="00D670D1"/>
    <w:rPr>
      <w:rFonts w:ascii="Palatino" w:hAnsi="Palatino"/>
      <w:sz w:val="24"/>
    </w:rPr>
  </w:style>
  <w:style w:type="paragraph" w:styleId="ListParagraph">
    <w:name w:val="List Paragraph"/>
    <w:basedOn w:val="Normal"/>
    <w:uiPriority w:val="34"/>
    <w:qFormat/>
    <w:rsid w:val="008B197F"/>
    <w:pPr>
      <w:ind w:left="720"/>
      <w:contextualSpacing/>
    </w:pPr>
  </w:style>
  <w:style w:type="character" w:styleId="Hyperlink">
    <w:name w:val="Hyperlink"/>
    <w:basedOn w:val="DefaultParagraphFont"/>
    <w:unhideWhenUsed/>
    <w:rsid w:val="000903F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4988568">
      <w:bodyDiv w:val="1"/>
      <w:marLeft w:val="0"/>
      <w:marRight w:val="0"/>
      <w:marTop w:val="0"/>
      <w:marBottom w:val="0"/>
      <w:divBdr>
        <w:top w:val="none" w:sz="0" w:space="0" w:color="auto"/>
        <w:left w:val="none" w:sz="0" w:space="0" w:color="auto"/>
        <w:bottom w:val="none" w:sz="0" w:space="0" w:color="auto"/>
        <w:right w:val="none" w:sz="0" w:space="0" w:color="auto"/>
      </w:divBdr>
    </w:div>
    <w:div w:id="1476724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s://www.cpuc.ca.gov/environment/info/CEC/VierraReinforcement/index.htm" TargetMode="External"/><Relationship Id="rId1" Type="http://schemas.openxmlformats.org/officeDocument/2006/relationships/hyperlink" Target="https://apps.cpuc.ca.gov/apex/f?p=401:56:0::NO:RP,57,RIR:P5_PROCEEDING_SELECT:A18060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5</ap:Pages>
  <ap:Words>820</ap:Words>
  <ap:Characters>4675</ap:Characters>
  <ap:Application>Microsoft Office Word</ap:Application>
  <ap:DocSecurity>0</ap:DocSecurity>
  <ap:Lines>38</ap:Lines>
  <ap:Paragraphs>10</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5485</ap:CharactersWithSpaces>
  <ap:SharedDoc>false</ap:SharedDoc>
  <ap:HyperlinksChanged>false</ap:HyperlinksChanged>
  <ap:AppVersion>12.0000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lastPrinted>2008-04-01T23:35:00Z</cp:lastPrinted>
  <dcterms:created xsi:type="dcterms:W3CDTF">2020-11-05T12:12:16Z</dcterms:created>
  <dcterms:modified xsi:type="dcterms:W3CDTF">2020-11-05T12:12:16Z</dcterms:modified>
</cp:coreProperties>
</file>