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A36D3" w:rsidR="00693D01" w:rsidP="00693D01" w:rsidRDefault="00693D01" w14:paraId="5407B02B" w14:textId="77777777">
      <w:pPr>
        <w:pBdr>
          <w:bottom w:val="double" w:color="auto" w:sz="6" w:space="1"/>
        </w:pBdr>
        <w:tabs>
          <w:tab w:val="right" w:pos="9630"/>
          <w:tab w:val="left" w:pos="9720"/>
        </w:tabs>
        <w:ind w:left="-540" w:right="-450"/>
        <w:rPr>
          <w:rFonts w:ascii="Book Antiqua" w:hAnsi="Book Antiqua"/>
          <w:i/>
          <w:sz w:val="26"/>
        </w:rPr>
      </w:pPr>
      <w:r w:rsidRPr="006A36D3">
        <w:rPr>
          <w:rFonts w:ascii="Book Antiqua" w:hAnsi="Book Antiqua"/>
          <w:sz w:val="16"/>
        </w:rPr>
        <w:t>STATE OF CALIFORNIA</w:t>
      </w:r>
      <w:r w:rsidRPr="006A36D3">
        <w:rPr>
          <w:rFonts w:ascii="Book Antiqua" w:hAnsi="Book Antiqua"/>
          <w:sz w:val="26"/>
        </w:rPr>
        <w:tab/>
      </w:r>
      <w:r w:rsidRPr="006A36D3">
        <w:rPr>
          <w:rFonts w:ascii="Book Antiqua" w:hAnsi="Book Antiqua"/>
          <w:sz w:val="16"/>
          <w:szCs w:val="16"/>
        </w:rPr>
        <w:t>GAVIN NEWSOM.,</w:t>
      </w:r>
      <w:r w:rsidRPr="006A36D3">
        <w:rPr>
          <w:rFonts w:ascii="Book Antiqua" w:hAnsi="Book Antiqua"/>
          <w:sz w:val="26"/>
        </w:rPr>
        <w:t xml:space="preserve"> </w:t>
      </w:r>
      <w:r w:rsidRPr="006A36D3">
        <w:rPr>
          <w:rFonts w:ascii="Book Antiqua" w:hAnsi="Book Antiqua"/>
          <w:i/>
          <w:sz w:val="16"/>
        </w:rPr>
        <w:t>Governor</w:t>
      </w:r>
    </w:p>
    <w:p w:rsidRPr="006A36D3" w:rsidR="00693D01" w:rsidP="00693D01" w:rsidRDefault="00693D01" w14:paraId="45FE4474" w14:textId="77777777">
      <w:pPr>
        <w:tabs>
          <w:tab w:val="right" w:pos="11070"/>
        </w:tabs>
        <w:spacing w:before="80"/>
        <w:ind w:left="-540" w:right="-450"/>
        <w:rPr>
          <w:rFonts w:ascii="Book Antiqua" w:hAnsi="Book Antiqua"/>
          <w:sz w:val="26"/>
        </w:rPr>
      </w:pPr>
      <w:r w:rsidRPr="006A36D3">
        <w:rPr>
          <w:rFonts w:ascii="Book Antiqua" w:hAnsi="Book Antiqua"/>
          <w:sz w:val="26"/>
        </w:rPr>
        <w:t>PUBLIC UTILITIES COMMISSION</w:t>
      </w:r>
    </w:p>
    <w:p w:rsidRPr="006A36D3" w:rsidR="00693D01" w:rsidP="00693D01" w:rsidRDefault="00693D01" w14:paraId="4694E005" w14:textId="77777777">
      <w:pPr>
        <w:tabs>
          <w:tab w:val="right" w:pos="11070"/>
        </w:tabs>
        <w:spacing w:before="80"/>
        <w:ind w:left="-540" w:right="-450"/>
        <w:rPr>
          <w:rFonts w:ascii="Book Antiqua" w:hAnsi="Book Antiqua"/>
          <w:sz w:val="12"/>
        </w:rPr>
      </w:pPr>
      <w:r w:rsidRPr="006A36D3">
        <w:rPr>
          <w:rFonts w:ascii="Book Antiqua" w:hAnsi="Book Antiqua"/>
          <w:sz w:val="12"/>
        </w:rPr>
        <w:t>505 VAN NESS AVENUE</w:t>
      </w:r>
    </w:p>
    <w:p w:rsidRPr="006A36D3" w:rsidR="00693D01" w:rsidP="00693D01" w:rsidRDefault="00693D01" w14:paraId="5862FD67" w14:textId="77777777">
      <w:pPr>
        <w:tabs>
          <w:tab w:val="right" w:pos="11070"/>
        </w:tabs>
        <w:spacing w:before="80"/>
        <w:ind w:left="-540" w:right="-450"/>
        <w:rPr>
          <w:rFonts w:ascii="Book Antiqua" w:hAnsi="Book Antiqua"/>
          <w:sz w:val="12"/>
        </w:rPr>
      </w:pPr>
      <w:smartTag w:uri="urn:schemas-microsoft-com:office:smarttags" w:element="place">
        <w:smartTag w:uri="urn:schemas-microsoft-com:office:smarttags" w:element="City">
          <w:r w:rsidRPr="006A36D3">
            <w:rPr>
              <w:rFonts w:ascii="Book Antiqua" w:hAnsi="Book Antiqua"/>
              <w:sz w:val="12"/>
            </w:rPr>
            <w:t>SAN FRANCISCO</w:t>
          </w:r>
        </w:smartTag>
        <w:r w:rsidRPr="006A36D3">
          <w:rPr>
            <w:rFonts w:ascii="Book Antiqua" w:hAnsi="Book Antiqua"/>
            <w:sz w:val="12"/>
          </w:rPr>
          <w:t xml:space="preserve">, </w:t>
        </w:r>
        <w:smartTag w:uri="urn:schemas-microsoft-com:office:smarttags" w:element="State">
          <w:r w:rsidRPr="006A36D3">
            <w:rPr>
              <w:rFonts w:ascii="Book Antiqua" w:hAnsi="Book Antiqua"/>
              <w:sz w:val="12"/>
            </w:rPr>
            <w:t>CA</w:t>
          </w:r>
        </w:smartTag>
        <w:r w:rsidRPr="006A36D3">
          <w:rPr>
            <w:rFonts w:ascii="Book Antiqua" w:hAnsi="Book Antiqua"/>
            <w:sz w:val="12"/>
          </w:rPr>
          <w:t xml:space="preserve"> </w:t>
        </w:r>
        <w:smartTag w:uri="urn:schemas-microsoft-com:office:smarttags" w:element="PostalCode">
          <w:r w:rsidRPr="006A36D3">
            <w:rPr>
              <w:rFonts w:ascii="Book Antiqua" w:hAnsi="Book Antiqua"/>
              <w:sz w:val="12"/>
            </w:rPr>
            <w:t>94102-3298</w:t>
          </w:r>
        </w:smartTag>
      </w:smartTag>
    </w:p>
    <w:p w:rsidRPr="006A36D3" w:rsidR="00693D01" w:rsidP="00693D01" w:rsidRDefault="00693D01" w14:paraId="68A02D3C" w14:textId="77777777">
      <w:pPr>
        <w:tabs>
          <w:tab w:val="left" w:pos="6930"/>
        </w:tabs>
        <w:ind w:left="547" w:right="1282"/>
        <w:rPr>
          <w:rFonts w:ascii="Book Antiqua" w:hAnsi="Book Antiqua"/>
          <w:sz w:val="26"/>
        </w:rPr>
      </w:pPr>
    </w:p>
    <w:p w:rsidRPr="006A36D3" w:rsidR="00693D01" w:rsidP="00693D01" w:rsidRDefault="005E0880" w14:paraId="63F44850" w14:textId="5508FF2B">
      <w:pPr>
        <w:tabs>
          <w:tab w:val="right" w:pos="9180"/>
        </w:tabs>
        <w:rPr>
          <w:rFonts w:ascii="Book Antiqua" w:hAnsi="Book Antiqua"/>
          <w:sz w:val="26"/>
          <w:u w:val="single"/>
        </w:rPr>
      </w:pPr>
      <w:r>
        <w:rPr>
          <w:rFonts w:ascii="Book Antiqua" w:hAnsi="Book Antiqua"/>
          <w:sz w:val="26"/>
        </w:rPr>
        <w:t>November 16, 2020</w:t>
      </w:r>
      <w:r w:rsidRPr="006A36D3" w:rsidR="00693D01">
        <w:rPr>
          <w:rFonts w:ascii="Book Antiqua" w:hAnsi="Book Antiqua"/>
          <w:sz w:val="26"/>
        </w:rPr>
        <w:tab/>
        <w:t>Agenda ID #</w:t>
      </w:r>
      <w:r w:rsidR="00327618">
        <w:rPr>
          <w:rFonts w:ascii="Book Antiqua" w:hAnsi="Book Antiqua"/>
          <w:sz w:val="26"/>
        </w:rPr>
        <w:t>19000</w:t>
      </w:r>
    </w:p>
    <w:p w:rsidRPr="006A36D3" w:rsidR="00693D01" w:rsidP="00693D01" w:rsidRDefault="00693D01" w14:paraId="2D870605" w14:textId="77777777">
      <w:pPr>
        <w:rPr>
          <w:rFonts w:ascii="Book Antiqua" w:hAnsi="Book Antiqua"/>
          <w:sz w:val="26"/>
        </w:rPr>
      </w:pPr>
    </w:p>
    <w:p w:rsidRPr="006A36D3" w:rsidR="00693D01" w:rsidP="00693D01" w:rsidRDefault="00693D01" w14:paraId="2FFEC94E" w14:textId="77777777">
      <w:pPr>
        <w:rPr>
          <w:rFonts w:ascii="Book Antiqua" w:hAnsi="Book Antiqua"/>
          <w:sz w:val="26"/>
          <w:u w:val="single"/>
        </w:rPr>
      </w:pPr>
      <w:r w:rsidRPr="006A36D3">
        <w:rPr>
          <w:rFonts w:ascii="Book Antiqua" w:hAnsi="Book Antiqua"/>
          <w:sz w:val="26"/>
        </w:rPr>
        <w:t>TO PARTIES OF RECORD IN DRAFT RESOLUTION ALJ-39</w:t>
      </w:r>
      <w:r w:rsidR="00B914AA">
        <w:rPr>
          <w:rFonts w:ascii="Book Antiqua" w:hAnsi="Book Antiqua"/>
          <w:sz w:val="26"/>
        </w:rPr>
        <w:t>2</w:t>
      </w:r>
      <w:r w:rsidRPr="006A36D3">
        <w:rPr>
          <w:rFonts w:ascii="Book Antiqua" w:hAnsi="Book Antiqua"/>
          <w:sz w:val="26"/>
        </w:rPr>
        <w:t>:</w:t>
      </w:r>
    </w:p>
    <w:p w:rsidRPr="006A36D3" w:rsidR="00693D01" w:rsidP="00693D01" w:rsidRDefault="00693D01" w14:paraId="5C7D86DB" w14:textId="77777777">
      <w:pPr>
        <w:rPr>
          <w:rFonts w:ascii="Book Antiqua" w:hAnsi="Book Antiqua"/>
          <w:sz w:val="26"/>
        </w:rPr>
      </w:pPr>
    </w:p>
    <w:p w:rsidRPr="00B914AA" w:rsidR="00693D01" w:rsidP="00693D01" w:rsidRDefault="00693D01" w14:paraId="56AB7160" w14:textId="77777777">
      <w:pPr>
        <w:rPr>
          <w:rFonts w:ascii="Book Antiqua" w:hAnsi="Book Antiqua"/>
          <w:sz w:val="26"/>
          <w:szCs w:val="26"/>
        </w:rPr>
      </w:pPr>
      <w:r w:rsidRPr="006A36D3">
        <w:rPr>
          <w:rFonts w:ascii="Book Antiqua" w:hAnsi="Book Antiqua"/>
          <w:sz w:val="26"/>
          <w:szCs w:val="26"/>
        </w:rPr>
        <w:t xml:space="preserve">This is the draft Resolution of Administrative Law Judge (ALJ) </w:t>
      </w:r>
      <w:r w:rsidR="00B914AA">
        <w:rPr>
          <w:rFonts w:ascii="Book Antiqua" w:hAnsi="Book Antiqua"/>
          <w:sz w:val="26"/>
          <w:szCs w:val="26"/>
        </w:rPr>
        <w:t>Sasha Goldberg’s</w:t>
      </w:r>
      <w:r w:rsidRPr="006A36D3">
        <w:rPr>
          <w:rFonts w:ascii="Book Antiqua" w:hAnsi="Book Antiqua"/>
          <w:sz w:val="26"/>
          <w:szCs w:val="26"/>
        </w:rPr>
        <w:t xml:space="preserve"> </w:t>
      </w:r>
      <w:r w:rsidRPr="00B914AA" w:rsidR="00B914AA">
        <w:rPr>
          <w:rFonts w:ascii="Book Antiqua" w:hAnsi="Book Antiqua"/>
          <w:sz w:val="26"/>
          <w:szCs w:val="26"/>
        </w:rPr>
        <w:t>Resolv</w:t>
      </w:r>
      <w:r w:rsidR="00B914AA">
        <w:rPr>
          <w:rFonts w:ascii="Book Antiqua" w:hAnsi="Book Antiqua"/>
          <w:sz w:val="26"/>
          <w:szCs w:val="26"/>
        </w:rPr>
        <w:t>ing</w:t>
      </w:r>
      <w:r w:rsidRPr="00B914AA" w:rsidR="00B914AA">
        <w:rPr>
          <w:rFonts w:ascii="Book Antiqua" w:hAnsi="Book Antiqua"/>
          <w:sz w:val="26"/>
          <w:szCs w:val="26"/>
        </w:rPr>
        <w:t xml:space="preserve"> the Appeal K.19-03-001 of Citation No. D.16-09-055 G.19-02-001 of Southern California Gas Company (</w:t>
      </w:r>
      <w:r w:rsidRPr="00257C00" w:rsidR="00B914AA">
        <w:rPr>
          <w:rFonts w:ascii="Book Antiqua" w:hAnsi="Book Antiqua"/>
          <w:sz w:val="26"/>
          <w:szCs w:val="26"/>
        </w:rPr>
        <w:t>U904G</w:t>
      </w:r>
      <w:r w:rsidRPr="00B914AA" w:rsidR="00B914AA">
        <w:rPr>
          <w:rFonts w:ascii="Book Antiqua" w:hAnsi="Book Antiqua"/>
          <w:sz w:val="26"/>
          <w:szCs w:val="26"/>
        </w:rPr>
        <w:t>)</w:t>
      </w:r>
      <w:r w:rsidRPr="006A36D3">
        <w:rPr>
          <w:rFonts w:ascii="Book Antiqua" w:hAnsi="Book Antiqua"/>
          <w:sz w:val="26"/>
          <w:szCs w:val="26"/>
        </w:rPr>
        <w:t>.  It</w:t>
      </w:r>
      <w:r w:rsidRPr="006A36D3">
        <w:rPr>
          <w:rFonts w:ascii="Book Antiqua" w:hAnsi="Book Antiqua"/>
          <w:sz w:val="26"/>
        </w:rPr>
        <w:t xml:space="preserve"> will appear on the Commission’s agenda no sooner than 30 days from the date it is mailed.  The Commission may act then, or it may postpone action until later. </w:t>
      </w:r>
    </w:p>
    <w:p w:rsidRPr="006A36D3" w:rsidR="00693D01" w:rsidP="00693D01" w:rsidRDefault="00693D01" w14:paraId="0A294659" w14:textId="77777777">
      <w:pPr>
        <w:rPr>
          <w:rFonts w:ascii="Book Antiqua" w:hAnsi="Book Antiqua"/>
          <w:sz w:val="26"/>
        </w:rPr>
      </w:pPr>
    </w:p>
    <w:p w:rsidRPr="006A36D3" w:rsidR="00693D01" w:rsidP="00693D01" w:rsidRDefault="00693D01" w14:paraId="6C7C68F8" w14:textId="77777777">
      <w:pPr>
        <w:rPr>
          <w:rFonts w:ascii="Book Antiqua" w:hAnsi="Book Antiqua"/>
          <w:sz w:val="26"/>
        </w:rPr>
      </w:pPr>
      <w:r w:rsidRPr="006A36D3">
        <w:rPr>
          <w:rFonts w:ascii="Book Antiqua" w:hAnsi="Book Antiqua"/>
          <w:sz w:val="26"/>
        </w:rPr>
        <w:t>When the Commission acts on the draft resolution, it may adopt all or part of it as written, amend or modify it, or set it aside and prepare its own order.  Only when the Commission acts does the resolution become binding on the parties.</w:t>
      </w:r>
    </w:p>
    <w:p w:rsidRPr="006A36D3" w:rsidR="00693D01" w:rsidP="00693D01" w:rsidRDefault="00693D01" w14:paraId="7BD3EB79" w14:textId="77777777">
      <w:pPr>
        <w:rPr>
          <w:rFonts w:ascii="Book Antiqua" w:hAnsi="Book Antiqua"/>
          <w:sz w:val="26"/>
        </w:rPr>
      </w:pPr>
    </w:p>
    <w:p w:rsidRPr="006A36D3" w:rsidR="00693D01" w:rsidP="00693D01" w:rsidRDefault="00693D01" w14:paraId="0BFD8B0E" w14:textId="77777777">
      <w:pPr>
        <w:autoSpaceDE w:val="0"/>
        <w:autoSpaceDN w:val="0"/>
        <w:adjustRightInd w:val="0"/>
        <w:rPr>
          <w:rFonts w:ascii="Book Antiqua" w:hAnsi="Book Antiqua" w:eastAsia="Calibri" w:cs="Book Antiqua"/>
          <w:color w:val="000000"/>
          <w:sz w:val="26"/>
          <w:szCs w:val="24"/>
        </w:rPr>
      </w:pPr>
      <w:r w:rsidRPr="006A36D3">
        <w:rPr>
          <w:rFonts w:ascii="Book Antiqua" w:hAnsi="Book Antiqua" w:eastAsia="Calibri" w:cs="Book Antiqua"/>
          <w:color w:val="000000"/>
          <w:sz w:val="26"/>
          <w:szCs w:val="24"/>
        </w:rPr>
        <w:t>You m</w:t>
      </w:r>
      <w:r>
        <w:rPr>
          <w:rFonts w:ascii="Book Antiqua" w:hAnsi="Book Antiqua" w:eastAsia="Calibri" w:cs="Book Antiqua"/>
          <w:color w:val="000000"/>
          <w:sz w:val="26"/>
          <w:szCs w:val="24"/>
        </w:rPr>
        <w:t>ust</w:t>
      </w:r>
      <w:r w:rsidRPr="006A36D3">
        <w:rPr>
          <w:rFonts w:ascii="Book Antiqua" w:hAnsi="Book Antiqua" w:eastAsia="Calibri" w:cs="Book Antiqua"/>
          <w:color w:val="000000"/>
          <w:sz w:val="26"/>
          <w:szCs w:val="24"/>
        </w:rPr>
        <w:t xml:space="preserve"> serve </w:t>
      </w:r>
      <w:r>
        <w:rPr>
          <w:rFonts w:ascii="Book Antiqua" w:hAnsi="Book Antiqua" w:eastAsia="Calibri" w:cs="Book Antiqua"/>
          <w:color w:val="000000"/>
          <w:sz w:val="26"/>
          <w:szCs w:val="24"/>
        </w:rPr>
        <w:t xml:space="preserve">your </w:t>
      </w:r>
      <w:r w:rsidRPr="006A36D3">
        <w:rPr>
          <w:rFonts w:ascii="Book Antiqua" w:hAnsi="Book Antiqua" w:eastAsia="Calibri" w:cs="Book Antiqua"/>
          <w:color w:val="000000"/>
          <w:sz w:val="26"/>
          <w:szCs w:val="24"/>
        </w:rPr>
        <w:t xml:space="preserve">comments on the draft resolution. </w:t>
      </w:r>
      <w:r w:rsidRPr="006A36D3">
        <w:rPr>
          <w:rFonts w:ascii="Book Antiqua" w:hAnsi="Book Antiqua" w:eastAsia="Calibri" w:cs="Book Antiqua"/>
          <w:color w:val="000000"/>
          <w:szCs w:val="24"/>
        </w:rPr>
        <w:t xml:space="preserve"> </w:t>
      </w:r>
      <w:r w:rsidRPr="006A36D3">
        <w:rPr>
          <w:rFonts w:ascii="Book Antiqua" w:hAnsi="Book Antiqua" w:eastAsia="Calibri" w:cs="Book Antiqua"/>
          <w:color w:val="000000"/>
          <w:sz w:val="26"/>
          <w:szCs w:val="26"/>
        </w:rPr>
        <w:t xml:space="preserve">Comments shall be served (but not filed) within 20 days of the date that the draft Resolution is noticed in the Commission’s Daily Calendar, </w:t>
      </w:r>
      <w:hyperlink w:history="1" r:id="rId11">
        <w:r w:rsidRPr="006A36D3">
          <w:rPr>
            <w:rFonts w:ascii="Book Antiqua" w:hAnsi="Book Antiqua" w:eastAsia="Calibri" w:cs="Book Antiqua"/>
            <w:color w:val="0000FF"/>
            <w:sz w:val="26"/>
            <w:szCs w:val="26"/>
            <w:u w:val="single"/>
          </w:rPr>
          <w:t>http://docs.cpuc.ca.gov/SearchRes.aspx?DocTypeID=9&amp;Latest=1</w:t>
        </w:r>
      </w:hyperlink>
      <w:r w:rsidRPr="006A36D3">
        <w:rPr>
          <w:rFonts w:ascii="Book Antiqua" w:hAnsi="Book Antiqua" w:eastAsia="Calibri" w:cs="Book Antiqua"/>
          <w:color w:val="000000"/>
          <w:sz w:val="26"/>
          <w:szCs w:val="26"/>
        </w:rPr>
        <w:t xml:space="preserve">, as provided in Rule 14.5 of the Commission’s Rules of Practice and Procedure. Comments shall be served </w:t>
      </w:r>
      <w:r>
        <w:rPr>
          <w:rFonts w:ascii="Book Antiqua" w:hAnsi="Book Antiqua" w:eastAsia="Calibri" w:cs="Book Antiqua"/>
          <w:color w:val="000000"/>
          <w:sz w:val="26"/>
          <w:szCs w:val="26"/>
        </w:rPr>
        <w:t xml:space="preserve">via electronic mail </w:t>
      </w:r>
      <w:r w:rsidRPr="006A36D3">
        <w:rPr>
          <w:rFonts w:ascii="Book Antiqua" w:hAnsi="Book Antiqua" w:eastAsia="Calibri" w:cs="Book Antiqua"/>
          <w:color w:val="000000"/>
          <w:sz w:val="26"/>
          <w:szCs w:val="26"/>
        </w:rPr>
        <w:t>upon all persons on th</w:t>
      </w:r>
      <w:r>
        <w:rPr>
          <w:rFonts w:ascii="Book Antiqua" w:hAnsi="Book Antiqua" w:eastAsia="Calibri" w:cs="Book Antiqua"/>
          <w:color w:val="000000"/>
          <w:sz w:val="26"/>
          <w:szCs w:val="26"/>
        </w:rPr>
        <w:t>e attached</w:t>
      </w:r>
      <w:r w:rsidRPr="006A36D3">
        <w:rPr>
          <w:rFonts w:ascii="Book Antiqua" w:hAnsi="Book Antiqua" w:eastAsia="Calibri" w:cs="Book Antiqua"/>
          <w:color w:val="000000"/>
          <w:sz w:val="26"/>
          <w:szCs w:val="26"/>
        </w:rPr>
        <w:t xml:space="preserve"> service list</w:t>
      </w:r>
      <w:r w:rsidRPr="006A36D3">
        <w:rPr>
          <w:rFonts w:ascii="Book Antiqua" w:hAnsi="Book Antiqua" w:eastAsia="Calibri" w:cs="Book Antiqua"/>
          <w:color w:val="000000"/>
          <w:sz w:val="26"/>
          <w:szCs w:val="24"/>
        </w:rPr>
        <w:t>.</w:t>
      </w:r>
    </w:p>
    <w:p w:rsidRPr="006A36D3" w:rsidR="00693D01" w:rsidP="00693D01" w:rsidRDefault="00693D01" w14:paraId="18CC4293" w14:textId="77777777">
      <w:pPr>
        <w:rPr>
          <w:rFonts w:ascii="Book Antiqua" w:hAnsi="Book Antiqua"/>
          <w:sz w:val="26"/>
        </w:rPr>
      </w:pPr>
    </w:p>
    <w:p w:rsidRPr="006A36D3" w:rsidR="00693D01" w:rsidP="00693D01" w:rsidRDefault="00693D01" w14:paraId="6F22B480" w14:textId="58804F0B">
      <w:pPr>
        <w:rPr>
          <w:rFonts w:ascii="Book Antiqua" w:hAnsi="Book Antiqua"/>
          <w:sz w:val="26"/>
          <w:szCs w:val="26"/>
        </w:rPr>
      </w:pPr>
      <w:r>
        <w:rPr>
          <w:rFonts w:ascii="Book Antiqua" w:hAnsi="Book Antiqua"/>
          <w:sz w:val="26"/>
          <w:szCs w:val="26"/>
        </w:rPr>
        <w:t>C</w:t>
      </w:r>
      <w:r w:rsidRPr="006A36D3">
        <w:rPr>
          <w:rFonts w:ascii="Book Antiqua" w:hAnsi="Book Antiqua"/>
          <w:sz w:val="26"/>
          <w:szCs w:val="26"/>
        </w:rPr>
        <w:t xml:space="preserve">omments must be served </w:t>
      </w:r>
      <w:r w:rsidR="0028390E">
        <w:rPr>
          <w:rFonts w:ascii="Book Antiqua" w:hAnsi="Book Antiqua"/>
          <w:sz w:val="26"/>
          <w:szCs w:val="26"/>
        </w:rPr>
        <w:t>to</w:t>
      </w:r>
      <w:r>
        <w:rPr>
          <w:rFonts w:ascii="Book Antiqua" w:hAnsi="Book Antiqua"/>
          <w:sz w:val="26"/>
          <w:szCs w:val="26"/>
        </w:rPr>
        <w:t xml:space="preserve"> </w:t>
      </w:r>
      <w:r w:rsidRPr="006A36D3">
        <w:rPr>
          <w:rFonts w:ascii="Book Antiqua" w:hAnsi="Book Antiqua"/>
          <w:sz w:val="26"/>
          <w:szCs w:val="26"/>
        </w:rPr>
        <w:t xml:space="preserve">ALJ </w:t>
      </w:r>
      <w:r w:rsidR="00E56404">
        <w:rPr>
          <w:rFonts w:ascii="Book Antiqua" w:hAnsi="Book Antiqua"/>
          <w:sz w:val="26"/>
          <w:szCs w:val="26"/>
        </w:rPr>
        <w:t>Goldberg</w:t>
      </w:r>
      <w:r w:rsidR="007F2A40">
        <w:rPr>
          <w:rFonts w:ascii="Book Antiqua" w:hAnsi="Book Antiqua"/>
          <w:sz w:val="26"/>
          <w:szCs w:val="26"/>
        </w:rPr>
        <w:t xml:space="preserve"> </w:t>
      </w:r>
      <w:r w:rsidR="0028390E">
        <w:rPr>
          <w:rFonts w:ascii="Book Antiqua" w:hAnsi="Book Antiqua"/>
          <w:sz w:val="26"/>
          <w:szCs w:val="26"/>
        </w:rPr>
        <w:t>at</w:t>
      </w:r>
      <w:r w:rsidR="00E56404">
        <w:rPr>
          <w:rFonts w:ascii="Book Antiqua" w:hAnsi="Book Antiqua"/>
          <w:sz w:val="26"/>
          <w:szCs w:val="26"/>
        </w:rPr>
        <w:t xml:space="preserve"> SL5@cpuc.ca.gov</w:t>
      </w:r>
      <w:r>
        <w:rPr>
          <w:rFonts w:ascii="Book Antiqua" w:hAnsi="Book Antiqua"/>
          <w:sz w:val="26"/>
          <w:szCs w:val="26"/>
        </w:rPr>
        <w:t>.  No paper copies are required at this time.</w:t>
      </w:r>
    </w:p>
    <w:p w:rsidRPr="006A36D3" w:rsidR="00693D01" w:rsidP="00693D01" w:rsidRDefault="00693D01" w14:paraId="21738E0F" w14:textId="77777777">
      <w:pPr>
        <w:rPr>
          <w:rFonts w:ascii="Book Antiqua" w:hAnsi="Book Antiqua"/>
          <w:sz w:val="26"/>
        </w:rPr>
      </w:pPr>
    </w:p>
    <w:p w:rsidRPr="00747729" w:rsidR="00693D01" w:rsidP="00693D01" w:rsidRDefault="00327618" w14:paraId="691D9D27" w14:textId="02DF8A8B">
      <w:pPr>
        <w:tabs>
          <w:tab w:val="left" w:pos="3330"/>
        </w:tabs>
        <w:outlineLvl w:val="0"/>
        <w:rPr>
          <w:rFonts w:ascii="Book Antiqua" w:hAnsi="Book Antiqua"/>
          <w:sz w:val="26"/>
        </w:rPr>
      </w:pPr>
      <w:r>
        <w:rPr>
          <w:rFonts w:ascii="Book Antiqua" w:hAnsi="Book Antiqua"/>
          <w:sz w:val="26"/>
          <w:u w:val="single"/>
        </w:rPr>
        <w:t>/s/ ANNE E. SIMON</w:t>
      </w:r>
      <w:r w:rsidRPr="00747729" w:rsidR="00693D01">
        <w:rPr>
          <w:rFonts w:ascii="Book Antiqua" w:hAnsi="Book Antiqua"/>
          <w:sz w:val="26"/>
        </w:rPr>
        <w:t xml:space="preserve">    </w:t>
      </w:r>
    </w:p>
    <w:p w:rsidRPr="006A36D3" w:rsidR="00693D01" w:rsidP="00693D01" w:rsidRDefault="00693D01" w14:paraId="3022DADA" w14:textId="77777777">
      <w:pPr>
        <w:outlineLvl w:val="0"/>
        <w:rPr>
          <w:rFonts w:ascii="Book Antiqua" w:hAnsi="Book Antiqua"/>
          <w:sz w:val="26"/>
        </w:rPr>
      </w:pPr>
      <w:r w:rsidRPr="006A36D3">
        <w:rPr>
          <w:rFonts w:ascii="Book Antiqua" w:hAnsi="Book Antiqua"/>
          <w:sz w:val="26"/>
        </w:rPr>
        <w:t>Anne E. Simon</w:t>
      </w:r>
      <w:r w:rsidRPr="006A36D3">
        <w:rPr>
          <w:rFonts w:ascii="Book Antiqua" w:hAnsi="Book Antiqua"/>
          <w:sz w:val="26"/>
        </w:rPr>
        <w:br/>
        <w:t>Chief Administrative Law Judge</w:t>
      </w:r>
    </w:p>
    <w:p w:rsidRPr="006A36D3" w:rsidR="00693D01" w:rsidP="00693D01" w:rsidRDefault="00693D01" w14:paraId="4432B66F" w14:textId="77777777">
      <w:pPr>
        <w:rPr>
          <w:rFonts w:ascii="Book Antiqua" w:hAnsi="Book Antiqua"/>
          <w:sz w:val="26"/>
        </w:rPr>
      </w:pPr>
    </w:p>
    <w:p w:rsidRPr="006A36D3" w:rsidR="00693D01" w:rsidP="00693D01" w:rsidRDefault="00693D01" w14:paraId="688DA6F9" w14:textId="77777777">
      <w:pPr>
        <w:outlineLvl w:val="0"/>
        <w:rPr>
          <w:rFonts w:ascii="Book Antiqua" w:hAnsi="Book Antiqua"/>
          <w:sz w:val="26"/>
        </w:rPr>
      </w:pPr>
      <w:r w:rsidRPr="006A36D3">
        <w:rPr>
          <w:rFonts w:ascii="Book Antiqua" w:hAnsi="Book Antiqua"/>
          <w:sz w:val="26"/>
        </w:rPr>
        <w:t>AES:sgu</w:t>
      </w:r>
    </w:p>
    <w:p w:rsidRPr="00B160C1" w:rsidR="00693D01" w:rsidP="00693D01" w:rsidRDefault="00693D01" w14:paraId="1D4B98D1" w14:textId="77777777">
      <w:pPr>
        <w:rPr>
          <w:rFonts w:ascii="Book Antiqua" w:hAnsi="Book Antiqua"/>
        </w:rPr>
      </w:pPr>
      <w:r w:rsidRPr="006A36D3">
        <w:rPr>
          <w:rFonts w:ascii="Book Antiqua" w:hAnsi="Book Antiqua"/>
          <w:sz w:val="26"/>
        </w:rPr>
        <w:t>Attachment</w:t>
      </w:r>
    </w:p>
    <w:p w:rsidR="00693D01" w:rsidRDefault="00693D01" w14:paraId="78325527" w14:textId="77777777">
      <w:pPr>
        <w:pStyle w:val="Title"/>
        <w:sectPr w:rsidR="00693D01" w:rsidSect="00693D01">
          <w:footerReference w:type="default" r:id="rId12"/>
          <w:headerReference w:type="first" r:id="rId13"/>
          <w:footerReference w:type="first" r:id="rId14"/>
          <w:pgSz w:w="12240" w:h="15840" w:code="1"/>
          <w:pgMar w:top="1440" w:right="1440" w:bottom="1440" w:left="1440" w:header="720" w:footer="720" w:gutter="0"/>
          <w:pgNumType w:start="1"/>
          <w:cols w:space="720"/>
          <w:docGrid w:linePitch="326"/>
        </w:sectPr>
      </w:pPr>
    </w:p>
    <w:p w:rsidR="003B1449" w:rsidRDefault="003B1449" w14:paraId="3DF9A118" w14:textId="77777777">
      <w:pPr>
        <w:pStyle w:val="Title"/>
      </w:pPr>
      <w:r>
        <w:lastRenderedPageBreak/>
        <w:t>PUBLIC UTILITIES COMMISSION OF THE STATE OF CALIFORNIA</w:t>
      </w:r>
    </w:p>
    <w:p w:rsidR="003B1449" w:rsidRDefault="003B1449" w14:paraId="2CA5ED29" w14:textId="77777777"/>
    <w:p w:rsidRPr="00434AF5" w:rsidR="003B1449" w:rsidRDefault="003B1449" w14:paraId="748816C2" w14:textId="77777777">
      <w:pPr>
        <w:rPr>
          <w:rFonts w:ascii="Book Antiqua" w:hAnsi="Book Antiqua"/>
        </w:rPr>
      </w:pPr>
      <w:r>
        <w:tab/>
      </w:r>
      <w:r>
        <w:tab/>
      </w:r>
      <w:r>
        <w:tab/>
      </w:r>
      <w:r>
        <w:tab/>
      </w:r>
      <w:r>
        <w:tab/>
      </w:r>
      <w:r w:rsidRPr="00434AF5">
        <w:rPr>
          <w:rFonts w:ascii="Book Antiqua" w:hAnsi="Book Antiqua"/>
        </w:rPr>
        <w:t>Resolution ALJ-</w:t>
      </w:r>
      <w:r w:rsidR="00FD2FEA">
        <w:rPr>
          <w:rFonts w:ascii="Book Antiqua" w:hAnsi="Book Antiqua"/>
        </w:rPr>
        <w:t>392</w:t>
      </w:r>
    </w:p>
    <w:p w:rsidRPr="00434AF5" w:rsidR="003B1449" w:rsidRDefault="003B1449" w14:paraId="23DDFAA7" w14:textId="77777777">
      <w:pPr>
        <w:rPr>
          <w:rFonts w:ascii="Book Antiqua" w:hAnsi="Book Antiqua"/>
        </w:rPr>
      </w:pPr>
      <w:r w:rsidRPr="00434AF5">
        <w:rPr>
          <w:rFonts w:ascii="Book Antiqua" w:hAnsi="Book Antiqua"/>
        </w:rPr>
        <w:tab/>
      </w:r>
      <w:r w:rsidRPr="00434AF5">
        <w:rPr>
          <w:rFonts w:ascii="Book Antiqua" w:hAnsi="Book Antiqua"/>
        </w:rPr>
        <w:tab/>
      </w:r>
      <w:r w:rsidRPr="00434AF5">
        <w:rPr>
          <w:rFonts w:ascii="Book Antiqua" w:hAnsi="Book Antiqua"/>
        </w:rPr>
        <w:tab/>
      </w:r>
      <w:r w:rsidRPr="00434AF5">
        <w:rPr>
          <w:rFonts w:ascii="Book Antiqua" w:hAnsi="Book Antiqua"/>
        </w:rPr>
        <w:tab/>
      </w:r>
      <w:r w:rsidRPr="00434AF5">
        <w:rPr>
          <w:rFonts w:ascii="Book Antiqua" w:hAnsi="Book Antiqua"/>
        </w:rPr>
        <w:tab/>
        <w:t>Administrative Law Judge Division</w:t>
      </w:r>
    </w:p>
    <w:p w:rsidRPr="00434AF5" w:rsidR="003B1449" w:rsidRDefault="003B1449" w14:paraId="15E59AFB" w14:textId="77777777">
      <w:pPr>
        <w:rPr>
          <w:rFonts w:ascii="Book Antiqua" w:hAnsi="Book Antiqua"/>
        </w:rPr>
      </w:pPr>
      <w:r w:rsidRPr="00434AF5">
        <w:rPr>
          <w:rFonts w:ascii="Book Antiqua" w:hAnsi="Book Antiqua"/>
        </w:rPr>
        <w:tab/>
      </w:r>
      <w:r w:rsidRPr="00434AF5">
        <w:rPr>
          <w:rFonts w:ascii="Book Antiqua" w:hAnsi="Book Antiqua"/>
        </w:rPr>
        <w:tab/>
      </w:r>
      <w:r w:rsidRPr="00434AF5">
        <w:rPr>
          <w:rFonts w:ascii="Book Antiqua" w:hAnsi="Book Antiqua"/>
        </w:rPr>
        <w:tab/>
      </w:r>
      <w:r w:rsidRPr="00434AF5">
        <w:rPr>
          <w:rFonts w:ascii="Book Antiqua" w:hAnsi="Book Antiqua"/>
        </w:rPr>
        <w:tab/>
      </w:r>
      <w:r w:rsidRPr="00434AF5">
        <w:rPr>
          <w:rFonts w:ascii="Book Antiqua" w:hAnsi="Book Antiqua"/>
        </w:rPr>
        <w:tab/>
      </w:r>
      <w:r w:rsidR="00FD2FEA">
        <w:rPr>
          <w:rFonts w:ascii="Book Antiqua" w:hAnsi="Book Antiqua"/>
        </w:rPr>
        <w:t>[Date]</w:t>
      </w:r>
    </w:p>
    <w:p w:rsidR="003B1449" w:rsidRDefault="003B1449" w14:paraId="24775F82" w14:textId="77777777"/>
    <w:p w:rsidR="003B1449" w:rsidRDefault="003B1449" w14:paraId="1297CD47" w14:textId="77777777"/>
    <w:p w:rsidRPr="00FD2FEA" w:rsidR="003B1449" w:rsidRDefault="003B1449" w14:paraId="64AAE878" w14:textId="77777777">
      <w:pPr>
        <w:jc w:val="center"/>
        <w:rPr>
          <w:b/>
          <w:u w:val="single"/>
        </w:rPr>
      </w:pPr>
      <w:r w:rsidRPr="00FD2FEA">
        <w:rPr>
          <w:rFonts w:ascii="Helvetica" w:hAnsi="Helvetica"/>
          <w:b/>
          <w:u w:val="single"/>
        </w:rPr>
        <w:t>R E S O L U T I O N</w:t>
      </w:r>
    </w:p>
    <w:p w:rsidR="003B1449" w:rsidRDefault="003B1449" w14:paraId="0BA52EF8" w14:textId="77777777">
      <w:pPr>
        <w:jc w:val="center"/>
        <w:rPr>
          <w:b/>
        </w:rPr>
      </w:pPr>
    </w:p>
    <w:p w:rsidRPr="00A27231" w:rsidR="003B1449" w:rsidRDefault="003B1449" w14:paraId="5B079EBC" w14:textId="77777777"/>
    <w:p w:rsidRPr="00434AF5" w:rsidR="003B1449" w:rsidRDefault="003B1449" w14:paraId="4E616671" w14:textId="77777777">
      <w:pPr>
        <w:pStyle w:val="BlockText"/>
        <w:rPr>
          <w:rFonts w:ascii="Book Antiqua" w:hAnsi="Book Antiqua"/>
          <w:u w:val="single"/>
        </w:rPr>
      </w:pPr>
      <w:r w:rsidRPr="00434AF5">
        <w:rPr>
          <w:rFonts w:ascii="Book Antiqua" w:hAnsi="Book Antiqua"/>
        </w:rPr>
        <w:t>RESOLUTION ALJ-</w:t>
      </w:r>
      <w:r w:rsidR="00FD2FEA">
        <w:rPr>
          <w:rFonts w:ascii="Book Antiqua" w:hAnsi="Book Antiqua"/>
        </w:rPr>
        <w:t>392</w:t>
      </w:r>
      <w:r w:rsidRPr="00434AF5" w:rsidR="00F82ACC">
        <w:rPr>
          <w:rFonts w:ascii="Book Antiqua" w:hAnsi="Book Antiqua"/>
        </w:rPr>
        <w:t>.</w:t>
      </w:r>
      <w:r w:rsidRPr="00434AF5">
        <w:rPr>
          <w:rFonts w:ascii="Book Antiqua" w:hAnsi="Book Antiqua"/>
        </w:rPr>
        <w:t xml:space="preserve"> </w:t>
      </w:r>
      <w:r w:rsidRPr="00434AF5" w:rsidR="00F82ACC">
        <w:rPr>
          <w:rFonts w:ascii="Book Antiqua" w:hAnsi="Book Antiqua"/>
        </w:rPr>
        <w:t xml:space="preserve"> Resolves the Appeal K.</w:t>
      </w:r>
      <w:r w:rsidRPr="00434AF5" w:rsidR="00F22CE3">
        <w:rPr>
          <w:rFonts w:ascii="Book Antiqua" w:hAnsi="Book Antiqua"/>
        </w:rPr>
        <w:t>19-0</w:t>
      </w:r>
      <w:r w:rsidRPr="00434AF5" w:rsidR="0067029D">
        <w:rPr>
          <w:rFonts w:ascii="Book Antiqua" w:hAnsi="Book Antiqua"/>
        </w:rPr>
        <w:t xml:space="preserve">3-001 </w:t>
      </w:r>
      <w:r w:rsidRPr="00434AF5" w:rsidR="00F82ACC">
        <w:rPr>
          <w:rFonts w:ascii="Book Antiqua" w:hAnsi="Book Antiqua"/>
        </w:rPr>
        <w:t>of Citation No. </w:t>
      </w:r>
      <w:r w:rsidRPr="00434AF5" w:rsidR="0067029D">
        <w:rPr>
          <w:rFonts w:ascii="Book Antiqua" w:hAnsi="Book Antiqua"/>
        </w:rPr>
        <w:t xml:space="preserve">D.16-09-055 G.19-02-001 </w:t>
      </w:r>
      <w:r w:rsidRPr="00434AF5" w:rsidR="00F82ACC">
        <w:rPr>
          <w:rFonts w:ascii="Book Antiqua" w:hAnsi="Book Antiqua"/>
        </w:rPr>
        <w:t xml:space="preserve">of </w:t>
      </w:r>
      <w:r w:rsidRPr="00434AF5" w:rsidR="0067029D">
        <w:rPr>
          <w:rFonts w:ascii="Book Antiqua" w:hAnsi="Book Antiqua"/>
        </w:rPr>
        <w:t>Southern California Gas Company (</w:t>
      </w:r>
      <w:r w:rsidRPr="00257C00" w:rsidR="0067029D">
        <w:rPr>
          <w:rFonts w:ascii="Book Antiqua" w:hAnsi="Book Antiqua"/>
        </w:rPr>
        <w:t>U904G</w:t>
      </w:r>
      <w:r w:rsidRPr="00434AF5" w:rsidR="0067029D">
        <w:rPr>
          <w:rFonts w:ascii="Book Antiqua" w:hAnsi="Book Antiqua"/>
        </w:rPr>
        <w:t>)</w:t>
      </w:r>
    </w:p>
    <w:p w:rsidRPr="00A27231" w:rsidR="003B1449" w:rsidRDefault="003B1449" w14:paraId="09A3D638" w14:textId="77777777"/>
    <w:p w:rsidRPr="00A27231" w:rsidR="003B1449" w:rsidRDefault="003B1449" w14:paraId="6D5DDBA9" w14:textId="77777777">
      <w:pPr>
        <w:tabs>
          <w:tab w:val="right" w:pos="8550"/>
        </w:tabs>
        <w:ind w:left="720" w:right="720"/>
      </w:pPr>
      <w:r w:rsidRPr="00A27231">
        <w:rPr>
          <w:u w:val="single"/>
        </w:rPr>
        <w:tab/>
      </w:r>
    </w:p>
    <w:p w:rsidRPr="00A27231" w:rsidR="003B1449" w:rsidRDefault="003B1449" w14:paraId="44C0E0E0" w14:textId="77777777"/>
    <w:p w:rsidRPr="00A27231" w:rsidR="003B1449" w:rsidP="000C243C" w:rsidRDefault="003B1449" w14:paraId="367FBC3B" w14:textId="77777777">
      <w:pPr>
        <w:spacing w:after="240"/>
      </w:pPr>
      <w:r w:rsidRPr="00434AF5">
        <w:rPr>
          <w:rFonts w:ascii="Book Antiqua" w:hAnsi="Book Antiqua"/>
          <w:b/>
          <w:u w:val="single"/>
        </w:rPr>
        <w:t>SUMMARY</w:t>
      </w:r>
    </w:p>
    <w:p w:rsidRPr="00A27231" w:rsidR="00E956F7" w:rsidP="000C243C" w:rsidRDefault="00F82ACC" w14:paraId="5D64E884" w14:textId="3C31B1BC">
      <w:pPr>
        <w:spacing w:after="240"/>
      </w:pPr>
      <w:r w:rsidRPr="00434AF5">
        <w:rPr>
          <w:rFonts w:ascii="Book Antiqua" w:hAnsi="Book Antiqua"/>
        </w:rPr>
        <w:t xml:space="preserve">This resolution resolves the </w:t>
      </w:r>
      <w:r w:rsidRPr="00434AF5" w:rsidR="006F2B7A">
        <w:rPr>
          <w:rFonts w:ascii="Book Antiqua" w:hAnsi="Book Antiqua"/>
        </w:rPr>
        <w:t xml:space="preserve">appeal </w:t>
      </w:r>
      <w:r w:rsidRPr="00434AF5" w:rsidR="00A27231">
        <w:rPr>
          <w:rFonts w:ascii="Book Antiqua" w:hAnsi="Book Antiqua"/>
        </w:rPr>
        <w:t>of Southern California Gas Company from Citation</w:t>
      </w:r>
      <w:r w:rsidRPr="00434AF5">
        <w:rPr>
          <w:rFonts w:ascii="Book Antiqua" w:hAnsi="Book Antiqua"/>
        </w:rPr>
        <w:t xml:space="preserve"> No</w:t>
      </w:r>
      <w:bookmarkStart w:name="_Hlk46483103" w:id="0"/>
      <w:r w:rsidRPr="00434AF5">
        <w:rPr>
          <w:rFonts w:ascii="Book Antiqua" w:hAnsi="Book Antiqua"/>
        </w:rPr>
        <w:t xml:space="preserve">. </w:t>
      </w:r>
      <w:r w:rsidRPr="00434AF5" w:rsidR="0067029D">
        <w:rPr>
          <w:rFonts w:ascii="Book Antiqua" w:hAnsi="Book Antiqua"/>
        </w:rPr>
        <w:t>D.16-09-055 G.19-02-001</w:t>
      </w:r>
      <w:r w:rsidRPr="00434AF5">
        <w:rPr>
          <w:rFonts w:ascii="Book Antiqua" w:hAnsi="Book Antiqua"/>
        </w:rPr>
        <w:t xml:space="preserve"> </w:t>
      </w:r>
      <w:bookmarkEnd w:id="0"/>
      <w:r w:rsidRPr="00434AF5">
        <w:rPr>
          <w:rFonts w:ascii="Book Antiqua" w:hAnsi="Book Antiqua"/>
        </w:rPr>
        <w:t xml:space="preserve">issued by the </w:t>
      </w:r>
      <w:r w:rsidRPr="00434AF5" w:rsidR="006F2B7A">
        <w:rPr>
          <w:rFonts w:ascii="Book Antiqua" w:hAnsi="Book Antiqua"/>
        </w:rPr>
        <w:t xml:space="preserve">California Public Utilities Commission’s </w:t>
      </w:r>
      <w:r w:rsidRPr="00434AF5" w:rsidR="00A27231">
        <w:rPr>
          <w:rFonts w:ascii="Book Antiqua" w:hAnsi="Book Antiqua"/>
        </w:rPr>
        <w:t xml:space="preserve">Safety and Enforcement Division on </w:t>
      </w:r>
      <w:r w:rsidRPr="00434AF5" w:rsidR="006F2B7A">
        <w:rPr>
          <w:rFonts w:ascii="Book Antiqua" w:hAnsi="Book Antiqua"/>
        </w:rPr>
        <w:t xml:space="preserve">February 1, 2019.  </w:t>
      </w:r>
      <w:r w:rsidRPr="00434AF5" w:rsidR="005E410E">
        <w:rPr>
          <w:rFonts w:ascii="Book Antiqua" w:hAnsi="Book Antiqua"/>
        </w:rPr>
        <w:t>Citation No. </w:t>
      </w:r>
      <w:r w:rsidRPr="00434AF5" w:rsidR="0067029D">
        <w:rPr>
          <w:rFonts w:ascii="Book Antiqua" w:hAnsi="Book Antiqua"/>
        </w:rPr>
        <w:t>D.16-09-055 G.19-02-001</w:t>
      </w:r>
      <w:r w:rsidRPr="00434AF5">
        <w:rPr>
          <w:rFonts w:ascii="Book Antiqua" w:hAnsi="Book Antiqua"/>
        </w:rPr>
        <w:t xml:space="preserve"> issues a fine of </w:t>
      </w:r>
      <w:r w:rsidRPr="00434AF5" w:rsidR="0067029D">
        <w:rPr>
          <w:rFonts w:ascii="Book Antiqua" w:hAnsi="Book Antiqua"/>
        </w:rPr>
        <w:t xml:space="preserve">$3.3. </w:t>
      </w:r>
      <w:r w:rsidR="00076F4C">
        <w:rPr>
          <w:rFonts w:ascii="Book Antiqua" w:hAnsi="Book Antiqua"/>
        </w:rPr>
        <w:t>m</w:t>
      </w:r>
      <w:r w:rsidRPr="00434AF5" w:rsidR="00076F4C">
        <w:rPr>
          <w:rFonts w:ascii="Book Antiqua" w:hAnsi="Book Antiqua"/>
        </w:rPr>
        <w:t xml:space="preserve">illion </w:t>
      </w:r>
      <w:r w:rsidRPr="00434AF5" w:rsidR="0067029D">
        <w:rPr>
          <w:rFonts w:ascii="Book Antiqua" w:hAnsi="Book Antiqua"/>
        </w:rPr>
        <w:t>dollars</w:t>
      </w:r>
      <w:r w:rsidRPr="00434AF5">
        <w:rPr>
          <w:rFonts w:ascii="Book Antiqua" w:hAnsi="Book Antiqua"/>
        </w:rPr>
        <w:t xml:space="preserve"> for</w:t>
      </w:r>
      <w:r w:rsidRPr="00434AF5" w:rsidR="00A27231">
        <w:rPr>
          <w:rFonts w:ascii="Book Antiqua" w:hAnsi="Book Antiqua"/>
        </w:rPr>
        <w:t xml:space="preserve"> violation of Part 49 Code of Federal Regulations (CFR) §192.13(c) and California Public Utilities Code §§ 451 and 702 and SoCalGas’ Gas Standard 223.0</w:t>
      </w:r>
      <w:r w:rsidRPr="00434AF5" w:rsidR="00395F70">
        <w:rPr>
          <w:rFonts w:ascii="Book Antiqua" w:hAnsi="Book Antiqua"/>
        </w:rPr>
        <w:t xml:space="preserve">030.  </w:t>
      </w:r>
      <w:r w:rsidRPr="00434AF5" w:rsidR="006F2B7A">
        <w:rPr>
          <w:rFonts w:ascii="Book Antiqua" w:hAnsi="Book Antiqua"/>
        </w:rPr>
        <w:t xml:space="preserve">In lieu of a hearing, the parties provide a Settlement Agreement which resolves all disputed issues raised </w:t>
      </w:r>
      <w:r w:rsidRPr="00434AF5" w:rsidR="002E7CF3">
        <w:rPr>
          <w:rFonts w:ascii="Book Antiqua" w:hAnsi="Book Antiqua"/>
        </w:rPr>
        <w:t>in the instant appeal</w:t>
      </w:r>
      <w:r w:rsidRPr="00434AF5" w:rsidR="006F2B7A">
        <w:rPr>
          <w:rFonts w:ascii="Book Antiqua" w:hAnsi="Book Antiqua"/>
        </w:rPr>
        <w:t xml:space="preserve">.  </w:t>
      </w:r>
      <w:r w:rsidRPr="00434AF5" w:rsidR="00400464">
        <w:rPr>
          <w:rFonts w:ascii="Book Antiqua" w:hAnsi="Book Antiqua"/>
        </w:rPr>
        <w:t xml:space="preserve">As a result of the Settlement Agreement, </w:t>
      </w:r>
      <w:r w:rsidRPr="00434AF5" w:rsidR="002E7CF3">
        <w:rPr>
          <w:rFonts w:ascii="Book Antiqua" w:hAnsi="Book Antiqua"/>
        </w:rPr>
        <w:t xml:space="preserve">Southern California Gas Company </w:t>
      </w:r>
      <w:r w:rsidRPr="00434AF5" w:rsidR="00400464">
        <w:rPr>
          <w:rFonts w:ascii="Book Antiqua" w:hAnsi="Book Antiqua"/>
        </w:rPr>
        <w:t xml:space="preserve">shall pay a penalty of </w:t>
      </w:r>
      <w:r w:rsidRPr="00434AF5" w:rsidR="006F2B7A">
        <w:rPr>
          <w:rFonts w:ascii="Book Antiqua" w:hAnsi="Book Antiqua"/>
        </w:rPr>
        <w:t xml:space="preserve">$1,250,000 </w:t>
      </w:r>
      <w:r w:rsidRPr="00434AF5" w:rsidR="002E7CF3">
        <w:rPr>
          <w:rFonts w:ascii="Book Antiqua" w:hAnsi="Book Antiqua"/>
        </w:rPr>
        <w:t>to the State’s General Fund.  Additionally, Southern California Gas Company shall make a</w:t>
      </w:r>
      <w:r w:rsidRPr="00434AF5" w:rsidR="006F2B7A">
        <w:rPr>
          <w:rFonts w:ascii="Book Antiqua" w:hAnsi="Book Antiqua"/>
        </w:rPr>
        <w:t xml:space="preserve"> $700,000 shareholder</w:t>
      </w:r>
      <w:r w:rsidRPr="00434AF5" w:rsidR="00400464">
        <w:rPr>
          <w:rFonts w:ascii="Book Antiqua" w:hAnsi="Book Antiqua"/>
        </w:rPr>
        <w:t xml:space="preserve"> investment </w:t>
      </w:r>
      <w:r w:rsidRPr="00434AF5" w:rsidR="002E7CF3">
        <w:rPr>
          <w:rFonts w:ascii="Book Antiqua" w:hAnsi="Book Antiqua"/>
        </w:rPr>
        <w:t>to accelerate its soil sampling and pipe/fitting testing processes.</w:t>
      </w:r>
      <w:r w:rsidRPr="00434AF5" w:rsidR="006F2B7A">
        <w:rPr>
          <w:rFonts w:ascii="Book Antiqua" w:hAnsi="Book Antiqua"/>
        </w:rPr>
        <w:t xml:space="preserve">  Parties request the proposed settlement be adopted and the proceeding closed. </w:t>
      </w:r>
    </w:p>
    <w:p w:rsidR="00D021CD" w:rsidP="000C243C" w:rsidRDefault="00400464" w14:paraId="0338FBEE" w14:textId="77777777">
      <w:pPr>
        <w:spacing w:after="240"/>
      </w:pPr>
      <w:r w:rsidRPr="00BB6514">
        <w:rPr>
          <w:b/>
          <w:bCs/>
          <w:u w:val="single"/>
        </w:rPr>
        <w:t xml:space="preserve">BACKGROUND </w:t>
      </w:r>
    </w:p>
    <w:p w:rsidRPr="00434AF5" w:rsidR="00D021CD" w:rsidP="008734CD" w:rsidRDefault="00D021CD" w14:paraId="3C25831F" w14:textId="77777777">
      <w:pPr>
        <w:spacing w:after="240"/>
        <w:rPr>
          <w:rFonts w:ascii="Book Antiqua" w:hAnsi="Book Antiqua"/>
        </w:rPr>
      </w:pPr>
      <w:r w:rsidRPr="00434AF5">
        <w:rPr>
          <w:rFonts w:ascii="Book Antiqua" w:hAnsi="Book Antiqua"/>
        </w:rPr>
        <w:t>On January 20, 2017</w:t>
      </w:r>
      <w:r w:rsidRPr="00434AF5" w:rsidR="007349A9">
        <w:rPr>
          <w:rFonts w:ascii="Book Antiqua" w:hAnsi="Book Antiqua"/>
        </w:rPr>
        <w:t>,</w:t>
      </w:r>
      <w:r w:rsidRPr="00434AF5">
        <w:rPr>
          <w:rFonts w:ascii="Book Antiqua" w:hAnsi="Book Antiqua"/>
        </w:rPr>
        <w:t xml:space="preserve"> a fitting on a pipeline (Subject Pipe Fitting) within a condominium complex failed, allowing for the release of natural gas.  The natural gas ignited leading to a fire that destroyed property and injured one individual.</w:t>
      </w:r>
      <w:r w:rsidR="00CB2ECD">
        <w:rPr>
          <w:rFonts w:ascii="Book Antiqua" w:hAnsi="Book Antiqua"/>
        </w:rPr>
        <w:t xml:space="preserve">  </w:t>
      </w:r>
      <w:r w:rsidRPr="00434AF5">
        <w:rPr>
          <w:rFonts w:ascii="Book Antiqua" w:hAnsi="Book Antiqua"/>
        </w:rPr>
        <w:t xml:space="preserve">Southern California Gas Company (SoCalGas) took certain immediate actions to ensure the safety of the site, including making repairs, conducting a leak survey, and soil testing.  In addition, SoCalGas replaced the mains and services within the condominium complex. </w:t>
      </w:r>
    </w:p>
    <w:p w:rsidR="00B914AA" w:rsidP="00F82ACC" w:rsidRDefault="00D021CD" w14:paraId="062415CF" w14:textId="77777777">
      <w:pPr>
        <w:rPr>
          <w:rFonts w:ascii="Book Antiqua" w:hAnsi="Book Antiqua"/>
        </w:rPr>
        <w:sectPr w:rsidR="00B914AA" w:rsidSect="00565B0E">
          <w:headerReference w:type="first" r:id="rId15"/>
          <w:pgSz w:w="12240" w:h="15840" w:code="1"/>
          <w:pgMar w:top="1440" w:right="1440" w:bottom="1440" w:left="1440" w:header="720" w:footer="720" w:gutter="0"/>
          <w:pgNumType w:fmt="numberInDash" w:start="1"/>
          <w:cols w:space="720"/>
          <w:titlePg/>
        </w:sectPr>
      </w:pPr>
      <w:r w:rsidRPr="00434AF5">
        <w:rPr>
          <w:rFonts w:ascii="Book Antiqua" w:hAnsi="Book Antiqua"/>
        </w:rPr>
        <w:t>On November 21, 2017</w:t>
      </w:r>
      <w:r w:rsidRPr="00434AF5" w:rsidR="007349A9">
        <w:rPr>
          <w:rFonts w:ascii="Book Antiqua" w:hAnsi="Book Antiqua"/>
        </w:rPr>
        <w:t>,</w:t>
      </w:r>
      <w:r w:rsidRPr="00434AF5">
        <w:rPr>
          <w:rFonts w:ascii="Book Antiqua" w:hAnsi="Book Antiqua"/>
        </w:rPr>
        <w:t xml:space="preserve"> the injured resident and his family (Plaintiff) filed a lawsuit against SoCalGas in Los Angeles Superior Court (civil lawsuit).  On November 19, 2018, </w:t>
      </w:r>
    </w:p>
    <w:p w:rsidRPr="00434AF5" w:rsidR="00CD6F92" w:rsidP="008734CD" w:rsidRDefault="00D021CD" w14:paraId="31654CA3" w14:textId="77777777">
      <w:pPr>
        <w:spacing w:after="240"/>
        <w:rPr>
          <w:rFonts w:ascii="Book Antiqua" w:hAnsi="Book Antiqua"/>
        </w:rPr>
      </w:pPr>
      <w:r w:rsidRPr="00434AF5">
        <w:rPr>
          <w:rFonts w:ascii="Book Antiqua" w:hAnsi="Book Antiqua"/>
        </w:rPr>
        <w:lastRenderedPageBreak/>
        <w:t xml:space="preserve">the </w:t>
      </w:r>
      <w:r w:rsidR="00BD7C20">
        <w:rPr>
          <w:rFonts w:ascii="Book Antiqua" w:hAnsi="Book Antiqua"/>
        </w:rPr>
        <w:t xml:space="preserve">California Public Utility </w:t>
      </w:r>
      <w:r w:rsidRPr="00434AF5">
        <w:rPr>
          <w:rFonts w:ascii="Book Antiqua" w:hAnsi="Book Antiqua"/>
        </w:rPr>
        <w:t xml:space="preserve">Commission’s </w:t>
      </w:r>
      <w:r w:rsidR="00BD7C20">
        <w:rPr>
          <w:rFonts w:ascii="Book Antiqua" w:hAnsi="Book Antiqua"/>
        </w:rPr>
        <w:t xml:space="preserve">(Commission) </w:t>
      </w:r>
      <w:r w:rsidRPr="00434AF5">
        <w:rPr>
          <w:rFonts w:ascii="Book Antiqua" w:hAnsi="Book Antiqua"/>
        </w:rPr>
        <w:t xml:space="preserve">Safety and Enforcement Division (SED) </w:t>
      </w:r>
      <w:r w:rsidRPr="00434AF5" w:rsidR="001A2230">
        <w:rPr>
          <w:rFonts w:ascii="Book Antiqua" w:hAnsi="Book Antiqua"/>
        </w:rPr>
        <w:t>directed</w:t>
      </w:r>
      <w:r w:rsidRPr="00434AF5">
        <w:rPr>
          <w:rFonts w:ascii="Book Antiqua" w:hAnsi="Book Antiqua"/>
        </w:rPr>
        <w:t xml:space="preserve"> SoCalGas to conduct testing of the Subject Pipe Fitting no later than December 28, 2018.  On November</w:t>
      </w:r>
      <w:r w:rsidR="00CB2ECD">
        <w:rPr>
          <w:rFonts w:ascii="Book Antiqua" w:hAnsi="Book Antiqua"/>
        </w:rPr>
        <w:t> </w:t>
      </w:r>
      <w:r w:rsidRPr="00434AF5">
        <w:rPr>
          <w:rFonts w:ascii="Book Antiqua" w:hAnsi="Book Antiqua"/>
        </w:rPr>
        <w:t>28,</w:t>
      </w:r>
      <w:r w:rsidR="00CB2ECD">
        <w:rPr>
          <w:rFonts w:ascii="Book Antiqua" w:hAnsi="Book Antiqua"/>
        </w:rPr>
        <w:t> </w:t>
      </w:r>
      <w:r w:rsidR="00434AF5">
        <w:rPr>
          <w:rFonts w:ascii="Book Antiqua" w:hAnsi="Book Antiqua"/>
        </w:rPr>
        <w:t>2018,</w:t>
      </w:r>
      <w:r w:rsidRPr="00434AF5">
        <w:rPr>
          <w:rFonts w:ascii="Book Antiqua" w:hAnsi="Book Antiqua"/>
        </w:rPr>
        <w:t xml:space="preserve"> SoCalGas advised SED that the Subject Pipe Fitting was evidence in the civil lawsuit</w:t>
      </w:r>
      <w:r w:rsidRPr="00434AF5" w:rsidR="00CD6F92">
        <w:rPr>
          <w:rFonts w:ascii="Book Antiqua" w:hAnsi="Book Antiqua"/>
        </w:rPr>
        <w:t xml:space="preserve"> and that testing could not be completed without consent of all parties to the civil litigation</w:t>
      </w:r>
      <w:r w:rsidRPr="00434AF5" w:rsidR="000E435E">
        <w:rPr>
          <w:rFonts w:ascii="Book Antiqua" w:hAnsi="Book Antiqua"/>
        </w:rPr>
        <w:t xml:space="preserve"> due to the destructive nature of the test.</w:t>
      </w:r>
      <w:r w:rsidRPr="00434AF5" w:rsidR="00CD6F92">
        <w:rPr>
          <w:rFonts w:ascii="Book Antiqua" w:hAnsi="Book Antiqua"/>
        </w:rPr>
        <w:t xml:space="preserve">  At that time, SoCalGas indicated that testing of the Subject Pipe Fitting was planned for January 10, 2019 in the civil lawsuit.  Based on this information, SED agreed to extend the deadline to test the Subject Pipe Fitting by January 10, 2019. </w:t>
      </w:r>
    </w:p>
    <w:p w:rsidRPr="00434AF5" w:rsidR="00CD6F92" w:rsidP="008734CD" w:rsidRDefault="00CD6F92" w14:paraId="1639EA06" w14:textId="77777777">
      <w:pPr>
        <w:spacing w:after="240"/>
        <w:rPr>
          <w:rFonts w:ascii="Book Antiqua" w:hAnsi="Book Antiqua"/>
        </w:rPr>
      </w:pPr>
      <w:r w:rsidRPr="00434AF5">
        <w:rPr>
          <w:rFonts w:ascii="Book Antiqua" w:hAnsi="Book Antiqua"/>
        </w:rPr>
        <w:t>On January 4, 2019, SoCalGas settled with the main Plaintiff to the civil litigation.  However, other plaintiffs added new defendants to the case.  Due to these litigation changes, SoCalGas removed testing of the Subject Pipe Fitting off calendar.  On January</w:t>
      </w:r>
      <w:r w:rsidR="00CB2ECD">
        <w:rPr>
          <w:rFonts w:ascii="Book Antiqua" w:hAnsi="Book Antiqua"/>
        </w:rPr>
        <w:t> </w:t>
      </w:r>
      <w:r w:rsidRPr="00434AF5">
        <w:rPr>
          <w:rFonts w:ascii="Book Antiqua" w:hAnsi="Book Antiqua"/>
        </w:rPr>
        <w:t>7, 2019, SoCalGas notified SED that the January 10, 2019 testing date was taken off</w:t>
      </w:r>
      <w:r w:rsidR="00CB2ECD">
        <w:rPr>
          <w:rFonts w:ascii="Book Antiqua" w:hAnsi="Book Antiqua"/>
        </w:rPr>
        <w:noBreakHyphen/>
      </w:r>
      <w:r w:rsidRPr="00434AF5">
        <w:rPr>
          <w:rFonts w:ascii="Book Antiqua" w:hAnsi="Book Antiqua"/>
        </w:rPr>
        <w:t xml:space="preserve">calendar due to the recently-added parties, and concern over needing their consent to move forward with the Subject Pipe Fitting test.  SoCalGas admittedly should have discussed this change with SED before agreeing to take the January 10, 2019 Subject Pipe Fitting test off calendar. </w:t>
      </w:r>
    </w:p>
    <w:p w:rsidRPr="00434AF5" w:rsidR="000E435E" w:rsidP="008734CD" w:rsidRDefault="00CD6F92" w14:paraId="46D3B5BB" w14:textId="77777777">
      <w:pPr>
        <w:spacing w:after="240"/>
        <w:rPr>
          <w:rFonts w:ascii="Book Antiqua" w:hAnsi="Book Antiqua"/>
        </w:rPr>
      </w:pPr>
      <w:r w:rsidRPr="00434AF5">
        <w:rPr>
          <w:rFonts w:ascii="Book Antiqua" w:hAnsi="Book Antiqua"/>
        </w:rPr>
        <w:t>On January 23, 2019, SED requested a “firm date to conduct the testing.”  On January</w:t>
      </w:r>
      <w:r w:rsidR="008734CD">
        <w:rPr>
          <w:rFonts w:ascii="Book Antiqua" w:hAnsi="Book Antiqua"/>
        </w:rPr>
        <w:t> </w:t>
      </w:r>
      <w:r w:rsidRPr="00434AF5">
        <w:rPr>
          <w:rFonts w:ascii="Book Antiqua" w:hAnsi="Book Antiqua"/>
        </w:rPr>
        <w:t xml:space="preserve">28, 2019 SoCalGas responded that a firm date would be challenging given </w:t>
      </w:r>
      <w:r w:rsidRPr="00434AF5" w:rsidR="000E435E">
        <w:rPr>
          <w:rFonts w:ascii="Book Antiqua" w:hAnsi="Book Antiqua"/>
        </w:rPr>
        <w:t xml:space="preserve">the destructive testing in the face of pending litigation.  </w:t>
      </w:r>
    </w:p>
    <w:p w:rsidRPr="00434AF5" w:rsidR="001A2230" w:rsidP="008734CD" w:rsidRDefault="000E435E" w14:paraId="42EFA0B3" w14:textId="77777777">
      <w:pPr>
        <w:spacing w:after="240"/>
        <w:rPr>
          <w:rFonts w:ascii="Book Antiqua" w:hAnsi="Book Antiqua"/>
        </w:rPr>
      </w:pPr>
      <w:r w:rsidRPr="00434AF5">
        <w:rPr>
          <w:rFonts w:ascii="Book Antiqua" w:hAnsi="Book Antiqua"/>
        </w:rPr>
        <w:t xml:space="preserve">On February 1, 2019, SED issued a Citation fining SoCalGas $3,300,000 and alleging that SoCalGas violated 49 CFR §192.13(c) and </w:t>
      </w:r>
      <w:r w:rsidRPr="00434AF5" w:rsidR="00BD7C20">
        <w:rPr>
          <w:rFonts w:ascii="Book Antiqua" w:hAnsi="Book Antiqua"/>
        </w:rPr>
        <w:t xml:space="preserve">California Public Utilities (Cal. Pub. Util.) </w:t>
      </w:r>
      <w:r w:rsidRPr="00434AF5">
        <w:rPr>
          <w:rFonts w:ascii="Book Antiqua" w:hAnsi="Book Antiqua"/>
        </w:rPr>
        <w:t xml:space="preserve"> Code §§ 451 and 702, and</w:t>
      </w:r>
      <w:r w:rsidR="00762514">
        <w:rPr>
          <w:rFonts w:ascii="Book Antiqua" w:hAnsi="Book Antiqua"/>
        </w:rPr>
        <w:t xml:space="preserve"> </w:t>
      </w:r>
      <w:r w:rsidRPr="00434AF5">
        <w:rPr>
          <w:rFonts w:ascii="Book Antiqua" w:hAnsi="Book Antiqua"/>
        </w:rPr>
        <w:t>SoCalGas’ Gas Standard 223.0030 in connection w</w:t>
      </w:r>
      <w:r w:rsidRPr="00434AF5" w:rsidR="001A2230">
        <w:rPr>
          <w:rFonts w:ascii="Book Antiqua" w:hAnsi="Book Antiqua"/>
        </w:rPr>
        <w:t>ith the timeliness and communication with SED on the Subject Pipe Fitting test.</w:t>
      </w:r>
      <w:r w:rsidR="001E1E1B">
        <w:rPr>
          <w:rFonts w:ascii="Book Antiqua" w:hAnsi="Book Antiqua"/>
        </w:rPr>
        <w:t xml:space="preserve">  </w:t>
      </w:r>
      <w:r w:rsidRPr="00434AF5" w:rsidR="001A2230">
        <w:rPr>
          <w:rFonts w:ascii="Book Antiqua" w:hAnsi="Book Antiqua"/>
        </w:rPr>
        <w:t xml:space="preserve">The Citation alleges SoCalGas failed to properly and timely investigate the incident to determine the cause(s) of the failure and minimize the possibility of recurrence in accordance with </w:t>
      </w:r>
      <w:r w:rsidRPr="00434AF5" w:rsidR="00E07FF2">
        <w:rPr>
          <w:rFonts w:ascii="Book Antiqua" w:hAnsi="Book Antiqua"/>
        </w:rPr>
        <w:t>s</w:t>
      </w:r>
      <w:r w:rsidRPr="00434AF5" w:rsidR="001A2230">
        <w:rPr>
          <w:rFonts w:ascii="Book Antiqua" w:hAnsi="Book Antiqua"/>
        </w:rPr>
        <w:t xml:space="preserve">tate and </w:t>
      </w:r>
      <w:r w:rsidRPr="00434AF5" w:rsidR="00E07FF2">
        <w:rPr>
          <w:rFonts w:ascii="Book Antiqua" w:hAnsi="Book Antiqua"/>
        </w:rPr>
        <w:t>f</w:t>
      </w:r>
      <w:r w:rsidRPr="00434AF5" w:rsidR="001A2230">
        <w:rPr>
          <w:rFonts w:ascii="Book Antiqua" w:hAnsi="Book Antiqua"/>
        </w:rPr>
        <w:t xml:space="preserve">ederal law.  The Citation further alleges SoCalGas failed to obey and comply with SED’s directive to determine cause(s) and prevent reoccurrence by testing the Subject Pipe Fitting by January 10, 2019, and failed to obtain SED’s approval prior to the cancellation of the scheduled test.  The Citation calculation results from the maximum penalty per day, $50,000, for the time period between the directive’s testing deadline (January 10, 2019) and the citation date (February 1, 2019), 22 days, for the three alleged violations ($50,000 x 22 x 3 = $3,300,000). </w:t>
      </w:r>
    </w:p>
    <w:p w:rsidRPr="00BB6514" w:rsidR="00400464" w:rsidP="008734CD" w:rsidRDefault="001A2230" w14:paraId="7DF4BDBA" w14:textId="597C4ECA">
      <w:pPr>
        <w:spacing w:after="240"/>
        <w:rPr>
          <w:b/>
          <w:bCs/>
          <w:u w:val="single"/>
        </w:rPr>
      </w:pPr>
      <w:r w:rsidRPr="00434AF5">
        <w:rPr>
          <w:rFonts w:ascii="Book Antiqua" w:hAnsi="Book Antiqua"/>
        </w:rPr>
        <w:t xml:space="preserve">Testing of the Subject Pipe Fitting was completed on February 19, 2019, after an additional extension was requested by Plaintiffs and approved by SED.  The testing was attended by representatives of SED, SoCalGas, and parties to the civil lawsuit.  On February 21, 2019 SED confirmed that the testing required by the November 2018 directive was completed. </w:t>
      </w:r>
    </w:p>
    <w:p w:rsidRPr="00BB6514" w:rsidR="00BB6514" w:rsidP="008734CD" w:rsidRDefault="00400464" w14:paraId="311F8C72" w14:textId="77777777">
      <w:pPr>
        <w:spacing w:after="240"/>
        <w:rPr>
          <w:b/>
          <w:bCs/>
          <w:u w:val="single"/>
        </w:rPr>
      </w:pPr>
      <w:r w:rsidRPr="00434AF5">
        <w:rPr>
          <w:rFonts w:ascii="Book Antiqua" w:hAnsi="Book Antiqua"/>
          <w:b/>
          <w:bCs/>
          <w:u w:val="single"/>
        </w:rPr>
        <w:t xml:space="preserve">DISCUSSION </w:t>
      </w:r>
    </w:p>
    <w:p w:rsidRPr="00434AF5" w:rsidR="00BB6514" w:rsidP="008734CD" w:rsidRDefault="00400464" w14:paraId="225BBF44" w14:textId="5AF7A16C">
      <w:pPr>
        <w:spacing w:after="240"/>
        <w:rPr>
          <w:rFonts w:ascii="Book Antiqua" w:hAnsi="Book Antiqua"/>
        </w:rPr>
      </w:pPr>
      <w:r w:rsidRPr="00434AF5">
        <w:rPr>
          <w:rFonts w:ascii="Book Antiqua" w:hAnsi="Book Antiqua"/>
        </w:rPr>
        <w:lastRenderedPageBreak/>
        <w:t xml:space="preserve">Pursuant to ALJ-274, issued by the Commission on December 7, 2011, SED is authorized to issue citations to all gas corporations to enforce compliance with </w:t>
      </w:r>
      <w:r w:rsidRPr="00434AF5" w:rsidR="00C3272D">
        <w:rPr>
          <w:rFonts w:ascii="Book Antiqua" w:hAnsi="Book Antiqua"/>
        </w:rPr>
        <w:t xml:space="preserve">GO 112.  When issuing citations, SED considers factors per Cal. Pub. Util. Code </w:t>
      </w:r>
      <w:r w:rsidRPr="00434AF5" w:rsidR="00BD7C20">
        <w:rPr>
          <w:rFonts w:ascii="Book Antiqua" w:hAnsi="Book Antiqua"/>
        </w:rPr>
        <w:t>§</w:t>
      </w:r>
      <w:r w:rsidRPr="00434AF5" w:rsidR="00C3272D">
        <w:rPr>
          <w:rFonts w:ascii="Book Antiqua" w:hAnsi="Book Antiqua"/>
        </w:rPr>
        <w:t xml:space="preserve"> 2104.5 and Section 1702.5(a)(1), as outlined in Commission Decision (D.)</w:t>
      </w:r>
      <w:r w:rsidR="00565B0E">
        <w:rPr>
          <w:rFonts w:ascii="Book Antiqua" w:hAnsi="Book Antiqua"/>
        </w:rPr>
        <w:t> </w:t>
      </w:r>
      <w:r w:rsidRPr="00434AF5" w:rsidR="00C3272D">
        <w:rPr>
          <w:rFonts w:ascii="Book Antiqua" w:hAnsi="Book Antiqua"/>
        </w:rPr>
        <w:t>16-09-055.  ALJ-274 also delegates SED authority to levy fines for violations in the amounts prescribed for penalties by Cal.</w:t>
      </w:r>
      <w:r w:rsidR="00832CAD">
        <w:rPr>
          <w:rFonts w:ascii="Book Antiqua" w:hAnsi="Book Antiqua"/>
        </w:rPr>
        <w:t> </w:t>
      </w:r>
      <w:r w:rsidRPr="00434AF5" w:rsidR="00C3272D">
        <w:rPr>
          <w:rFonts w:ascii="Book Antiqua" w:hAnsi="Book Antiqua"/>
        </w:rPr>
        <w:t xml:space="preserve">Pub. Util. Code § 2107.  In turn, a corporation issued such a citation may accept the fine imposed or contest it through a process appeal under Resolution ALJ-299. </w:t>
      </w:r>
    </w:p>
    <w:p w:rsidRPr="00434AF5" w:rsidR="00BB6514" w:rsidP="008734CD" w:rsidRDefault="00BB6514" w14:paraId="34C562FA" w14:textId="77777777">
      <w:pPr>
        <w:spacing w:after="240"/>
        <w:rPr>
          <w:rFonts w:ascii="Book Antiqua" w:hAnsi="Book Antiqua"/>
        </w:rPr>
      </w:pPr>
      <w:r w:rsidRPr="00434AF5">
        <w:rPr>
          <w:rFonts w:ascii="Book Antiqua" w:hAnsi="Book Antiqua"/>
        </w:rPr>
        <w:t>On March 1, 2020, SoCalGas filed the instant Appeal, appealing the citation and requesting a hearing on the grounds: (1) there is no supporting evidence that SoCalGas failed to meet its obligations under Pub. Util. Code § 451; (2) the Citation is not consistent with the purpose of the Gas Safety Citation Program; (3) the Citation and financial penalties were assessed prematurely and without notice and opportunity to correct; (4) the penalty does not comply with ALJ-274’s requirements, which include taking “account of the factors listed in §2104.5 in issuing citations;” (5) the penalties are vague and further do not comport with the Commission’s penalty analysis framework, including the requirements listed in D.16-09-055; (6) the penalty amounts are excessive; and (7) mitigating factors warrant either no penalties or lowered penalties because, among other factors, SoCalGas made good faith efforts to comply with SED’s directive as evidenced by its ongoing communication with SED following issuance of the directive regarding the legal  hold obligation placed on SoCalGas.</w:t>
      </w:r>
    </w:p>
    <w:p w:rsidRPr="00434AF5" w:rsidR="00BB6514" w:rsidP="008734CD" w:rsidRDefault="00BB6514" w14:paraId="1372F168" w14:textId="77777777">
      <w:pPr>
        <w:spacing w:after="240"/>
        <w:rPr>
          <w:rFonts w:ascii="Book Antiqua" w:hAnsi="Book Antiqua"/>
        </w:rPr>
      </w:pPr>
      <w:r w:rsidRPr="00434AF5">
        <w:rPr>
          <w:rFonts w:ascii="Book Antiqua" w:hAnsi="Book Antiqua"/>
        </w:rPr>
        <w:t>On July 22, 2019</w:t>
      </w:r>
      <w:r w:rsidRPr="00434AF5" w:rsidR="007349A9">
        <w:rPr>
          <w:rFonts w:ascii="Book Antiqua" w:hAnsi="Book Antiqua"/>
        </w:rPr>
        <w:t>,</w:t>
      </w:r>
      <w:r w:rsidRPr="00434AF5">
        <w:rPr>
          <w:rFonts w:ascii="Book Antiqua" w:hAnsi="Book Antiqua"/>
        </w:rPr>
        <w:t xml:space="preserve"> a prehearing conference was scheduled in this proceeding.  Prior to the hearing, parties received an email ruling cancelling the prehearing conference and alerting parties it would be rescheduled at a later date.  In the fall of 2019, this proceeding was reassigned to Administrative Law Judge (ALJ) Goldberg.  ALJ</w:t>
      </w:r>
      <w:r w:rsidR="00565B0E">
        <w:rPr>
          <w:rFonts w:ascii="Book Antiqua" w:hAnsi="Book Antiqua"/>
        </w:rPr>
        <w:t> </w:t>
      </w:r>
      <w:r w:rsidRPr="00434AF5">
        <w:rPr>
          <w:rFonts w:ascii="Book Antiqua" w:hAnsi="Book Antiqua"/>
        </w:rPr>
        <w:t xml:space="preserve">Goldberg set evidentiary hearings for this matter for October 28, 2019. </w:t>
      </w:r>
    </w:p>
    <w:p w:rsidRPr="00434AF5" w:rsidR="00BB6514" w:rsidP="00BB6514" w:rsidRDefault="00BB6514" w14:paraId="3BA3DB6D" w14:textId="211D0787">
      <w:pPr>
        <w:rPr>
          <w:rFonts w:ascii="Book Antiqua" w:hAnsi="Book Antiqua"/>
        </w:rPr>
      </w:pPr>
      <w:r w:rsidRPr="00434AF5">
        <w:rPr>
          <w:rFonts w:ascii="Book Antiqua" w:hAnsi="Book Antiqua"/>
        </w:rPr>
        <w:t xml:space="preserve">On October 18, 2019, SoCalGas and SED filed a joint motion for a reasonable continuance to allow parties the opportunity to explore settlement.  On October 22, 2019 ALJ Goldberg granted the continuance and directed parties to contact the Commission’s Alternative Dispute Resolution (ADR) program.  The parties contacted the ADR coordinator and met-and-conferred several times.  </w:t>
      </w:r>
      <w:r w:rsidR="00076F4C">
        <w:rPr>
          <w:rFonts w:ascii="Book Antiqua" w:hAnsi="Book Antiqua"/>
        </w:rPr>
        <w:t xml:space="preserve">After participation in ADR, </w:t>
      </w:r>
      <w:r w:rsidRPr="00434AF5">
        <w:rPr>
          <w:rFonts w:ascii="Book Antiqua" w:hAnsi="Book Antiqua"/>
        </w:rPr>
        <w:t>the parties reached a settlement agreement.  On March 9, 2020</w:t>
      </w:r>
      <w:r w:rsidR="00413DD7">
        <w:rPr>
          <w:rFonts w:ascii="Book Antiqua" w:hAnsi="Book Antiqua"/>
        </w:rPr>
        <w:t>,</w:t>
      </w:r>
      <w:r w:rsidRPr="00434AF5">
        <w:rPr>
          <w:rFonts w:ascii="Book Antiqua" w:hAnsi="Book Antiqua"/>
        </w:rPr>
        <w:t xml:space="preserve"> SoCalGas and SED jointly filed a motion for Commission consideration of settlement.   </w:t>
      </w:r>
    </w:p>
    <w:p w:rsidR="00FD2FEA" w:rsidP="00F82ACC" w:rsidRDefault="00FD2FEA" w14:paraId="1825CABA" w14:textId="77777777">
      <w:pPr>
        <w:sectPr w:rsidR="00FD2FEA" w:rsidSect="00673E0B">
          <w:headerReference w:type="default" r:id="rId16"/>
          <w:footerReference w:type="default" r:id="rId17"/>
          <w:headerReference w:type="first" r:id="rId18"/>
          <w:pgSz w:w="12240" w:h="15840" w:code="1"/>
          <w:pgMar w:top="1440" w:right="1440" w:bottom="1440" w:left="1440" w:header="720" w:footer="720" w:gutter="0"/>
          <w:pgNumType w:fmt="numberInDash"/>
          <w:cols w:space="720"/>
          <w:docGrid w:linePitch="326"/>
        </w:sectPr>
      </w:pPr>
    </w:p>
    <w:p w:rsidR="00F82ACC" w:rsidP="008734CD" w:rsidRDefault="006F2B7A" w14:paraId="7CDF0B26" w14:textId="77777777">
      <w:pPr>
        <w:spacing w:after="240"/>
        <w:rPr>
          <w:rFonts w:ascii="Book Antiqua" w:hAnsi="Book Antiqua"/>
          <w:b/>
          <w:u w:val="single"/>
        </w:rPr>
      </w:pPr>
      <w:r w:rsidRPr="00434AF5">
        <w:rPr>
          <w:rFonts w:ascii="Book Antiqua" w:hAnsi="Book Antiqua"/>
          <w:b/>
          <w:u w:val="single"/>
        </w:rPr>
        <w:lastRenderedPageBreak/>
        <w:t xml:space="preserve">RESOLUTION OF THE APPEAL </w:t>
      </w:r>
    </w:p>
    <w:p w:rsidRPr="00434AF5" w:rsidR="009449DD" w:rsidP="008734CD" w:rsidRDefault="00C3272D" w14:paraId="13BB98E2" w14:textId="77777777">
      <w:pPr>
        <w:spacing w:after="240"/>
        <w:rPr>
          <w:rFonts w:ascii="Book Antiqua" w:hAnsi="Book Antiqua"/>
        </w:rPr>
      </w:pPr>
      <w:r w:rsidRPr="00434AF5">
        <w:rPr>
          <w:rFonts w:ascii="Book Antiqua" w:hAnsi="Book Antiqua"/>
        </w:rPr>
        <w:t>The Commission will approve a settlement if it is reasonable in light of the whole record, consistent with law, and in the public interest.</w:t>
      </w:r>
      <w:r w:rsidRPr="00434AF5">
        <w:rPr>
          <w:rStyle w:val="FootnoteReference"/>
          <w:rFonts w:ascii="Book Antiqua" w:hAnsi="Book Antiqua"/>
        </w:rPr>
        <w:footnoteReference w:id="1"/>
      </w:r>
      <w:r w:rsidRPr="00434AF5">
        <w:rPr>
          <w:rFonts w:ascii="Book Antiqua" w:hAnsi="Book Antiqua"/>
        </w:rPr>
        <w:t xml:space="preserve">  The Commission set out factors for penalty analyses in D.98-12-075, incorporated into gas citation programs in D.16</w:t>
      </w:r>
      <w:r w:rsidR="00565B0E">
        <w:rPr>
          <w:rFonts w:ascii="Book Antiqua" w:hAnsi="Book Antiqua"/>
        </w:rPr>
        <w:noBreakHyphen/>
      </w:r>
      <w:r w:rsidRPr="00434AF5">
        <w:rPr>
          <w:rFonts w:ascii="Book Antiqua" w:hAnsi="Book Antiqua"/>
        </w:rPr>
        <w:t>09</w:t>
      </w:r>
      <w:r w:rsidR="00565B0E">
        <w:rPr>
          <w:rFonts w:ascii="Book Antiqua" w:hAnsi="Book Antiqua"/>
        </w:rPr>
        <w:noBreakHyphen/>
      </w:r>
      <w:r w:rsidRPr="00434AF5">
        <w:rPr>
          <w:rFonts w:ascii="Book Antiqua" w:hAnsi="Book Antiqua"/>
        </w:rPr>
        <w:t>055</w:t>
      </w:r>
      <w:r>
        <w:t>.</w:t>
      </w:r>
      <w:r w:rsidRPr="00434AF5">
        <w:rPr>
          <w:rStyle w:val="FootnoteReference"/>
          <w:rFonts w:ascii="Book Antiqua" w:hAnsi="Book Antiqua"/>
        </w:rPr>
        <w:footnoteReference w:id="2"/>
      </w:r>
      <w:r w:rsidR="00E07FF2">
        <w:t xml:space="preserve">  </w:t>
      </w:r>
      <w:r w:rsidRPr="00434AF5" w:rsidR="00E07FF2">
        <w:rPr>
          <w:rFonts w:ascii="Book Antiqua" w:hAnsi="Book Antiqua"/>
        </w:rPr>
        <w:t xml:space="preserve">For settlement agreements which include a fine or penalty, D.98-12-075 also sets forth the following five factors that must be examined in determining whether the proposed fine or penalty is reasonable:  (1) The severity of the offense, including consideration of economic harm, physical harm, harm to the regulatory process, and number and scope of violations, with violations that cause physical harm to people or property being considered the most severe and violations that threatened such harm closely following;  (2) The conduct of the utility in preventing, detecting, disclosing and rectifying the violation;  (3) The financial resources of the utility (to ensure that the degree of wrongdoing comports with the amount of fine and is relative to the utility’s financial resources such that the amount will be an effective deterrence for that utility while not exceeding the constitutional limits on excessive fines);  (4) The amount of fine in the context of prior Commission decisions; and  (5) The totality of the circumstances in furtherance of the public interest. </w:t>
      </w:r>
    </w:p>
    <w:p w:rsidRPr="00434AF5" w:rsidR="002B21CA" w:rsidP="008734CD" w:rsidRDefault="00E07FF2" w14:paraId="1EE4D51E" w14:textId="1925CFEF">
      <w:pPr>
        <w:spacing w:after="240"/>
        <w:rPr>
          <w:rFonts w:ascii="Book Antiqua" w:hAnsi="Book Antiqua"/>
        </w:rPr>
      </w:pPr>
      <w:r w:rsidRPr="00434AF5">
        <w:rPr>
          <w:rFonts w:ascii="Book Antiqua" w:hAnsi="Book Antiqua"/>
        </w:rPr>
        <w:t xml:space="preserve">Based on the record, the offense is </w:t>
      </w:r>
      <w:r w:rsidRPr="00434AF5" w:rsidR="00F459C1">
        <w:rPr>
          <w:rFonts w:ascii="Book Antiqua" w:hAnsi="Book Antiqua"/>
        </w:rPr>
        <w:t xml:space="preserve">severe.  </w:t>
      </w:r>
      <w:r w:rsidRPr="00434AF5">
        <w:rPr>
          <w:rFonts w:ascii="Book Antiqua" w:hAnsi="Book Antiqua"/>
        </w:rPr>
        <w:t xml:space="preserve">The violations occurred when </w:t>
      </w:r>
      <w:r w:rsidRPr="00434AF5" w:rsidR="00F459C1">
        <w:rPr>
          <w:rFonts w:ascii="Book Antiqua" w:hAnsi="Book Antiqua"/>
        </w:rPr>
        <w:t>SoCalGas’ equipment failed</w:t>
      </w:r>
      <w:r w:rsidRPr="00434AF5">
        <w:rPr>
          <w:rFonts w:ascii="Book Antiqua" w:hAnsi="Book Antiqua"/>
        </w:rPr>
        <w:t xml:space="preserve"> </w:t>
      </w:r>
      <w:r w:rsidRPr="00434AF5" w:rsidR="00F459C1">
        <w:rPr>
          <w:rFonts w:ascii="Book Antiqua" w:hAnsi="Book Antiqua"/>
        </w:rPr>
        <w:t>releasing</w:t>
      </w:r>
      <w:r w:rsidRPr="00434AF5">
        <w:rPr>
          <w:rFonts w:ascii="Book Antiqua" w:hAnsi="Book Antiqua"/>
        </w:rPr>
        <w:t xml:space="preserve"> natural gas</w:t>
      </w:r>
      <w:r w:rsidRPr="00434AF5" w:rsidR="00F459C1">
        <w:rPr>
          <w:rFonts w:ascii="Book Antiqua" w:hAnsi="Book Antiqua"/>
        </w:rPr>
        <w:t xml:space="preserve">, </w:t>
      </w:r>
      <w:r w:rsidRPr="00434AF5">
        <w:rPr>
          <w:rFonts w:ascii="Book Antiqua" w:hAnsi="Book Antiqua"/>
        </w:rPr>
        <w:t xml:space="preserve">igniting a </w:t>
      </w:r>
      <w:r w:rsidRPr="00434AF5" w:rsidR="00F459C1">
        <w:rPr>
          <w:rFonts w:ascii="Book Antiqua" w:hAnsi="Book Antiqua"/>
        </w:rPr>
        <w:t>condominium</w:t>
      </w:r>
      <w:r w:rsidRPr="00434AF5">
        <w:rPr>
          <w:rFonts w:ascii="Book Antiqua" w:hAnsi="Book Antiqua"/>
        </w:rPr>
        <w:t xml:space="preserve"> complex</w:t>
      </w:r>
      <w:r w:rsidRPr="00434AF5" w:rsidR="00F459C1">
        <w:rPr>
          <w:rFonts w:ascii="Book Antiqua" w:hAnsi="Book Antiqua"/>
        </w:rPr>
        <w:t xml:space="preserve"> and injuring one individual</w:t>
      </w:r>
      <w:r w:rsidRPr="00434AF5">
        <w:rPr>
          <w:rFonts w:ascii="Book Antiqua" w:hAnsi="Book Antiqua"/>
        </w:rPr>
        <w:t>.</w:t>
      </w:r>
      <w:r w:rsidRPr="00434AF5" w:rsidR="00F459C1">
        <w:rPr>
          <w:rFonts w:ascii="Book Antiqua" w:hAnsi="Book Antiqua"/>
        </w:rPr>
        <w:t xml:space="preserve">  </w:t>
      </w:r>
      <w:r w:rsidRPr="00434AF5" w:rsidR="00705860">
        <w:rPr>
          <w:rFonts w:ascii="Book Antiqua" w:hAnsi="Book Antiqua"/>
        </w:rPr>
        <w:t xml:space="preserve">SoCalGas did take action to ensure the safety of the site, including making repairs, conducting a leak survey, soil testing, and replacing the mains and services within the condominium complex.  However, </w:t>
      </w:r>
      <w:r w:rsidRPr="00434AF5" w:rsidR="00F459C1">
        <w:rPr>
          <w:rFonts w:ascii="Book Antiqua" w:hAnsi="Book Antiqua"/>
        </w:rPr>
        <w:t>SoCalGas’ failure to communicate with SED prior to off-calendaring the January 10, 2019 Subject Pipe Fitting test is another factor we consider when viewing the penalty amount.</w:t>
      </w:r>
      <w:r w:rsidR="001E1E1B">
        <w:rPr>
          <w:rFonts w:ascii="Book Antiqua" w:hAnsi="Book Antiqua"/>
        </w:rPr>
        <w:t xml:space="preserve">  </w:t>
      </w:r>
      <w:r w:rsidRPr="00434AF5" w:rsidR="00F459C1">
        <w:rPr>
          <w:rFonts w:ascii="Book Antiqua" w:hAnsi="Book Antiqua"/>
        </w:rPr>
        <w:t>SoCalGas’ actions after January 4, 2019, however, do</w:t>
      </w:r>
      <w:r w:rsidR="00143432">
        <w:rPr>
          <w:rFonts w:ascii="Book Antiqua" w:hAnsi="Book Antiqua"/>
        </w:rPr>
        <w:t xml:space="preserve"> not</w:t>
      </w:r>
      <w:r w:rsidRPr="00434AF5" w:rsidR="00F459C1">
        <w:rPr>
          <w:rFonts w:ascii="Book Antiqua" w:hAnsi="Book Antiqua"/>
        </w:rPr>
        <w:t xml:space="preserve"> reach a level of non-responsiveness</w:t>
      </w:r>
      <w:r w:rsidRPr="00434AF5" w:rsidR="003E2250">
        <w:rPr>
          <w:rFonts w:ascii="Book Antiqua" w:hAnsi="Book Antiqua"/>
        </w:rPr>
        <w:t xml:space="preserve"> adding to the severity of the offense.  While SoCalGas admittedly should have communicated with SED prior to off-calendaring the January 10, 2019 Subject Pipe Fitting test, the test was rescheduled and appropriately attended by utility and SED representatives on February</w:t>
      </w:r>
      <w:r w:rsidR="001E1E1B">
        <w:rPr>
          <w:rFonts w:ascii="Book Antiqua" w:hAnsi="Book Antiqua"/>
        </w:rPr>
        <w:t> </w:t>
      </w:r>
      <w:r w:rsidRPr="00434AF5" w:rsidR="003E2250">
        <w:rPr>
          <w:rFonts w:ascii="Book Antiqua" w:hAnsi="Book Antiqua"/>
        </w:rPr>
        <w:t xml:space="preserve">19, 2019, a little more than one month past the original test date.  </w:t>
      </w:r>
      <w:r w:rsidRPr="00434AF5" w:rsidR="00782012">
        <w:rPr>
          <w:rFonts w:ascii="Book Antiqua" w:hAnsi="Book Antiqua"/>
        </w:rPr>
        <w:t>Moreover, SoCalGas made a good faith effort to comply with SED’s original test directive as evidenced by the utility’s ongoing communication with SED following the January</w:t>
      </w:r>
      <w:r w:rsidR="001E1E1B">
        <w:rPr>
          <w:rFonts w:ascii="Book Antiqua" w:hAnsi="Book Antiqua"/>
        </w:rPr>
        <w:t> </w:t>
      </w:r>
      <w:r w:rsidRPr="00434AF5" w:rsidR="00782012">
        <w:rPr>
          <w:rFonts w:ascii="Book Antiqua" w:hAnsi="Book Antiqua"/>
        </w:rPr>
        <w:t>10,</w:t>
      </w:r>
      <w:r w:rsidR="001E1E1B">
        <w:rPr>
          <w:rFonts w:ascii="Book Antiqua" w:hAnsi="Book Antiqua"/>
        </w:rPr>
        <w:t> </w:t>
      </w:r>
      <w:r w:rsidRPr="00434AF5" w:rsidR="00782012">
        <w:rPr>
          <w:rFonts w:ascii="Book Antiqua" w:hAnsi="Book Antiqua"/>
        </w:rPr>
        <w:t>2019 test cancellation.  Weighing</w:t>
      </w:r>
      <w:r w:rsidRPr="00434AF5" w:rsidR="003E2250">
        <w:rPr>
          <w:rFonts w:ascii="Book Antiqua" w:hAnsi="Book Antiqua"/>
        </w:rPr>
        <w:t xml:space="preserve"> these factors</w:t>
      </w:r>
      <w:r w:rsidRPr="00434AF5" w:rsidR="00705860">
        <w:rPr>
          <w:rFonts w:ascii="Book Antiqua" w:hAnsi="Book Antiqua"/>
        </w:rPr>
        <w:t xml:space="preserve"> alongside the utility’s remedial measures following the fire and SoCalGas’</w:t>
      </w:r>
      <w:r w:rsidRPr="00434AF5" w:rsidR="003E2250">
        <w:rPr>
          <w:rFonts w:ascii="Book Antiqua" w:hAnsi="Book Antiqua"/>
        </w:rPr>
        <w:t xml:space="preserve"> financial resources, we find the settlement amount of $1,250,000 to be reasonable under D.98-12-075</w:t>
      </w:r>
      <w:r w:rsidRPr="00434AF5" w:rsidR="00782012">
        <w:rPr>
          <w:rFonts w:ascii="Book Antiqua" w:hAnsi="Book Antiqua"/>
        </w:rPr>
        <w:t>’s five factors.</w:t>
      </w:r>
    </w:p>
    <w:p w:rsidRPr="00434AF5" w:rsidR="00782012" w:rsidP="008734CD" w:rsidRDefault="002B21CA" w14:paraId="4BD0B085" w14:textId="77777777">
      <w:pPr>
        <w:spacing w:after="240"/>
        <w:rPr>
          <w:rFonts w:ascii="Book Antiqua" w:hAnsi="Book Antiqua"/>
        </w:rPr>
      </w:pPr>
      <w:r w:rsidRPr="00434AF5">
        <w:rPr>
          <w:rFonts w:ascii="Book Antiqua" w:hAnsi="Book Antiqua"/>
        </w:rPr>
        <w:t xml:space="preserve">On review, the $1,250,000 settlement payment is reasonable in light of the record.  This amount serves as an effective reminder to SoCalGas of its obligations as a prudent </w:t>
      </w:r>
      <w:r w:rsidRPr="00434AF5">
        <w:rPr>
          <w:rFonts w:ascii="Book Antiqua" w:hAnsi="Book Antiqua"/>
        </w:rPr>
        <w:lastRenderedPageBreak/>
        <w:t>operator mindful of both Commission directives and public safety.  The $700,000</w:t>
      </w:r>
      <w:r>
        <w:t xml:space="preserve"> </w:t>
      </w:r>
      <w:r w:rsidRPr="00434AF5">
        <w:rPr>
          <w:rFonts w:ascii="Book Antiqua" w:hAnsi="Book Antiqua"/>
        </w:rPr>
        <w:t xml:space="preserve">shareholder-funded program to accelerate SoCalGas’ soil sampling and pipe </w:t>
      </w:r>
      <w:r w:rsidRPr="00434AF5" w:rsidR="002E7CF3">
        <w:rPr>
          <w:rFonts w:ascii="Book Antiqua" w:hAnsi="Book Antiqua"/>
        </w:rPr>
        <w:t>/</w:t>
      </w:r>
      <w:r w:rsidRPr="00434AF5" w:rsidR="006E02D8">
        <w:rPr>
          <w:rFonts w:ascii="Book Antiqua" w:hAnsi="Book Antiqua"/>
        </w:rPr>
        <w:t>fitting</w:t>
      </w:r>
      <w:r w:rsidRPr="00434AF5" w:rsidR="002E7CF3">
        <w:rPr>
          <w:rFonts w:ascii="Book Antiqua" w:hAnsi="Book Antiqua"/>
        </w:rPr>
        <w:t xml:space="preserve"> </w:t>
      </w:r>
      <w:r w:rsidRPr="00434AF5">
        <w:rPr>
          <w:rFonts w:ascii="Book Antiqua" w:hAnsi="Book Antiqua"/>
        </w:rPr>
        <w:t xml:space="preserve">testing of Aldyl-A pipeline materials, is reasonable in light of time it took </w:t>
      </w:r>
      <w:r w:rsidRPr="00434AF5" w:rsidR="006E02D8">
        <w:rPr>
          <w:rFonts w:ascii="Book Antiqua" w:hAnsi="Book Antiqua"/>
        </w:rPr>
        <w:t>to coordinate</w:t>
      </w:r>
      <w:r w:rsidRPr="00434AF5">
        <w:rPr>
          <w:rFonts w:ascii="Book Antiqua" w:hAnsi="Book Antiqua"/>
        </w:rPr>
        <w:t xml:space="preserve"> the Subject Pipe Fitting test.  </w:t>
      </w:r>
      <w:bookmarkStart w:name="_Hlk55464666" w:id="1"/>
      <w:r w:rsidRPr="00434AF5">
        <w:rPr>
          <w:rFonts w:ascii="Book Antiqua" w:hAnsi="Book Antiqua"/>
        </w:rPr>
        <w:t xml:space="preserve">Moreover, </w:t>
      </w:r>
      <w:bookmarkEnd w:id="1"/>
      <w:r w:rsidRPr="00434AF5">
        <w:rPr>
          <w:rFonts w:ascii="Book Antiqua" w:hAnsi="Book Antiqua"/>
        </w:rPr>
        <w:t xml:space="preserve">the improvements to SoCalGas’ internal testing and soil sampling promotes safety </w:t>
      </w:r>
      <w:r w:rsidRPr="00434AF5" w:rsidR="002E7CF3">
        <w:rPr>
          <w:rFonts w:ascii="Book Antiqua" w:hAnsi="Book Antiqua"/>
        </w:rPr>
        <w:t xml:space="preserve">in that the utility is investing in improving its internal safety controls.  The settlement amount </w:t>
      </w:r>
      <w:r w:rsidR="00413DD7">
        <w:rPr>
          <w:rFonts w:ascii="Book Antiqua" w:hAnsi="Book Antiqua"/>
        </w:rPr>
        <w:t>coupled with the</w:t>
      </w:r>
      <w:r w:rsidRPr="00434AF5" w:rsidR="00413DD7">
        <w:rPr>
          <w:rFonts w:ascii="Book Antiqua" w:hAnsi="Book Antiqua"/>
        </w:rPr>
        <w:t xml:space="preserve"> </w:t>
      </w:r>
      <w:r w:rsidRPr="00434AF5" w:rsidR="002E7CF3">
        <w:rPr>
          <w:rFonts w:ascii="Book Antiqua" w:hAnsi="Book Antiqua"/>
        </w:rPr>
        <w:t xml:space="preserve">$700,000 </w:t>
      </w:r>
      <w:r w:rsidR="00413DD7">
        <w:rPr>
          <w:rFonts w:ascii="Book Antiqua" w:hAnsi="Book Antiqua"/>
        </w:rPr>
        <w:t xml:space="preserve">testing </w:t>
      </w:r>
      <w:r w:rsidRPr="00434AF5" w:rsidR="002E7CF3">
        <w:rPr>
          <w:rFonts w:ascii="Book Antiqua" w:hAnsi="Book Antiqua"/>
        </w:rPr>
        <w:t xml:space="preserve">program is reasonable in light of the record. </w:t>
      </w:r>
    </w:p>
    <w:p w:rsidRPr="00434AF5" w:rsidR="00C3272D" w:rsidP="008734CD" w:rsidRDefault="00BB6514" w14:paraId="2010C93E" w14:textId="59699912">
      <w:pPr>
        <w:spacing w:after="240"/>
        <w:rPr>
          <w:rFonts w:ascii="Book Antiqua" w:hAnsi="Book Antiqua"/>
        </w:rPr>
      </w:pPr>
      <w:r w:rsidRPr="00434AF5">
        <w:rPr>
          <w:rFonts w:ascii="Book Antiqua" w:hAnsi="Book Antiqua"/>
        </w:rPr>
        <w:t>The Commission strongly favors settlement and “takes into consideration a long-standing policy favoring settlements.  This policy reduces litigation expenses, conserves scarce Commission resources and allows parties to craft their own solutions reducing the risk of unacceptable outcomes if litigated.”</w:t>
      </w:r>
      <w:r w:rsidRPr="00434AF5">
        <w:rPr>
          <w:rStyle w:val="FootnoteReference"/>
          <w:rFonts w:ascii="Book Antiqua" w:hAnsi="Book Antiqua"/>
        </w:rPr>
        <w:footnoteReference w:id="3"/>
      </w:r>
      <w:r w:rsidRPr="00434AF5">
        <w:rPr>
          <w:rFonts w:ascii="Book Antiqua" w:hAnsi="Book Antiqua"/>
        </w:rPr>
        <w:t xml:space="preserve">  The Settlement is consistent with the Commission’s policy that provides for settlements between the Commission’s enforcement staff and a utility where staff has alleged a violation of the Commission’s rules or orders.  The parties</w:t>
      </w:r>
      <w:r w:rsidR="00076F4C">
        <w:rPr>
          <w:rFonts w:ascii="Book Antiqua" w:hAnsi="Book Antiqua"/>
        </w:rPr>
        <w:t xml:space="preserve"> that</w:t>
      </w:r>
      <w:r w:rsidRPr="00434AF5">
        <w:rPr>
          <w:rFonts w:ascii="Book Antiqua" w:hAnsi="Book Antiqua"/>
        </w:rPr>
        <w:t xml:space="preserve"> can most properly resolve these types of allegations are the enforcement staff and the utility that has been charged with a violation of Commission rules.</w:t>
      </w:r>
      <w:r w:rsidRPr="00434AF5" w:rsidR="003E2250">
        <w:rPr>
          <w:rFonts w:ascii="Book Antiqua" w:hAnsi="Book Antiqua"/>
        </w:rPr>
        <w:t xml:space="preserve">  SoCalGas’ commitment to spend $700,000 in shareholder funds to accelerate soil sampling and pipe</w:t>
      </w:r>
      <w:r w:rsidRPr="00434AF5" w:rsidR="002E7CF3">
        <w:rPr>
          <w:rFonts w:ascii="Book Antiqua" w:hAnsi="Book Antiqua"/>
        </w:rPr>
        <w:t xml:space="preserve">/ fitting </w:t>
      </w:r>
      <w:r w:rsidRPr="00434AF5" w:rsidR="003E2250">
        <w:rPr>
          <w:rFonts w:ascii="Book Antiqua" w:hAnsi="Book Antiqua"/>
        </w:rPr>
        <w:t>testing are is consistent with law since it does not contravene or compromise any statutory provision or controlling law.</w:t>
      </w:r>
    </w:p>
    <w:p w:rsidRPr="00434AF5" w:rsidR="00782012" w:rsidP="008734CD" w:rsidRDefault="009449DD" w14:paraId="3F050AB8" w14:textId="77777777">
      <w:pPr>
        <w:spacing w:after="240"/>
        <w:rPr>
          <w:rFonts w:ascii="Book Antiqua" w:hAnsi="Book Antiqua"/>
        </w:rPr>
      </w:pPr>
      <w:r w:rsidRPr="00434AF5">
        <w:rPr>
          <w:rFonts w:ascii="Book Antiqua" w:hAnsi="Book Antiqua"/>
        </w:rPr>
        <w:t>T</w:t>
      </w:r>
      <w:r w:rsidRPr="00434AF5" w:rsidR="00C3272D">
        <w:rPr>
          <w:rFonts w:ascii="Book Antiqua" w:hAnsi="Book Antiqua"/>
        </w:rPr>
        <w:t xml:space="preserve">he settlement avoids the time, expense, and uncertainty of further litigation and resolves the matter.  Additionally, by requiring a settlement payment, the agreement affirms the importance to adhering to Commission rules and orders.  Moreover, the $700,000 investment in SoCalGas’ Distribution Integrity Management Program enhances the safety of SoCalGas’ systems.  The settlement agreement is therefore in the public interest. </w:t>
      </w:r>
    </w:p>
    <w:p w:rsidRPr="00434AF5" w:rsidR="00F82ACC" w:rsidP="008734CD" w:rsidRDefault="00782012" w14:paraId="3F78FB5A" w14:textId="77777777">
      <w:pPr>
        <w:spacing w:after="240"/>
        <w:rPr>
          <w:rFonts w:ascii="Book Antiqua" w:hAnsi="Book Antiqua"/>
          <w:bCs/>
        </w:rPr>
      </w:pPr>
      <w:r w:rsidRPr="00434AF5">
        <w:rPr>
          <w:rFonts w:ascii="Book Antiqua" w:hAnsi="Book Antiqua"/>
        </w:rPr>
        <w:t xml:space="preserve">On balance, we find the settlement agreement </w:t>
      </w:r>
      <w:r w:rsidRPr="00434AF5" w:rsidR="00541D1B">
        <w:rPr>
          <w:rFonts w:ascii="Book Antiqua" w:hAnsi="Book Antiqua"/>
        </w:rPr>
        <w:t>is reasonable in light of the whole record, consistent with law, and in the public interest.</w:t>
      </w:r>
    </w:p>
    <w:p w:rsidRPr="00F82ACC" w:rsidR="00F82ACC" w:rsidP="008734CD" w:rsidRDefault="00F82ACC" w14:paraId="1F4F829D" w14:textId="77777777">
      <w:pPr>
        <w:spacing w:after="240"/>
      </w:pPr>
      <w:r w:rsidRPr="00434AF5">
        <w:rPr>
          <w:rFonts w:ascii="Book Antiqua" w:hAnsi="Book Antiqua"/>
          <w:b/>
          <w:u w:val="single"/>
        </w:rPr>
        <w:t>SAFETY</w:t>
      </w:r>
    </w:p>
    <w:p w:rsidR="008734CD" w:rsidP="008734CD" w:rsidRDefault="00541D1B" w14:paraId="48528F7C" w14:textId="0205CA46">
      <w:pPr>
        <w:spacing w:after="240"/>
        <w:rPr>
          <w:rFonts w:ascii="Book Antiqua" w:hAnsi="Book Antiqua"/>
        </w:rPr>
        <w:sectPr w:rsidR="008734CD" w:rsidSect="00565B0E">
          <w:pgSz w:w="12240" w:h="15840" w:code="1"/>
          <w:pgMar w:top="1440" w:right="1440" w:bottom="1440" w:left="1440" w:header="720" w:footer="720" w:gutter="0"/>
          <w:pgNumType w:fmt="numberInDash"/>
          <w:cols w:space="720"/>
          <w:titlePg/>
        </w:sectPr>
      </w:pPr>
      <w:r w:rsidRPr="00434AF5">
        <w:rPr>
          <w:rFonts w:ascii="Book Antiqua" w:hAnsi="Book Antiqua"/>
        </w:rPr>
        <w:t xml:space="preserve">The Commission has broad authority to regulate public utilities, particularly regarding safety concerns.  Although SoCalGas’ failure to </w:t>
      </w:r>
      <w:r w:rsidRPr="00434AF5" w:rsidR="00BC6D72">
        <w:rPr>
          <w:rFonts w:ascii="Book Antiqua" w:hAnsi="Book Antiqua"/>
        </w:rPr>
        <w:t xml:space="preserve">notify SED prior to </w:t>
      </w:r>
      <w:proofErr w:type="gramStart"/>
      <w:r w:rsidRPr="00434AF5" w:rsidR="00BC6D72">
        <w:rPr>
          <w:rFonts w:ascii="Book Antiqua" w:hAnsi="Book Antiqua"/>
        </w:rPr>
        <w:t>off-calendaring</w:t>
      </w:r>
      <w:proofErr w:type="gramEnd"/>
      <w:r w:rsidRPr="00434AF5" w:rsidR="00BC6D72">
        <w:rPr>
          <w:rFonts w:ascii="Book Antiqua" w:hAnsi="Book Antiqua"/>
        </w:rPr>
        <w:t xml:space="preserve"> the Subject Pipe Fitting test did not result in damage to any persons or property, the integrity of the regulatory process was harmed by SoCalGas’ disregard for statutory and Commission directives.  This Settlement Agreement ensures SoCalGas will improve its soil testing and pipe </w:t>
      </w:r>
      <w:r w:rsidRPr="00434AF5" w:rsidR="002E7CF3">
        <w:rPr>
          <w:rFonts w:ascii="Book Antiqua" w:hAnsi="Book Antiqua"/>
        </w:rPr>
        <w:t xml:space="preserve">/ </w:t>
      </w:r>
      <w:r w:rsidRPr="00434AF5" w:rsidR="00BC6D72">
        <w:rPr>
          <w:rFonts w:ascii="Book Antiqua" w:hAnsi="Book Antiqua"/>
        </w:rPr>
        <w:t>fittin</w:t>
      </w:r>
      <w:r w:rsidRPr="00434AF5" w:rsidR="002E7CF3">
        <w:rPr>
          <w:rFonts w:ascii="Book Antiqua" w:hAnsi="Book Antiqua"/>
        </w:rPr>
        <w:t>g t</w:t>
      </w:r>
      <w:r w:rsidRPr="00434AF5" w:rsidR="00BC6D72">
        <w:rPr>
          <w:rFonts w:ascii="Book Antiqua" w:hAnsi="Book Antiqua"/>
        </w:rPr>
        <w:t>esting processes</w:t>
      </w:r>
      <w:r w:rsidRPr="00434AF5" w:rsidR="000B35CC">
        <w:rPr>
          <w:rFonts w:ascii="Book Antiqua" w:hAnsi="Book Antiqua"/>
        </w:rPr>
        <w:t xml:space="preserve"> and communicate with SED prior to disregarding a Commission order.</w:t>
      </w:r>
    </w:p>
    <w:p w:rsidR="008734CD" w:rsidP="008734CD" w:rsidRDefault="00F82ACC" w14:paraId="225768B5" w14:textId="77777777">
      <w:pPr>
        <w:spacing w:after="240"/>
        <w:rPr>
          <w:rFonts w:ascii="Book Antiqua" w:hAnsi="Book Antiqua"/>
          <w:b/>
          <w:u w:val="single"/>
        </w:rPr>
      </w:pPr>
      <w:r w:rsidRPr="00434AF5">
        <w:rPr>
          <w:rFonts w:ascii="Book Antiqua" w:hAnsi="Book Antiqua"/>
          <w:b/>
          <w:u w:val="single"/>
        </w:rPr>
        <w:lastRenderedPageBreak/>
        <w:t>COMMENTS</w:t>
      </w:r>
    </w:p>
    <w:p w:rsidRPr="00F82ACC" w:rsidR="00F82ACC" w:rsidP="006952CA" w:rsidRDefault="00F82ACC" w14:paraId="0E58A75F" w14:textId="77777777">
      <w:pPr>
        <w:spacing w:after="240"/>
      </w:pPr>
      <w:r w:rsidRPr="00434AF5">
        <w:rPr>
          <w:rFonts w:ascii="Book Antiqua" w:hAnsi="Book Antiqua"/>
        </w:rPr>
        <w:t>Pub. Util. Code</w:t>
      </w:r>
      <w:bookmarkStart w:name="_Hlk46735593" w:id="2"/>
      <w:r w:rsidRPr="00434AF5">
        <w:rPr>
          <w:rFonts w:ascii="Book Antiqua" w:hAnsi="Book Antiqua"/>
        </w:rPr>
        <w:t xml:space="preserve"> </w:t>
      </w:r>
      <w:r w:rsidRPr="00C95D66">
        <w:rPr>
          <w:rFonts w:ascii="Book Antiqua" w:hAnsi="Book Antiqua"/>
        </w:rPr>
        <w:t>§</w:t>
      </w:r>
      <w:r w:rsidRPr="00434AF5">
        <w:rPr>
          <w:rFonts w:ascii="Book Antiqua" w:hAnsi="Book Antiqua"/>
        </w:rPr>
        <w:t xml:space="preserve"> </w:t>
      </w:r>
      <w:bookmarkEnd w:id="2"/>
      <w:r w:rsidRPr="00434AF5">
        <w:rPr>
          <w:rFonts w:ascii="Book Antiqua" w:hAnsi="Book Antiqua"/>
        </w:rPr>
        <w:t xml:space="preserve">311(g)(1) requires that a draft resolution be served on all </w:t>
      </w:r>
      <w:r w:rsidRPr="00434AF5" w:rsidR="0051421B">
        <w:rPr>
          <w:rFonts w:ascii="Book Antiqua" w:hAnsi="Book Antiqua"/>
        </w:rPr>
        <w:t>parties and</w:t>
      </w:r>
      <w:r w:rsidRPr="00434AF5">
        <w:rPr>
          <w:rFonts w:ascii="Book Antiqua" w:hAnsi="Book Antiqua"/>
        </w:rPr>
        <w:t xml:space="preserve"> be subject to a public review and comment period of 30 days or more, prior to a vote of the Commission on the resolution.  A draft of today’s resolution was distributed for comment by the interested parties</w:t>
      </w:r>
      <w:r w:rsidRPr="00F82ACC">
        <w:t xml:space="preserve">.  </w:t>
      </w:r>
    </w:p>
    <w:p w:rsidRPr="00434AF5" w:rsidR="009E1084" w:rsidP="006952CA" w:rsidRDefault="009E1084" w14:paraId="7A19A327" w14:textId="77777777">
      <w:pPr>
        <w:spacing w:after="240"/>
        <w:rPr>
          <w:rFonts w:ascii="Book Antiqua" w:hAnsi="Book Antiqua"/>
          <w:b/>
          <w:u w:val="single"/>
        </w:rPr>
      </w:pPr>
      <w:r w:rsidRPr="00434AF5">
        <w:rPr>
          <w:rFonts w:ascii="Book Antiqua" w:hAnsi="Book Antiqua"/>
          <w:b/>
          <w:u w:val="single"/>
        </w:rPr>
        <w:t xml:space="preserve">FINDINGS OF FACT </w:t>
      </w:r>
    </w:p>
    <w:p w:rsidRPr="00434AF5" w:rsidR="009E1084" w:rsidP="009E1084" w:rsidRDefault="009E1084" w14:paraId="4494FF7C" w14:textId="77777777">
      <w:pPr>
        <w:pStyle w:val="ListParagraph"/>
        <w:numPr>
          <w:ilvl w:val="0"/>
          <w:numId w:val="7"/>
        </w:numPr>
        <w:contextualSpacing/>
        <w:rPr>
          <w:rFonts w:ascii="Book Antiqua" w:hAnsi="Book Antiqua"/>
        </w:rPr>
      </w:pPr>
      <w:r w:rsidRPr="00434AF5">
        <w:rPr>
          <w:rFonts w:ascii="Book Antiqua" w:hAnsi="Book Antiqua"/>
        </w:rPr>
        <w:t xml:space="preserve">On January 7, 2019, SoCalGas notified SED that the January 10, 2019 testing date was taken off-calendar due to the recently-added parties, and concern over needing their consent to move forward with the Subject Pipe Fitting test.  SoCalGas admittedly should have discussed this change with SED before agreeing to take the January 10, 2019 Subject Pipe Fitting test off calendar. </w:t>
      </w:r>
      <w:r w:rsidRPr="00434AF5">
        <w:rPr>
          <w:rFonts w:ascii="Book Antiqua" w:hAnsi="Book Antiqua"/>
          <w:bCs/>
        </w:rPr>
        <w:t xml:space="preserve"> </w:t>
      </w:r>
    </w:p>
    <w:p w:rsidRPr="00434AF5" w:rsidR="009E1084" w:rsidP="006952CA" w:rsidRDefault="009E1084" w14:paraId="231A1CAD" w14:textId="77777777">
      <w:pPr>
        <w:pStyle w:val="ListParagraph"/>
        <w:ind w:left="0"/>
        <w:contextualSpacing/>
        <w:rPr>
          <w:rFonts w:ascii="Book Antiqua" w:hAnsi="Book Antiqua"/>
        </w:rPr>
      </w:pPr>
    </w:p>
    <w:p w:rsidRPr="00434AF5" w:rsidR="009E1084" w:rsidP="009E1084" w:rsidRDefault="009E1084" w14:paraId="3BCAF084" w14:textId="1EFF0DB5">
      <w:pPr>
        <w:pStyle w:val="ListParagraph"/>
        <w:numPr>
          <w:ilvl w:val="0"/>
          <w:numId w:val="7"/>
        </w:numPr>
        <w:contextualSpacing/>
        <w:rPr>
          <w:rFonts w:ascii="Book Antiqua" w:hAnsi="Book Antiqua"/>
          <w:bCs/>
        </w:rPr>
      </w:pPr>
      <w:r w:rsidRPr="00434AF5">
        <w:rPr>
          <w:rFonts w:ascii="Book Antiqua" w:hAnsi="Book Antiqua"/>
        </w:rPr>
        <w:t>On February 1, 2019, SED issued a Citation fining SoCalGas $3,300,000 and alleging that SoCalGas violated 49 CFR §192.13(c) and Cal. Pub. Util. Code §§ 451 and 702, and SoCalGas’ Gas Standard 223.0030 in connection with the timeliness and communication with SED on the Subject Pipe Fitting test.</w:t>
      </w:r>
    </w:p>
    <w:p w:rsidRPr="00434AF5" w:rsidR="009E1084" w:rsidP="009E1084" w:rsidRDefault="009E1084" w14:paraId="7379BF5B" w14:textId="77777777">
      <w:pPr>
        <w:pStyle w:val="ListParagraph"/>
        <w:ind w:left="0"/>
        <w:contextualSpacing/>
        <w:rPr>
          <w:rFonts w:ascii="Book Antiqua" w:hAnsi="Book Antiqua"/>
          <w:bCs/>
        </w:rPr>
      </w:pPr>
    </w:p>
    <w:p w:rsidRPr="00434AF5" w:rsidR="009E1084" w:rsidP="009E1084" w:rsidRDefault="009E1084" w14:paraId="20AF0A3C" w14:textId="39BD9EBD">
      <w:pPr>
        <w:pStyle w:val="ListParagraph"/>
        <w:numPr>
          <w:ilvl w:val="0"/>
          <w:numId w:val="7"/>
        </w:numPr>
        <w:contextualSpacing/>
        <w:rPr>
          <w:rFonts w:ascii="Book Antiqua" w:hAnsi="Book Antiqua"/>
        </w:rPr>
      </w:pPr>
      <w:r w:rsidRPr="00434AF5">
        <w:rPr>
          <w:rFonts w:ascii="Book Antiqua" w:hAnsi="Book Antiqua"/>
        </w:rPr>
        <w:t xml:space="preserve">Testing of the Subject Pipe Fitting was completed on February 19, 2019, after an additional extension was requested by Plaintiffs and approved by SED.  The testing was attended by representatives of SED, SoCalGas, and parties to the civil lawsuit.  On February 21, 2019 SED confirmed that the testing required by the November 2018 directive was completed. </w:t>
      </w:r>
    </w:p>
    <w:p w:rsidRPr="00434AF5" w:rsidR="009E1084" w:rsidP="009E1084" w:rsidRDefault="009E1084" w14:paraId="76286328" w14:textId="77777777">
      <w:pPr>
        <w:pStyle w:val="ListParagraph"/>
        <w:ind w:left="0"/>
        <w:contextualSpacing/>
        <w:rPr>
          <w:rFonts w:ascii="Book Antiqua" w:hAnsi="Book Antiqua"/>
        </w:rPr>
      </w:pPr>
    </w:p>
    <w:p w:rsidRPr="00E950D6" w:rsidR="009E1084" w:rsidP="00E950D6" w:rsidRDefault="009E1084" w14:paraId="0670DAB0" w14:textId="3A7F938D">
      <w:pPr>
        <w:pStyle w:val="ListParagraph"/>
        <w:numPr>
          <w:ilvl w:val="0"/>
          <w:numId w:val="7"/>
        </w:numPr>
        <w:spacing w:after="240"/>
        <w:contextualSpacing/>
        <w:rPr>
          <w:rFonts w:ascii="Book Antiqua" w:hAnsi="Book Antiqua"/>
          <w:b/>
          <w:u w:val="single"/>
        </w:rPr>
      </w:pPr>
      <w:r w:rsidRPr="00E950D6">
        <w:rPr>
          <w:rFonts w:ascii="Book Antiqua" w:hAnsi="Book Antiqua"/>
        </w:rPr>
        <w:t xml:space="preserve">On March 9, 2020 SoCalGas and SED agreed to a settlement whereby SoCalGas would pay a fine of $1,250,000 to the </w:t>
      </w:r>
      <w:r w:rsidR="00076F4C">
        <w:rPr>
          <w:rFonts w:ascii="Book Antiqua" w:hAnsi="Book Antiqua"/>
        </w:rPr>
        <w:t>State’s</w:t>
      </w:r>
      <w:r w:rsidRPr="00E950D6" w:rsidR="00076F4C">
        <w:rPr>
          <w:rFonts w:ascii="Book Antiqua" w:hAnsi="Book Antiqua"/>
        </w:rPr>
        <w:t xml:space="preserve"> </w:t>
      </w:r>
      <w:r w:rsidRPr="00E950D6">
        <w:rPr>
          <w:rFonts w:ascii="Book Antiqua" w:hAnsi="Book Antiqua"/>
        </w:rPr>
        <w:t xml:space="preserve">General Fund within thirty days of approval of the Settlement Agreement by the Commission.  Within 90 days of approval of the Settlement Agreement, SoCalGas will develop a program to accelerate soil sampling, and pipe/fitting testing.  This program will be financed by $700,000 in shareholder funds. </w:t>
      </w:r>
    </w:p>
    <w:p w:rsidR="009E1084" w:rsidP="00E950D6" w:rsidRDefault="009E1084" w14:paraId="32824DCE" w14:textId="77777777">
      <w:pPr>
        <w:spacing w:after="240"/>
        <w:rPr>
          <w:b/>
          <w:u w:val="single"/>
        </w:rPr>
      </w:pPr>
      <w:r w:rsidRPr="00434AF5">
        <w:rPr>
          <w:rFonts w:ascii="Book Antiqua" w:hAnsi="Book Antiqua"/>
          <w:b/>
          <w:u w:val="single"/>
        </w:rPr>
        <w:t xml:space="preserve">CONCLUSIONS OF LAW </w:t>
      </w:r>
    </w:p>
    <w:p w:rsidRPr="00434AF5" w:rsidR="009E1084" w:rsidP="009E1084" w:rsidRDefault="009E1084" w14:paraId="4BEFB6B2" w14:textId="77777777">
      <w:pPr>
        <w:pStyle w:val="ListParagraph"/>
        <w:numPr>
          <w:ilvl w:val="0"/>
          <w:numId w:val="8"/>
        </w:numPr>
        <w:contextualSpacing/>
        <w:rPr>
          <w:rFonts w:ascii="Book Antiqua" w:hAnsi="Book Antiqua"/>
          <w:bCs/>
        </w:rPr>
      </w:pPr>
      <w:r w:rsidRPr="00434AF5">
        <w:rPr>
          <w:rFonts w:ascii="Book Antiqua" w:hAnsi="Book Antiqua"/>
          <w:bCs/>
        </w:rPr>
        <w:t>SoCalGas failed to comply with Commission</w:t>
      </w:r>
      <w:r w:rsidR="00434AF5">
        <w:rPr>
          <w:rFonts w:ascii="Book Antiqua" w:hAnsi="Book Antiqua"/>
          <w:bCs/>
        </w:rPr>
        <w:t xml:space="preserve"> </w:t>
      </w:r>
      <w:r w:rsidRPr="00434AF5">
        <w:rPr>
          <w:rFonts w:ascii="Book Antiqua" w:hAnsi="Book Antiqua"/>
          <w:bCs/>
        </w:rPr>
        <w:t>regulations and statutory obligations requiring SoCalGas to hold the Subject Pipe Fitting test on January</w:t>
      </w:r>
      <w:r w:rsidR="00437287">
        <w:rPr>
          <w:rFonts w:ascii="Book Antiqua" w:hAnsi="Book Antiqua"/>
          <w:bCs/>
        </w:rPr>
        <w:t> </w:t>
      </w:r>
      <w:r w:rsidRPr="00434AF5">
        <w:rPr>
          <w:rFonts w:ascii="Book Antiqua" w:hAnsi="Book Antiqua"/>
          <w:bCs/>
        </w:rPr>
        <w:t xml:space="preserve">10, 2019. </w:t>
      </w:r>
    </w:p>
    <w:p w:rsidRPr="00434AF5" w:rsidR="009E1084" w:rsidP="009E1084" w:rsidRDefault="009E1084" w14:paraId="4640A2DB" w14:textId="77777777">
      <w:pPr>
        <w:pStyle w:val="ListParagraph"/>
        <w:contextualSpacing/>
        <w:rPr>
          <w:rFonts w:ascii="Book Antiqua" w:hAnsi="Book Antiqua"/>
          <w:bCs/>
        </w:rPr>
      </w:pPr>
    </w:p>
    <w:p w:rsidRPr="00434AF5" w:rsidR="009E1084" w:rsidP="009E1084" w:rsidRDefault="009E1084" w14:paraId="38B47D62" w14:textId="77777777">
      <w:pPr>
        <w:pStyle w:val="ListParagraph"/>
        <w:numPr>
          <w:ilvl w:val="0"/>
          <w:numId w:val="8"/>
        </w:numPr>
        <w:contextualSpacing/>
        <w:rPr>
          <w:rFonts w:ascii="Book Antiqua" w:hAnsi="Book Antiqua"/>
          <w:bCs/>
        </w:rPr>
      </w:pPr>
      <w:r w:rsidRPr="00434AF5">
        <w:rPr>
          <w:rFonts w:ascii="Book Antiqua" w:hAnsi="Book Antiqua"/>
          <w:bCs/>
        </w:rPr>
        <w:t>The Settlement Agreement should be adopted because it is consistent with applicable law and because nothing in the settlement agreement contravenes any statute or Commission’s statute or rule.</w:t>
      </w:r>
    </w:p>
    <w:p w:rsidRPr="00434AF5" w:rsidR="009E1084" w:rsidP="009E1084" w:rsidRDefault="009E1084" w14:paraId="7F3AD990" w14:textId="77777777">
      <w:pPr>
        <w:pStyle w:val="ListParagraph"/>
        <w:ind w:left="0"/>
        <w:contextualSpacing/>
        <w:rPr>
          <w:rFonts w:ascii="Book Antiqua" w:hAnsi="Book Antiqua"/>
          <w:bCs/>
        </w:rPr>
      </w:pPr>
    </w:p>
    <w:p w:rsidRPr="00434AF5" w:rsidR="009E1084" w:rsidP="009E1084" w:rsidRDefault="009E1084" w14:paraId="0FB955A9" w14:textId="77777777">
      <w:pPr>
        <w:pStyle w:val="ListParagraph"/>
        <w:numPr>
          <w:ilvl w:val="0"/>
          <w:numId w:val="8"/>
        </w:numPr>
        <w:contextualSpacing/>
        <w:rPr>
          <w:rFonts w:ascii="Book Antiqua" w:hAnsi="Book Antiqua"/>
          <w:bCs/>
        </w:rPr>
      </w:pPr>
      <w:r w:rsidRPr="00434AF5">
        <w:rPr>
          <w:rFonts w:ascii="Book Antiqua" w:hAnsi="Book Antiqua"/>
          <w:bCs/>
        </w:rPr>
        <w:lastRenderedPageBreak/>
        <w:t xml:space="preserve">The Settlement Agreement should be adopted because it avoids the time, expense, and uncertainty of further litigation and resolves the matter and affirms the importance of adhering to Commission’s rules and orders. </w:t>
      </w:r>
    </w:p>
    <w:p w:rsidRPr="00434AF5" w:rsidR="009E1084" w:rsidP="009E1084" w:rsidRDefault="009E1084" w14:paraId="5418010C" w14:textId="77777777">
      <w:pPr>
        <w:pStyle w:val="ListParagraph"/>
        <w:ind w:left="0"/>
        <w:contextualSpacing/>
        <w:rPr>
          <w:rFonts w:ascii="Book Antiqua" w:hAnsi="Book Antiqua"/>
          <w:bCs/>
        </w:rPr>
      </w:pPr>
    </w:p>
    <w:p w:rsidRPr="00434AF5" w:rsidR="009E1084" w:rsidP="009E1084" w:rsidRDefault="009E1084" w14:paraId="37ECFC3B" w14:textId="77777777">
      <w:pPr>
        <w:pStyle w:val="ListParagraph"/>
        <w:numPr>
          <w:ilvl w:val="0"/>
          <w:numId w:val="8"/>
        </w:numPr>
        <w:contextualSpacing/>
        <w:rPr>
          <w:rFonts w:ascii="Book Antiqua" w:hAnsi="Book Antiqua"/>
          <w:bCs/>
        </w:rPr>
      </w:pPr>
      <w:r w:rsidRPr="00434AF5">
        <w:rPr>
          <w:rFonts w:ascii="Book Antiqua" w:hAnsi="Book Antiqua"/>
          <w:bCs/>
        </w:rPr>
        <w:t xml:space="preserve">The Settlement Agreement should be adopted because it is reasonable, consistent with law, and in the public interest. </w:t>
      </w:r>
    </w:p>
    <w:p w:rsidRPr="00434AF5" w:rsidR="009E1084" w:rsidP="009E1084" w:rsidRDefault="009E1084" w14:paraId="1995393B" w14:textId="77777777">
      <w:pPr>
        <w:pStyle w:val="ListParagraph"/>
        <w:ind w:left="0"/>
        <w:contextualSpacing/>
        <w:rPr>
          <w:rFonts w:ascii="Book Antiqua" w:hAnsi="Book Antiqua"/>
          <w:bCs/>
        </w:rPr>
      </w:pPr>
    </w:p>
    <w:p w:rsidRPr="00434AF5" w:rsidR="009E1084" w:rsidP="009E1084" w:rsidRDefault="009E1084" w14:paraId="0CC13F17" w14:textId="4B4C485C">
      <w:pPr>
        <w:pStyle w:val="ListParagraph"/>
        <w:numPr>
          <w:ilvl w:val="0"/>
          <w:numId w:val="8"/>
        </w:numPr>
        <w:contextualSpacing/>
        <w:rPr>
          <w:rFonts w:ascii="Book Antiqua" w:hAnsi="Book Antiqua"/>
          <w:bCs/>
        </w:rPr>
      </w:pPr>
      <w:r w:rsidRPr="00434AF5">
        <w:rPr>
          <w:rFonts w:ascii="Book Antiqua" w:hAnsi="Book Antiqua"/>
          <w:bCs/>
        </w:rPr>
        <w:t xml:space="preserve">The Settlement Agreement should be approved and SoCalGas should be directed to make $1,250,000 payment to the </w:t>
      </w:r>
      <w:r w:rsidR="00076F4C">
        <w:rPr>
          <w:rFonts w:ascii="Book Antiqua" w:hAnsi="Book Antiqua"/>
          <w:bCs/>
        </w:rPr>
        <w:t>State’s</w:t>
      </w:r>
      <w:r w:rsidRPr="00434AF5" w:rsidR="00076F4C">
        <w:rPr>
          <w:rFonts w:ascii="Book Antiqua" w:hAnsi="Book Antiqua"/>
          <w:bCs/>
        </w:rPr>
        <w:t xml:space="preserve"> </w:t>
      </w:r>
      <w:r w:rsidRPr="00434AF5">
        <w:rPr>
          <w:rFonts w:ascii="Book Antiqua" w:hAnsi="Book Antiqua"/>
          <w:bCs/>
        </w:rPr>
        <w:t>General Fund within thirty days of adoption of this resolution.</w:t>
      </w:r>
    </w:p>
    <w:p w:rsidRPr="00434AF5" w:rsidR="009E1084" w:rsidP="009E1084" w:rsidRDefault="009E1084" w14:paraId="6C9E00BD" w14:textId="77777777">
      <w:pPr>
        <w:pStyle w:val="ListParagraph"/>
        <w:ind w:left="0"/>
        <w:contextualSpacing/>
        <w:rPr>
          <w:rFonts w:ascii="Book Antiqua" w:hAnsi="Book Antiqua"/>
          <w:bCs/>
        </w:rPr>
      </w:pPr>
    </w:p>
    <w:p w:rsidRPr="00E950D6" w:rsidR="009E1084" w:rsidP="00E950D6" w:rsidRDefault="009E1084" w14:paraId="048F3306" w14:textId="77777777">
      <w:pPr>
        <w:pStyle w:val="ListParagraph"/>
        <w:numPr>
          <w:ilvl w:val="0"/>
          <w:numId w:val="8"/>
        </w:numPr>
        <w:spacing w:after="240"/>
        <w:contextualSpacing/>
        <w:rPr>
          <w:rFonts w:ascii="Book Antiqua" w:hAnsi="Book Antiqua"/>
        </w:rPr>
      </w:pPr>
      <w:r w:rsidRPr="00E950D6">
        <w:rPr>
          <w:rFonts w:ascii="Book Antiqua" w:hAnsi="Book Antiqua"/>
          <w:bCs/>
        </w:rPr>
        <w:t>The Settlement Agreement should be approved and SoCalGas should be directed to submit a report to SED, within one year from the date of adoption of this resolution, documenting what portion of the $700,000 in funds have been spent and on what, including how much pipe/fitting testing has occurred, and whether that testing resulted in replacements a</w:t>
      </w:r>
      <w:r w:rsidRPr="00E950D6" w:rsidR="002E7CF3">
        <w:rPr>
          <w:rFonts w:ascii="Book Antiqua" w:hAnsi="Book Antiqua"/>
          <w:bCs/>
        </w:rPr>
        <w:t xml:space="preserve">nd </w:t>
      </w:r>
      <w:r w:rsidRPr="00E950D6">
        <w:rPr>
          <w:rFonts w:ascii="Book Antiqua" w:hAnsi="Book Antiqua"/>
          <w:bCs/>
        </w:rPr>
        <w:t xml:space="preserve">other benefits derived therefrom.  </w:t>
      </w:r>
    </w:p>
    <w:p w:rsidRPr="00434AF5" w:rsidR="009E1084" w:rsidP="00E950D6" w:rsidRDefault="009E1084" w14:paraId="04A51113" w14:textId="77777777">
      <w:pPr>
        <w:spacing w:after="240"/>
        <w:rPr>
          <w:rFonts w:ascii="Book Antiqua" w:hAnsi="Book Antiqua"/>
        </w:rPr>
      </w:pPr>
      <w:r w:rsidRPr="00434AF5">
        <w:rPr>
          <w:rFonts w:ascii="Book Antiqua" w:hAnsi="Book Antiqua"/>
          <w:b/>
        </w:rPr>
        <w:t>THEREFORE, IT IS ORDERED</w:t>
      </w:r>
      <w:r w:rsidRPr="00434AF5">
        <w:rPr>
          <w:rFonts w:ascii="Book Antiqua" w:hAnsi="Book Antiqua"/>
        </w:rPr>
        <w:t xml:space="preserve"> that:</w:t>
      </w:r>
    </w:p>
    <w:p w:rsidRPr="00434AF5" w:rsidR="009E1084" w:rsidP="009E1084" w:rsidRDefault="009E1084" w14:paraId="4B8CB99A" w14:textId="77777777">
      <w:pPr>
        <w:numPr>
          <w:ilvl w:val="0"/>
          <w:numId w:val="6"/>
        </w:numPr>
        <w:rPr>
          <w:rFonts w:ascii="Book Antiqua" w:hAnsi="Book Antiqua"/>
        </w:rPr>
      </w:pPr>
      <w:r w:rsidRPr="00434AF5">
        <w:rPr>
          <w:rFonts w:ascii="Book Antiqua" w:hAnsi="Book Antiqua"/>
        </w:rPr>
        <w:t xml:space="preserve">The Joint Settlement Agreement resolving Citation </w:t>
      </w:r>
      <w:r w:rsidRPr="00434AF5" w:rsidR="006D0253">
        <w:rPr>
          <w:rFonts w:ascii="Book Antiqua" w:hAnsi="Book Antiqua"/>
        </w:rPr>
        <w:t xml:space="preserve">D.16-09-055 G.19-02-001 between Southern California Gas Company and the Safety and Enforcement Division is approved. </w:t>
      </w:r>
    </w:p>
    <w:p w:rsidRPr="00434AF5" w:rsidR="006D0253" w:rsidP="006D0253" w:rsidRDefault="006D0253" w14:paraId="70B92F85" w14:textId="77777777">
      <w:pPr>
        <w:ind w:left="360"/>
        <w:rPr>
          <w:rFonts w:ascii="Book Antiqua" w:hAnsi="Book Antiqua"/>
        </w:rPr>
      </w:pPr>
    </w:p>
    <w:p w:rsidRPr="00434AF5" w:rsidR="009E1084" w:rsidP="009E1084" w:rsidRDefault="006D0253" w14:paraId="0B60F4B6" w14:textId="0BDB9592">
      <w:pPr>
        <w:numPr>
          <w:ilvl w:val="0"/>
          <w:numId w:val="6"/>
        </w:numPr>
        <w:rPr>
          <w:rFonts w:ascii="Book Antiqua" w:hAnsi="Book Antiqua"/>
        </w:rPr>
      </w:pPr>
      <w:r w:rsidRPr="00434AF5">
        <w:rPr>
          <w:rFonts w:ascii="Book Antiqua" w:hAnsi="Book Antiqua"/>
        </w:rPr>
        <w:t>Southern California Gas Company (SoCalGas) shall pay a settlement payment of $1,250,000 by check or money order</w:t>
      </w:r>
      <w:r w:rsidR="00D8093F">
        <w:rPr>
          <w:rFonts w:ascii="Book Antiqua" w:hAnsi="Book Antiqua"/>
        </w:rPr>
        <w:t xml:space="preserve"> payable to the</w:t>
      </w:r>
      <w:r w:rsidRPr="00434AF5">
        <w:rPr>
          <w:rFonts w:ascii="Book Antiqua" w:hAnsi="Book Antiqua"/>
        </w:rPr>
        <w:t xml:space="preserve"> to the State of California’s General Fund</w:t>
      </w:r>
      <w:r w:rsidR="00D8093F">
        <w:rPr>
          <w:rFonts w:ascii="Book Antiqua" w:hAnsi="Book Antiqua"/>
        </w:rPr>
        <w:t xml:space="preserve"> and mailed or delivered to the Commission’s Fiscal Office at 505 Van Ness Avenue, Room 3000, San Francisco, CA 94102</w:t>
      </w:r>
      <w:r w:rsidRPr="00434AF5">
        <w:rPr>
          <w:rFonts w:ascii="Book Antiqua" w:hAnsi="Book Antiqua"/>
        </w:rPr>
        <w:t xml:space="preserve">.  Payment must be </w:t>
      </w:r>
      <w:r w:rsidR="00D8093F">
        <w:rPr>
          <w:rFonts w:ascii="Book Antiqua" w:hAnsi="Book Antiqua"/>
        </w:rPr>
        <w:t xml:space="preserve">mailed or delivered within 30 days of the effective date of this order.  </w:t>
      </w:r>
      <w:r w:rsidRPr="00434AF5">
        <w:rPr>
          <w:rFonts w:ascii="Book Antiqua" w:hAnsi="Book Antiqua"/>
        </w:rPr>
        <w:t>SoCalGas shall write on the face or check or money order “For deposit to the General Fund per Resolution ALJ-</w:t>
      </w:r>
      <w:r w:rsidR="00437287">
        <w:rPr>
          <w:rFonts w:ascii="Book Antiqua" w:hAnsi="Book Antiqua"/>
        </w:rPr>
        <w:t>392</w:t>
      </w:r>
      <w:r w:rsidRPr="00434AF5">
        <w:rPr>
          <w:rFonts w:ascii="Book Antiqua" w:hAnsi="Book Antiqua"/>
        </w:rPr>
        <w:t>.”</w:t>
      </w:r>
    </w:p>
    <w:p w:rsidRPr="00434AF5" w:rsidR="006D0253" w:rsidP="006D0253" w:rsidRDefault="006D0253" w14:paraId="2198931B" w14:textId="77777777">
      <w:pPr>
        <w:pStyle w:val="ListParagraph"/>
        <w:rPr>
          <w:rFonts w:ascii="Book Antiqua" w:hAnsi="Book Antiqua"/>
        </w:rPr>
      </w:pPr>
    </w:p>
    <w:p w:rsidRPr="00434AF5" w:rsidR="006D0253" w:rsidP="009E1084" w:rsidRDefault="006D0253" w14:paraId="755033FE" w14:textId="77777777">
      <w:pPr>
        <w:numPr>
          <w:ilvl w:val="0"/>
          <w:numId w:val="6"/>
        </w:numPr>
        <w:rPr>
          <w:rFonts w:ascii="Book Antiqua" w:hAnsi="Book Antiqua"/>
        </w:rPr>
      </w:pPr>
      <w:r w:rsidRPr="00434AF5">
        <w:rPr>
          <w:rFonts w:ascii="Book Antiqua" w:hAnsi="Book Antiqua"/>
        </w:rPr>
        <w:t>Within 90 days of adoption of this resolution, Southern California Gas Company shall develop a program which shall be financed by $700,000 in shareholder funds, to accelerate its soil sampling and pipe</w:t>
      </w:r>
      <w:r w:rsidRPr="00434AF5" w:rsidR="002E7CF3">
        <w:rPr>
          <w:rFonts w:ascii="Book Antiqua" w:hAnsi="Book Antiqua"/>
        </w:rPr>
        <w:t xml:space="preserve"> /</w:t>
      </w:r>
      <w:r w:rsidRPr="00434AF5">
        <w:rPr>
          <w:rFonts w:ascii="Book Antiqua" w:hAnsi="Book Antiqua"/>
        </w:rPr>
        <w:t xml:space="preserve"> fittin</w:t>
      </w:r>
      <w:r w:rsidRPr="00434AF5" w:rsidR="002E7CF3">
        <w:rPr>
          <w:rFonts w:ascii="Book Antiqua" w:hAnsi="Book Antiqua"/>
        </w:rPr>
        <w:t xml:space="preserve">g </w:t>
      </w:r>
      <w:r w:rsidRPr="00434AF5">
        <w:rPr>
          <w:rFonts w:ascii="Book Antiqua" w:hAnsi="Book Antiqua"/>
        </w:rPr>
        <w:t xml:space="preserve">testing.  </w:t>
      </w:r>
    </w:p>
    <w:p w:rsidRPr="00434AF5" w:rsidR="006D0253" w:rsidP="006D0253" w:rsidRDefault="006D0253" w14:paraId="20E79887" w14:textId="77777777">
      <w:pPr>
        <w:pStyle w:val="ListParagraph"/>
        <w:rPr>
          <w:rFonts w:ascii="Book Antiqua" w:hAnsi="Book Antiqua"/>
        </w:rPr>
      </w:pPr>
    </w:p>
    <w:p w:rsidR="006D0253" w:rsidP="009E1084" w:rsidRDefault="006D0253" w14:paraId="6FD33341" w14:textId="77777777">
      <w:pPr>
        <w:numPr>
          <w:ilvl w:val="0"/>
          <w:numId w:val="6"/>
        </w:numPr>
        <w:rPr>
          <w:rFonts w:ascii="Book Antiqua" w:hAnsi="Book Antiqua"/>
        </w:rPr>
      </w:pPr>
      <w:r w:rsidRPr="00434AF5">
        <w:rPr>
          <w:rFonts w:ascii="Book Antiqua" w:hAnsi="Book Antiqua"/>
        </w:rPr>
        <w:t xml:space="preserve">Within one year from the date of adoption of this resolution, Southern California Gas Company </w:t>
      </w:r>
      <w:r w:rsidRPr="00434AF5" w:rsidR="002E7CF3">
        <w:rPr>
          <w:rFonts w:ascii="Book Antiqua" w:hAnsi="Book Antiqua"/>
        </w:rPr>
        <w:t xml:space="preserve">(SoCalGas) </w:t>
      </w:r>
      <w:r w:rsidRPr="00434AF5">
        <w:rPr>
          <w:rFonts w:ascii="Book Antiqua" w:hAnsi="Book Antiqua"/>
        </w:rPr>
        <w:t xml:space="preserve">shall submit a report to the Commission’s Safety and Enforcement Division documenting what portion of the $700,000 in funds have been spent and on what, including how much pipe/fitting testing has occurred, and whether that testing resulted in replacements and other benefits derived therefrom.  SoCalGas shall file additional reports annually until the entire $700,000 has been spent. </w:t>
      </w:r>
    </w:p>
    <w:p w:rsidRPr="00434AF5" w:rsidR="00437287" w:rsidP="00437287" w:rsidRDefault="00437287" w14:paraId="14623801" w14:textId="77777777">
      <w:pPr>
        <w:ind w:left="720"/>
        <w:rPr>
          <w:rFonts w:ascii="Book Antiqua" w:hAnsi="Book Antiqua"/>
        </w:rPr>
      </w:pPr>
    </w:p>
    <w:p w:rsidRPr="00E950D6" w:rsidR="009E1084" w:rsidP="00E950D6" w:rsidRDefault="009E1084" w14:paraId="170B4DB7" w14:textId="77777777">
      <w:pPr>
        <w:numPr>
          <w:ilvl w:val="0"/>
          <w:numId w:val="6"/>
        </w:numPr>
        <w:spacing w:after="240"/>
        <w:rPr>
          <w:rFonts w:ascii="Book Antiqua" w:hAnsi="Book Antiqua"/>
        </w:rPr>
      </w:pPr>
      <w:r w:rsidRPr="00E950D6">
        <w:rPr>
          <w:rFonts w:ascii="Book Antiqua" w:hAnsi="Book Antiqua"/>
        </w:rPr>
        <w:t xml:space="preserve">This proceeding is closed. </w:t>
      </w:r>
    </w:p>
    <w:p w:rsidRPr="00434AF5" w:rsidR="002E7CF3" w:rsidP="00392EAB" w:rsidRDefault="009E1084" w14:paraId="27B126AB" w14:textId="77777777">
      <w:pPr>
        <w:keepNext/>
        <w:spacing w:after="240"/>
        <w:ind w:left="720"/>
        <w:rPr>
          <w:rFonts w:ascii="Book Antiqua" w:hAnsi="Book Antiqua"/>
          <w:sz w:val="26"/>
          <w:szCs w:val="26"/>
        </w:rPr>
      </w:pPr>
      <w:r w:rsidRPr="00257C00">
        <w:rPr>
          <w:rFonts w:ascii="Book Antiqua" w:hAnsi="Book Antiqua"/>
          <w:sz w:val="26"/>
          <w:szCs w:val="26"/>
        </w:rPr>
        <w:t>This resolution is effective today.</w:t>
      </w:r>
    </w:p>
    <w:p w:rsidR="00F82ACC" w:rsidP="00E950D6" w:rsidRDefault="002E7CF3" w14:paraId="52254902" w14:textId="77777777">
      <w:pPr>
        <w:keepNext/>
        <w:spacing w:after="240"/>
        <w:rPr>
          <w:rFonts w:ascii="Book Antiqua" w:hAnsi="Book Antiqua"/>
          <w:sz w:val="26"/>
          <w:szCs w:val="26"/>
        </w:rPr>
      </w:pPr>
      <w:r w:rsidRPr="00434AF5">
        <w:rPr>
          <w:rFonts w:ascii="Book Antiqua" w:hAnsi="Book Antiqua"/>
          <w:sz w:val="26"/>
          <w:szCs w:val="26"/>
        </w:rPr>
        <w:t xml:space="preserve">I certify that the foregoing resolution was duly introduced, passed, and adopted at a conference of the Public Utilities Commission of the State of California held on ______________, the following Commissioners voting favorable thereon: </w:t>
      </w:r>
    </w:p>
    <w:tbl>
      <w:tblPr>
        <w:tblW w:w="4140" w:type="dxa"/>
        <w:tblInd w:w="5418" w:type="dxa"/>
        <w:tblLayout w:type="fixed"/>
        <w:tblLook w:val="0000" w:firstRow="0" w:lastRow="0" w:firstColumn="0" w:lastColumn="0" w:noHBand="0" w:noVBand="0"/>
      </w:tblPr>
      <w:tblGrid>
        <w:gridCol w:w="4140"/>
      </w:tblGrid>
      <w:tr w:rsidRPr="00B160C1" w:rsidR="00E950D6" w:rsidTr="007A52CA" w14:paraId="619E757D" w14:textId="77777777">
        <w:tc>
          <w:tcPr>
            <w:tcW w:w="4140" w:type="dxa"/>
            <w:tcBorders>
              <w:bottom w:val="single" w:color="auto" w:sz="6" w:space="0"/>
            </w:tcBorders>
          </w:tcPr>
          <w:p w:rsidRPr="00B160C1" w:rsidR="00E950D6" w:rsidP="007A52CA" w:rsidRDefault="00E950D6" w14:paraId="7B6EB83A" w14:textId="77777777">
            <w:pPr>
              <w:jc w:val="center"/>
              <w:rPr>
                <w:rFonts w:ascii="Book Antiqua" w:hAnsi="Book Antiqua"/>
                <w:sz w:val="26"/>
                <w:szCs w:val="26"/>
              </w:rPr>
            </w:pPr>
          </w:p>
        </w:tc>
      </w:tr>
      <w:tr w:rsidRPr="00B160C1" w:rsidR="00E950D6" w:rsidTr="007A52CA" w14:paraId="0DCA4E55" w14:textId="77777777">
        <w:tc>
          <w:tcPr>
            <w:tcW w:w="4140" w:type="dxa"/>
          </w:tcPr>
          <w:p w:rsidRPr="007364B5" w:rsidR="00E950D6" w:rsidP="007A52CA" w:rsidRDefault="00E950D6" w14:paraId="170E3652" w14:textId="77777777">
            <w:pPr>
              <w:jc w:val="center"/>
              <w:rPr>
                <w:rFonts w:ascii="Book Antiqua" w:hAnsi="Book Antiqua"/>
                <w:sz w:val="26"/>
                <w:szCs w:val="26"/>
              </w:rPr>
            </w:pPr>
            <w:r w:rsidRPr="007364B5">
              <w:rPr>
                <w:rFonts w:ascii="Book Antiqua" w:hAnsi="Book Antiqua"/>
                <w:sz w:val="26"/>
                <w:szCs w:val="26"/>
              </w:rPr>
              <w:t>Rachel Peterson</w:t>
            </w:r>
          </w:p>
          <w:p w:rsidRPr="00B160C1" w:rsidR="00E950D6" w:rsidP="007A52CA" w:rsidRDefault="00E950D6" w14:paraId="1746AF93" w14:textId="77777777">
            <w:pPr>
              <w:jc w:val="center"/>
              <w:rPr>
                <w:rFonts w:ascii="Book Antiqua" w:hAnsi="Book Antiqua"/>
                <w:sz w:val="26"/>
                <w:szCs w:val="26"/>
              </w:rPr>
            </w:pPr>
            <w:r w:rsidRPr="007364B5">
              <w:rPr>
                <w:rFonts w:ascii="Book Antiqua" w:hAnsi="Book Antiqua"/>
                <w:sz w:val="26"/>
                <w:szCs w:val="26"/>
              </w:rPr>
              <w:t>Acting Executive Director</w:t>
            </w:r>
          </w:p>
        </w:tc>
      </w:tr>
    </w:tbl>
    <w:p w:rsidRPr="00434AF5" w:rsidR="00E950D6" w:rsidP="00E950D6" w:rsidRDefault="00E950D6" w14:paraId="252BC1A3" w14:textId="77777777">
      <w:pPr>
        <w:keepNext/>
        <w:spacing w:after="240"/>
        <w:rPr>
          <w:rFonts w:ascii="Book Antiqua" w:hAnsi="Book Antiqua"/>
          <w:sz w:val="26"/>
          <w:szCs w:val="26"/>
        </w:rPr>
      </w:pPr>
    </w:p>
    <w:p w:rsidRPr="00434AF5" w:rsidR="005F2F92" w:rsidP="009428DD" w:rsidRDefault="005F2F92" w14:paraId="1AB04AE1" w14:textId="77777777">
      <w:pPr>
        <w:ind w:firstLine="4680"/>
        <w:rPr>
          <w:rFonts w:ascii="Book Antiqua" w:hAnsi="Book Antiqua"/>
          <w:sz w:val="26"/>
        </w:rPr>
      </w:pPr>
    </w:p>
    <w:p w:rsidRPr="00434AF5" w:rsidR="005F2F92" w:rsidP="009428DD" w:rsidRDefault="005F2F92" w14:paraId="78356A35" w14:textId="77777777">
      <w:pPr>
        <w:ind w:firstLine="4680"/>
        <w:rPr>
          <w:rFonts w:ascii="Book Antiqua" w:hAnsi="Book Antiqua"/>
          <w:sz w:val="26"/>
        </w:rPr>
      </w:pPr>
    </w:p>
    <w:p w:rsidRPr="00DD2B12" w:rsidR="009428DD" w:rsidRDefault="009428DD" w14:paraId="3438769B" w14:textId="77777777">
      <w:pPr>
        <w:rPr>
          <w:sz w:val="26"/>
          <w:szCs w:val="26"/>
        </w:rPr>
        <w:sectPr w:rsidRPr="00DD2B12" w:rsidR="009428DD" w:rsidSect="00565B0E">
          <w:pgSz w:w="12240" w:h="15840" w:code="1"/>
          <w:pgMar w:top="1440" w:right="1440" w:bottom="1440" w:left="1440" w:header="720" w:footer="720" w:gutter="0"/>
          <w:pgNumType w:fmt="numberInDash"/>
          <w:cols w:space="720"/>
          <w:titlePg/>
        </w:sectPr>
      </w:pPr>
    </w:p>
    <w:p w:rsidRPr="00DB7233" w:rsidR="005058AB" w:rsidP="005058AB" w:rsidRDefault="005058AB" w14:paraId="752ADBD1" w14:textId="77777777">
      <w:pPr>
        <w:pStyle w:val="titlebar"/>
        <w:keepNext w:val="0"/>
        <w:jc w:val="left"/>
        <w:rPr>
          <w:rFonts w:ascii="Arial" w:hAnsi="Arial" w:cs="Arial"/>
          <w:sz w:val="24"/>
        </w:rPr>
      </w:pPr>
      <w:r w:rsidRPr="00DB7233">
        <w:rPr>
          <w:rFonts w:ascii="Arial" w:hAnsi="Arial" w:cs="Arial"/>
          <w:sz w:val="24"/>
        </w:rPr>
        <w:lastRenderedPageBreak/>
        <w:t>BEFORE THE PUBLIC UTILITIES COMMISSION OF THE STATE OF CALIFORNIA</w:t>
      </w:r>
    </w:p>
    <w:p w:rsidRPr="006A36D3" w:rsidR="005058AB" w:rsidP="005058AB" w:rsidRDefault="005058AB" w14:paraId="083FD405" w14:textId="77777777">
      <w:pPr>
        <w:suppressAutoHyphens/>
        <w:rPr>
          <w:rFonts w:ascii="Book Antiqua" w:hAnsi="Book Antiqua"/>
        </w:rPr>
      </w:pPr>
    </w:p>
    <w:p w:rsidRPr="006A36D3" w:rsidR="005058AB" w:rsidP="005058AB" w:rsidRDefault="005058AB" w14:paraId="13B5774C" w14:textId="77777777">
      <w:pPr>
        <w:suppressAutoHyphens/>
        <w:rPr>
          <w:rFonts w:ascii="Book Antiqua" w:hAnsi="Book Antiqua"/>
        </w:rPr>
      </w:pPr>
    </w:p>
    <w:p w:rsidRPr="006A36D3" w:rsidR="005058AB" w:rsidP="005058AB" w:rsidRDefault="005058AB" w14:paraId="33AE49EB" w14:textId="77777777">
      <w:pPr>
        <w:pStyle w:val="BlockText"/>
        <w:rPr>
          <w:rFonts w:ascii="Book Antiqua" w:hAnsi="Book Antiqua"/>
          <w:u w:val="single"/>
        </w:rPr>
      </w:pPr>
      <w:r w:rsidRPr="006A36D3">
        <w:rPr>
          <w:rFonts w:ascii="Book Antiqua" w:hAnsi="Book Antiqua"/>
        </w:rPr>
        <w:t>RESOLUTION ALJ-39</w:t>
      </w:r>
      <w:r>
        <w:rPr>
          <w:rFonts w:ascii="Book Antiqua" w:hAnsi="Book Antiqua"/>
        </w:rPr>
        <w:t>2</w:t>
      </w:r>
      <w:r w:rsidRPr="006A36D3">
        <w:rPr>
          <w:rFonts w:ascii="Book Antiqua" w:hAnsi="Book Antiqua"/>
        </w:rPr>
        <w:t xml:space="preserve"> </w:t>
      </w:r>
      <w:r w:rsidRPr="00434AF5">
        <w:rPr>
          <w:rFonts w:ascii="Book Antiqua" w:hAnsi="Book Antiqua"/>
        </w:rPr>
        <w:t>Resolves the Appeal K.19-03-001 of Citation No. D.16-09-055 G.19-02-001 of Southern California Gas Company (</w:t>
      </w:r>
      <w:r w:rsidRPr="00257C00">
        <w:rPr>
          <w:rFonts w:ascii="Book Antiqua" w:hAnsi="Book Antiqua"/>
        </w:rPr>
        <w:t>U904G)</w:t>
      </w:r>
      <w:r>
        <w:rPr>
          <w:rFonts w:ascii="Book Antiqua" w:hAnsi="Book Antiqua"/>
        </w:rPr>
        <w:t xml:space="preserve"> </w:t>
      </w:r>
    </w:p>
    <w:p w:rsidRPr="006A36D3" w:rsidR="005058AB" w:rsidP="005058AB" w:rsidRDefault="005058AB" w14:paraId="405695C3" w14:textId="77777777">
      <w:pPr>
        <w:suppressAutoHyphens/>
        <w:rPr>
          <w:rFonts w:ascii="Book Antiqua" w:hAnsi="Book Antiqua"/>
        </w:rPr>
      </w:pPr>
    </w:p>
    <w:p w:rsidRPr="006A36D3" w:rsidR="005058AB" w:rsidP="005058AB" w:rsidRDefault="005058AB" w14:paraId="54BC2810" w14:textId="77777777">
      <w:pPr>
        <w:pStyle w:val="main"/>
        <w:rPr>
          <w:rFonts w:ascii="Book Antiqua" w:hAnsi="Book Antiqua" w:cs="Arial"/>
          <w:szCs w:val="26"/>
        </w:rPr>
      </w:pPr>
      <w:r w:rsidRPr="006A36D3">
        <w:rPr>
          <w:rFonts w:ascii="Book Antiqua" w:hAnsi="Book Antiqua" w:cs="Arial"/>
          <w:szCs w:val="26"/>
        </w:rPr>
        <w:t>INFORMATION REGARDING SERVICE</w:t>
      </w:r>
    </w:p>
    <w:p w:rsidRPr="006A36D3" w:rsidR="005058AB" w:rsidP="005058AB" w:rsidRDefault="005058AB" w14:paraId="5159DFED" w14:textId="77777777">
      <w:pPr>
        <w:suppressAutoHyphens/>
        <w:rPr>
          <w:rFonts w:ascii="Book Antiqua" w:hAnsi="Book Antiqua"/>
          <w:szCs w:val="26"/>
        </w:rPr>
      </w:pPr>
    </w:p>
    <w:p w:rsidRPr="006A36D3" w:rsidR="005058AB" w:rsidP="005058AB" w:rsidRDefault="005058AB" w14:paraId="7FF0796F" w14:textId="77777777">
      <w:pPr>
        <w:pStyle w:val="standard"/>
        <w:rPr>
          <w:rFonts w:ascii="Book Antiqua" w:hAnsi="Book Antiqua"/>
        </w:rPr>
      </w:pPr>
      <w:r w:rsidRPr="006A36D3">
        <w:rPr>
          <w:rFonts w:ascii="Book Antiqua" w:hAnsi="Book Antiqua"/>
        </w:rPr>
        <w:t xml:space="preserve">I have electronically served all persons on the attached official service list who have provided an e-mail address for </w:t>
      </w:r>
      <w:r w:rsidRPr="00434AF5">
        <w:rPr>
          <w:rFonts w:ascii="Book Antiqua" w:hAnsi="Book Antiqua"/>
        </w:rPr>
        <w:t>K.19-03-001</w:t>
      </w:r>
      <w:r w:rsidRPr="006A36D3">
        <w:rPr>
          <w:rFonts w:ascii="Book Antiqua" w:hAnsi="Book Antiqua"/>
        </w:rPr>
        <w:t>.</w:t>
      </w:r>
    </w:p>
    <w:p w:rsidRPr="006A36D3" w:rsidR="005058AB" w:rsidP="005058AB" w:rsidRDefault="005058AB" w14:paraId="476F9E92" w14:textId="77777777">
      <w:pPr>
        <w:pStyle w:val="standard"/>
        <w:rPr>
          <w:rFonts w:ascii="Book Antiqua" w:hAnsi="Book Antiqua"/>
        </w:rPr>
      </w:pPr>
      <w:r w:rsidRPr="006A36D3">
        <w:rPr>
          <w:rFonts w:ascii="Book Antiqua" w:hAnsi="Book Antiqua"/>
        </w:rPr>
        <w:t>Upon confirmation of this document’s acceptance for filing, I will cause a copy of the filed document to be served by U.S. mail on all parties listed in the “Party” category of the official service list for whom no e-mail address is provided.</w:t>
      </w:r>
    </w:p>
    <w:p w:rsidRPr="006A36D3" w:rsidR="005058AB" w:rsidP="005058AB" w:rsidRDefault="005058AB" w14:paraId="20231BA3" w14:textId="6A9CEB37">
      <w:pPr>
        <w:pStyle w:val="standard"/>
        <w:rPr>
          <w:rFonts w:ascii="Book Antiqua" w:hAnsi="Book Antiqua"/>
        </w:rPr>
      </w:pPr>
      <w:r w:rsidRPr="006A36D3">
        <w:rPr>
          <w:rFonts w:ascii="Book Antiqua" w:hAnsi="Book Antiqua"/>
        </w:rPr>
        <w:t>Dated</w:t>
      </w:r>
      <w:r w:rsidR="00392EAB">
        <w:rPr>
          <w:rFonts w:ascii="Book Antiqua" w:hAnsi="Book Antiqua"/>
        </w:rPr>
        <w:t xml:space="preserve"> </w:t>
      </w:r>
      <w:r w:rsidR="00832CAD">
        <w:rPr>
          <w:rFonts w:ascii="Book Antiqua" w:hAnsi="Book Antiqua"/>
        </w:rPr>
        <w:t>November 16, 2020</w:t>
      </w:r>
      <w:r w:rsidRPr="006A36D3">
        <w:rPr>
          <w:rFonts w:ascii="Book Antiqua" w:hAnsi="Book Antiqua"/>
        </w:rPr>
        <w:t>, at San Francisco, California.</w:t>
      </w:r>
    </w:p>
    <w:p w:rsidRPr="006A36D3" w:rsidR="005058AB" w:rsidP="005058AB" w:rsidRDefault="005058AB" w14:paraId="7DE7F276" w14:textId="77777777">
      <w:pPr>
        <w:rPr>
          <w:rFonts w:ascii="Book Antiqua" w:hAnsi="Book Antiqua"/>
        </w:rPr>
      </w:pPr>
    </w:p>
    <w:p w:rsidRPr="006A36D3" w:rsidR="005058AB" w:rsidP="005058AB" w:rsidRDefault="005058AB" w14:paraId="464D8630" w14:textId="77777777">
      <w:pPr>
        <w:rPr>
          <w:rFonts w:ascii="Book Antiqua" w:hAnsi="Book Antiqua"/>
        </w:rPr>
      </w:pPr>
    </w:p>
    <w:tbl>
      <w:tblPr>
        <w:tblW w:w="0" w:type="auto"/>
        <w:tblInd w:w="4878" w:type="dxa"/>
        <w:tblLayout w:type="fixed"/>
        <w:tblLook w:val="0000" w:firstRow="0" w:lastRow="0" w:firstColumn="0" w:lastColumn="0" w:noHBand="0" w:noVBand="0"/>
      </w:tblPr>
      <w:tblGrid>
        <w:gridCol w:w="4050"/>
      </w:tblGrid>
      <w:tr w:rsidRPr="006A36D3" w:rsidR="005058AB" w:rsidTr="00035F55" w14:paraId="53E4A96E" w14:textId="77777777">
        <w:tc>
          <w:tcPr>
            <w:tcW w:w="4050" w:type="dxa"/>
            <w:tcBorders>
              <w:bottom w:val="single" w:color="auto" w:sz="6" w:space="0"/>
            </w:tcBorders>
          </w:tcPr>
          <w:p w:rsidRPr="006A36D3" w:rsidR="005058AB" w:rsidP="00035F55" w:rsidRDefault="005058AB" w14:paraId="2721B9E1" w14:textId="77777777">
            <w:pPr>
              <w:jc w:val="center"/>
              <w:rPr>
                <w:rFonts w:ascii="Book Antiqua" w:hAnsi="Book Antiqua"/>
                <w:szCs w:val="26"/>
              </w:rPr>
            </w:pPr>
            <w:r w:rsidRPr="006A36D3">
              <w:rPr>
                <w:rFonts w:ascii="Book Antiqua" w:hAnsi="Book Antiqua"/>
                <w:szCs w:val="26"/>
              </w:rPr>
              <w:t>/s/   SHANE GUTTO</w:t>
            </w:r>
          </w:p>
        </w:tc>
      </w:tr>
      <w:tr w:rsidRPr="006A36D3" w:rsidR="005058AB" w:rsidTr="00035F55" w14:paraId="167CD39D" w14:textId="77777777">
        <w:tc>
          <w:tcPr>
            <w:tcW w:w="4050" w:type="dxa"/>
          </w:tcPr>
          <w:p w:rsidRPr="006A36D3" w:rsidR="005058AB" w:rsidP="00035F55" w:rsidRDefault="005058AB" w14:paraId="0644BFC0" w14:textId="77777777">
            <w:pPr>
              <w:jc w:val="center"/>
              <w:rPr>
                <w:rFonts w:ascii="Book Antiqua" w:hAnsi="Book Antiqua"/>
                <w:szCs w:val="26"/>
              </w:rPr>
            </w:pPr>
            <w:r w:rsidRPr="006A36D3">
              <w:rPr>
                <w:rFonts w:ascii="Book Antiqua" w:hAnsi="Book Antiqua"/>
                <w:szCs w:val="26"/>
              </w:rPr>
              <w:t>Shane Gutto</w:t>
            </w:r>
          </w:p>
        </w:tc>
      </w:tr>
    </w:tbl>
    <w:p w:rsidRPr="006A36D3" w:rsidR="005058AB" w:rsidP="005058AB" w:rsidRDefault="005058AB" w14:paraId="4DCEDD9D" w14:textId="77777777">
      <w:pPr>
        <w:autoSpaceDE w:val="0"/>
        <w:autoSpaceDN w:val="0"/>
        <w:adjustRightInd w:val="0"/>
        <w:jc w:val="center"/>
        <w:rPr>
          <w:rFonts w:ascii="Book Antiqua" w:hAnsi="Book Antiqua" w:cs="Helvetica"/>
          <w:b/>
          <w:bCs/>
          <w:spacing w:val="120"/>
          <w:szCs w:val="26"/>
        </w:rPr>
        <w:sectPr w:rsidRPr="006A36D3" w:rsidR="005058AB" w:rsidSect="00035F55">
          <w:headerReference w:type="default" r:id="rId19"/>
          <w:footerReference w:type="default" r:id="rId20"/>
          <w:headerReference w:type="first" r:id="rId21"/>
          <w:footerReference w:type="first" r:id="rId22"/>
          <w:pgSz w:w="12240" w:h="15840"/>
          <w:pgMar w:top="1728" w:right="1440" w:bottom="1440" w:left="1440" w:header="720" w:footer="720" w:gutter="0"/>
          <w:pgNumType w:fmt="numberInDash" w:start="2"/>
          <w:cols w:space="720"/>
          <w:titlePg/>
          <w:docGrid w:linePitch="360"/>
        </w:sectPr>
      </w:pPr>
    </w:p>
    <w:p w:rsidRPr="006A36D3" w:rsidR="005058AB" w:rsidP="005058AB" w:rsidRDefault="005058AB" w14:paraId="1418B6FD" w14:textId="77777777">
      <w:pPr>
        <w:autoSpaceDE w:val="0"/>
        <w:autoSpaceDN w:val="0"/>
        <w:adjustRightInd w:val="0"/>
        <w:jc w:val="center"/>
        <w:rPr>
          <w:rFonts w:ascii="Book Antiqua" w:hAnsi="Book Antiqua" w:cs="Helvetica"/>
          <w:b/>
          <w:bCs/>
          <w:spacing w:val="120"/>
          <w:szCs w:val="26"/>
        </w:rPr>
        <w:sectPr w:rsidRPr="006A36D3" w:rsidR="005058AB" w:rsidSect="00035F55">
          <w:headerReference w:type="first" r:id="rId23"/>
          <w:footerReference w:type="first" r:id="rId24"/>
          <w:type w:val="continuous"/>
          <w:pgSz w:w="12240" w:h="15840"/>
          <w:pgMar w:top="1728" w:right="1440" w:bottom="1440" w:left="1440" w:header="720" w:footer="720" w:gutter="0"/>
          <w:pgNumType w:fmt="numberInDash" w:start="1"/>
          <w:cols w:space="720"/>
          <w:titlePg/>
          <w:docGrid w:linePitch="360"/>
        </w:sectPr>
      </w:pPr>
    </w:p>
    <w:p w:rsidRPr="006A36D3" w:rsidR="005058AB" w:rsidP="005058AB" w:rsidRDefault="005058AB" w14:paraId="1330D16B" w14:textId="77777777">
      <w:pPr>
        <w:autoSpaceDE w:val="0"/>
        <w:autoSpaceDN w:val="0"/>
        <w:adjustRightInd w:val="0"/>
        <w:jc w:val="center"/>
        <w:rPr>
          <w:rFonts w:ascii="Book Antiqua" w:hAnsi="Book Antiqua" w:cs="Arial"/>
          <w:b/>
          <w:bCs/>
          <w:spacing w:val="120"/>
          <w:szCs w:val="26"/>
        </w:rPr>
      </w:pPr>
      <w:r w:rsidRPr="006A36D3">
        <w:rPr>
          <w:rFonts w:ascii="Book Antiqua" w:hAnsi="Book Antiqua" w:cs="Arial"/>
          <w:b/>
          <w:bCs/>
          <w:spacing w:val="120"/>
          <w:szCs w:val="26"/>
        </w:rPr>
        <w:lastRenderedPageBreak/>
        <w:t>NOTICE</w:t>
      </w:r>
    </w:p>
    <w:p w:rsidRPr="006A36D3" w:rsidR="005058AB" w:rsidP="005058AB" w:rsidRDefault="005058AB" w14:paraId="52DEB09D" w14:textId="77777777">
      <w:pPr>
        <w:autoSpaceDE w:val="0"/>
        <w:autoSpaceDN w:val="0"/>
        <w:adjustRightInd w:val="0"/>
        <w:rPr>
          <w:rFonts w:ascii="Book Antiqua" w:hAnsi="Book Antiqua" w:cs="Helvetica"/>
          <w:szCs w:val="24"/>
        </w:rPr>
      </w:pPr>
    </w:p>
    <w:p w:rsidRPr="006A36D3" w:rsidR="005058AB" w:rsidP="005058AB" w:rsidRDefault="005058AB" w14:paraId="442A6076" w14:textId="77777777">
      <w:pPr>
        <w:tabs>
          <w:tab w:val="left" w:pos="0"/>
        </w:tabs>
        <w:autoSpaceDE w:val="0"/>
        <w:autoSpaceDN w:val="0"/>
        <w:adjustRightInd w:val="0"/>
        <w:ind w:left="720" w:right="1080"/>
        <w:rPr>
          <w:rFonts w:ascii="Book Antiqua" w:hAnsi="Book Antiqua" w:cs="Arial"/>
          <w:szCs w:val="24"/>
        </w:rPr>
      </w:pPr>
      <w:r w:rsidRPr="006A36D3">
        <w:rPr>
          <w:rFonts w:ascii="Book Antiqua" w:hAnsi="Book Antiqua" w:cs="Arial"/>
          <w:szCs w:val="24"/>
        </w:rPr>
        <w:t>Persons should notify the Process Office, Public Utilities Commission, 505 Van Ness Avenue, Room 2000, San Francisco, CA  94102, of any change of address to ensure that they continue to receive documents.  You must indicate the proceeding number on the service list on which your name appears.</w:t>
      </w:r>
    </w:p>
    <w:p w:rsidRPr="006A36D3" w:rsidR="005058AB" w:rsidP="005058AB" w:rsidRDefault="005058AB" w14:paraId="28C35826" w14:textId="77777777">
      <w:pPr>
        <w:autoSpaceDE w:val="0"/>
        <w:autoSpaceDN w:val="0"/>
        <w:adjustRightInd w:val="0"/>
        <w:ind w:left="720" w:right="1080"/>
        <w:rPr>
          <w:rFonts w:ascii="Book Antiqua" w:hAnsi="Book Antiqua" w:cs="Arial"/>
          <w:szCs w:val="24"/>
        </w:rPr>
      </w:pPr>
    </w:p>
    <w:p w:rsidRPr="006A36D3" w:rsidR="005058AB" w:rsidP="005058AB" w:rsidRDefault="005058AB" w14:paraId="69197601" w14:textId="77777777">
      <w:pPr>
        <w:tabs>
          <w:tab w:val="left" w:pos="0"/>
        </w:tabs>
        <w:autoSpaceDE w:val="0"/>
        <w:autoSpaceDN w:val="0"/>
        <w:adjustRightInd w:val="0"/>
        <w:ind w:left="720" w:right="1080"/>
        <w:rPr>
          <w:rFonts w:ascii="Book Antiqua" w:hAnsi="Book Antiqua" w:cs="Arial"/>
          <w:szCs w:val="24"/>
        </w:rPr>
      </w:pPr>
      <w:r w:rsidRPr="006A36D3">
        <w:rPr>
          <w:rFonts w:ascii="Book Antiqua" w:hAnsi="Book Antiqua" w:cs="Arial"/>
          <w:szCs w:val="24"/>
        </w:rPr>
        <w:t xml:space="preserve">* * * * * * * * * * * * * * * * * * * * * * * * * * * * * * * * * * * * * * * * * * * * * * </w:t>
      </w:r>
    </w:p>
    <w:p w:rsidRPr="006A36D3" w:rsidR="005058AB" w:rsidP="005058AB" w:rsidRDefault="005058AB" w14:paraId="10D0FA27" w14:textId="77777777">
      <w:pPr>
        <w:tabs>
          <w:tab w:val="left" w:pos="0"/>
        </w:tabs>
        <w:autoSpaceDE w:val="0"/>
        <w:autoSpaceDN w:val="0"/>
        <w:adjustRightInd w:val="0"/>
        <w:ind w:left="720" w:right="1440"/>
        <w:rPr>
          <w:rFonts w:ascii="Book Antiqua" w:hAnsi="Book Antiqua" w:cs="Arial"/>
          <w:sz w:val="18"/>
          <w:szCs w:val="18"/>
        </w:rPr>
      </w:pPr>
    </w:p>
    <w:p w:rsidRPr="006A36D3" w:rsidR="005058AB" w:rsidP="005058AB" w:rsidRDefault="005058AB" w14:paraId="3C197253" w14:textId="77777777">
      <w:pPr>
        <w:tabs>
          <w:tab w:val="left" w:pos="0"/>
        </w:tabs>
        <w:autoSpaceDE w:val="0"/>
        <w:autoSpaceDN w:val="0"/>
        <w:adjustRightInd w:val="0"/>
        <w:ind w:left="720" w:right="900"/>
        <w:rPr>
          <w:rFonts w:ascii="Book Antiqua" w:hAnsi="Book Antiqua" w:cs="Arial"/>
          <w:szCs w:val="24"/>
        </w:rPr>
      </w:pPr>
      <w:r w:rsidRPr="006A36D3">
        <w:rPr>
          <w:rFonts w:ascii="Book Antiqua" w:hAnsi="Book Antiqua" w:cs="Arial"/>
          <w:szCs w:val="24"/>
        </w:rPr>
        <w:t>The Commission’s policy is to schedule hearings (meetings, workshops, etc.) in locations that are accessible to people with disabilities.  To verify that a particular location is accessible, call: Calendar Clerk (415) 703</w:t>
      </w:r>
      <w:r w:rsidRPr="006A36D3">
        <w:rPr>
          <w:rFonts w:ascii="Book Antiqua" w:hAnsi="Book Antiqua" w:cs="Arial"/>
          <w:szCs w:val="24"/>
        </w:rPr>
        <w:noBreakHyphen/>
        <w:t>1203.</w:t>
      </w:r>
    </w:p>
    <w:p w:rsidRPr="006A36D3" w:rsidR="005058AB" w:rsidP="005058AB" w:rsidRDefault="005058AB" w14:paraId="3743B0EC" w14:textId="77777777">
      <w:pPr>
        <w:tabs>
          <w:tab w:val="left" w:pos="0"/>
        </w:tabs>
        <w:autoSpaceDE w:val="0"/>
        <w:autoSpaceDN w:val="0"/>
        <w:adjustRightInd w:val="0"/>
        <w:ind w:left="720" w:right="900"/>
        <w:rPr>
          <w:rFonts w:ascii="Book Antiqua" w:hAnsi="Book Antiqua" w:cs="Arial"/>
          <w:szCs w:val="24"/>
        </w:rPr>
      </w:pPr>
    </w:p>
    <w:p w:rsidR="00762921" w:rsidP="005058AB" w:rsidRDefault="005058AB" w14:paraId="530BB56E" w14:textId="77777777">
      <w:pPr>
        <w:rPr>
          <w:rFonts w:ascii="Book Antiqua" w:hAnsi="Book Antiqua" w:cs="Arial"/>
          <w:szCs w:val="24"/>
        </w:rPr>
        <w:sectPr w:rsidR="00762921" w:rsidSect="005058AB">
          <w:headerReference w:type="default" r:id="rId25"/>
          <w:pgSz w:w="12240" w:h="15840"/>
          <w:pgMar w:top="1440" w:right="1440" w:bottom="1440" w:left="1440" w:header="720" w:footer="720" w:gutter="0"/>
          <w:pgNumType w:fmt="numberInDash"/>
          <w:cols w:space="720"/>
        </w:sectPr>
      </w:pPr>
      <w:r w:rsidRPr="006A36D3">
        <w:rPr>
          <w:rFonts w:ascii="Book Antiqua" w:hAnsi="Book Antiqua" w:cs="Arial"/>
          <w:szCs w:val="24"/>
        </w:rPr>
        <w:t>If specialized accommodations for the disabled are needed, e.g., sign language interpreters, those making the arrangements must call the Public Advisor at (415) 703</w:t>
      </w:r>
      <w:r w:rsidRPr="006A36D3">
        <w:rPr>
          <w:rFonts w:ascii="Book Antiqua" w:hAnsi="Book Antiqua" w:cs="Arial"/>
          <w:szCs w:val="24"/>
        </w:rPr>
        <w:noBreakHyphen/>
        <w:t>2074 or TDD# (415) 703-2032 five working days in advance of the event</w:t>
      </w: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762921" w:rsidTr="003A1612" w14:paraId="392F3C94" w14:textId="77777777">
        <w:tblPrEx>
          <w:tblCellMar>
            <w:top w:w="0" w:type="dxa"/>
            <w:bottom w:w="0" w:type="dxa"/>
          </w:tblCellMar>
        </w:tblPrEx>
        <w:tc>
          <w:tcPr>
            <w:tcW w:w="5400" w:type="dxa"/>
            <w:tcBorders>
              <w:top w:val="nil"/>
              <w:left w:val="nil"/>
              <w:bottom w:val="nil"/>
              <w:right w:val="nil"/>
            </w:tcBorders>
          </w:tcPr>
          <w:p w:rsidR="00762921" w:rsidP="003A1612" w:rsidRDefault="00762921" w14:paraId="033C0C04" w14:textId="77777777">
            <w:pPr>
              <w:rPr>
                <w:sz w:val="18"/>
                <w:szCs w:val="18"/>
              </w:rPr>
            </w:pPr>
            <w:r>
              <w:rPr>
                <w:b/>
                <w:bCs/>
                <w:sz w:val="18"/>
                <w:szCs w:val="18"/>
              </w:rPr>
              <w:lastRenderedPageBreak/>
              <w:t xml:space="preserve">************** PARTIES ************** </w:t>
            </w:r>
            <w:r>
              <w:rPr>
                <w:sz w:val="18"/>
                <w:szCs w:val="18"/>
              </w:rPr>
              <w:br/>
            </w:r>
            <w:r>
              <w:rPr>
                <w:sz w:val="18"/>
                <w:szCs w:val="18"/>
              </w:rPr>
              <w:br/>
              <w:t xml:space="preserve">Shanna Foley                                 </w:t>
            </w:r>
            <w:r>
              <w:rPr>
                <w:sz w:val="18"/>
                <w:szCs w:val="18"/>
              </w:rPr>
              <w:br/>
              <w:t xml:space="preserve">Legal Division                               </w:t>
            </w:r>
            <w:r>
              <w:rPr>
                <w:sz w:val="18"/>
                <w:szCs w:val="18"/>
              </w:rPr>
              <w:br/>
              <w:t xml:space="preserve">320 West 4th Street Suite 500                </w:t>
            </w:r>
            <w:r>
              <w:rPr>
                <w:sz w:val="18"/>
                <w:szCs w:val="18"/>
              </w:rPr>
              <w:br/>
              <w:t xml:space="preserve">Los Angeles CA 90013                         </w:t>
            </w:r>
            <w:r>
              <w:rPr>
                <w:sz w:val="18"/>
                <w:szCs w:val="18"/>
              </w:rPr>
              <w:br/>
              <w:t xml:space="preserve">(213) 620-2465                               </w:t>
            </w:r>
            <w:r>
              <w:rPr>
                <w:sz w:val="18"/>
                <w:szCs w:val="18"/>
              </w:rPr>
              <w:br/>
              <w:t xml:space="preserve">sf2@cpuc.ca.gov                              </w:t>
            </w:r>
            <w:r>
              <w:rPr>
                <w:sz w:val="18"/>
                <w:szCs w:val="18"/>
              </w:rPr>
              <w:br/>
              <w:t xml:space="preserve">For: SED                                                                                                                                                                                                                                                                                                                                                                                                                                                                                                                                                                                                                                                                                                                                                                                                                        </w:t>
            </w:r>
            <w:r>
              <w:rPr>
                <w:sz w:val="18"/>
                <w:szCs w:val="18"/>
              </w:rPr>
              <w:br/>
            </w:r>
            <w:r>
              <w:rPr>
                <w:sz w:val="18"/>
                <w:szCs w:val="18"/>
              </w:rPr>
              <w:br/>
              <w:t xml:space="preserve">Cranston Williams                            </w:t>
            </w:r>
            <w:r>
              <w:rPr>
                <w:sz w:val="18"/>
                <w:szCs w:val="18"/>
              </w:rPr>
              <w:br/>
              <w:t xml:space="preserve">Sr. Counsel                                  </w:t>
            </w:r>
            <w:r>
              <w:rPr>
                <w:sz w:val="18"/>
                <w:szCs w:val="18"/>
              </w:rPr>
              <w:br/>
              <w:t xml:space="preserve">SOUTHERN CALIFORNIA GAS COMPANY              </w:t>
            </w:r>
            <w:r>
              <w:rPr>
                <w:sz w:val="18"/>
                <w:szCs w:val="18"/>
              </w:rPr>
              <w:br/>
              <w:t xml:space="preserve">555 W. 5TH STREET, GT14G1                    </w:t>
            </w:r>
            <w:r>
              <w:rPr>
                <w:sz w:val="18"/>
                <w:szCs w:val="18"/>
              </w:rPr>
              <w:br/>
              <w:t xml:space="preserve">LOS ANGELES CA 90013                         </w:t>
            </w:r>
            <w:r>
              <w:rPr>
                <w:sz w:val="18"/>
                <w:szCs w:val="18"/>
              </w:rPr>
              <w:br/>
              <w:t xml:space="preserve">(213) 244-2943                               </w:t>
            </w:r>
            <w:r>
              <w:rPr>
                <w:sz w:val="18"/>
                <w:szCs w:val="18"/>
              </w:rPr>
              <w:br/>
              <w:t xml:space="preserve">CWilliams3@SoCalGas.com                      </w:t>
            </w:r>
            <w:r>
              <w:rPr>
                <w:sz w:val="18"/>
                <w:szCs w:val="18"/>
              </w:rPr>
              <w:br/>
              <w:t>For: Southern California Gas Company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Michael Cade                                 </w:t>
            </w:r>
            <w:r>
              <w:rPr>
                <w:sz w:val="18"/>
                <w:szCs w:val="18"/>
              </w:rPr>
              <w:br/>
              <w:t xml:space="preserve">Analyst - Energy &amp; </w:t>
            </w:r>
            <w:proofErr w:type="spellStart"/>
            <w:r>
              <w:rPr>
                <w:sz w:val="18"/>
                <w:szCs w:val="18"/>
              </w:rPr>
              <w:t>Nat'L</w:t>
            </w:r>
            <w:proofErr w:type="spellEnd"/>
            <w:r>
              <w:rPr>
                <w:sz w:val="18"/>
                <w:szCs w:val="18"/>
              </w:rPr>
              <w:t xml:space="preserve"> Resources           </w:t>
            </w:r>
            <w:r>
              <w:rPr>
                <w:sz w:val="18"/>
                <w:szCs w:val="18"/>
              </w:rPr>
              <w:br/>
              <w:t xml:space="preserve">BUCHALTER, A PROFESSIONAL CORPORATION        </w:t>
            </w:r>
            <w:r>
              <w:rPr>
                <w:sz w:val="18"/>
                <w:szCs w:val="18"/>
              </w:rPr>
              <w:br/>
              <w:t xml:space="preserve">55 SECOND STREET, SUITE 1700                 </w:t>
            </w:r>
            <w:r>
              <w:rPr>
                <w:sz w:val="18"/>
                <w:szCs w:val="18"/>
              </w:rPr>
              <w:br/>
              <w:t xml:space="preserve">SAN FRANCISCO CA 94105                       </w:t>
            </w:r>
            <w:r>
              <w:rPr>
                <w:sz w:val="18"/>
                <w:szCs w:val="18"/>
              </w:rPr>
              <w:br/>
              <w:t xml:space="preserve">(415) 227-3583                               </w:t>
            </w:r>
            <w:r>
              <w:rPr>
                <w:sz w:val="18"/>
                <w:szCs w:val="18"/>
              </w:rPr>
              <w:br/>
              <w:t xml:space="preserve">MCade@Buchalter.com                          </w:t>
            </w:r>
            <w:r>
              <w:rPr>
                <w:sz w:val="18"/>
                <w:szCs w:val="18"/>
              </w:rPr>
              <w:br/>
            </w:r>
            <w:r>
              <w:rPr>
                <w:sz w:val="18"/>
                <w:szCs w:val="18"/>
              </w:rPr>
              <w:br/>
              <w:t xml:space="preserve">Kenneth Bruno (Inactive)                     </w:t>
            </w:r>
            <w:r>
              <w:rPr>
                <w:sz w:val="18"/>
                <w:szCs w:val="18"/>
              </w:rPr>
              <w:br/>
              <w:t xml:space="preserve">Safety and Enforcement Division              </w:t>
            </w:r>
            <w:r>
              <w:rPr>
                <w:sz w:val="18"/>
                <w:szCs w:val="18"/>
              </w:rPr>
              <w:br/>
              <w:t xml:space="preserve">AREA 2-D                                     </w:t>
            </w:r>
            <w:r>
              <w:rPr>
                <w:sz w:val="18"/>
                <w:szCs w:val="18"/>
              </w:rPr>
              <w:br/>
              <w:t xml:space="preserve">320 West 4th Street Suite 500                </w:t>
            </w:r>
            <w:r>
              <w:rPr>
                <w:sz w:val="18"/>
                <w:szCs w:val="18"/>
              </w:rPr>
              <w:br/>
              <w:t xml:space="preserve">Los Angeles CA 90013                         </w:t>
            </w:r>
            <w:r>
              <w:rPr>
                <w:sz w:val="18"/>
                <w:szCs w:val="18"/>
              </w:rPr>
              <w:br/>
              <w:t xml:space="preserve">(213) 576-6297                               </w:t>
            </w:r>
            <w:r>
              <w:rPr>
                <w:sz w:val="18"/>
                <w:szCs w:val="18"/>
              </w:rPr>
              <w:br/>
              <w:t xml:space="preserve">kab@cpuc.ca.gov                              </w:t>
            </w:r>
            <w:r>
              <w:rPr>
                <w:sz w:val="18"/>
                <w:szCs w:val="18"/>
              </w:rPr>
              <w:br/>
            </w:r>
            <w:r>
              <w:rPr>
                <w:sz w:val="18"/>
                <w:szCs w:val="18"/>
              </w:rPr>
              <w:br/>
              <w:t xml:space="preserve">Sasha Goldberg                               </w:t>
            </w:r>
            <w:r>
              <w:rPr>
                <w:sz w:val="18"/>
                <w:szCs w:val="18"/>
              </w:rPr>
              <w:br/>
              <w:t xml:space="preserve">Administrative Law Judge Division            </w:t>
            </w:r>
            <w:r>
              <w:rPr>
                <w:sz w:val="18"/>
                <w:szCs w:val="18"/>
              </w:rPr>
              <w:br/>
              <w:t xml:space="preserve">320 West 4th Street Suite 500                </w:t>
            </w:r>
            <w:r>
              <w:rPr>
                <w:sz w:val="18"/>
                <w:szCs w:val="18"/>
              </w:rPr>
              <w:br/>
              <w:t xml:space="preserve">Los Angeles CA 90013                         </w:t>
            </w:r>
            <w:r>
              <w:rPr>
                <w:sz w:val="18"/>
                <w:szCs w:val="18"/>
              </w:rPr>
              <w:br/>
              <w:t xml:space="preserve">(415) 703-5340                               </w:t>
            </w:r>
            <w:r>
              <w:rPr>
                <w:sz w:val="18"/>
                <w:szCs w:val="18"/>
              </w:rPr>
              <w:br/>
              <w:t xml:space="preserve">sl5@cpuc.ca.gov                              </w:t>
            </w:r>
            <w:r>
              <w:rPr>
                <w:sz w:val="18"/>
                <w:szCs w:val="18"/>
              </w:rPr>
              <w:br/>
            </w:r>
            <w:r>
              <w:rPr>
                <w:sz w:val="18"/>
                <w:szCs w:val="18"/>
              </w:rPr>
              <w:br/>
              <w:t xml:space="preserve">Dennis M. Lee                                </w:t>
            </w:r>
            <w:r>
              <w:rPr>
                <w:sz w:val="18"/>
                <w:szCs w:val="18"/>
              </w:rPr>
              <w:br/>
              <w:t xml:space="preserve">Safety and Enforcement Division              </w:t>
            </w:r>
            <w:r>
              <w:rPr>
                <w:sz w:val="18"/>
                <w:szCs w:val="18"/>
              </w:rPr>
              <w:br/>
              <w:t xml:space="preserve">AREA 2-D                                     </w:t>
            </w:r>
            <w:r>
              <w:rPr>
                <w:sz w:val="18"/>
                <w:szCs w:val="18"/>
              </w:rPr>
              <w:br/>
              <w:t xml:space="preserve">505 Van Ness Avenue                          </w:t>
            </w:r>
            <w:r>
              <w:rPr>
                <w:sz w:val="18"/>
                <w:szCs w:val="18"/>
              </w:rPr>
              <w:br/>
              <w:t xml:space="preserve">San Francisco CA 94102 3298                  </w:t>
            </w:r>
            <w:r>
              <w:rPr>
                <w:sz w:val="18"/>
                <w:szCs w:val="18"/>
              </w:rPr>
              <w:br/>
              <w:t xml:space="preserve">(415) 703-2214                               </w:t>
            </w:r>
            <w:r>
              <w:rPr>
                <w:sz w:val="18"/>
                <w:szCs w:val="18"/>
              </w:rPr>
              <w:br/>
              <w:t xml:space="preserve">dml@cpuc.ca.gov                              </w:t>
            </w:r>
            <w:r>
              <w:rPr>
                <w:sz w:val="18"/>
                <w:szCs w:val="18"/>
              </w:rPr>
              <w:br/>
            </w:r>
            <w:r>
              <w:rPr>
                <w:sz w:val="18"/>
                <w:szCs w:val="18"/>
              </w:rPr>
              <w:lastRenderedPageBreak/>
              <w:br/>
            </w:r>
          </w:p>
        </w:tc>
        <w:tc>
          <w:tcPr>
            <w:tcW w:w="5400" w:type="dxa"/>
            <w:tcBorders>
              <w:top w:val="nil"/>
              <w:left w:val="nil"/>
              <w:bottom w:val="nil"/>
              <w:right w:val="nil"/>
            </w:tcBorders>
          </w:tcPr>
          <w:p w:rsidR="00762921" w:rsidP="003A1612" w:rsidRDefault="00762921" w14:paraId="31A59AC5" w14:textId="77777777">
            <w:pPr>
              <w:rPr>
                <w:sz w:val="18"/>
                <w:szCs w:val="18"/>
              </w:rPr>
            </w:pPr>
            <w:r>
              <w:rPr>
                <w:sz w:val="18"/>
                <w:szCs w:val="18"/>
              </w:rPr>
              <w:lastRenderedPageBreak/>
              <w:t xml:space="preserve">Elizaveta I. Malashenko                      </w:t>
            </w:r>
            <w:r>
              <w:rPr>
                <w:sz w:val="18"/>
                <w:szCs w:val="18"/>
              </w:rPr>
              <w:br/>
              <w:t xml:space="preserve">Safety and Enforcement Division              </w:t>
            </w:r>
            <w:r>
              <w:rPr>
                <w:sz w:val="18"/>
                <w:szCs w:val="18"/>
              </w:rPr>
              <w:br/>
              <w:t xml:space="preserve">RM. 11                                       </w:t>
            </w:r>
            <w:r>
              <w:rPr>
                <w:sz w:val="18"/>
                <w:szCs w:val="18"/>
              </w:rPr>
              <w:br/>
              <w:t xml:space="preserve">320 West 4th Street Suite 500                </w:t>
            </w:r>
            <w:r>
              <w:rPr>
                <w:sz w:val="18"/>
                <w:szCs w:val="18"/>
              </w:rPr>
              <w:br/>
              <w:t xml:space="preserve">Los Angeles CA 90013                         </w:t>
            </w:r>
            <w:r>
              <w:rPr>
                <w:sz w:val="18"/>
                <w:szCs w:val="18"/>
              </w:rPr>
              <w:br/>
              <w:t xml:space="preserve">(213) 266-4712                               </w:t>
            </w:r>
            <w:r>
              <w:rPr>
                <w:sz w:val="18"/>
                <w:szCs w:val="18"/>
              </w:rPr>
              <w:br/>
              <w:t xml:space="preserve">eim@cpuc.ca.gov                              </w:t>
            </w:r>
            <w:r>
              <w:rPr>
                <w:sz w:val="18"/>
                <w:szCs w:val="18"/>
              </w:rPr>
              <w:br/>
            </w:r>
            <w:r>
              <w:rPr>
                <w:sz w:val="18"/>
                <w:szCs w:val="18"/>
              </w:rPr>
              <w:br/>
              <w:t xml:space="preserve">Central Files                                </w:t>
            </w:r>
            <w:r>
              <w:rPr>
                <w:sz w:val="18"/>
                <w:szCs w:val="18"/>
              </w:rPr>
              <w:br/>
              <w:t xml:space="preserve">SAN DIEGO GAS &amp; ELECTRIC COMPANY             </w:t>
            </w:r>
            <w:r>
              <w:rPr>
                <w:sz w:val="18"/>
                <w:szCs w:val="18"/>
              </w:rPr>
              <w:br/>
              <w:t xml:space="preserve">8330 CENTURY PARK CT, CP31-E                 </w:t>
            </w:r>
            <w:r>
              <w:rPr>
                <w:sz w:val="18"/>
                <w:szCs w:val="18"/>
              </w:rPr>
              <w:br/>
              <w:t xml:space="preserve">SAN DIEGO CA 92123-1530                      </w:t>
            </w:r>
            <w:r>
              <w:rPr>
                <w:sz w:val="18"/>
                <w:szCs w:val="18"/>
              </w:rPr>
              <w:br/>
              <w:t xml:space="preserve">(858) 654-1240                               </w:t>
            </w:r>
            <w:r>
              <w:rPr>
                <w:sz w:val="18"/>
                <w:szCs w:val="18"/>
              </w:rPr>
              <w:br/>
              <w:t xml:space="preserve">CentralFiles@SempraUtilities.com             </w:t>
            </w:r>
            <w:r>
              <w:rPr>
                <w:sz w:val="18"/>
                <w:szCs w:val="18"/>
              </w:rPr>
              <w:br/>
            </w:r>
            <w:r>
              <w:rPr>
                <w:sz w:val="18"/>
                <w:szCs w:val="18"/>
              </w:rPr>
              <w:br/>
            </w:r>
            <w:proofErr w:type="spellStart"/>
            <w:r>
              <w:rPr>
                <w:sz w:val="18"/>
                <w:szCs w:val="18"/>
              </w:rPr>
              <w:t>Ijoseph</w:t>
            </w:r>
            <w:proofErr w:type="spellEnd"/>
            <w:r>
              <w:rPr>
                <w:sz w:val="18"/>
                <w:szCs w:val="18"/>
              </w:rPr>
              <w:t xml:space="preserve"> Mock                                 </w:t>
            </w:r>
            <w:r>
              <w:rPr>
                <w:sz w:val="18"/>
                <w:szCs w:val="18"/>
              </w:rPr>
              <w:br/>
            </w:r>
            <w:proofErr w:type="spellStart"/>
            <w:r>
              <w:rPr>
                <w:sz w:val="18"/>
                <w:szCs w:val="18"/>
              </w:rPr>
              <w:t>Mgr</w:t>
            </w:r>
            <w:proofErr w:type="spellEnd"/>
            <w:r>
              <w:rPr>
                <w:sz w:val="18"/>
                <w:szCs w:val="18"/>
              </w:rPr>
              <w:t xml:space="preserve"> - Regulatory                             </w:t>
            </w:r>
            <w:r>
              <w:rPr>
                <w:sz w:val="18"/>
                <w:szCs w:val="18"/>
              </w:rPr>
              <w:br/>
              <w:t xml:space="preserve">SOUTHERN CALIFORNIA GAS COMPANY              </w:t>
            </w:r>
            <w:r>
              <w:rPr>
                <w:sz w:val="18"/>
                <w:szCs w:val="18"/>
              </w:rPr>
              <w:br/>
              <w:t xml:space="preserve">555 W. 5TH STREET, GT14D6                    </w:t>
            </w:r>
            <w:r>
              <w:rPr>
                <w:sz w:val="18"/>
                <w:szCs w:val="18"/>
              </w:rPr>
              <w:br/>
              <w:t xml:space="preserve">LOS ANGELES CA 90013                         </w:t>
            </w:r>
            <w:r>
              <w:rPr>
                <w:sz w:val="18"/>
                <w:szCs w:val="18"/>
              </w:rPr>
              <w:br/>
              <w:t xml:space="preserve">(213) 244-3718                               </w:t>
            </w:r>
            <w:r>
              <w:rPr>
                <w:sz w:val="18"/>
                <w:szCs w:val="18"/>
              </w:rPr>
              <w:br/>
              <w:t xml:space="preserve">JMock@SoCalGas.com                           </w:t>
            </w:r>
            <w:r>
              <w:rPr>
                <w:sz w:val="18"/>
                <w:szCs w:val="18"/>
              </w:rPr>
              <w:br/>
            </w:r>
            <w:r>
              <w:rPr>
                <w:sz w:val="18"/>
                <w:szCs w:val="18"/>
              </w:rPr>
              <w:br/>
              <w:t xml:space="preserve">Melissa A. </w:t>
            </w:r>
            <w:proofErr w:type="spellStart"/>
            <w:r>
              <w:rPr>
                <w:sz w:val="18"/>
                <w:szCs w:val="18"/>
              </w:rPr>
              <w:t>Hovsepian</w:t>
            </w:r>
            <w:proofErr w:type="spellEnd"/>
            <w:r>
              <w:rPr>
                <w:sz w:val="18"/>
                <w:szCs w:val="18"/>
              </w:rPr>
              <w:t xml:space="preserve">                         </w:t>
            </w:r>
            <w:r>
              <w:rPr>
                <w:sz w:val="18"/>
                <w:szCs w:val="18"/>
              </w:rPr>
              <w:br/>
              <w:t xml:space="preserve">Sr Counsel                                   </w:t>
            </w:r>
            <w:r>
              <w:rPr>
                <w:sz w:val="18"/>
                <w:szCs w:val="18"/>
              </w:rPr>
              <w:br/>
              <w:t xml:space="preserve">SOUTHERN CALIFORNIA GAS COMPANY              </w:t>
            </w:r>
            <w:r>
              <w:rPr>
                <w:sz w:val="18"/>
                <w:szCs w:val="18"/>
              </w:rPr>
              <w:br/>
              <w:t xml:space="preserve">555 WEST FIFTH STREET, GT-14E7, STE 1400     </w:t>
            </w:r>
            <w:r>
              <w:rPr>
                <w:sz w:val="18"/>
                <w:szCs w:val="18"/>
              </w:rPr>
              <w:br/>
              <w:t xml:space="preserve">LOS ANGELES CA 90013                         </w:t>
            </w:r>
            <w:r>
              <w:rPr>
                <w:sz w:val="18"/>
                <w:szCs w:val="18"/>
              </w:rPr>
              <w:br/>
              <w:t xml:space="preserve">(213) 244-3978                               </w:t>
            </w:r>
            <w:r>
              <w:rPr>
                <w:sz w:val="18"/>
                <w:szCs w:val="18"/>
              </w:rPr>
              <w:br/>
              <w:t xml:space="preserve">MHovsepian@SempraUtilities.com               </w:t>
            </w:r>
            <w:r>
              <w:rPr>
                <w:sz w:val="18"/>
                <w:szCs w:val="18"/>
              </w:rPr>
              <w:br/>
              <w:t>For: Southern California Gas Company                                                                                                                                                                                                                                                                                                                                                                                                                                                                                                                                                                                                                                                                                                                                                                                            ____________________________________________</w:t>
            </w:r>
            <w:r>
              <w:rPr>
                <w:sz w:val="18"/>
                <w:szCs w:val="18"/>
              </w:rPr>
              <w:br/>
            </w:r>
            <w:r>
              <w:rPr>
                <w:sz w:val="18"/>
                <w:szCs w:val="18"/>
              </w:rPr>
              <w:br/>
              <w:t xml:space="preserve">Rafaela Diaz                                 </w:t>
            </w:r>
            <w:r>
              <w:rPr>
                <w:sz w:val="18"/>
                <w:szCs w:val="18"/>
              </w:rPr>
              <w:br/>
              <w:t xml:space="preserve">Case Mgr. - Regulatory                       </w:t>
            </w:r>
            <w:r>
              <w:rPr>
                <w:sz w:val="18"/>
                <w:szCs w:val="18"/>
              </w:rPr>
              <w:br/>
              <w:t xml:space="preserve">SOUTHERN CALIFORNIA GAS COMPANY              </w:t>
            </w:r>
            <w:r>
              <w:rPr>
                <w:sz w:val="18"/>
                <w:szCs w:val="18"/>
              </w:rPr>
              <w:br/>
              <w:t xml:space="preserve">555 W. 5TH STREET, GT14D6                    </w:t>
            </w:r>
            <w:r>
              <w:rPr>
                <w:sz w:val="18"/>
                <w:szCs w:val="18"/>
              </w:rPr>
              <w:br/>
              <w:t xml:space="preserve">LOS ANGELES CA 90013                         </w:t>
            </w:r>
            <w:r>
              <w:rPr>
                <w:sz w:val="18"/>
                <w:szCs w:val="18"/>
              </w:rPr>
              <w:br/>
              <w:t xml:space="preserve">(213) 244-2716                               </w:t>
            </w:r>
            <w:r>
              <w:rPr>
                <w:sz w:val="18"/>
                <w:szCs w:val="18"/>
              </w:rPr>
              <w:br/>
              <w:t xml:space="preserve">RDiaz@SempraUtilities.com                    </w:t>
            </w:r>
            <w:r>
              <w:rPr>
                <w:sz w:val="18"/>
                <w:szCs w:val="18"/>
              </w:rPr>
              <w:br/>
            </w:r>
            <w:r>
              <w:rPr>
                <w:sz w:val="18"/>
                <w:szCs w:val="18"/>
              </w:rPr>
              <w:br/>
              <w:t xml:space="preserve">Shirley </w:t>
            </w:r>
            <w:proofErr w:type="spellStart"/>
            <w:r>
              <w:rPr>
                <w:sz w:val="18"/>
                <w:szCs w:val="18"/>
              </w:rPr>
              <w:t>Arazi</w:t>
            </w:r>
            <w:proofErr w:type="spellEnd"/>
            <w:r>
              <w:rPr>
                <w:sz w:val="18"/>
                <w:szCs w:val="18"/>
              </w:rPr>
              <w:t xml:space="preserve">                                </w:t>
            </w:r>
            <w:r>
              <w:rPr>
                <w:sz w:val="18"/>
                <w:szCs w:val="18"/>
              </w:rPr>
              <w:br/>
              <w:t xml:space="preserve">Regulatory Business Mgr.                     </w:t>
            </w:r>
            <w:r>
              <w:rPr>
                <w:sz w:val="18"/>
                <w:szCs w:val="18"/>
              </w:rPr>
              <w:br/>
              <w:t xml:space="preserve">SOUTHERN CALIFORNIA GAS COMPANY              </w:t>
            </w:r>
            <w:r>
              <w:rPr>
                <w:sz w:val="18"/>
                <w:szCs w:val="18"/>
              </w:rPr>
              <w:br/>
              <w:t xml:space="preserve">555 W. FIFTH STREET, GT14D6                  </w:t>
            </w:r>
            <w:r>
              <w:rPr>
                <w:sz w:val="18"/>
                <w:szCs w:val="18"/>
              </w:rPr>
              <w:br/>
              <w:t xml:space="preserve">LOS ANGELES CA 90013                         </w:t>
            </w:r>
            <w:r>
              <w:rPr>
                <w:sz w:val="18"/>
                <w:szCs w:val="18"/>
              </w:rPr>
              <w:br/>
              <w:t xml:space="preserve">(213) 244-4845                               </w:t>
            </w:r>
            <w:r>
              <w:rPr>
                <w:sz w:val="18"/>
                <w:szCs w:val="18"/>
              </w:rPr>
              <w:br/>
              <w:t xml:space="preserve">SArazi@SempraUtilities.com                   </w:t>
            </w:r>
            <w:r>
              <w:rPr>
                <w:sz w:val="18"/>
                <w:szCs w:val="18"/>
              </w:rPr>
              <w:br/>
            </w:r>
            <w:r>
              <w:rPr>
                <w:sz w:val="18"/>
                <w:szCs w:val="18"/>
              </w:rPr>
              <w:br/>
              <w:t xml:space="preserve">Yvonne Mejia Pena                            </w:t>
            </w:r>
            <w:r>
              <w:rPr>
                <w:sz w:val="18"/>
                <w:szCs w:val="18"/>
              </w:rPr>
              <w:br/>
              <w:t xml:space="preserve">SOUTHERN CALIFORNIA GAS COMPANY              </w:t>
            </w:r>
            <w:r>
              <w:rPr>
                <w:sz w:val="18"/>
                <w:szCs w:val="18"/>
              </w:rPr>
              <w:br/>
              <w:t xml:space="preserve">555 W. 5TH STREET, GT14D6                    </w:t>
            </w:r>
            <w:r>
              <w:rPr>
                <w:sz w:val="18"/>
                <w:szCs w:val="18"/>
              </w:rPr>
              <w:br/>
              <w:t xml:space="preserve">LOS ANGELES CA 90013                         </w:t>
            </w:r>
            <w:r>
              <w:rPr>
                <w:sz w:val="18"/>
                <w:szCs w:val="18"/>
              </w:rPr>
              <w:br/>
              <w:t xml:space="preserve">YMejia@socalgas.com                          </w:t>
            </w:r>
            <w:r>
              <w:rPr>
                <w:sz w:val="18"/>
                <w:szCs w:val="18"/>
              </w:rPr>
              <w:br/>
            </w:r>
            <w:r>
              <w:rPr>
                <w:sz w:val="18"/>
                <w:szCs w:val="18"/>
              </w:rPr>
              <w:br/>
            </w:r>
            <w:r>
              <w:rPr>
                <w:sz w:val="18"/>
                <w:szCs w:val="18"/>
              </w:rPr>
              <w:lastRenderedPageBreak/>
              <w:br/>
            </w:r>
            <w:r>
              <w:rPr>
                <w:sz w:val="18"/>
                <w:szCs w:val="18"/>
              </w:rPr>
              <w:br/>
            </w:r>
            <w:r>
              <w:rPr>
                <w:sz w:val="18"/>
                <w:szCs w:val="18"/>
              </w:rPr>
              <w:br/>
            </w:r>
            <w:r>
              <w:rPr>
                <w:sz w:val="18"/>
                <w:szCs w:val="18"/>
              </w:rPr>
              <w:br/>
            </w:r>
            <w:r>
              <w:rPr>
                <w:sz w:val="18"/>
                <w:szCs w:val="18"/>
              </w:rPr>
              <w:br/>
            </w:r>
          </w:p>
        </w:tc>
      </w:tr>
      <w:tr w:rsidR="00762921" w:rsidTr="003A1612" w14:paraId="0DFCF6B3" w14:textId="77777777">
        <w:tblPrEx>
          <w:tblCellMar>
            <w:top w:w="0" w:type="dxa"/>
            <w:bottom w:w="0" w:type="dxa"/>
          </w:tblCellMar>
        </w:tblPrEx>
        <w:tc>
          <w:tcPr>
            <w:tcW w:w="5400" w:type="dxa"/>
            <w:tcBorders>
              <w:top w:val="nil"/>
              <w:left w:val="nil"/>
              <w:bottom w:val="nil"/>
              <w:right w:val="nil"/>
            </w:tcBorders>
          </w:tcPr>
          <w:p w:rsidR="00762921" w:rsidP="003A1612" w:rsidRDefault="00762921" w14:paraId="6433CF68" w14:textId="77777777">
            <w:pPr>
              <w:rPr>
                <w:sz w:val="18"/>
                <w:szCs w:val="18"/>
              </w:rPr>
            </w:pPr>
            <w:r>
              <w:rPr>
                <w:sz w:val="18"/>
                <w:szCs w:val="18"/>
              </w:rPr>
              <w:lastRenderedPageBreak/>
              <w:t>Amy C. Yip-</w:t>
            </w:r>
            <w:proofErr w:type="spellStart"/>
            <w:r>
              <w:rPr>
                <w:sz w:val="18"/>
                <w:szCs w:val="18"/>
              </w:rPr>
              <w:t>Kikugawa</w:t>
            </w:r>
            <w:proofErr w:type="spellEnd"/>
            <w:r>
              <w:rPr>
                <w:sz w:val="18"/>
                <w:szCs w:val="18"/>
              </w:rPr>
              <w:t xml:space="preserve">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703-5256                               </w:t>
            </w:r>
            <w:r>
              <w:rPr>
                <w:sz w:val="18"/>
                <w:szCs w:val="18"/>
              </w:rPr>
              <w:br/>
              <w:t xml:space="preserve">ayk@cpuc.ca.gov                              </w:t>
            </w:r>
            <w:r>
              <w:rPr>
                <w:sz w:val="18"/>
                <w:szCs w:val="18"/>
              </w:rPr>
              <w:br/>
            </w:r>
            <w:r>
              <w:rPr>
                <w:sz w:val="18"/>
                <w:szCs w:val="18"/>
              </w:rPr>
              <w:br/>
            </w:r>
          </w:p>
        </w:tc>
        <w:tc>
          <w:tcPr>
            <w:tcW w:w="5400" w:type="dxa"/>
            <w:tcBorders>
              <w:top w:val="nil"/>
              <w:left w:val="nil"/>
              <w:bottom w:val="nil"/>
              <w:right w:val="nil"/>
            </w:tcBorders>
          </w:tcPr>
          <w:p w:rsidR="00762921" w:rsidP="003A1612" w:rsidRDefault="00762921" w14:paraId="32A8BA39" w14:textId="77777777">
            <w:pPr>
              <w:rPr>
                <w:sz w:val="18"/>
                <w:szCs w:val="18"/>
              </w:rPr>
            </w:pPr>
          </w:p>
        </w:tc>
      </w:tr>
    </w:tbl>
    <w:p w:rsidR="00762921" w:rsidP="00762921" w:rsidRDefault="00762921" w14:paraId="3C90EA46" w14:textId="77777777">
      <w:pPr>
        <w:rPr>
          <w:sz w:val="18"/>
          <w:szCs w:val="18"/>
        </w:rPr>
      </w:pPr>
    </w:p>
    <w:p w:rsidRPr="00762921" w:rsidR="00762921" w:rsidP="005058AB" w:rsidRDefault="00762921" w14:paraId="0C6198CC" w14:textId="407491D7">
      <w:pPr>
        <w:rPr>
          <w:rFonts w:ascii="Book Antiqua" w:hAnsi="Book Antiqua" w:cs="Arial"/>
          <w:szCs w:val="24"/>
        </w:rPr>
      </w:pPr>
    </w:p>
    <w:sectPr w:rsidRPr="00762921" w:rsidR="00762921" w:rsidSect="004D2934">
      <w:headerReference w:type="default" r:id="rId26"/>
      <w:footerReference w:type="default" r:id="rId27"/>
      <w:pgSz w:w="12240" w:h="15840"/>
      <w:pgMar w:top="1440" w:right="1440" w:bottom="1440" w:left="1440" w:header="720" w:footer="720" w:gutter="0"/>
      <w:pgNumType w:fmt="numberInDas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00ADE" w14:textId="77777777" w:rsidR="00511DB3" w:rsidRDefault="00511DB3">
      <w:r>
        <w:separator/>
      </w:r>
    </w:p>
  </w:endnote>
  <w:endnote w:type="continuationSeparator" w:id="0">
    <w:p w14:paraId="76EAB4C4" w14:textId="77777777" w:rsidR="00511DB3" w:rsidRDefault="0051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Helvetica">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EB681" w14:textId="77777777" w:rsidR="003B1449" w:rsidRDefault="003B1449" w:rsidP="00565B0E">
    <w:pPr>
      <w:pStyle w:val="Footer"/>
      <w:tabs>
        <w:tab w:val="clear" w:pos="4320"/>
        <w:tab w:val="clear" w:pos="8640"/>
        <w:tab w:val="center" w:pos="4680"/>
        <w:tab w:val="left" w:pos="55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73E5F" w14:textId="77777777" w:rsidR="00565B0E" w:rsidRDefault="00D0708D" w:rsidP="00D0708D">
    <w:pPr>
      <w:pStyle w:val="Footer"/>
    </w:pPr>
    <w:r w:rsidRPr="00D0708D">
      <w:rPr>
        <w:rFonts w:ascii="Book Antiqua" w:hAnsi="Book Antiqua"/>
        <w:sz w:val="16"/>
        <w:szCs w:val="16"/>
      </w:rPr>
      <w:t>350741504</w:t>
    </w:r>
    <w:r>
      <w:tab/>
    </w:r>
    <w:r w:rsidR="00565B0E">
      <w:fldChar w:fldCharType="begin"/>
    </w:r>
    <w:r w:rsidR="00565B0E">
      <w:instrText xml:space="preserve"> PAGE   \* MERGEFORMAT </w:instrText>
    </w:r>
    <w:r w:rsidR="00565B0E">
      <w:fldChar w:fldCharType="separate"/>
    </w:r>
    <w:r w:rsidR="00565B0E">
      <w:rPr>
        <w:noProof/>
      </w:rPr>
      <w:t>2</w:t>
    </w:r>
    <w:r w:rsidR="00565B0E">
      <w:rPr>
        <w:noProof/>
      </w:rPr>
      <w:fldChar w:fldCharType="end"/>
    </w:r>
  </w:p>
  <w:p w14:paraId="1DE0AE1C" w14:textId="77777777" w:rsidR="0051277B" w:rsidRDefault="0051277B" w:rsidP="0051277B">
    <w:pPr>
      <w:pStyle w:val="Footer"/>
      <w:tabs>
        <w:tab w:val="clear" w:pos="4320"/>
        <w:tab w:val="center" w:pos="46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CAA19" w14:textId="77777777" w:rsidR="00082E58" w:rsidRDefault="00082E58">
    <w:pPr>
      <w:pStyle w:val="Footer"/>
      <w:jc w:val="center"/>
    </w:pPr>
    <w:r>
      <w:fldChar w:fldCharType="begin"/>
    </w:r>
    <w:r>
      <w:instrText xml:space="preserve"> PAGE   \* MERGEFORMAT </w:instrText>
    </w:r>
    <w:r>
      <w:fldChar w:fldCharType="separate"/>
    </w:r>
    <w:r>
      <w:rPr>
        <w:noProof/>
      </w:rPr>
      <w:t>2</w:t>
    </w:r>
    <w:r>
      <w:rPr>
        <w:noProof/>
      </w:rPr>
      <w:fldChar w:fldCharType="end"/>
    </w:r>
  </w:p>
  <w:p w14:paraId="01C652C2" w14:textId="77777777" w:rsidR="00082E58" w:rsidRDefault="00082E58" w:rsidP="00565B0E">
    <w:pPr>
      <w:pStyle w:val="Footer"/>
      <w:tabs>
        <w:tab w:val="clear" w:pos="4320"/>
        <w:tab w:val="clear" w:pos="8640"/>
        <w:tab w:val="center" w:pos="4680"/>
        <w:tab w:val="left" w:pos="553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DC75E" w14:textId="77777777" w:rsidR="005058AB" w:rsidRDefault="005058AB">
    <w:pPr>
      <w:pStyle w:val="Footer"/>
      <w:jc w:val="center"/>
    </w:pPr>
    <w:r>
      <w:fldChar w:fldCharType="begin"/>
    </w:r>
    <w:r>
      <w:instrText xml:space="preserve"> PAGE   \* MERGEFORMAT </w:instrText>
    </w:r>
    <w:r>
      <w:fldChar w:fldCharType="separate"/>
    </w:r>
    <w:r>
      <w:rPr>
        <w:noProof/>
      </w:rPr>
      <w:t>2</w:t>
    </w:r>
    <w:r>
      <w:rPr>
        <w:noProof/>
      </w:rPr>
      <w:fldChar w:fldCharType="end"/>
    </w:r>
  </w:p>
  <w:p w14:paraId="530610E0" w14:textId="77777777" w:rsidR="005058AB" w:rsidRDefault="005058AB" w:rsidP="005058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F3B8D" w14:textId="77777777" w:rsidR="005058AB" w:rsidRPr="00AF0F82" w:rsidRDefault="005058AB" w:rsidP="00035F55">
    <w:pPr>
      <w:pStyle w:val="Footer"/>
      <w:tabs>
        <w:tab w:val="clear" w:pos="4320"/>
        <w:tab w:val="clear" w:pos="8640"/>
        <w:tab w:val="right" w:pos="9360"/>
      </w:tabs>
      <w:ind w:left="648"/>
      <w:jc w:val="center"/>
      <w:rPr>
        <w:rFonts w:ascii="Book Antiqua" w:hAnsi="Book Antiqua"/>
      </w:rPr>
    </w:pPr>
    <w:r w:rsidRPr="00AF0F82">
      <w:rPr>
        <w:rFonts w:ascii="Book Antiqua" w:hAnsi="Book Antiqua"/>
      </w:rPr>
      <w:t>- 1 -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C9D3F" w14:textId="77777777" w:rsidR="005058AB" w:rsidRDefault="005058AB" w:rsidP="00035F55">
    <w:pPr>
      <w:pStyle w:val="Footer"/>
    </w:pPr>
    <w:r>
      <w:fldChar w:fldCharType="begin"/>
    </w:r>
    <w:r>
      <w:instrText xml:space="preserve"> PAGE   \* MERGEFORMAT </w:instrText>
    </w:r>
    <w:r>
      <w:fldChar w:fldCharType="separate"/>
    </w:r>
    <w:r>
      <w:rPr>
        <w:noProof/>
      </w:rPr>
      <w:t>- 1 -</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683954"/>
      <w:docPartObj>
        <w:docPartGallery w:val="Page Numbers (Bottom of Page)"/>
        <w:docPartUnique/>
      </w:docPartObj>
    </w:sdtPr>
    <w:sdtEndPr>
      <w:rPr>
        <w:noProof/>
      </w:rPr>
    </w:sdtEndPr>
    <w:sdtContent>
      <w:p w14:paraId="4742F78A" w14:textId="1B033708" w:rsidR="004D2934" w:rsidRDefault="004D29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689E2" w14:textId="77777777" w:rsidR="00511DB3" w:rsidRDefault="00511DB3">
      <w:r>
        <w:separator/>
      </w:r>
    </w:p>
  </w:footnote>
  <w:footnote w:type="continuationSeparator" w:id="0">
    <w:p w14:paraId="68F33E78" w14:textId="77777777" w:rsidR="00511DB3" w:rsidRDefault="00511DB3">
      <w:r>
        <w:continuationSeparator/>
      </w:r>
    </w:p>
  </w:footnote>
  <w:footnote w:id="1">
    <w:p w14:paraId="3A87EC64" w14:textId="77777777" w:rsidR="00C3272D" w:rsidRPr="000C243C" w:rsidRDefault="00C3272D">
      <w:pPr>
        <w:pStyle w:val="FootnoteText"/>
        <w:rPr>
          <w:rFonts w:ascii="Book Antiqua" w:hAnsi="Book Antiqua"/>
          <w:sz w:val="22"/>
          <w:szCs w:val="22"/>
        </w:rPr>
      </w:pPr>
      <w:r w:rsidRPr="000C243C">
        <w:rPr>
          <w:rStyle w:val="FootnoteReference"/>
          <w:rFonts w:ascii="Book Antiqua" w:hAnsi="Book Antiqua"/>
          <w:sz w:val="22"/>
          <w:szCs w:val="22"/>
        </w:rPr>
        <w:footnoteRef/>
      </w:r>
      <w:r w:rsidRPr="000C243C">
        <w:rPr>
          <w:rFonts w:ascii="Book Antiqua" w:hAnsi="Book Antiqua"/>
          <w:sz w:val="22"/>
          <w:szCs w:val="22"/>
        </w:rPr>
        <w:t xml:space="preserve"> </w:t>
      </w:r>
      <w:r w:rsidRPr="000C243C">
        <w:rPr>
          <w:rFonts w:ascii="Book Antiqua" w:hAnsi="Book Antiqua"/>
          <w:i/>
          <w:iCs/>
          <w:sz w:val="22"/>
          <w:szCs w:val="22"/>
        </w:rPr>
        <w:t>See e.g.</w:t>
      </w:r>
      <w:r w:rsidRPr="000C243C">
        <w:rPr>
          <w:rFonts w:ascii="Book Antiqua" w:hAnsi="Book Antiqua"/>
          <w:sz w:val="22"/>
          <w:szCs w:val="22"/>
        </w:rPr>
        <w:t xml:space="preserve">  Commission Rules of Practice and Procedure 12.1(d). </w:t>
      </w:r>
    </w:p>
  </w:footnote>
  <w:footnote w:id="2">
    <w:p w14:paraId="0B8489EE" w14:textId="77777777" w:rsidR="00C3272D" w:rsidRPr="00C3272D" w:rsidRDefault="00C3272D">
      <w:pPr>
        <w:pStyle w:val="FootnoteText"/>
      </w:pPr>
      <w:r w:rsidRPr="000C243C">
        <w:rPr>
          <w:rStyle w:val="FootnoteReference"/>
          <w:rFonts w:ascii="Book Antiqua" w:hAnsi="Book Antiqua"/>
          <w:sz w:val="22"/>
          <w:szCs w:val="22"/>
        </w:rPr>
        <w:footnoteRef/>
      </w:r>
      <w:r w:rsidRPr="000C243C">
        <w:rPr>
          <w:rFonts w:ascii="Book Antiqua" w:hAnsi="Book Antiqua"/>
          <w:sz w:val="22"/>
          <w:szCs w:val="22"/>
        </w:rPr>
        <w:t xml:space="preserve"> D.16-09-055 modified and incorporated D.98-12-075, Appendix A, § (b) (fines), 85 CPUC2d 155, 193-195.</w:t>
      </w:r>
    </w:p>
  </w:footnote>
  <w:footnote w:id="3">
    <w:p w14:paraId="76AC1B84" w14:textId="77777777" w:rsidR="00BB6514" w:rsidRPr="000C243C" w:rsidRDefault="00BB6514">
      <w:pPr>
        <w:pStyle w:val="FootnoteText"/>
        <w:rPr>
          <w:rFonts w:ascii="Book Antiqua" w:hAnsi="Book Antiqua"/>
          <w:sz w:val="22"/>
          <w:szCs w:val="22"/>
        </w:rPr>
      </w:pPr>
      <w:r w:rsidRPr="000C243C">
        <w:rPr>
          <w:rStyle w:val="FootnoteReference"/>
          <w:rFonts w:ascii="Book Antiqua" w:hAnsi="Book Antiqua"/>
          <w:sz w:val="22"/>
          <w:szCs w:val="22"/>
        </w:rPr>
        <w:footnoteRef/>
      </w:r>
      <w:r w:rsidRPr="000C243C">
        <w:rPr>
          <w:rFonts w:ascii="Book Antiqua" w:hAnsi="Book Antiqua"/>
          <w:sz w:val="22"/>
          <w:szCs w:val="22"/>
        </w:rPr>
        <w:t xml:space="preserve"> Motion at 6; citing D.10-06-038 at 46.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F07D7" w14:textId="77777777" w:rsidR="009A27D7" w:rsidRPr="008B6EC5" w:rsidRDefault="009A27D7" w:rsidP="009A27D7">
    <w:pPr>
      <w:rPr>
        <w:rFonts w:ascii="Book Antiqua" w:hAnsi="Book Antiqua"/>
        <w:sz w:val="22"/>
      </w:rPr>
    </w:pPr>
    <w:r w:rsidRPr="008B6EC5">
      <w:rPr>
        <w:rFonts w:ascii="Book Antiqua" w:hAnsi="Book Antiqua"/>
      </w:rPr>
      <w:t>ALJ/SL5/sgu</w:t>
    </w:r>
    <w:r w:rsidRPr="008B6EC5">
      <w:rPr>
        <w:rFonts w:ascii="Book Antiqua" w:hAnsi="Book Antiqua"/>
      </w:rPr>
      <w:tab/>
    </w:r>
    <w:r w:rsidRPr="008B6EC5">
      <w:rPr>
        <w:rFonts w:ascii="Book Antiqua" w:hAnsi="Book Antiqua"/>
      </w:rPr>
      <w:tab/>
    </w:r>
    <w:r w:rsidRPr="008B6EC5">
      <w:rPr>
        <w:rFonts w:ascii="Book Antiqua" w:hAnsi="Book Antiqua"/>
      </w:rPr>
      <w:tab/>
    </w:r>
    <w:r w:rsidRPr="008B6EC5">
      <w:rPr>
        <w:rFonts w:ascii="Book Antiqua" w:hAnsi="Book Antiqua"/>
      </w:rPr>
      <w:tab/>
      <w:t>DRAFT</w:t>
    </w:r>
    <w:r w:rsidRPr="008B6EC5">
      <w:rPr>
        <w:rFonts w:ascii="Book Antiqua" w:hAnsi="Book Antiqua"/>
      </w:rPr>
      <w:tab/>
    </w:r>
    <w:r w:rsidRPr="008B6EC5">
      <w:rPr>
        <w:rFonts w:ascii="Book Antiqua" w:hAnsi="Book Antiqua"/>
      </w:rPr>
      <w:tab/>
    </w:r>
    <w:r w:rsidRPr="008B6EC5">
      <w:rPr>
        <w:rFonts w:ascii="Book Antiqua" w:hAnsi="Book Antiqua"/>
      </w:rPr>
      <w:tab/>
      <w:t>Agenda ID#______</w:t>
    </w:r>
  </w:p>
  <w:p w14:paraId="47FCA39D" w14:textId="77777777" w:rsidR="003B1449" w:rsidRDefault="003B1449" w:rsidP="00C71AE7">
    <w:pPr>
      <w:pStyle w:val="Header"/>
      <w:tabs>
        <w:tab w:val="clear" w:pos="8640"/>
        <w:tab w:val="right" w:pos="9360"/>
      </w:tabs>
      <w:rPr>
        <w:b/>
        <w:szCs w:val="24"/>
      </w:rPr>
    </w:pPr>
  </w:p>
  <w:p w14:paraId="421D9613" w14:textId="77777777" w:rsidR="003B1449" w:rsidRDefault="003B1449">
    <w:pPr>
      <w:pStyle w:val="Header"/>
      <w:rPr>
        <w:b/>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3C9A1" w14:textId="5B34CD34" w:rsidR="00673E0B" w:rsidRPr="008B6EC5" w:rsidRDefault="00673E0B" w:rsidP="009A27D7">
    <w:pPr>
      <w:rPr>
        <w:rFonts w:ascii="Book Antiqua" w:hAnsi="Book Antiqua"/>
        <w:sz w:val="22"/>
      </w:rPr>
    </w:pPr>
    <w:r w:rsidRPr="008B6EC5">
      <w:rPr>
        <w:rFonts w:ascii="Book Antiqua" w:hAnsi="Book Antiqua"/>
      </w:rPr>
      <w:t>ALJ/SL5/sgu</w:t>
    </w:r>
    <w:r w:rsidRPr="008B6EC5">
      <w:rPr>
        <w:rFonts w:ascii="Book Antiqua" w:hAnsi="Book Antiqua"/>
      </w:rPr>
      <w:tab/>
    </w:r>
    <w:r w:rsidRPr="008B6EC5">
      <w:rPr>
        <w:rFonts w:ascii="Book Antiqua" w:hAnsi="Book Antiqua"/>
      </w:rPr>
      <w:tab/>
    </w:r>
    <w:r w:rsidRPr="008B6EC5">
      <w:rPr>
        <w:rFonts w:ascii="Book Antiqua" w:hAnsi="Book Antiqua"/>
      </w:rPr>
      <w:tab/>
    </w:r>
    <w:r w:rsidRPr="008B6EC5">
      <w:rPr>
        <w:rFonts w:ascii="Book Antiqua" w:hAnsi="Book Antiqua"/>
      </w:rPr>
      <w:tab/>
      <w:t>DRAFT</w:t>
    </w:r>
    <w:r w:rsidRPr="008B6EC5">
      <w:rPr>
        <w:rFonts w:ascii="Book Antiqua" w:hAnsi="Book Antiqua"/>
      </w:rPr>
      <w:tab/>
    </w:r>
    <w:r w:rsidRPr="008B6EC5">
      <w:rPr>
        <w:rFonts w:ascii="Book Antiqua" w:hAnsi="Book Antiqua"/>
      </w:rPr>
      <w:tab/>
    </w:r>
    <w:r w:rsidRPr="008B6EC5">
      <w:rPr>
        <w:rFonts w:ascii="Book Antiqua" w:hAnsi="Book Antiqua"/>
      </w:rPr>
      <w:tab/>
      <w:t>Agenda ID#</w:t>
    </w:r>
    <w:r w:rsidR="00327618">
      <w:rPr>
        <w:rFonts w:ascii="Book Antiqua" w:hAnsi="Book Antiqua"/>
      </w:rPr>
      <w:t>19000</w:t>
    </w:r>
  </w:p>
  <w:p w14:paraId="098AD96B" w14:textId="77777777" w:rsidR="00673E0B" w:rsidRDefault="00673E0B" w:rsidP="00C71AE7">
    <w:pPr>
      <w:pStyle w:val="Header"/>
      <w:tabs>
        <w:tab w:val="clear" w:pos="8640"/>
        <w:tab w:val="right" w:pos="9360"/>
      </w:tabs>
      <w:rPr>
        <w:b/>
        <w:szCs w:val="24"/>
      </w:rPr>
    </w:pPr>
  </w:p>
  <w:p w14:paraId="2EC38CA1" w14:textId="77777777" w:rsidR="00673E0B" w:rsidRDefault="00673E0B">
    <w:pPr>
      <w:pStyle w:val="Header"/>
      <w:rPr>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351A3" w14:textId="77777777" w:rsidR="00673E0B" w:rsidRPr="008B6EC5" w:rsidRDefault="00673E0B" w:rsidP="00673E0B">
    <w:pPr>
      <w:pStyle w:val="Header"/>
      <w:tabs>
        <w:tab w:val="clear" w:pos="8640"/>
        <w:tab w:val="right" w:pos="9360"/>
      </w:tabs>
      <w:rPr>
        <w:rFonts w:ascii="Book Antiqua" w:hAnsi="Book Antiqua"/>
        <w:b/>
        <w:szCs w:val="24"/>
      </w:rPr>
    </w:pPr>
    <w:r w:rsidRPr="008B6EC5">
      <w:rPr>
        <w:rFonts w:ascii="Book Antiqua" w:hAnsi="Book Antiqua"/>
      </w:rPr>
      <w:t>Resolution ALJ-392  ALJ/SL5/sgu</w:t>
    </w:r>
    <w:r w:rsidRPr="008B6EC5">
      <w:rPr>
        <w:rFonts w:ascii="Book Antiqua" w:hAnsi="Book Antiqua"/>
      </w:rPr>
      <w:tab/>
    </w:r>
    <w:r w:rsidRPr="008B6EC5">
      <w:rPr>
        <w:rFonts w:ascii="Book Antiqua" w:hAnsi="Book Antiqua"/>
      </w:rPr>
      <w:tab/>
      <w:t>DRAFT</w:t>
    </w:r>
  </w:p>
  <w:p w14:paraId="321FDD91" w14:textId="77777777" w:rsidR="00673E0B" w:rsidRDefault="00673E0B">
    <w:pPr>
      <w:pStyle w:val="Header"/>
    </w:pPr>
  </w:p>
  <w:p w14:paraId="0B83C731" w14:textId="77777777" w:rsidR="00673E0B" w:rsidRDefault="00673E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1618" w14:textId="77777777" w:rsidR="00B914AA" w:rsidRPr="008B6EC5" w:rsidRDefault="00B914AA" w:rsidP="00B914AA">
    <w:pPr>
      <w:pStyle w:val="Header"/>
      <w:tabs>
        <w:tab w:val="clear" w:pos="8640"/>
        <w:tab w:val="right" w:pos="9360"/>
      </w:tabs>
      <w:rPr>
        <w:rFonts w:ascii="Book Antiqua" w:hAnsi="Book Antiqua"/>
        <w:b/>
        <w:szCs w:val="24"/>
      </w:rPr>
    </w:pPr>
    <w:r w:rsidRPr="008B6EC5">
      <w:rPr>
        <w:rFonts w:ascii="Book Antiqua" w:hAnsi="Book Antiqua"/>
      </w:rPr>
      <w:t>Resolution ALJ-392  ALJ/SL5</w:t>
    </w:r>
    <w:r w:rsidR="009A27D7" w:rsidRPr="008B6EC5">
      <w:rPr>
        <w:rFonts w:ascii="Book Antiqua" w:hAnsi="Book Antiqua"/>
      </w:rPr>
      <w:t>/sgu</w:t>
    </w:r>
    <w:r w:rsidR="009A27D7" w:rsidRPr="008B6EC5">
      <w:rPr>
        <w:rFonts w:ascii="Book Antiqua" w:hAnsi="Book Antiqua"/>
      </w:rPr>
      <w:tab/>
    </w:r>
    <w:r w:rsidR="009A27D7" w:rsidRPr="008B6EC5">
      <w:rPr>
        <w:rFonts w:ascii="Book Antiqua" w:hAnsi="Book Antiqua"/>
      </w:rPr>
      <w:tab/>
      <w:t>DRAFT</w:t>
    </w:r>
  </w:p>
  <w:p w14:paraId="6F1B531C" w14:textId="77777777" w:rsidR="00B914AA" w:rsidRDefault="00B914AA" w:rsidP="00565B0E">
    <w:pPr>
      <w:pStyle w:val="Header"/>
      <w:tabs>
        <w:tab w:val="clear" w:pos="8640"/>
        <w:tab w:val="left" w:pos="4320"/>
      </w:tabs>
      <w:rPr>
        <w:b/>
        <w:szCs w:val="24"/>
      </w:rPr>
    </w:pPr>
  </w:p>
  <w:p w14:paraId="06504273" w14:textId="77777777" w:rsidR="00B914AA" w:rsidRDefault="00B914AA">
    <w:pPr>
      <w:pStyle w:val="Header"/>
      <w:rPr>
        <w:b/>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EE693" w14:textId="77777777" w:rsidR="005058AB" w:rsidRPr="00661CD3" w:rsidRDefault="005058AB" w:rsidP="00035F55">
    <w:pPr>
      <w:jc w:val="center"/>
      <w:rPr>
        <w:rFonts w:ascii="Book Antiqua" w:hAnsi="Book Antiqua"/>
        <w:sz w:val="20"/>
      </w:rPr>
    </w:pPr>
    <w:r w:rsidRPr="00661CD3">
      <w:rPr>
        <w:rFonts w:ascii="Book Antiqua" w:hAnsi="Book Antiqua"/>
        <w:b/>
        <w:bCs/>
        <w:sz w:val="20"/>
      </w:rPr>
      <w:t>************ SERVICE LIST ***********</w:t>
    </w:r>
    <w:r w:rsidRPr="00661CD3">
      <w:rPr>
        <w:rFonts w:ascii="Book Antiqua" w:hAnsi="Book Antiqua"/>
        <w:b/>
        <w:bCs/>
        <w:sz w:val="20"/>
      </w:rPr>
      <w:br/>
      <w:t xml:space="preserve">Last Updated on 27-OCT-2020 by: KB3 </w:t>
    </w:r>
    <w:r w:rsidRPr="00661CD3">
      <w:rPr>
        <w:rFonts w:ascii="Book Antiqua" w:hAnsi="Book Antiqua"/>
        <w:sz w:val="20"/>
      </w:rPr>
      <w:br/>
    </w:r>
    <w:r w:rsidRPr="00661CD3">
      <w:rPr>
        <w:rFonts w:ascii="Book Antiqua" w:hAnsi="Book Antiqua"/>
        <w:b/>
        <w:bCs/>
        <w:sz w:val="20"/>
      </w:rPr>
      <w:t>K2008010 LIST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2FF6" w14:textId="77777777" w:rsidR="005058AB" w:rsidRPr="00E064B2" w:rsidRDefault="005058AB" w:rsidP="00035F55">
    <w:pPr>
      <w:pStyle w:val="Header"/>
      <w:rPr>
        <w:rFonts w:ascii="Book Antiqua" w:hAnsi="Book Antiqua"/>
      </w:rPr>
    </w:pPr>
    <w:r>
      <w:rPr>
        <w:rFonts w:ascii="Book Antiqua" w:hAnsi="Book Antiqua"/>
      </w:rPr>
      <w:t>ALJ/SL/sgu</w:t>
    </w:r>
  </w:p>
  <w:p w14:paraId="1060F897" w14:textId="77777777" w:rsidR="005058AB" w:rsidRDefault="005058AB">
    <w:pPr>
      <w:pStyle w:val="Header"/>
      <w:rPr>
        <w:b/>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D885" w14:textId="77777777" w:rsidR="005058AB" w:rsidRDefault="005058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2C46" w14:textId="77777777" w:rsidR="005058AB" w:rsidRPr="008B6EC5" w:rsidRDefault="005058AB" w:rsidP="005058AB">
    <w:pPr>
      <w:pStyle w:val="Header"/>
      <w:tabs>
        <w:tab w:val="clear" w:pos="8640"/>
        <w:tab w:val="right" w:pos="9360"/>
      </w:tabs>
      <w:rPr>
        <w:rFonts w:ascii="Book Antiqua" w:hAnsi="Book Antiqua"/>
        <w:b/>
        <w:szCs w:val="24"/>
      </w:rPr>
    </w:pPr>
    <w:r w:rsidRPr="008B6EC5">
      <w:rPr>
        <w:rFonts w:ascii="Book Antiqua" w:hAnsi="Book Antiqua"/>
      </w:rPr>
      <w:t>Resolution ALJ-392  ALJ/SL5/sgu</w:t>
    </w:r>
    <w:r w:rsidRPr="008B6EC5">
      <w:rPr>
        <w:rFonts w:ascii="Book Antiqua" w:hAnsi="Book Antiqua"/>
      </w:rPr>
      <w:tab/>
    </w:r>
    <w:r w:rsidRPr="008B6EC5">
      <w:rPr>
        <w:rFonts w:ascii="Book Antiqua" w:hAnsi="Book Antiqua"/>
      </w:rPr>
      <w:tab/>
      <w:t>DRAFT</w:t>
    </w:r>
  </w:p>
  <w:p w14:paraId="25D23EBE" w14:textId="77777777" w:rsidR="005058AB" w:rsidRDefault="005058AB" w:rsidP="005058AB">
    <w:pPr>
      <w:pStyle w:val="Header"/>
      <w:ind w:firstLine="72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000000" w14:paraId="08B80CBE" w14:textId="77777777">
      <w:tblPrEx>
        <w:tblCellMar>
          <w:top w:w="0" w:type="dxa"/>
          <w:bottom w:w="0" w:type="dxa"/>
        </w:tblCellMar>
      </w:tblPrEx>
      <w:tc>
        <w:tcPr>
          <w:tcW w:w="10800" w:type="dxa"/>
          <w:tcBorders>
            <w:top w:val="nil"/>
            <w:left w:val="nil"/>
            <w:bottom w:val="nil"/>
            <w:right w:val="nil"/>
          </w:tcBorders>
        </w:tcPr>
        <w:p w14:paraId="1E785094" w14:textId="77777777" w:rsidR="00000000" w:rsidRPr="004D2934" w:rsidRDefault="00511DB3">
          <w:pPr>
            <w:jc w:val="center"/>
            <w:rPr>
              <w:sz w:val="20"/>
            </w:rPr>
          </w:pPr>
          <w:r w:rsidRPr="004D2934">
            <w:rPr>
              <w:b/>
              <w:bCs/>
              <w:sz w:val="20"/>
            </w:rPr>
            <w:t>************ SERVICE LIST ***********</w:t>
          </w:r>
          <w:r w:rsidRPr="004D2934">
            <w:rPr>
              <w:b/>
              <w:bCs/>
              <w:sz w:val="20"/>
            </w:rPr>
            <w:br/>
            <w:t xml:space="preserve">Last Updated on 16-NOV-2020 by: KB3 </w:t>
          </w:r>
          <w:r w:rsidRPr="004D2934">
            <w:rPr>
              <w:sz w:val="20"/>
            </w:rPr>
            <w:br/>
          </w:r>
          <w:r w:rsidRPr="004D2934">
            <w:rPr>
              <w:b/>
              <w:bCs/>
              <w:sz w:val="20"/>
            </w:rPr>
            <w:t xml:space="preserve">K1903001 LIST </w:t>
          </w:r>
          <w:r w:rsidRPr="004D2934">
            <w:rPr>
              <w:sz w:val="20"/>
            </w:rPr>
            <w:br/>
          </w:r>
          <w:r w:rsidRPr="004D2934">
            <w:rPr>
              <w:b/>
              <w:bCs/>
              <w:sz w:val="20"/>
            </w:rPr>
            <w:t xml:space="preserve"> </w:t>
          </w:r>
          <w:r w:rsidRPr="004D2934">
            <w:rPr>
              <w:sz w:val="20"/>
            </w:rPr>
            <w:br/>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415"/>
    <w:multiLevelType w:val="hybridMultilevel"/>
    <w:tmpl w:val="58E2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22324"/>
    <w:multiLevelType w:val="hybridMultilevel"/>
    <w:tmpl w:val="333CD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6690B"/>
    <w:multiLevelType w:val="hybridMultilevel"/>
    <w:tmpl w:val="23BA1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3309F"/>
    <w:multiLevelType w:val="hybridMultilevel"/>
    <w:tmpl w:val="E716CD04"/>
    <w:lvl w:ilvl="0" w:tplc="B4D6E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8E4F88"/>
    <w:multiLevelType w:val="hybridMultilevel"/>
    <w:tmpl w:val="92065E66"/>
    <w:lvl w:ilvl="0" w:tplc="E6AA93F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51EFE"/>
    <w:multiLevelType w:val="hybridMultilevel"/>
    <w:tmpl w:val="2F460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05641"/>
    <w:multiLevelType w:val="hybridMultilevel"/>
    <w:tmpl w:val="05B6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6548D"/>
    <w:multiLevelType w:val="hybridMultilevel"/>
    <w:tmpl w:val="17B0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DE"/>
    <w:rsid w:val="00004B9E"/>
    <w:rsid w:val="000218B2"/>
    <w:rsid w:val="00025C5B"/>
    <w:rsid w:val="000314CE"/>
    <w:rsid w:val="000322C0"/>
    <w:rsid w:val="00035F55"/>
    <w:rsid w:val="00040292"/>
    <w:rsid w:val="000420EA"/>
    <w:rsid w:val="000422A5"/>
    <w:rsid w:val="00060455"/>
    <w:rsid w:val="0006153D"/>
    <w:rsid w:val="00063D2B"/>
    <w:rsid w:val="00076F4C"/>
    <w:rsid w:val="00082E58"/>
    <w:rsid w:val="000A2E20"/>
    <w:rsid w:val="000A697F"/>
    <w:rsid w:val="000B2456"/>
    <w:rsid w:val="000B35CC"/>
    <w:rsid w:val="000C243C"/>
    <w:rsid w:val="000C7F02"/>
    <w:rsid w:val="000D122F"/>
    <w:rsid w:val="000E285F"/>
    <w:rsid w:val="000E435E"/>
    <w:rsid w:val="000F11ED"/>
    <w:rsid w:val="000F160A"/>
    <w:rsid w:val="000F2A35"/>
    <w:rsid w:val="000F7A70"/>
    <w:rsid w:val="00101144"/>
    <w:rsid w:val="00104507"/>
    <w:rsid w:val="00104E35"/>
    <w:rsid w:val="00111062"/>
    <w:rsid w:val="0011588D"/>
    <w:rsid w:val="00124D20"/>
    <w:rsid w:val="00140DC4"/>
    <w:rsid w:val="0014102D"/>
    <w:rsid w:val="00143432"/>
    <w:rsid w:val="00150EC7"/>
    <w:rsid w:val="001611B4"/>
    <w:rsid w:val="001A2230"/>
    <w:rsid w:val="001A4CE3"/>
    <w:rsid w:val="001B1D1D"/>
    <w:rsid w:val="001D2A0B"/>
    <w:rsid w:val="001D4A7F"/>
    <w:rsid w:val="001E1E1B"/>
    <w:rsid w:val="001E365F"/>
    <w:rsid w:val="00216216"/>
    <w:rsid w:val="002423A0"/>
    <w:rsid w:val="00244A4A"/>
    <w:rsid w:val="00257C00"/>
    <w:rsid w:val="00267AE1"/>
    <w:rsid w:val="0028390E"/>
    <w:rsid w:val="00293CD6"/>
    <w:rsid w:val="002B21CA"/>
    <w:rsid w:val="002C1B76"/>
    <w:rsid w:val="002D4059"/>
    <w:rsid w:val="002E5EFC"/>
    <w:rsid w:val="002E7CF3"/>
    <w:rsid w:val="003031DB"/>
    <w:rsid w:val="003043EF"/>
    <w:rsid w:val="00304D01"/>
    <w:rsid w:val="00327618"/>
    <w:rsid w:val="00330912"/>
    <w:rsid w:val="00330DBB"/>
    <w:rsid w:val="003518A3"/>
    <w:rsid w:val="003561F0"/>
    <w:rsid w:val="003669AC"/>
    <w:rsid w:val="00374B28"/>
    <w:rsid w:val="00374DCF"/>
    <w:rsid w:val="00376643"/>
    <w:rsid w:val="003843BE"/>
    <w:rsid w:val="00392EAB"/>
    <w:rsid w:val="00395F70"/>
    <w:rsid w:val="003A4037"/>
    <w:rsid w:val="003B1449"/>
    <w:rsid w:val="003D0603"/>
    <w:rsid w:val="003D3F58"/>
    <w:rsid w:val="003E051F"/>
    <w:rsid w:val="003E2250"/>
    <w:rsid w:val="003F1012"/>
    <w:rsid w:val="003F4DE4"/>
    <w:rsid w:val="00400464"/>
    <w:rsid w:val="00407078"/>
    <w:rsid w:val="00413DD7"/>
    <w:rsid w:val="00414C8C"/>
    <w:rsid w:val="00414E10"/>
    <w:rsid w:val="00426B87"/>
    <w:rsid w:val="00434AF5"/>
    <w:rsid w:val="00437287"/>
    <w:rsid w:val="00444A00"/>
    <w:rsid w:val="004540B1"/>
    <w:rsid w:val="004548E1"/>
    <w:rsid w:val="00457631"/>
    <w:rsid w:val="00457A87"/>
    <w:rsid w:val="00486091"/>
    <w:rsid w:val="00495EFB"/>
    <w:rsid w:val="004A53D1"/>
    <w:rsid w:val="004A6D40"/>
    <w:rsid w:val="004B3DD5"/>
    <w:rsid w:val="004C1D4C"/>
    <w:rsid w:val="004D1E4A"/>
    <w:rsid w:val="004D2934"/>
    <w:rsid w:val="004E3493"/>
    <w:rsid w:val="004F0722"/>
    <w:rsid w:val="005058AB"/>
    <w:rsid w:val="00511DB3"/>
    <w:rsid w:val="0051277B"/>
    <w:rsid w:val="0051421B"/>
    <w:rsid w:val="00541646"/>
    <w:rsid w:val="00541D1B"/>
    <w:rsid w:val="005443EC"/>
    <w:rsid w:val="00560ADA"/>
    <w:rsid w:val="00565B0E"/>
    <w:rsid w:val="00576589"/>
    <w:rsid w:val="00577D50"/>
    <w:rsid w:val="00583E78"/>
    <w:rsid w:val="005A5606"/>
    <w:rsid w:val="005B1649"/>
    <w:rsid w:val="005D6E8F"/>
    <w:rsid w:val="005E0880"/>
    <w:rsid w:val="005E2F33"/>
    <w:rsid w:val="005E410E"/>
    <w:rsid w:val="005E57AF"/>
    <w:rsid w:val="005F2F92"/>
    <w:rsid w:val="005F6F16"/>
    <w:rsid w:val="00602977"/>
    <w:rsid w:val="006161D1"/>
    <w:rsid w:val="006304F8"/>
    <w:rsid w:val="0067029D"/>
    <w:rsid w:val="00673E0B"/>
    <w:rsid w:val="00676FC4"/>
    <w:rsid w:val="00690E63"/>
    <w:rsid w:val="00693D01"/>
    <w:rsid w:val="006952CA"/>
    <w:rsid w:val="006C1FCE"/>
    <w:rsid w:val="006D0253"/>
    <w:rsid w:val="006D7716"/>
    <w:rsid w:val="006E02D8"/>
    <w:rsid w:val="006F2B7A"/>
    <w:rsid w:val="00705860"/>
    <w:rsid w:val="00715006"/>
    <w:rsid w:val="007349A9"/>
    <w:rsid w:val="00744905"/>
    <w:rsid w:val="00753FC7"/>
    <w:rsid w:val="00762514"/>
    <w:rsid w:val="00762921"/>
    <w:rsid w:val="0076676F"/>
    <w:rsid w:val="00782012"/>
    <w:rsid w:val="00790140"/>
    <w:rsid w:val="007924EE"/>
    <w:rsid w:val="007A52CA"/>
    <w:rsid w:val="007A63FF"/>
    <w:rsid w:val="007B6D23"/>
    <w:rsid w:val="007C2B07"/>
    <w:rsid w:val="007C7D78"/>
    <w:rsid w:val="007F2A40"/>
    <w:rsid w:val="00832CAD"/>
    <w:rsid w:val="00836544"/>
    <w:rsid w:val="00852565"/>
    <w:rsid w:val="008734CD"/>
    <w:rsid w:val="008B23AE"/>
    <w:rsid w:val="008B290D"/>
    <w:rsid w:val="008B6EC5"/>
    <w:rsid w:val="008C253D"/>
    <w:rsid w:val="008F4275"/>
    <w:rsid w:val="00902339"/>
    <w:rsid w:val="00907484"/>
    <w:rsid w:val="00910CF7"/>
    <w:rsid w:val="009142A3"/>
    <w:rsid w:val="0093144F"/>
    <w:rsid w:val="00934029"/>
    <w:rsid w:val="00937FDC"/>
    <w:rsid w:val="009428DD"/>
    <w:rsid w:val="009449DD"/>
    <w:rsid w:val="00947A43"/>
    <w:rsid w:val="00951DE4"/>
    <w:rsid w:val="00970E19"/>
    <w:rsid w:val="0099728A"/>
    <w:rsid w:val="009A27D7"/>
    <w:rsid w:val="009A3829"/>
    <w:rsid w:val="009A71EE"/>
    <w:rsid w:val="009B3294"/>
    <w:rsid w:val="009B436B"/>
    <w:rsid w:val="009D61EC"/>
    <w:rsid w:val="009E1084"/>
    <w:rsid w:val="00A140E9"/>
    <w:rsid w:val="00A16082"/>
    <w:rsid w:val="00A27231"/>
    <w:rsid w:val="00A453B8"/>
    <w:rsid w:val="00A916D4"/>
    <w:rsid w:val="00A92A8F"/>
    <w:rsid w:val="00AA4C9F"/>
    <w:rsid w:val="00AA5A38"/>
    <w:rsid w:val="00AB795A"/>
    <w:rsid w:val="00AC06D4"/>
    <w:rsid w:val="00AC14B6"/>
    <w:rsid w:val="00AD117A"/>
    <w:rsid w:val="00B02728"/>
    <w:rsid w:val="00B11F44"/>
    <w:rsid w:val="00B3230A"/>
    <w:rsid w:val="00B34408"/>
    <w:rsid w:val="00B43555"/>
    <w:rsid w:val="00B80C4E"/>
    <w:rsid w:val="00B914AA"/>
    <w:rsid w:val="00B976C3"/>
    <w:rsid w:val="00BB1591"/>
    <w:rsid w:val="00BB6514"/>
    <w:rsid w:val="00BC1B83"/>
    <w:rsid w:val="00BC6D72"/>
    <w:rsid w:val="00BD7C20"/>
    <w:rsid w:val="00BE523F"/>
    <w:rsid w:val="00C01503"/>
    <w:rsid w:val="00C145E6"/>
    <w:rsid w:val="00C2620B"/>
    <w:rsid w:val="00C3272D"/>
    <w:rsid w:val="00C37467"/>
    <w:rsid w:val="00C42ACD"/>
    <w:rsid w:val="00C4311A"/>
    <w:rsid w:val="00C4783B"/>
    <w:rsid w:val="00C537F3"/>
    <w:rsid w:val="00C62EDE"/>
    <w:rsid w:val="00C71AE7"/>
    <w:rsid w:val="00C84B59"/>
    <w:rsid w:val="00C94CC1"/>
    <w:rsid w:val="00C94F7F"/>
    <w:rsid w:val="00C95942"/>
    <w:rsid w:val="00C95D66"/>
    <w:rsid w:val="00CB2ECD"/>
    <w:rsid w:val="00CD6F92"/>
    <w:rsid w:val="00CE0797"/>
    <w:rsid w:val="00CF0F3B"/>
    <w:rsid w:val="00D0143E"/>
    <w:rsid w:val="00D021CD"/>
    <w:rsid w:val="00D0708D"/>
    <w:rsid w:val="00D23479"/>
    <w:rsid w:val="00D27CCC"/>
    <w:rsid w:val="00D36F48"/>
    <w:rsid w:val="00D8093F"/>
    <w:rsid w:val="00D858E5"/>
    <w:rsid w:val="00D912F6"/>
    <w:rsid w:val="00DD267A"/>
    <w:rsid w:val="00DD2B12"/>
    <w:rsid w:val="00DD3D5A"/>
    <w:rsid w:val="00DE517C"/>
    <w:rsid w:val="00E03E3F"/>
    <w:rsid w:val="00E04E7A"/>
    <w:rsid w:val="00E05BF6"/>
    <w:rsid w:val="00E07FF2"/>
    <w:rsid w:val="00E1296D"/>
    <w:rsid w:val="00E16152"/>
    <w:rsid w:val="00E17228"/>
    <w:rsid w:val="00E56404"/>
    <w:rsid w:val="00E57FF9"/>
    <w:rsid w:val="00E70BF7"/>
    <w:rsid w:val="00E72D36"/>
    <w:rsid w:val="00E818C6"/>
    <w:rsid w:val="00E950D6"/>
    <w:rsid w:val="00E956F7"/>
    <w:rsid w:val="00EA7422"/>
    <w:rsid w:val="00EB278E"/>
    <w:rsid w:val="00EB55C3"/>
    <w:rsid w:val="00ED0D7E"/>
    <w:rsid w:val="00ED5CE1"/>
    <w:rsid w:val="00ED63B4"/>
    <w:rsid w:val="00EF3A41"/>
    <w:rsid w:val="00F011A2"/>
    <w:rsid w:val="00F20E8F"/>
    <w:rsid w:val="00F22ADE"/>
    <w:rsid w:val="00F22CE3"/>
    <w:rsid w:val="00F42FA1"/>
    <w:rsid w:val="00F43DE2"/>
    <w:rsid w:val="00F459C1"/>
    <w:rsid w:val="00F53490"/>
    <w:rsid w:val="00F674A2"/>
    <w:rsid w:val="00F80731"/>
    <w:rsid w:val="00F82ACC"/>
    <w:rsid w:val="00FB203E"/>
    <w:rsid w:val="00FB5015"/>
    <w:rsid w:val="00FB5D32"/>
    <w:rsid w:val="00FB6A80"/>
    <w:rsid w:val="00FD2FEA"/>
    <w:rsid w:val="00FE714D"/>
    <w:rsid w:val="00FF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82546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andard">
    <w:name w:val="standard"/>
    <w:basedOn w:val="Normal"/>
    <w:link w:val="standardChar"/>
    <w:pPr>
      <w:spacing w:line="360" w:lineRule="auto"/>
      <w:ind w:firstLine="720"/>
    </w:pPr>
  </w:style>
  <w:style w:type="paragraph" w:styleId="Title">
    <w:name w:val="Title"/>
    <w:basedOn w:val="Normal"/>
    <w:qFormat/>
    <w:pPr>
      <w:jc w:val="center"/>
    </w:pPr>
    <w:rPr>
      <w:rFonts w:ascii="Helvetica" w:hAnsi="Helvetica"/>
      <w:b/>
    </w:rPr>
  </w:style>
  <w:style w:type="paragraph" w:styleId="BlockText">
    <w:name w:val="Block Text"/>
    <w:basedOn w:val="Normal"/>
    <w:pPr>
      <w:ind w:left="720" w:right="720"/>
    </w:pPr>
  </w:style>
  <w:style w:type="character" w:customStyle="1" w:styleId="standardChar">
    <w:name w:val="standard Char"/>
    <w:link w:val="standard"/>
    <w:rPr>
      <w:rFonts w:ascii="Palatino" w:hAnsi="Palatino"/>
      <w:sz w:val="24"/>
      <w:lang w:val="en-US" w:eastAsia="en-US" w:bidi="ar-SA"/>
    </w:rPr>
  </w:style>
  <w:style w:type="paragraph" w:styleId="ListParagraph">
    <w:name w:val="List Paragraph"/>
    <w:basedOn w:val="Normal"/>
    <w:uiPriority w:val="34"/>
    <w:qFormat/>
    <w:rsid w:val="00C42ACD"/>
    <w:pPr>
      <w:ind w:left="720"/>
    </w:pPr>
  </w:style>
  <w:style w:type="paragraph" w:styleId="BalloonText">
    <w:name w:val="Balloon Text"/>
    <w:basedOn w:val="Normal"/>
    <w:link w:val="BalloonTextChar"/>
    <w:rsid w:val="00C42ACD"/>
    <w:rPr>
      <w:rFonts w:ascii="Tahoma" w:hAnsi="Tahoma" w:cs="Tahoma"/>
      <w:sz w:val="16"/>
      <w:szCs w:val="16"/>
    </w:rPr>
  </w:style>
  <w:style w:type="character" w:customStyle="1" w:styleId="BalloonTextChar">
    <w:name w:val="Balloon Text Char"/>
    <w:link w:val="BalloonText"/>
    <w:rsid w:val="00C42ACD"/>
    <w:rPr>
      <w:rFonts w:ascii="Tahoma" w:hAnsi="Tahoma" w:cs="Tahoma"/>
      <w:sz w:val="16"/>
      <w:szCs w:val="16"/>
    </w:rPr>
  </w:style>
  <w:style w:type="character" w:styleId="CommentReference">
    <w:name w:val="annotation reference"/>
    <w:rsid w:val="00395F70"/>
    <w:rPr>
      <w:sz w:val="16"/>
      <w:szCs w:val="16"/>
    </w:rPr>
  </w:style>
  <w:style w:type="paragraph" w:styleId="CommentText">
    <w:name w:val="annotation text"/>
    <w:basedOn w:val="Normal"/>
    <w:link w:val="CommentTextChar"/>
    <w:rsid w:val="00395F70"/>
    <w:rPr>
      <w:sz w:val="20"/>
    </w:rPr>
  </w:style>
  <w:style w:type="character" w:customStyle="1" w:styleId="CommentTextChar">
    <w:name w:val="Comment Text Char"/>
    <w:link w:val="CommentText"/>
    <w:rsid w:val="00395F70"/>
    <w:rPr>
      <w:rFonts w:ascii="Palatino" w:hAnsi="Palatino"/>
    </w:rPr>
  </w:style>
  <w:style w:type="paragraph" w:styleId="CommentSubject">
    <w:name w:val="annotation subject"/>
    <w:basedOn w:val="CommentText"/>
    <w:next w:val="CommentText"/>
    <w:link w:val="CommentSubjectChar"/>
    <w:rsid w:val="00395F70"/>
    <w:rPr>
      <w:b/>
      <w:bCs/>
    </w:rPr>
  </w:style>
  <w:style w:type="character" w:customStyle="1" w:styleId="CommentSubjectChar">
    <w:name w:val="Comment Subject Char"/>
    <w:link w:val="CommentSubject"/>
    <w:rsid w:val="00395F70"/>
    <w:rPr>
      <w:rFonts w:ascii="Palatino" w:hAnsi="Palatino"/>
      <w:b/>
      <w:bCs/>
    </w:rPr>
  </w:style>
  <w:style w:type="character" w:styleId="Hyperlink">
    <w:name w:val="Hyperlink"/>
    <w:uiPriority w:val="99"/>
    <w:rsid w:val="00693D01"/>
    <w:rPr>
      <w:color w:val="0563C1"/>
      <w:u w:val="single"/>
    </w:rPr>
  </w:style>
  <w:style w:type="character" w:customStyle="1" w:styleId="FooterChar">
    <w:name w:val="Footer Char"/>
    <w:link w:val="Footer"/>
    <w:uiPriority w:val="99"/>
    <w:rsid w:val="00565B0E"/>
    <w:rPr>
      <w:rFonts w:ascii="Palatino" w:hAnsi="Palatino"/>
      <w:sz w:val="24"/>
    </w:rPr>
  </w:style>
  <w:style w:type="character" w:customStyle="1" w:styleId="HeaderChar">
    <w:name w:val="Header Char"/>
    <w:link w:val="Header"/>
    <w:uiPriority w:val="99"/>
    <w:rsid w:val="005058AB"/>
    <w:rPr>
      <w:rFonts w:ascii="Palatino" w:hAnsi="Palatino"/>
      <w:sz w:val="24"/>
    </w:rPr>
  </w:style>
  <w:style w:type="paragraph" w:customStyle="1" w:styleId="main">
    <w:name w:val="main"/>
    <w:basedOn w:val="Normal"/>
    <w:rsid w:val="005058AB"/>
    <w:pPr>
      <w:jc w:val="center"/>
    </w:pPr>
    <w:rPr>
      <w:rFonts w:ascii="Helvetica" w:hAnsi="Helvetica"/>
      <w:b/>
      <w:sz w:val="26"/>
    </w:rPr>
  </w:style>
  <w:style w:type="paragraph" w:customStyle="1" w:styleId="titlebar">
    <w:name w:val="title bar"/>
    <w:basedOn w:val="main"/>
    <w:rsid w:val="005058AB"/>
    <w:pPr>
      <w:keepNext/>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453157">
      <w:bodyDiv w:val="1"/>
      <w:marLeft w:val="0"/>
      <w:marRight w:val="0"/>
      <w:marTop w:val="0"/>
      <w:marBottom w:val="0"/>
      <w:divBdr>
        <w:top w:val="none" w:sz="0" w:space="0" w:color="auto"/>
        <w:left w:val="none" w:sz="0" w:space="0" w:color="auto"/>
        <w:bottom w:val="none" w:sz="0" w:space="0" w:color="auto"/>
        <w:right w:val="none" w:sz="0" w:space="0" w:color="auto"/>
      </w:divBdr>
      <w:divsChild>
        <w:div w:id="1219586754">
          <w:marLeft w:val="0"/>
          <w:marRight w:val="0"/>
          <w:marTop w:val="0"/>
          <w:marBottom w:val="0"/>
          <w:divBdr>
            <w:top w:val="none" w:sz="0" w:space="0" w:color="auto"/>
            <w:left w:val="none" w:sz="0" w:space="0" w:color="auto"/>
            <w:bottom w:val="none" w:sz="0" w:space="0" w:color="auto"/>
            <w:right w:val="none" w:sz="0" w:space="0" w:color="auto"/>
          </w:divBdr>
        </w:div>
      </w:divsChild>
    </w:div>
    <w:div w:id="1433941036">
      <w:bodyDiv w:val="1"/>
      <w:marLeft w:val="0"/>
      <w:marRight w:val="0"/>
      <w:marTop w:val="0"/>
      <w:marBottom w:val="0"/>
      <w:divBdr>
        <w:top w:val="none" w:sz="0" w:space="0" w:color="auto"/>
        <w:left w:val="none" w:sz="0" w:space="0" w:color="auto"/>
        <w:bottom w:val="none" w:sz="0" w:space="0" w:color="auto"/>
        <w:right w:val="none" w:sz="0" w:space="0" w:color="auto"/>
      </w:divBdr>
    </w:div>
    <w:div w:id="18409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s.cpuc.ca.gov/SearchRes.aspx?DocTypeID=9&amp;Latest=1"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4AFAC9D766049861E59D932AA54A1" ma:contentTypeVersion="2" ma:contentTypeDescription="Create a new document." ma:contentTypeScope="" ma:versionID="748e757ad4e26d77103a338037c8b506">
  <xsd:schema xmlns:xsd="http://www.w3.org/2001/XMLSchema" xmlns:xs="http://www.w3.org/2001/XMLSchema" xmlns:p="http://schemas.microsoft.com/office/2006/metadata/properties" xmlns:ns3="ea92253e-8fdb-4208-8bdc-c8077537b837" targetNamespace="http://schemas.microsoft.com/office/2006/metadata/properties" ma:root="true" ma:fieldsID="b515fb4f90b2af1188298f6613632060" ns3:_="">
    <xsd:import namespace="ea92253e-8fdb-4208-8bdc-c8077537b83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2253e-8fdb-4208-8bdc-c8077537b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7813-2F98-4BDB-8843-3F3F44B96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2253e-8fdb-4208-8bdc-c8077537b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B9C3D-1163-410A-B2FD-1BD7BAA4EBFE}">
  <ds:schemaRefs>
    <ds:schemaRef ds:uri="http://schemas.microsoft.com/sharepoint/v3/contenttype/forms"/>
  </ds:schemaRefs>
</ds:datastoreItem>
</file>

<file path=customXml/itemProps3.xml><?xml version="1.0" encoding="utf-8"?>
<ds:datastoreItem xmlns:ds="http://schemas.openxmlformats.org/officeDocument/2006/customXml" ds:itemID="{ACEE6FC3-F6D0-4D86-9519-BACC6DB9E6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88926C-8A70-4883-B418-8382FDAA984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ap:Pages>
  <ap:Words>4176</ap:Words>
  <ap:Characters>23804</ap:Characters>
  <ap:Application>Microsoft Office Word</ap:Application>
  <ap:DocSecurity>0</ap:DocSecurity>
  <ap:Lines>198</ap:Lines>
  <ap:Paragraphs>55</ap:Paragraphs>
  <ap:ScaleCrop>false</ap:ScaleCrop>
  <ap:HeadingPairs>
    <vt:vector baseType="variant" size="2">
      <vt:variant>
        <vt:lpstr>Title</vt:lpstr>
      </vt:variant>
      <vt:variant>
        <vt:i4>1</vt:i4>
      </vt:variant>
    </vt:vector>
  </ap:HeadingPairs>
  <ap:TitlesOfParts>
    <vt:vector baseType="lpstr" size="1">
      <vt:lpstr>_</vt:lpstr>
    </vt:vector>
  </ap:TitlesOfParts>
  <ap:LinksUpToDate>false</ap:LinksUpToDate>
  <ap:CharactersWithSpaces>27925</ap:CharactersWithSpaces>
  <ap:SharedDoc>false</ap:SharedDoc>
  <ap:HLinks>
    <vt:vector baseType="variant" size="12">
      <vt:variant>
        <vt:i4>3932246</vt:i4>
      </vt:variant>
      <vt:variant>
        <vt:i4>3</vt:i4>
      </vt:variant>
      <vt:variant>
        <vt:i4>0</vt:i4>
      </vt:variant>
      <vt:variant>
        <vt:i4>5</vt:i4>
      </vt:variant>
      <vt:variant>
        <vt:lpwstr>mailto:rmd@cpuc.ca.gov</vt:lpwstr>
      </vt:variant>
      <vt:variant>
        <vt:lpwstr/>
      </vt:variant>
      <vt:variant>
        <vt:i4>3342442</vt:i4>
      </vt:variant>
      <vt:variant>
        <vt:i4>0</vt:i4>
      </vt:variant>
      <vt:variant>
        <vt:i4>0</vt:i4>
      </vt:variant>
      <vt:variant>
        <vt:i4>5</vt:i4>
      </vt:variant>
      <vt:variant>
        <vt:lpwstr>http://docs.cpuc.ca.gov/SearchRes.aspx?DocTypeID=9&amp;Latest=1</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2009-09-02T21:17:00Z</cp:lastPrinted>
  <dcterms:created xsi:type="dcterms:W3CDTF">2020-11-16T15:27:52Z</dcterms:created>
  <dcterms:modified xsi:type="dcterms:W3CDTF">2020-11-16T15:27:52Z</dcterms:modified>
</cp:coreProperties>
</file>