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1CB5" w:rsidR="0091013E" w:rsidP="0091013E" w:rsidRDefault="0091013E" w14:paraId="486282B5" w14:textId="77777777">
      <w:pPr>
        <w:pBdr>
          <w:bottom w:val="double" w:color="auto" w:sz="6" w:space="1"/>
        </w:pBdr>
        <w:tabs>
          <w:tab w:val="right" w:pos="11070"/>
        </w:tabs>
        <w:rPr>
          <w:rFonts w:ascii="Book Antiqua" w:hAnsi="Book Antiqua"/>
          <w:i/>
        </w:rPr>
      </w:pPr>
      <w:r w:rsidRPr="007C1CB5">
        <w:rPr>
          <w:rFonts w:ascii="Book Antiqua" w:hAnsi="Book Antiqua"/>
          <w:sz w:val="16"/>
        </w:rPr>
        <w:t>STATE OF CALIFORNIA                                                                                                                            GAVIN NEWSOM,</w:t>
      </w:r>
      <w:r w:rsidRPr="007C1CB5">
        <w:rPr>
          <w:rFonts w:ascii="Book Antiqua" w:hAnsi="Book Antiqua"/>
        </w:rPr>
        <w:t xml:space="preserve"> </w:t>
      </w:r>
      <w:r w:rsidRPr="007C1CB5">
        <w:rPr>
          <w:rFonts w:ascii="Book Antiqua" w:hAnsi="Book Antiqua"/>
          <w:i/>
          <w:sz w:val="16"/>
        </w:rPr>
        <w:t>Governor</w:t>
      </w:r>
    </w:p>
    <w:p w:rsidRPr="007C1CB5" w:rsidR="0091013E" w:rsidP="0091013E" w:rsidRDefault="0091013E" w14:paraId="063D3133" w14:textId="78D9C250">
      <w:pPr>
        <w:framePr w:hSpace="180" w:wrap="around" w:hAnchor="page" w:vAnchor="text" w:x="9637" w:y="173"/>
        <w:rPr>
          <w:rFonts w:ascii="Book Antiqua" w:hAnsi="Book Antiqua"/>
        </w:rPr>
      </w:pPr>
      <w:r w:rsidRPr="007C1CB5">
        <w:rPr>
          <w:rFonts w:ascii="Book Antiqua" w:hAnsi="Book Antiqua"/>
          <w:noProof/>
        </w:rPr>
        <w:drawing>
          <wp:inline distT="0" distB="0" distL="0" distR="0" wp14:anchorId="4E7DBA57" wp14:editId="1A6391B6">
            <wp:extent cx="6667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rsidRPr="007C1CB5" w:rsidR="0091013E" w:rsidP="0091013E" w:rsidRDefault="0091013E" w14:paraId="74952407" w14:textId="77777777">
      <w:pPr>
        <w:tabs>
          <w:tab w:val="right" w:pos="11070"/>
        </w:tabs>
        <w:spacing w:before="80"/>
        <w:rPr>
          <w:rFonts w:ascii="Book Antiqua" w:hAnsi="Book Antiqua"/>
        </w:rPr>
      </w:pPr>
      <w:r w:rsidRPr="007C1CB5">
        <w:rPr>
          <w:rFonts w:ascii="Book Antiqua" w:hAnsi="Book Antiqua"/>
        </w:rPr>
        <w:t>PUBLIC UTILITIES COMMISSION</w:t>
      </w:r>
    </w:p>
    <w:p w:rsidRPr="007C1CB5" w:rsidR="0091013E" w:rsidP="0091013E" w:rsidRDefault="0091013E" w14:paraId="18940AB8" w14:textId="77777777">
      <w:pPr>
        <w:tabs>
          <w:tab w:val="right" w:pos="11070"/>
        </w:tabs>
        <w:spacing w:before="80"/>
        <w:rPr>
          <w:rFonts w:ascii="Book Antiqua" w:hAnsi="Book Antiqua"/>
          <w:sz w:val="12"/>
        </w:rPr>
      </w:pPr>
      <w:r w:rsidRPr="007C1CB5">
        <w:rPr>
          <w:rFonts w:ascii="Book Antiqua" w:hAnsi="Book Antiqua"/>
          <w:sz w:val="12"/>
        </w:rPr>
        <w:t>505 VAN NESS AVENUE</w:t>
      </w:r>
    </w:p>
    <w:p w:rsidRPr="007C1CB5" w:rsidR="0091013E" w:rsidP="0091013E" w:rsidRDefault="0091013E" w14:paraId="026BF729" w14:textId="77777777">
      <w:pPr>
        <w:tabs>
          <w:tab w:val="right" w:pos="11070"/>
        </w:tabs>
        <w:spacing w:before="80"/>
        <w:rPr>
          <w:rFonts w:ascii="Book Antiqua" w:hAnsi="Book Antiqua"/>
          <w:sz w:val="12"/>
        </w:rPr>
      </w:pPr>
      <w:r w:rsidRPr="007C1CB5">
        <w:rPr>
          <w:rFonts w:ascii="Book Antiqua" w:hAnsi="Book Antiqua"/>
          <w:sz w:val="12"/>
        </w:rPr>
        <w:t>SAN FRANCISCO, CA  94102-3298</w:t>
      </w:r>
    </w:p>
    <w:p w:rsidRPr="007C1CB5" w:rsidR="0091013E" w:rsidP="0091013E" w:rsidRDefault="0091013E" w14:paraId="02F589DC" w14:textId="77777777">
      <w:pPr>
        <w:rPr>
          <w:rFonts w:ascii="Book Antiqua" w:hAnsi="Book Antiqua"/>
          <w:sz w:val="26"/>
        </w:rPr>
      </w:pPr>
    </w:p>
    <w:p w:rsidRPr="007C1CB5" w:rsidR="000E4CCA" w:rsidP="000E4CCA" w:rsidRDefault="000E4CCA" w14:paraId="04DB5C92" w14:textId="77777777">
      <w:pPr>
        <w:rPr>
          <w:rFonts w:ascii="Book Antiqua" w:hAnsi="Book Antiqua"/>
        </w:rPr>
      </w:pPr>
    </w:p>
    <w:p w:rsidRPr="007C1CB5" w:rsidR="000E4CCA" w:rsidP="000E4CCA" w:rsidRDefault="007169B1" w14:paraId="6E7AFE44" w14:textId="0D9BA45C">
      <w:pPr>
        <w:rPr>
          <w:rFonts w:ascii="Book Antiqua" w:hAnsi="Book Antiqua"/>
          <w:u w:val="single"/>
        </w:rPr>
      </w:pPr>
      <w:r>
        <w:rPr>
          <w:rFonts w:ascii="Book Antiqua" w:hAnsi="Book Antiqua"/>
        </w:rPr>
        <w:t>November 11, 2020</w:t>
      </w:r>
      <w:r w:rsidRPr="007C1CB5" w:rsidR="000E4CCA">
        <w:rPr>
          <w:rFonts w:ascii="Book Antiqua" w:hAnsi="Book Antiqua"/>
        </w:rPr>
        <w:tab/>
      </w:r>
      <w:r w:rsidRPr="007C1CB5" w:rsidR="000E4CCA">
        <w:rPr>
          <w:rFonts w:ascii="Book Antiqua" w:hAnsi="Book Antiqua"/>
        </w:rPr>
        <w:tab/>
      </w:r>
      <w:r w:rsidRPr="007C1CB5" w:rsidR="001771A4">
        <w:rPr>
          <w:rFonts w:ascii="Book Antiqua" w:hAnsi="Book Antiqua"/>
        </w:rPr>
        <w:tab/>
      </w:r>
      <w:r w:rsidRPr="007C1CB5" w:rsidR="001771A4">
        <w:rPr>
          <w:rFonts w:ascii="Book Antiqua" w:hAnsi="Book Antiqua"/>
        </w:rPr>
        <w:tab/>
      </w:r>
      <w:r w:rsidRPr="007C1CB5" w:rsidR="000E4CCA">
        <w:rPr>
          <w:rFonts w:ascii="Book Antiqua" w:hAnsi="Book Antiqua"/>
        </w:rPr>
        <w:tab/>
      </w:r>
      <w:r w:rsidRPr="007C1CB5" w:rsidR="000E4CCA">
        <w:rPr>
          <w:rFonts w:ascii="Book Antiqua" w:hAnsi="Book Antiqua"/>
        </w:rPr>
        <w:tab/>
      </w:r>
      <w:r w:rsidRPr="007C1CB5" w:rsidR="000E4CCA">
        <w:rPr>
          <w:rFonts w:ascii="Book Antiqua" w:hAnsi="Book Antiqua"/>
        </w:rPr>
        <w:tab/>
      </w:r>
      <w:r w:rsidRPr="007C1CB5" w:rsidR="00D0413A">
        <w:rPr>
          <w:rFonts w:ascii="Book Antiqua" w:hAnsi="Book Antiqua"/>
        </w:rPr>
        <w:tab/>
      </w:r>
      <w:r w:rsidRPr="007C1CB5" w:rsidR="000E4CCA">
        <w:rPr>
          <w:rFonts w:ascii="Book Antiqua" w:hAnsi="Book Antiqua"/>
        </w:rPr>
        <w:t>Agenda ID #</w:t>
      </w:r>
      <w:r>
        <w:rPr>
          <w:rFonts w:ascii="Book Antiqua" w:hAnsi="Book Antiqua"/>
        </w:rPr>
        <w:t>18988</w:t>
      </w:r>
    </w:p>
    <w:p w:rsidRPr="007C1CB5" w:rsidR="000E4CCA" w:rsidP="000E4CCA" w:rsidRDefault="000E4CCA" w14:paraId="7F795D80" w14:textId="77777777">
      <w:pPr>
        <w:rPr>
          <w:rFonts w:ascii="Book Antiqua" w:hAnsi="Book Antiqua"/>
        </w:rPr>
      </w:pPr>
    </w:p>
    <w:p w:rsidRPr="007C1CB5" w:rsidR="000E4CCA" w:rsidP="000E4CCA" w:rsidRDefault="000E4CCA" w14:paraId="6E04FFCB" w14:textId="77777777">
      <w:pPr>
        <w:rPr>
          <w:rFonts w:ascii="Book Antiqua" w:hAnsi="Book Antiqua"/>
        </w:rPr>
      </w:pPr>
    </w:p>
    <w:p w:rsidRPr="007C1CB5" w:rsidR="000E4CCA" w:rsidP="00D0413A" w:rsidRDefault="000E4CCA" w14:paraId="49A1D1C7" w14:textId="26127A8E">
      <w:pPr>
        <w:spacing w:after="240"/>
        <w:rPr>
          <w:rFonts w:ascii="Book Antiqua" w:hAnsi="Book Antiqua"/>
        </w:rPr>
      </w:pPr>
      <w:r w:rsidRPr="007C1CB5">
        <w:rPr>
          <w:rFonts w:ascii="Book Antiqua" w:hAnsi="Book Antiqua"/>
        </w:rPr>
        <w:t>TO PARTIES OF RECORD IN DRAFT RESOLUTION ALJ-</w:t>
      </w:r>
      <w:r w:rsidRPr="007C1CB5" w:rsidR="007C1CB5">
        <w:rPr>
          <w:rFonts w:ascii="Book Antiqua" w:hAnsi="Book Antiqua"/>
        </w:rPr>
        <w:t>393</w:t>
      </w:r>
    </w:p>
    <w:p w:rsidRPr="007C1CB5" w:rsidR="000E4CCA" w:rsidP="00D0413A" w:rsidRDefault="000E4CCA" w14:paraId="0346D81E" w14:textId="6170BB1B">
      <w:pPr>
        <w:spacing w:after="240"/>
        <w:rPr>
          <w:rFonts w:ascii="Book Antiqua" w:hAnsi="Book Antiqua"/>
        </w:rPr>
      </w:pPr>
      <w:r w:rsidRPr="007C1CB5">
        <w:rPr>
          <w:rFonts w:ascii="Book Antiqua" w:hAnsi="Book Antiqua"/>
        </w:rPr>
        <w:t xml:space="preserve">This is the draft </w:t>
      </w:r>
      <w:r w:rsidRPr="007C1CB5" w:rsidR="00111A97">
        <w:rPr>
          <w:rFonts w:ascii="Book Antiqua" w:hAnsi="Book Antiqua"/>
        </w:rPr>
        <w:t xml:space="preserve">resolution </w:t>
      </w:r>
      <w:r w:rsidRPr="007C1CB5">
        <w:rPr>
          <w:rFonts w:ascii="Book Antiqua" w:hAnsi="Book Antiqua"/>
        </w:rPr>
        <w:t xml:space="preserve">of the Administrative Law Judge </w:t>
      </w:r>
      <w:r w:rsidRPr="007C1CB5" w:rsidR="00833527">
        <w:rPr>
          <w:rFonts w:ascii="Book Antiqua" w:hAnsi="Book Antiqua"/>
        </w:rPr>
        <w:t xml:space="preserve">Division </w:t>
      </w:r>
      <w:r w:rsidRPr="007C1CB5" w:rsidR="00525ACE">
        <w:rPr>
          <w:rFonts w:ascii="Book Antiqua" w:hAnsi="Book Antiqua"/>
        </w:rPr>
        <w:t>a</w:t>
      </w:r>
      <w:r w:rsidRPr="007C1CB5">
        <w:rPr>
          <w:rFonts w:ascii="Book Antiqua" w:hAnsi="Book Antiqua"/>
        </w:rPr>
        <w:t xml:space="preserve">dopting </w:t>
      </w:r>
      <w:r w:rsidRPr="007C1CB5" w:rsidR="00E2024C">
        <w:rPr>
          <w:rFonts w:ascii="Book Antiqua" w:hAnsi="Book Antiqua"/>
        </w:rPr>
        <w:t xml:space="preserve">the </w:t>
      </w:r>
      <w:r w:rsidRPr="007C1CB5" w:rsidR="00652BCD">
        <w:rPr>
          <w:rFonts w:ascii="Book Antiqua" w:hAnsi="Book Antiqua"/>
        </w:rPr>
        <w:t xml:space="preserve">Intervenor Compensation Market Rate Study </w:t>
      </w:r>
      <w:r w:rsidRPr="007C1CB5">
        <w:rPr>
          <w:rFonts w:ascii="Book Antiqua" w:hAnsi="Book Antiqua"/>
        </w:rPr>
        <w:t>for 20</w:t>
      </w:r>
      <w:r w:rsidRPr="007C1CB5" w:rsidR="00652BCD">
        <w:rPr>
          <w:rFonts w:ascii="Book Antiqua" w:hAnsi="Book Antiqua"/>
        </w:rPr>
        <w:t>2</w:t>
      </w:r>
      <w:r w:rsidRPr="007C1CB5" w:rsidR="00E2024C">
        <w:rPr>
          <w:rFonts w:ascii="Book Antiqua" w:hAnsi="Book Antiqua"/>
        </w:rPr>
        <w:t>1</w:t>
      </w:r>
      <w:r w:rsidRPr="007C1CB5">
        <w:rPr>
          <w:rFonts w:ascii="Book Antiqua" w:hAnsi="Book Antiqua"/>
        </w:rPr>
        <w:t xml:space="preserve">.  It will not appear on the Commission’s agenda sooner than </w:t>
      </w:r>
      <w:r w:rsidRPr="007C1CB5" w:rsidR="001771A4">
        <w:rPr>
          <w:rFonts w:ascii="Book Antiqua" w:hAnsi="Book Antiqua"/>
        </w:rPr>
        <w:t>30 </w:t>
      </w:r>
      <w:r w:rsidRPr="007C1CB5">
        <w:rPr>
          <w:rFonts w:ascii="Book Antiqua" w:hAnsi="Book Antiqua"/>
        </w:rPr>
        <w:t xml:space="preserve">days from the date it is mailed.  The Commission may act then, or it may postpone action until later. </w:t>
      </w:r>
    </w:p>
    <w:p w:rsidRPr="007C1CB5" w:rsidR="000E4CCA" w:rsidP="00D0413A" w:rsidRDefault="000E4CCA" w14:paraId="04E101EF" w14:textId="3CC6F684">
      <w:pPr>
        <w:spacing w:after="240"/>
        <w:rPr>
          <w:rFonts w:ascii="Book Antiqua" w:hAnsi="Book Antiqua"/>
        </w:rPr>
      </w:pPr>
      <w:r w:rsidRPr="007C1CB5">
        <w:rPr>
          <w:rFonts w:ascii="Book Antiqua" w:hAnsi="Book Antiqua"/>
        </w:rPr>
        <w:t>When the Commission acts on the draft resolution, it may adopt all or part of it as written, amend or modify it, or set it aside and prepare its own order.  Only when the Commission acts does the resolution become binding.</w:t>
      </w:r>
    </w:p>
    <w:p w:rsidRPr="007C1CB5" w:rsidR="000E4CCA" w:rsidP="00D0413A" w:rsidRDefault="000E4CCA" w14:paraId="60F375ED" w14:textId="7DEC16C3">
      <w:pPr>
        <w:spacing w:after="240"/>
        <w:rPr>
          <w:rFonts w:ascii="Book Antiqua" w:hAnsi="Book Antiqua"/>
        </w:rPr>
      </w:pPr>
      <w:r w:rsidRPr="007C1CB5">
        <w:rPr>
          <w:rFonts w:ascii="Book Antiqua" w:hAnsi="Book Antiqua"/>
        </w:rPr>
        <w:t>You may serve comments on the draft resolution.  Opening comment</w:t>
      </w:r>
      <w:r w:rsidRPr="007C1CB5" w:rsidR="00297C22">
        <w:rPr>
          <w:rFonts w:ascii="Book Antiqua" w:hAnsi="Book Antiqua"/>
        </w:rPr>
        <w:t xml:space="preserve">s shall be served no later than </w:t>
      </w:r>
      <w:r w:rsidRPr="007C1CB5" w:rsidR="00E2024C">
        <w:rPr>
          <w:rFonts w:ascii="Book Antiqua" w:hAnsi="Book Antiqua"/>
        </w:rPr>
        <w:t xml:space="preserve">December </w:t>
      </w:r>
      <w:r w:rsidR="00722A59">
        <w:rPr>
          <w:rFonts w:ascii="Book Antiqua" w:hAnsi="Book Antiqua"/>
        </w:rPr>
        <w:t>7</w:t>
      </w:r>
      <w:r w:rsidRPr="007C1CB5" w:rsidR="00652BCD">
        <w:rPr>
          <w:rFonts w:ascii="Book Antiqua" w:hAnsi="Book Antiqua"/>
        </w:rPr>
        <w:t>, 2020</w:t>
      </w:r>
      <w:r w:rsidRPr="007C1CB5">
        <w:rPr>
          <w:rFonts w:ascii="Book Antiqua" w:hAnsi="Book Antiqua"/>
        </w:rPr>
        <w:t>.  Service is required on all persons on the attached service list.  Comments shall be served consistent with the requirements of Pub. Util. Code § 311(g) and Rule 14.5 of the Ru</w:t>
      </w:r>
      <w:r w:rsidRPr="007C1CB5" w:rsidR="00ED0B45">
        <w:rPr>
          <w:rFonts w:ascii="Book Antiqua" w:hAnsi="Book Antiqua"/>
        </w:rPr>
        <w:t xml:space="preserve">les of Practice and Procedure.  Reply comments shall be served no later than </w:t>
      </w:r>
      <w:r w:rsidRPr="007C1CB5" w:rsidR="00E2024C">
        <w:rPr>
          <w:rFonts w:ascii="Book Antiqua" w:hAnsi="Book Antiqua"/>
        </w:rPr>
        <w:t xml:space="preserve">December </w:t>
      </w:r>
      <w:r w:rsidR="00722A59">
        <w:rPr>
          <w:rFonts w:ascii="Book Antiqua" w:hAnsi="Book Antiqua"/>
        </w:rPr>
        <w:t>14</w:t>
      </w:r>
      <w:r w:rsidRPr="007C1CB5" w:rsidR="00ED0B45">
        <w:rPr>
          <w:rFonts w:ascii="Book Antiqua" w:hAnsi="Book Antiqua"/>
        </w:rPr>
        <w:t>, 20</w:t>
      </w:r>
      <w:r w:rsidRPr="007C1CB5" w:rsidR="00652BCD">
        <w:rPr>
          <w:rFonts w:ascii="Book Antiqua" w:hAnsi="Book Antiqua"/>
        </w:rPr>
        <w:t>20</w:t>
      </w:r>
      <w:r w:rsidRPr="007C1CB5" w:rsidR="00ED0B45">
        <w:rPr>
          <w:rFonts w:ascii="Book Antiqua" w:hAnsi="Book Antiqua"/>
        </w:rPr>
        <w:t>.</w:t>
      </w:r>
    </w:p>
    <w:p w:rsidRPr="007C1CB5" w:rsidR="000E4CCA" w:rsidP="000E4CCA" w:rsidRDefault="00111A97" w14:paraId="76FFFB08" w14:textId="59B67415">
      <w:pPr>
        <w:rPr>
          <w:rFonts w:ascii="Book Antiqua" w:hAnsi="Book Antiqua"/>
          <w:szCs w:val="26"/>
        </w:rPr>
      </w:pPr>
      <w:r w:rsidRPr="007C1CB5">
        <w:rPr>
          <w:rFonts w:ascii="Book Antiqua" w:hAnsi="Book Antiqua"/>
          <w:szCs w:val="26"/>
        </w:rPr>
        <w:t>C</w:t>
      </w:r>
      <w:r w:rsidRPr="007C1CB5" w:rsidR="000E4CCA">
        <w:rPr>
          <w:rFonts w:ascii="Book Antiqua" w:hAnsi="Book Antiqua"/>
          <w:szCs w:val="26"/>
        </w:rPr>
        <w:t xml:space="preserve">omments must be </w:t>
      </w:r>
      <w:r w:rsidRPr="007C1CB5" w:rsidR="0080649F">
        <w:rPr>
          <w:rFonts w:ascii="Book Antiqua" w:hAnsi="Book Antiqua"/>
          <w:szCs w:val="26"/>
        </w:rPr>
        <w:t xml:space="preserve">electronically </w:t>
      </w:r>
      <w:r w:rsidRPr="007C1CB5" w:rsidR="000E4CCA">
        <w:rPr>
          <w:rFonts w:ascii="Book Antiqua" w:hAnsi="Book Antiqua"/>
          <w:szCs w:val="26"/>
        </w:rPr>
        <w:t xml:space="preserve">served separately on </w:t>
      </w:r>
      <w:r w:rsidRPr="007C1CB5" w:rsidR="008C20AE">
        <w:rPr>
          <w:rFonts w:ascii="Book Antiqua" w:hAnsi="Book Antiqua"/>
          <w:szCs w:val="26"/>
        </w:rPr>
        <w:t>the Intervenor Compensation Coordinator</w:t>
      </w:r>
      <w:r w:rsidRPr="007C1CB5" w:rsidR="000E4CCA">
        <w:rPr>
          <w:rFonts w:ascii="Book Antiqua" w:hAnsi="Book Antiqua"/>
          <w:szCs w:val="26"/>
        </w:rPr>
        <w:t xml:space="preserve"> at</w:t>
      </w:r>
      <w:r w:rsidRPr="007C1CB5" w:rsidR="00F61105">
        <w:rPr>
          <w:rFonts w:ascii="Book Antiqua" w:hAnsi="Book Antiqua"/>
          <w:szCs w:val="26"/>
        </w:rPr>
        <w:t xml:space="preserve"> icompcoordinator@cpuc.ca.gov</w:t>
      </w:r>
      <w:r w:rsidRPr="007C1CB5" w:rsidR="000E4CCA">
        <w:rPr>
          <w:rFonts w:ascii="Book Antiqua" w:hAnsi="Book Antiqua"/>
          <w:szCs w:val="26"/>
        </w:rPr>
        <w:t xml:space="preserve">. </w:t>
      </w:r>
    </w:p>
    <w:p w:rsidRPr="007C1CB5" w:rsidR="000E4CCA" w:rsidP="000E4CCA" w:rsidRDefault="000E4CCA" w14:paraId="3A86E463" w14:textId="77777777">
      <w:pPr>
        <w:rPr>
          <w:rFonts w:ascii="Book Antiqua" w:hAnsi="Book Antiqua"/>
        </w:rPr>
      </w:pPr>
    </w:p>
    <w:p w:rsidRPr="007C1CB5" w:rsidR="000E4CCA" w:rsidP="000E4CCA" w:rsidRDefault="000E4CCA" w14:paraId="63F47232" w14:textId="77777777">
      <w:pPr>
        <w:rPr>
          <w:rFonts w:ascii="Book Antiqua" w:hAnsi="Book Antiqua"/>
        </w:rPr>
      </w:pPr>
    </w:p>
    <w:p w:rsidRPr="007C1CB5" w:rsidR="000E4CCA" w:rsidP="000E4CCA" w:rsidRDefault="008A11DA" w14:paraId="33CDC5E7" w14:textId="083882C4">
      <w:pPr>
        <w:rPr>
          <w:rFonts w:ascii="Book Antiqua" w:hAnsi="Book Antiqua"/>
          <w:u w:val="single"/>
        </w:rPr>
      </w:pPr>
      <w:r w:rsidRPr="007C1CB5">
        <w:rPr>
          <w:rFonts w:ascii="Book Antiqua" w:hAnsi="Book Antiqua"/>
          <w:u w:val="single"/>
        </w:rPr>
        <w:t>/s/</w:t>
      </w:r>
      <w:r w:rsidR="007169B1">
        <w:rPr>
          <w:rFonts w:ascii="Book Antiqua" w:hAnsi="Book Antiqua"/>
          <w:u w:val="single"/>
        </w:rPr>
        <w:t>ANNE E. SIMON</w:t>
      </w:r>
    </w:p>
    <w:p w:rsidRPr="007C1CB5" w:rsidR="00652BCD" w:rsidP="000E4CCA" w:rsidRDefault="00833527" w14:paraId="2C0DEA28" w14:textId="21B4F95A">
      <w:pPr>
        <w:rPr>
          <w:rFonts w:ascii="Book Antiqua" w:hAnsi="Book Antiqua"/>
        </w:rPr>
      </w:pPr>
      <w:r w:rsidRPr="007C1CB5">
        <w:rPr>
          <w:rFonts w:ascii="Book Antiqua" w:hAnsi="Book Antiqua"/>
        </w:rPr>
        <w:t>Anne E. Simon</w:t>
      </w:r>
    </w:p>
    <w:p w:rsidRPr="007C1CB5" w:rsidR="000E4CCA" w:rsidP="000E4CCA" w:rsidRDefault="00833527" w14:paraId="14A91EFA" w14:textId="17914F59">
      <w:pPr>
        <w:rPr>
          <w:rFonts w:ascii="Book Antiqua" w:hAnsi="Book Antiqua"/>
        </w:rPr>
      </w:pPr>
      <w:r w:rsidRPr="007C1CB5">
        <w:rPr>
          <w:rFonts w:ascii="Book Antiqua" w:hAnsi="Book Antiqua"/>
        </w:rPr>
        <w:t xml:space="preserve">Chief </w:t>
      </w:r>
      <w:r w:rsidRPr="007C1CB5" w:rsidR="000E4CCA">
        <w:rPr>
          <w:rFonts w:ascii="Book Antiqua" w:hAnsi="Book Antiqua"/>
        </w:rPr>
        <w:t>Administrative Law Judge</w:t>
      </w:r>
    </w:p>
    <w:p w:rsidRPr="007C1CB5" w:rsidR="000E4CCA" w:rsidP="000E4CCA" w:rsidRDefault="000E4CCA" w14:paraId="3716183D" w14:textId="77777777">
      <w:pPr>
        <w:rPr>
          <w:rFonts w:ascii="Book Antiqua" w:hAnsi="Book Antiqua"/>
        </w:rPr>
      </w:pPr>
    </w:p>
    <w:p w:rsidRPr="007C1CB5" w:rsidR="000E4CCA" w:rsidP="000E4CCA" w:rsidRDefault="000E4CCA" w14:paraId="65ACB792" w14:textId="77777777">
      <w:pPr>
        <w:outlineLvl w:val="0"/>
        <w:rPr>
          <w:rFonts w:ascii="Book Antiqua" w:hAnsi="Book Antiqua"/>
        </w:rPr>
      </w:pPr>
    </w:p>
    <w:p w:rsidR="00EB16C4" w:rsidP="00EB16C4" w:rsidRDefault="000E4CCA" w14:paraId="2DE9F718" w14:textId="77777777">
      <w:pPr>
        <w:rPr>
          <w:rFonts w:ascii="Book Antiqua" w:hAnsi="Book Antiqua"/>
        </w:rPr>
        <w:sectPr w:rsidR="00EB16C4" w:rsidSect="00EB16C4">
          <w:footerReference w:type="default" r:id="rId9"/>
          <w:headerReference w:type="first" r:id="rId10"/>
          <w:type w:val="continuous"/>
          <w:pgSz w:w="12240" w:h="15840"/>
          <w:pgMar w:top="1440" w:right="1440" w:bottom="1440" w:left="1440" w:header="720" w:footer="720" w:gutter="0"/>
          <w:pgNumType w:fmt="numberInDash" w:start="1"/>
          <w:cols w:space="720"/>
          <w:docGrid w:linePitch="360"/>
        </w:sectPr>
      </w:pPr>
      <w:r w:rsidRPr="007C1CB5">
        <w:rPr>
          <w:rFonts w:ascii="Book Antiqua" w:hAnsi="Book Antiqua"/>
        </w:rPr>
        <w:t>Attachment</w:t>
      </w:r>
    </w:p>
    <w:p w:rsidR="00EB16C4" w:rsidP="00EB16C4" w:rsidRDefault="00EB16C4" w14:paraId="319DCEA3" w14:textId="5F3C788F">
      <w:pPr>
        <w:rPr>
          <w:rFonts w:ascii="Book Antiqua" w:hAnsi="Book Antiqua"/>
        </w:rPr>
      </w:pPr>
    </w:p>
    <w:p w:rsidRPr="00EB16C4" w:rsidR="00E30A2F" w:rsidP="00EB16C4" w:rsidRDefault="00BB47DF" w14:paraId="17B6ADC7" w14:textId="4859A1B7">
      <w:pPr>
        <w:jc w:val="center"/>
        <w:rPr>
          <w:rFonts w:ascii="Book Antiqua" w:hAnsi="Book Antiqua"/>
          <w:b/>
          <w:bCs/>
          <w:sz w:val="26"/>
          <w:szCs w:val="26"/>
        </w:rPr>
      </w:pPr>
      <w:r w:rsidRPr="00EB16C4">
        <w:rPr>
          <w:rFonts w:ascii="Book Antiqua" w:hAnsi="Book Antiqua"/>
          <w:b/>
          <w:bCs/>
          <w:sz w:val="26"/>
          <w:szCs w:val="26"/>
        </w:rPr>
        <w:t>PUBLIC UTILITIES COMMISSION OF THE STATE OF CALIFORNIA</w:t>
      </w:r>
    </w:p>
    <w:p w:rsidRPr="007C1CB5" w:rsidR="00E30A2F" w:rsidP="00FA55E5" w:rsidRDefault="00E30A2F" w14:paraId="5635661C" w14:textId="77777777">
      <w:pPr>
        <w:spacing w:after="120"/>
        <w:rPr>
          <w:rFonts w:ascii="Book Antiqua" w:hAnsi="Book Antiqua"/>
          <w:szCs w:val="24"/>
        </w:rPr>
      </w:pPr>
    </w:p>
    <w:p w:rsidRPr="007C1CB5" w:rsidR="00E30A2F" w:rsidRDefault="00BB47DF" w14:paraId="599B3090" w14:textId="5FA9BC83">
      <w:pPr>
        <w:rPr>
          <w:rFonts w:ascii="Book Antiqua" w:hAnsi="Book Antiqua"/>
          <w:szCs w:val="24"/>
        </w:rPr>
      </w:pPr>
      <w:r w:rsidRPr="007C1CB5">
        <w:rPr>
          <w:rFonts w:ascii="Book Antiqua" w:hAnsi="Book Antiqua"/>
          <w:szCs w:val="24"/>
        </w:rPr>
        <w:tab/>
      </w:r>
      <w:r w:rsidRPr="007C1CB5">
        <w:rPr>
          <w:rFonts w:ascii="Book Antiqua" w:hAnsi="Book Antiqua"/>
          <w:szCs w:val="24"/>
        </w:rPr>
        <w:tab/>
      </w:r>
      <w:r w:rsidRPr="007C1CB5">
        <w:rPr>
          <w:rFonts w:ascii="Book Antiqua" w:hAnsi="Book Antiqua"/>
          <w:szCs w:val="24"/>
        </w:rPr>
        <w:tab/>
      </w:r>
      <w:r w:rsidRPr="007C1CB5">
        <w:rPr>
          <w:rFonts w:ascii="Book Antiqua" w:hAnsi="Book Antiqua"/>
          <w:szCs w:val="24"/>
        </w:rPr>
        <w:tab/>
      </w:r>
      <w:r w:rsidRPr="007C1CB5">
        <w:rPr>
          <w:rFonts w:ascii="Book Antiqua" w:hAnsi="Book Antiqua"/>
          <w:szCs w:val="24"/>
        </w:rPr>
        <w:tab/>
        <w:t>Resolution ALJ-</w:t>
      </w:r>
      <w:r w:rsidRPr="007C1CB5" w:rsidR="00064F5E">
        <w:rPr>
          <w:rFonts w:ascii="Book Antiqua" w:hAnsi="Book Antiqua"/>
          <w:szCs w:val="24"/>
        </w:rPr>
        <w:t>393</w:t>
      </w:r>
    </w:p>
    <w:p w:rsidRPr="007C1CB5" w:rsidR="00E30A2F" w:rsidRDefault="00BB47DF" w14:paraId="31A2EFD6" w14:textId="77777777">
      <w:pPr>
        <w:rPr>
          <w:rFonts w:ascii="Book Antiqua" w:hAnsi="Book Antiqua"/>
          <w:szCs w:val="24"/>
        </w:rPr>
      </w:pPr>
      <w:r w:rsidRPr="007C1CB5">
        <w:rPr>
          <w:rFonts w:ascii="Book Antiqua" w:hAnsi="Book Antiqua"/>
          <w:szCs w:val="24"/>
        </w:rPr>
        <w:tab/>
      </w:r>
      <w:r w:rsidRPr="007C1CB5">
        <w:rPr>
          <w:rFonts w:ascii="Book Antiqua" w:hAnsi="Book Antiqua"/>
          <w:szCs w:val="24"/>
        </w:rPr>
        <w:tab/>
      </w:r>
      <w:r w:rsidRPr="007C1CB5">
        <w:rPr>
          <w:rFonts w:ascii="Book Antiqua" w:hAnsi="Book Antiqua"/>
          <w:szCs w:val="24"/>
        </w:rPr>
        <w:tab/>
      </w:r>
      <w:r w:rsidRPr="007C1CB5">
        <w:rPr>
          <w:rFonts w:ascii="Book Antiqua" w:hAnsi="Book Antiqua"/>
          <w:szCs w:val="24"/>
        </w:rPr>
        <w:tab/>
      </w:r>
      <w:r w:rsidRPr="007C1CB5">
        <w:rPr>
          <w:rFonts w:ascii="Book Antiqua" w:hAnsi="Book Antiqua"/>
          <w:szCs w:val="24"/>
        </w:rPr>
        <w:tab/>
        <w:t>Administrative Law Judge Division</w:t>
      </w:r>
    </w:p>
    <w:p w:rsidRPr="007C1CB5" w:rsidR="00E30A2F" w:rsidRDefault="00BB47DF" w14:paraId="52D7B151" w14:textId="69932AE7">
      <w:pPr>
        <w:rPr>
          <w:rFonts w:ascii="Book Antiqua" w:hAnsi="Book Antiqua"/>
          <w:szCs w:val="24"/>
        </w:rPr>
      </w:pPr>
      <w:r w:rsidRPr="007C1CB5">
        <w:rPr>
          <w:rFonts w:ascii="Book Antiqua" w:hAnsi="Book Antiqua"/>
          <w:szCs w:val="24"/>
        </w:rPr>
        <w:tab/>
      </w:r>
      <w:r w:rsidRPr="007C1CB5">
        <w:rPr>
          <w:rFonts w:ascii="Book Antiqua" w:hAnsi="Book Antiqua"/>
          <w:szCs w:val="24"/>
        </w:rPr>
        <w:tab/>
      </w:r>
      <w:r w:rsidRPr="007C1CB5">
        <w:rPr>
          <w:rFonts w:ascii="Book Antiqua" w:hAnsi="Book Antiqua"/>
          <w:szCs w:val="24"/>
        </w:rPr>
        <w:tab/>
      </w:r>
      <w:r w:rsidRPr="007C1CB5">
        <w:rPr>
          <w:rFonts w:ascii="Book Antiqua" w:hAnsi="Book Antiqua"/>
          <w:szCs w:val="24"/>
        </w:rPr>
        <w:tab/>
      </w:r>
      <w:r w:rsidRPr="007C1CB5">
        <w:rPr>
          <w:rFonts w:ascii="Book Antiqua" w:hAnsi="Book Antiqua"/>
          <w:szCs w:val="24"/>
        </w:rPr>
        <w:tab/>
      </w:r>
      <w:r w:rsidRPr="007C1CB5" w:rsidR="00256D92">
        <w:rPr>
          <w:rFonts w:ascii="Book Antiqua" w:hAnsi="Book Antiqua"/>
          <w:szCs w:val="24"/>
        </w:rPr>
        <w:t>[DATE]</w:t>
      </w:r>
    </w:p>
    <w:p w:rsidRPr="007C1CB5" w:rsidR="00E30A2F" w:rsidRDefault="00E30A2F" w14:paraId="37BA62B1" w14:textId="77777777">
      <w:pPr>
        <w:rPr>
          <w:rFonts w:ascii="Book Antiqua" w:hAnsi="Book Antiqua"/>
          <w:szCs w:val="24"/>
        </w:rPr>
      </w:pPr>
    </w:p>
    <w:p w:rsidRPr="007C1CB5" w:rsidR="00E30A2F" w:rsidP="00FA55E5" w:rsidRDefault="00E30A2F" w14:paraId="0468FA38" w14:textId="77777777">
      <w:pPr>
        <w:spacing w:after="120"/>
        <w:rPr>
          <w:rFonts w:ascii="Book Antiqua" w:hAnsi="Book Antiqua"/>
          <w:szCs w:val="24"/>
        </w:rPr>
      </w:pPr>
    </w:p>
    <w:p w:rsidRPr="007C1CB5" w:rsidR="00E30A2F" w:rsidP="003737CB" w:rsidRDefault="00BB47DF" w14:paraId="100FF109" w14:textId="7DF5A91C">
      <w:pPr>
        <w:spacing w:after="240"/>
        <w:jc w:val="center"/>
        <w:rPr>
          <w:rFonts w:ascii="Book Antiqua" w:hAnsi="Book Antiqua"/>
          <w:szCs w:val="24"/>
        </w:rPr>
      </w:pPr>
      <w:r w:rsidRPr="007C1CB5">
        <w:rPr>
          <w:rFonts w:ascii="Book Antiqua" w:hAnsi="Book Antiqua"/>
          <w:b/>
          <w:szCs w:val="24"/>
          <w:u w:val="single"/>
        </w:rPr>
        <w:t>R E S O L U T I O N</w:t>
      </w:r>
    </w:p>
    <w:p w:rsidRPr="007C1CB5" w:rsidR="00E30A2F" w:rsidP="001C1CB2" w:rsidRDefault="00BB47DF" w14:paraId="33CDD975" w14:textId="25565EF7">
      <w:pPr>
        <w:spacing w:after="240"/>
        <w:ind w:left="720" w:right="720"/>
        <w:rPr>
          <w:rFonts w:ascii="Book Antiqua" w:hAnsi="Book Antiqua"/>
        </w:rPr>
      </w:pPr>
      <w:r w:rsidRPr="007C1CB5">
        <w:rPr>
          <w:rFonts w:ascii="Book Antiqua" w:hAnsi="Book Antiqua"/>
        </w:rPr>
        <w:t>RESOLUTION ALJ</w:t>
      </w:r>
      <w:r w:rsidRPr="007C1CB5" w:rsidR="00313731">
        <w:rPr>
          <w:rFonts w:ascii="Book Antiqua" w:hAnsi="Book Antiqua"/>
        </w:rPr>
        <w:t>-</w:t>
      </w:r>
      <w:r w:rsidRPr="007C1CB5" w:rsidR="00D0413A">
        <w:rPr>
          <w:rFonts w:ascii="Book Antiqua" w:hAnsi="Book Antiqua"/>
        </w:rPr>
        <w:t>393</w:t>
      </w:r>
      <w:r w:rsidRPr="007C1CB5" w:rsidR="001E4BCB">
        <w:rPr>
          <w:rFonts w:ascii="Book Antiqua" w:hAnsi="Book Antiqua"/>
        </w:rPr>
        <w:t xml:space="preserve">.  </w:t>
      </w:r>
      <w:r w:rsidRPr="007C1CB5" w:rsidR="002A4DFA">
        <w:rPr>
          <w:rFonts w:ascii="Book Antiqua" w:hAnsi="Book Antiqua"/>
        </w:rPr>
        <w:t xml:space="preserve">Adopting </w:t>
      </w:r>
      <w:r w:rsidRPr="007C1CB5" w:rsidR="00652BCD">
        <w:rPr>
          <w:rFonts w:ascii="Book Antiqua" w:hAnsi="Book Antiqua"/>
        </w:rPr>
        <w:t xml:space="preserve">Intervenor Compensation Market Rate Study and </w:t>
      </w:r>
      <w:r w:rsidRPr="007C1CB5" w:rsidR="0090059B">
        <w:rPr>
          <w:rFonts w:ascii="Book Antiqua" w:hAnsi="Book Antiqua"/>
        </w:rPr>
        <w:t>Addressing Related Matters.</w:t>
      </w:r>
    </w:p>
    <w:p w:rsidRPr="007C1CB5" w:rsidR="00E30A2F" w:rsidP="003737CB" w:rsidRDefault="00BB47DF" w14:paraId="051975EB" w14:textId="34360EAA">
      <w:pPr>
        <w:tabs>
          <w:tab w:val="right" w:pos="8550"/>
        </w:tabs>
        <w:spacing w:after="240"/>
        <w:ind w:left="720" w:right="720"/>
        <w:rPr>
          <w:rFonts w:ascii="Book Antiqua" w:hAnsi="Book Antiqua"/>
        </w:rPr>
      </w:pPr>
      <w:r w:rsidRPr="007C1CB5">
        <w:rPr>
          <w:rFonts w:ascii="Book Antiqua" w:hAnsi="Book Antiqua"/>
          <w:sz w:val="26"/>
          <w:szCs w:val="26"/>
          <w:u w:val="single"/>
        </w:rPr>
        <w:tab/>
      </w:r>
    </w:p>
    <w:p w:rsidRPr="007C1CB5" w:rsidR="003737CB" w:rsidP="003737CB" w:rsidRDefault="00BB47DF" w14:paraId="50A710A3" w14:textId="77777777">
      <w:pPr>
        <w:spacing w:after="240"/>
        <w:rPr>
          <w:rFonts w:ascii="Book Antiqua" w:hAnsi="Book Antiqua"/>
          <w:b/>
          <w:sz w:val="26"/>
          <w:szCs w:val="26"/>
          <w:u w:val="single"/>
        </w:rPr>
      </w:pPr>
      <w:r w:rsidRPr="007C1CB5">
        <w:rPr>
          <w:rFonts w:ascii="Book Antiqua" w:hAnsi="Book Antiqua"/>
          <w:b/>
          <w:sz w:val="26"/>
          <w:szCs w:val="26"/>
          <w:u w:val="single"/>
        </w:rPr>
        <w:t>SUMMARY</w:t>
      </w:r>
    </w:p>
    <w:p w:rsidRPr="007C1CB5" w:rsidR="00364CC6" w:rsidP="003737CB" w:rsidRDefault="00B01DFD" w14:paraId="404E0904" w14:textId="66A30DB0">
      <w:pPr>
        <w:spacing w:after="240"/>
        <w:rPr>
          <w:rFonts w:ascii="Book Antiqua" w:hAnsi="Book Antiqua"/>
        </w:rPr>
      </w:pPr>
      <w:r w:rsidRPr="007C1CB5">
        <w:rPr>
          <w:rFonts w:ascii="Book Antiqua" w:hAnsi="Book Antiqua"/>
        </w:rPr>
        <w:t>This resolution</w:t>
      </w:r>
      <w:r w:rsidRPr="007C1CB5" w:rsidR="00B72821">
        <w:rPr>
          <w:rFonts w:ascii="Book Antiqua" w:hAnsi="Book Antiqua"/>
        </w:rPr>
        <w:t xml:space="preserve"> adopt</w:t>
      </w:r>
      <w:r w:rsidRPr="007C1CB5">
        <w:rPr>
          <w:rFonts w:ascii="Book Antiqua" w:hAnsi="Book Antiqua"/>
        </w:rPr>
        <w:t>s</w:t>
      </w:r>
      <w:r w:rsidRPr="007C1CB5" w:rsidR="00B72821">
        <w:rPr>
          <w:rFonts w:ascii="Book Antiqua" w:hAnsi="Book Antiqua"/>
        </w:rPr>
        <w:t xml:space="preserve"> a</w:t>
      </w:r>
      <w:r w:rsidRPr="007C1CB5">
        <w:rPr>
          <w:rFonts w:ascii="Book Antiqua" w:hAnsi="Book Antiqua"/>
        </w:rPr>
        <w:t xml:space="preserve"> new methodology for calculating</w:t>
      </w:r>
      <w:r w:rsidRPr="007C1CB5" w:rsidR="004A3C6E">
        <w:rPr>
          <w:rFonts w:ascii="Book Antiqua" w:hAnsi="Book Antiqua"/>
        </w:rPr>
        <w:t xml:space="preserve"> Intervenor Compensation</w:t>
      </w:r>
      <w:r w:rsidRPr="007C1CB5" w:rsidR="000C7C40">
        <w:rPr>
          <w:rFonts w:ascii="Book Antiqua" w:hAnsi="Book Antiqua"/>
        </w:rPr>
        <w:t xml:space="preserve"> (ICOMP)</w:t>
      </w:r>
      <w:r w:rsidRPr="007C1CB5">
        <w:rPr>
          <w:rFonts w:ascii="Book Antiqua" w:hAnsi="Book Antiqua"/>
        </w:rPr>
        <w:t xml:space="preserve"> rates </w:t>
      </w:r>
      <w:r w:rsidRPr="007C1CB5" w:rsidR="00B20D41">
        <w:rPr>
          <w:rFonts w:ascii="Book Antiqua" w:hAnsi="Book Antiqua"/>
        </w:rPr>
        <w:t>as established in</w:t>
      </w:r>
      <w:r w:rsidRPr="007C1CB5">
        <w:rPr>
          <w:rFonts w:ascii="Book Antiqua" w:hAnsi="Book Antiqua"/>
        </w:rPr>
        <w:t xml:space="preserve"> a</w:t>
      </w:r>
      <w:r w:rsidRPr="007C1CB5" w:rsidR="004A3C6E">
        <w:rPr>
          <w:rFonts w:ascii="Book Antiqua" w:hAnsi="Book Antiqua"/>
        </w:rPr>
        <w:t xml:space="preserve"> Market Rate Study</w:t>
      </w:r>
      <w:r w:rsidRPr="007C1CB5" w:rsidR="0002193D">
        <w:rPr>
          <w:rFonts w:ascii="Book Antiqua" w:hAnsi="Book Antiqua"/>
        </w:rPr>
        <w:t xml:space="preserve"> </w:t>
      </w:r>
      <w:r w:rsidRPr="007C1CB5">
        <w:rPr>
          <w:rFonts w:ascii="Book Antiqua" w:hAnsi="Book Antiqua"/>
        </w:rPr>
        <w:t>that defines comparable hourly rates for new labor categories and an annual escalation methodology.</w:t>
      </w:r>
      <w:r w:rsidRPr="007C1CB5" w:rsidR="00064F5E">
        <w:rPr>
          <w:rFonts w:ascii="Book Antiqua" w:hAnsi="Book Antiqua"/>
        </w:rPr>
        <w:t xml:space="preserve">  </w:t>
      </w:r>
      <w:r w:rsidRPr="007C1CB5">
        <w:rPr>
          <w:rFonts w:ascii="Book Antiqua" w:hAnsi="Book Antiqua"/>
        </w:rPr>
        <w:t>The new hourly rates</w:t>
      </w:r>
      <w:r w:rsidRPr="007C1CB5" w:rsidR="0080649F">
        <w:rPr>
          <w:rFonts w:ascii="Book Antiqua" w:hAnsi="Book Antiqua"/>
        </w:rPr>
        <w:t xml:space="preserve">, labor roles, and escalation methodology </w:t>
      </w:r>
      <w:r w:rsidRPr="007C1CB5" w:rsidR="00CC352A">
        <w:rPr>
          <w:rFonts w:ascii="Book Antiqua" w:hAnsi="Book Antiqua"/>
        </w:rPr>
        <w:t xml:space="preserve">will apply starting with </w:t>
      </w:r>
      <w:r w:rsidRPr="007C1CB5">
        <w:rPr>
          <w:rFonts w:ascii="Book Antiqua" w:hAnsi="Book Antiqua"/>
        </w:rPr>
        <w:t xml:space="preserve">ICOMP </w:t>
      </w:r>
      <w:r w:rsidRPr="007C1CB5" w:rsidR="002A4DFA">
        <w:rPr>
          <w:rFonts w:ascii="Book Antiqua" w:hAnsi="Book Antiqua"/>
        </w:rPr>
        <w:t>work performed in the 20</w:t>
      </w:r>
      <w:r w:rsidRPr="007C1CB5" w:rsidR="004A3C6E">
        <w:rPr>
          <w:rFonts w:ascii="Book Antiqua" w:hAnsi="Book Antiqua"/>
        </w:rPr>
        <w:t>2</w:t>
      </w:r>
      <w:r w:rsidRPr="007C1CB5" w:rsidR="00E2024C">
        <w:rPr>
          <w:rFonts w:ascii="Book Antiqua" w:hAnsi="Book Antiqua"/>
        </w:rPr>
        <w:t>1</w:t>
      </w:r>
      <w:r w:rsidRPr="007C1CB5" w:rsidR="002A4DFA">
        <w:rPr>
          <w:rFonts w:ascii="Book Antiqua" w:hAnsi="Book Antiqua"/>
        </w:rPr>
        <w:t xml:space="preserve"> calendar year.  </w:t>
      </w:r>
    </w:p>
    <w:p w:rsidRPr="007C1CB5" w:rsidR="00F61105" w:rsidP="00524077" w:rsidRDefault="0004540F" w14:paraId="53C7CE28" w14:textId="5465882A">
      <w:pPr>
        <w:spacing w:after="120"/>
        <w:rPr>
          <w:rFonts w:ascii="Book Antiqua" w:hAnsi="Book Antiqua"/>
          <w:b/>
          <w:sz w:val="26"/>
          <w:szCs w:val="26"/>
          <w:u w:val="single"/>
        </w:rPr>
      </w:pPr>
      <w:r w:rsidRPr="007C1CB5">
        <w:rPr>
          <w:rFonts w:ascii="Book Antiqua" w:hAnsi="Book Antiqua"/>
        </w:rPr>
        <w:t>T</w:t>
      </w:r>
      <w:r w:rsidRPr="007C1CB5" w:rsidR="004A3C6E">
        <w:rPr>
          <w:rFonts w:ascii="Book Antiqua" w:hAnsi="Book Antiqua"/>
        </w:rPr>
        <w:t>he</w:t>
      </w:r>
      <w:r w:rsidRPr="007C1CB5" w:rsidR="00B01DFD">
        <w:rPr>
          <w:rFonts w:ascii="Book Antiqua" w:hAnsi="Book Antiqua"/>
        </w:rPr>
        <w:t xml:space="preserve"> new ICOMP compensation methodology adopted herein</w:t>
      </w:r>
      <w:r w:rsidRPr="007C1CB5" w:rsidR="004D1EA2">
        <w:rPr>
          <w:rFonts w:ascii="Book Antiqua" w:hAnsi="Book Antiqua"/>
        </w:rPr>
        <w:t xml:space="preserve"> eliminates</w:t>
      </w:r>
      <w:r w:rsidRPr="007C1CB5" w:rsidR="004A3C6E">
        <w:rPr>
          <w:rFonts w:ascii="Book Antiqua" w:hAnsi="Book Antiqua"/>
        </w:rPr>
        <w:t xml:space="preserve"> the </w:t>
      </w:r>
      <w:r w:rsidRPr="007C1CB5">
        <w:rPr>
          <w:rFonts w:ascii="Book Antiqua" w:hAnsi="Book Antiqua"/>
        </w:rPr>
        <w:t>need for the</w:t>
      </w:r>
      <w:r w:rsidRPr="007C1CB5" w:rsidR="00CC352A">
        <w:rPr>
          <w:rFonts w:ascii="Book Antiqua" w:hAnsi="Book Antiqua"/>
        </w:rPr>
        <w:t xml:space="preserve"> annual</w:t>
      </w:r>
      <w:r w:rsidRPr="007C1CB5" w:rsidR="004A3C6E">
        <w:rPr>
          <w:rFonts w:ascii="Book Antiqua" w:hAnsi="Book Antiqua"/>
        </w:rPr>
        <w:t xml:space="preserve"> </w:t>
      </w:r>
      <w:r w:rsidRPr="007C1CB5" w:rsidR="00BC7D99">
        <w:rPr>
          <w:rFonts w:ascii="Book Antiqua" w:hAnsi="Book Antiqua"/>
        </w:rPr>
        <w:t>cost-of-living adjustment (COLA</w:t>
      </w:r>
      <w:r w:rsidRPr="007C1CB5" w:rsidR="00313A8E">
        <w:rPr>
          <w:rFonts w:ascii="Book Antiqua" w:hAnsi="Book Antiqua"/>
        </w:rPr>
        <w:t xml:space="preserve">) </w:t>
      </w:r>
      <w:r w:rsidRPr="007C1CB5" w:rsidR="00CC352A">
        <w:rPr>
          <w:rFonts w:ascii="Book Antiqua" w:hAnsi="Book Antiqua"/>
        </w:rPr>
        <w:t xml:space="preserve">by adopting </w:t>
      </w:r>
      <w:r w:rsidRPr="007C1CB5" w:rsidR="00CC51C5">
        <w:rPr>
          <w:rFonts w:ascii="Book Antiqua" w:hAnsi="Book Antiqua"/>
        </w:rPr>
        <w:t xml:space="preserve">a </w:t>
      </w:r>
      <w:r w:rsidRPr="007C1CB5" w:rsidR="00980409">
        <w:rPr>
          <w:rFonts w:ascii="Book Antiqua" w:hAnsi="Book Antiqua"/>
        </w:rPr>
        <w:t>built-in</w:t>
      </w:r>
      <w:r w:rsidRPr="007C1CB5" w:rsidR="00CC51C5">
        <w:rPr>
          <w:rFonts w:ascii="Book Antiqua" w:hAnsi="Book Antiqua"/>
        </w:rPr>
        <w:t xml:space="preserve"> escalation methodology and inc</w:t>
      </w:r>
      <w:r w:rsidRPr="007C1CB5" w:rsidR="00CC352A">
        <w:rPr>
          <w:rFonts w:ascii="Book Antiqua" w:hAnsi="Book Antiqua"/>
        </w:rPr>
        <w:t>orporat</w:t>
      </w:r>
      <w:r w:rsidRPr="007C1CB5" w:rsidR="00B01DFD">
        <w:rPr>
          <w:rFonts w:ascii="Book Antiqua" w:hAnsi="Book Antiqua"/>
        </w:rPr>
        <w:t>es</w:t>
      </w:r>
      <w:r w:rsidRPr="007C1CB5" w:rsidR="00CC51C5">
        <w:rPr>
          <w:rFonts w:ascii="Book Antiqua" w:hAnsi="Book Antiqua"/>
        </w:rPr>
        <w:t xml:space="preserve"> </w:t>
      </w:r>
      <w:r w:rsidRPr="007C1CB5">
        <w:rPr>
          <w:rFonts w:ascii="Book Antiqua" w:hAnsi="Book Antiqua"/>
        </w:rPr>
        <w:t>overhead</w:t>
      </w:r>
      <w:r w:rsidRPr="007C1CB5" w:rsidR="00CC352A">
        <w:rPr>
          <w:rFonts w:ascii="Book Antiqua" w:hAnsi="Book Antiqua"/>
        </w:rPr>
        <w:t xml:space="preserve"> costs</w:t>
      </w:r>
      <w:r w:rsidRPr="007C1CB5">
        <w:rPr>
          <w:rFonts w:ascii="Book Antiqua" w:hAnsi="Book Antiqua"/>
        </w:rPr>
        <w:t xml:space="preserve"> into the new</w:t>
      </w:r>
      <w:r w:rsidRPr="007C1CB5" w:rsidR="00CC352A">
        <w:rPr>
          <w:rFonts w:ascii="Book Antiqua" w:hAnsi="Book Antiqua"/>
        </w:rPr>
        <w:t xml:space="preserve"> </w:t>
      </w:r>
      <w:r w:rsidRPr="007C1CB5" w:rsidR="00B01DFD">
        <w:rPr>
          <w:rFonts w:ascii="Book Antiqua" w:hAnsi="Book Antiqua"/>
        </w:rPr>
        <w:t>hourly</w:t>
      </w:r>
      <w:r w:rsidRPr="007C1CB5">
        <w:rPr>
          <w:rFonts w:ascii="Book Antiqua" w:hAnsi="Book Antiqua"/>
        </w:rPr>
        <w:t xml:space="preserve"> rates.  </w:t>
      </w:r>
      <w:r w:rsidRPr="007C1CB5" w:rsidR="00CC352A">
        <w:rPr>
          <w:rFonts w:ascii="Book Antiqua" w:hAnsi="Book Antiqua"/>
        </w:rPr>
        <w:t>A</w:t>
      </w:r>
      <w:r w:rsidRPr="007C1CB5" w:rsidR="004A3C6E">
        <w:rPr>
          <w:rFonts w:ascii="Book Antiqua" w:hAnsi="Book Antiqua"/>
        </w:rPr>
        <w:t xml:space="preserve">s a result, we will no longer compensate for costs such as: Lexis Nexis, postage, photocopies, </w:t>
      </w:r>
      <w:r w:rsidRPr="007C1CB5" w:rsidR="006B2C6C">
        <w:rPr>
          <w:rFonts w:ascii="Book Antiqua" w:hAnsi="Book Antiqua"/>
        </w:rPr>
        <w:t xml:space="preserve">telephone, </w:t>
      </w:r>
      <w:r w:rsidRPr="007C1CB5" w:rsidR="004A3C6E">
        <w:rPr>
          <w:rFonts w:ascii="Book Antiqua" w:hAnsi="Book Antiqua"/>
        </w:rPr>
        <w:t xml:space="preserve">etc. </w:t>
      </w:r>
      <w:r w:rsidRPr="007C1CB5" w:rsidR="006B66A3">
        <w:rPr>
          <w:rFonts w:ascii="Book Antiqua" w:hAnsi="Book Antiqua"/>
        </w:rPr>
        <w:t xml:space="preserve"> </w:t>
      </w:r>
      <w:r w:rsidRPr="007C1CB5">
        <w:rPr>
          <w:rFonts w:ascii="Book Antiqua" w:hAnsi="Book Antiqua"/>
        </w:rPr>
        <w:t>For certain proceedings, o</w:t>
      </w:r>
      <w:r w:rsidRPr="007C1CB5" w:rsidR="004A3C6E">
        <w:rPr>
          <w:rFonts w:ascii="Book Antiqua" w:hAnsi="Book Antiqua"/>
        </w:rPr>
        <w:t>verhead costs may be considered on</w:t>
      </w:r>
      <w:r w:rsidRPr="007C1CB5" w:rsidR="00FB5F33">
        <w:rPr>
          <w:rFonts w:ascii="Book Antiqua" w:hAnsi="Book Antiqua"/>
        </w:rPr>
        <w:t xml:space="preserve"> a</w:t>
      </w:r>
      <w:r w:rsidRPr="007C1CB5" w:rsidR="004A3C6E">
        <w:rPr>
          <w:rFonts w:ascii="Book Antiqua" w:hAnsi="Book Antiqua"/>
        </w:rPr>
        <w:t xml:space="preserve"> case </w:t>
      </w:r>
      <w:r w:rsidRPr="007C1CB5" w:rsidR="00FB5F33">
        <w:rPr>
          <w:rFonts w:ascii="Book Antiqua" w:hAnsi="Book Antiqua"/>
        </w:rPr>
        <w:t xml:space="preserve">by </w:t>
      </w:r>
      <w:r w:rsidRPr="007C1CB5" w:rsidR="004A3C6E">
        <w:rPr>
          <w:rFonts w:ascii="Book Antiqua" w:hAnsi="Book Antiqua"/>
        </w:rPr>
        <w:t xml:space="preserve">case basis. </w:t>
      </w:r>
    </w:p>
    <w:p w:rsidRPr="007C1CB5" w:rsidR="008D4C34" w:rsidP="003737CB" w:rsidRDefault="00BB47DF" w14:paraId="654E7D36" w14:textId="562589CD">
      <w:pPr>
        <w:spacing w:after="240"/>
        <w:rPr>
          <w:rFonts w:ascii="Book Antiqua" w:hAnsi="Book Antiqua"/>
        </w:rPr>
      </w:pPr>
      <w:r w:rsidRPr="007C1CB5">
        <w:rPr>
          <w:rFonts w:ascii="Book Antiqua" w:hAnsi="Book Antiqua"/>
          <w:b/>
          <w:sz w:val="26"/>
          <w:szCs w:val="26"/>
          <w:u w:val="single"/>
        </w:rPr>
        <w:t>BACKGROUND</w:t>
      </w:r>
    </w:p>
    <w:p w:rsidRPr="007C1CB5" w:rsidR="00827E9F" w:rsidP="003737CB" w:rsidRDefault="002A4DFA" w14:paraId="0B8C9DEF" w14:textId="790219F9">
      <w:pPr>
        <w:spacing w:after="240"/>
        <w:rPr>
          <w:rFonts w:ascii="Book Antiqua" w:hAnsi="Book Antiqua"/>
        </w:rPr>
      </w:pPr>
      <w:bookmarkStart w:name="_Hlk33103118" w:id="0"/>
      <w:r w:rsidRPr="007C1CB5">
        <w:rPr>
          <w:rFonts w:ascii="Book Antiqua" w:hAnsi="Book Antiqua"/>
        </w:rPr>
        <w:t>The Commission</w:t>
      </w:r>
      <w:r w:rsidRPr="007C1CB5" w:rsidR="006B66A3">
        <w:rPr>
          <w:rFonts w:ascii="Book Antiqua" w:hAnsi="Book Antiqua"/>
        </w:rPr>
        <w:t xml:space="preserve"> initially</w:t>
      </w:r>
      <w:r w:rsidRPr="007C1CB5">
        <w:rPr>
          <w:rFonts w:ascii="Book Antiqua" w:hAnsi="Book Antiqua"/>
        </w:rPr>
        <w:t xml:space="preserve"> established its hourly rate ranges</w:t>
      </w:r>
      <w:r w:rsidRPr="007C1CB5" w:rsidR="006B66A3">
        <w:rPr>
          <w:rFonts w:ascii="Book Antiqua" w:hAnsi="Book Antiqua"/>
        </w:rPr>
        <w:t xml:space="preserve"> for intervenor compensation</w:t>
      </w:r>
      <w:r w:rsidRPr="007C1CB5">
        <w:rPr>
          <w:rFonts w:ascii="Book Antiqua" w:hAnsi="Book Antiqua"/>
        </w:rPr>
        <w:t xml:space="preserve"> based on compensation data provided by the major utilities.</w:t>
      </w:r>
      <w:r w:rsidRPr="007C1CB5">
        <w:rPr>
          <w:rFonts w:ascii="Book Antiqua" w:hAnsi="Book Antiqua"/>
          <w:vertAlign w:val="superscript"/>
        </w:rPr>
        <w:footnoteReference w:id="1"/>
      </w:r>
      <w:r w:rsidRPr="007C1CB5">
        <w:rPr>
          <w:rFonts w:ascii="Book Antiqua" w:hAnsi="Book Antiqua"/>
        </w:rPr>
        <w:t xml:space="preserve"> </w:t>
      </w:r>
      <w:r w:rsidRPr="007C1CB5" w:rsidR="00064F5E">
        <w:rPr>
          <w:rFonts w:ascii="Book Antiqua" w:hAnsi="Book Antiqua"/>
        </w:rPr>
        <w:t xml:space="preserve"> </w:t>
      </w:r>
      <w:r w:rsidRPr="007C1CB5" w:rsidR="006B66A3">
        <w:rPr>
          <w:rFonts w:ascii="Book Antiqua" w:hAnsi="Book Antiqua"/>
        </w:rPr>
        <w:t xml:space="preserve">On August 19, 2004, in Resolution ALJ-184, the Commission adopted a procedure of calculating annual cost of living adjustments (COLAs) and using a resolution process to update hourly rates in compensation awards for intervenors. </w:t>
      </w:r>
      <w:r w:rsidRPr="007C1CB5" w:rsidR="00064F5E">
        <w:rPr>
          <w:rFonts w:ascii="Book Antiqua" w:hAnsi="Book Antiqua"/>
        </w:rPr>
        <w:t xml:space="preserve"> </w:t>
      </w:r>
      <w:r w:rsidRPr="007C1CB5" w:rsidR="006B66A3">
        <w:rPr>
          <w:rFonts w:ascii="Book Antiqua" w:hAnsi="Book Antiqua"/>
        </w:rPr>
        <w:t xml:space="preserve">Resolution ALJ-184 established that individual intervenors could file claims for hourly rates based on their specific training and experience, taking into consideration the compensation of others with comparable training and experience. </w:t>
      </w:r>
    </w:p>
    <w:p w:rsidRPr="007C1CB5" w:rsidR="006B66A3" w:rsidP="003737CB" w:rsidRDefault="00827E9F" w14:paraId="77FB91F0" w14:textId="29486313">
      <w:pPr>
        <w:spacing w:after="240"/>
        <w:rPr>
          <w:rFonts w:ascii="Book Antiqua" w:hAnsi="Book Antiqua"/>
        </w:rPr>
      </w:pPr>
      <w:r w:rsidRPr="007C1CB5">
        <w:rPr>
          <w:rFonts w:ascii="Book Antiqua" w:hAnsi="Book Antiqua"/>
        </w:rPr>
        <w:lastRenderedPageBreak/>
        <w:t xml:space="preserve">In 2005, Decision (D.) 05-11-031 rejected </w:t>
      </w:r>
      <w:r w:rsidRPr="007C1CB5" w:rsidR="001C5B2C">
        <w:rPr>
          <w:rFonts w:ascii="Book Antiqua" w:hAnsi="Book Antiqua"/>
        </w:rPr>
        <w:t>a</w:t>
      </w:r>
      <w:r w:rsidRPr="007C1CB5">
        <w:rPr>
          <w:rFonts w:ascii="Book Antiqua" w:hAnsi="Book Antiqua"/>
        </w:rPr>
        <w:t xml:space="preserve"> proposal to retain a consultant specializing in employee recruitment and compensation to complete a market rate study to identify strategies to better track and adjust hourly rates for the ICOMP program.</w:t>
      </w:r>
      <w:r w:rsidRPr="007C1CB5">
        <w:rPr>
          <w:rStyle w:val="FootnoteReference"/>
          <w:rFonts w:ascii="Book Antiqua" w:hAnsi="Book Antiqua"/>
        </w:rPr>
        <w:footnoteReference w:id="2"/>
      </w:r>
      <w:r w:rsidRPr="007C1CB5">
        <w:rPr>
          <w:rFonts w:ascii="Book Antiqua" w:hAnsi="Book Antiqua"/>
        </w:rPr>
        <w:t xml:space="preserve"> </w:t>
      </w:r>
      <w:r w:rsidRPr="007C1CB5" w:rsidR="00064F5E">
        <w:rPr>
          <w:rFonts w:ascii="Book Antiqua" w:hAnsi="Book Antiqua"/>
        </w:rPr>
        <w:t xml:space="preserve"> </w:t>
      </w:r>
      <w:r w:rsidRPr="007C1CB5">
        <w:rPr>
          <w:rFonts w:ascii="Book Antiqua" w:hAnsi="Book Antiqua"/>
        </w:rPr>
        <w:t>The Commission found that there was not adequate time to complete such a comprehensive study in time to set the new annual rate for 2006</w:t>
      </w:r>
      <w:r w:rsidRPr="007C1CB5" w:rsidR="001C5B2C">
        <w:rPr>
          <w:rFonts w:ascii="Book Antiqua" w:hAnsi="Book Antiqua"/>
        </w:rPr>
        <w:t>.</w:t>
      </w:r>
      <w:r w:rsidRPr="007C1CB5" w:rsidR="00064F5E">
        <w:rPr>
          <w:rFonts w:ascii="Book Antiqua" w:hAnsi="Book Antiqua"/>
        </w:rPr>
        <w:t xml:space="preserve"> </w:t>
      </w:r>
      <w:r w:rsidRPr="007C1CB5" w:rsidR="001C5B2C">
        <w:rPr>
          <w:rFonts w:ascii="Book Antiqua" w:hAnsi="Book Antiqua"/>
        </w:rPr>
        <w:t xml:space="preserve"> However, the same </w:t>
      </w:r>
      <w:r w:rsidRPr="007C1CB5" w:rsidR="00FB5F33">
        <w:rPr>
          <w:rFonts w:ascii="Book Antiqua" w:hAnsi="Book Antiqua"/>
        </w:rPr>
        <w:t xml:space="preserve">decision </w:t>
      </w:r>
      <w:r w:rsidRPr="007C1CB5" w:rsidR="001C5B2C">
        <w:rPr>
          <w:rFonts w:ascii="Book Antiqua" w:hAnsi="Book Antiqua"/>
        </w:rPr>
        <w:t>found</w:t>
      </w:r>
      <w:r w:rsidRPr="007C1CB5">
        <w:rPr>
          <w:rFonts w:ascii="Book Antiqua" w:hAnsi="Book Antiqua"/>
        </w:rPr>
        <w:t xml:space="preserve"> that a market rate study could be useful to better align ICOMP hourly rates with comparable compensation rates across the broader economy</w:t>
      </w:r>
      <w:r w:rsidRPr="007C1CB5" w:rsidR="001C5B2C">
        <w:rPr>
          <w:rFonts w:ascii="Book Antiqua" w:hAnsi="Book Antiqua"/>
        </w:rPr>
        <w:t xml:space="preserve"> in the future</w:t>
      </w:r>
      <w:r w:rsidRPr="007C1CB5">
        <w:rPr>
          <w:rFonts w:ascii="Book Antiqua" w:hAnsi="Book Antiqua"/>
        </w:rPr>
        <w:t xml:space="preserve">. </w:t>
      </w:r>
    </w:p>
    <w:p w:rsidRPr="007C1CB5" w:rsidR="00997E02" w:rsidP="003737CB" w:rsidRDefault="006B66A3" w14:paraId="712E2C37" w14:textId="590DA65E">
      <w:pPr>
        <w:spacing w:after="240"/>
        <w:rPr>
          <w:rFonts w:ascii="Book Antiqua" w:hAnsi="Book Antiqua"/>
        </w:rPr>
      </w:pPr>
      <w:r w:rsidRPr="007C1CB5">
        <w:rPr>
          <w:rFonts w:ascii="Book Antiqua" w:hAnsi="Book Antiqua"/>
        </w:rPr>
        <w:t>Rulemaking (R.)</w:t>
      </w:r>
      <w:r w:rsidRPr="007C1CB5" w:rsidR="00A24259">
        <w:rPr>
          <w:rFonts w:ascii="Book Antiqua" w:hAnsi="Book Antiqua"/>
        </w:rPr>
        <w:t xml:space="preserve"> </w:t>
      </w:r>
      <w:r w:rsidRPr="007C1CB5">
        <w:rPr>
          <w:rFonts w:ascii="Book Antiqua" w:hAnsi="Book Antiqua"/>
        </w:rPr>
        <w:t xml:space="preserve">06-08-019 was established initially to set hourly rates for intervenor representatives for work performed in 2006. </w:t>
      </w:r>
      <w:r w:rsidRPr="007C1CB5" w:rsidR="00064F5E">
        <w:rPr>
          <w:rFonts w:ascii="Book Antiqua" w:hAnsi="Book Antiqua"/>
        </w:rPr>
        <w:t xml:space="preserve"> </w:t>
      </w:r>
      <w:r w:rsidRPr="007C1CB5">
        <w:rPr>
          <w:rFonts w:ascii="Book Antiqua" w:hAnsi="Book Antiqua"/>
        </w:rPr>
        <w:t>D.07-01-009</w:t>
      </w:r>
      <w:r w:rsidRPr="007C1CB5" w:rsidR="00997E02">
        <w:rPr>
          <w:rFonts w:ascii="Book Antiqua" w:hAnsi="Book Antiqua"/>
        </w:rPr>
        <w:t>, issued in January 2007,</w:t>
      </w:r>
      <w:r w:rsidRPr="007C1CB5">
        <w:rPr>
          <w:rFonts w:ascii="Book Antiqua" w:hAnsi="Book Antiqua"/>
        </w:rPr>
        <w:t xml:space="preserve"> established guidelines for setting hourly rates for intervenor representatives </w:t>
      </w:r>
      <w:r w:rsidRPr="007C1CB5" w:rsidR="00997E02">
        <w:rPr>
          <w:rFonts w:ascii="Book Antiqua" w:hAnsi="Book Antiqua"/>
        </w:rPr>
        <w:t>with no recently authorized rates in place and determined that the Commission would continue updating intervenor hourly rates on an annual basis.</w:t>
      </w:r>
    </w:p>
    <w:p w:rsidRPr="007C1CB5" w:rsidR="006B66A3" w:rsidP="003737CB" w:rsidRDefault="00997E02" w14:paraId="2F3FB1D1" w14:textId="7BB45583">
      <w:pPr>
        <w:spacing w:after="240"/>
        <w:rPr>
          <w:rFonts w:ascii="Book Antiqua" w:hAnsi="Book Antiqua"/>
        </w:rPr>
      </w:pPr>
      <w:r w:rsidRPr="007C1CB5">
        <w:rPr>
          <w:rFonts w:ascii="Book Antiqua" w:hAnsi="Book Antiqua"/>
        </w:rPr>
        <w:t xml:space="preserve">D.08-04-010, issued in April 2008, upheld the COLA calculation methodology, but discontinued the use of utility data sets for calculating the annual hourly rate updates, because the Commission was more reliant on </w:t>
      </w:r>
      <w:r w:rsidRPr="007C1CB5" w:rsidR="00A3680D">
        <w:rPr>
          <w:rFonts w:ascii="Book Antiqua" w:hAnsi="Book Antiqua"/>
        </w:rPr>
        <w:t xml:space="preserve">publicly available </w:t>
      </w:r>
      <w:r w:rsidRPr="007C1CB5">
        <w:rPr>
          <w:rFonts w:ascii="Book Antiqua" w:hAnsi="Book Antiqua"/>
        </w:rPr>
        <w:t>cost of living data from several federal agencies.</w:t>
      </w:r>
      <w:r w:rsidRPr="007C1CB5">
        <w:rPr>
          <w:rStyle w:val="FootnoteReference"/>
          <w:rFonts w:ascii="Book Antiqua" w:hAnsi="Book Antiqua"/>
        </w:rPr>
        <w:footnoteReference w:id="3"/>
      </w:r>
      <w:r w:rsidRPr="007C1CB5">
        <w:rPr>
          <w:rFonts w:ascii="Book Antiqua" w:hAnsi="Book Antiqua"/>
        </w:rPr>
        <w:t xml:space="preserve"> </w:t>
      </w:r>
      <w:r w:rsidRPr="007C1CB5" w:rsidR="00064F5E">
        <w:rPr>
          <w:rFonts w:ascii="Book Antiqua" w:hAnsi="Book Antiqua"/>
        </w:rPr>
        <w:t xml:space="preserve"> </w:t>
      </w:r>
      <w:r w:rsidRPr="007C1CB5">
        <w:rPr>
          <w:rFonts w:ascii="Book Antiqua" w:hAnsi="Book Antiqua"/>
        </w:rPr>
        <w:t>The Commission also determined that “exclusive reliance on COLAs could, over time, result in hourly rates for intervenors’ representatives that do not accurately track the ‘market rate’ for regulatory professionals.”</w:t>
      </w:r>
      <w:r w:rsidRPr="007C1CB5">
        <w:rPr>
          <w:rStyle w:val="FootnoteReference"/>
          <w:rFonts w:ascii="Book Antiqua" w:hAnsi="Book Antiqua"/>
        </w:rPr>
        <w:footnoteReference w:id="4"/>
      </w:r>
    </w:p>
    <w:p w:rsidRPr="007C1CB5" w:rsidR="00871CF4" w:rsidP="003737CB" w:rsidRDefault="00110449" w14:paraId="7D3C7E0B" w14:textId="2CB7E968">
      <w:pPr>
        <w:spacing w:after="240"/>
        <w:rPr>
          <w:rFonts w:ascii="Book Antiqua" w:hAnsi="Book Antiqua"/>
        </w:rPr>
      </w:pPr>
      <w:r w:rsidRPr="007C1CB5">
        <w:rPr>
          <w:rFonts w:ascii="Book Antiqua" w:hAnsi="Book Antiqua"/>
        </w:rPr>
        <w:t xml:space="preserve">Since then, the Commission has </w:t>
      </w:r>
      <w:r w:rsidRPr="007C1CB5" w:rsidR="008C20AE">
        <w:rPr>
          <w:rFonts w:ascii="Book Antiqua" w:hAnsi="Book Antiqua"/>
        </w:rPr>
        <w:t xml:space="preserve">adopted a </w:t>
      </w:r>
      <w:r w:rsidRPr="007C1CB5">
        <w:rPr>
          <w:rFonts w:ascii="Book Antiqua" w:hAnsi="Book Antiqua"/>
        </w:rPr>
        <w:t xml:space="preserve">COLA </w:t>
      </w:r>
      <w:r w:rsidRPr="007C1CB5" w:rsidR="008C20AE">
        <w:rPr>
          <w:rFonts w:ascii="Book Antiqua" w:hAnsi="Book Antiqua"/>
        </w:rPr>
        <w:t xml:space="preserve">increase </w:t>
      </w:r>
      <w:r w:rsidRPr="007C1CB5">
        <w:rPr>
          <w:rFonts w:ascii="Book Antiqua" w:hAnsi="Book Antiqua"/>
        </w:rPr>
        <w:t xml:space="preserve">annually except for the years 2009 </w:t>
      </w:r>
      <w:r w:rsidRPr="007C1CB5" w:rsidR="00043BAB">
        <w:rPr>
          <w:rFonts w:ascii="Book Antiqua" w:hAnsi="Book Antiqua"/>
        </w:rPr>
        <w:t>–</w:t>
      </w:r>
      <w:r w:rsidRPr="007C1CB5">
        <w:rPr>
          <w:rFonts w:ascii="Book Antiqua" w:hAnsi="Book Antiqua"/>
        </w:rPr>
        <w:t xml:space="preserve"> </w:t>
      </w:r>
      <w:r w:rsidRPr="007C1CB5" w:rsidR="006B66A3">
        <w:rPr>
          <w:rFonts w:ascii="Book Antiqua" w:hAnsi="Book Antiqua"/>
        </w:rPr>
        <w:t xml:space="preserve">2011 and </w:t>
      </w:r>
      <w:r w:rsidRPr="007C1CB5">
        <w:rPr>
          <w:rFonts w:ascii="Book Antiqua" w:hAnsi="Book Antiqua"/>
        </w:rPr>
        <w:t>2015</w:t>
      </w:r>
      <w:r w:rsidRPr="007C1CB5" w:rsidR="00043BAB">
        <w:rPr>
          <w:rFonts w:ascii="Book Antiqua" w:hAnsi="Book Antiqua"/>
        </w:rPr>
        <w:t>.</w:t>
      </w:r>
      <w:r w:rsidRPr="007C1CB5">
        <w:rPr>
          <w:rStyle w:val="FootnoteReference"/>
          <w:rFonts w:ascii="Book Antiqua" w:hAnsi="Book Antiqua"/>
        </w:rPr>
        <w:footnoteReference w:id="5"/>
      </w:r>
      <w:r w:rsidRPr="007C1CB5">
        <w:rPr>
          <w:rFonts w:ascii="Book Antiqua" w:hAnsi="Book Antiqua"/>
        </w:rPr>
        <w:t xml:space="preserve"> </w:t>
      </w:r>
      <w:r w:rsidRPr="007C1CB5" w:rsidR="00043BAB">
        <w:rPr>
          <w:rFonts w:ascii="Book Antiqua" w:hAnsi="Book Antiqua"/>
        </w:rPr>
        <w:t xml:space="preserve"> E</w:t>
      </w:r>
      <w:r w:rsidRPr="007C1CB5">
        <w:rPr>
          <w:rFonts w:ascii="Book Antiqua" w:hAnsi="Book Antiqua"/>
        </w:rPr>
        <w:t xml:space="preserve">ach COLA update </w:t>
      </w:r>
      <w:r w:rsidRPr="007C1CB5" w:rsidR="00043BAB">
        <w:rPr>
          <w:rFonts w:ascii="Book Antiqua" w:hAnsi="Book Antiqua"/>
        </w:rPr>
        <w:t xml:space="preserve">was adopted </w:t>
      </w:r>
      <w:r w:rsidRPr="007C1CB5">
        <w:rPr>
          <w:rFonts w:ascii="Book Antiqua" w:hAnsi="Book Antiqua"/>
        </w:rPr>
        <w:t xml:space="preserve">after public review and comment. </w:t>
      </w:r>
      <w:bookmarkEnd w:id="0"/>
    </w:p>
    <w:p w:rsidRPr="007C1CB5" w:rsidR="007762FE" w:rsidP="003737CB" w:rsidRDefault="00827E9F" w14:paraId="7BA543EC" w14:textId="26820EDA">
      <w:pPr>
        <w:spacing w:after="240"/>
        <w:rPr>
          <w:rFonts w:ascii="Book Antiqua" w:hAnsi="Book Antiqua"/>
        </w:rPr>
      </w:pPr>
      <w:r w:rsidRPr="007C1CB5">
        <w:rPr>
          <w:rFonts w:ascii="Book Antiqua" w:hAnsi="Book Antiqua"/>
        </w:rPr>
        <w:t xml:space="preserve">On September 13, 2012, the Commission in </w:t>
      </w:r>
      <w:r w:rsidRPr="007C1CB5" w:rsidR="00871CF4">
        <w:rPr>
          <w:rFonts w:ascii="Book Antiqua" w:hAnsi="Book Antiqua"/>
        </w:rPr>
        <w:t>Res</w:t>
      </w:r>
      <w:r w:rsidRPr="007C1CB5">
        <w:rPr>
          <w:rFonts w:ascii="Book Antiqua" w:hAnsi="Book Antiqua"/>
        </w:rPr>
        <w:t>olution</w:t>
      </w:r>
      <w:r w:rsidRPr="007C1CB5" w:rsidR="00871CF4">
        <w:rPr>
          <w:rFonts w:ascii="Book Antiqua" w:hAnsi="Book Antiqua"/>
        </w:rPr>
        <w:t xml:space="preserve"> </w:t>
      </w:r>
      <w:r w:rsidRPr="007C1CB5" w:rsidR="009F110F">
        <w:rPr>
          <w:rFonts w:ascii="Book Antiqua" w:hAnsi="Book Antiqua"/>
        </w:rPr>
        <w:t>ALJ-281 recognized the challenges of performing a comprehensive “market rate study” for regulatory services and focus</w:t>
      </w:r>
      <w:r w:rsidRPr="007C1CB5" w:rsidR="0073247B">
        <w:rPr>
          <w:rFonts w:ascii="Book Antiqua" w:hAnsi="Book Antiqua"/>
        </w:rPr>
        <w:t>ed</w:t>
      </w:r>
      <w:r w:rsidRPr="007C1CB5" w:rsidR="009F110F">
        <w:rPr>
          <w:rFonts w:ascii="Book Antiqua" w:hAnsi="Book Antiqua"/>
        </w:rPr>
        <w:t xml:space="preserve"> </w:t>
      </w:r>
      <w:r w:rsidRPr="007C1CB5" w:rsidR="003E1074">
        <w:rPr>
          <w:rFonts w:ascii="Book Antiqua" w:hAnsi="Book Antiqua"/>
        </w:rPr>
        <w:t xml:space="preserve">instead </w:t>
      </w:r>
      <w:r w:rsidRPr="007C1CB5" w:rsidR="009F110F">
        <w:rPr>
          <w:rFonts w:ascii="Book Antiqua" w:hAnsi="Book Antiqua"/>
        </w:rPr>
        <w:t xml:space="preserve">on </w:t>
      </w:r>
      <w:r w:rsidRPr="007C1CB5" w:rsidR="003E1074">
        <w:rPr>
          <w:rFonts w:ascii="Book Antiqua" w:hAnsi="Book Antiqua"/>
        </w:rPr>
        <w:t xml:space="preserve">holding a public workshop to </w:t>
      </w:r>
      <w:r w:rsidRPr="007C1CB5" w:rsidR="009F110F">
        <w:rPr>
          <w:rFonts w:ascii="Book Antiqua" w:hAnsi="Book Antiqua"/>
        </w:rPr>
        <w:t>improv</w:t>
      </w:r>
      <w:r w:rsidRPr="007C1CB5" w:rsidR="003E1074">
        <w:rPr>
          <w:rFonts w:ascii="Book Antiqua" w:hAnsi="Book Antiqua"/>
        </w:rPr>
        <w:t>e</w:t>
      </w:r>
      <w:r w:rsidRPr="007C1CB5" w:rsidR="009F110F">
        <w:rPr>
          <w:rFonts w:ascii="Book Antiqua" w:hAnsi="Book Antiqua"/>
        </w:rPr>
        <w:t xml:space="preserve"> the process for annual adjustments to </w:t>
      </w:r>
      <w:r w:rsidRPr="007C1CB5" w:rsidR="0073247B">
        <w:rPr>
          <w:rFonts w:ascii="Book Antiqua" w:hAnsi="Book Antiqua"/>
        </w:rPr>
        <w:t xml:space="preserve">the existing </w:t>
      </w:r>
      <w:r w:rsidRPr="007C1CB5" w:rsidR="009F110F">
        <w:rPr>
          <w:rFonts w:ascii="Book Antiqua" w:hAnsi="Book Antiqua"/>
        </w:rPr>
        <w:t xml:space="preserve">hourly rate ranges. </w:t>
      </w:r>
      <w:r w:rsidRPr="007C1CB5" w:rsidR="00FD7761">
        <w:rPr>
          <w:rFonts w:ascii="Book Antiqua" w:hAnsi="Book Antiqua"/>
        </w:rPr>
        <w:t xml:space="preserve"> </w:t>
      </w:r>
    </w:p>
    <w:p w:rsidRPr="007C1CB5" w:rsidR="00233226" w:rsidP="003737CB" w:rsidRDefault="00233226" w14:paraId="41021239" w14:textId="13A92455">
      <w:pPr>
        <w:spacing w:after="240"/>
        <w:rPr>
          <w:rFonts w:ascii="Book Antiqua" w:hAnsi="Book Antiqua"/>
        </w:rPr>
      </w:pPr>
      <w:r w:rsidRPr="007C1CB5">
        <w:rPr>
          <w:rFonts w:ascii="Book Antiqua" w:hAnsi="Book Antiqua"/>
        </w:rPr>
        <w:t>In July 2013, California State Auditor conducted an audit to ensure awarded rates are applied in compliance with state law.</w:t>
      </w:r>
      <w:r w:rsidRPr="007C1CB5" w:rsidR="003E1074">
        <w:rPr>
          <w:rFonts w:ascii="Book Antiqua" w:hAnsi="Book Antiqua"/>
          <w:vertAlign w:val="superscript"/>
        </w:rPr>
        <w:footnoteReference w:id="6"/>
      </w:r>
      <w:r w:rsidRPr="007C1CB5">
        <w:rPr>
          <w:rFonts w:ascii="Book Antiqua" w:hAnsi="Book Antiqua"/>
        </w:rPr>
        <w:t xml:space="preserve"> </w:t>
      </w:r>
      <w:r w:rsidRPr="007C1CB5" w:rsidR="008C354D">
        <w:rPr>
          <w:rFonts w:ascii="Book Antiqua" w:hAnsi="Book Antiqua"/>
        </w:rPr>
        <w:t xml:space="preserve"> </w:t>
      </w:r>
      <w:r w:rsidRPr="007C1CB5" w:rsidR="003E1074">
        <w:rPr>
          <w:rFonts w:ascii="Book Antiqua" w:hAnsi="Book Antiqua"/>
        </w:rPr>
        <w:t>While the auditor concluded that the Commission has generally awarded compensation to intervenors in accordance with state law, the audit report found</w:t>
      </w:r>
      <w:r w:rsidRPr="007C1CB5">
        <w:rPr>
          <w:rFonts w:ascii="Book Antiqua" w:hAnsi="Book Antiqua"/>
        </w:rPr>
        <w:t xml:space="preserve"> </w:t>
      </w:r>
      <w:r w:rsidRPr="007C1CB5" w:rsidR="003E1074">
        <w:rPr>
          <w:rFonts w:ascii="Book Antiqua" w:hAnsi="Book Antiqua"/>
        </w:rPr>
        <w:t xml:space="preserve">that the Commission should </w:t>
      </w:r>
      <w:r w:rsidRPr="007C1CB5">
        <w:rPr>
          <w:rFonts w:ascii="Book Antiqua" w:hAnsi="Book Antiqua"/>
        </w:rPr>
        <w:t xml:space="preserve">conduct a comprehensive </w:t>
      </w:r>
      <w:r w:rsidRPr="007C1CB5">
        <w:rPr>
          <w:rFonts w:ascii="Book Antiqua" w:hAnsi="Book Antiqua"/>
        </w:rPr>
        <w:lastRenderedPageBreak/>
        <w:t>M</w:t>
      </w:r>
      <w:r w:rsidRPr="007C1CB5" w:rsidR="003E1074">
        <w:rPr>
          <w:rFonts w:ascii="Book Antiqua" w:hAnsi="Book Antiqua"/>
        </w:rPr>
        <w:t>arket Rate Study</w:t>
      </w:r>
      <w:r w:rsidRPr="007C1CB5">
        <w:rPr>
          <w:rFonts w:ascii="Book Antiqua" w:hAnsi="Book Antiqua"/>
        </w:rPr>
        <w:t xml:space="preserve"> to ensure intervenors</w:t>
      </w:r>
      <w:r w:rsidRPr="007C1CB5" w:rsidR="00FB5F33">
        <w:rPr>
          <w:rFonts w:ascii="Book Antiqua" w:hAnsi="Book Antiqua"/>
        </w:rPr>
        <w:t>’</w:t>
      </w:r>
      <w:r w:rsidRPr="007C1CB5">
        <w:rPr>
          <w:rFonts w:ascii="Book Antiqua" w:hAnsi="Book Antiqua"/>
        </w:rPr>
        <w:t xml:space="preserve"> qualifications were properly verified, and </w:t>
      </w:r>
      <w:r w:rsidRPr="007C1CB5" w:rsidR="003E1074">
        <w:rPr>
          <w:rFonts w:ascii="Book Antiqua" w:hAnsi="Book Antiqua"/>
        </w:rPr>
        <w:t xml:space="preserve">the </w:t>
      </w:r>
      <w:r w:rsidRPr="007C1CB5">
        <w:rPr>
          <w:rFonts w:ascii="Book Antiqua" w:hAnsi="Book Antiqua"/>
        </w:rPr>
        <w:t xml:space="preserve">rates awarded </w:t>
      </w:r>
      <w:r w:rsidRPr="007C1CB5" w:rsidR="003E1074">
        <w:rPr>
          <w:rFonts w:ascii="Book Antiqua" w:hAnsi="Book Antiqua"/>
        </w:rPr>
        <w:t xml:space="preserve">to intervenors were reflective of comparable compensation rates </w:t>
      </w:r>
      <w:r w:rsidRPr="007C1CB5">
        <w:rPr>
          <w:rFonts w:ascii="Book Antiqua" w:hAnsi="Book Antiqua"/>
        </w:rPr>
        <w:t>and updated periodically.  On December 2, 2013, the Commission held a public workshop to continue the effort of developing a consistent review process for intervenor hourly rates.  The workshop also discussed the findings of the State Auditor’s report</w:t>
      </w:r>
      <w:r w:rsidRPr="007C1CB5">
        <w:rPr>
          <w:rFonts w:ascii="Book Antiqua" w:hAnsi="Book Antiqua"/>
          <w:vertAlign w:val="superscript"/>
        </w:rPr>
        <w:t xml:space="preserve"> </w:t>
      </w:r>
      <w:r w:rsidRPr="007C1CB5">
        <w:rPr>
          <w:rFonts w:ascii="Book Antiqua" w:hAnsi="Book Antiqua"/>
        </w:rPr>
        <w:t xml:space="preserve">on the ICOMP program, among other topics.  </w:t>
      </w:r>
      <w:r w:rsidRPr="007C1CB5" w:rsidR="00A3680D">
        <w:rPr>
          <w:rFonts w:ascii="Book Antiqua" w:hAnsi="Book Antiqua"/>
        </w:rPr>
        <w:t xml:space="preserve">Following </w:t>
      </w:r>
      <w:r w:rsidRPr="007C1CB5">
        <w:rPr>
          <w:rFonts w:ascii="Book Antiqua" w:hAnsi="Book Antiqua"/>
        </w:rPr>
        <w:t>the December 2013 workshop, the Commission implemented several changes, including establishing a consistent methodology for developing annual COLAs</w:t>
      </w:r>
      <w:r w:rsidRPr="007C1CB5" w:rsidR="003E1074">
        <w:rPr>
          <w:rFonts w:ascii="Book Antiqua" w:hAnsi="Book Antiqua"/>
        </w:rPr>
        <w:t xml:space="preserve"> and launching a comprehensive Market Rate Study to ensure intervenors are appropriately awarded</w:t>
      </w:r>
      <w:r w:rsidRPr="007C1CB5" w:rsidR="00FB5F33">
        <w:rPr>
          <w:rFonts w:ascii="Book Antiqua" w:hAnsi="Book Antiqua"/>
        </w:rPr>
        <w:t xml:space="preserve"> compensation</w:t>
      </w:r>
      <w:r w:rsidRPr="007C1CB5">
        <w:rPr>
          <w:rFonts w:ascii="Book Antiqua" w:hAnsi="Book Antiqua"/>
        </w:rPr>
        <w:t>.</w:t>
      </w:r>
    </w:p>
    <w:p w:rsidRPr="007C1CB5" w:rsidR="00A24259" w:rsidP="003737CB" w:rsidRDefault="00233226" w14:paraId="67719FA0" w14:textId="6DA34721">
      <w:pPr>
        <w:spacing w:after="240"/>
        <w:rPr>
          <w:rFonts w:ascii="Book Antiqua" w:hAnsi="Book Antiqua"/>
        </w:rPr>
      </w:pPr>
      <w:r w:rsidRPr="007C1CB5">
        <w:rPr>
          <w:rFonts w:ascii="Book Antiqua" w:hAnsi="Book Antiqua"/>
        </w:rPr>
        <w:t xml:space="preserve">Another </w:t>
      </w:r>
      <w:r w:rsidRPr="007C1CB5" w:rsidR="005C766C">
        <w:rPr>
          <w:rFonts w:ascii="Book Antiqua" w:hAnsi="Book Antiqua"/>
        </w:rPr>
        <w:t xml:space="preserve">public </w:t>
      </w:r>
      <w:r w:rsidRPr="007C1CB5">
        <w:rPr>
          <w:rFonts w:ascii="Book Antiqua" w:hAnsi="Book Antiqua"/>
        </w:rPr>
        <w:t xml:space="preserve">workshop was held on March 22, 2016, to consider, among other things, whether a request for proposals </w:t>
      </w:r>
      <w:r w:rsidRPr="007C1CB5" w:rsidR="008C20AE">
        <w:rPr>
          <w:rFonts w:ascii="Book Antiqua" w:hAnsi="Book Antiqua"/>
        </w:rPr>
        <w:t>was</w:t>
      </w:r>
      <w:r w:rsidRPr="007C1CB5">
        <w:rPr>
          <w:rFonts w:ascii="Book Antiqua" w:hAnsi="Book Antiqua"/>
        </w:rPr>
        <w:t xml:space="preserve"> an appropriate path forward for conducting a market rate study, and whether and how intervenors should participate in that process, if undertaken. </w:t>
      </w:r>
      <w:bookmarkStart w:name="_Hlk28000360" w:id="1"/>
    </w:p>
    <w:p w:rsidRPr="007C1CB5" w:rsidR="003A00BF" w:rsidP="003737CB" w:rsidRDefault="008C20AE" w14:paraId="1BA68487" w14:textId="2BECBB18">
      <w:pPr>
        <w:spacing w:after="240"/>
        <w:rPr>
          <w:rFonts w:ascii="Book Antiqua" w:hAnsi="Book Antiqua"/>
        </w:rPr>
      </w:pPr>
      <w:r w:rsidRPr="007C1CB5">
        <w:rPr>
          <w:rFonts w:ascii="Book Antiqua" w:hAnsi="Book Antiqua"/>
        </w:rPr>
        <w:t>I</w:t>
      </w:r>
      <w:r w:rsidRPr="007C1CB5" w:rsidR="003E1074">
        <w:rPr>
          <w:rFonts w:ascii="Book Antiqua" w:hAnsi="Book Antiqua"/>
        </w:rPr>
        <w:t>n 2018</w:t>
      </w:r>
      <w:r w:rsidRPr="007C1CB5" w:rsidR="005D085F">
        <w:rPr>
          <w:rFonts w:ascii="Book Antiqua" w:hAnsi="Book Antiqua"/>
        </w:rPr>
        <w:t>,</w:t>
      </w:r>
      <w:r w:rsidRPr="007C1CB5">
        <w:rPr>
          <w:rFonts w:ascii="Book Antiqua" w:hAnsi="Book Antiqua"/>
        </w:rPr>
        <w:t xml:space="preserve"> the Commission</w:t>
      </w:r>
      <w:r w:rsidRPr="007C1CB5" w:rsidR="00DC7849">
        <w:rPr>
          <w:rFonts w:ascii="Book Antiqua" w:hAnsi="Book Antiqua"/>
        </w:rPr>
        <w:t xml:space="preserve"> contracted with </w:t>
      </w:r>
      <w:r w:rsidRPr="007C1CB5" w:rsidR="003A00BF">
        <w:rPr>
          <w:rFonts w:ascii="Book Antiqua" w:hAnsi="Book Antiqua"/>
        </w:rPr>
        <w:t>Level4Ventures</w:t>
      </w:r>
      <w:r w:rsidRPr="007C1CB5" w:rsidR="00DC7849">
        <w:rPr>
          <w:rFonts w:ascii="Book Antiqua" w:hAnsi="Book Antiqua"/>
        </w:rPr>
        <w:t xml:space="preserve"> </w:t>
      </w:r>
      <w:r w:rsidRPr="007C1CB5" w:rsidR="005D085F">
        <w:rPr>
          <w:rFonts w:ascii="Book Antiqua" w:hAnsi="Book Antiqua"/>
        </w:rPr>
        <w:t>to evaluate</w:t>
      </w:r>
      <w:r w:rsidRPr="007C1CB5" w:rsidR="003E1074">
        <w:rPr>
          <w:rFonts w:ascii="Book Antiqua" w:hAnsi="Book Antiqua"/>
        </w:rPr>
        <w:t xml:space="preserve"> the</w:t>
      </w:r>
      <w:r w:rsidRPr="007C1CB5" w:rsidR="003A00BF">
        <w:rPr>
          <w:rFonts w:ascii="Book Antiqua" w:hAnsi="Book Antiqua"/>
        </w:rPr>
        <w:t xml:space="preserve"> </w:t>
      </w:r>
      <w:r w:rsidRPr="007C1CB5" w:rsidR="003E1074">
        <w:rPr>
          <w:rFonts w:ascii="Book Antiqua" w:hAnsi="Book Antiqua"/>
        </w:rPr>
        <w:t>relationship between experience (labor roles) and compensation (hourly rate</w:t>
      </w:r>
      <w:r w:rsidRPr="007C1CB5" w:rsidR="009B14C2">
        <w:rPr>
          <w:rFonts w:ascii="Book Antiqua" w:hAnsi="Book Antiqua"/>
        </w:rPr>
        <w:t>s</w:t>
      </w:r>
      <w:r w:rsidRPr="007C1CB5" w:rsidR="003E1074">
        <w:rPr>
          <w:rFonts w:ascii="Book Antiqua" w:hAnsi="Book Antiqua"/>
        </w:rPr>
        <w:t>)</w:t>
      </w:r>
      <w:r w:rsidRPr="007C1CB5" w:rsidR="00712110">
        <w:rPr>
          <w:rFonts w:ascii="Book Antiqua" w:hAnsi="Book Antiqua"/>
        </w:rPr>
        <w:t xml:space="preserve"> </w:t>
      </w:r>
      <w:r w:rsidRPr="007C1CB5" w:rsidR="003A00BF">
        <w:rPr>
          <w:rFonts w:ascii="Book Antiqua" w:hAnsi="Book Antiqua"/>
        </w:rPr>
        <w:t>for advocates and expert witnesses that work in the administrative law and regulatory sector</w:t>
      </w:r>
      <w:r w:rsidRPr="007C1CB5" w:rsidR="003E1074">
        <w:rPr>
          <w:rFonts w:ascii="Book Antiqua" w:hAnsi="Book Antiqua"/>
        </w:rPr>
        <w:t xml:space="preserve"> within and outside of Commission proceedings,</w:t>
      </w:r>
      <w:r w:rsidRPr="007C1CB5" w:rsidR="003A00BF">
        <w:rPr>
          <w:rFonts w:ascii="Book Antiqua" w:hAnsi="Book Antiqua"/>
        </w:rPr>
        <w:t xml:space="preserve"> and </w:t>
      </w:r>
      <w:r w:rsidRPr="007C1CB5" w:rsidR="003E1074">
        <w:rPr>
          <w:rFonts w:ascii="Book Antiqua" w:hAnsi="Book Antiqua"/>
        </w:rPr>
        <w:t xml:space="preserve">determine </w:t>
      </w:r>
      <w:r w:rsidRPr="007C1CB5" w:rsidR="003A00BF">
        <w:rPr>
          <w:rFonts w:ascii="Book Antiqua" w:hAnsi="Book Antiqua"/>
        </w:rPr>
        <w:t>reasonable advocate and expert witness fees for those that practice before the Commission.</w:t>
      </w:r>
    </w:p>
    <w:bookmarkEnd w:id="1"/>
    <w:p w:rsidR="00EB16C4" w:rsidP="00524077" w:rsidRDefault="0078705B" w14:paraId="53CF23E9" w14:textId="77777777">
      <w:pPr>
        <w:spacing w:after="240"/>
        <w:rPr>
          <w:rFonts w:ascii="Book Antiqua" w:hAnsi="Book Antiqua"/>
        </w:rPr>
      </w:pPr>
      <w:r w:rsidRPr="007C1CB5">
        <w:rPr>
          <w:rFonts w:ascii="Book Antiqua" w:hAnsi="Book Antiqua"/>
        </w:rPr>
        <w:t xml:space="preserve">In August 2018, Level4Ventures </w:t>
      </w:r>
      <w:r w:rsidRPr="007C1CB5" w:rsidR="009B14C2">
        <w:rPr>
          <w:rFonts w:ascii="Book Antiqua" w:hAnsi="Book Antiqua"/>
        </w:rPr>
        <w:t>and the Commission hosted a public</w:t>
      </w:r>
      <w:r w:rsidRPr="007C1CB5">
        <w:rPr>
          <w:rFonts w:ascii="Book Antiqua" w:hAnsi="Book Antiqua"/>
        </w:rPr>
        <w:t xml:space="preserve"> workshop to review and finalize the list of </w:t>
      </w:r>
      <w:r w:rsidRPr="007C1CB5" w:rsidR="009B14C2">
        <w:rPr>
          <w:rFonts w:ascii="Book Antiqua" w:hAnsi="Book Antiqua"/>
        </w:rPr>
        <w:t>i</w:t>
      </w:r>
      <w:r w:rsidRPr="007C1CB5">
        <w:rPr>
          <w:rFonts w:ascii="Book Antiqua" w:hAnsi="Book Antiqua"/>
        </w:rPr>
        <w:t xml:space="preserve">ntervenor labor categories, </w:t>
      </w:r>
      <w:r w:rsidRPr="007C1CB5" w:rsidR="009B14C2">
        <w:rPr>
          <w:rFonts w:ascii="Book Antiqua" w:hAnsi="Book Antiqua"/>
        </w:rPr>
        <w:t xml:space="preserve">descriptions of each separate </w:t>
      </w:r>
      <w:r w:rsidRPr="007C1CB5">
        <w:rPr>
          <w:rFonts w:ascii="Book Antiqua" w:hAnsi="Book Antiqua"/>
        </w:rPr>
        <w:t xml:space="preserve">labor category, and </w:t>
      </w:r>
      <w:r w:rsidRPr="007C1CB5" w:rsidR="00DB5B66">
        <w:rPr>
          <w:rFonts w:ascii="Book Antiqua" w:hAnsi="Book Antiqua"/>
        </w:rPr>
        <w:t xml:space="preserve">various </w:t>
      </w:r>
      <w:r w:rsidRPr="007C1CB5">
        <w:rPr>
          <w:rFonts w:ascii="Book Antiqua" w:hAnsi="Book Antiqua"/>
        </w:rPr>
        <w:t>experience levels</w:t>
      </w:r>
      <w:r w:rsidRPr="007C1CB5" w:rsidR="009B14C2">
        <w:rPr>
          <w:rFonts w:ascii="Book Antiqua" w:hAnsi="Book Antiqua"/>
        </w:rPr>
        <w:t xml:space="preserve">. </w:t>
      </w:r>
      <w:r w:rsidRPr="007C1CB5" w:rsidR="00130681">
        <w:rPr>
          <w:rFonts w:ascii="Book Antiqua" w:hAnsi="Book Antiqua"/>
        </w:rPr>
        <w:t xml:space="preserve"> </w:t>
      </w:r>
      <w:r w:rsidRPr="007C1CB5" w:rsidR="009B14C2">
        <w:rPr>
          <w:rFonts w:ascii="Book Antiqua" w:hAnsi="Book Antiqua"/>
        </w:rPr>
        <w:t>Level4Ventures incorporated comments and feedback provided during the workshop,</w:t>
      </w:r>
      <w:r w:rsidRPr="007C1CB5">
        <w:rPr>
          <w:rFonts w:ascii="Book Antiqua" w:hAnsi="Book Antiqua"/>
        </w:rPr>
        <w:t xml:space="preserve"> </w:t>
      </w:r>
      <w:r w:rsidRPr="007C1CB5" w:rsidR="009B14C2">
        <w:rPr>
          <w:rFonts w:ascii="Book Antiqua" w:hAnsi="Book Antiqua"/>
        </w:rPr>
        <w:t>when developing the</w:t>
      </w:r>
      <w:r w:rsidRPr="007C1CB5">
        <w:rPr>
          <w:rFonts w:ascii="Book Antiqua" w:hAnsi="Book Antiqua"/>
        </w:rPr>
        <w:t xml:space="preserve"> M</w:t>
      </w:r>
      <w:r w:rsidRPr="007C1CB5" w:rsidR="009B14C2">
        <w:rPr>
          <w:rFonts w:ascii="Book Antiqua" w:hAnsi="Book Antiqua"/>
        </w:rPr>
        <w:t xml:space="preserve">arket </w:t>
      </w:r>
      <w:r w:rsidRPr="007C1CB5">
        <w:rPr>
          <w:rFonts w:ascii="Book Antiqua" w:hAnsi="Book Antiqua"/>
        </w:rPr>
        <w:t>R</w:t>
      </w:r>
      <w:r w:rsidRPr="007C1CB5" w:rsidR="009B14C2">
        <w:rPr>
          <w:rFonts w:ascii="Book Antiqua" w:hAnsi="Book Antiqua"/>
        </w:rPr>
        <w:t xml:space="preserve">ate </w:t>
      </w:r>
      <w:r w:rsidRPr="007C1CB5">
        <w:rPr>
          <w:rFonts w:ascii="Book Antiqua" w:hAnsi="Book Antiqua"/>
        </w:rPr>
        <w:t>S</w:t>
      </w:r>
      <w:r w:rsidRPr="007C1CB5" w:rsidR="009B14C2">
        <w:rPr>
          <w:rFonts w:ascii="Book Antiqua" w:hAnsi="Book Antiqua"/>
        </w:rPr>
        <w:t>tudy</w:t>
      </w:r>
      <w:r w:rsidRPr="007C1CB5">
        <w:rPr>
          <w:rFonts w:ascii="Book Antiqua" w:hAnsi="Book Antiqua"/>
        </w:rPr>
        <w:t xml:space="preserve"> Final Report with new intervenor hourly rates.</w:t>
      </w:r>
      <w:r w:rsidRPr="007C1CB5" w:rsidR="009B14C2">
        <w:rPr>
          <w:rStyle w:val="FootnoteReference"/>
          <w:rFonts w:ascii="Book Antiqua" w:hAnsi="Book Antiqua"/>
        </w:rPr>
        <w:footnoteReference w:id="7"/>
      </w:r>
      <w:r w:rsidRPr="007C1CB5">
        <w:rPr>
          <w:rFonts w:ascii="Book Antiqua" w:hAnsi="Book Antiqua"/>
        </w:rPr>
        <w:t xml:space="preserve"> </w:t>
      </w:r>
    </w:p>
    <w:p w:rsidRPr="007C1CB5" w:rsidR="00B61CC7" w:rsidP="00524077" w:rsidRDefault="00B61CC7" w14:paraId="72475B93" w14:textId="61F01E81">
      <w:pPr>
        <w:spacing w:after="240"/>
        <w:rPr>
          <w:rFonts w:ascii="Book Antiqua" w:hAnsi="Book Antiqua"/>
          <w:b/>
          <w:szCs w:val="24"/>
          <w:u w:val="single"/>
        </w:rPr>
      </w:pPr>
      <w:r w:rsidRPr="007C1CB5">
        <w:rPr>
          <w:rFonts w:ascii="Book Antiqua" w:hAnsi="Book Antiqua"/>
          <w:b/>
          <w:szCs w:val="24"/>
          <w:u w:val="single"/>
        </w:rPr>
        <w:t xml:space="preserve">New </w:t>
      </w:r>
      <w:r w:rsidRPr="007C1CB5" w:rsidR="00A07DB2">
        <w:rPr>
          <w:rFonts w:ascii="Book Antiqua" w:hAnsi="Book Antiqua"/>
          <w:b/>
          <w:szCs w:val="24"/>
          <w:u w:val="single"/>
        </w:rPr>
        <w:t xml:space="preserve">Labor Role </w:t>
      </w:r>
      <w:r w:rsidRPr="007C1CB5">
        <w:rPr>
          <w:rFonts w:ascii="Book Antiqua" w:hAnsi="Book Antiqua"/>
          <w:b/>
          <w:szCs w:val="24"/>
          <w:u w:val="single"/>
        </w:rPr>
        <w:t>Categories</w:t>
      </w:r>
    </w:p>
    <w:p w:rsidRPr="007C1CB5" w:rsidR="009B14C2" w:rsidP="003737CB" w:rsidRDefault="003A00BF" w14:paraId="0A9D27D3" w14:textId="2C950F4D">
      <w:pPr>
        <w:spacing w:after="240"/>
        <w:rPr>
          <w:rFonts w:ascii="Book Antiqua" w:hAnsi="Book Antiqua"/>
        </w:rPr>
      </w:pPr>
      <w:r w:rsidRPr="007C1CB5">
        <w:rPr>
          <w:rFonts w:ascii="Book Antiqua" w:hAnsi="Book Antiqua"/>
        </w:rPr>
        <w:t xml:space="preserve">The </w:t>
      </w:r>
      <w:r w:rsidRPr="007C1CB5" w:rsidR="009B14C2">
        <w:rPr>
          <w:rFonts w:ascii="Book Antiqua" w:hAnsi="Book Antiqua"/>
        </w:rPr>
        <w:t xml:space="preserve">Market Rate Study Final Report establishes </w:t>
      </w:r>
      <w:r w:rsidRPr="007C1CB5">
        <w:rPr>
          <w:rFonts w:ascii="Book Antiqua" w:hAnsi="Book Antiqua"/>
        </w:rPr>
        <w:t xml:space="preserve">new intervenor role classifications, a comprehensive description of each classification, and new rate </w:t>
      </w:r>
      <w:r w:rsidRPr="007C1CB5" w:rsidR="00A3680D">
        <w:rPr>
          <w:rFonts w:ascii="Book Antiqua" w:hAnsi="Book Antiqua"/>
        </w:rPr>
        <w:t xml:space="preserve">ranges </w:t>
      </w:r>
      <w:r w:rsidRPr="007C1CB5">
        <w:rPr>
          <w:rFonts w:ascii="Book Antiqua" w:hAnsi="Book Antiqua"/>
        </w:rPr>
        <w:t>for each classification.</w:t>
      </w:r>
      <w:r w:rsidRPr="007C1CB5" w:rsidR="003B2115">
        <w:rPr>
          <w:rFonts w:ascii="Book Antiqua" w:hAnsi="Book Antiqua"/>
        </w:rPr>
        <w:t xml:space="preserve"> </w:t>
      </w:r>
    </w:p>
    <w:p w:rsidRPr="007C1CB5" w:rsidR="002A0BFB" w:rsidP="003737CB" w:rsidRDefault="009B14C2" w14:paraId="3843F787" w14:textId="386E9C4F">
      <w:pPr>
        <w:spacing w:after="240"/>
        <w:rPr>
          <w:rFonts w:ascii="Book Antiqua" w:hAnsi="Book Antiqua"/>
          <w:b/>
          <w:sz w:val="26"/>
          <w:szCs w:val="26"/>
          <w:u w:val="single"/>
        </w:rPr>
      </w:pPr>
      <w:r w:rsidRPr="007C1CB5">
        <w:rPr>
          <w:rFonts w:ascii="Book Antiqua" w:hAnsi="Book Antiqua"/>
        </w:rPr>
        <w:t>The study bases hourly rate</w:t>
      </w:r>
      <w:r w:rsidRPr="007C1CB5" w:rsidR="005D085F">
        <w:rPr>
          <w:rFonts w:ascii="Book Antiqua" w:hAnsi="Book Antiqua"/>
        </w:rPr>
        <w:t xml:space="preserve"> range</w:t>
      </w:r>
      <w:r w:rsidRPr="007C1CB5">
        <w:rPr>
          <w:rFonts w:ascii="Book Antiqua" w:hAnsi="Book Antiqua"/>
        </w:rPr>
        <w:t>s on the San Francisco Metropolitan Statistical area because</w:t>
      </w:r>
      <w:r w:rsidRPr="007C1CB5" w:rsidR="003A00BF">
        <w:rPr>
          <w:rFonts w:ascii="Book Antiqua" w:hAnsi="Book Antiqua"/>
        </w:rPr>
        <w:t xml:space="preserve"> most hearings take place at the Commission’s current headquarters in San</w:t>
      </w:r>
      <w:r w:rsidRPr="007C1CB5" w:rsidR="00210C47">
        <w:rPr>
          <w:rFonts w:ascii="Book Antiqua" w:hAnsi="Book Antiqua"/>
        </w:rPr>
        <w:t> </w:t>
      </w:r>
      <w:r w:rsidRPr="007C1CB5" w:rsidR="003A00BF">
        <w:rPr>
          <w:rFonts w:ascii="Book Antiqua" w:hAnsi="Book Antiqua"/>
        </w:rPr>
        <w:t xml:space="preserve">Francisco </w:t>
      </w:r>
      <w:r w:rsidRPr="007C1CB5">
        <w:rPr>
          <w:rFonts w:ascii="Book Antiqua" w:hAnsi="Book Antiqua"/>
        </w:rPr>
        <w:t xml:space="preserve">and </w:t>
      </w:r>
      <w:r w:rsidRPr="007C1CB5" w:rsidR="00DB5B66">
        <w:rPr>
          <w:rFonts w:ascii="Book Antiqua" w:hAnsi="Book Antiqua"/>
        </w:rPr>
        <w:t>a</w:t>
      </w:r>
      <w:r w:rsidRPr="007C1CB5">
        <w:rPr>
          <w:rFonts w:ascii="Book Antiqua" w:hAnsi="Book Antiqua"/>
        </w:rPr>
        <w:t xml:space="preserve"> plurality of intervenors are headquartered or have offices in the same general location.</w:t>
      </w:r>
      <w:r w:rsidRPr="007C1CB5" w:rsidR="005156FD">
        <w:rPr>
          <w:rFonts w:ascii="Book Antiqua" w:hAnsi="Book Antiqua"/>
        </w:rPr>
        <w:t xml:space="preserve"> </w:t>
      </w:r>
      <w:r w:rsidRPr="007C1CB5" w:rsidR="00130681">
        <w:rPr>
          <w:rFonts w:ascii="Book Antiqua" w:hAnsi="Book Antiqua"/>
        </w:rPr>
        <w:t xml:space="preserve"> </w:t>
      </w:r>
      <w:r w:rsidRPr="007C1CB5" w:rsidR="005156FD">
        <w:rPr>
          <w:rFonts w:ascii="Book Antiqua" w:hAnsi="Book Antiqua"/>
        </w:rPr>
        <w:t>The spreadsheet provides new hourly rate</w:t>
      </w:r>
      <w:r w:rsidRPr="007C1CB5" w:rsidR="005D085F">
        <w:rPr>
          <w:rFonts w:ascii="Book Antiqua" w:hAnsi="Book Antiqua"/>
        </w:rPr>
        <w:t xml:space="preserve"> range</w:t>
      </w:r>
      <w:r w:rsidRPr="007C1CB5" w:rsidR="005156FD">
        <w:rPr>
          <w:rFonts w:ascii="Book Antiqua" w:hAnsi="Book Antiqua"/>
        </w:rPr>
        <w:t xml:space="preserve">s for various occupational types – legal, experts, and advocates – based an intervenor’s level of experience ranging from </w:t>
      </w:r>
      <w:r w:rsidRPr="007C1CB5" w:rsidR="008C20AE">
        <w:rPr>
          <w:rFonts w:ascii="Book Antiqua" w:hAnsi="Book Antiqua"/>
        </w:rPr>
        <w:t xml:space="preserve">entry level </w:t>
      </w:r>
      <w:r w:rsidRPr="007C1CB5" w:rsidR="005156FD">
        <w:rPr>
          <w:rFonts w:ascii="Book Antiqua" w:hAnsi="Book Antiqua"/>
        </w:rPr>
        <w:t xml:space="preserve">to </w:t>
      </w:r>
      <w:r w:rsidRPr="007C1CB5" w:rsidR="008C20AE">
        <w:rPr>
          <w:rFonts w:ascii="Book Antiqua" w:hAnsi="Book Antiqua"/>
        </w:rPr>
        <w:t>senior personnel</w:t>
      </w:r>
      <w:r w:rsidRPr="007C1CB5" w:rsidR="005156FD">
        <w:rPr>
          <w:rFonts w:ascii="Book Antiqua" w:hAnsi="Book Antiqua"/>
        </w:rPr>
        <w:t xml:space="preserve">. </w:t>
      </w:r>
      <w:r w:rsidRPr="007C1CB5" w:rsidR="00130681">
        <w:rPr>
          <w:rFonts w:ascii="Book Antiqua" w:hAnsi="Book Antiqua"/>
        </w:rPr>
        <w:t xml:space="preserve"> </w:t>
      </w:r>
      <w:r w:rsidRPr="007C1CB5" w:rsidR="007E24CC">
        <w:rPr>
          <w:rFonts w:ascii="Book Antiqua" w:hAnsi="Book Antiqua"/>
        </w:rPr>
        <w:t xml:space="preserve">Intervenors are directed to use the </w:t>
      </w:r>
      <w:r w:rsidRPr="007C1CB5" w:rsidR="00A341B9">
        <w:rPr>
          <w:rFonts w:ascii="Book Antiqua" w:hAnsi="Book Antiqua"/>
        </w:rPr>
        <w:t xml:space="preserve">Hourly </w:t>
      </w:r>
      <w:r w:rsidRPr="007C1CB5" w:rsidR="007E24CC">
        <w:rPr>
          <w:rFonts w:ascii="Book Antiqua" w:hAnsi="Book Antiqua"/>
        </w:rPr>
        <w:t xml:space="preserve">Rate Chart spreadsheet available on the Commission’s ICOMP website </w:t>
      </w:r>
      <w:r w:rsidRPr="007C1CB5" w:rsidR="007E24CC">
        <w:rPr>
          <w:rFonts w:ascii="Book Antiqua" w:hAnsi="Book Antiqua"/>
        </w:rPr>
        <w:lastRenderedPageBreak/>
        <w:t>(</w:t>
      </w:r>
      <w:hyperlink w:history="1" r:id="rId11">
        <w:r w:rsidRPr="007C1CB5" w:rsidR="007E24CC">
          <w:rPr>
            <w:rStyle w:val="Hyperlink"/>
            <w:rFonts w:ascii="Book Antiqua" w:hAnsi="Book Antiqua"/>
          </w:rPr>
          <w:t>www.cpuc.ca.gov/icomp</w:t>
        </w:r>
      </w:hyperlink>
      <w:r w:rsidRPr="007C1CB5" w:rsidR="007E24CC">
        <w:rPr>
          <w:rFonts w:ascii="Book Antiqua" w:hAnsi="Book Antiqua"/>
        </w:rPr>
        <w:t>) to determine the appropriate hourly rate when completing claims</w:t>
      </w:r>
      <w:r w:rsidRPr="007C1CB5" w:rsidR="008C20AE">
        <w:rPr>
          <w:rFonts w:ascii="Book Antiqua" w:hAnsi="Book Antiqua"/>
        </w:rPr>
        <w:t xml:space="preserve"> for work performed</w:t>
      </w:r>
      <w:r w:rsidRPr="007C1CB5" w:rsidR="007E24CC">
        <w:rPr>
          <w:rFonts w:ascii="Book Antiqua" w:hAnsi="Book Antiqua"/>
        </w:rPr>
        <w:t xml:space="preserve"> on or after January 1, 2021.</w:t>
      </w:r>
    </w:p>
    <w:p w:rsidRPr="007C1CB5" w:rsidR="007C7CDB" w:rsidP="003737CB" w:rsidRDefault="003A00BF" w14:paraId="0289ADFE" w14:textId="4BB10AF5">
      <w:pPr>
        <w:spacing w:after="240"/>
        <w:rPr>
          <w:rFonts w:ascii="Book Antiqua" w:hAnsi="Book Antiqua"/>
        </w:rPr>
      </w:pPr>
      <w:r w:rsidRPr="007C1CB5">
        <w:rPr>
          <w:rFonts w:ascii="Book Antiqua" w:hAnsi="Book Antiqua"/>
        </w:rPr>
        <w:t xml:space="preserve">The </w:t>
      </w:r>
      <w:r w:rsidRPr="007C1CB5" w:rsidR="007E24CC">
        <w:rPr>
          <w:rFonts w:ascii="Book Antiqua" w:hAnsi="Book Antiqua"/>
        </w:rPr>
        <w:t>spreadsheet’s hourly</w:t>
      </w:r>
      <w:r w:rsidRPr="007C1CB5">
        <w:rPr>
          <w:rFonts w:ascii="Book Antiqua" w:hAnsi="Book Antiqua"/>
        </w:rPr>
        <w:t xml:space="preserve"> rate</w:t>
      </w:r>
      <w:r w:rsidRPr="007C1CB5" w:rsidR="005D085F">
        <w:rPr>
          <w:rFonts w:ascii="Book Antiqua" w:hAnsi="Book Antiqua"/>
        </w:rPr>
        <w:t xml:space="preserve"> range</w:t>
      </w:r>
      <w:r w:rsidRPr="007C1CB5">
        <w:rPr>
          <w:rFonts w:ascii="Book Antiqua" w:hAnsi="Book Antiqua"/>
        </w:rPr>
        <w:t xml:space="preserve">s will be </w:t>
      </w:r>
      <w:r w:rsidRPr="007C1CB5" w:rsidR="00FB4AC9">
        <w:rPr>
          <w:rFonts w:ascii="Book Antiqua" w:hAnsi="Book Antiqua"/>
        </w:rPr>
        <w:t xml:space="preserve">updated </w:t>
      </w:r>
      <w:r w:rsidRPr="007C1CB5">
        <w:rPr>
          <w:rFonts w:ascii="Book Antiqua" w:hAnsi="Book Antiqua"/>
        </w:rPr>
        <w:t>annually</w:t>
      </w:r>
      <w:r w:rsidRPr="007C1CB5" w:rsidR="00FB4AC9">
        <w:rPr>
          <w:rFonts w:ascii="Book Antiqua" w:hAnsi="Book Antiqua"/>
        </w:rPr>
        <w:t xml:space="preserve"> using the escalation methodology described below.  The hourly rate</w:t>
      </w:r>
      <w:r w:rsidRPr="007C1CB5" w:rsidR="005D085F">
        <w:rPr>
          <w:rFonts w:ascii="Book Antiqua" w:hAnsi="Book Antiqua"/>
        </w:rPr>
        <w:t xml:space="preserve"> range</w:t>
      </w:r>
      <w:r w:rsidRPr="007C1CB5" w:rsidR="00FB4AC9">
        <w:rPr>
          <w:rFonts w:ascii="Book Antiqua" w:hAnsi="Book Antiqua"/>
        </w:rPr>
        <w:t xml:space="preserve">s identified through the Market Rate Study also </w:t>
      </w:r>
      <w:r w:rsidRPr="007C1CB5">
        <w:rPr>
          <w:rFonts w:ascii="Book Antiqua" w:hAnsi="Book Antiqua"/>
        </w:rPr>
        <w:t>incorporate</w:t>
      </w:r>
      <w:r w:rsidRPr="007C1CB5" w:rsidR="00FB4AC9">
        <w:rPr>
          <w:rFonts w:ascii="Book Antiqua" w:hAnsi="Book Antiqua"/>
        </w:rPr>
        <w:t xml:space="preserve"> and reflect </w:t>
      </w:r>
      <w:r w:rsidRPr="007C1CB5" w:rsidR="00DB5B66">
        <w:rPr>
          <w:rFonts w:ascii="Book Antiqua" w:hAnsi="Book Antiqua"/>
        </w:rPr>
        <w:t xml:space="preserve">the </w:t>
      </w:r>
      <w:r w:rsidRPr="007C1CB5" w:rsidR="00FB4AC9">
        <w:rPr>
          <w:rFonts w:ascii="Book Antiqua" w:hAnsi="Book Antiqua"/>
        </w:rPr>
        <w:t>annual escalation of</w:t>
      </w:r>
      <w:r w:rsidRPr="007C1CB5">
        <w:rPr>
          <w:rFonts w:ascii="Book Antiqua" w:hAnsi="Book Antiqua"/>
        </w:rPr>
        <w:t xml:space="preserve"> overhead </w:t>
      </w:r>
      <w:r w:rsidRPr="007C1CB5" w:rsidR="00FB4AC9">
        <w:rPr>
          <w:rFonts w:ascii="Book Antiqua" w:hAnsi="Book Antiqua"/>
        </w:rPr>
        <w:t>costs. A</w:t>
      </w:r>
      <w:r w:rsidRPr="007C1CB5">
        <w:rPr>
          <w:rFonts w:ascii="Book Antiqua" w:hAnsi="Book Antiqua"/>
        </w:rPr>
        <w:t xml:space="preserve">s a result, we will no longer compensate for </w:t>
      </w:r>
      <w:r w:rsidRPr="007C1CB5" w:rsidR="008C20AE">
        <w:rPr>
          <w:rFonts w:ascii="Book Antiqua" w:hAnsi="Book Antiqua"/>
        </w:rPr>
        <w:t xml:space="preserve">routine </w:t>
      </w:r>
      <w:r w:rsidRPr="007C1CB5" w:rsidR="00FB4AC9">
        <w:rPr>
          <w:rFonts w:ascii="Book Antiqua" w:hAnsi="Book Antiqua"/>
        </w:rPr>
        <w:t xml:space="preserve">overhead </w:t>
      </w:r>
      <w:r w:rsidRPr="007C1CB5">
        <w:rPr>
          <w:rFonts w:ascii="Book Antiqua" w:hAnsi="Book Antiqua"/>
        </w:rPr>
        <w:t>costs such as Lexis Nexis</w:t>
      </w:r>
      <w:r w:rsidRPr="007C1CB5" w:rsidR="00FB4AC9">
        <w:rPr>
          <w:rFonts w:ascii="Book Antiqua" w:hAnsi="Book Antiqua"/>
        </w:rPr>
        <w:t xml:space="preserve"> fees</w:t>
      </w:r>
      <w:r w:rsidRPr="007C1CB5">
        <w:rPr>
          <w:rFonts w:ascii="Book Antiqua" w:hAnsi="Book Antiqua"/>
        </w:rPr>
        <w:t xml:space="preserve">, postage, photocopies, etc. </w:t>
      </w:r>
    </w:p>
    <w:p w:rsidRPr="007C1CB5" w:rsidR="00F913F1" w:rsidP="00524077" w:rsidRDefault="00FB4AC9" w14:paraId="675A196F" w14:textId="61FE249B">
      <w:pPr>
        <w:spacing w:after="120"/>
        <w:rPr>
          <w:rFonts w:ascii="Book Antiqua" w:hAnsi="Book Antiqua"/>
        </w:rPr>
      </w:pPr>
      <w:r w:rsidRPr="007C1CB5">
        <w:rPr>
          <w:rFonts w:ascii="Book Antiqua" w:hAnsi="Book Antiqua"/>
        </w:rPr>
        <w:t>Incremental o</w:t>
      </w:r>
      <w:r w:rsidRPr="007C1CB5" w:rsidR="003A00BF">
        <w:rPr>
          <w:rFonts w:ascii="Book Antiqua" w:hAnsi="Book Antiqua"/>
        </w:rPr>
        <w:t>verhead costs</w:t>
      </w:r>
      <w:r w:rsidRPr="007C1CB5">
        <w:rPr>
          <w:rFonts w:ascii="Book Antiqua" w:hAnsi="Book Antiqua"/>
        </w:rPr>
        <w:t xml:space="preserve"> for individual proceedings</w:t>
      </w:r>
      <w:r w:rsidRPr="007C1CB5" w:rsidR="003A00BF">
        <w:rPr>
          <w:rFonts w:ascii="Book Antiqua" w:hAnsi="Book Antiqua"/>
        </w:rPr>
        <w:t xml:space="preserve"> may be considered on</w:t>
      </w:r>
      <w:r w:rsidRPr="007C1CB5" w:rsidR="00FB5F33">
        <w:rPr>
          <w:rFonts w:ascii="Book Antiqua" w:hAnsi="Book Antiqua"/>
        </w:rPr>
        <w:t xml:space="preserve"> a</w:t>
      </w:r>
      <w:r w:rsidRPr="007C1CB5" w:rsidR="003A00BF">
        <w:rPr>
          <w:rFonts w:ascii="Book Antiqua" w:hAnsi="Book Antiqua"/>
        </w:rPr>
        <w:t xml:space="preserve"> case </w:t>
      </w:r>
      <w:r w:rsidRPr="007C1CB5" w:rsidR="00FB5F33">
        <w:rPr>
          <w:rFonts w:ascii="Book Antiqua" w:hAnsi="Book Antiqua"/>
        </w:rPr>
        <w:t xml:space="preserve">by </w:t>
      </w:r>
      <w:r w:rsidRPr="007C1CB5" w:rsidR="003A00BF">
        <w:rPr>
          <w:rFonts w:ascii="Book Antiqua" w:hAnsi="Book Antiqua"/>
        </w:rPr>
        <w:t>case basis.</w:t>
      </w:r>
    </w:p>
    <w:p w:rsidRPr="007C1CB5" w:rsidR="006C1AE8" w:rsidP="003737CB" w:rsidRDefault="007775EC" w14:paraId="361DBA72" w14:textId="6DCF32B6">
      <w:pPr>
        <w:spacing w:after="240"/>
        <w:rPr>
          <w:rFonts w:ascii="Book Antiqua" w:hAnsi="Book Antiqua"/>
          <w:b/>
          <w:bCs/>
          <w:u w:val="single"/>
        </w:rPr>
      </w:pPr>
      <w:r w:rsidRPr="007C1CB5">
        <w:rPr>
          <w:rFonts w:ascii="Book Antiqua" w:hAnsi="Book Antiqua"/>
          <w:b/>
          <w:bCs/>
          <w:u w:val="single"/>
        </w:rPr>
        <w:t>Escalation Methodology</w:t>
      </w:r>
    </w:p>
    <w:p w:rsidRPr="007C1CB5" w:rsidR="006345E6" w:rsidP="003737CB" w:rsidRDefault="00CD75DB" w14:paraId="42093AB0" w14:textId="1E60F670">
      <w:pPr>
        <w:spacing w:after="240"/>
        <w:rPr>
          <w:rFonts w:ascii="Book Antiqua" w:hAnsi="Book Antiqua"/>
        </w:rPr>
      </w:pPr>
      <w:r w:rsidRPr="007C1CB5">
        <w:rPr>
          <w:rFonts w:ascii="Book Antiqua" w:hAnsi="Book Antiqua"/>
          <w:szCs w:val="24"/>
        </w:rPr>
        <w:t>T</w:t>
      </w:r>
      <w:r w:rsidRPr="007C1CB5" w:rsidR="00FB4AC9">
        <w:rPr>
          <w:rFonts w:ascii="Book Antiqua" w:hAnsi="Book Antiqua"/>
          <w:szCs w:val="24"/>
        </w:rPr>
        <w:t>his</w:t>
      </w:r>
      <w:r w:rsidRPr="007C1CB5" w:rsidR="00E54AFD">
        <w:rPr>
          <w:rFonts w:ascii="Book Antiqua" w:hAnsi="Book Antiqua"/>
          <w:szCs w:val="24"/>
        </w:rPr>
        <w:t xml:space="preserve"> resolution adopts t</w:t>
      </w:r>
      <w:r w:rsidRPr="007C1CB5">
        <w:rPr>
          <w:rFonts w:ascii="Book Antiqua" w:hAnsi="Book Antiqua"/>
          <w:szCs w:val="24"/>
        </w:rPr>
        <w:t>he</w:t>
      </w:r>
      <w:r w:rsidRPr="007C1CB5" w:rsidR="00E54AFD">
        <w:rPr>
          <w:rFonts w:ascii="Book Antiqua" w:hAnsi="Book Antiqua"/>
          <w:szCs w:val="24"/>
        </w:rPr>
        <w:t xml:space="preserve"> hourly</w:t>
      </w:r>
      <w:r w:rsidRPr="007C1CB5">
        <w:rPr>
          <w:rFonts w:ascii="Book Antiqua" w:hAnsi="Book Antiqua"/>
          <w:szCs w:val="24"/>
        </w:rPr>
        <w:t xml:space="preserve"> rate</w:t>
      </w:r>
      <w:r w:rsidRPr="007C1CB5" w:rsidR="005D085F">
        <w:rPr>
          <w:rFonts w:ascii="Book Antiqua" w:hAnsi="Book Antiqua"/>
          <w:szCs w:val="24"/>
        </w:rPr>
        <w:t xml:space="preserve"> range</w:t>
      </w:r>
      <w:r w:rsidRPr="007C1CB5">
        <w:rPr>
          <w:rFonts w:ascii="Book Antiqua" w:hAnsi="Book Antiqua"/>
          <w:szCs w:val="24"/>
        </w:rPr>
        <w:t>s for 202</w:t>
      </w:r>
      <w:r w:rsidRPr="007C1CB5" w:rsidR="00E2024C">
        <w:rPr>
          <w:rFonts w:ascii="Book Antiqua" w:hAnsi="Book Antiqua"/>
          <w:szCs w:val="24"/>
        </w:rPr>
        <w:t>1</w:t>
      </w:r>
      <w:r w:rsidRPr="007C1CB5">
        <w:rPr>
          <w:rFonts w:ascii="Book Antiqua" w:hAnsi="Book Antiqua"/>
          <w:szCs w:val="24"/>
        </w:rPr>
        <w:t xml:space="preserve"> </w:t>
      </w:r>
      <w:r w:rsidRPr="007C1CB5" w:rsidR="00E54AFD">
        <w:rPr>
          <w:rFonts w:ascii="Book Antiqua" w:hAnsi="Book Antiqua"/>
          <w:szCs w:val="24"/>
        </w:rPr>
        <w:t>and</w:t>
      </w:r>
      <w:r w:rsidRPr="007C1CB5" w:rsidR="005F7959">
        <w:rPr>
          <w:rFonts w:ascii="Book Antiqua" w:hAnsi="Book Antiqua"/>
          <w:szCs w:val="24"/>
        </w:rPr>
        <w:t xml:space="preserve"> </w:t>
      </w:r>
      <w:r w:rsidRPr="007C1CB5">
        <w:rPr>
          <w:rFonts w:ascii="Book Antiqua" w:hAnsi="Book Antiqua"/>
          <w:szCs w:val="24"/>
        </w:rPr>
        <w:t>an</w:t>
      </w:r>
      <w:r w:rsidRPr="007C1CB5" w:rsidR="00B01827">
        <w:rPr>
          <w:rFonts w:ascii="Book Antiqua" w:hAnsi="Book Antiqua"/>
          <w:szCs w:val="24"/>
        </w:rPr>
        <w:t xml:space="preserve"> annual</w:t>
      </w:r>
      <w:r w:rsidRPr="007C1CB5" w:rsidR="00774829">
        <w:rPr>
          <w:rFonts w:ascii="Book Antiqua" w:hAnsi="Book Antiqua"/>
          <w:szCs w:val="24"/>
        </w:rPr>
        <w:t xml:space="preserve"> escalation </w:t>
      </w:r>
      <w:r w:rsidRPr="007C1CB5" w:rsidR="00DB5B66">
        <w:rPr>
          <w:rFonts w:ascii="Book Antiqua" w:hAnsi="Book Antiqua"/>
          <w:szCs w:val="24"/>
        </w:rPr>
        <w:t>methodology</w:t>
      </w:r>
      <w:r w:rsidRPr="007C1CB5" w:rsidR="00774829">
        <w:rPr>
          <w:rFonts w:ascii="Book Antiqua" w:hAnsi="Book Antiqua"/>
          <w:szCs w:val="24"/>
        </w:rPr>
        <w:t xml:space="preserve">. </w:t>
      </w:r>
      <w:r w:rsidRPr="007C1CB5" w:rsidR="00130681">
        <w:rPr>
          <w:rFonts w:ascii="Book Antiqua" w:hAnsi="Book Antiqua"/>
          <w:szCs w:val="24"/>
        </w:rPr>
        <w:t xml:space="preserve"> </w:t>
      </w:r>
      <w:r w:rsidRPr="007C1CB5" w:rsidR="00994B40">
        <w:rPr>
          <w:rFonts w:ascii="Book Antiqua" w:hAnsi="Book Antiqua"/>
        </w:rPr>
        <w:t>The M</w:t>
      </w:r>
      <w:r w:rsidRPr="007C1CB5" w:rsidR="00FB4AC9">
        <w:rPr>
          <w:rFonts w:ascii="Book Antiqua" w:hAnsi="Book Antiqua"/>
        </w:rPr>
        <w:t>arket Rate Study’s</w:t>
      </w:r>
      <w:r w:rsidRPr="007C1CB5" w:rsidR="00994B40">
        <w:rPr>
          <w:rFonts w:ascii="Book Antiqua" w:hAnsi="Book Antiqua"/>
        </w:rPr>
        <w:t xml:space="preserve"> rate</w:t>
      </w:r>
      <w:r w:rsidRPr="007C1CB5" w:rsidR="005D085F">
        <w:rPr>
          <w:rFonts w:ascii="Book Antiqua" w:hAnsi="Book Antiqua"/>
        </w:rPr>
        <w:t xml:space="preserve"> range</w:t>
      </w:r>
      <w:r w:rsidRPr="007C1CB5" w:rsidR="00994B40">
        <w:rPr>
          <w:rFonts w:ascii="Book Antiqua" w:hAnsi="Book Antiqua"/>
        </w:rPr>
        <w:t xml:space="preserve">s </w:t>
      </w:r>
      <w:r w:rsidRPr="007C1CB5" w:rsidR="00E54AFD">
        <w:rPr>
          <w:rFonts w:ascii="Book Antiqua" w:hAnsi="Book Antiqua"/>
        </w:rPr>
        <w:t xml:space="preserve">adopted for 2021 </w:t>
      </w:r>
      <w:r w:rsidRPr="007C1CB5" w:rsidR="00994B40">
        <w:rPr>
          <w:rFonts w:ascii="Book Antiqua" w:hAnsi="Book Antiqua"/>
        </w:rPr>
        <w:t xml:space="preserve">were calculated using </w:t>
      </w:r>
      <w:r w:rsidRPr="007C1CB5" w:rsidR="005156FD">
        <w:rPr>
          <w:rFonts w:ascii="Book Antiqua" w:hAnsi="Book Antiqua"/>
        </w:rPr>
        <w:t>a similar</w:t>
      </w:r>
      <w:r w:rsidRPr="007C1CB5" w:rsidR="00994B40">
        <w:rPr>
          <w:rFonts w:ascii="Book Antiqua" w:hAnsi="Book Antiqua"/>
        </w:rPr>
        <w:t xml:space="preserve"> escalation methodology between 2010 and 2015 period</w:t>
      </w:r>
      <w:r w:rsidRPr="007C1CB5" w:rsidR="000340D0">
        <w:rPr>
          <w:rFonts w:ascii="Book Antiqua" w:hAnsi="Book Antiqua"/>
        </w:rPr>
        <w:t>,</w:t>
      </w:r>
      <w:r w:rsidRPr="007C1CB5" w:rsidR="005156FD">
        <w:rPr>
          <w:rFonts w:ascii="Book Antiqua" w:hAnsi="Book Antiqua"/>
        </w:rPr>
        <w:t xml:space="preserve"> when the Commission declined to adopt a COLA </w:t>
      </w:r>
      <w:r w:rsidRPr="007C1CB5" w:rsidR="00C33619">
        <w:rPr>
          <w:rFonts w:ascii="Book Antiqua" w:hAnsi="Book Antiqua"/>
        </w:rPr>
        <w:t xml:space="preserve">during several years, </w:t>
      </w:r>
      <w:r w:rsidRPr="007C1CB5" w:rsidR="005156FD">
        <w:rPr>
          <w:rFonts w:ascii="Book Antiqua" w:hAnsi="Book Antiqua"/>
        </w:rPr>
        <w:t>as described in the Background section above</w:t>
      </w:r>
      <w:r w:rsidRPr="007C1CB5" w:rsidR="00994B40">
        <w:rPr>
          <w:rFonts w:ascii="Book Antiqua" w:hAnsi="Book Antiqua"/>
        </w:rPr>
        <w:t>.</w:t>
      </w:r>
      <w:r w:rsidRPr="007C1CB5" w:rsidR="000340D0">
        <w:rPr>
          <w:rFonts w:ascii="Book Antiqua" w:hAnsi="Book Antiqua"/>
        </w:rPr>
        <w:t xml:space="preserve"> </w:t>
      </w:r>
    </w:p>
    <w:p w:rsidRPr="007C1CB5" w:rsidR="004A08F9" w:rsidP="003737CB" w:rsidRDefault="000340D0" w14:paraId="6060C0EB" w14:textId="08DAD7EB">
      <w:pPr>
        <w:spacing w:after="240"/>
        <w:rPr>
          <w:rFonts w:ascii="Book Antiqua" w:hAnsi="Book Antiqua"/>
          <w:szCs w:val="24"/>
        </w:rPr>
      </w:pPr>
      <w:r w:rsidRPr="007C1CB5">
        <w:rPr>
          <w:rFonts w:ascii="Book Antiqua" w:hAnsi="Book Antiqua"/>
          <w:szCs w:val="24"/>
        </w:rPr>
        <w:t xml:space="preserve">The 2021 hourly </w:t>
      </w:r>
      <w:r w:rsidRPr="007C1CB5" w:rsidR="0087686B">
        <w:rPr>
          <w:rFonts w:ascii="Book Antiqua" w:hAnsi="Book Antiqua"/>
          <w:szCs w:val="24"/>
        </w:rPr>
        <w:t xml:space="preserve">compensation </w:t>
      </w:r>
      <w:r w:rsidRPr="007C1CB5">
        <w:rPr>
          <w:rFonts w:ascii="Book Antiqua" w:hAnsi="Book Antiqua"/>
          <w:szCs w:val="24"/>
        </w:rPr>
        <w:t>rate</w:t>
      </w:r>
      <w:r w:rsidRPr="007C1CB5" w:rsidR="005D085F">
        <w:rPr>
          <w:rFonts w:ascii="Book Antiqua" w:hAnsi="Book Antiqua"/>
          <w:szCs w:val="24"/>
        </w:rPr>
        <w:t xml:space="preserve"> range</w:t>
      </w:r>
      <w:r w:rsidRPr="007C1CB5">
        <w:rPr>
          <w:rFonts w:ascii="Book Antiqua" w:hAnsi="Book Antiqua"/>
          <w:szCs w:val="24"/>
        </w:rPr>
        <w:t>s</w:t>
      </w:r>
      <w:r w:rsidRPr="007C1CB5" w:rsidR="0087686B">
        <w:rPr>
          <w:rFonts w:ascii="Book Antiqua" w:hAnsi="Book Antiqua"/>
          <w:szCs w:val="24"/>
        </w:rPr>
        <w:t xml:space="preserve"> in the Market Rate Study</w:t>
      </w:r>
      <w:r w:rsidRPr="007C1CB5">
        <w:rPr>
          <w:rFonts w:ascii="Book Antiqua" w:hAnsi="Book Antiqua"/>
          <w:szCs w:val="24"/>
        </w:rPr>
        <w:t xml:space="preserve"> for different ICOMP </w:t>
      </w:r>
      <w:r w:rsidRPr="007C1CB5" w:rsidR="002E5634">
        <w:rPr>
          <w:rFonts w:ascii="Book Antiqua" w:hAnsi="Book Antiqua"/>
          <w:szCs w:val="24"/>
        </w:rPr>
        <w:t xml:space="preserve">labor roles </w:t>
      </w:r>
      <w:r w:rsidRPr="007C1CB5" w:rsidR="00EB378F">
        <w:rPr>
          <w:rFonts w:ascii="Book Antiqua" w:hAnsi="Book Antiqua"/>
          <w:szCs w:val="24"/>
        </w:rPr>
        <w:t>are</w:t>
      </w:r>
      <w:r w:rsidRPr="007C1CB5" w:rsidR="006345E6">
        <w:rPr>
          <w:rFonts w:ascii="Book Antiqua" w:hAnsi="Book Antiqua"/>
          <w:szCs w:val="24"/>
        </w:rPr>
        <w:t xml:space="preserve"> </w:t>
      </w:r>
      <w:r w:rsidRPr="007C1CB5">
        <w:rPr>
          <w:rFonts w:ascii="Book Antiqua" w:hAnsi="Book Antiqua"/>
          <w:szCs w:val="24"/>
        </w:rPr>
        <w:t>based on the approved escalation formula</w:t>
      </w:r>
      <w:r w:rsidRPr="007C1CB5" w:rsidR="00EB378F">
        <w:rPr>
          <w:rFonts w:ascii="Book Antiqua" w:hAnsi="Book Antiqua"/>
          <w:szCs w:val="24"/>
        </w:rPr>
        <w:t xml:space="preserve">, regardless of when, or whether, </w:t>
      </w:r>
      <w:r w:rsidRPr="007C1CB5" w:rsidR="002E5634">
        <w:rPr>
          <w:rFonts w:ascii="Book Antiqua" w:hAnsi="Book Antiqua"/>
          <w:szCs w:val="24"/>
        </w:rPr>
        <w:t xml:space="preserve">the Commission previously approved a rate for an </w:t>
      </w:r>
      <w:r w:rsidRPr="007C1CB5" w:rsidR="00EB378F">
        <w:rPr>
          <w:rFonts w:ascii="Book Antiqua" w:hAnsi="Book Antiqua"/>
          <w:szCs w:val="24"/>
        </w:rPr>
        <w:t>intervenor</w:t>
      </w:r>
      <w:r w:rsidRPr="007C1CB5">
        <w:rPr>
          <w:rFonts w:ascii="Book Antiqua" w:hAnsi="Book Antiqua"/>
          <w:szCs w:val="24"/>
        </w:rPr>
        <w:t xml:space="preserve">.  </w:t>
      </w:r>
      <w:r w:rsidRPr="007C1CB5" w:rsidR="00BE42CE">
        <w:rPr>
          <w:rFonts w:ascii="Book Antiqua" w:hAnsi="Book Antiqua"/>
          <w:szCs w:val="24"/>
        </w:rPr>
        <w:t>Because the new 2021 rates are unrelated to 2020 and prior Commission approved rates, they may reflect an increase or decrease from an intervenor’s previously approved rate.</w:t>
      </w:r>
      <w:r w:rsidRPr="007C1CB5" w:rsidR="00130681">
        <w:rPr>
          <w:rFonts w:ascii="Book Antiqua" w:hAnsi="Book Antiqua"/>
          <w:szCs w:val="24"/>
        </w:rPr>
        <w:t xml:space="preserve"> </w:t>
      </w:r>
      <w:r w:rsidRPr="007C1CB5" w:rsidR="00BE42CE">
        <w:rPr>
          <w:rFonts w:ascii="Book Antiqua" w:hAnsi="Book Antiqua"/>
          <w:szCs w:val="24"/>
        </w:rPr>
        <w:t xml:space="preserve"> </w:t>
      </w:r>
      <w:r w:rsidRPr="007C1CB5">
        <w:rPr>
          <w:rFonts w:ascii="Book Antiqua" w:hAnsi="Book Antiqua"/>
        </w:rPr>
        <w:t xml:space="preserve">This will ensure the fair application of the Market Rate Study’s new </w:t>
      </w:r>
      <w:r w:rsidRPr="007C1CB5" w:rsidR="005D085F">
        <w:rPr>
          <w:rFonts w:ascii="Book Antiqua" w:hAnsi="Book Antiqua"/>
        </w:rPr>
        <w:t xml:space="preserve">methodology </w:t>
      </w:r>
      <w:r w:rsidRPr="007C1CB5">
        <w:rPr>
          <w:rFonts w:ascii="Book Antiqua" w:hAnsi="Book Antiqua"/>
        </w:rPr>
        <w:t>to all those who make substantial contributions to Commission</w:t>
      </w:r>
      <w:r w:rsidRPr="007C1CB5">
        <w:rPr>
          <w:rFonts w:ascii="Book Antiqua" w:hAnsi="Book Antiqua"/>
          <w:szCs w:val="24"/>
          <w:lang w:val="en"/>
        </w:rPr>
        <w:t xml:space="preserve"> proceedings</w:t>
      </w:r>
      <w:r w:rsidRPr="007C1CB5" w:rsidR="00EB378F">
        <w:rPr>
          <w:rFonts w:ascii="Book Antiqua" w:hAnsi="Book Antiqua"/>
          <w:szCs w:val="24"/>
          <w:lang w:val="en"/>
        </w:rPr>
        <w:t xml:space="preserve">, starting with </w:t>
      </w:r>
      <w:r w:rsidRPr="007C1CB5" w:rsidR="009B2E8B">
        <w:rPr>
          <w:rFonts w:ascii="Book Antiqua" w:hAnsi="Book Antiqua"/>
          <w:szCs w:val="24"/>
          <w:lang w:val="en"/>
        </w:rPr>
        <w:t>ICOMP work completed</w:t>
      </w:r>
      <w:r w:rsidRPr="007C1CB5" w:rsidR="00EB378F">
        <w:rPr>
          <w:rFonts w:ascii="Book Antiqua" w:hAnsi="Book Antiqua"/>
          <w:szCs w:val="24"/>
          <w:lang w:val="en"/>
        </w:rPr>
        <w:t xml:space="preserve"> </w:t>
      </w:r>
      <w:r w:rsidRPr="007C1CB5">
        <w:rPr>
          <w:rFonts w:ascii="Book Antiqua" w:hAnsi="Book Antiqua"/>
          <w:szCs w:val="24"/>
          <w:lang w:val="en"/>
        </w:rPr>
        <w:t>in 2021.</w:t>
      </w:r>
    </w:p>
    <w:p w:rsidRPr="007C1CB5" w:rsidR="00A341B9" w:rsidP="003737CB" w:rsidRDefault="00B01827" w14:paraId="7D746D76" w14:textId="07D07122">
      <w:pPr>
        <w:spacing w:after="240"/>
        <w:rPr>
          <w:rFonts w:ascii="Book Antiqua" w:hAnsi="Book Antiqua"/>
          <w:szCs w:val="24"/>
        </w:rPr>
      </w:pPr>
      <w:r w:rsidRPr="007C1CB5">
        <w:rPr>
          <w:rFonts w:ascii="Book Antiqua" w:hAnsi="Book Antiqua"/>
          <w:szCs w:val="24"/>
        </w:rPr>
        <w:t>The</w:t>
      </w:r>
      <w:r w:rsidRPr="007C1CB5" w:rsidR="000340D0">
        <w:rPr>
          <w:rFonts w:ascii="Book Antiqua" w:hAnsi="Book Antiqua"/>
          <w:szCs w:val="24"/>
        </w:rPr>
        <w:t xml:space="preserve"> approved</w:t>
      </w:r>
      <w:r w:rsidRPr="007C1CB5">
        <w:rPr>
          <w:rFonts w:ascii="Book Antiqua" w:hAnsi="Book Antiqua"/>
          <w:szCs w:val="24"/>
        </w:rPr>
        <w:t xml:space="preserve"> annual escalation</w:t>
      </w:r>
      <w:r w:rsidRPr="007C1CB5" w:rsidR="00694FE1">
        <w:rPr>
          <w:rFonts w:ascii="Book Antiqua" w:hAnsi="Book Antiqua"/>
          <w:szCs w:val="24"/>
        </w:rPr>
        <w:t xml:space="preserve"> rate</w:t>
      </w:r>
      <w:r w:rsidRPr="007C1CB5">
        <w:rPr>
          <w:rFonts w:ascii="Book Antiqua" w:hAnsi="Book Antiqua"/>
          <w:szCs w:val="24"/>
        </w:rPr>
        <w:t xml:space="preserve"> </w:t>
      </w:r>
      <w:r w:rsidRPr="007C1CB5" w:rsidR="000340D0">
        <w:rPr>
          <w:rFonts w:ascii="Book Antiqua" w:hAnsi="Book Antiqua"/>
          <w:szCs w:val="24"/>
        </w:rPr>
        <w:t>is</w:t>
      </w:r>
      <w:r w:rsidRPr="007C1CB5">
        <w:rPr>
          <w:rFonts w:ascii="Book Antiqua" w:hAnsi="Book Antiqua"/>
          <w:szCs w:val="24"/>
        </w:rPr>
        <w:t xml:space="preserve"> based on the annual percentage</w:t>
      </w:r>
      <w:r w:rsidRPr="007C1CB5" w:rsidR="000340D0">
        <w:rPr>
          <w:rFonts w:ascii="Book Antiqua" w:hAnsi="Book Antiqua"/>
          <w:szCs w:val="24"/>
        </w:rPr>
        <w:t xml:space="preserve"> change</w:t>
      </w:r>
      <w:r w:rsidRPr="007C1CB5">
        <w:rPr>
          <w:rFonts w:ascii="Book Antiqua" w:hAnsi="Book Antiqua"/>
          <w:szCs w:val="24"/>
        </w:rPr>
        <w:t xml:space="preserve"> in the Bureau of Labor Statics Employment Cost Index</w:t>
      </w:r>
      <w:r w:rsidRPr="007C1CB5" w:rsidR="00694FE1">
        <w:rPr>
          <w:rFonts w:ascii="Book Antiqua" w:hAnsi="Book Antiqua"/>
          <w:szCs w:val="24"/>
        </w:rPr>
        <w:t xml:space="preserve">. </w:t>
      </w:r>
      <w:r w:rsidRPr="007C1CB5" w:rsidR="00130681">
        <w:rPr>
          <w:rFonts w:ascii="Book Antiqua" w:hAnsi="Book Antiqua"/>
          <w:szCs w:val="24"/>
        </w:rPr>
        <w:t xml:space="preserve"> </w:t>
      </w:r>
      <w:r w:rsidRPr="007C1CB5" w:rsidR="00B166C8">
        <w:rPr>
          <w:rFonts w:ascii="Book Antiqua" w:hAnsi="Book Antiqua"/>
          <w:szCs w:val="24"/>
        </w:rPr>
        <w:t xml:space="preserve">This annual escalation </w:t>
      </w:r>
      <w:r w:rsidRPr="007C1CB5" w:rsidR="000340D0">
        <w:rPr>
          <w:rFonts w:ascii="Book Antiqua" w:hAnsi="Book Antiqua"/>
          <w:szCs w:val="24"/>
        </w:rPr>
        <w:t xml:space="preserve">rate </w:t>
      </w:r>
      <w:r w:rsidRPr="007C1CB5" w:rsidR="00B166C8">
        <w:rPr>
          <w:rFonts w:ascii="Book Antiqua" w:hAnsi="Book Antiqua"/>
          <w:szCs w:val="24"/>
        </w:rPr>
        <w:t>will be entered in the CPUC Intervenor Rates tool worksheet and</w:t>
      </w:r>
      <w:r w:rsidRPr="007C1CB5" w:rsidR="00453C9C">
        <w:rPr>
          <w:rFonts w:ascii="Book Antiqua" w:hAnsi="Book Antiqua"/>
          <w:szCs w:val="24"/>
        </w:rPr>
        <w:t xml:space="preserve"> </w:t>
      </w:r>
      <w:r w:rsidRPr="007C1CB5" w:rsidR="00B166C8">
        <w:rPr>
          <w:rFonts w:ascii="Book Antiqua" w:hAnsi="Book Antiqua"/>
          <w:szCs w:val="24"/>
        </w:rPr>
        <w:t>the</w:t>
      </w:r>
      <w:r w:rsidRPr="007C1CB5" w:rsidR="000340D0">
        <w:rPr>
          <w:rFonts w:ascii="Book Antiqua" w:hAnsi="Book Antiqua"/>
          <w:szCs w:val="24"/>
        </w:rPr>
        <w:t xml:space="preserve"> hourly rates for each</w:t>
      </w:r>
      <w:r w:rsidRPr="007C1CB5" w:rsidR="00E54AFD">
        <w:rPr>
          <w:rFonts w:ascii="Book Antiqua" w:hAnsi="Book Antiqua"/>
          <w:szCs w:val="24"/>
        </w:rPr>
        <w:t xml:space="preserve"> separate</w:t>
      </w:r>
      <w:r w:rsidRPr="007C1CB5" w:rsidR="00B166C8">
        <w:rPr>
          <w:rFonts w:ascii="Book Antiqua" w:hAnsi="Book Antiqua"/>
          <w:szCs w:val="24"/>
        </w:rPr>
        <w:t xml:space="preserve"> labor role will be automatically adjusted</w:t>
      </w:r>
      <w:r w:rsidRPr="007C1CB5" w:rsidR="000340D0">
        <w:rPr>
          <w:rFonts w:ascii="Book Antiqua" w:hAnsi="Book Antiqua"/>
          <w:szCs w:val="24"/>
        </w:rPr>
        <w:t xml:space="preserve">, with the new annual rates effective on January 1 of each year. </w:t>
      </w:r>
      <w:r w:rsidRPr="007C1CB5" w:rsidR="00130681">
        <w:rPr>
          <w:rFonts w:ascii="Book Antiqua" w:hAnsi="Book Antiqua"/>
          <w:szCs w:val="24"/>
        </w:rPr>
        <w:t xml:space="preserve"> </w:t>
      </w:r>
      <w:r w:rsidRPr="007C1CB5" w:rsidR="000340D0">
        <w:rPr>
          <w:rFonts w:ascii="Book Antiqua" w:hAnsi="Book Antiqua"/>
          <w:szCs w:val="24"/>
        </w:rPr>
        <w:t>Rather than issuing a new COLA resolution each year, the annual escalation adjustment will be updated</w:t>
      </w:r>
      <w:r w:rsidRPr="007C1CB5" w:rsidR="003A3A17">
        <w:rPr>
          <w:rFonts w:ascii="Book Antiqua" w:hAnsi="Book Antiqua"/>
          <w:szCs w:val="24"/>
        </w:rPr>
        <w:t xml:space="preserve"> in the ICOMP </w:t>
      </w:r>
      <w:r w:rsidRPr="007C1CB5" w:rsidR="00711F87">
        <w:rPr>
          <w:rFonts w:ascii="Book Antiqua" w:hAnsi="Book Antiqua"/>
          <w:szCs w:val="24"/>
        </w:rPr>
        <w:t xml:space="preserve">Hourly </w:t>
      </w:r>
      <w:r w:rsidRPr="007C1CB5" w:rsidR="003A3A17">
        <w:rPr>
          <w:rFonts w:ascii="Book Antiqua" w:hAnsi="Book Antiqua"/>
          <w:szCs w:val="24"/>
        </w:rPr>
        <w:t>Rate Chart spreadsheet</w:t>
      </w:r>
      <w:r w:rsidRPr="007C1CB5" w:rsidR="000340D0">
        <w:rPr>
          <w:rFonts w:ascii="Book Antiqua" w:hAnsi="Book Antiqua"/>
          <w:szCs w:val="24"/>
        </w:rPr>
        <w:t xml:space="preserve"> on the Commission’s ICOMP website</w:t>
      </w:r>
      <w:r w:rsidRPr="007C1CB5" w:rsidR="000340D0">
        <w:rPr>
          <w:rStyle w:val="FootnoteReference"/>
          <w:rFonts w:ascii="Book Antiqua" w:hAnsi="Book Antiqua"/>
          <w:szCs w:val="24"/>
        </w:rPr>
        <w:footnoteReference w:id="8"/>
      </w:r>
      <w:r w:rsidRPr="007C1CB5" w:rsidR="000340D0">
        <w:rPr>
          <w:rFonts w:ascii="Book Antiqua" w:hAnsi="Book Antiqua"/>
          <w:szCs w:val="24"/>
        </w:rPr>
        <w:t xml:space="preserve"> and automatically applicable unless further action is taken by the Commission. </w:t>
      </w:r>
    </w:p>
    <w:p w:rsidRPr="007C1CB5" w:rsidR="00FB4AC9" w:rsidP="003737CB" w:rsidRDefault="00A341B9" w14:paraId="4C37E54F" w14:textId="5C3868CA">
      <w:pPr>
        <w:spacing w:after="240"/>
        <w:rPr>
          <w:rFonts w:ascii="Book Antiqua" w:hAnsi="Book Antiqua"/>
          <w:szCs w:val="24"/>
          <w:lang w:val="en"/>
        </w:rPr>
      </w:pPr>
      <w:r w:rsidRPr="007C1CB5">
        <w:rPr>
          <w:rFonts w:ascii="Book Antiqua" w:hAnsi="Book Antiqua"/>
          <w:szCs w:val="24"/>
        </w:rPr>
        <w:t>Individual intervenor representatives remain eligible to claim up to two five</w:t>
      </w:r>
      <w:r w:rsidRPr="007C1CB5" w:rsidR="00FB5F33">
        <w:rPr>
          <w:rFonts w:ascii="Book Antiqua" w:hAnsi="Book Antiqua"/>
          <w:szCs w:val="24"/>
        </w:rPr>
        <w:t xml:space="preserve"> </w:t>
      </w:r>
      <w:r w:rsidRPr="007C1CB5">
        <w:rPr>
          <w:rFonts w:ascii="Book Antiqua" w:hAnsi="Book Antiqua"/>
          <w:szCs w:val="24"/>
        </w:rPr>
        <w:t>percent annual “step increases” within each labor role experience level, so long as their final requested rate does not exceed the maximum approved rate for that experience level.</w:t>
      </w:r>
      <w:r w:rsidRPr="007C1CB5">
        <w:rPr>
          <w:rStyle w:val="FootnoteReference"/>
          <w:rFonts w:ascii="Book Antiqua" w:hAnsi="Book Antiqua"/>
          <w:szCs w:val="24"/>
        </w:rPr>
        <w:footnoteReference w:id="9"/>
      </w:r>
      <w:r w:rsidRPr="007C1CB5">
        <w:rPr>
          <w:rFonts w:ascii="Book Antiqua" w:hAnsi="Book Antiqua"/>
          <w:szCs w:val="24"/>
        </w:rPr>
        <w:t xml:space="preserve"> </w:t>
      </w:r>
    </w:p>
    <w:p w:rsidRPr="007C1CB5" w:rsidR="00EA3649" w:rsidP="00524077" w:rsidRDefault="00FB3536" w14:paraId="7A33AAF5" w14:textId="7B18F1F0">
      <w:pPr>
        <w:spacing w:after="120"/>
        <w:rPr>
          <w:rFonts w:ascii="Book Antiqua" w:hAnsi="Book Antiqua"/>
          <w:szCs w:val="24"/>
        </w:rPr>
      </w:pPr>
      <w:r w:rsidRPr="007C1CB5">
        <w:rPr>
          <w:rFonts w:ascii="Book Antiqua" w:hAnsi="Book Antiqua"/>
          <w:szCs w:val="24"/>
          <w:lang w:val="en"/>
        </w:rPr>
        <w:lastRenderedPageBreak/>
        <w:t>We expect that t</w:t>
      </w:r>
      <w:r w:rsidRPr="007C1CB5" w:rsidR="00FB4AC9">
        <w:rPr>
          <w:rFonts w:ascii="Book Antiqua" w:hAnsi="Book Antiqua"/>
          <w:szCs w:val="24"/>
          <w:lang w:val="en"/>
        </w:rPr>
        <w:t xml:space="preserve">he </w:t>
      </w:r>
      <w:r w:rsidRPr="007C1CB5" w:rsidR="000340D0">
        <w:rPr>
          <w:rFonts w:ascii="Book Antiqua" w:hAnsi="Book Antiqua"/>
          <w:szCs w:val="24"/>
          <w:lang w:val="en"/>
        </w:rPr>
        <w:t xml:space="preserve">adopted </w:t>
      </w:r>
      <w:r w:rsidRPr="007C1CB5" w:rsidR="00FB4AC9">
        <w:rPr>
          <w:rFonts w:ascii="Book Antiqua" w:hAnsi="Book Antiqua"/>
          <w:szCs w:val="24"/>
          <w:lang w:val="en"/>
        </w:rPr>
        <w:t>escalation methodology</w:t>
      </w:r>
      <w:r w:rsidRPr="007C1CB5">
        <w:rPr>
          <w:rFonts w:ascii="Book Antiqua" w:hAnsi="Book Antiqua"/>
          <w:szCs w:val="24"/>
          <w:lang w:val="en"/>
        </w:rPr>
        <w:t xml:space="preserve"> and base rates</w:t>
      </w:r>
      <w:r w:rsidRPr="007C1CB5" w:rsidR="00FB4AC9">
        <w:rPr>
          <w:rFonts w:ascii="Book Antiqua" w:hAnsi="Book Antiqua"/>
          <w:szCs w:val="24"/>
          <w:lang w:val="en"/>
        </w:rPr>
        <w:t xml:space="preserve"> will be updated </w:t>
      </w:r>
      <w:r w:rsidRPr="007C1CB5" w:rsidR="00F2591B">
        <w:rPr>
          <w:rFonts w:ascii="Book Antiqua" w:hAnsi="Book Antiqua"/>
          <w:szCs w:val="24"/>
          <w:lang w:val="en"/>
        </w:rPr>
        <w:t xml:space="preserve">by the Commission </w:t>
      </w:r>
      <w:r w:rsidRPr="007C1CB5" w:rsidR="00FB4AC9">
        <w:rPr>
          <w:rFonts w:ascii="Book Antiqua" w:hAnsi="Book Antiqua"/>
          <w:szCs w:val="24"/>
          <w:lang w:val="en"/>
        </w:rPr>
        <w:t>every five years, to align the ICOMP hourly rates with fluctuations in observed market rates for comparable work by similarly trained individuals.</w:t>
      </w:r>
    </w:p>
    <w:p w:rsidRPr="007C1CB5" w:rsidR="007775EC" w:rsidP="003737CB" w:rsidRDefault="007775EC" w14:paraId="6A90D1E6" w14:textId="7D1BC1D1">
      <w:pPr>
        <w:spacing w:after="240"/>
        <w:rPr>
          <w:rFonts w:ascii="Book Antiqua" w:hAnsi="Book Antiqua"/>
          <w:b/>
          <w:bCs/>
          <w:szCs w:val="24"/>
          <w:u w:val="single"/>
        </w:rPr>
      </w:pPr>
      <w:r w:rsidRPr="007C1CB5">
        <w:rPr>
          <w:rFonts w:ascii="Book Antiqua" w:hAnsi="Book Antiqua"/>
          <w:b/>
          <w:bCs/>
          <w:szCs w:val="24"/>
          <w:u w:val="single"/>
        </w:rPr>
        <w:t xml:space="preserve">Implementation of New Hourly Rates </w:t>
      </w:r>
    </w:p>
    <w:p w:rsidRPr="007C1CB5" w:rsidR="003A00BF" w:rsidP="00FF29B8" w:rsidRDefault="00FB4AC9" w14:paraId="669C5F54" w14:textId="6290E856">
      <w:pPr>
        <w:spacing w:before="120" w:after="120"/>
        <w:rPr>
          <w:rFonts w:ascii="Book Antiqua" w:hAnsi="Book Antiqua"/>
          <w:szCs w:val="24"/>
        </w:rPr>
      </w:pPr>
      <w:r w:rsidRPr="007C1CB5">
        <w:rPr>
          <w:rFonts w:ascii="Book Antiqua" w:hAnsi="Book Antiqua"/>
        </w:rPr>
        <w:t xml:space="preserve">This resolution requires </w:t>
      </w:r>
      <w:r w:rsidRPr="007C1CB5" w:rsidR="003A00BF">
        <w:rPr>
          <w:rFonts w:ascii="Book Antiqua" w:hAnsi="Book Antiqua"/>
        </w:rPr>
        <w:t>intervenors to submit</w:t>
      </w:r>
      <w:r w:rsidRPr="007C1CB5" w:rsidR="00A86BFD">
        <w:rPr>
          <w:rFonts w:ascii="Book Antiqua" w:hAnsi="Book Antiqua"/>
        </w:rPr>
        <w:t>, in their first claim seeking compensation for work completed in 2021 and beyond,</w:t>
      </w:r>
      <w:r w:rsidRPr="007C1CB5" w:rsidR="003A00BF">
        <w:rPr>
          <w:rFonts w:ascii="Book Antiqua" w:hAnsi="Book Antiqua"/>
        </w:rPr>
        <w:t xml:space="preserve"> updated labor roles and resumes pursuant to Section 1804(c). </w:t>
      </w:r>
      <w:r w:rsidRPr="007C1CB5" w:rsidR="00130681">
        <w:rPr>
          <w:rFonts w:ascii="Book Antiqua" w:hAnsi="Book Antiqua"/>
        </w:rPr>
        <w:t xml:space="preserve"> </w:t>
      </w:r>
      <w:r w:rsidRPr="007C1CB5" w:rsidR="003A00BF">
        <w:rPr>
          <w:rFonts w:ascii="Book Antiqua" w:hAnsi="Book Antiqua"/>
        </w:rPr>
        <w:t>This sh</w:t>
      </w:r>
      <w:r w:rsidRPr="007C1CB5">
        <w:rPr>
          <w:rFonts w:ascii="Book Antiqua" w:hAnsi="Book Antiqua"/>
        </w:rPr>
        <w:t>all</w:t>
      </w:r>
      <w:r w:rsidRPr="007C1CB5" w:rsidR="003A00BF">
        <w:rPr>
          <w:rFonts w:ascii="Book Antiqua" w:hAnsi="Book Antiqua"/>
        </w:rPr>
        <w:t xml:space="preserve"> be done in accordance with the </w:t>
      </w:r>
      <w:r w:rsidRPr="007C1CB5" w:rsidR="00892159">
        <w:rPr>
          <w:rFonts w:ascii="Book Antiqua" w:hAnsi="Book Antiqua"/>
        </w:rPr>
        <w:t xml:space="preserve">current </w:t>
      </w:r>
      <w:r w:rsidRPr="007C1CB5" w:rsidR="003A00BF">
        <w:rPr>
          <w:rFonts w:ascii="Book Antiqua" w:hAnsi="Book Antiqua"/>
        </w:rPr>
        <w:t>methodology for submitting a rate for a first-time intervenor:</w:t>
      </w:r>
    </w:p>
    <w:p w:rsidRPr="007C1CB5" w:rsidR="003A00BF" w:rsidP="00D544AB" w:rsidRDefault="003A00BF" w14:paraId="1801FD8C" w14:textId="725B0457">
      <w:pPr>
        <w:numPr>
          <w:ilvl w:val="0"/>
          <w:numId w:val="5"/>
        </w:numPr>
        <w:spacing w:before="120" w:after="120"/>
        <w:ind w:right="1440"/>
        <w:rPr>
          <w:rFonts w:ascii="Book Antiqua" w:hAnsi="Book Antiqua"/>
          <w:szCs w:val="24"/>
        </w:rPr>
      </w:pPr>
      <w:r w:rsidRPr="007C1CB5">
        <w:rPr>
          <w:rFonts w:ascii="Book Antiqua" w:hAnsi="Book Antiqua"/>
          <w:szCs w:val="24"/>
        </w:rPr>
        <w:t>Parties must provide current resumes for each individual as a supporting document;</w:t>
      </w:r>
    </w:p>
    <w:p w:rsidRPr="007C1CB5" w:rsidR="003A00BF" w:rsidP="00D544AB" w:rsidRDefault="00E54AFD" w14:paraId="1F68AA25" w14:textId="6DDA4B22">
      <w:pPr>
        <w:numPr>
          <w:ilvl w:val="0"/>
          <w:numId w:val="5"/>
        </w:numPr>
        <w:spacing w:after="120"/>
        <w:ind w:right="1440"/>
        <w:rPr>
          <w:rFonts w:ascii="Book Antiqua" w:hAnsi="Book Antiqua"/>
          <w:szCs w:val="24"/>
        </w:rPr>
      </w:pPr>
      <w:r w:rsidRPr="007C1CB5">
        <w:rPr>
          <w:rFonts w:ascii="Book Antiqua" w:hAnsi="Book Antiqua"/>
          <w:szCs w:val="24"/>
        </w:rPr>
        <w:t>Parties must i</w:t>
      </w:r>
      <w:r w:rsidRPr="007C1CB5" w:rsidR="003A00BF">
        <w:rPr>
          <w:rFonts w:ascii="Book Antiqua" w:hAnsi="Book Antiqua"/>
          <w:szCs w:val="24"/>
        </w:rPr>
        <w:t>nclude rate justification in the additional information section of</w:t>
      </w:r>
      <w:r w:rsidRPr="007C1CB5" w:rsidR="00FB5F33">
        <w:rPr>
          <w:rFonts w:ascii="Book Antiqua" w:hAnsi="Book Antiqua"/>
          <w:szCs w:val="24"/>
        </w:rPr>
        <w:t xml:space="preserve"> the</w:t>
      </w:r>
      <w:r w:rsidRPr="007C1CB5" w:rsidR="003A00BF">
        <w:rPr>
          <w:rFonts w:ascii="Book Antiqua" w:hAnsi="Book Antiqua"/>
          <w:szCs w:val="24"/>
        </w:rPr>
        <w:t xml:space="preserve"> claim;</w:t>
      </w:r>
    </w:p>
    <w:p w:rsidRPr="007C1CB5" w:rsidR="00FB4AC9" w:rsidP="00524077" w:rsidRDefault="003A00BF" w14:paraId="295B8CF6" w14:textId="5CF2DF6C">
      <w:pPr>
        <w:numPr>
          <w:ilvl w:val="0"/>
          <w:numId w:val="5"/>
        </w:numPr>
        <w:spacing w:after="120"/>
        <w:ind w:right="1440"/>
        <w:rPr>
          <w:rFonts w:ascii="Book Antiqua" w:hAnsi="Book Antiqua"/>
          <w:szCs w:val="24"/>
        </w:rPr>
      </w:pPr>
      <w:r w:rsidRPr="007C1CB5">
        <w:rPr>
          <w:rFonts w:ascii="Book Antiqua" w:hAnsi="Book Antiqua"/>
          <w:szCs w:val="24"/>
        </w:rPr>
        <w:t xml:space="preserve">Any claim filed after the </w:t>
      </w:r>
      <w:r w:rsidRPr="007C1CB5" w:rsidR="00AF69D0">
        <w:rPr>
          <w:rFonts w:ascii="Book Antiqua" w:hAnsi="Book Antiqua"/>
          <w:szCs w:val="24"/>
        </w:rPr>
        <w:t>adoption</w:t>
      </w:r>
      <w:r w:rsidRPr="007C1CB5">
        <w:rPr>
          <w:rFonts w:ascii="Book Antiqua" w:hAnsi="Book Antiqua"/>
          <w:szCs w:val="24"/>
        </w:rPr>
        <w:t xml:space="preserve"> of the Resolution will automatically have the </w:t>
      </w:r>
      <w:r w:rsidRPr="007C1CB5" w:rsidR="005D085F">
        <w:rPr>
          <w:rFonts w:ascii="Book Antiqua" w:hAnsi="Book Antiqua"/>
          <w:szCs w:val="24"/>
        </w:rPr>
        <w:t>Market Rate Study’s</w:t>
      </w:r>
      <w:r w:rsidRPr="007C1CB5" w:rsidR="00AF69D0">
        <w:rPr>
          <w:rFonts w:ascii="Book Antiqua" w:hAnsi="Book Antiqua"/>
          <w:szCs w:val="24"/>
        </w:rPr>
        <w:t xml:space="preserve"> methodology</w:t>
      </w:r>
      <w:r w:rsidRPr="007C1CB5">
        <w:rPr>
          <w:rFonts w:ascii="Book Antiqua" w:hAnsi="Book Antiqua"/>
          <w:szCs w:val="24"/>
        </w:rPr>
        <w:t xml:space="preserve"> applied</w:t>
      </w:r>
      <w:r w:rsidRPr="007C1CB5" w:rsidR="00AF69D0">
        <w:rPr>
          <w:rFonts w:ascii="Book Antiqua" w:hAnsi="Book Antiqua"/>
          <w:szCs w:val="24"/>
        </w:rPr>
        <w:t xml:space="preserve"> for work completed in 2021 and beyond</w:t>
      </w:r>
      <w:r w:rsidRPr="007C1CB5">
        <w:rPr>
          <w:rFonts w:ascii="Book Antiqua" w:hAnsi="Book Antiqua"/>
          <w:szCs w:val="24"/>
        </w:rPr>
        <w:t>.</w:t>
      </w:r>
    </w:p>
    <w:p w:rsidRPr="007C1CB5" w:rsidR="003737CB" w:rsidP="003737CB" w:rsidRDefault="00BE42CE" w14:paraId="5D7C8335" w14:textId="77777777">
      <w:pPr>
        <w:spacing w:after="240" w:line="276" w:lineRule="auto"/>
        <w:rPr>
          <w:rFonts w:ascii="Book Antiqua" w:hAnsi="Book Antiqua"/>
        </w:rPr>
      </w:pPr>
      <w:r w:rsidRPr="007C1CB5">
        <w:rPr>
          <w:rFonts w:ascii="Book Antiqua" w:hAnsi="Book Antiqua"/>
        </w:rPr>
        <w:t xml:space="preserve">If intervenors fail to provide the appropriate supporting documents, their claim may be denied or take longer to process. </w:t>
      </w:r>
    </w:p>
    <w:p w:rsidRPr="007C1CB5" w:rsidR="003737CB" w:rsidP="002B5AB4" w:rsidRDefault="00FB4AC9" w14:paraId="2060AB78" w14:textId="77777777">
      <w:pPr>
        <w:spacing w:after="240" w:line="276" w:lineRule="auto"/>
        <w:rPr>
          <w:rFonts w:ascii="Book Antiqua" w:hAnsi="Book Antiqua"/>
        </w:rPr>
      </w:pPr>
      <w:r w:rsidRPr="007C1CB5">
        <w:rPr>
          <w:rFonts w:ascii="Book Antiqua" w:hAnsi="Book Antiqua"/>
        </w:rPr>
        <w:t xml:space="preserve">The </w:t>
      </w:r>
      <w:r w:rsidRPr="007C1CB5" w:rsidR="005D085F">
        <w:rPr>
          <w:rFonts w:ascii="Book Antiqua" w:hAnsi="Book Antiqua"/>
        </w:rPr>
        <w:t>methodology</w:t>
      </w:r>
      <w:r w:rsidRPr="007C1CB5">
        <w:rPr>
          <w:rFonts w:ascii="Book Antiqua" w:hAnsi="Book Antiqua"/>
        </w:rPr>
        <w:t xml:space="preserve"> adopted in this Resolution will be applied to any claim filed </w:t>
      </w:r>
      <w:r w:rsidRPr="007C1CB5" w:rsidR="00AF69D0">
        <w:rPr>
          <w:rFonts w:ascii="Book Antiqua" w:hAnsi="Book Antiqua"/>
        </w:rPr>
        <w:t xml:space="preserve">for work completed </w:t>
      </w:r>
      <w:r w:rsidRPr="007C1CB5" w:rsidR="005D085F">
        <w:rPr>
          <w:rFonts w:ascii="Book Antiqua" w:hAnsi="Book Antiqua"/>
        </w:rPr>
        <w:t xml:space="preserve">on or </w:t>
      </w:r>
      <w:r w:rsidRPr="007C1CB5">
        <w:rPr>
          <w:rFonts w:ascii="Book Antiqua" w:hAnsi="Book Antiqua"/>
        </w:rPr>
        <w:t xml:space="preserve">after January 1, 2021. Any claim filed </w:t>
      </w:r>
      <w:r w:rsidRPr="007C1CB5" w:rsidR="00AF69D0">
        <w:rPr>
          <w:rFonts w:ascii="Book Antiqua" w:hAnsi="Book Antiqua"/>
        </w:rPr>
        <w:t xml:space="preserve">for work completed </w:t>
      </w:r>
      <w:r w:rsidRPr="007C1CB5">
        <w:rPr>
          <w:rFonts w:ascii="Book Antiqua" w:hAnsi="Book Antiqua"/>
        </w:rPr>
        <w:t xml:space="preserve">on or before December 31, 2020 will be processed using </w:t>
      </w:r>
      <w:r w:rsidRPr="007C1CB5" w:rsidR="00AF69D0">
        <w:rPr>
          <w:rFonts w:ascii="Book Antiqua" w:hAnsi="Book Antiqua"/>
        </w:rPr>
        <w:t>previously approved ICOMP rates and/or</w:t>
      </w:r>
      <w:r w:rsidRPr="007C1CB5">
        <w:rPr>
          <w:rFonts w:ascii="Book Antiqua" w:hAnsi="Book Antiqua"/>
        </w:rPr>
        <w:t xml:space="preserve"> hourly rates </w:t>
      </w:r>
      <w:r w:rsidRPr="007C1CB5" w:rsidR="005D085F">
        <w:rPr>
          <w:rFonts w:ascii="Book Antiqua" w:hAnsi="Book Antiqua"/>
        </w:rPr>
        <w:t>and the appropriate</w:t>
      </w:r>
      <w:r w:rsidRPr="007C1CB5">
        <w:rPr>
          <w:rFonts w:ascii="Book Antiqua" w:hAnsi="Book Antiqua"/>
        </w:rPr>
        <w:t xml:space="preserve"> COLA</w:t>
      </w:r>
      <w:r w:rsidRPr="007C1CB5" w:rsidR="002619D8">
        <w:rPr>
          <w:rFonts w:ascii="Book Antiqua" w:hAnsi="Book Antiqua"/>
        </w:rPr>
        <w:t xml:space="preserve"> adopted through the annual ICOMP resolution process</w:t>
      </w:r>
      <w:r w:rsidRPr="007C1CB5" w:rsidR="005D085F">
        <w:rPr>
          <w:rFonts w:ascii="Book Antiqua" w:hAnsi="Book Antiqua"/>
        </w:rPr>
        <w:t xml:space="preserve">. </w:t>
      </w:r>
    </w:p>
    <w:p w:rsidRPr="007C1CB5" w:rsidR="00AF69D0" w:rsidP="003737CB" w:rsidRDefault="005D085F" w14:paraId="35ED985E" w14:textId="6D720436">
      <w:pPr>
        <w:spacing w:after="240" w:line="276" w:lineRule="auto"/>
        <w:rPr>
          <w:rFonts w:ascii="Book Antiqua" w:hAnsi="Book Antiqua"/>
        </w:rPr>
      </w:pPr>
      <w:r w:rsidRPr="007C1CB5">
        <w:rPr>
          <w:rFonts w:ascii="Book Antiqua" w:hAnsi="Book Antiqua"/>
        </w:rPr>
        <w:t>For example, the COLA for 2020 was</w:t>
      </w:r>
      <w:r w:rsidRPr="007C1CB5" w:rsidR="00FB4AC9">
        <w:rPr>
          <w:rFonts w:ascii="Book Antiqua" w:hAnsi="Book Antiqua"/>
        </w:rPr>
        <w:t xml:space="preserve"> adopted on October 8, 2020 in Resolution ALJ-387.</w:t>
      </w:r>
      <w:r w:rsidRPr="007C1CB5" w:rsidR="00BC2252">
        <w:rPr>
          <w:rFonts w:ascii="Book Antiqua" w:hAnsi="Book Antiqua"/>
        </w:rPr>
        <w:t xml:space="preserve"> </w:t>
      </w:r>
      <w:r w:rsidRPr="007C1CB5" w:rsidR="002B5AB4">
        <w:rPr>
          <w:rFonts w:ascii="Book Antiqua" w:hAnsi="Book Antiqua"/>
        </w:rPr>
        <w:t xml:space="preserve"> </w:t>
      </w:r>
      <w:r w:rsidRPr="007C1CB5" w:rsidR="00BE42CE">
        <w:rPr>
          <w:rFonts w:ascii="Book Antiqua" w:hAnsi="Book Antiqua"/>
        </w:rPr>
        <w:t xml:space="preserve">If a claim is for ICOMP work that occurred in 2020 and work in 2021, the intervenor should </w:t>
      </w:r>
      <w:r w:rsidRPr="007C1CB5" w:rsidR="00A07DB2">
        <w:rPr>
          <w:rFonts w:ascii="Book Antiqua" w:hAnsi="Book Antiqua"/>
        </w:rPr>
        <w:t>claim</w:t>
      </w:r>
      <w:r w:rsidRPr="007C1CB5" w:rsidR="00341E14">
        <w:rPr>
          <w:rFonts w:ascii="Book Antiqua" w:hAnsi="Book Antiqua"/>
        </w:rPr>
        <w:t xml:space="preserve"> </w:t>
      </w:r>
      <w:r w:rsidRPr="007C1CB5" w:rsidR="00A07DB2">
        <w:rPr>
          <w:rFonts w:ascii="Book Antiqua" w:hAnsi="Book Antiqua"/>
        </w:rPr>
        <w:t xml:space="preserve">their 2020 approved </w:t>
      </w:r>
      <w:r w:rsidRPr="007C1CB5" w:rsidR="001674F6">
        <w:rPr>
          <w:rFonts w:ascii="Book Antiqua" w:hAnsi="Book Antiqua"/>
        </w:rPr>
        <w:t xml:space="preserve">rates and/or COLA approved in ALJ-387 for work completed in 2020, apply </w:t>
      </w:r>
      <w:r w:rsidRPr="007C1CB5" w:rsidR="00341E14">
        <w:rPr>
          <w:rFonts w:ascii="Book Antiqua" w:hAnsi="Book Antiqua"/>
        </w:rPr>
        <w:t xml:space="preserve">the </w:t>
      </w:r>
      <w:r w:rsidRPr="007C1CB5" w:rsidR="001674F6">
        <w:rPr>
          <w:rFonts w:ascii="Book Antiqua" w:hAnsi="Book Antiqua"/>
        </w:rPr>
        <w:t xml:space="preserve">new </w:t>
      </w:r>
      <w:r w:rsidRPr="007C1CB5" w:rsidR="00341E14">
        <w:rPr>
          <w:rFonts w:ascii="Book Antiqua" w:hAnsi="Book Antiqua"/>
        </w:rPr>
        <w:t>hourly rates for the work completed in 2021</w:t>
      </w:r>
      <w:r w:rsidRPr="007C1CB5" w:rsidR="00BE42CE">
        <w:rPr>
          <w:rFonts w:ascii="Book Antiqua" w:hAnsi="Book Antiqua"/>
        </w:rPr>
        <w:t xml:space="preserve">, and </w:t>
      </w:r>
      <w:r w:rsidRPr="007C1CB5" w:rsidR="00341E14">
        <w:rPr>
          <w:rFonts w:ascii="Book Antiqua" w:hAnsi="Book Antiqua"/>
        </w:rPr>
        <w:t>include</w:t>
      </w:r>
      <w:r w:rsidRPr="007C1CB5" w:rsidR="00BE42CE">
        <w:rPr>
          <w:rFonts w:ascii="Book Antiqua" w:hAnsi="Book Antiqua"/>
        </w:rPr>
        <w:t xml:space="preserve"> the </w:t>
      </w:r>
      <w:r w:rsidRPr="007C1CB5" w:rsidR="00341E14">
        <w:rPr>
          <w:rFonts w:ascii="Book Antiqua" w:hAnsi="Book Antiqua"/>
        </w:rPr>
        <w:t xml:space="preserve">supporting </w:t>
      </w:r>
      <w:r w:rsidRPr="007C1CB5" w:rsidR="00BE42CE">
        <w:rPr>
          <w:rFonts w:ascii="Book Antiqua" w:hAnsi="Book Antiqua"/>
        </w:rPr>
        <w:t>documentation listed above</w:t>
      </w:r>
      <w:r w:rsidRPr="007C1CB5" w:rsidR="00341E14">
        <w:rPr>
          <w:rFonts w:ascii="Book Antiqua" w:hAnsi="Book Antiqua"/>
        </w:rPr>
        <w:t>.</w:t>
      </w:r>
    </w:p>
    <w:p w:rsidRPr="007C1CB5" w:rsidR="005D085F" w:rsidP="00524077" w:rsidRDefault="00AF69D0" w14:paraId="662A5E17" w14:textId="29C4741B">
      <w:pPr>
        <w:spacing w:after="120" w:line="276" w:lineRule="auto"/>
        <w:rPr>
          <w:rFonts w:ascii="Book Antiqua" w:hAnsi="Book Antiqua"/>
          <w:b/>
          <w:szCs w:val="24"/>
          <w:u w:val="single"/>
        </w:rPr>
      </w:pPr>
      <w:r w:rsidRPr="007C1CB5">
        <w:rPr>
          <w:rFonts w:ascii="Book Antiqua" w:hAnsi="Book Antiqua"/>
        </w:rPr>
        <w:t xml:space="preserve">Any claims filed after January 1, 2021, for an intervenor who does not have a previously approved rate should apply the ICOMP rates and/or COLA adopted for the years associated with the work completed. </w:t>
      </w:r>
      <w:r w:rsidRPr="007C1CB5" w:rsidR="002B5AB4">
        <w:rPr>
          <w:rFonts w:ascii="Book Antiqua" w:hAnsi="Book Antiqua"/>
        </w:rPr>
        <w:t xml:space="preserve"> </w:t>
      </w:r>
      <w:r w:rsidRPr="007C1CB5" w:rsidR="0080649F">
        <w:rPr>
          <w:rFonts w:ascii="Book Antiqua" w:hAnsi="Book Antiqua"/>
        </w:rPr>
        <w:t xml:space="preserve">For example, if </w:t>
      </w:r>
      <w:r w:rsidRPr="007C1CB5" w:rsidR="002619D8">
        <w:rPr>
          <w:rFonts w:ascii="Book Antiqua" w:hAnsi="Book Antiqua"/>
        </w:rPr>
        <w:t>a new</w:t>
      </w:r>
      <w:r w:rsidRPr="007C1CB5" w:rsidR="0080649F">
        <w:rPr>
          <w:rFonts w:ascii="Book Antiqua" w:hAnsi="Book Antiqua"/>
        </w:rPr>
        <w:t xml:space="preserve"> intervenor is seeking compensation for work completed in 2017-2019, its claimed rates should be based on the ICOMP hourly rate wages and COLAs adopted for those years.</w:t>
      </w:r>
      <w:r w:rsidRPr="007C1CB5" w:rsidR="0080649F">
        <w:rPr>
          <w:rStyle w:val="FootnoteReference"/>
          <w:rFonts w:ascii="Book Antiqua" w:hAnsi="Book Antiqua"/>
        </w:rPr>
        <w:footnoteReference w:id="10"/>
      </w:r>
      <w:r w:rsidRPr="007C1CB5" w:rsidR="0080649F">
        <w:rPr>
          <w:rFonts w:ascii="Book Antiqua" w:hAnsi="Book Antiqua"/>
        </w:rPr>
        <w:t xml:space="preserve"> </w:t>
      </w:r>
      <w:r w:rsidRPr="007C1CB5" w:rsidR="002B5AB4">
        <w:rPr>
          <w:rFonts w:ascii="Book Antiqua" w:hAnsi="Book Antiqua"/>
        </w:rPr>
        <w:t xml:space="preserve"> </w:t>
      </w:r>
      <w:r w:rsidRPr="007C1CB5" w:rsidR="0080649F">
        <w:rPr>
          <w:rFonts w:ascii="Book Antiqua" w:hAnsi="Book Antiqua"/>
        </w:rPr>
        <w:t xml:space="preserve">If it is seeking </w:t>
      </w:r>
      <w:r w:rsidRPr="007C1CB5" w:rsidR="0080649F">
        <w:rPr>
          <w:rFonts w:ascii="Book Antiqua" w:hAnsi="Book Antiqua"/>
        </w:rPr>
        <w:lastRenderedPageBreak/>
        <w:t>compensation for work conducted in 2021 and forward, it should use the Hourly Rate Chart adopted herein.</w:t>
      </w:r>
    </w:p>
    <w:p w:rsidRPr="007C1CB5" w:rsidR="008070B1" w:rsidP="003737CB" w:rsidRDefault="00BB47DF" w14:paraId="639ADB64" w14:textId="65709663">
      <w:pPr>
        <w:spacing w:after="240"/>
        <w:rPr>
          <w:rFonts w:ascii="Book Antiqua" w:hAnsi="Book Antiqua"/>
        </w:rPr>
      </w:pPr>
      <w:r w:rsidRPr="007C1CB5">
        <w:rPr>
          <w:rFonts w:ascii="Book Antiqua" w:hAnsi="Book Antiqua"/>
          <w:b/>
          <w:sz w:val="26"/>
          <w:szCs w:val="26"/>
          <w:u w:val="single"/>
        </w:rPr>
        <w:t>COMMENTS</w:t>
      </w:r>
    </w:p>
    <w:p w:rsidRPr="007C1CB5" w:rsidR="002A4DFA" w:rsidP="00524077" w:rsidRDefault="002A4DFA" w14:paraId="46DF87C9" w14:textId="1796EA06">
      <w:pPr>
        <w:spacing w:after="120"/>
        <w:rPr>
          <w:rFonts w:ascii="Book Antiqua" w:hAnsi="Book Antiqua"/>
          <w:szCs w:val="24"/>
        </w:rPr>
      </w:pPr>
      <w:r w:rsidRPr="007C1CB5">
        <w:rPr>
          <w:rFonts w:ascii="Book Antiqua" w:hAnsi="Book Antiqua"/>
          <w:szCs w:val="24"/>
        </w:rPr>
        <w:t xml:space="preserve">Public Utilities Code Section 311(g)(1) requires that a draft resolution be served on all parties </w:t>
      </w:r>
      <w:r w:rsidRPr="007C1CB5" w:rsidR="00176F6F">
        <w:rPr>
          <w:rFonts w:ascii="Book Antiqua" w:hAnsi="Book Antiqua"/>
          <w:szCs w:val="24"/>
        </w:rPr>
        <w:t>and be</w:t>
      </w:r>
      <w:r w:rsidRPr="007C1CB5">
        <w:rPr>
          <w:rFonts w:ascii="Book Antiqua" w:hAnsi="Book Antiqua"/>
          <w:szCs w:val="24"/>
        </w:rPr>
        <w:t xml:space="preserve"> subject to a public review and comment period of 30 days or more, prior to a vote of the Commission on the resolution.  A draft of today’s resolution was distributed </w:t>
      </w:r>
      <w:r w:rsidRPr="007C1CB5" w:rsidR="00650D86">
        <w:rPr>
          <w:rFonts w:ascii="Book Antiqua" w:hAnsi="Book Antiqua"/>
          <w:szCs w:val="24"/>
        </w:rPr>
        <w:t xml:space="preserve">to the ICOMP service list </w:t>
      </w:r>
      <w:r w:rsidRPr="007C1CB5" w:rsidR="00947504">
        <w:rPr>
          <w:rFonts w:ascii="Book Antiqua" w:hAnsi="Book Antiqua"/>
          <w:szCs w:val="24"/>
        </w:rPr>
        <w:t>on</w:t>
      </w:r>
      <w:r w:rsidRPr="007C1CB5" w:rsidR="003115A3">
        <w:rPr>
          <w:rFonts w:ascii="Book Antiqua" w:hAnsi="Book Antiqua"/>
          <w:szCs w:val="24"/>
        </w:rPr>
        <w:t xml:space="preserve"> November 13, 2020</w:t>
      </w:r>
      <w:r w:rsidRPr="007C1CB5" w:rsidR="00A85310">
        <w:rPr>
          <w:rFonts w:ascii="Book Antiqua" w:hAnsi="Book Antiqua"/>
          <w:szCs w:val="24"/>
        </w:rPr>
        <w:t>.</w:t>
      </w:r>
      <w:r w:rsidRPr="007C1CB5" w:rsidR="00ED0B45">
        <w:rPr>
          <w:rFonts w:ascii="Book Antiqua" w:hAnsi="Book Antiqua"/>
          <w:szCs w:val="24"/>
        </w:rPr>
        <w:t xml:space="preserve">  </w:t>
      </w:r>
    </w:p>
    <w:p w:rsidRPr="007C1CB5" w:rsidR="00B35A01" w:rsidP="0091197D" w:rsidRDefault="00BB47DF" w14:paraId="19BD8B1F" w14:textId="191914E6">
      <w:pPr>
        <w:spacing w:after="240"/>
        <w:rPr>
          <w:rFonts w:ascii="Book Antiqua" w:hAnsi="Book Antiqua"/>
        </w:rPr>
      </w:pPr>
      <w:r w:rsidRPr="007C1CB5">
        <w:rPr>
          <w:rFonts w:ascii="Book Antiqua" w:hAnsi="Book Antiqua"/>
          <w:b/>
          <w:sz w:val="26"/>
          <w:szCs w:val="26"/>
          <w:u w:val="single"/>
        </w:rPr>
        <w:t>FINDINGS</w:t>
      </w:r>
    </w:p>
    <w:p w:rsidRPr="007C1CB5" w:rsidR="00EF7B93" w:rsidP="007D2D05" w:rsidRDefault="00EF7B93" w14:paraId="61AA5FD6" w14:textId="3D9AD45F">
      <w:pPr>
        <w:pStyle w:val="ListParagraph"/>
        <w:numPr>
          <w:ilvl w:val="0"/>
          <w:numId w:val="6"/>
        </w:numPr>
        <w:spacing w:after="120"/>
        <w:ind w:left="720"/>
        <w:contextualSpacing w:val="0"/>
        <w:rPr>
          <w:rFonts w:ascii="Book Antiqua" w:hAnsi="Book Antiqua"/>
          <w:szCs w:val="24"/>
        </w:rPr>
      </w:pPr>
      <w:r w:rsidRPr="007C1CB5">
        <w:rPr>
          <w:rFonts w:ascii="Book Antiqua" w:hAnsi="Book Antiqua"/>
          <w:szCs w:val="24"/>
        </w:rPr>
        <w:t xml:space="preserve">The Market Rate Study finalized by Level4Ventures </w:t>
      </w:r>
      <w:r w:rsidRPr="007C1CB5" w:rsidR="008A1D65">
        <w:rPr>
          <w:rFonts w:ascii="Book Antiqua" w:hAnsi="Book Antiqua"/>
          <w:szCs w:val="24"/>
        </w:rPr>
        <w:t xml:space="preserve">provides </w:t>
      </w:r>
      <w:r w:rsidRPr="007C1CB5">
        <w:rPr>
          <w:rFonts w:ascii="Book Antiqua" w:hAnsi="Book Antiqua"/>
          <w:szCs w:val="24"/>
        </w:rPr>
        <w:t xml:space="preserve">comparable market-based compensation for labor categories that reflect the typical intervenor work before the Commission. </w:t>
      </w:r>
    </w:p>
    <w:p w:rsidRPr="007C1CB5" w:rsidR="008A1D65" w:rsidP="007D2D05" w:rsidRDefault="008A1D65" w14:paraId="1CAF19F7" w14:textId="33D2E76D">
      <w:pPr>
        <w:pStyle w:val="ListParagraph"/>
        <w:numPr>
          <w:ilvl w:val="0"/>
          <w:numId w:val="6"/>
        </w:numPr>
        <w:spacing w:after="120"/>
        <w:ind w:left="720"/>
        <w:contextualSpacing w:val="0"/>
        <w:rPr>
          <w:rFonts w:ascii="Book Antiqua" w:hAnsi="Book Antiqua"/>
          <w:szCs w:val="24"/>
        </w:rPr>
      </w:pPr>
      <w:r w:rsidRPr="007C1CB5">
        <w:rPr>
          <w:rFonts w:ascii="Book Antiqua" w:hAnsi="Book Antiqua"/>
          <w:szCs w:val="24"/>
        </w:rPr>
        <w:t xml:space="preserve">It is reasonable to apply the Market Rate Study’s </w:t>
      </w:r>
      <w:r w:rsidRPr="007C1CB5" w:rsidR="002E5634">
        <w:rPr>
          <w:rFonts w:ascii="Book Antiqua" w:hAnsi="Book Antiqua"/>
          <w:szCs w:val="24"/>
        </w:rPr>
        <w:t>methodology to calculate</w:t>
      </w:r>
      <w:r w:rsidRPr="007C1CB5">
        <w:rPr>
          <w:rFonts w:ascii="Book Antiqua" w:hAnsi="Book Antiqua"/>
          <w:szCs w:val="24"/>
        </w:rPr>
        <w:t xml:space="preserve"> wage rate</w:t>
      </w:r>
      <w:r w:rsidRPr="007C1CB5" w:rsidR="005D085F">
        <w:rPr>
          <w:rFonts w:ascii="Book Antiqua" w:hAnsi="Book Antiqua"/>
          <w:szCs w:val="24"/>
        </w:rPr>
        <w:t xml:space="preserve"> range</w:t>
      </w:r>
      <w:r w:rsidRPr="007C1CB5">
        <w:rPr>
          <w:rFonts w:ascii="Book Antiqua" w:hAnsi="Book Antiqua"/>
          <w:szCs w:val="24"/>
        </w:rPr>
        <w:t xml:space="preserve">s, labor roles, and the annual rate escalation </w:t>
      </w:r>
      <w:r w:rsidRPr="007C1CB5" w:rsidR="002E5634">
        <w:rPr>
          <w:rFonts w:ascii="Book Antiqua" w:hAnsi="Book Antiqua"/>
          <w:szCs w:val="24"/>
        </w:rPr>
        <w:t>for</w:t>
      </w:r>
      <w:r w:rsidRPr="007C1CB5">
        <w:rPr>
          <w:rFonts w:ascii="Book Antiqua" w:hAnsi="Book Antiqua"/>
          <w:szCs w:val="24"/>
        </w:rPr>
        <w:t xml:space="preserve"> </w:t>
      </w:r>
      <w:r w:rsidRPr="007C1CB5" w:rsidR="009B2E8B">
        <w:rPr>
          <w:rFonts w:ascii="Book Antiqua" w:hAnsi="Book Antiqua"/>
          <w:szCs w:val="24"/>
        </w:rPr>
        <w:t>ICOMP work completed</w:t>
      </w:r>
      <w:r w:rsidRPr="007C1CB5">
        <w:rPr>
          <w:rFonts w:ascii="Book Antiqua" w:hAnsi="Book Antiqua"/>
          <w:szCs w:val="24"/>
        </w:rPr>
        <w:t xml:space="preserve"> on or after January 1, 2021.</w:t>
      </w:r>
    </w:p>
    <w:p w:rsidRPr="007C1CB5" w:rsidR="00EF7B93" w:rsidP="007D2D05" w:rsidRDefault="00EF7B93" w14:paraId="5FD017DC" w14:textId="70A6F5CA">
      <w:pPr>
        <w:pStyle w:val="ListParagraph"/>
        <w:numPr>
          <w:ilvl w:val="0"/>
          <w:numId w:val="6"/>
        </w:numPr>
        <w:spacing w:after="120"/>
        <w:ind w:left="720"/>
        <w:contextualSpacing w:val="0"/>
        <w:rPr>
          <w:rFonts w:ascii="Book Antiqua" w:hAnsi="Book Antiqua"/>
          <w:szCs w:val="24"/>
        </w:rPr>
      </w:pPr>
      <w:r w:rsidRPr="007C1CB5">
        <w:rPr>
          <w:rFonts w:ascii="Book Antiqua" w:hAnsi="Book Antiqua"/>
          <w:szCs w:val="24"/>
          <w:lang w:val="en"/>
        </w:rPr>
        <w:t>T</w:t>
      </w:r>
      <w:r w:rsidRPr="007C1CB5" w:rsidR="00B20309">
        <w:rPr>
          <w:rFonts w:ascii="Book Antiqua" w:hAnsi="Book Antiqua"/>
          <w:szCs w:val="24"/>
          <w:lang w:val="en"/>
        </w:rPr>
        <w:t xml:space="preserve">he </w:t>
      </w:r>
      <w:r w:rsidRPr="007C1CB5">
        <w:rPr>
          <w:rFonts w:ascii="Book Antiqua" w:hAnsi="Book Antiqua"/>
          <w:szCs w:val="24"/>
          <w:lang w:val="en"/>
        </w:rPr>
        <w:t xml:space="preserve">rates established in the Market Rate Study </w:t>
      </w:r>
      <w:r w:rsidRPr="007C1CB5" w:rsidR="00B20309">
        <w:rPr>
          <w:rFonts w:ascii="Book Antiqua" w:hAnsi="Book Antiqua"/>
          <w:szCs w:val="24"/>
          <w:lang w:val="en"/>
        </w:rPr>
        <w:t>incorporate overhead</w:t>
      </w:r>
      <w:r w:rsidRPr="007C1CB5">
        <w:rPr>
          <w:rFonts w:ascii="Book Antiqua" w:hAnsi="Book Antiqua"/>
          <w:szCs w:val="24"/>
          <w:lang w:val="en"/>
        </w:rPr>
        <w:t xml:space="preserve">. </w:t>
      </w:r>
      <w:r w:rsidRPr="007C1CB5" w:rsidR="002B5AB4">
        <w:rPr>
          <w:rFonts w:ascii="Book Antiqua" w:hAnsi="Book Antiqua"/>
          <w:szCs w:val="24"/>
          <w:lang w:val="en"/>
        </w:rPr>
        <w:t xml:space="preserve"> </w:t>
      </w:r>
      <w:r w:rsidRPr="007C1CB5">
        <w:rPr>
          <w:rFonts w:ascii="Book Antiqua" w:hAnsi="Book Antiqua"/>
          <w:szCs w:val="24"/>
          <w:lang w:val="en"/>
        </w:rPr>
        <w:t xml:space="preserve">It is therefore reasonable to </w:t>
      </w:r>
      <w:r w:rsidRPr="007C1CB5" w:rsidR="00B20309">
        <w:rPr>
          <w:rFonts w:ascii="Book Antiqua" w:hAnsi="Book Antiqua"/>
          <w:szCs w:val="24"/>
          <w:lang w:val="en"/>
        </w:rPr>
        <w:t xml:space="preserve">no longer compensate for costs such as </w:t>
      </w:r>
      <w:r w:rsidRPr="007C1CB5" w:rsidR="00FB3536">
        <w:rPr>
          <w:rFonts w:ascii="Book Antiqua" w:hAnsi="Book Antiqua"/>
          <w:szCs w:val="24"/>
          <w:lang w:val="en"/>
        </w:rPr>
        <w:t xml:space="preserve">routine </w:t>
      </w:r>
      <w:r w:rsidRPr="007C1CB5" w:rsidR="00B20309">
        <w:rPr>
          <w:rFonts w:ascii="Book Antiqua" w:hAnsi="Book Antiqua"/>
          <w:szCs w:val="24"/>
          <w:lang w:val="en"/>
        </w:rPr>
        <w:t xml:space="preserve">Lexis Nexis, postage, </w:t>
      </w:r>
      <w:r w:rsidRPr="007C1CB5" w:rsidR="00C33619">
        <w:rPr>
          <w:rFonts w:ascii="Book Antiqua" w:hAnsi="Book Antiqua"/>
          <w:szCs w:val="24"/>
          <w:lang w:val="en"/>
        </w:rPr>
        <w:t xml:space="preserve">and </w:t>
      </w:r>
      <w:r w:rsidRPr="007C1CB5" w:rsidR="00B20309">
        <w:rPr>
          <w:rFonts w:ascii="Book Antiqua" w:hAnsi="Book Antiqua"/>
          <w:szCs w:val="24"/>
          <w:lang w:val="en"/>
        </w:rPr>
        <w:t>photoco</w:t>
      </w:r>
      <w:r w:rsidRPr="007C1CB5" w:rsidR="00C33619">
        <w:rPr>
          <w:rFonts w:ascii="Book Antiqua" w:hAnsi="Book Antiqua"/>
          <w:szCs w:val="24"/>
          <w:lang w:val="en"/>
        </w:rPr>
        <w:t>pying fees</w:t>
      </w:r>
      <w:r w:rsidRPr="007C1CB5" w:rsidR="00B20309">
        <w:rPr>
          <w:rFonts w:ascii="Book Antiqua" w:hAnsi="Book Antiqua"/>
          <w:szCs w:val="24"/>
          <w:lang w:val="en"/>
        </w:rPr>
        <w:t xml:space="preserve">. </w:t>
      </w:r>
    </w:p>
    <w:p w:rsidRPr="007C1CB5" w:rsidR="00B20309" w:rsidP="007D2D05" w:rsidRDefault="00EF7B93" w14:paraId="015FE880" w14:textId="7A150D70">
      <w:pPr>
        <w:pStyle w:val="ListParagraph"/>
        <w:numPr>
          <w:ilvl w:val="0"/>
          <w:numId w:val="6"/>
        </w:numPr>
        <w:spacing w:after="120"/>
        <w:ind w:left="720"/>
        <w:contextualSpacing w:val="0"/>
        <w:rPr>
          <w:rFonts w:ascii="Book Antiqua" w:hAnsi="Book Antiqua"/>
          <w:szCs w:val="24"/>
        </w:rPr>
      </w:pPr>
      <w:r w:rsidRPr="007C1CB5">
        <w:rPr>
          <w:rFonts w:ascii="Book Antiqua" w:hAnsi="Book Antiqua"/>
          <w:szCs w:val="24"/>
          <w:lang w:val="en"/>
        </w:rPr>
        <w:t>Incremental o</w:t>
      </w:r>
      <w:r w:rsidRPr="007C1CB5" w:rsidR="00B20309">
        <w:rPr>
          <w:rFonts w:ascii="Book Antiqua" w:hAnsi="Book Antiqua"/>
          <w:szCs w:val="24"/>
          <w:lang w:val="en"/>
        </w:rPr>
        <w:t>verhead costs</w:t>
      </w:r>
      <w:r w:rsidRPr="007C1CB5">
        <w:rPr>
          <w:rFonts w:ascii="Book Antiqua" w:hAnsi="Book Antiqua"/>
          <w:szCs w:val="24"/>
          <w:lang w:val="en"/>
        </w:rPr>
        <w:t xml:space="preserve"> for individual intervenors</w:t>
      </w:r>
      <w:r w:rsidRPr="007C1CB5" w:rsidR="00B20309">
        <w:rPr>
          <w:rFonts w:ascii="Book Antiqua" w:hAnsi="Book Antiqua"/>
          <w:szCs w:val="24"/>
          <w:lang w:val="en"/>
        </w:rPr>
        <w:t xml:space="preserve"> may be considered on </w:t>
      </w:r>
      <w:r w:rsidRPr="007C1CB5" w:rsidR="00FB5F33">
        <w:rPr>
          <w:rFonts w:ascii="Book Antiqua" w:hAnsi="Book Antiqua"/>
          <w:szCs w:val="24"/>
          <w:lang w:val="en"/>
        </w:rPr>
        <w:t xml:space="preserve">a </w:t>
      </w:r>
      <w:r w:rsidRPr="007C1CB5" w:rsidR="00B20309">
        <w:rPr>
          <w:rFonts w:ascii="Book Antiqua" w:hAnsi="Book Antiqua"/>
          <w:szCs w:val="24"/>
          <w:lang w:val="en"/>
        </w:rPr>
        <w:t xml:space="preserve">case </w:t>
      </w:r>
      <w:r w:rsidRPr="007C1CB5" w:rsidR="00FB3536">
        <w:rPr>
          <w:rFonts w:ascii="Book Antiqua" w:hAnsi="Book Antiqua"/>
          <w:szCs w:val="24"/>
          <w:lang w:val="en"/>
        </w:rPr>
        <w:t xml:space="preserve">by </w:t>
      </w:r>
      <w:r w:rsidRPr="007C1CB5" w:rsidR="00B20309">
        <w:rPr>
          <w:rFonts w:ascii="Book Antiqua" w:hAnsi="Book Antiqua"/>
          <w:szCs w:val="24"/>
          <w:lang w:val="en"/>
        </w:rPr>
        <w:t>case basis.</w:t>
      </w:r>
    </w:p>
    <w:p w:rsidRPr="007C1CB5" w:rsidR="003D2E77" w:rsidP="007D2D05" w:rsidRDefault="00EF7B93" w14:paraId="6A006A25" w14:textId="41776201">
      <w:pPr>
        <w:pStyle w:val="ListParagraph"/>
        <w:numPr>
          <w:ilvl w:val="0"/>
          <w:numId w:val="6"/>
        </w:numPr>
        <w:spacing w:after="120"/>
        <w:ind w:left="720"/>
        <w:contextualSpacing w:val="0"/>
        <w:rPr>
          <w:rFonts w:ascii="Book Antiqua" w:hAnsi="Book Antiqua"/>
          <w:szCs w:val="24"/>
        </w:rPr>
      </w:pPr>
      <w:r w:rsidRPr="007C1CB5">
        <w:rPr>
          <w:rFonts w:ascii="Book Antiqua" w:hAnsi="Book Antiqua"/>
          <w:szCs w:val="24"/>
          <w:lang w:val="en"/>
        </w:rPr>
        <w:t xml:space="preserve">It is reasonable to apply </w:t>
      </w:r>
      <w:r w:rsidRPr="007C1CB5" w:rsidR="008A1D65">
        <w:rPr>
          <w:rFonts w:ascii="Book Antiqua" w:hAnsi="Book Antiqua"/>
          <w:szCs w:val="24"/>
          <w:lang w:val="en"/>
        </w:rPr>
        <w:t>previously</w:t>
      </w:r>
      <w:r w:rsidRPr="007C1CB5" w:rsidR="00AF69D0">
        <w:rPr>
          <w:rFonts w:ascii="Book Antiqua" w:hAnsi="Book Antiqua"/>
          <w:szCs w:val="24"/>
          <w:lang w:val="en"/>
        </w:rPr>
        <w:t xml:space="preserve"> </w:t>
      </w:r>
      <w:r w:rsidRPr="007C1CB5" w:rsidR="008A1D65">
        <w:rPr>
          <w:rFonts w:ascii="Book Antiqua" w:hAnsi="Book Antiqua"/>
          <w:szCs w:val="24"/>
          <w:lang w:val="en"/>
        </w:rPr>
        <w:t>authorized</w:t>
      </w:r>
      <w:r w:rsidRPr="007C1CB5">
        <w:rPr>
          <w:rFonts w:ascii="Book Antiqua" w:hAnsi="Book Antiqua"/>
          <w:szCs w:val="24"/>
          <w:lang w:val="en"/>
        </w:rPr>
        <w:t xml:space="preserve"> hourly intervenor compensation rates </w:t>
      </w:r>
      <w:r w:rsidRPr="007C1CB5" w:rsidR="008A1D65">
        <w:rPr>
          <w:rFonts w:ascii="Book Antiqua" w:hAnsi="Book Antiqua"/>
          <w:szCs w:val="24"/>
          <w:lang w:val="en"/>
        </w:rPr>
        <w:t xml:space="preserve">and the COLA adopted in </w:t>
      </w:r>
      <w:r w:rsidRPr="007C1CB5">
        <w:rPr>
          <w:rFonts w:ascii="Book Antiqua" w:hAnsi="Book Antiqua"/>
          <w:szCs w:val="24"/>
          <w:lang w:val="en"/>
        </w:rPr>
        <w:t xml:space="preserve">Resolution ALJ-387 to work </w:t>
      </w:r>
      <w:r w:rsidRPr="007C1CB5" w:rsidR="00AF69D0">
        <w:rPr>
          <w:rFonts w:ascii="Book Antiqua" w:hAnsi="Book Antiqua"/>
          <w:szCs w:val="24"/>
          <w:lang w:val="en"/>
        </w:rPr>
        <w:t xml:space="preserve">performed </w:t>
      </w:r>
      <w:r w:rsidRPr="007C1CB5">
        <w:rPr>
          <w:rFonts w:ascii="Book Antiqua" w:hAnsi="Book Antiqua"/>
          <w:szCs w:val="24"/>
          <w:lang w:val="en"/>
        </w:rPr>
        <w:t>on or before December 31, 2020.</w:t>
      </w:r>
    </w:p>
    <w:p w:rsidRPr="007C1CB5" w:rsidR="00812523" w:rsidP="007D2D05" w:rsidRDefault="002A4DFA" w14:paraId="3CC22578" w14:textId="42144B3A">
      <w:pPr>
        <w:pStyle w:val="ListParagraph"/>
        <w:numPr>
          <w:ilvl w:val="0"/>
          <w:numId w:val="6"/>
        </w:numPr>
        <w:spacing w:after="120"/>
        <w:ind w:left="720"/>
        <w:contextualSpacing w:val="0"/>
        <w:rPr>
          <w:rFonts w:ascii="Book Antiqua" w:hAnsi="Book Antiqua"/>
          <w:szCs w:val="24"/>
        </w:rPr>
      </w:pPr>
      <w:r w:rsidRPr="007C1CB5">
        <w:rPr>
          <w:rFonts w:ascii="Book Antiqua" w:hAnsi="Book Antiqua"/>
          <w:szCs w:val="24"/>
        </w:rPr>
        <w:t xml:space="preserve">It is reasonable to allow individuals an annual “step increase” of </w:t>
      </w:r>
      <w:r w:rsidRPr="007C1CB5" w:rsidR="000A258B">
        <w:rPr>
          <w:rFonts w:ascii="Book Antiqua" w:hAnsi="Book Antiqua"/>
          <w:szCs w:val="24"/>
        </w:rPr>
        <w:t xml:space="preserve">five </w:t>
      </w:r>
      <w:r w:rsidRPr="007C1CB5" w:rsidR="007748AB">
        <w:rPr>
          <w:rFonts w:ascii="Book Antiqua" w:hAnsi="Book Antiqua"/>
          <w:szCs w:val="24"/>
        </w:rPr>
        <w:t>percent</w:t>
      </w:r>
      <w:r w:rsidRPr="007C1CB5">
        <w:rPr>
          <w:rFonts w:ascii="Book Antiqua" w:hAnsi="Book Antiqua"/>
          <w:szCs w:val="24"/>
        </w:rPr>
        <w:t xml:space="preserve">, twice within each </w:t>
      </w:r>
      <w:r w:rsidRPr="007C1CB5" w:rsidR="00167B74">
        <w:rPr>
          <w:rFonts w:ascii="Book Antiqua" w:hAnsi="Book Antiqua"/>
          <w:szCs w:val="24"/>
        </w:rPr>
        <w:t>labor role</w:t>
      </w:r>
      <w:r w:rsidRPr="007C1CB5" w:rsidR="00FB3536">
        <w:rPr>
          <w:rFonts w:ascii="Book Antiqua" w:hAnsi="Book Antiqua"/>
          <w:szCs w:val="24"/>
        </w:rPr>
        <w:t>,</w:t>
      </w:r>
      <w:r w:rsidRPr="007C1CB5">
        <w:rPr>
          <w:rFonts w:ascii="Book Antiqua" w:hAnsi="Book Antiqua"/>
          <w:szCs w:val="24"/>
        </w:rPr>
        <w:t xml:space="preserve"> capped at the maximum rate for that level, as authorized by D.07-01-009</w:t>
      </w:r>
      <w:r w:rsidRPr="007C1CB5" w:rsidR="0080649F">
        <w:rPr>
          <w:rFonts w:ascii="Book Antiqua" w:hAnsi="Book Antiqua"/>
          <w:szCs w:val="24"/>
        </w:rPr>
        <w:t>.</w:t>
      </w:r>
    </w:p>
    <w:p w:rsidRPr="007C1CB5" w:rsidR="002A4DFA" w:rsidP="007D2D05" w:rsidRDefault="002A4DFA" w14:paraId="087E3B50" w14:textId="5E71C6C6">
      <w:pPr>
        <w:pStyle w:val="ListParagraph"/>
        <w:numPr>
          <w:ilvl w:val="0"/>
          <w:numId w:val="6"/>
        </w:numPr>
        <w:spacing w:after="120"/>
        <w:ind w:left="720"/>
        <w:contextualSpacing w:val="0"/>
        <w:rPr>
          <w:rFonts w:ascii="Book Antiqua" w:hAnsi="Book Antiqua"/>
          <w:szCs w:val="24"/>
        </w:rPr>
      </w:pPr>
      <w:r w:rsidRPr="007C1CB5">
        <w:rPr>
          <w:rFonts w:ascii="Book Antiqua" w:hAnsi="Book Antiqua"/>
          <w:szCs w:val="24"/>
        </w:rPr>
        <w:t xml:space="preserve">It is reasonable to restrict intervenor rates to the adopted range of rates for any </w:t>
      </w:r>
      <w:r w:rsidRPr="007C1CB5" w:rsidR="00EF7B93">
        <w:rPr>
          <w:rFonts w:ascii="Book Antiqua" w:hAnsi="Book Antiqua"/>
          <w:szCs w:val="24"/>
        </w:rPr>
        <w:t>defined</w:t>
      </w:r>
      <w:r w:rsidRPr="007C1CB5">
        <w:rPr>
          <w:rFonts w:ascii="Book Antiqua" w:hAnsi="Book Antiqua"/>
          <w:szCs w:val="24"/>
        </w:rPr>
        <w:t xml:space="preserve"> </w:t>
      </w:r>
      <w:r w:rsidRPr="007C1CB5" w:rsidR="00440E79">
        <w:rPr>
          <w:rFonts w:ascii="Book Antiqua" w:hAnsi="Book Antiqua"/>
          <w:szCs w:val="24"/>
        </w:rPr>
        <w:t>labor role</w:t>
      </w:r>
      <w:r w:rsidRPr="007C1CB5" w:rsidR="00571E78">
        <w:rPr>
          <w:rFonts w:ascii="Book Antiqua" w:hAnsi="Book Antiqua"/>
          <w:szCs w:val="24"/>
        </w:rPr>
        <w:t xml:space="preserve"> for each given year.</w:t>
      </w:r>
    </w:p>
    <w:p w:rsidRPr="007C1CB5" w:rsidR="002262B3" w:rsidP="007D2D05" w:rsidRDefault="002262B3" w14:paraId="4E2B6CBC" w14:textId="519A0D16">
      <w:pPr>
        <w:pStyle w:val="ListParagraph"/>
        <w:numPr>
          <w:ilvl w:val="0"/>
          <w:numId w:val="6"/>
        </w:numPr>
        <w:spacing w:after="120"/>
        <w:ind w:left="720"/>
        <w:contextualSpacing w:val="0"/>
        <w:rPr>
          <w:rFonts w:ascii="Book Antiqua" w:hAnsi="Book Antiqua"/>
          <w:szCs w:val="24"/>
        </w:rPr>
      </w:pPr>
      <w:r w:rsidRPr="007C1CB5">
        <w:rPr>
          <w:rFonts w:ascii="Book Antiqua" w:hAnsi="Book Antiqua"/>
          <w:szCs w:val="24"/>
        </w:rPr>
        <w:t xml:space="preserve">The Market Rate Study’s escalation methodology is based on the annual changes in the Bureau of Labor Statistics Employment Cost Index. </w:t>
      </w:r>
    </w:p>
    <w:p w:rsidRPr="007C1CB5" w:rsidR="002262B3" w:rsidP="007D2D05" w:rsidRDefault="002262B3" w14:paraId="1DF4E607" w14:textId="4E10B959">
      <w:pPr>
        <w:pStyle w:val="ListParagraph"/>
        <w:numPr>
          <w:ilvl w:val="0"/>
          <w:numId w:val="6"/>
        </w:numPr>
        <w:spacing w:after="120"/>
        <w:ind w:left="720"/>
        <w:contextualSpacing w:val="0"/>
        <w:rPr>
          <w:rFonts w:ascii="Book Antiqua" w:hAnsi="Book Antiqua"/>
          <w:szCs w:val="24"/>
        </w:rPr>
      </w:pPr>
      <w:r w:rsidRPr="007C1CB5">
        <w:rPr>
          <w:rFonts w:ascii="Book Antiqua" w:hAnsi="Book Antiqua"/>
          <w:szCs w:val="24"/>
        </w:rPr>
        <w:t xml:space="preserve">It is reasonable to base the annual change in approved hourly intervenor compensation rates on prevailing federal employment cost statistics. </w:t>
      </w:r>
    </w:p>
    <w:p w:rsidRPr="007C1CB5" w:rsidR="002A4DFA" w:rsidP="007D2D05" w:rsidRDefault="002A4DFA" w14:paraId="4869E101" w14:textId="6470E4DB">
      <w:pPr>
        <w:pStyle w:val="ListParagraph"/>
        <w:numPr>
          <w:ilvl w:val="0"/>
          <w:numId w:val="6"/>
        </w:numPr>
        <w:spacing w:after="120"/>
        <w:ind w:left="720"/>
        <w:contextualSpacing w:val="0"/>
        <w:rPr>
          <w:rFonts w:ascii="Book Antiqua" w:hAnsi="Book Antiqua"/>
          <w:szCs w:val="24"/>
        </w:rPr>
      </w:pPr>
      <w:r w:rsidRPr="007C1CB5">
        <w:rPr>
          <w:rFonts w:ascii="Book Antiqua" w:hAnsi="Book Antiqua"/>
          <w:szCs w:val="24"/>
        </w:rPr>
        <w:t>The rate levels</w:t>
      </w:r>
      <w:r w:rsidRPr="007C1CB5" w:rsidR="00571E78">
        <w:rPr>
          <w:rFonts w:ascii="Book Antiqua" w:hAnsi="Book Antiqua"/>
          <w:szCs w:val="24"/>
        </w:rPr>
        <w:t xml:space="preserve"> and escalation</w:t>
      </w:r>
      <w:r w:rsidRPr="007C1CB5">
        <w:rPr>
          <w:rFonts w:ascii="Book Antiqua" w:hAnsi="Book Antiqua"/>
          <w:szCs w:val="24"/>
        </w:rPr>
        <w:t xml:space="preserve"> procedures</w:t>
      </w:r>
      <w:r w:rsidRPr="007C1CB5" w:rsidR="00571E78">
        <w:rPr>
          <w:rFonts w:ascii="Book Antiqua" w:hAnsi="Book Antiqua"/>
          <w:szCs w:val="24"/>
        </w:rPr>
        <w:t xml:space="preserve"> adopted </w:t>
      </w:r>
      <w:r w:rsidRPr="007C1CB5" w:rsidR="002262B3">
        <w:rPr>
          <w:rFonts w:ascii="Book Antiqua" w:hAnsi="Book Antiqua"/>
          <w:szCs w:val="24"/>
        </w:rPr>
        <w:t>through</w:t>
      </w:r>
      <w:r w:rsidRPr="007C1CB5" w:rsidR="00571E78">
        <w:rPr>
          <w:rFonts w:ascii="Book Antiqua" w:hAnsi="Book Antiqua"/>
          <w:szCs w:val="24"/>
        </w:rPr>
        <w:t xml:space="preserve"> the Market Rate Study</w:t>
      </w:r>
      <w:r w:rsidRPr="007C1CB5">
        <w:rPr>
          <w:rFonts w:ascii="Book Antiqua" w:hAnsi="Book Antiqua"/>
          <w:szCs w:val="24"/>
        </w:rPr>
        <w:t xml:space="preserve"> are consistent with the intervenor compensation statutes</w:t>
      </w:r>
      <w:r w:rsidRPr="007C1CB5" w:rsidR="00FB5F33">
        <w:rPr>
          <w:rFonts w:ascii="Book Antiqua" w:hAnsi="Book Antiqua"/>
          <w:szCs w:val="24"/>
        </w:rPr>
        <w:t>,</w:t>
      </w:r>
      <w:r w:rsidRPr="007C1CB5" w:rsidR="00571E78">
        <w:rPr>
          <w:rFonts w:ascii="Book Antiqua" w:hAnsi="Book Antiqua"/>
          <w:szCs w:val="24"/>
        </w:rPr>
        <w:t xml:space="preserve"> </w:t>
      </w:r>
      <w:r w:rsidRPr="007C1CB5">
        <w:rPr>
          <w:rFonts w:ascii="Book Antiqua" w:hAnsi="Book Antiqua"/>
          <w:szCs w:val="24"/>
        </w:rPr>
        <w:t>Pub</w:t>
      </w:r>
      <w:r w:rsidRPr="007C1CB5" w:rsidR="00571E78">
        <w:rPr>
          <w:rFonts w:ascii="Book Antiqua" w:hAnsi="Book Antiqua"/>
          <w:szCs w:val="24"/>
        </w:rPr>
        <w:t>lic</w:t>
      </w:r>
      <w:r w:rsidRPr="007C1CB5" w:rsidR="00210C47">
        <w:rPr>
          <w:rFonts w:ascii="Book Antiqua" w:hAnsi="Book Antiqua"/>
          <w:szCs w:val="24"/>
        </w:rPr>
        <w:t> </w:t>
      </w:r>
      <w:r w:rsidRPr="007C1CB5">
        <w:rPr>
          <w:rFonts w:ascii="Book Antiqua" w:hAnsi="Book Antiqua"/>
          <w:szCs w:val="24"/>
        </w:rPr>
        <w:t>Util</w:t>
      </w:r>
      <w:r w:rsidRPr="007C1CB5" w:rsidR="00571E78">
        <w:rPr>
          <w:rFonts w:ascii="Book Antiqua" w:hAnsi="Book Antiqua"/>
          <w:szCs w:val="24"/>
        </w:rPr>
        <w:t>ities</w:t>
      </w:r>
      <w:r w:rsidRPr="007C1CB5" w:rsidR="00210C47">
        <w:rPr>
          <w:rFonts w:ascii="Book Antiqua" w:hAnsi="Book Antiqua"/>
          <w:szCs w:val="24"/>
        </w:rPr>
        <w:t> </w:t>
      </w:r>
      <w:r w:rsidRPr="007C1CB5">
        <w:rPr>
          <w:rFonts w:ascii="Book Antiqua" w:hAnsi="Book Antiqua"/>
          <w:szCs w:val="24"/>
        </w:rPr>
        <w:t xml:space="preserve">Code §§1801-1812. </w:t>
      </w:r>
    </w:p>
    <w:p w:rsidRPr="007C1CB5" w:rsidR="00A76627" w:rsidP="00EB16C4" w:rsidRDefault="00360787" w14:paraId="27363156" w14:textId="3DB86658">
      <w:pPr>
        <w:pStyle w:val="ListParagraph"/>
        <w:keepNext/>
        <w:keepLines/>
        <w:numPr>
          <w:ilvl w:val="0"/>
          <w:numId w:val="6"/>
        </w:numPr>
        <w:spacing w:after="120"/>
        <w:ind w:left="720"/>
        <w:contextualSpacing w:val="0"/>
        <w:rPr>
          <w:rFonts w:ascii="Book Antiqua" w:hAnsi="Book Antiqua"/>
          <w:szCs w:val="24"/>
        </w:rPr>
      </w:pPr>
      <w:r w:rsidRPr="007C1CB5">
        <w:rPr>
          <w:rFonts w:ascii="Book Antiqua" w:hAnsi="Book Antiqua"/>
          <w:szCs w:val="24"/>
        </w:rPr>
        <w:lastRenderedPageBreak/>
        <w:t>It</w:t>
      </w:r>
      <w:r w:rsidRPr="007C1CB5" w:rsidR="002A4DFA">
        <w:rPr>
          <w:rFonts w:ascii="Book Antiqua" w:hAnsi="Book Antiqua"/>
          <w:szCs w:val="24"/>
        </w:rPr>
        <w:t xml:space="preserve"> is reasonable </w:t>
      </w:r>
      <w:r w:rsidRPr="007C1CB5" w:rsidR="00433901">
        <w:rPr>
          <w:rFonts w:ascii="Book Antiqua" w:hAnsi="Book Antiqua"/>
          <w:szCs w:val="24"/>
        </w:rPr>
        <w:t xml:space="preserve">for </w:t>
      </w:r>
      <w:r w:rsidRPr="007C1CB5" w:rsidR="00571E78">
        <w:rPr>
          <w:rFonts w:ascii="Book Antiqua" w:hAnsi="Book Antiqua"/>
          <w:szCs w:val="24"/>
        </w:rPr>
        <w:t>the Commission to evaluate and update the labor roles and escalation methodology developed through the Market Rate Study every five years to align with any increases or decreases in market rates for comparable work</w:t>
      </w:r>
      <w:r w:rsidRPr="007C1CB5" w:rsidR="002A4DFA">
        <w:rPr>
          <w:rFonts w:ascii="Book Antiqua" w:hAnsi="Book Antiqua"/>
          <w:szCs w:val="24"/>
        </w:rPr>
        <w:t xml:space="preserve">. </w:t>
      </w:r>
    </w:p>
    <w:p w:rsidRPr="007C1CB5" w:rsidR="00A76627" w:rsidP="00B460A0" w:rsidRDefault="00BB47DF" w14:paraId="204DD802" w14:textId="2A52EE93">
      <w:pPr>
        <w:spacing w:after="240"/>
        <w:rPr>
          <w:rFonts w:ascii="Book Antiqua" w:hAnsi="Book Antiqua"/>
          <w:szCs w:val="24"/>
        </w:rPr>
      </w:pPr>
      <w:r w:rsidRPr="007C1CB5">
        <w:rPr>
          <w:rFonts w:ascii="Book Antiqua" w:hAnsi="Book Antiqua"/>
          <w:sz w:val="26"/>
          <w:szCs w:val="26"/>
        </w:rPr>
        <w:t>T</w:t>
      </w:r>
      <w:r w:rsidRPr="007C1CB5" w:rsidR="002A0BFB">
        <w:rPr>
          <w:rFonts w:ascii="Book Antiqua" w:hAnsi="Book Antiqua"/>
          <w:sz w:val="26"/>
          <w:szCs w:val="26"/>
        </w:rPr>
        <w:t>herefore</w:t>
      </w:r>
      <w:r w:rsidRPr="007C1CB5">
        <w:rPr>
          <w:rFonts w:ascii="Book Antiqua" w:hAnsi="Book Antiqua"/>
          <w:b/>
          <w:sz w:val="26"/>
          <w:szCs w:val="26"/>
        </w:rPr>
        <w:t>, IT IS ORDERED</w:t>
      </w:r>
      <w:r w:rsidRPr="007C1CB5">
        <w:rPr>
          <w:rFonts w:ascii="Book Antiqua" w:hAnsi="Book Antiqua"/>
          <w:sz w:val="26"/>
          <w:szCs w:val="26"/>
        </w:rPr>
        <w:t xml:space="preserve"> </w:t>
      </w:r>
      <w:r w:rsidRPr="007C1CB5">
        <w:rPr>
          <w:rFonts w:ascii="Book Antiqua" w:hAnsi="Book Antiqua"/>
          <w:szCs w:val="24"/>
        </w:rPr>
        <w:t>that:</w:t>
      </w:r>
    </w:p>
    <w:p w:rsidRPr="007C1CB5" w:rsidR="00B72821" w:rsidP="00C33619" w:rsidRDefault="00E2024C" w14:paraId="65649B44" w14:textId="5425899D">
      <w:pPr>
        <w:pStyle w:val="ListParagraph"/>
        <w:numPr>
          <w:ilvl w:val="0"/>
          <w:numId w:val="4"/>
        </w:numPr>
        <w:spacing w:after="120"/>
        <w:contextualSpacing w:val="0"/>
        <w:rPr>
          <w:rFonts w:ascii="Book Antiqua" w:hAnsi="Book Antiqua"/>
          <w:szCs w:val="24"/>
        </w:rPr>
      </w:pPr>
      <w:r w:rsidRPr="007C1CB5">
        <w:rPr>
          <w:rFonts w:ascii="Book Antiqua" w:hAnsi="Book Antiqua"/>
          <w:szCs w:val="24"/>
        </w:rPr>
        <w:t xml:space="preserve">The </w:t>
      </w:r>
      <w:r w:rsidRPr="007C1CB5" w:rsidR="00571E78">
        <w:rPr>
          <w:rFonts w:ascii="Book Antiqua" w:hAnsi="Book Antiqua"/>
          <w:szCs w:val="24"/>
        </w:rPr>
        <w:t>M</w:t>
      </w:r>
      <w:r w:rsidRPr="007C1CB5">
        <w:rPr>
          <w:rFonts w:ascii="Book Antiqua" w:hAnsi="Book Antiqua"/>
          <w:szCs w:val="24"/>
        </w:rPr>
        <w:t xml:space="preserve">arket </w:t>
      </w:r>
      <w:r w:rsidRPr="007C1CB5" w:rsidR="00571E78">
        <w:rPr>
          <w:rFonts w:ascii="Book Antiqua" w:hAnsi="Book Antiqua"/>
          <w:szCs w:val="24"/>
        </w:rPr>
        <w:t>R</w:t>
      </w:r>
      <w:r w:rsidRPr="007C1CB5">
        <w:rPr>
          <w:rFonts w:ascii="Book Antiqua" w:hAnsi="Book Antiqua"/>
          <w:szCs w:val="24"/>
        </w:rPr>
        <w:t xml:space="preserve">ate </w:t>
      </w:r>
      <w:r w:rsidRPr="007C1CB5" w:rsidR="00571E78">
        <w:rPr>
          <w:rFonts w:ascii="Book Antiqua" w:hAnsi="Book Antiqua"/>
          <w:szCs w:val="24"/>
        </w:rPr>
        <w:t>S</w:t>
      </w:r>
      <w:r w:rsidRPr="007C1CB5">
        <w:rPr>
          <w:rFonts w:ascii="Book Antiqua" w:hAnsi="Book Antiqua"/>
          <w:szCs w:val="24"/>
        </w:rPr>
        <w:t>tudy</w:t>
      </w:r>
      <w:r w:rsidRPr="007C1CB5" w:rsidR="00571E78">
        <w:rPr>
          <w:rFonts w:ascii="Book Antiqua" w:hAnsi="Book Antiqua"/>
          <w:szCs w:val="24"/>
        </w:rPr>
        <w:t xml:space="preserve"> hourly intervenor compensation rates and escalation methodology</w:t>
      </w:r>
      <w:r w:rsidRPr="007C1CB5">
        <w:rPr>
          <w:rFonts w:ascii="Book Antiqua" w:hAnsi="Book Antiqua"/>
          <w:szCs w:val="24"/>
        </w:rPr>
        <w:t xml:space="preserve"> shall be implemented effective January 1, 2021.</w:t>
      </w:r>
    </w:p>
    <w:p w:rsidRPr="007C1CB5" w:rsidR="00571E78" w:rsidP="00C33619" w:rsidRDefault="00B20309" w14:paraId="2B9DDB41" w14:textId="4979F565">
      <w:pPr>
        <w:pStyle w:val="ListParagraph"/>
        <w:numPr>
          <w:ilvl w:val="0"/>
          <w:numId w:val="4"/>
        </w:numPr>
        <w:autoSpaceDE w:val="0"/>
        <w:autoSpaceDN w:val="0"/>
        <w:adjustRightInd w:val="0"/>
        <w:spacing w:after="120"/>
        <w:contextualSpacing w:val="0"/>
        <w:rPr>
          <w:rFonts w:ascii="Book Antiqua" w:hAnsi="Book Antiqua"/>
          <w:szCs w:val="24"/>
          <w:lang w:val="en"/>
        </w:rPr>
      </w:pPr>
      <w:r w:rsidRPr="007C1CB5">
        <w:rPr>
          <w:rFonts w:ascii="Book Antiqua" w:hAnsi="Book Antiqua"/>
          <w:szCs w:val="24"/>
          <w:lang w:val="en"/>
        </w:rPr>
        <w:t xml:space="preserve">The </w:t>
      </w:r>
      <w:r w:rsidRPr="007C1CB5" w:rsidR="00571E78">
        <w:rPr>
          <w:rFonts w:ascii="Book Antiqua" w:hAnsi="Book Antiqua"/>
          <w:szCs w:val="24"/>
          <w:lang w:val="en"/>
        </w:rPr>
        <w:t xml:space="preserve">intervenor compensation </w:t>
      </w:r>
      <w:r w:rsidRPr="007C1CB5">
        <w:rPr>
          <w:rFonts w:ascii="Book Antiqua" w:hAnsi="Book Antiqua"/>
          <w:szCs w:val="24"/>
          <w:lang w:val="en"/>
        </w:rPr>
        <w:t xml:space="preserve">rates </w:t>
      </w:r>
      <w:r w:rsidRPr="007C1CB5" w:rsidR="00571E78">
        <w:rPr>
          <w:rFonts w:ascii="Book Antiqua" w:hAnsi="Book Antiqua"/>
          <w:szCs w:val="24"/>
          <w:lang w:val="en"/>
        </w:rPr>
        <w:t xml:space="preserve">defined by the Market Rate Study </w:t>
      </w:r>
      <w:r w:rsidRPr="007C1CB5">
        <w:rPr>
          <w:rFonts w:ascii="Book Antiqua" w:hAnsi="Book Antiqua"/>
          <w:szCs w:val="24"/>
          <w:lang w:val="en"/>
        </w:rPr>
        <w:t>will be a</w:t>
      </w:r>
      <w:r w:rsidRPr="007C1CB5" w:rsidR="00571E78">
        <w:rPr>
          <w:rFonts w:ascii="Book Antiqua" w:hAnsi="Book Antiqua"/>
          <w:szCs w:val="24"/>
          <w:lang w:val="en"/>
        </w:rPr>
        <w:t>djusted</w:t>
      </w:r>
      <w:r w:rsidRPr="007C1CB5">
        <w:rPr>
          <w:rFonts w:ascii="Book Antiqua" w:hAnsi="Book Antiqua"/>
          <w:szCs w:val="24"/>
          <w:lang w:val="en"/>
        </w:rPr>
        <w:t xml:space="preserve"> annually </w:t>
      </w:r>
      <w:r w:rsidRPr="007C1CB5" w:rsidR="00571E78">
        <w:rPr>
          <w:rFonts w:ascii="Book Antiqua" w:hAnsi="Book Antiqua"/>
          <w:szCs w:val="24"/>
          <w:lang w:val="en"/>
        </w:rPr>
        <w:t>based on the escalation methodology adopted herein.</w:t>
      </w:r>
      <w:r w:rsidRPr="007C1CB5">
        <w:rPr>
          <w:rFonts w:ascii="Book Antiqua" w:hAnsi="Book Antiqua"/>
          <w:szCs w:val="24"/>
          <w:lang w:val="en"/>
        </w:rPr>
        <w:t xml:space="preserve"> </w:t>
      </w:r>
    </w:p>
    <w:p w:rsidRPr="007C1CB5" w:rsidR="00E30A2F" w:rsidP="00D86AAF" w:rsidRDefault="00BB47DF" w14:paraId="724115D7" w14:textId="347A81BE">
      <w:pPr>
        <w:rPr>
          <w:rFonts w:ascii="Book Antiqua" w:hAnsi="Book Antiqua"/>
          <w:szCs w:val="24"/>
        </w:rPr>
      </w:pPr>
      <w:r w:rsidRPr="007C1CB5">
        <w:rPr>
          <w:rFonts w:ascii="Book Antiqua" w:hAnsi="Book Antiqua"/>
          <w:szCs w:val="24"/>
        </w:rPr>
        <w:t>This resolution is effective today.</w:t>
      </w:r>
    </w:p>
    <w:p w:rsidRPr="007C1CB5" w:rsidR="00E30A2F" w:rsidP="00FA55E5" w:rsidRDefault="00BB47DF" w14:paraId="19404DC3" w14:textId="3EF33A15">
      <w:pPr>
        <w:spacing w:after="120"/>
        <w:rPr>
          <w:rFonts w:ascii="Book Antiqua" w:hAnsi="Book Antiqua"/>
          <w:szCs w:val="24"/>
        </w:rPr>
      </w:pPr>
      <w:r w:rsidRPr="007C1CB5">
        <w:rPr>
          <w:rFonts w:ascii="Book Antiqua" w:hAnsi="Book Antiqua"/>
          <w:szCs w:val="24"/>
        </w:rPr>
        <w:t xml:space="preserve">I certify that the foregoing resolution was duly introduced, passed, and adopted at a conference of the Public Utilities Commission of the State of California held on </w:t>
      </w:r>
      <w:r w:rsidR="006516AA">
        <w:rPr>
          <w:rFonts w:ascii="Book Antiqua" w:hAnsi="Book Antiqua"/>
          <w:szCs w:val="24"/>
        </w:rPr>
        <w:t>_______</w:t>
      </w:r>
      <w:r w:rsidRPr="007C1CB5">
        <w:rPr>
          <w:rFonts w:ascii="Book Antiqua" w:hAnsi="Book Antiqua"/>
          <w:szCs w:val="24"/>
        </w:rPr>
        <w:t>, the following Commissioners voting favorably thereon:</w:t>
      </w:r>
    </w:p>
    <w:p w:rsidRPr="007C1CB5" w:rsidR="00D86AAF" w:rsidP="00D86AAF" w:rsidRDefault="00D86AAF" w14:paraId="7E8A7F7E" w14:textId="77777777">
      <w:pPr>
        <w:spacing w:after="120"/>
        <w:rPr>
          <w:rFonts w:ascii="Book Antiqua" w:hAnsi="Book Antiqua"/>
          <w:szCs w:val="24"/>
        </w:rPr>
      </w:pPr>
    </w:p>
    <w:p w:rsidR="00EB16C4" w:rsidP="00375150" w:rsidRDefault="00EB16C4" w14:paraId="6227A7CD" w14:textId="77777777">
      <w:pPr>
        <w:spacing w:after="120"/>
        <w:jc w:val="center"/>
        <w:rPr>
          <w:rFonts w:ascii="Book Antiqua" w:hAnsi="Book Antiqua"/>
          <w:szCs w:val="24"/>
        </w:rPr>
        <w:sectPr w:rsidR="00EB16C4" w:rsidSect="00EB16C4">
          <w:headerReference w:type="default" r:id="rId12"/>
          <w:headerReference w:type="first" r:id="rId13"/>
          <w:footerReference w:type="first" r:id="rId14"/>
          <w:pgSz w:w="12240" w:h="15840"/>
          <w:pgMar w:top="1440" w:right="1440" w:bottom="1440" w:left="1440" w:header="720" w:footer="720" w:gutter="0"/>
          <w:pgNumType w:fmt="numberInDash" w:start="1"/>
          <w:cols w:space="720"/>
          <w:titlePg/>
          <w:docGrid w:linePitch="360"/>
        </w:sectPr>
      </w:pPr>
    </w:p>
    <w:tbl>
      <w:tblPr>
        <w:tblW w:w="0" w:type="auto"/>
        <w:tblInd w:w="5688" w:type="dxa"/>
        <w:tblLayout w:type="fixed"/>
        <w:tblLook w:val="0000" w:firstRow="0" w:lastRow="0" w:firstColumn="0" w:lastColumn="0" w:noHBand="0" w:noVBand="0"/>
      </w:tblPr>
      <w:tblGrid>
        <w:gridCol w:w="3870"/>
      </w:tblGrid>
      <w:tr w:rsidRPr="007C1CB5" w:rsidR="00D86AAF" w:rsidTr="00375150" w14:paraId="0D46212E" w14:textId="77777777">
        <w:tc>
          <w:tcPr>
            <w:tcW w:w="3870" w:type="dxa"/>
            <w:tcBorders>
              <w:bottom w:val="single" w:color="auto" w:sz="6" w:space="0"/>
            </w:tcBorders>
          </w:tcPr>
          <w:p w:rsidRPr="007C1CB5" w:rsidR="00D86AAF" w:rsidP="00375150" w:rsidRDefault="00D86AAF" w14:paraId="224A08F3" w14:textId="4B8C5863">
            <w:pPr>
              <w:spacing w:after="120"/>
              <w:jc w:val="center"/>
              <w:rPr>
                <w:rFonts w:ascii="Book Antiqua" w:hAnsi="Book Antiqua"/>
                <w:szCs w:val="24"/>
              </w:rPr>
            </w:pPr>
          </w:p>
        </w:tc>
      </w:tr>
      <w:tr w:rsidRPr="007C1CB5" w:rsidR="00D86AAF" w:rsidTr="00375150" w14:paraId="4E37CA95" w14:textId="77777777">
        <w:tc>
          <w:tcPr>
            <w:tcW w:w="3870" w:type="dxa"/>
          </w:tcPr>
          <w:p w:rsidRPr="007C1CB5" w:rsidR="00E2024C" w:rsidP="00375150" w:rsidRDefault="005F7FDD" w14:paraId="396B77F6" w14:textId="522B616D">
            <w:pPr>
              <w:jc w:val="center"/>
              <w:rPr>
                <w:rFonts w:ascii="Book Antiqua" w:hAnsi="Book Antiqua"/>
                <w:szCs w:val="24"/>
              </w:rPr>
            </w:pPr>
            <w:r w:rsidRPr="007C1CB5">
              <w:rPr>
                <w:rFonts w:ascii="Book Antiqua" w:hAnsi="Book Antiqua"/>
                <w:szCs w:val="24"/>
              </w:rPr>
              <w:t>Rachel Peterson</w:t>
            </w:r>
          </w:p>
          <w:p w:rsidRPr="007C1CB5" w:rsidR="00D86AAF" w:rsidP="00375150" w:rsidRDefault="005F7FDD" w14:paraId="2CB8F265" w14:textId="3831AD51">
            <w:pPr>
              <w:jc w:val="center"/>
              <w:rPr>
                <w:rFonts w:ascii="Book Antiqua" w:hAnsi="Book Antiqua"/>
                <w:szCs w:val="24"/>
              </w:rPr>
            </w:pPr>
            <w:r w:rsidRPr="007C1CB5">
              <w:rPr>
                <w:rFonts w:ascii="Book Antiqua" w:hAnsi="Book Antiqua"/>
                <w:szCs w:val="24"/>
              </w:rPr>
              <w:t xml:space="preserve">Acting </w:t>
            </w:r>
            <w:r w:rsidRPr="007C1CB5" w:rsidR="00D86AAF">
              <w:rPr>
                <w:rFonts w:ascii="Book Antiqua" w:hAnsi="Book Antiqua"/>
                <w:szCs w:val="24"/>
              </w:rPr>
              <w:t>Executive Director</w:t>
            </w:r>
          </w:p>
        </w:tc>
      </w:tr>
    </w:tbl>
    <w:p w:rsidRPr="007C1CB5" w:rsidR="000B608B" w:rsidP="00EB16C4" w:rsidRDefault="000B608B" w14:paraId="1F76C9C0" w14:textId="6001B677">
      <w:pPr>
        <w:pStyle w:val="standard"/>
        <w:spacing w:line="240" w:lineRule="auto"/>
        <w:ind w:left="3500" w:firstLine="0"/>
        <w:rPr>
          <w:rFonts w:ascii="Book Antiqua" w:hAnsi="Book Antiqua"/>
        </w:rPr>
      </w:pPr>
    </w:p>
    <w:sectPr w:rsidRPr="007C1CB5" w:rsidR="000B608B" w:rsidSect="00EB16C4">
      <w:type w:val="continuous"/>
      <w:pgSz w:w="12240" w:h="15840"/>
      <w:pgMar w:top="1440" w:right="1440" w:bottom="1440" w:left="1440" w:header="720" w:footer="720" w:gutter="0"/>
      <w:pgNumType w:fmt="numberInDash" w:start="1"/>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A85F1" w14:textId="77777777" w:rsidR="004977FB" w:rsidRDefault="004977FB">
      <w:r>
        <w:separator/>
      </w:r>
    </w:p>
  </w:endnote>
  <w:endnote w:type="continuationSeparator" w:id="0">
    <w:p w14:paraId="6F78248E" w14:textId="77777777" w:rsidR="004977FB" w:rsidRDefault="0049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229556"/>
      <w:docPartObj>
        <w:docPartGallery w:val="Page Numbers (Bottom of Page)"/>
        <w:docPartUnique/>
      </w:docPartObj>
    </w:sdtPr>
    <w:sdtEndPr>
      <w:rPr>
        <w:noProof/>
      </w:rPr>
    </w:sdtEndPr>
    <w:sdtContent>
      <w:p w14:paraId="615684C2" w14:textId="55E167FE" w:rsidR="001771A4" w:rsidRDefault="004E5A30" w:rsidP="00EB1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51CB" w14:textId="4C242A8B" w:rsidR="00EB16C4" w:rsidRDefault="00EB16C4" w:rsidP="00EB16C4">
    <w:pPr>
      <w:pStyle w:val="Footer"/>
    </w:pPr>
    <w:r w:rsidRPr="00CD1D38">
      <w:rPr>
        <w:rFonts w:ascii="Book Antiqua" w:hAnsi="Book Antiqua" w:cs="Tahoma"/>
        <w:sz w:val="16"/>
        <w:szCs w:val="16"/>
      </w:rPr>
      <w:t>351003816</w:t>
    </w:r>
    <w:r>
      <w:tab/>
    </w:r>
    <w:sdt>
      <w:sdtPr>
        <w:id w:val="173686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C8E9E" w14:textId="77777777" w:rsidR="004977FB" w:rsidRDefault="004977FB">
      <w:r>
        <w:separator/>
      </w:r>
    </w:p>
  </w:footnote>
  <w:footnote w:type="continuationSeparator" w:id="0">
    <w:p w14:paraId="03A01D5B" w14:textId="77777777" w:rsidR="004977FB" w:rsidRDefault="004977FB">
      <w:r>
        <w:continuationSeparator/>
      </w:r>
    </w:p>
  </w:footnote>
  <w:footnote w:id="1">
    <w:p w14:paraId="10BB3F35" w14:textId="503A13D0" w:rsidR="001771A4" w:rsidRPr="003737CB" w:rsidRDefault="001771A4" w:rsidP="00F61105">
      <w:pPr>
        <w:pStyle w:val="FootnoteText"/>
        <w:spacing w:after="120"/>
        <w:rPr>
          <w:rFonts w:ascii="Book Antiqua" w:hAnsi="Book Antiqua"/>
          <w:sz w:val="22"/>
          <w:szCs w:val="22"/>
        </w:rPr>
      </w:pPr>
      <w:r w:rsidRPr="003737CB">
        <w:rPr>
          <w:rStyle w:val="FootnoteReference"/>
          <w:rFonts w:ascii="Book Antiqua" w:hAnsi="Book Antiqua"/>
          <w:sz w:val="22"/>
          <w:szCs w:val="22"/>
        </w:rPr>
        <w:footnoteRef/>
      </w:r>
      <w:r w:rsidRPr="003737CB">
        <w:rPr>
          <w:rFonts w:ascii="Book Antiqua" w:hAnsi="Book Antiqua"/>
          <w:sz w:val="22"/>
          <w:szCs w:val="22"/>
        </w:rPr>
        <w:t xml:space="preserve">  </w:t>
      </w:r>
      <w:r w:rsidRPr="003737CB">
        <w:rPr>
          <w:rFonts w:ascii="Book Antiqua" w:hAnsi="Book Antiqua"/>
          <w:i/>
          <w:iCs/>
          <w:sz w:val="22"/>
          <w:szCs w:val="22"/>
        </w:rPr>
        <w:t xml:space="preserve">See </w:t>
      </w:r>
      <w:r w:rsidRPr="003737CB">
        <w:rPr>
          <w:rFonts w:ascii="Book Antiqua" w:hAnsi="Book Antiqua"/>
          <w:sz w:val="22"/>
          <w:szCs w:val="22"/>
        </w:rPr>
        <w:t>Resolution ALJ-184.</w:t>
      </w:r>
    </w:p>
  </w:footnote>
  <w:footnote w:id="2">
    <w:p w14:paraId="531A2E79" w14:textId="5B1FD7D2" w:rsidR="00827E9F" w:rsidRPr="007A49B3" w:rsidRDefault="00827E9F" w:rsidP="00C33619">
      <w:pPr>
        <w:pStyle w:val="FootnoteText"/>
        <w:spacing w:after="120"/>
        <w:rPr>
          <w:rFonts w:ascii="Book Antiqua" w:hAnsi="Book Antiqua"/>
          <w:sz w:val="22"/>
          <w:szCs w:val="22"/>
        </w:rPr>
      </w:pPr>
      <w:r w:rsidRPr="007A49B3">
        <w:rPr>
          <w:rStyle w:val="FootnoteReference"/>
          <w:rFonts w:ascii="Book Antiqua" w:hAnsi="Book Antiqua"/>
          <w:sz w:val="22"/>
          <w:szCs w:val="22"/>
        </w:rPr>
        <w:footnoteRef/>
      </w:r>
      <w:r w:rsidRPr="007A49B3">
        <w:rPr>
          <w:rFonts w:ascii="Book Antiqua" w:hAnsi="Book Antiqua"/>
          <w:sz w:val="22"/>
          <w:szCs w:val="22"/>
        </w:rPr>
        <w:t xml:space="preserve"> D.05-11-031 at 4-5.</w:t>
      </w:r>
    </w:p>
  </w:footnote>
  <w:footnote w:id="3">
    <w:p w14:paraId="5EE6FF71" w14:textId="05211140" w:rsidR="00997E02" w:rsidRPr="007A49B3" w:rsidRDefault="00997E02" w:rsidP="00C33619">
      <w:pPr>
        <w:pStyle w:val="FootnoteText"/>
        <w:spacing w:after="120"/>
        <w:rPr>
          <w:rFonts w:ascii="Book Antiqua" w:hAnsi="Book Antiqua"/>
          <w:sz w:val="22"/>
          <w:szCs w:val="22"/>
        </w:rPr>
      </w:pPr>
      <w:r w:rsidRPr="007A49B3">
        <w:rPr>
          <w:rStyle w:val="FootnoteReference"/>
          <w:rFonts w:ascii="Book Antiqua" w:hAnsi="Book Antiqua"/>
          <w:sz w:val="22"/>
          <w:szCs w:val="22"/>
        </w:rPr>
        <w:footnoteRef/>
      </w:r>
      <w:r w:rsidRPr="007A49B3">
        <w:rPr>
          <w:rFonts w:ascii="Book Antiqua" w:hAnsi="Book Antiqua"/>
          <w:sz w:val="22"/>
          <w:szCs w:val="22"/>
        </w:rPr>
        <w:t xml:space="preserve"> D.08-04-010 at 16-17.</w:t>
      </w:r>
    </w:p>
  </w:footnote>
  <w:footnote w:id="4">
    <w:p w14:paraId="4CBE838F" w14:textId="16F0AFBC" w:rsidR="00997E02" w:rsidRPr="007A49B3" w:rsidRDefault="00997E02" w:rsidP="00A24259">
      <w:pPr>
        <w:pStyle w:val="FootnoteText"/>
        <w:rPr>
          <w:rFonts w:ascii="Book Antiqua" w:hAnsi="Book Antiqua"/>
          <w:sz w:val="22"/>
          <w:szCs w:val="22"/>
        </w:rPr>
      </w:pPr>
      <w:r w:rsidRPr="007A49B3">
        <w:rPr>
          <w:rStyle w:val="FootnoteReference"/>
          <w:rFonts w:ascii="Book Antiqua" w:hAnsi="Book Antiqua"/>
          <w:sz w:val="22"/>
          <w:szCs w:val="22"/>
        </w:rPr>
        <w:footnoteRef/>
      </w:r>
      <w:r w:rsidRPr="007A49B3">
        <w:rPr>
          <w:rFonts w:ascii="Book Antiqua" w:hAnsi="Book Antiqua"/>
          <w:sz w:val="22"/>
          <w:szCs w:val="22"/>
        </w:rPr>
        <w:t xml:space="preserve"> D.08-04-010 at 19.</w:t>
      </w:r>
    </w:p>
  </w:footnote>
  <w:footnote w:id="5">
    <w:p w14:paraId="3626D5AB" w14:textId="7162EAB5" w:rsidR="00110449" w:rsidRPr="009C2D0C" w:rsidRDefault="00110449" w:rsidP="00111F55">
      <w:pPr>
        <w:pStyle w:val="FootnoteText"/>
        <w:spacing w:after="120"/>
        <w:rPr>
          <w:sz w:val="22"/>
          <w:szCs w:val="22"/>
        </w:rPr>
      </w:pPr>
      <w:r w:rsidRPr="007A49B3">
        <w:rPr>
          <w:rStyle w:val="FootnoteReference"/>
          <w:rFonts w:ascii="Book Antiqua" w:hAnsi="Book Antiqua"/>
          <w:sz w:val="22"/>
          <w:szCs w:val="22"/>
        </w:rPr>
        <w:footnoteRef/>
      </w:r>
      <w:r w:rsidRPr="007A49B3">
        <w:rPr>
          <w:rFonts w:ascii="Book Antiqua" w:hAnsi="Book Antiqua"/>
          <w:sz w:val="22"/>
          <w:szCs w:val="22"/>
        </w:rPr>
        <w:t xml:space="preserve"> The Commission declined to approve a COLA for the years 2009, 2010, 2011</w:t>
      </w:r>
      <w:r w:rsidR="001275B3" w:rsidRPr="007A49B3">
        <w:rPr>
          <w:rFonts w:ascii="Book Antiqua" w:hAnsi="Book Antiqua"/>
          <w:sz w:val="22"/>
          <w:szCs w:val="22"/>
        </w:rPr>
        <w:t xml:space="preserve">, </w:t>
      </w:r>
      <w:r w:rsidRPr="007A49B3">
        <w:rPr>
          <w:rFonts w:ascii="Book Antiqua" w:hAnsi="Book Antiqua"/>
          <w:sz w:val="22"/>
          <w:szCs w:val="22"/>
        </w:rPr>
        <w:t>and 2015</w:t>
      </w:r>
      <w:r w:rsidR="001275B3" w:rsidRPr="007A49B3">
        <w:rPr>
          <w:rFonts w:ascii="Book Antiqua" w:hAnsi="Book Antiqua"/>
          <w:sz w:val="22"/>
          <w:szCs w:val="22"/>
        </w:rPr>
        <w:t xml:space="preserve"> due to prevailing national and statewide economic factors</w:t>
      </w:r>
      <w:r w:rsidRPr="007A49B3">
        <w:rPr>
          <w:rFonts w:ascii="Book Antiqua" w:hAnsi="Book Antiqua"/>
          <w:sz w:val="22"/>
          <w:szCs w:val="22"/>
        </w:rPr>
        <w:t xml:space="preserve">.  </w:t>
      </w:r>
      <w:r w:rsidRPr="007A49B3">
        <w:rPr>
          <w:rFonts w:ascii="Book Antiqua" w:hAnsi="Book Antiqua"/>
          <w:i/>
          <w:iCs/>
          <w:sz w:val="22"/>
          <w:szCs w:val="22"/>
        </w:rPr>
        <w:t>See</w:t>
      </w:r>
      <w:r w:rsidRPr="007A49B3">
        <w:rPr>
          <w:rFonts w:ascii="Book Antiqua" w:hAnsi="Book Antiqua"/>
          <w:sz w:val="22"/>
          <w:szCs w:val="22"/>
        </w:rPr>
        <w:t xml:space="preserve"> Res. ALJ-235, Res. ALJ-247, Res. ALJ-267</w:t>
      </w:r>
      <w:r w:rsidR="003605FC" w:rsidRPr="007A49B3">
        <w:rPr>
          <w:rFonts w:ascii="Book Antiqua" w:hAnsi="Book Antiqua"/>
          <w:sz w:val="22"/>
          <w:szCs w:val="22"/>
        </w:rPr>
        <w:t>, and Res. ALJ-308</w:t>
      </w:r>
      <w:r w:rsidRPr="007A49B3">
        <w:rPr>
          <w:rFonts w:ascii="Book Antiqua" w:hAnsi="Book Antiqua"/>
          <w:sz w:val="22"/>
          <w:szCs w:val="22"/>
        </w:rPr>
        <w:t>.  COLAs were approved for 2012 (</w:t>
      </w:r>
      <w:r w:rsidRPr="007A49B3">
        <w:rPr>
          <w:rFonts w:ascii="Book Antiqua" w:hAnsi="Book Antiqua"/>
          <w:i/>
          <w:iCs/>
          <w:sz w:val="22"/>
          <w:szCs w:val="22"/>
        </w:rPr>
        <w:t>See</w:t>
      </w:r>
      <w:r w:rsidRPr="007A49B3">
        <w:rPr>
          <w:rFonts w:ascii="Book Antiqua" w:hAnsi="Book Antiqua"/>
          <w:sz w:val="22"/>
          <w:szCs w:val="22"/>
        </w:rPr>
        <w:t xml:space="preserve"> Res. ALJ-281)</w:t>
      </w:r>
      <w:r w:rsidR="003605FC" w:rsidRPr="007A49B3">
        <w:rPr>
          <w:rFonts w:ascii="Book Antiqua" w:hAnsi="Book Antiqua"/>
          <w:sz w:val="22"/>
          <w:szCs w:val="22"/>
        </w:rPr>
        <w:t>,</w:t>
      </w:r>
      <w:r w:rsidRPr="007A49B3">
        <w:rPr>
          <w:rFonts w:ascii="Book Antiqua" w:hAnsi="Book Antiqua"/>
          <w:sz w:val="22"/>
          <w:szCs w:val="22"/>
        </w:rPr>
        <w:t xml:space="preserve"> 2013 (</w:t>
      </w:r>
      <w:r w:rsidRPr="007A49B3">
        <w:rPr>
          <w:rFonts w:ascii="Book Antiqua" w:hAnsi="Book Antiqua"/>
          <w:i/>
          <w:iCs/>
          <w:sz w:val="22"/>
          <w:szCs w:val="22"/>
        </w:rPr>
        <w:t xml:space="preserve">See </w:t>
      </w:r>
      <w:r w:rsidRPr="007A49B3">
        <w:rPr>
          <w:rFonts w:ascii="Book Antiqua" w:hAnsi="Book Antiqua"/>
          <w:sz w:val="22"/>
          <w:szCs w:val="22"/>
        </w:rPr>
        <w:t>Res. ALJ-287)</w:t>
      </w:r>
      <w:r w:rsidR="003605FC" w:rsidRPr="007A49B3">
        <w:rPr>
          <w:rFonts w:ascii="Book Antiqua" w:hAnsi="Book Antiqua"/>
          <w:sz w:val="22"/>
          <w:szCs w:val="22"/>
        </w:rPr>
        <w:t>, and 2014 (</w:t>
      </w:r>
      <w:r w:rsidR="003605FC" w:rsidRPr="007A49B3">
        <w:rPr>
          <w:rFonts w:ascii="Book Antiqua" w:hAnsi="Book Antiqua"/>
          <w:i/>
          <w:iCs/>
          <w:sz w:val="22"/>
          <w:szCs w:val="22"/>
        </w:rPr>
        <w:t>See</w:t>
      </w:r>
      <w:r w:rsidR="003605FC" w:rsidRPr="007A49B3">
        <w:rPr>
          <w:rFonts w:ascii="Book Antiqua" w:hAnsi="Book Antiqua"/>
          <w:sz w:val="22"/>
          <w:szCs w:val="22"/>
        </w:rPr>
        <w:t xml:space="preserve"> Res. ALJ-303)</w:t>
      </w:r>
      <w:r w:rsidRPr="007A49B3">
        <w:rPr>
          <w:rFonts w:ascii="Book Antiqua" w:hAnsi="Book Antiqua"/>
          <w:sz w:val="22"/>
          <w:szCs w:val="22"/>
        </w:rPr>
        <w:t>.</w:t>
      </w:r>
    </w:p>
  </w:footnote>
  <w:footnote w:id="6">
    <w:p w14:paraId="387DEDFA" w14:textId="77777777" w:rsidR="003E1074" w:rsidRPr="003737CB" w:rsidRDefault="003E1074" w:rsidP="003737CB">
      <w:pPr>
        <w:pStyle w:val="FootnoteText"/>
        <w:spacing w:after="120"/>
        <w:rPr>
          <w:rFonts w:ascii="Book Antiqua" w:hAnsi="Book Antiqua"/>
          <w:sz w:val="22"/>
          <w:szCs w:val="22"/>
        </w:rPr>
      </w:pPr>
      <w:r w:rsidRPr="003737CB">
        <w:rPr>
          <w:rFonts w:ascii="Book Antiqua" w:hAnsi="Book Antiqua"/>
          <w:sz w:val="22"/>
          <w:szCs w:val="22"/>
          <w:vertAlign w:val="superscript"/>
        </w:rPr>
        <w:footnoteRef/>
      </w:r>
      <w:r w:rsidRPr="003737CB">
        <w:rPr>
          <w:rFonts w:ascii="Book Antiqua" w:hAnsi="Book Antiqua"/>
          <w:sz w:val="22"/>
          <w:szCs w:val="22"/>
          <w:vertAlign w:val="superscript"/>
        </w:rPr>
        <w:t xml:space="preserve"> </w:t>
      </w:r>
      <w:r w:rsidRPr="003737CB">
        <w:rPr>
          <w:rFonts w:ascii="Book Antiqua" w:hAnsi="Book Antiqua"/>
          <w:sz w:val="22"/>
          <w:szCs w:val="22"/>
        </w:rPr>
        <w:t xml:space="preserve"> The audit report is available at: </w:t>
      </w:r>
      <w:hyperlink r:id="rId1" w:history="1">
        <w:r w:rsidRPr="003737CB">
          <w:rPr>
            <w:rStyle w:val="Hyperlink"/>
            <w:rFonts w:ascii="Book Antiqua" w:hAnsi="Book Antiqua" w:cs="Palatino Linotype"/>
            <w:sz w:val="22"/>
            <w:szCs w:val="22"/>
          </w:rPr>
          <w:t>http://www.bsa.ca.gov/reports/summary/2012-118</w:t>
        </w:r>
      </w:hyperlink>
      <w:r w:rsidRPr="003737CB">
        <w:rPr>
          <w:rFonts w:ascii="Book Antiqua" w:hAnsi="Book Antiqua"/>
          <w:sz w:val="22"/>
          <w:szCs w:val="22"/>
        </w:rPr>
        <w:t>.</w:t>
      </w:r>
    </w:p>
  </w:footnote>
  <w:footnote w:id="7">
    <w:p w14:paraId="103807BE" w14:textId="015A6936" w:rsidR="009B14C2" w:rsidRDefault="009B14C2" w:rsidP="003737CB">
      <w:pPr>
        <w:pStyle w:val="FootnoteText"/>
        <w:spacing w:after="120"/>
      </w:pPr>
      <w:r w:rsidRPr="003737CB">
        <w:rPr>
          <w:rStyle w:val="FootnoteReference"/>
          <w:rFonts w:ascii="Book Antiqua" w:hAnsi="Book Antiqua"/>
          <w:sz w:val="22"/>
          <w:szCs w:val="22"/>
        </w:rPr>
        <w:footnoteRef/>
      </w:r>
      <w:r w:rsidRPr="003737CB">
        <w:rPr>
          <w:rFonts w:ascii="Book Antiqua" w:hAnsi="Book Antiqua"/>
          <w:sz w:val="22"/>
          <w:szCs w:val="22"/>
        </w:rPr>
        <w:t xml:space="preserve"> </w:t>
      </w:r>
      <w:r w:rsidR="00650D86" w:rsidRPr="003737CB">
        <w:rPr>
          <w:rFonts w:ascii="Book Antiqua" w:hAnsi="Book Antiqua"/>
          <w:sz w:val="22"/>
          <w:szCs w:val="22"/>
        </w:rPr>
        <w:t xml:space="preserve">The ICOMP Market Rate Study Final Report is available at: </w:t>
      </w:r>
      <w:hyperlink r:id="rId2" w:history="1">
        <w:r w:rsidR="00650D86" w:rsidRPr="003737CB">
          <w:rPr>
            <w:rStyle w:val="Hyperlink"/>
            <w:rFonts w:ascii="Book Antiqua" w:hAnsi="Book Antiqua"/>
            <w:sz w:val="22"/>
            <w:szCs w:val="22"/>
          </w:rPr>
          <w:t>www.cpuc.ca.gov/icomp</w:t>
        </w:r>
      </w:hyperlink>
    </w:p>
  </w:footnote>
  <w:footnote w:id="8">
    <w:p w14:paraId="219705AC" w14:textId="0A81A8EA" w:rsidR="000340D0" w:rsidRPr="007A49B3" w:rsidRDefault="000340D0" w:rsidP="00F61105">
      <w:pPr>
        <w:pStyle w:val="FootnoteText"/>
        <w:spacing w:after="120"/>
        <w:rPr>
          <w:rFonts w:ascii="Book Antiqua" w:hAnsi="Book Antiqua"/>
          <w:sz w:val="22"/>
          <w:szCs w:val="22"/>
        </w:rPr>
      </w:pPr>
      <w:r w:rsidRPr="007A49B3">
        <w:rPr>
          <w:rStyle w:val="FootnoteReference"/>
          <w:rFonts w:ascii="Book Antiqua" w:hAnsi="Book Antiqua"/>
          <w:sz w:val="22"/>
          <w:szCs w:val="22"/>
        </w:rPr>
        <w:footnoteRef/>
      </w:r>
      <w:r w:rsidRPr="007A49B3">
        <w:rPr>
          <w:rFonts w:ascii="Book Antiqua" w:hAnsi="Book Antiqua"/>
          <w:sz w:val="22"/>
          <w:szCs w:val="22"/>
        </w:rPr>
        <w:t xml:space="preserve"> </w:t>
      </w:r>
      <w:hyperlink r:id="rId3" w:history="1">
        <w:r w:rsidR="00CD5DA4" w:rsidRPr="007A49B3">
          <w:rPr>
            <w:rStyle w:val="Hyperlink"/>
            <w:rFonts w:ascii="Book Antiqua" w:hAnsi="Book Antiqua"/>
            <w:sz w:val="22"/>
            <w:szCs w:val="22"/>
          </w:rPr>
          <w:t>https://www.cpuc.ca.gov/icomp/</w:t>
        </w:r>
      </w:hyperlink>
      <w:r w:rsidR="00CD5DA4" w:rsidRPr="007A49B3">
        <w:rPr>
          <w:rStyle w:val="FooterChar"/>
          <w:rFonts w:ascii="Book Antiqua" w:hAnsi="Book Antiqua"/>
          <w:sz w:val="22"/>
          <w:szCs w:val="22"/>
        </w:rPr>
        <w:t xml:space="preserve"> </w:t>
      </w:r>
    </w:p>
  </w:footnote>
  <w:footnote w:id="9">
    <w:p w14:paraId="4EF00D3A" w14:textId="444E5B0D" w:rsidR="00A341B9" w:rsidRPr="00FB702D" w:rsidRDefault="00A341B9" w:rsidP="00A341B9">
      <w:pPr>
        <w:pStyle w:val="FootnoteText"/>
        <w:rPr>
          <w:rFonts w:ascii="Palatino Linotype" w:hAnsi="Palatino Linotype"/>
          <w:sz w:val="22"/>
          <w:szCs w:val="18"/>
        </w:rPr>
      </w:pPr>
      <w:r w:rsidRPr="007A49B3">
        <w:rPr>
          <w:rStyle w:val="FootnoteReference"/>
          <w:rFonts w:ascii="Book Antiqua" w:hAnsi="Book Antiqua"/>
          <w:sz w:val="22"/>
          <w:szCs w:val="22"/>
        </w:rPr>
        <w:footnoteRef/>
      </w:r>
      <w:r w:rsidRPr="007A49B3">
        <w:rPr>
          <w:rFonts w:ascii="Book Antiqua" w:hAnsi="Book Antiqua"/>
          <w:sz w:val="22"/>
          <w:szCs w:val="22"/>
        </w:rPr>
        <w:t xml:space="preserve"> The “step increases” methodology was adopted in D.07-01-009.</w:t>
      </w:r>
    </w:p>
  </w:footnote>
  <w:footnote w:id="10">
    <w:p w14:paraId="62FC8591" w14:textId="6436E93B" w:rsidR="0080649F" w:rsidRPr="007A49B3" w:rsidRDefault="0080649F">
      <w:pPr>
        <w:pStyle w:val="FootnoteText"/>
        <w:rPr>
          <w:rFonts w:ascii="Book Antiqua" w:hAnsi="Book Antiqua"/>
          <w:sz w:val="22"/>
          <w:szCs w:val="22"/>
        </w:rPr>
      </w:pPr>
      <w:r w:rsidRPr="007A49B3">
        <w:rPr>
          <w:rStyle w:val="FootnoteReference"/>
          <w:rFonts w:ascii="Book Antiqua" w:hAnsi="Book Antiqua"/>
          <w:sz w:val="22"/>
          <w:szCs w:val="22"/>
        </w:rPr>
        <w:footnoteRef/>
      </w:r>
      <w:r w:rsidRPr="007A49B3">
        <w:rPr>
          <w:rFonts w:ascii="Book Antiqua" w:hAnsi="Book Antiqua"/>
          <w:sz w:val="22"/>
          <w:szCs w:val="22"/>
        </w:rPr>
        <w:t xml:space="preserve"> The Commission’s ICOMP website includes links to the annual hourly rate update resolutions: </w:t>
      </w:r>
      <w:hyperlink r:id="rId4" w:history="1">
        <w:r w:rsidR="001A4158" w:rsidRPr="007A49B3">
          <w:rPr>
            <w:rStyle w:val="Hyperlink"/>
            <w:rFonts w:ascii="Book Antiqua" w:hAnsi="Book Antiqua"/>
            <w:sz w:val="22"/>
            <w:szCs w:val="22"/>
          </w:rPr>
          <w:t>https://www.cpuc.ca.gov/icomp/</w:t>
        </w:r>
      </w:hyperlink>
      <w:r w:rsidRPr="007A49B3">
        <w:rPr>
          <w:rFonts w:ascii="Book Antiqua" w:hAnsi="Book Antiqua"/>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4377" w14:textId="77777777" w:rsidR="00EB16C4" w:rsidRPr="00E46B82" w:rsidRDefault="00EB16C4" w:rsidP="00EB16C4">
    <w:pPr>
      <w:pStyle w:val="Header"/>
      <w:tabs>
        <w:tab w:val="clear" w:pos="4320"/>
        <w:tab w:val="clear" w:pos="8640"/>
        <w:tab w:val="center" w:pos="4680"/>
        <w:tab w:val="right" w:pos="9270"/>
      </w:tabs>
      <w:rPr>
        <w:rFonts w:ascii="Book Antiqua" w:hAnsi="Book Antiqua"/>
        <w:szCs w:val="24"/>
      </w:rPr>
    </w:pPr>
    <w:r w:rsidRPr="00E46B82">
      <w:rPr>
        <w:rFonts w:ascii="Book Antiqua" w:hAnsi="Book Antiqua"/>
        <w:szCs w:val="24"/>
      </w:rPr>
      <w:t>ALJ/</w:t>
    </w:r>
    <w:r>
      <w:rPr>
        <w:rFonts w:ascii="Book Antiqua" w:hAnsi="Book Antiqua"/>
        <w:szCs w:val="24"/>
      </w:rPr>
      <w:t>MLC</w:t>
    </w:r>
    <w:r w:rsidRPr="00E46B82">
      <w:rPr>
        <w:rFonts w:ascii="Book Antiqua" w:hAnsi="Book Antiqua"/>
        <w:szCs w:val="24"/>
      </w:rPr>
      <w:t>/sgu</w:t>
    </w:r>
    <w:r w:rsidRPr="00E46B82">
      <w:rPr>
        <w:rFonts w:ascii="Book Antiqua" w:hAnsi="Book Antiqua"/>
        <w:szCs w:val="24"/>
      </w:rPr>
      <w:tab/>
      <w:t>DRAFT</w:t>
    </w:r>
    <w:r w:rsidRPr="00E46B82">
      <w:rPr>
        <w:rFonts w:ascii="Book Antiqua" w:hAnsi="Book Antiqua"/>
        <w:szCs w:val="24"/>
      </w:rPr>
      <w:tab/>
      <w:t>Agenda ID #_______</w:t>
    </w:r>
  </w:p>
  <w:p w14:paraId="0FC5AFD9" w14:textId="77777777" w:rsidR="00EB16C4" w:rsidRDefault="00EB1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62D3" w14:textId="77777777" w:rsidR="00EB16C4" w:rsidRDefault="00EB16C4" w:rsidP="00EB16C4">
    <w:pPr>
      <w:pStyle w:val="Header"/>
      <w:tabs>
        <w:tab w:val="clear" w:pos="8640"/>
        <w:tab w:val="right" w:pos="9270"/>
      </w:tabs>
    </w:pPr>
    <w:r>
      <w:t>Resolution ALJ-393  ALJ/MLC/sgu</w:t>
    </w:r>
    <w:r>
      <w:tab/>
    </w:r>
    <w:r>
      <w:tab/>
    </w:r>
    <w:r w:rsidRPr="00B81D93">
      <w:rPr>
        <w:b/>
      </w:rPr>
      <w:t>DRAFT</w:t>
    </w:r>
  </w:p>
  <w:p w14:paraId="23B6D7E2" w14:textId="77777777" w:rsidR="00EB16C4" w:rsidRDefault="00EB1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BE51" w14:textId="1E0845B4" w:rsidR="00EB16C4" w:rsidRPr="00E46B82" w:rsidRDefault="00EB16C4" w:rsidP="00EB16C4">
    <w:pPr>
      <w:pStyle w:val="Header"/>
      <w:tabs>
        <w:tab w:val="clear" w:pos="4320"/>
        <w:tab w:val="clear" w:pos="8640"/>
        <w:tab w:val="center" w:pos="4680"/>
        <w:tab w:val="right" w:pos="9270"/>
      </w:tabs>
      <w:rPr>
        <w:rFonts w:ascii="Book Antiqua" w:hAnsi="Book Antiqua"/>
        <w:szCs w:val="24"/>
      </w:rPr>
    </w:pPr>
    <w:r w:rsidRPr="00E46B82">
      <w:rPr>
        <w:rFonts w:ascii="Book Antiqua" w:hAnsi="Book Antiqua"/>
        <w:szCs w:val="24"/>
      </w:rPr>
      <w:t>ALJ/</w:t>
    </w:r>
    <w:r>
      <w:rPr>
        <w:rFonts w:ascii="Book Antiqua" w:hAnsi="Book Antiqua"/>
        <w:szCs w:val="24"/>
      </w:rPr>
      <w:t>MLC</w:t>
    </w:r>
    <w:r w:rsidRPr="00E46B82">
      <w:rPr>
        <w:rFonts w:ascii="Book Antiqua" w:hAnsi="Book Antiqua"/>
        <w:szCs w:val="24"/>
      </w:rPr>
      <w:t>/sgu</w:t>
    </w:r>
    <w:r w:rsidRPr="00E46B82">
      <w:rPr>
        <w:rFonts w:ascii="Book Antiqua" w:hAnsi="Book Antiqua"/>
        <w:szCs w:val="24"/>
      </w:rPr>
      <w:tab/>
      <w:t>DRAFT</w:t>
    </w:r>
    <w:r w:rsidRPr="00E46B82">
      <w:rPr>
        <w:rFonts w:ascii="Book Antiqua" w:hAnsi="Book Antiqua"/>
        <w:szCs w:val="24"/>
      </w:rPr>
      <w:tab/>
      <w:t>Agenda ID #</w:t>
    </w:r>
    <w:r w:rsidR="00011EE9">
      <w:rPr>
        <w:rFonts w:ascii="Book Antiqua" w:hAnsi="Book Antiqua"/>
        <w:szCs w:val="24"/>
      </w:rPr>
      <w:t>18988</w:t>
    </w:r>
  </w:p>
  <w:p w14:paraId="4CB3E2AC" w14:textId="77777777" w:rsidR="00EB16C4" w:rsidRDefault="00EB1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8EA"/>
    <w:multiLevelType w:val="hybridMultilevel"/>
    <w:tmpl w:val="AC5E3AC6"/>
    <w:lvl w:ilvl="0" w:tplc="F6FA7C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A7CC2"/>
    <w:multiLevelType w:val="hybridMultilevel"/>
    <w:tmpl w:val="DF288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33456"/>
    <w:multiLevelType w:val="hybridMultilevel"/>
    <w:tmpl w:val="A4CE02F4"/>
    <w:lvl w:ilvl="0" w:tplc="62FE1C0E">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5DC3"/>
    <w:multiLevelType w:val="hybridMultilevel"/>
    <w:tmpl w:val="84C87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1050C"/>
    <w:multiLevelType w:val="hybridMultilevel"/>
    <w:tmpl w:val="C0E0CA82"/>
    <w:lvl w:ilvl="0" w:tplc="23CA6298">
      <w:numFmt w:val="bullet"/>
      <w:lvlText w:val="-"/>
      <w:lvlJc w:val="left"/>
      <w:pPr>
        <w:ind w:left="1500" w:hanging="360"/>
      </w:pPr>
      <w:rPr>
        <w:rFonts w:ascii="Palatino" w:eastAsia="Times New Roman" w:hAnsi="Palatino"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85153"/>
    <w:multiLevelType w:val="hybridMultilevel"/>
    <w:tmpl w:val="162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30D12"/>
    <w:multiLevelType w:val="hybridMultilevel"/>
    <w:tmpl w:val="7428A2C0"/>
    <w:lvl w:ilvl="0" w:tplc="FB5ED476">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A47C06"/>
    <w:multiLevelType w:val="hybridMultilevel"/>
    <w:tmpl w:val="90B2A3C8"/>
    <w:lvl w:ilvl="0" w:tplc="C7C8BA10">
      <w:start w:val="1"/>
      <w:numFmt w:val="bullet"/>
      <w:lvlText w:val="-"/>
      <w:lvlJc w:val="left"/>
      <w:pPr>
        <w:ind w:left="1140" w:hanging="360"/>
      </w:pPr>
      <w:rPr>
        <w:rFonts w:ascii="Palatino" w:eastAsia="Times New Roman" w:hAnsi="Palatino"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5D5D76D7"/>
    <w:multiLevelType w:val="hybridMultilevel"/>
    <w:tmpl w:val="E62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E54A5"/>
    <w:multiLevelType w:val="hybridMultilevel"/>
    <w:tmpl w:val="1FF42BD8"/>
    <w:lvl w:ilvl="0" w:tplc="87B243C4">
      <w:start w:val="1"/>
      <w:numFmt w:val="bullet"/>
      <w:lvlText w:val="-"/>
      <w:lvlJc w:val="left"/>
      <w:pPr>
        <w:ind w:left="420" w:hanging="360"/>
      </w:pPr>
      <w:rPr>
        <w:rFonts w:ascii="Palatino" w:eastAsia="Times New Roman" w:hAnsi="Palatino"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9576F06"/>
    <w:multiLevelType w:val="hybridMultilevel"/>
    <w:tmpl w:val="04CEBBB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1559B"/>
    <w:multiLevelType w:val="hybridMultilevel"/>
    <w:tmpl w:val="B4DE345A"/>
    <w:lvl w:ilvl="0" w:tplc="FDC882C8">
      <w:start w:val="1"/>
      <w:numFmt w:val="bullet"/>
      <w:lvlText w:val="-"/>
      <w:lvlJc w:val="left"/>
      <w:pPr>
        <w:ind w:left="420" w:hanging="360"/>
      </w:pPr>
      <w:rPr>
        <w:rFonts w:ascii="Palatino" w:eastAsia="Times New Roman" w:hAnsi="Palatino"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0AE2341"/>
    <w:multiLevelType w:val="hybridMultilevel"/>
    <w:tmpl w:val="ADA87A9C"/>
    <w:lvl w:ilvl="0" w:tplc="A37A0942">
      <w:start w:val="1"/>
      <w:numFmt w:val="bullet"/>
      <w:lvlText w:val="-"/>
      <w:lvlJc w:val="left"/>
      <w:pPr>
        <w:ind w:left="780" w:hanging="360"/>
      </w:pPr>
      <w:rPr>
        <w:rFonts w:ascii="Palatino" w:eastAsia="Times New Roman" w:hAnsi="Palatin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C686B40"/>
    <w:multiLevelType w:val="hybridMultilevel"/>
    <w:tmpl w:val="7C20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0"/>
  </w:num>
  <w:num w:numId="5">
    <w:abstractNumId w:val="6"/>
  </w:num>
  <w:num w:numId="6">
    <w:abstractNumId w:val="11"/>
  </w:num>
  <w:num w:numId="7">
    <w:abstractNumId w:val="2"/>
  </w:num>
  <w:num w:numId="8">
    <w:abstractNumId w:val="7"/>
  </w:num>
  <w:num w:numId="9">
    <w:abstractNumId w:val="4"/>
  </w:num>
  <w:num w:numId="10">
    <w:abstractNumId w:val="10"/>
  </w:num>
  <w:num w:numId="11">
    <w:abstractNumId w:val="13"/>
  </w:num>
  <w:num w:numId="12">
    <w:abstractNumId w:val="8"/>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A"/>
    <w:rsid w:val="00001746"/>
    <w:rsid w:val="00003FAA"/>
    <w:rsid w:val="00005CD5"/>
    <w:rsid w:val="00011EE9"/>
    <w:rsid w:val="00013952"/>
    <w:rsid w:val="00015302"/>
    <w:rsid w:val="0002193D"/>
    <w:rsid w:val="00030DB1"/>
    <w:rsid w:val="00032F3A"/>
    <w:rsid w:val="00033417"/>
    <w:rsid w:val="000340D0"/>
    <w:rsid w:val="0003458C"/>
    <w:rsid w:val="00036887"/>
    <w:rsid w:val="00040927"/>
    <w:rsid w:val="00043BAB"/>
    <w:rsid w:val="00044F27"/>
    <w:rsid w:val="0004540F"/>
    <w:rsid w:val="00050AFE"/>
    <w:rsid w:val="00055271"/>
    <w:rsid w:val="00064F5E"/>
    <w:rsid w:val="000667D1"/>
    <w:rsid w:val="00066ABC"/>
    <w:rsid w:val="0007084B"/>
    <w:rsid w:val="00070ECD"/>
    <w:rsid w:val="000720A9"/>
    <w:rsid w:val="00076205"/>
    <w:rsid w:val="00076E60"/>
    <w:rsid w:val="00082887"/>
    <w:rsid w:val="00090E7B"/>
    <w:rsid w:val="000A258B"/>
    <w:rsid w:val="000A2DE1"/>
    <w:rsid w:val="000A523A"/>
    <w:rsid w:val="000A5F02"/>
    <w:rsid w:val="000B3BB2"/>
    <w:rsid w:val="000B505F"/>
    <w:rsid w:val="000B608B"/>
    <w:rsid w:val="000C2D18"/>
    <w:rsid w:val="000C7C40"/>
    <w:rsid w:val="000C7E85"/>
    <w:rsid w:val="000D1820"/>
    <w:rsid w:val="000D2AFE"/>
    <w:rsid w:val="000E4CCA"/>
    <w:rsid w:val="000E5992"/>
    <w:rsid w:val="000F17EC"/>
    <w:rsid w:val="000F30B6"/>
    <w:rsid w:val="000F366D"/>
    <w:rsid w:val="000F43C4"/>
    <w:rsid w:val="000F7FF3"/>
    <w:rsid w:val="00100537"/>
    <w:rsid w:val="00105353"/>
    <w:rsid w:val="00110449"/>
    <w:rsid w:val="00111A97"/>
    <w:rsid w:val="00111F55"/>
    <w:rsid w:val="00115074"/>
    <w:rsid w:val="00123198"/>
    <w:rsid w:val="001275B3"/>
    <w:rsid w:val="00130681"/>
    <w:rsid w:val="00134B6B"/>
    <w:rsid w:val="00142204"/>
    <w:rsid w:val="00145D64"/>
    <w:rsid w:val="00150234"/>
    <w:rsid w:val="00152576"/>
    <w:rsid w:val="001529F6"/>
    <w:rsid w:val="00156253"/>
    <w:rsid w:val="00157779"/>
    <w:rsid w:val="0016493C"/>
    <w:rsid w:val="00164A87"/>
    <w:rsid w:val="001652CD"/>
    <w:rsid w:val="001674F6"/>
    <w:rsid w:val="00167A09"/>
    <w:rsid w:val="00167B74"/>
    <w:rsid w:val="0017094C"/>
    <w:rsid w:val="00171214"/>
    <w:rsid w:val="00176F6F"/>
    <w:rsid w:val="001771A4"/>
    <w:rsid w:val="00180674"/>
    <w:rsid w:val="00197802"/>
    <w:rsid w:val="001A3006"/>
    <w:rsid w:val="001A4158"/>
    <w:rsid w:val="001A50C9"/>
    <w:rsid w:val="001A6877"/>
    <w:rsid w:val="001A68A1"/>
    <w:rsid w:val="001A782E"/>
    <w:rsid w:val="001B0C5D"/>
    <w:rsid w:val="001B451F"/>
    <w:rsid w:val="001C1CB2"/>
    <w:rsid w:val="001C4B2D"/>
    <w:rsid w:val="001C5224"/>
    <w:rsid w:val="001C5B2C"/>
    <w:rsid w:val="001D4E3E"/>
    <w:rsid w:val="001D63E4"/>
    <w:rsid w:val="001E4BCB"/>
    <w:rsid w:val="001F7C9D"/>
    <w:rsid w:val="00201059"/>
    <w:rsid w:val="0020288C"/>
    <w:rsid w:val="002041AF"/>
    <w:rsid w:val="00210C47"/>
    <w:rsid w:val="0022518B"/>
    <w:rsid w:val="002262B3"/>
    <w:rsid w:val="00233226"/>
    <w:rsid w:val="00251034"/>
    <w:rsid w:val="002513A8"/>
    <w:rsid w:val="00256D92"/>
    <w:rsid w:val="00257A64"/>
    <w:rsid w:val="00260FB1"/>
    <w:rsid w:val="002619D8"/>
    <w:rsid w:val="00264B3C"/>
    <w:rsid w:val="00265D2C"/>
    <w:rsid w:val="00271D97"/>
    <w:rsid w:val="00271E4C"/>
    <w:rsid w:val="00274686"/>
    <w:rsid w:val="00275C0C"/>
    <w:rsid w:val="00276054"/>
    <w:rsid w:val="00280B2A"/>
    <w:rsid w:val="002819F8"/>
    <w:rsid w:val="0028324D"/>
    <w:rsid w:val="0029226A"/>
    <w:rsid w:val="00294C2A"/>
    <w:rsid w:val="00297C22"/>
    <w:rsid w:val="002A0BFB"/>
    <w:rsid w:val="002A4DFA"/>
    <w:rsid w:val="002A5229"/>
    <w:rsid w:val="002B3CED"/>
    <w:rsid w:val="002B5529"/>
    <w:rsid w:val="002B5AB4"/>
    <w:rsid w:val="002C3E92"/>
    <w:rsid w:val="002C78AD"/>
    <w:rsid w:val="002D4BD9"/>
    <w:rsid w:val="002D4DA2"/>
    <w:rsid w:val="002D5D26"/>
    <w:rsid w:val="002D62F2"/>
    <w:rsid w:val="002D7DCD"/>
    <w:rsid w:val="002E03F6"/>
    <w:rsid w:val="002E2AB6"/>
    <w:rsid w:val="002E5634"/>
    <w:rsid w:val="002E73F8"/>
    <w:rsid w:val="002F0328"/>
    <w:rsid w:val="002F5560"/>
    <w:rsid w:val="00302A9B"/>
    <w:rsid w:val="003033C8"/>
    <w:rsid w:val="003115A3"/>
    <w:rsid w:val="00313731"/>
    <w:rsid w:val="00313A8E"/>
    <w:rsid w:val="00316804"/>
    <w:rsid w:val="00316922"/>
    <w:rsid w:val="003172D5"/>
    <w:rsid w:val="00330378"/>
    <w:rsid w:val="0033067B"/>
    <w:rsid w:val="00334704"/>
    <w:rsid w:val="00341E14"/>
    <w:rsid w:val="00342696"/>
    <w:rsid w:val="003432A1"/>
    <w:rsid w:val="00343750"/>
    <w:rsid w:val="00352148"/>
    <w:rsid w:val="003605FC"/>
    <w:rsid w:val="00360787"/>
    <w:rsid w:val="00364CC6"/>
    <w:rsid w:val="00366663"/>
    <w:rsid w:val="00367F8B"/>
    <w:rsid w:val="003737CB"/>
    <w:rsid w:val="0037439C"/>
    <w:rsid w:val="00375EFF"/>
    <w:rsid w:val="003770D7"/>
    <w:rsid w:val="003857CD"/>
    <w:rsid w:val="00394868"/>
    <w:rsid w:val="003A00BF"/>
    <w:rsid w:val="003A3A17"/>
    <w:rsid w:val="003A618C"/>
    <w:rsid w:val="003B2115"/>
    <w:rsid w:val="003B3753"/>
    <w:rsid w:val="003C1E7D"/>
    <w:rsid w:val="003C52E2"/>
    <w:rsid w:val="003C589F"/>
    <w:rsid w:val="003C6225"/>
    <w:rsid w:val="003C68AD"/>
    <w:rsid w:val="003D0B3F"/>
    <w:rsid w:val="003D2E77"/>
    <w:rsid w:val="003E1074"/>
    <w:rsid w:val="003E1FB1"/>
    <w:rsid w:val="003E3BA4"/>
    <w:rsid w:val="003E444A"/>
    <w:rsid w:val="003E5B02"/>
    <w:rsid w:val="003E7108"/>
    <w:rsid w:val="003F2CFD"/>
    <w:rsid w:val="003F31E6"/>
    <w:rsid w:val="00402286"/>
    <w:rsid w:val="004114F8"/>
    <w:rsid w:val="00431226"/>
    <w:rsid w:val="00433901"/>
    <w:rsid w:val="00440E79"/>
    <w:rsid w:val="00441FF8"/>
    <w:rsid w:val="004420D2"/>
    <w:rsid w:val="00442A1C"/>
    <w:rsid w:val="00446849"/>
    <w:rsid w:val="00452C66"/>
    <w:rsid w:val="00453C9C"/>
    <w:rsid w:val="00454A4B"/>
    <w:rsid w:val="0045699E"/>
    <w:rsid w:val="00456FD9"/>
    <w:rsid w:val="004615E7"/>
    <w:rsid w:val="004719F3"/>
    <w:rsid w:val="004727AC"/>
    <w:rsid w:val="00496360"/>
    <w:rsid w:val="004977FB"/>
    <w:rsid w:val="004A08F9"/>
    <w:rsid w:val="004A240A"/>
    <w:rsid w:val="004A3235"/>
    <w:rsid w:val="004A3C6E"/>
    <w:rsid w:val="004B57AC"/>
    <w:rsid w:val="004C1142"/>
    <w:rsid w:val="004C5B6E"/>
    <w:rsid w:val="004C7184"/>
    <w:rsid w:val="004D0984"/>
    <w:rsid w:val="004D0D79"/>
    <w:rsid w:val="004D1EA2"/>
    <w:rsid w:val="004D49D8"/>
    <w:rsid w:val="004E4601"/>
    <w:rsid w:val="004E5A30"/>
    <w:rsid w:val="004F2C33"/>
    <w:rsid w:val="004F35F7"/>
    <w:rsid w:val="005029B4"/>
    <w:rsid w:val="005053D5"/>
    <w:rsid w:val="00505CDA"/>
    <w:rsid w:val="00512059"/>
    <w:rsid w:val="005156FD"/>
    <w:rsid w:val="00516098"/>
    <w:rsid w:val="00517DA7"/>
    <w:rsid w:val="005235AF"/>
    <w:rsid w:val="00523F01"/>
    <w:rsid w:val="00524077"/>
    <w:rsid w:val="00525ACE"/>
    <w:rsid w:val="0052602E"/>
    <w:rsid w:val="0053148F"/>
    <w:rsid w:val="00531B37"/>
    <w:rsid w:val="00537EE1"/>
    <w:rsid w:val="00544A44"/>
    <w:rsid w:val="00547BD9"/>
    <w:rsid w:val="005526CD"/>
    <w:rsid w:val="00553A75"/>
    <w:rsid w:val="00557AA5"/>
    <w:rsid w:val="00570C9F"/>
    <w:rsid w:val="00571E78"/>
    <w:rsid w:val="00573886"/>
    <w:rsid w:val="00574CA9"/>
    <w:rsid w:val="0058251B"/>
    <w:rsid w:val="005828DD"/>
    <w:rsid w:val="00587E23"/>
    <w:rsid w:val="00590EFD"/>
    <w:rsid w:val="00592B21"/>
    <w:rsid w:val="00596D78"/>
    <w:rsid w:val="005A02FC"/>
    <w:rsid w:val="005B0494"/>
    <w:rsid w:val="005B37B4"/>
    <w:rsid w:val="005C2CF0"/>
    <w:rsid w:val="005C453E"/>
    <w:rsid w:val="005C766C"/>
    <w:rsid w:val="005D085F"/>
    <w:rsid w:val="005D6BAA"/>
    <w:rsid w:val="005E144E"/>
    <w:rsid w:val="005E1517"/>
    <w:rsid w:val="005E626E"/>
    <w:rsid w:val="005F6897"/>
    <w:rsid w:val="005F7959"/>
    <w:rsid w:val="005F7FDD"/>
    <w:rsid w:val="00607401"/>
    <w:rsid w:val="00611A1D"/>
    <w:rsid w:val="006138C7"/>
    <w:rsid w:val="00617925"/>
    <w:rsid w:val="00617FFA"/>
    <w:rsid w:val="0062586F"/>
    <w:rsid w:val="00627EFD"/>
    <w:rsid w:val="00633972"/>
    <w:rsid w:val="006345E6"/>
    <w:rsid w:val="0063601B"/>
    <w:rsid w:val="00650D86"/>
    <w:rsid w:val="006516AA"/>
    <w:rsid w:val="00651A58"/>
    <w:rsid w:val="00652BCD"/>
    <w:rsid w:val="0066010C"/>
    <w:rsid w:val="006629C0"/>
    <w:rsid w:val="00665298"/>
    <w:rsid w:val="006671F0"/>
    <w:rsid w:val="0068466F"/>
    <w:rsid w:val="006849D9"/>
    <w:rsid w:val="00690E7C"/>
    <w:rsid w:val="00691657"/>
    <w:rsid w:val="006949AD"/>
    <w:rsid w:val="00694FE1"/>
    <w:rsid w:val="00695092"/>
    <w:rsid w:val="00696683"/>
    <w:rsid w:val="006A43A4"/>
    <w:rsid w:val="006A79AA"/>
    <w:rsid w:val="006B1703"/>
    <w:rsid w:val="006B2C6C"/>
    <w:rsid w:val="006B66A3"/>
    <w:rsid w:val="006B6815"/>
    <w:rsid w:val="006C0D9B"/>
    <w:rsid w:val="006C1289"/>
    <w:rsid w:val="006C1AE8"/>
    <w:rsid w:val="006C3448"/>
    <w:rsid w:val="006C47C6"/>
    <w:rsid w:val="006C4DE2"/>
    <w:rsid w:val="006D25DA"/>
    <w:rsid w:val="006D53C1"/>
    <w:rsid w:val="006D6A71"/>
    <w:rsid w:val="006E7A16"/>
    <w:rsid w:val="006F3453"/>
    <w:rsid w:val="006F71E5"/>
    <w:rsid w:val="00702AAC"/>
    <w:rsid w:val="00704A32"/>
    <w:rsid w:val="00705288"/>
    <w:rsid w:val="00710565"/>
    <w:rsid w:val="00711F87"/>
    <w:rsid w:val="00712110"/>
    <w:rsid w:val="00714B7E"/>
    <w:rsid w:val="007169B1"/>
    <w:rsid w:val="00722A59"/>
    <w:rsid w:val="0073247B"/>
    <w:rsid w:val="00733EB5"/>
    <w:rsid w:val="00735A4E"/>
    <w:rsid w:val="00737745"/>
    <w:rsid w:val="007377E7"/>
    <w:rsid w:val="00742412"/>
    <w:rsid w:val="0074267B"/>
    <w:rsid w:val="0074398F"/>
    <w:rsid w:val="00746022"/>
    <w:rsid w:val="00747C9D"/>
    <w:rsid w:val="00750744"/>
    <w:rsid w:val="007524C4"/>
    <w:rsid w:val="0075392B"/>
    <w:rsid w:val="00754801"/>
    <w:rsid w:val="00757C6B"/>
    <w:rsid w:val="00774829"/>
    <w:rsid w:val="007748AB"/>
    <w:rsid w:val="00775738"/>
    <w:rsid w:val="007762FE"/>
    <w:rsid w:val="00777570"/>
    <w:rsid w:val="007775EC"/>
    <w:rsid w:val="00781BB0"/>
    <w:rsid w:val="00785ED6"/>
    <w:rsid w:val="00786124"/>
    <w:rsid w:val="0078705B"/>
    <w:rsid w:val="007954DE"/>
    <w:rsid w:val="0079705F"/>
    <w:rsid w:val="007979B7"/>
    <w:rsid w:val="007A1ED9"/>
    <w:rsid w:val="007A21CB"/>
    <w:rsid w:val="007A49B3"/>
    <w:rsid w:val="007A5851"/>
    <w:rsid w:val="007A6C5C"/>
    <w:rsid w:val="007C082A"/>
    <w:rsid w:val="007C1CB5"/>
    <w:rsid w:val="007C7CDB"/>
    <w:rsid w:val="007D110F"/>
    <w:rsid w:val="007D2CC5"/>
    <w:rsid w:val="007D2D05"/>
    <w:rsid w:val="007D4C1F"/>
    <w:rsid w:val="007E0E12"/>
    <w:rsid w:val="007E184F"/>
    <w:rsid w:val="007E24CC"/>
    <w:rsid w:val="007E7EA0"/>
    <w:rsid w:val="007F165E"/>
    <w:rsid w:val="007F6E6F"/>
    <w:rsid w:val="00805163"/>
    <w:rsid w:val="0080649F"/>
    <w:rsid w:val="008070B1"/>
    <w:rsid w:val="00812523"/>
    <w:rsid w:val="008176E0"/>
    <w:rsid w:val="00827E9F"/>
    <w:rsid w:val="00833527"/>
    <w:rsid w:val="008363BA"/>
    <w:rsid w:val="00836D9B"/>
    <w:rsid w:val="008506A4"/>
    <w:rsid w:val="00855CBC"/>
    <w:rsid w:val="00857283"/>
    <w:rsid w:val="00860E72"/>
    <w:rsid w:val="00862950"/>
    <w:rsid w:val="008650BF"/>
    <w:rsid w:val="00865877"/>
    <w:rsid w:val="00866637"/>
    <w:rsid w:val="00871355"/>
    <w:rsid w:val="00871CF4"/>
    <w:rsid w:val="0087686B"/>
    <w:rsid w:val="00876E7C"/>
    <w:rsid w:val="008819AE"/>
    <w:rsid w:val="0088255F"/>
    <w:rsid w:val="00892159"/>
    <w:rsid w:val="00893295"/>
    <w:rsid w:val="00894C94"/>
    <w:rsid w:val="008A11DA"/>
    <w:rsid w:val="008A1D65"/>
    <w:rsid w:val="008A21DF"/>
    <w:rsid w:val="008B493D"/>
    <w:rsid w:val="008C026B"/>
    <w:rsid w:val="008C20AE"/>
    <w:rsid w:val="008C354D"/>
    <w:rsid w:val="008D0311"/>
    <w:rsid w:val="008D43A7"/>
    <w:rsid w:val="008D4C34"/>
    <w:rsid w:val="008D6C21"/>
    <w:rsid w:val="008D71F6"/>
    <w:rsid w:val="008D73EA"/>
    <w:rsid w:val="008F4A24"/>
    <w:rsid w:val="008F6592"/>
    <w:rsid w:val="008F7E37"/>
    <w:rsid w:val="00900581"/>
    <w:rsid w:val="0090059B"/>
    <w:rsid w:val="0091013E"/>
    <w:rsid w:val="0091197D"/>
    <w:rsid w:val="00914680"/>
    <w:rsid w:val="009201EC"/>
    <w:rsid w:val="00920AD2"/>
    <w:rsid w:val="009253EE"/>
    <w:rsid w:val="00941362"/>
    <w:rsid w:val="00941DF3"/>
    <w:rsid w:val="00944442"/>
    <w:rsid w:val="00947504"/>
    <w:rsid w:val="0095739A"/>
    <w:rsid w:val="00963B13"/>
    <w:rsid w:val="00963FF7"/>
    <w:rsid w:val="009671BD"/>
    <w:rsid w:val="0097030C"/>
    <w:rsid w:val="00980409"/>
    <w:rsid w:val="00981227"/>
    <w:rsid w:val="009841AE"/>
    <w:rsid w:val="00985BD8"/>
    <w:rsid w:val="0098724C"/>
    <w:rsid w:val="0099020F"/>
    <w:rsid w:val="00994B40"/>
    <w:rsid w:val="00997E02"/>
    <w:rsid w:val="009A01AE"/>
    <w:rsid w:val="009B1160"/>
    <w:rsid w:val="009B14C2"/>
    <w:rsid w:val="009B2D4F"/>
    <w:rsid w:val="009B2E8B"/>
    <w:rsid w:val="009B64DD"/>
    <w:rsid w:val="009B6675"/>
    <w:rsid w:val="009B76A4"/>
    <w:rsid w:val="009C2D0C"/>
    <w:rsid w:val="009C411C"/>
    <w:rsid w:val="009D4EB6"/>
    <w:rsid w:val="009D6F05"/>
    <w:rsid w:val="009D7667"/>
    <w:rsid w:val="009E2A3E"/>
    <w:rsid w:val="009E5E6E"/>
    <w:rsid w:val="009F110F"/>
    <w:rsid w:val="009F152F"/>
    <w:rsid w:val="009F5343"/>
    <w:rsid w:val="009F5A75"/>
    <w:rsid w:val="00A002FE"/>
    <w:rsid w:val="00A04A6A"/>
    <w:rsid w:val="00A07DB2"/>
    <w:rsid w:val="00A11D0B"/>
    <w:rsid w:val="00A1222F"/>
    <w:rsid w:val="00A12884"/>
    <w:rsid w:val="00A1761F"/>
    <w:rsid w:val="00A17A3F"/>
    <w:rsid w:val="00A24259"/>
    <w:rsid w:val="00A341B9"/>
    <w:rsid w:val="00A3672C"/>
    <w:rsid w:val="00A3680D"/>
    <w:rsid w:val="00A4078E"/>
    <w:rsid w:val="00A40E3B"/>
    <w:rsid w:val="00A40E68"/>
    <w:rsid w:val="00A457C6"/>
    <w:rsid w:val="00A50CEE"/>
    <w:rsid w:val="00A5115F"/>
    <w:rsid w:val="00A54966"/>
    <w:rsid w:val="00A5503D"/>
    <w:rsid w:val="00A55A3E"/>
    <w:rsid w:val="00A573C3"/>
    <w:rsid w:val="00A62E46"/>
    <w:rsid w:val="00A63490"/>
    <w:rsid w:val="00A64439"/>
    <w:rsid w:val="00A73550"/>
    <w:rsid w:val="00A7363E"/>
    <w:rsid w:val="00A76627"/>
    <w:rsid w:val="00A80D6E"/>
    <w:rsid w:val="00A85310"/>
    <w:rsid w:val="00A86BFD"/>
    <w:rsid w:val="00A956E1"/>
    <w:rsid w:val="00AA52D7"/>
    <w:rsid w:val="00AA5BCD"/>
    <w:rsid w:val="00AA7A7C"/>
    <w:rsid w:val="00AB066E"/>
    <w:rsid w:val="00AB22E7"/>
    <w:rsid w:val="00AB32CD"/>
    <w:rsid w:val="00AB57E1"/>
    <w:rsid w:val="00AC4E1A"/>
    <w:rsid w:val="00AC50C7"/>
    <w:rsid w:val="00AC59EE"/>
    <w:rsid w:val="00AD4D58"/>
    <w:rsid w:val="00AE7E7D"/>
    <w:rsid w:val="00AF0203"/>
    <w:rsid w:val="00AF0B8B"/>
    <w:rsid w:val="00AF29DE"/>
    <w:rsid w:val="00AF51AB"/>
    <w:rsid w:val="00AF69D0"/>
    <w:rsid w:val="00AF7894"/>
    <w:rsid w:val="00B01827"/>
    <w:rsid w:val="00B01DFD"/>
    <w:rsid w:val="00B04EF0"/>
    <w:rsid w:val="00B04F4D"/>
    <w:rsid w:val="00B05F10"/>
    <w:rsid w:val="00B062C7"/>
    <w:rsid w:val="00B11B50"/>
    <w:rsid w:val="00B134D2"/>
    <w:rsid w:val="00B166C8"/>
    <w:rsid w:val="00B17199"/>
    <w:rsid w:val="00B20309"/>
    <w:rsid w:val="00B20D41"/>
    <w:rsid w:val="00B21331"/>
    <w:rsid w:val="00B25CAA"/>
    <w:rsid w:val="00B30BCA"/>
    <w:rsid w:val="00B33840"/>
    <w:rsid w:val="00B34931"/>
    <w:rsid w:val="00B35A01"/>
    <w:rsid w:val="00B408BE"/>
    <w:rsid w:val="00B460A0"/>
    <w:rsid w:val="00B52899"/>
    <w:rsid w:val="00B604E1"/>
    <w:rsid w:val="00B61CC7"/>
    <w:rsid w:val="00B67F04"/>
    <w:rsid w:val="00B72821"/>
    <w:rsid w:val="00B81D93"/>
    <w:rsid w:val="00B93B9B"/>
    <w:rsid w:val="00B95550"/>
    <w:rsid w:val="00BA08C0"/>
    <w:rsid w:val="00BA368D"/>
    <w:rsid w:val="00BA3C45"/>
    <w:rsid w:val="00BA402F"/>
    <w:rsid w:val="00BA567D"/>
    <w:rsid w:val="00BA77FA"/>
    <w:rsid w:val="00BB12EF"/>
    <w:rsid w:val="00BB47DF"/>
    <w:rsid w:val="00BB6CC7"/>
    <w:rsid w:val="00BC10A0"/>
    <w:rsid w:val="00BC1212"/>
    <w:rsid w:val="00BC2252"/>
    <w:rsid w:val="00BC784C"/>
    <w:rsid w:val="00BC7D99"/>
    <w:rsid w:val="00BD2AFA"/>
    <w:rsid w:val="00BD7B9B"/>
    <w:rsid w:val="00BE42CE"/>
    <w:rsid w:val="00BE4EFD"/>
    <w:rsid w:val="00BE505B"/>
    <w:rsid w:val="00BE6025"/>
    <w:rsid w:val="00BF0407"/>
    <w:rsid w:val="00BF0DFC"/>
    <w:rsid w:val="00BF6A40"/>
    <w:rsid w:val="00C000EA"/>
    <w:rsid w:val="00C008EC"/>
    <w:rsid w:val="00C00C17"/>
    <w:rsid w:val="00C04B09"/>
    <w:rsid w:val="00C10FE8"/>
    <w:rsid w:val="00C12C14"/>
    <w:rsid w:val="00C217AB"/>
    <w:rsid w:val="00C22F13"/>
    <w:rsid w:val="00C324E4"/>
    <w:rsid w:val="00C33619"/>
    <w:rsid w:val="00C40713"/>
    <w:rsid w:val="00C41CEF"/>
    <w:rsid w:val="00C43591"/>
    <w:rsid w:val="00C54B5C"/>
    <w:rsid w:val="00C722DA"/>
    <w:rsid w:val="00C83DAE"/>
    <w:rsid w:val="00C85EE8"/>
    <w:rsid w:val="00C8668E"/>
    <w:rsid w:val="00C874F4"/>
    <w:rsid w:val="00C90C85"/>
    <w:rsid w:val="00C910C9"/>
    <w:rsid w:val="00CA0D6D"/>
    <w:rsid w:val="00CA181D"/>
    <w:rsid w:val="00CA4B12"/>
    <w:rsid w:val="00CB0272"/>
    <w:rsid w:val="00CB5BD2"/>
    <w:rsid w:val="00CB65C0"/>
    <w:rsid w:val="00CB7480"/>
    <w:rsid w:val="00CC352A"/>
    <w:rsid w:val="00CC51C5"/>
    <w:rsid w:val="00CD1D38"/>
    <w:rsid w:val="00CD5DA4"/>
    <w:rsid w:val="00CD6896"/>
    <w:rsid w:val="00CD6C52"/>
    <w:rsid w:val="00CD75DB"/>
    <w:rsid w:val="00CE0959"/>
    <w:rsid w:val="00CE1F9C"/>
    <w:rsid w:val="00CE24CA"/>
    <w:rsid w:val="00CE3D6F"/>
    <w:rsid w:val="00CE5AFF"/>
    <w:rsid w:val="00CF08FE"/>
    <w:rsid w:val="00CF16CA"/>
    <w:rsid w:val="00CF58B5"/>
    <w:rsid w:val="00CF5AFD"/>
    <w:rsid w:val="00CF6975"/>
    <w:rsid w:val="00D0413A"/>
    <w:rsid w:val="00D14D18"/>
    <w:rsid w:val="00D15AD8"/>
    <w:rsid w:val="00D2088B"/>
    <w:rsid w:val="00D21DEE"/>
    <w:rsid w:val="00D221EF"/>
    <w:rsid w:val="00D23D62"/>
    <w:rsid w:val="00D34CAA"/>
    <w:rsid w:val="00D365C5"/>
    <w:rsid w:val="00D37EF7"/>
    <w:rsid w:val="00D544AB"/>
    <w:rsid w:val="00D54C7A"/>
    <w:rsid w:val="00D6375E"/>
    <w:rsid w:val="00D648E0"/>
    <w:rsid w:val="00D66613"/>
    <w:rsid w:val="00D857C9"/>
    <w:rsid w:val="00D86AAF"/>
    <w:rsid w:val="00D86CD3"/>
    <w:rsid w:val="00D94D2A"/>
    <w:rsid w:val="00DA5290"/>
    <w:rsid w:val="00DA61A3"/>
    <w:rsid w:val="00DB2489"/>
    <w:rsid w:val="00DB5B66"/>
    <w:rsid w:val="00DB71D9"/>
    <w:rsid w:val="00DC4385"/>
    <w:rsid w:val="00DC484A"/>
    <w:rsid w:val="00DC6822"/>
    <w:rsid w:val="00DC7849"/>
    <w:rsid w:val="00DD2446"/>
    <w:rsid w:val="00DE31ED"/>
    <w:rsid w:val="00DE4DCC"/>
    <w:rsid w:val="00DE5D4C"/>
    <w:rsid w:val="00DF2985"/>
    <w:rsid w:val="00DF6B6A"/>
    <w:rsid w:val="00DF71F2"/>
    <w:rsid w:val="00E00FA4"/>
    <w:rsid w:val="00E03ECB"/>
    <w:rsid w:val="00E2024C"/>
    <w:rsid w:val="00E21BCA"/>
    <w:rsid w:val="00E268BB"/>
    <w:rsid w:val="00E30A2F"/>
    <w:rsid w:val="00E35C00"/>
    <w:rsid w:val="00E35C45"/>
    <w:rsid w:val="00E425C0"/>
    <w:rsid w:val="00E42EC8"/>
    <w:rsid w:val="00E4517B"/>
    <w:rsid w:val="00E4617D"/>
    <w:rsid w:val="00E46685"/>
    <w:rsid w:val="00E46B82"/>
    <w:rsid w:val="00E4769A"/>
    <w:rsid w:val="00E51F4C"/>
    <w:rsid w:val="00E54AFD"/>
    <w:rsid w:val="00E55724"/>
    <w:rsid w:val="00E76616"/>
    <w:rsid w:val="00E77670"/>
    <w:rsid w:val="00E83DB1"/>
    <w:rsid w:val="00E84329"/>
    <w:rsid w:val="00E8544B"/>
    <w:rsid w:val="00E862EF"/>
    <w:rsid w:val="00E8692D"/>
    <w:rsid w:val="00EA0160"/>
    <w:rsid w:val="00EA3649"/>
    <w:rsid w:val="00EA3FF8"/>
    <w:rsid w:val="00EA60B5"/>
    <w:rsid w:val="00EB16C4"/>
    <w:rsid w:val="00EB378F"/>
    <w:rsid w:val="00EB46AA"/>
    <w:rsid w:val="00EC1418"/>
    <w:rsid w:val="00EC1AEA"/>
    <w:rsid w:val="00EC309B"/>
    <w:rsid w:val="00EC312D"/>
    <w:rsid w:val="00ED0024"/>
    <w:rsid w:val="00ED0B45"/>
    <w:rsid w:val="00EE2495"/>
    <w:rsid w:val="00EE46EA"/>
    <w:rsid w:val="00EF094D"/>
    <w:rsid w:val="00EF1194"/>
    <w:rsid w:val="00EF270A"/>
    <w:rsid w:val="00EF7B93"/>
    <w:rsid w:val="00EF7E1B"/>
    <w:rsid w:val="00F04B49"/>
    <w:rsid w:val="00F04D33"/>
    <w:rsid w:val="00F13E50"/>
    <w:rsid w:val="00F2591B"/>
    <w:rsid w:val="00F3122A"/>
    <w:rsid w:val="00F33D27"/>
    <w:rsid w:val="00F37FC9"/>
    <w:rsid w:val="00F410E1"/>
    <w:rsid w:val="00F535D5"/>
    <w:rsid w:val="00F541D0"/>
    <w:rsid w:val="00F61105"/>
    <w:rsid w:val="00F62352"/>
    <w:rsid w:val="00F6435B"/>
    <w:rsid w:val="00F674F9"/>
    <w:rsid w:val="00F709A0"/>
    <w:rsid w:val="00F719FD"/>
    <w:rsid w:val="00F804AD"/>
    <w:rsid w:val="00F87A83"/>
    <w:rsid w:val="00F910D1"/>
    <w:rsid w:val="00F913F1"/>
    <w:rsid w:val="00F93D76"/>
    <w:rsid w:val="00FA1AC8"/>
    <w:rsid w:val="00FA38DE"/>
    <w:rsid w:val="00FA55E5"/>
    <w:rsid w:val="00FB0FF7"/>
    <w:rsid w:val="00FB3536"/>
    <w:rsid w:val="00FB4AC4"/>
    <w:rsid w:val="00FB4AC9"/>
    <w:rsid w:val="00FB5F33"/>
    <w:rsid w:val="00FB702D"/>
    <w:rsid w:val="00FC62DC"/>
    <w:rsid w:val="00FD257E"/>
    <w:rsid w:val="00FD493A"/>
    <w:rsid w:val="00FD7761"/>
    <w:rsid w:val="00FE2A6D"/>
    <w:rsid w:val="00F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C1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paragraph" w:styleId="NoSpacing">
    <w:name w:val="No Spacing"/>
    <w:uiPriority w:val="1"/>
    <w:qFormat/>
    <w:rsid w:val="002A4DFA"/>
    <w:rPr>
      <w:rFonts w:eastAsia="Calibri"/>
      <w:kern w:val="32"/>
      <w:sz w:val="24"/>
      <w:szCs w:val="24"/>
    </w:rPr>
  </w:style>
  <w:style w:type="character" w:customStyle="1" w:styleId="FootnoteTextChar">
    <w:name w:val="Footnote Text Char"/>
    <w:link w:val="FootnoteText"/>
    <w:uiPriority w:val="99"/>
    <w:semiHidden/>
    <w:rsid w:val="002A4DFA"/>
    <w:rPr>
      <w:rFonts w:ascii="Palatino" w:hAnsi="Palatino"/>
      <w:sz w:val="24"/>
    </w:rPr>
  </w:style>
  <w:style w:type="character" w:styleId="CommentReference">
    <w:name w:val="annotation reference"/>
    <w:uiPriority w:val="99"/>
    <w:unhideWhenUsed/>
    <w:rsid w:val="002A4DFA"/>
    <w:rPr>
      <w:sz w:val="16"/>
      <w:szCs w:val="16"/>
    </w:rPr>
  </w:style>
  <w:style w:type="paragraph" w:styleId="CommentText">
    <w:name w:val="annotation text"/>
    <w:basedOn w:val="Normal"/>
    <w:link w:val="CommentTextChar"/>
    <w:uiPriority w:val="99"/>
    <w:unhideWhenUsed/>
    <w:rsid w:val="002A4DFA"/>
    <w:rPr>
      <w:rFonts w:ascii="Times New Roman" w:eastAsia="Calibri" w:hAnsi="Times New Roman"/>
      <w:kern w:val="32"/>
      <w:sz w:val="20"/>
    </w:rPr>
  </w:style>
  <w:style w:type="character" w:customStyle="1" w:styleId="CommentTextChar">
    <w:name w:val="Comment Text Char"/>
    <w:link w:val="CommentText"/>
    <w:uiPriority w:val="99"/>
    <w:rsid w:val="002A4DFA"/>
    <w:rPr>
      <w:rFonts w:eastAsia="Calibri"/>
      <w:kern w:val="32"/>
    </w:rPr>
  </w:style>
  <w:style w:type="table" w:styleId="TableGrid">
    <w:name w:val="Table Grid"/>
    <w:basedOn w:val="TableNormal"/>
    <w:uiPriority w:val="59"/>
    <w:rsid w:val="002A4D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DFA"/>
    <w:pPr>
      <w:autoSpaceDE w:val="0"/>
      <w:autoSpaceDN w:val="0"/>
      <w:adjustRightInd w:val="0"/>
    </w:pPr>
    <w:rPr>
      <w:rFonts w:ascii="Book Antiqua" w:eastAsia="Calibri" w:hAnsi="Book Antiqua" w:cs="Book Antiqua"/>
      <w:color w:val="000000"/>
      <w:sz w:val="24"/>
      <w:szCs w:val="24"/>
    </w:rPr>
  </w:style>
  <w:style w:type="paragraph" w:styleId="BalloonText">
    <w:name w:val="Balloon Text"/>
    <w:basedOn w:val="Normal"/>
    <w:link w:val="BalloonTextChar"/>
    <w:rsid w:val="002A4DFA"/>
    <w:rPr>
      <w:rFonts w:ascii="Tahoma" w:hAnsi="Tahoma" w:cs="Tahoma"/>
      <w:sz w:val="16"/>
      <w:szCs w:val="16"/>
    </w:rPr>
  </w:style>
  <w:style w:type="character" w:customStyle="1" w:styleId="BalloonTextChar">
    <w:name w:val="Balloon Text Char"/>
    <w:link w:val="BalloonText"/>
    <w:rsid w:val="002A4DFA"/>
    <w:rPr>
      <w:rFonts w:ascii="Tahoma" w:hAnsi="Tahoma" w:cs="Tahoma"/>
      <w:sz w:val="16"/>
      <w:szCs w:val="16"/>
    </w:rPr>
  </w:style>
  <w:style w:type="paragraph" w:styleId="CommentSubject">
    <w:name w:val="annotation subject"/>
    <w:basedOn w:val="CommentText"/>
    <w:next w:val="CommentText"/>
    <w:link w:val="CommentSubjectChar"/>
    <w:rsid w:val="002D7DCD"/>
    <w:rPr>
      <w:rFonts w:ascii="Palatino" w:eastAsia="Times New Roman" w:hAnsi="Palatino"/>
      <w:b/>
      <w:bCs/>
      <w:kern w:val="0"/>
    </w:rPr>
  </w:style>
  <w:style w:type="character" w:customStyle="1" w:styleId="CommentSubjectChar">
    <w:name w:val="Comment Subject Char"/>
    <w:link w:val="CommentSubject"/>
    <w:rsid w:val="002D7DCD"/>
    <w:rPr>
      <w:rFonts w:ascii="Palatino" w:eastAsia="Calibri" w:hAnsi="Palatino"/>
      <w:b/>
      <w:bCs/>
      <w:kern w:val="32"/>
    </w:rPr>
  </w:style>
  <w:style w:type="paragraph" w:styleId="Revision">
    <w:name w:val="Revision"/>
    <w:hidden/>
    <w:uiPriority w:val="99"/>
    <w:semiHidden/>
    <w:rsid w:val="00367F8B"/>
    <w:rPr>
      <w:rFonts w:ascii="Palatino" w:hAnsi="Palatino"/>
      <w:sz w:val="24"/>
    </w:rPr>
  </w:style>
  <w:style w:type="character" w:styleId="Hyperlink">
    <w:name w:val="Hyperlink"/>
    <w:rsid w:val="00E862EF"/>
    <w:rPr>
      <w:color w:val="0000FF"/>
      <w:u w:val="single"/>
    </w:rPr>
  </w:style>
  <w:style w:type="character" w:customStyle="1" w:styleId="FooterChar">
    <w:name w:val="Footer Char"/>
    <w:basedOn w:val="DefaultParagraphFont"/>
    <w:link w:val="Footer"/>
    <w:uiPriority w:val="99"/>
    <w:rsid w:val="00611A1D"/>
    <w:rPr>
      <w:rFonts w:ascii="Palatino" w:hAnsi="Palatino"/>
      <w:sz w:val="24"/>
    </w:rPr>
  </w:style>
  <w:style w:type="paragraph" w:styleId="ListParagraph">
    <w:name w:val="List Paragraph"/>
    <w:basedOn w:val="Normal"/>
    <w:uiPriority w:val="34"/>
    <w:qFormat/>
    <w:rsid w:val="002D62F2"/>
    <w:pPr>
      <w:ind w:left="720"/>
      <w:contextualSpacing/>
    </w:pPr>
  </w:style>
  <w:style w:type="character" w:customStyle="1" w:styleId="HeaderChar">
    <w:name w:val="Header Char"/>
    <w:basedOn w:val="DefaultParagraphFont"/>
    <w:link w:val="Header"/>
    <w:uiPriority w:val="99"/>
    <w:rsid w:val="00A5115F"/>
    <w:rPr>
      <w:rFonts w:ascii="Palatino" w:hAnsi="Palatino"/>
      <w:sz w:val="24"/>
    </w:rPr>
  </w:style>
  <w:style w:type="character" w:styleId="FollowedHyperlink">
    <w:name w:val="FollowedHyperlink"/>
    <w:basedOn w:val="DefaultParagraphFont"/>
    <w:rsid w:val="009A01AE"/>
    <w:rPr>
      <w:color w:val="800080" w:themeColor="followedHyperlink"/>
      <w:u w:val="single"/>
    </w:rPr>
  </w:style>
  <w:style w:type="character" w:styleId="UnresolvedMention">
    <w:name w:val="Unresolved Mention"/>
    <w:basedOn w:val="DefaultParagraphFont"/>
    <w:uiPriority w:val="99"/>
    <w:semiHidden/>
    <w:unhideWhenUsed/>
    <w:rsid w:val="007E2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93269">
      <w:bodyDiv w:val="1"/>
      <w:marLeft w:val="0"/>
      <w:marRight w:val="0"/>
      <w:marTop w:val="0"/>
      <w:marBottom w:val="0"/>
      <w:divBdr>
        <w:top w:val="none" w:sz="0" w:space="0" w:color="auto"/>
        <w:left w:val="none" w:sz="0" w:space="0" w:color="auto"/>
        <w:bottom w:val="none" w:sz="0" w:space="0" w:color="auto"/>
        <w:right w:val="none" w:sz="0" w:space="0" w:color="auto"/>
      </w:divBdr>
    </w:div>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 w:id="929965863">
      <w:bodyDiv w:val="1"/>
      <w:marLeft w:val="0"/>
      <w:marRight w:val="0"/>
      <w:marTop w:val="0"/>
      <w:marBottom w:val="0"/>
      <w:divBdr>
        <w:top w:val="none" w:sz="0" w:space="0" w:color="auto"/>
        <w:left w:val="none" w:sz="0" w:space="0" w:color="auto"/>
        <w:bottom w:val="none" w:sz="0" w:space="0" w:color="auto"/>
        <w:right w:val="none" w:sz="0" w:space="0" w:color="auto"/>
      </w:divBdr>
    </w:div>
    <w:div w:id="1484084610">
      <w:bodyDiv w:val="1"/>
      <w:marLeft w:val="0"/>
      <w:marRight w:val="0"/>
      <w:marTop w:val="0"/>
      <w:marBottom w:val="0"/>
      <w:divBdr>
        <w:top w:val="none" w:sz="0" w:space="0" w:color="auto"/>
        <w:left w:val="none" w:sz="0" w:space="0" w:color="auto"/>
        <w:bottom w:val="none" w:sz="0" w:space="0" w:color="auto"/>
        <w:right w:val="none" w:sz="0" w:space="0" w:color="auto"/>
      </w:divBdr>
    </w:div>
    <w:div w:id="20512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ico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icomp/" TargetMode="External"/><Relationship Id="rId2" Type="http://schemas.openxmlformats.org/officeDocument/2006/relationships/hyperlink" Target="http://www.cpuc.ca.gov/icomp" TargetMode="External"/><Relationship Id="rId1" Type="http://schemas.openxmlformats.org/officeDocument/2006/relationships/hyperlink" Target="http://www.bsa.ca.gov/reports/summary/2012-118" TargetMode="External"/><Relationship Id="rId4" Type="http://schemas.openxmlformats.org/officeDocument/2006/relationships/hyperlink" Target="https://www.cpuc.ca.gov/ico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FEBA-2BBE-4A20-8251-E150757803F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2335</ap:Words>
  <ap:Characters>13257</ap:Characters>
  <ap:Application>Microsoft Office Word</ap:Application>
  <ap:DocSecurity>0</ap:DocSecurity>
  <ap:Lines>110</ap:Lines>
  <ap:Paragraphs>31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15561</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2020-11-13T15:16:43Z</dcterms:created>
  <dcterms:modified xsi:type="dcterms:W3CDTF">2020-11-13T15:16:43Z</dcterms:modified>
</cp:coreProperties>
</file>