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47C0" w:rsidR="00FE6881" w:rsidP="00FE6881" w:rsidRDefault="00FE6881" w14:paraId="656EE8D6" w14:textId="77777777">
      <w:pPr>
        <w:keepNext/>
        <w:suppressAutoHyphens/>
        <w:spacing w:after="0" w:line="240" w:lineRule="auto"/>
        <w:jc w:val="center"/>
        <w:rPr>
          <w:rFonts w:ascii="Palatino Linotype" w:hAnsi="Palatino Linotype" w:eastAsia="Times New Roman" w:cs="Times New Roman"/>
          <w:b/>
          <w:sz w:val="24"/>
          <w:szCs w:val="20"/>
        </w:rPr>
      </w:pPr>
      <w:r w:rsidRPr="000B47C0">
        <w:rPr>
          <w:rFonts w:ascii="Palatino Linotype" w:hAnsi="Palatino Linotype" w:eastAsia="Times New Roman" w:cs="Times New Roman"/>
          <w:b/>
          <w:sz w:val="24"/>
          <w:szCs w:val="20"/>
        </w:rPr>
        <w:t xml:space="preserve">PUBLIC UTILITIES COMMISSION OF THE STATE OF </w:t>
      </w:r>
      <w:smartTag w:uri="urn:schemas-microsoft-com:office:smarttags" w:element="State">
        <w:smartTag w:uri="urn:schemas-microsoft-com:office:smarttags" w:element="PostalCode">
          <w:r w:rsidRPr="000B47C0">
            <w:rPr>
              <w:rFonts w:ascii="Palatino Linotype" w:eastAsia="Times New Roman" w:hAnsi="Palatino Linotype" w:cs="Times New Roman"/>
              <w:b/>
              <w:sz w:val="24"/>
              <w:szCs w:val="20"/>
            </w:rPr>
            <w:t>CALIFORNIA</w:t>
          </w:r>
        </w:smartTag>
      </w:smartTag>
    </w:p>
    <w:p w:rsidR="00DE4AC7" w:rsidP="00DE4AC7" w:rsidRDefault="00DE4AC7" w14:paraId="5D30A873" w14:textId="77777777">
      <w:pPr>
        <w:suppressAutoHyphens/>
        <w:spacing w:after="0" w:line="240" w:lineRule="auto"/>
        <w:rPr>
          <w:rFonts w:ascii="Palatino Linotype" w:hAnsi="Palatino Linotype" w:eastAsia="Times New Roman" w:cs="Times New Roman"/>
          <w:sz w:val="26"/>
          <w:szCs w:val="26"/>
        </w:rPr>
      </w:pPr>
      <w:r>
        <w:rPr>
          <w:rFonts w:ascii="Palatino Linotype" w:hAnsi="Palatino Linotype" w:eastAsia="Times New Roman" w:cs="Times New Roman"/>
          <w:sz w:val="26"/>
          <w:szCs w:val="26"/>
        </w:rPr>
        <w:tab/>
      </w:r>
      <w:r>
        <w:rPr>
          <w:rFonts w:ascii="Palatino Linotype" w:hAnsi="Palatino Linotype" w:eastAsia="Times New Roman" w:cs="Times New Roman"/>
          <w:sz w:val="26"/>
          <w:szCs w:val="26"/>
        </w:rPr>
        <w:tab/>
      </w:r>
      <w:r>
        <w:rPr>
          <w:rFonts w:ascii="Palatino Linotype" w:hAnsi="Palatino Linotype" w:eastAsia="Times New Roman" w:cs="Times New Roman"/>
          <w:sz w:val="26"/>
          <w:szCs w:val="26"/>
        </w:rPr>
        <w:tab/>
      </w:r>
      <w:r>
        <w:rPr>
          <w:rFonts w:ascii="Palatino Linotype" w:hAnsi="Palatino Linotype" w:eastAsia="Times New Roman" w:cs="Times New Roman"/>
          <w:sz w:val="26"/>
          <w:szCs w:val="26"/>
        </w:rPr>
        <w:tab/>
      </w:r>
      <w:r>
        <w:rPr>
          <w:rFonts w:ascii="Palatino Linotype" w:hAnsi="Palatino Linotype" w:eastAsia="Times New Roman" w:cs="Times New Roman"/>
          <w:sz w:val="26"/>
          <w:szCs w:val="26"/>
        </w:rPr>
        <w:tab/>
      </w:r>
      <w:r>
        <w:rPr>
          <w:rFonts w:ascii="Palatino Linotype" w:hAnsi="Palatino Linotype" w:eastAsia="Times New Roman" w:cs="Times New Roman"/>
          <w:sz w:val="26"/>
          <w:szCs w:val="26"/>
        </w:rPr>
        <w:tab/>
      </w:r>
    </w:p>
    <w:p w:rsidRPr="000B47C0" w:rsidR="00FE6881" w:rsidP="00DE4AC7" w:rsidRDefault="00DE4AC7" w14:paraId="6AE74317" w14:textId="30782986">
      <w:pPr>
        <w:suppressAutoHyphens/>
        <w:spacing w:after="0" w:line="240" w:lineRule="auto"/>
        <w:ind w:left="5760" w:firstLine="630"/>
        <w:rPr>
          <w:rFonts w:ascii="Palatino Linotype" w:hAnsi="Palatino Linotype" w:eastAsia="Times New Roman" w:cs="Times New Roman"/>
          <w:sz w:val="26"/>
          <w:szCs w:val="26"/>
        </w:rPr>
      </w:pPr>
      <w:r w:rsidRPr="00DE4AC7">
        <w:rPr>
          <w:rFonts w:ascii="Palatino Linotype" w:hAnsi="Palatino Linotype" w:eastAsia="Times New Roman" w:cs="Times New Roman"/>
          <w:b/>
          <w:sz w:val="24"/>
          <w:szCs w:val="20"/>
        </w:rPr>
        <w:t xml:space="preserve">Agenda ID: </w:t>
      </w:r>
      <w:r w:rsidRPr="009F5908" w:rsidR="009F5908">
        <w:rPr>
          <w:rFonts w:ascii="Palatino Linotype" w:hAnsi="Palatino Linotype" w:eastAsia="Times New Roman" w:cs="Times New Roman"/>
          <w:b/>
          <w:sz w:val="24"/>
          <w:szCs w:val="20"/>
        </w:rPr>
        <w:t>18989</w:t>
      </w:r>
      <w:r w:rsidRPr="00DE4AC7">
        <w:rPr>
          <w:rFonts w:ascii="Palatino Linotype" w:hAnsi="Palatino Linotype" w:eastAsia="Times New Roman" w:cs="Times New Roman"/>
          <w:b/>
          <w:sz w:val="24"/>
          <w:szCs w:val="20"/>
        </w:rPr>
        <w:tab/>
      </w:r>
    </w:p>
    <w:p w:rsidRPr="00183E98" w:rsidR="00FE6881" w:rsidP="00DE4AC7" w:rsidRDefault="00FE6881" w14:paraId="4505B208" w14:textId="71E01D0E">
      <w:pPr>
        <w:tabs>
          <w:tab w:val="left" w:pos="6390"/>
        </w:tabs>
        <w:spacing w:after="0" w:line="240" w:lineRule="auto"/>
        <w:rPr>
          <w:rFonts w:ascii="Palatino Linotype" w:hAnsi="Palatino Linotype" w:eastAsia="Times New Roman" w:cs="Times New Roman"/>
          <w:b/>
          <w:sz w:val="24"/>
          <w:szCs w:val="20"/>
        </w:rPr>
      </w:pPr>
      <w:r w:rsidRPr="00183E98">
        <w:rPr>
          <w:rFonts w:ascii="Palatino Linotype" w:hAnsi="Palatino Linotype" w:eastAsia="Times New Roman" w:cs="Times New Roman"/>
          <w:b/>
          <w:sz w:val="24"/>
          <w:szCs w:val="20"/>
        </w:rPr>
        <w:t>ENERGY DIVISION</w:t>
      </w:r>
      <w:r w:rsidR="00DE4AC7">
        <w:rPr>
          <w:rFonts w:ascii="Palatino Linotype" w:hAnsi="Palatino Linotype" w:eastAsia="Times New Roman" w:cs="Times New Roman"/>
          <w:b/>
          <w:sz w:val="24"/>
          <w:szCs w:val="20"/>
        </w:rPr>
        <w:tab/>
      </w:r>
      <w:r w:rsidRPr="00183E98">
        <w:rPr>
          <w:rFonts w:ascii="Palatino Linotype" w:hAnsi="Palatino Linotype" w:eastAsia="Times New Roman" w:cs="Times New Roman"/>
          <w:b/>
          <w:sz w:val="24"/>
          <w:szCs w:val="20"/>
        </w:rPr>
        <w:t xml:space="preserve">RESOLUTION </w:t>
      </w:r>
      <w:r w:rsidRPr="000B47C0">
        <w:rPr>
          <w:rFonts w:ascii="Palatino Linotype" w:hAnsi="Palatino Linotype" w:eastAsia="Times New Roman" w:cs="Times New Roman"/>
          <w:b/>
          <w:sz w:val="24"/>
          <w:szCs w:val="20"/>
        </w:rPr>
        <w:t>E</w:t>
      </w:r>
      <w:r w:rsidRPr="000B47C0" w:rsidR="0033233F">
        <w:rPr>
          <w:rFonts w:ascii="Palatino Linotype" w:hAnsi="Palatino Linotype" w:eastAsia="Times New Roman" w:cs="Times New Roman"/>
          <w:b/>
          <w:sz w:val="24"/>
          <w:szCs w:val="20"/>
        </w:rPr>
        <w:t>-5114</w:t>
      </w:r>
    </w:p>
    <w:p w:rsidRPr="000B47C0" w:rsidR="00FE6881" w:rsidP="00DE4AC7" w:rsidRDefault="00DE4AC7" w14:paraId="068BAD4F" w14:textId="35647EE1">
      <w:pPr>
        <w:tabs>
          <w:tab w:val="left" w:pos="6390"/>
          <w:tab w:val="right" w:pos="8910"/>
        </w:tabs>
        <w:spacing w:after="0" w:line="240" w:lineRule="auto"/>
        <w:rPr>
          <w:rFonts w:ascii="Palatino Linotype" w:hAnsi="Palatino Linotype" w:eastAsia="Times New Roman" w:cs="Times New Roman"/>
          <w:b/>
          <w:sz w:val="24"/>
          <w:szCs w:val="24"/>
        </w:rPr>
      </w:pPr>
      <w:r>
        <w:rPr>
          <w:rFonts w:ascii="Palatino Linotype" w:hAnsi="Palatino Linotype" w:eastAsia="Times New Roman" w:cs="Times New Roman"/>
          <w:b/>
          <w:sz w:val="24"/>
          <w:szCs w:val="20"/>
        </w:rPr>
        <w:tab/>
      </w:r>
      <w:r w:rsidRPr="000B47C0" w:rsidR="00FE6881">
        <w:rPr>
          <w:rFonts w:ascii="Palatino Linotype" w:hAnsi="Palatino Linotype" w:eastAsia="Times New Roman" w:cs="Times New Roman"/>
          <w:b/>
          <w:sz w:val="24"/>
          <w:szCs w:val="24"/>
        </w:rPr>
        <w:t>December 17, 2020</w:t>
      </w:r>
    </w:p>
    <w:p w:rsidRPr="000B47C0" w:rsidR="00FE6881" w:rsidP="00FE6881" w:rsidRDefault="00FE6881" w14:paraId="37845F5B" w14:textId="77777777">
      <w:pPr>
        <w:tabs>
          <w:tab w:val="right" w:pos="8910"/>
        </w:tabs>
        <w:spacing w:after="0" w:line="240" w:lineRule="auto"/>
        <w:ind w:left="1440" w:firstLine="720"/>
        <w:rPr>
          <w:rFonts w:ascii="Palatino Linotype" w:hAnsi="Palatino Linotype" w:eastAsia="Times New Roman" w:cs="Times New Roman"/>
          <w:b/>
          <w:sz w:val="24"/>
          <w:szCs w:val="20"/>
        </w:rPr>
      </w:pPr>
    </w:p>
    <w:p w:rsidRPr="000B47C0" w:rsidR="00FE6881" w:rsidP="00FE6881" w:rsidRDefault="00FE6881" w14:paraId="6C4AED9D" w14:textId="77777777">
      <w:pPr>
        <w:keepNext/>
        <w:spacing w:after="0" w:line="240" w:lineRule="auto"/>
        <w:jc w:val="center"/>
        <w:rPr>
          <w:rFonts w:ascii="Palatino Linotype" w:hAnsi="Palatino Linotype" w:eastAsia="Times New Roman" w:cs="Times New Roman"/>
          <w:b/>
          <w:spacing w:val="120"/>
          <w:sz w:val="26"/>
          <w:szCs w:val="20"/>
          <w:u w:val="single"/>
        </w:rPr>
      </w:pPr>
      <w:bookmarkStart w:name="_Ref404993683" w:id="0"/>
      <w:r w:rsidRPr="000B47C0">
        <w:rPr>
          <w:rFonts w:ascii="Palatino Linotype" w:hAnsi="Palatino Linotype" w:eastAsia="Times New Roman" w:cs="Times New Roman"/>
          <w:b/>
          <w:spacing w:val="120"/>
          <w:sz w:val="26"/>
          <w:szCs w:val="20"/>
          <w:u w:val="single"/>
        </w:rPr>
        <w:t>RESOLUTION</w:t>
      </w:r>
    </w:p>
    <w:p w:rsidRPr="000B47C0" w:rsidR="00FE6881" w:rsidP="00FE6881" w:rsidRDefault="00FE6881" w14:paraId="118A8BC9" w14:textId="77777777">
      <w:pPr>
        <w:spacing w:after="0" w:line="240" w:lineRule="auto"/>
        <w:rPr>
          <w:rFonts w:ascii="Palatino Linotype" w:hAnsi="Palatino Linotype" w:eastAsia="Times New Roman" w:cs="Times New Roman"/>
          <w:sz w:val="26"/>
          <w:szCs w:val="20"/>
        </w:rPr>
      </w:pPr>
    </w:p>
    <w:p w:rsidRPr="00183E98" w:rsidR="00FE6881" w:rsidP="00624943" w:rsidRDefault="00FE6881" w14:paraId="0B21594B" w14:textId="15639DD0">
      <w:pPr>
        <w:spacing w:after="0" w:line="240" w:lineRule="auto"/>
        <w:ind w:right="720"/>
        <w:rPr>
          <w:rFonts w:ascii="Palatino Linotype" w:hAnsi="Palatino Linotype" w:eastAsia="Times New Roman" w:cs="Times New Roman"/>
          <w:sz w:val="26"/>
          <w:szCs w:val="20"/>
        </w:rPr>
      </w:pPr>
      <w:r w:rsidRPr="00183E98">
        <w:rPr>
          <w:rFonts w:ascii="Palatino Linotype" w:hAnsi="Palatino Linotype" w:eastAsia="Times New Roman" w:cs="Times New Roman"/>
          <w:sz w:val="26"/>
          <w:szCs w:val="20"/>
        </w:rPr>
        <w:t xml:space="preserve">Resolution </w:t>
      </w:r>
      <w:r w:rsidRPr="000B47C0">
        <w:rPr>
          <w:rFonts w:ascii="Palatino Linotype" w:hAnsi="Palatino Linotype" w:eastAsia="Times New Roman" w:cs="Times New Roman"/>
          <w:sz w:val="26"/>
          <w:szCs w:val="20"/>
        </w:rPr>
        <w:t>E</w:t>
      </w:r>
      <w:r w:rsidRPr="000B47C0" w:rsidR="0033233F">
        <w:rPr>
          <w:rFonts w:ascii="Palatino Linotype" w:hAnsi="Palatino Linotype" w:eastAsia="Times New Roman" w:cs="Times New Roman"/>
          <w:sz w:val="26"/>
          <w:szCs w:val="20"/>
        </w:rPr>
        <w:t>-5114</w:t>
      </w:r>
      <w:r w:rsidRPr="00183E98">
        <w:rPr>
          <w:rFonts w:ascii="Palatino Linotype" w:hAnsi="Palatino Linotype" w:eastAsia="Times New Roman" w:cs="Times New Roman"/>
          <w:sz w:val="26"/>
          <w:szCs w:val="20"/>
        </w:rPr>
        <w:t>. Approval of Arrearage Management Plans for Large Investor-Owned Electric and Gas Utilities</w:t>
      </w:r>
    </w:p>
    <w:p w:rsidRPr="00183E98" w:rsidR="00FE6881" w:rsidP="00FE6881" w:rsidRDefault="00FE6881" w14:paraId="196B395D" w14:textId="77777777">
      <w:pPr>
        <w:spacing w:after="0" w:line="240" w:lineRule="auto"/>
        <w:ind w:left="720" w:right="720"/>
        <w:rPr>
          <w:rFonts w:ascii="Palatino Linotype" w:hAnsi="Palatino Linotype" w:eastAsia="Times New Roman" w:cs="Times New Roman"/>
          <w:sz w:val="26"/>
          <w:szCs w:val="20"/>
        </w:rPr>
      </w:pPr>
    </w:p>
    <w:p w:rsidRPr="000B47C0" w:rsidR="00FE6881" w:rsidP="00624943" w:rsidRDefault="00FE6881" w14:paraId="41845138" w14:textId="77777777">
      <w:pPr>
        <w:spacing w:after="0" w:line="240" w:lineRule="auto"/>
        <w:ind w:right="720"/>
        <w:rPr>
          <w:rFonts w:ascii="Palatino Linotype" w:hAnsi="Palatino Linotype" w:eastAsia="Times New Roman" w:cs="Times New Roman"/>
          <w:sz w:val="26"/>
          <w:szCs w:val="20"/>
        </w:rPr>
      </w:pPr>
      <w:r w:rsidRPr="00183E98">
        <w:rPr>
          <w:rFonts w:ascii="Palatino Linotype" w:hAnsi="Palatino Linotype" w:eastAsia="Times New Roman" w:cs="Times New Roman"/>
          <w:sz w:val="26"/>
          <w:szCs w:val="20"/>
        </w:rPr>
        <w:t>PROPOSED OUTCOME</w:t>
      </w:r>
      <w:r w:rsidRPr="000B47C0">
        <w:rPr>
          <w:rFonts w:ascii="Palatino Linotype" w:hAnsi="Palatino Linotype" w:eastAsia="Times New Roman" w:cs="Times New Roman"/>
          <w:sz w:val="26"/>
          <w:szCs w:val="20"/>
        </w:rPr>
        <w:t xml:space="preserve">: </w:t>
      </w:r>
    </w:p>
    <w:p w:rsidRPr="00183E98" w:rsidR="00FE6881" w:rsidP="00624943" w:rsidRDefault="00FE6881" w14:paraId="0C2CA02C" w14:textId="498F2D75">
      <w:pPr>
        <w:numPr>
          <w:ilvl w:val="0"/>
          <w:numId w:val="4"/>
        </w:numPr>
        <w:spacing w:after="0" w:line="240" w:lineRule="auto"/>
        <w:ind w:left="1080" w:right="720"/>
        <w:rPr>
          <w:rFonts w:ascii="Palatino Linotype" w:hAnsi="Palatino Linotype" w:eastAsia="Palatino" w:cs="Times New Roman"/>
          <w:sz w:val="26"/>
          <w:szCs w:val="26"/>
        </w:rPr>
      </w:pPr>
      <w:r w:rsidRPr="00183E98">
        <w:rPr>
          <w:rFonts w:ascii="Palatino Linotype" w:hAnsi="Palatino Linotype" w:eastAsia="Palatino" w:cs="Times New Roman"/>
          <w:sz w:val="26"/>
          <w:szCs w:val="26"/>
        </w:rPr>
        <w:t>Approves with modifications Arrearage Management Plans proposed pursuant to D.20-06-003 in Tier 2 Advice Letters</w:t>
      </w:r>
    </w:p>
    <w:p w:rsidRPr="00183E98" w:rsidR="00FE6881" w:rsidP="00624943" w:rsidRDefault="00FE6881" w14:paraId="27096EC2" w14:textId="77777777">
      <w:pPr>
        <w:numPr>
          <w:ilvl w:val="0"/>
          <w:numId w:val="4"/>
        </w:numPr>
        <w:spacing w:after="0" w:line="240" w:lineRule="auto"/>
        <w:ind w:left="1080" w:right="720"/>
        <w:rPr>
          <w:rFonts w:ascii="Palatino Linotype" w:hAnsi="Palatino Linotype" w:eastAsia="Palatino" w:cs="Times New Roman"/>
          <w:sz w:val="26"/>
          <w:szCs w:val="26"/>
        </w:rPr>
      </w:pPr>
      <w:r w:rsidRPr="00183E98">
        <w:rPr>
          <w:rFonts w:ascii="Palatino Linotype" w:hAnsi="Palatino Linotype" w:eastAsia="Palatino" w:cs="Times New Roman"/>
          <w:sz w:val="26"/>
          <w:szCs w:val="26"/>
        </w:rPr>
        <w:t>Approves cost recovery through the Public Purpose Program Charge from all customers.</w:t>
      </w:r>
    </w:p>
    <w:p w:rsidRPr="00183E98" w:rsidR="00FE6881" w:rsidP="00624943" w:rsidRDefault="00FE6881" w14:paraId="2FEAD9DA" w14:textId="77777777">
      <w:pPr>
        <w:numPr>
          <w:ilvl w:val="0"/>
          <w:numId w:val="4"/>
        </w:numPr>
        <w:spacing w:after="0" w:line="240" w:lineRule="auto"/>
        <w:ind w:left="1080" w:right="720"/>
        <w:rPr>
          <w:rFonts w:ascii="Palatino Linotype" w:hAnsi="Palatino Linotype" w:eastAsia="Palatino" w:cs="Times New Roman"/>
          <w:sz w:val="26"/>
          <w:szCs w:val="26"/>
        </w:rPr>
      </w:pPr>
      <w:r w:rsidRPr="00183E98">
        <w:rPr>
          <w:rFonts w:ascii="Palatino Linotype" w:hAnsi="Palatino Linotype" w:eastAsia="Palatino" w:cs="Times New Roman"/>
          <w:sz w:val="26"/>
          <w:szCs w:val="26"/>
        </w:rPr>
        <w:t>Approves paying remittances to Community Choice Aggregators with customers enrolled in Arrearage Management Plans for costs of forgiving generation-related arrearages associated with those unbundled customers.</w:t>
      </w:r>
    </w:p>
    <w:p w:rsidRPr="000B47C0" w:rsidR="00FE6881" w:rsidP="00624943" w:rsidRDefault="00FE6881" w14:paraId="5FB43DB6" w14:textId="77777777">
      <w:pPr>
        <w:spacing w:after="0" w:line="240" w:lineRule="auto"/>
        <w:ind w:left="360" w:right="720"/>
        <w:rPr>
          <w:rFonts w:ascii="Palatino Linotype" w:hAnsi="Palatino Linotype" w:eastAsia="Times New Roman" w:cs="Times New Roman"/>
          <w:sz w:val="26"/>
          <w:szCs w:val="20"/>
        </w:rPr>
      </w:pPr>
    </w:p>
    <w:p w:rsidRPr="00183E98" w:rsidR="00FE6881" w:rsidP="00624943" w:rsidRDefault="00FE6881" w14:paraId="20B04DD4" w14:textId="77777777">
      <w:pPr>
        <w:spacing w:after="0" w:line="240" w:lineRule="auto"/>
        <w:ind w:right="720"/>
        <w:rPr>
          <w:rFonts w:ascii="Palatino Linotype" w:hAnsi="Palatino Linotype" w:eastAsia="Times New Roman" w:cs="Times New Roman"/>
          <w:sz w:val="26"/>
          <w:szCs w:val="20"/>
        </w:rPr>
      </w:pPr>
      <w:r w:rsidRPr="00183E98">
        <w:rPr>
          <w:rFonts w:ascii="Palatino Linotype" w:hAnsi="Palatino Linotype" w:eastAsia="Times New Roman" w:cs="Times New Roman"/>
          <w:sz w:val="26"/>
          <w:szCs w:val="20"/>
        </w:rPr>
        <w:t>SAFETY CONSIDERATIONS:</w:t>
      </w:r>
    </w:p>
    <w:p w:rsidRPr="000B47C0" w:rsidR="00FE6881" w:rsidP="00624943" w:rsidRDefault="00C665F4" w14:paraId="26A68845" w14:textId="59A897B7">
      <w:pPr>
        <w:numPr>
          <w:ilvl w:val="0"/>
          <w:numId w:val="3"/>
        </w:numPr>
        <w:spacing w:after="0" w:line="240" w:lineRule="auto"/>
        <w:ind w:left="1080" w:right="720"/>
        <w:rPr>
          <w:rFonts w:ascii="Palatino Linotype" w:hAnsi="Palatino Linotype" w:eastAsia="Times New Roman" w:cs="Times New Roman"/>
          <w:sz w:val="26"/>
          <w:szCs w:val="20"/>
        </w:rPr>
      </w:pPr>
      <w:r w:rsidRPr="00183E98">
        <w:rPr>
          <w:rFonts w:ascii="Palatino Linotype" w:hAnsi="Palatino Linotype" w:eastAsia="Times New Roman" w:cs="Times New Roman"/>
          <w:sz w:val="26"/>
          <w:szCs w:val="20"/>
        </w:rPr>
        <w:t xml:space="preserve">There are no direct safety considerations </w:t>
      </w:r>
      <w:r w:rsidRPr="00183E98" w:rsidR="00187CE0">
        <w:rPr>
          <w:rFonts w:ascii="Palatino Linotype" w:hAnsi="Palatino Linotype" w:eastAsia="Times New Roman" w:cs="Times New Roman"/>
          <w:sz w:val="26"/>
          <w:szCs w:val="20"/>
        </w:rPr>
        <w:t xml:space="preserve">associated with this resolution.  </w:t>
      </w:r>
      <w:r w:rsidRPr="00183E98" w:rsidR="00FE6881">
        <w:rPr>
          <w:rFonts w:ascii="Palatino Linotype" w:hAnsi="Palatino Linotype" w:eastAsia="Times New Roman" w:cs="Times New Roman"/>
          <w:sz w:val="26"/>
          <w:szCs w:val="20"/>
        </w:rPr>
        <w:t xml:space="preserve">The approved Arrearage Management Plans could result in forgiven arrearages for participants which in turn could potentially reduce disconnection of utility service for such participants.  Disconnection of gas or electric service can lead to unsafe conditions.  </w:t>
      </w:r>
    </w:p>
    <w:p w:rsidRPr="000B47C0" w:rsidR="00FE6881" w:rsidP="00624943" w:rsidRDefault="00FE6881" w14:paraId="5DC69921" w14:textId="77777777">
      <w:pPr>
        <w:spacing w:after="0" w:line="240" w:lineRule="auto"/>
        <w:ind w:left="360" w:right="720"/>
        <w:rPr>
          <w:rFonts w:ascii="Palatino Linotype" w:hAnsi="Palatino Linotype" w:eastAsia="Times New Roman" w:cs="Times New Roman"/>
          <w:sz w:val="26"/>
          <w:szCs w:val="20"/>
        </w:rPr>
      </w:pPr>
    </w:p>
    <w:p w:rsidRPr="000B47C0" w:rsidR="00FE6881" w:rsidP="00624943" w:rsidRDefault="00FE6881" w14:paraId="26ED6D91" w14:textId="77777777">
      <w:pPr>
        <w:spacing w:after="0" w:line="240" w:lineRule="auto"/>
        <w:ind w:left="360" w:right="720"/>
        <w:rPr>
          <w:rFonts w:ascii="Palatino Linotype" w:hAnsi="Palatino Linotype" w:eastAsia="Times New Roman" w:cs="Times New Roman"/>
          <w:sz w:val="26"/>
          <w:szCs w:val="20"/>
        </w:rPr>
      </w:pPr>
      <w:r w:rsidRPr="00183E98">
        <w:rPr>
          <w:rFonts w:ascii="Palatino Linotype" w:hAnsi="Palatino Linotype" w:eastAsia="Times New Roman" w:cs="Times New Roman"/>
          <w:sz w:val="26"/>
          <w:szCs w:val="20"/>
        </w:rPr>
        <w:t>ESTIMATED COST</w:t>
      </w:r>
      <w:r w:rsidRPr="000B47C0">
        <w:rPr>
          <w:rFonts w:ascii="Palatino Linotype" w:hAnsi="Palatino Linotype" w:eastAsia="Times New Roman" w:cs="Times New Roman"/>
          <w:sz w:val="26"/>
          <w:szCs w:val="20"/>
        </w:rPr>
        <w:t xml:space="preserve">:  </w:t>
      </w:r>
    </w:p>
    <w:p w:rsidRPr="000B47C0" w:rsidR="00FE6881" w:rsidP="00624943" w:rsidRDefault="00FE6881" w14:paraId="7D9120B3" w14:textId="77777777">
      <w:pPr>
        <w:numPr>
          <w:ilvl w:val="0"/>
          <w:numId w:val="3"/>
        </w:numPr>
        <w:spacing w:after="0" w:line="240" w:lineRule="auto"/>
        <w:ind w:left="1080" w:right="720"/>
        <w:rPr>
          <w:rFonts w:ascii="Palatino Linotype" w:hAnsi="Palatino Linotype" w:eastAsia="Times New Roman" w:cs="Times New Roman"/>
          <w:sz w:val="26"/>
          <w:szCs w:val="20"/>
        </w:rPr>
      </w:pPr>
      <w:r w:rsidRPr="00183E98">
        <w:rPr>
          <w:rFonts w:ascii="Palatino Linotype" w:hAnsi="Palatino Linotype" w:eastAsia="Times New Roman" w:cs="Times New Roman"/>
          <w:sz w:val="26"/>
          <w:szCs w:val="20"/>
        </w:rPr>
        <w:t>This resolution is expected to result in costs to ratepayers ranging from hundreds of thousands to the low millions of dollars per utility, primarily due to the cost of forgiven customer arrearages. Costs may be substantially lower than forecasted, particularly in 2021.</w:t>
      </w:r>
      <w:r w:rsidRPr="00183E98">
        <w:rPr>
          <w:rFonts w:ascii="Palatino Linotype" w:hAnsi="Palatino Linotype" w:eastAsia="Times New Roman" w:cs="Times New Roman"/>
          <w:sz w:val="26"/>
          <w:szCs w:val="20"/>
          <w:vertAlign w:val="superscript"/>
        </w:rPr>
        <w:footnoteReference w:id="2"/>
      </w:r>
      <w:r w:rsidRPr="000B47C0">
        <w:rPr>
          <w:rFonts w:ascii="Palatino Linotype" w:hAnsi="Palatino Linotype" w:eastAsia="Times New Roman" w:cs="Times New Roman"/>
          <w:sz w:val="26"/>
          <w:szCs w:val="20"/>
        </w:rPr>
        <w:t xml:space="preserve"> </w:t>
      </w:r>
    </w:p>
    <w:p w:rsidRPr="000B47C0" w:rsidR="00FE6881" w:rsidP="00624943" w:rsidRDefault="00FE6881" w14:paraId="43A068BD" w14:textId="5AC9FE07">
      <w:pPr>
        <w:numPr>
          <w:ilvl w:val="0"/>
          <w:numId w:val="3"/>
        </w:numPr>
        <w:spacing w:after="0" w:line="240" w:lineRule="auto"/>
        <w:ind w:left="1080" w:right="720"/>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lastRenderedPageBreak/>
        <w:t xml:space="preserve">Additional utility staffing and Information Technology (IT) costs associated with implementation of Arrearage Management Plans are also anticipated. These are expected to be significant initially during manual implementation of the programs </w:t>
      </w:r>
      <w:r w:rsidRPr="000B47C0" w:rsidR="0CD3B325">
        <w:rPr>
          <w:rFonts w:ascii="Palatino Linotype" w:hAnsi="Palatino Linotype" w:eastAsia="Times New Roman" w:cs="Times New Roman"/>
          <w:sz w:val="26"/>
          <w:szCs w:val="26"/>
        </w:rPr>
        <w:t>and then decline</w:t>
      </w:r>
      <w:r w:rsidRPr="000B47C0">
        <w:rPr>
          <w:rFonts w:ascii="Palatino Linotype" w:hAnsi="Palatino Linotype" w:eastAsia="Times New Roman" w:cs="Times New Roman"/>
          <w:sz w:val="26"/>
          <w:szCs w:val="26"/>
        </w:rPr>
        <w:t xml:space="preserve"> as enrollment and tracking processes are automated. </w:t>
      </w:r>
    </w:p>
    <w:p w:rsidRPr="000B47C0" w:rsidR="00FE6881" w:rsidP="00624943" w:rsidRDefault="00FE6881" w14:paraId="7BDF0248" w14:textId="77777777">
      <w:pPr>
        <w:spacing w:after="0" w:line="240" w:lineRule="auto"/>
        <w:ind w:left="360" w:right="720"/>
        <w:rPr>
          <w:rFonts w:ascii="Palatino Linotype" w:hAnsi="Palatino Linotype" w:eastAsia="Times New Roman" w:cs="Times New Roman"/>
          <w:sz w:val="26"/>
          <w:szCs w:val="20"/>
        </w:rPr>
      </w:pPr>
    </w:p>
    <w:p w:rsidRPr="000B47C0" w:rsidR="00FE6881" w:rsidP="00624943" w:rsidRDefault="00FE6881" w14:paraId="35678C60" w14:textId="77777777">
      <w:pPr>
        <w:spacing w:after="0" w:line="240" w:lineRule="auto"/>
        <w:ind w:left="360" w:right="720"/>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 xml:space="preserve">By Advice Letters: </w:t>
      </w:r>
    </w:p>
    <w:p w:rsidRPr="000B47C0" w:rsidR="00FE6881" w:rsidP="00624943" w:rsidRDefault="00FE6881" w14:paraId="60812167" w14:textId="77777777">
      <w:pPr>
        <w:spacing w:after="0" w:line="240" w:lineRule="auto"/>
        <w:ind w:left="360" w:right="720" w:firstLine="720"/>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PG&amp;E 4308-G/5943-E, Filed on September 9, 2020.</w:t>
      </w:r>
    </w:p>
    <w:p w:rsidRPr="000B47C0" w:rsidR="00FE6881" w:rsidP="00624943" w:rsidRDefault="00FE6881" w14:paraId="54EB6726" w14:textId="77777777">
      <w:pPr>
        <w:spacing w:after="0" w:line="240" w:lineRule="auto"/>
        <w:ind w:left="360" w:right="720" w:firstLine="720"/>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SCE 4287-E, Filed on September 9, 2020.</w:t>
      </w:r>
    </w:p>
    <w:p w:rsidRPr="000B47C0" w:rsidR="00FE6881" w:rsidP="00624943" w:rsidRDefault="00FE6881" w14:paraId="65E10ADF" w14:textId="77777777">
      <w:pPr>
        <w:spacing w:after="0" w:line="240" w:lineRule="auto"/>
        <w:ind w:left="360" w:right="720" w:firstLine="720"/>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SDG&amp;E 2902-G/3602-E, Filed on September 9, 2020.</w:t>
      </w:r>
    </w:p>
    <w:p w:rsidRPr="000B47C0" w:rsidR="00FE6881" w:rsidP="00624943" w:rsidRDefault="243BEED9" w14:paraId="056B06B3" w14:textId="12233F7E">
      <w:pPr>
        <w:spacing w:after="0" w:line="240" w:lineRule="auto"/>
        <w:ind w:left="360" w:right="720" w:firstLine="720"/>
        <w:rPr>
          <w:rFonts w:ascii="Palatino Linotype" w:hAnsi="Palatino Linotype" w:eastAsia="Times New Roman" w:cs="Times New Roman"/>
          <w:sz w:val="26"/>
          <w:szCs w:val="26"/>
        </w:rPr>
      </w:pPr>
      <w:bookmarkStart w:name="_Hlk54794648" w:id="1"/>
      <w:r w:rsidRPr="000B47C0">
        <w:rPr>
          <w:rFonts w:ascii="Palatino Linotype" w:hAnsi="Palatino Linotype" w:eastAsia="Times New Roman" w:cs="Times New Roman"/>
          <w:sz w:val="26"/>
          <w:szCs w:val="26"/>
        </w:rPr>
        <w:t>SoCalGas</w:t>
      </w:r>
      <w:r w:rsidRPr="000B47C0" w:rsidR="00FE6881">
        <w:rPr>
          <w:rFonts w:ascii="Palatino Linotype" w:hAnsi="Palatino Linotype" w:eastAsia="Times New Roman" w:cs="Times New Roman"/>
          <w:sz w:val="26"/>
          <w:szCs w:val="26"/>
        </w:rPr>
        <w:t xml:space="preserve"> 5689-G</w:t>
      </w:r>
      <w:bookmarkEnd w:id="1"/>
      <w:r w:rsidRPr="000B47C0" w:rsidR="00FE6881">
        <w:rPr>
          <w:rFonts w:ascii="Palatino Linotype" w:hAnsi="Palatino Linotype" w:eastAsia="Times New Roman" w:cs="Times New Roman"/>
          <w:sz w:val="26"/>
          <w:szCs w:val="26"/>
        </w:rPr>
        <w:t xml:space="preserve">, Filed on September 9, 2020. </w:t>
      </w:r>
    </w:p>
    <w:p w:rsidRPr="000B47C0" w:rsidR="00FE6881" w:rsidP="00624943" w:rsidRDefault="00FE6881" w14:paraId="75ECB3E7" w14:textId="77777777">
      <w:pPr>
        <w:spacing w:after="0" w:line="240" w:lineRule="auto"/>
        <w:jc w:val="center"/>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__________________________________________________________</w:t>
      </w:r>
    </w:p>
    <w:p w:rsidRPr="000B47C0" w:rsidR="00FE6881" w:rsidP="00FE6881" w:rsidRDefault="00FE6881" w14:paraId="14BE8B93" w14:textId="77777777">
      <w:pPr>
        <w:spacing w:after="0" w:line="240" w:lineRule="auto"/>
        <w:rPr>
          <w:rFonts w:ascii="Palatino Linotype" w:hAnsi="Palatino Linotype" w:eastAsia="Times New Roman" w:cs="Times New Roman"/>
          <w:b/>
          <w:sz w:val="26"/>
          <w:szCs w:val="20"/>
        </w:rPr>
      </w:pPr>
    </w:p>
    <w:p w:rsidRPr="003B2D7E" w:rsidR="00FE6881" w:rsidP="00FE6881" w:rsidRDefault="00FE6881" w14:paraId="6CFD342E" w14:textId="77777777">
      <w:pPr>
        <w:keepNext/>
        <w:spacing w:before="120" w:after="240" w:line="240" w:lineRule="auto"/>
        <w:outlineLvl w:val="0"/>
        <w:rPr>
          <w:rFonts w:ascii="Arial" w:hAnsi="Arial" w:eastAsia="Times New Roman" w:cs="Arial"/>
          <w:b/>
          <w:caps/>
          <w:kern w:val="28"/>
          <w:sz w:val="26"/>
          <w:szCs w:val="20"/>
          <w:u w:val="single"/>
        </w:rPr>
      </w:pPr>
      <w:r w:rsidRPr="003B2D7E">
        <w:rPr>
          <w:rFonts w:ascii="Arial" w:hAnsi="Arial" w:eastAsia="Times New Roman" w:cs="Arial"/>
          <w:b/>
          <w:caps/>
          <w:kern w:val="28"/>
          <w:sz w:val="26"/>
          <w:szCs w:val="20"/>
          <w:u w:val="single"/>
        </w:rPr>
        <w:t>Summary</w:t>
      </w:r>
      <w:bookmarkEnd w:id="0"/>
    </w:p>
    <w:p w:rsidRPr="00183E98" w:rsidR="00FE6881" w:rsidP="00FE6881" w:rsidRDefault="00FE6881" w14:paraId="48C7C83D" w14:textId="6D477C4B">
      <w:pPr>
        <w:spacing w:after="0" w:line="240" w:lineRule="auto"/>
        <w:rPr>
          <w:rFonts w:ascii="Palatino Linotype" w:hAnsi="Palatino Linotype" w:eastAsia="Times New Roman" w:cs="Times New Roman"/>
          <w:sz w:val="26"/>
          <w:szCs w:val="26"/>
        </w:rPr>
      </w:pPr>
      <w:r w:rsidRPr="00183E98">
        <w:rPr>
          <w:rFonts w:ascii="Palatino Linotype" w:hAnsi="Palatino Linotype" w:eastAsia="Times New Roman" w:cs="Times New Roman"/>
          <w:sz w:val="26"/>
          <w:szCs w:val="26"/>
        </w:rPr>
        <w:t>This Resolution approves with modifications the Arrearage Management Plan (AMP) proposals submitted by Pacific Gas &amp; Electric Company (PG&amp;E), Southern California Edison Company (SCE), San Diego Gas &amp; Electric Company (SDG&amp;E), and Southern California Gas Company (</w:t>
      </w:r>
      <w:r w:rsidRPr="00183E98" w:rsidR="4B378553">
        <w:rPr>
          <w:rFonts w:ascii="Palatino Linotype" w:hAnsi="Palatino Linotype" w:eastAsia="Times New Roman" w:cs="Times New Roman"/>
          <w:sz w:val="26"/>
          <w:szCs w:val="26"/>
        </w:rPr>
        <w:t>SoCalGas</w:t>
      </w:r>
      <w:r w:rsidRPr="00183E98">
        <w:rPr>
          <w:rFonts w:ascii="Palatino Linotype" w:hAnsi="Palatino Linotype" w:eastAsia="Times New Roman" w:cs="Times New Roman"/>
          <w:sz w:val="26"/>
          <w:szCs w:val="26"/>
        </w:rPr>
        <w:t>), collectively “IOUs,” pursuant to Decision (D.)20-06-003, which required submission of Tier 2 Advice Letters (ALs) detailing plans to establish AMP programs.</w:t>
      </w:r>
    </w:p>
    <w:p w:rsidRPr="00183E98" w:rsidR="00FE6881" w:rsidP="00FE6881" w:rsidRDefault="00FE6881" w14:paraId="3359ABFF" w14:textId="77777777">
      <w:pPr>
        <w:spacing w:after="0" w:line="240" w:lineRule="auto"/>
        <w:rPr>
          <w:rFonts w:ascii="Palatino Linotype" w:hAnsi="Palatino Linotype" w:eastAsia="Times New Roman" w:cs="Times New Roman"/>
          <w:sz w:val="26"/>
          <w:szCs w:val="20"/>
        </w:rPr>
      </w:pPr>
    </w:p>
    <w:p w:rsidRPr="00183E98" w:rsidR="00FE6881" w:rsidP="00FE6881" w:rsidRDefault="00FE6881" w14:paraId="12281554" w14:textId="69725AE2">
      <w:pPr>
        <w:spacing w:after="0" w:line="240" w:lineRule="auto"/>
        <w:rPr>
          <w:rFonts w:ascii="Palatino Linotype" w:hAnsi="Palatino Linotype" w:eastAsia="Times New Roman" w:cs="Times New Roman"/>
          <w:sz w:val="26"/>
          <w:szCs w:val="26"/>
        </w:rPr>
      </w:pPr>
      <w:r w:rsidRPr="00183E98">
        <w:rPr>
          <w:rFonts w:ascii="Palatino Linotype" w:hAnsi="Palatino Linotype" w:eastAsia="Times New Roman" w:cs="Times New Roman"/>
          <w:sz w:val="26"/>
          <w:szCs w:val="26"/>
        </w:rPr>
        <w:t xml:space="preserve">The arrearages are billed amounts for electric or gas service that customers owe to an IOU but have not paid. When customers </w:t>
      </w:r>
      <w:r w:rsidRPr="00183E98" w:rsidR="3ACA651B">
        <w:rPr>
          <w:rFonts w:ascii="Palatino Linotype" w:hAnsi="Palatino Linotype" w:eastAsia="Times New Roman" w:cs="Times New Roman"/>
          <w:sz w:val="26"/>
          <w:szCs w:val="26"/>
        </w:rPr>
        <w:t>are in arrears</w:t>
      </w:r>
      <w:r w:rsidRPr="00183E98">
        <w:rPr>
          <w:rFonts w:ascii="Palatino Linotype" w:hAnsi="Palatino Linotype" w:eastAsia="Times New Roman" w:cs="Times New Roman"/>
          <w:sz w:val="26"/>
          <w:szCs w:val="26"/>
        </w:rPr>
        <w:t xml:space="preserve"> to their IOU, at some point the IOU may disconnect service due to the arrearage. Disconnection from electric or gas service may create unsafe conditions for customers, and reducing the number of customers in arrears and the amount of arrearages owed is anticipated to reduce the number of customers </w:t>
      </w:r>
      <w:r w:rsidRPr="00183E98" w:rsidR="00A4679F">
        <w:rPr>
          <w:rFonts w:ascii="Palatino Linotype" w:hAnsi="Palatino Linotype" w:eastAsia="Times New Roman" w:cs="Times New Roman"/>
          <w:sz w:val="26"/>
          <w:szCs w:val="26"/>
        </w:rPr>
        <w:t xml:space="preserve">who could be </w:t>
      </w:r>
      <w:r w:rsidRPr="00183E98">
        <w:rPr>
          <w:rFonts w:ascii="Palatino Linotype" w:hAnsi="Palatino Linotype" w:eastAsia="Times New Roman" w:cs="Times New Roman"/>
          <w:sz w:val="26"/>
          <w:szCs w:val="26"/>
        </w:rPr>
        <w:t xml:space="preserve">disconnected for nonpayment. </w:t>
      </w:r>
    </w:p>
    <w:p w:rsidRPr="00183E98" w:rsidR="00FE6881" w:rsidP="00FE6881" w:rsidRDefault="00FE6881" w14:paraId="26C6FA21" w14:textId="77777777">
      <w:pPr>
        <w:spacing w:after="0" w:line="240" w:lineRule="auto"/>
        <w:rPr>
          <w:rFonts w:ascii="Palatino Linotype" w:hAnsi="Palatino Linotype" w:eastAsia="Times New Roman" w:cs="Times New Roman"/>
          <w:sz w:val="26"/>
          <w:szCs w:val="20"/>
        </w:rPr>
      </w:pPr>
    </w:p>
    <w:p w:rsidRPr="00183E98" w:rsidR="00FE6881" w:rsidP="00FE6881" w:rsidRDefault="00CB232A" w14:paraId="3A7689D2" w14:textId="76E82128">
      <w:pPr>
        <w:spacing w:after="0" w:line="240" w:lineRule="auto"/>
        <w:rPr>
          <w:rFonts w:ascii="Palatino Linotype" w:hAnsi="Palatino Linotype" w:eastAsia="Times New Roman" w:cs="Times New Roman"/>
          <w:sz w:val="26"/>
          <w:szCs w:val="20"/>
        </w:rPr>
      </w:pPr>
      <w:r w:rsidRPr="00183E98">
        <w:rPr>
          <w:rFonts w:ascii="Palatino Linotype" w:hAnsi="Palatino Linotype" w:eastAsia="Times New Roman" w:cs="Times New Roman"/>
          <w:sz w:val="26"/>
          <w:szCs w:val="20"/>
        </w:rPr>
        <w:t>The AMP program approved by this resolution essentially forgives past due arre</w:t>
      </w:r>
      <w:r w:rsidRPr="00183E98" w:rsidR="00487724">
        <w:rPr>
          <w:rFonts w:ascii="Palatino Linotype" w:hAnsi="Palatino Linotype" w:eastAsia="Times New Roman" w:cs="Times New Roman"/>
          <w:sz w:val="26"/>
          <w:szCs w:val="20"/>
        </w:rPr>
        <w:t xml:space="preserve">arages for participants in the program.  </w:t>
      </w:r>
      <w:r w:rsidRPr="00183E98" w:rsidR="00FE6881">
        <w:rPr>
          <w:rFonts w:ascii="Palatino Linotype" w:hAnsi="Palatino Linotype" w:eastAsia="Times New Roman" w:cs="Times New Roman"/>
          <w:sz w:val="26"/>
          <w:szCs w:val="20"/>
        </w:rPr>
        <w:t xml:space="preserve">Per this resolution, the IOUs are authorized to record costs associated with </w:t>
      </w:r>
      <w:r w:rsidRPr="00183E98" w:rsidR="0079642E">
        <w:rPr>
          <w:rFonts w:ascii="Palatino Linotype" w:hAnsi="Palatino Linotype" w:eastAsia="Times New Roman" w:cs="Times New Roman"/>
          <w:sz w:val="26"/>
          <w:szCs w:val="20"/>
        </w:rPr>
        <w:t>the</w:t>
      </w:r>
      <w:r w:rsidRPr="00183E98" w:rsidR="00FE6881">
        <w:rPr>
          <w:rFonts w:ascii="Palatino Linotype" w:hAnsi="Palatino Linotype" w:eastAsia="Times New Roman" w:cs="Times New Roman"/>
          <w:sz w:val="26"/>
          <w:szCs w:val="20"/>
        </w:rPr>
        <w:t xml:space="preserve"> uncollected, forgiven arrearages in a two-way balancing account and to recover the balance through the Public Purpose Program (PPP) Charge during an annual true-up process. In other </w:t>
      </w:r>
      <w:r w:rsidRPr="00183E98" w:rsidR="00FE6881">
        <w:rPr>
          <w:rFonts w:ascii="Palatino Linotype" w:hAnsi="Palatino Linotype" w:eastAsia="Times New Roman" w:cs="Times New Roman"/>
          <w:sz w:val="26"/>
          <w:szCs w:val="20"/>
        </w:rPr>
        <w:lastRenderedPageBreak/>
        <w:t xml:space="preserve">words, unpaid arrearages that </w:t>
      </w:r>
      <w:r w:rsidRPr="00183E98" w:rsidR="008E3771">
        <w:rPr>
          <w:rFonts w:ascii="Palatino Linotype" w:hAnsi="Palatino Linotype" w:eastAsia="Times New Roman" w:cs="Times New Roman"/>
          <w:sz w:val="26"/>
          <w:szCs w:val="20"/>
        </w:rPr>
        <w:t>have been forgiven</w:t>
      </w:r>
      <w:r w:rsidRPr="00183E98" w:rsidR="00FE6881">
        <w:rPr>
          <w:rFonts w:ascii="Palatino Linotype" w:hAnsi="Palatino Linotype" w:eastAsia="Times New Roman" w:cs="Times New Roman"/>
          <w:sz w:val="26"/>
          <w:szCs w:val="20"/>
        </w:rPr>
        <w:t xml:space="preserve"> in accordance with AMP will be recovered from all classes of customers that currently pay the PPP Charge.  </w:t>
      </w:r>
    </w:p>
    <w:p w:rsidRPr="00183E98" w:rsidR="00FE6881" w:rsidP="00FE6881" w:rsidRDefault="00FE6881" w14:paraId="70922237" w14:textId="77777777">
      <w:pPr>
        <w:spacing w:after="0" w:line="240" w:lineRule="auto"/>
        <w:rPr>
          <w:rFonts w:ascii="Palatino Linotype" w:hAnsi="Palatino Linotype" w:eastAsia="Times New Roman" w:cs="Times New Roman"/>
          <w:sz w:val="26"/>
          <w:szCs w:val="20"/>
        </w:rPr>
      </w:pPr>
    </w:p>
    <w:p w:rsidR="00FE6881" w:rsidP="00FE6881" w:rsidRDefault="00FE6881" w14:paraId="31378B85" w14:textId="3D263F06">
      <w:pPr>
        <w:spacing w:after="0" w:line="240" w:lineRule="auto"/>
        <w:rPr>
          <w:rFonts w:ascii="Palatino Linotype" w:hAnsi="Palatino Linotype" w:eastAsia="Times New Roman" w:cs="Times New Roman"/>
          <w:sz w:val="26"/>
          <w:szCs w:val="20"/>
        </w:rPr>
      </w:pPr>
      <w:r w:rsidRPr="00183E98">
        <w:rPr>
          <w:rFonts w:ascii="Palatino Linotype" w:hAnsi="Palatino Linotype" w:eastAsia="Times New Roman" w:cs="Times New Roman"/>
          <w:sz w:val="26"/>
          <w:szCs w:val="20"/>
        </w:rPr>
        <w:t xml:space="preserve">In addition, IOUs are also authorized to track arrearages of unbundled customers who enroll in AMP and receive arrearage forgiveness. IOUs shall track the amount of arrearages owed by these customers to Community Choice Aggregators (CCAs) that are forgiven through AMP in the same balancing account used to track and recover the cost of all arrearages forgiven through AMP and shall make remittance payments to each CCA with customers enrolled </w:t>
      </w:r>
      <w:r w:rsidRPr="00183E98" w:rsidR="00C93D01">
        <w:rPr>
          <w:rFonts w:ascii="Palatino Linotype" w:hAnsi="Palatino Linotype" w:eastAsia="Times New Roman" w:cs="Times New Roman"/>
          <w:sz w:val="26"/>
          <w:szCs w:val="20"/>
        </w:rPr>
        <w:t>in AMP</w:t>
      </w:r>
      <w:r w:rsidRPr="00183E98">
        <w:rPr>
          <w:rFonts w:ascii="Palatino Linotype" w:hAnsi="Palatino Linotype" w:eastAsia="Times New Roman" w:cs="Times New Roman"/>
          <w:sz w:val="26"/>
          <w:szCs w:val="20"/>
        </w:rPr>
        <w:t xml:space="preserve"> to compensate CCAs for the cost of forgiven arrearages owed to the CCA by unbundled customers. </w:t>
      </w:r>
    </w:p>
    <w:p w:rsidRPr="00183E98" w:rsidR="003B2D7E" w:rsidP="00FE6881" w:rsidRDefault="003B2D7E" w14:paraId="383B5E50" w14:textId="77777777">
      <w:pPr>
        <w:spacing w:after="0" w:line="240" w:lineRule="auto"/>
        <w:rPr>
          <w:rFonts w:ascii="Palatino Linotype" w:hAnsi="Palatino Linotype" w:eastAsia="Times New Roman" w:cs="Times New Roman"/>
          <w:sz w:val="26"/>
          <w:szCs w:val="20"/>
        </w:rPr>
      </w:pPr>
    </w:p>
    <w:p w:rsidRPr="003B2D7E" w:rsidR="00FE6881" w:rsidP="00FE6881" w:rsidRDefault="00FE6881" w14:paraId="3AF04AC1" w14:textId="77777777">
      <w:pPr>
        <w:keepNext/>
        <w:spacing w:before="120" w:after="240" w:line="240" w:lineRule="auto"/>
        <w:outlineLvl w:val="0"/>
        <w:rPr>
          <w:rFonts w:ascii="Arial" w:hAnsi="Arial" w:eastAsia="Times New Roman" w:cs="Arial"/>
          <w:b/>
          <w:caps/>
          <w:kern w:val="28"/>
          <w:sz w:val="26"/>
          <w:szCs w:val="20"/>
          <w:u w:val="single"/>
        </w:rPr>
      </w:pPr>
      <w:r w:rsidRPr="003B2D7E">
        <w:rPr>
          <w:rFonts w:ascii="Arial" w:hAnsi="Arial" w:eastAsia="Times New Roman" w:cs="Arial"/>
          <w:b/>
          <w:caps/>
          <w:kern w:val="28"/>
          <w:sz w:val="26"/>
          <w:szCs w:val="20"/>
          <w:u w:val="single"/>
        </w:rPr>
        <w:t>Background</w:t>
      </w:r>
    </w:p>
    <w:p w:rsidRPr="000B47C0" w:rsidR="00FE6881" w:rsidP="00FE6881" w:rsidRDefault="00FE6881" w14:paraId="2F7094FF" w14:textId="6A7B01E0">
      <w:p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In 2018, the </w:t>
      </w:r>
      <w:r w:rsidRPr="000B47C0" w:rsidR="00116509">
        <w:rPr>
          <w:rFonts w:ascii="Palatino Linotype" w:hAnsi="Palatino Linotype" w:eastAsia="Times New Roman" w:cs="Times New Roman"/>
          <w:sz w:val="26"/>
          <w:szCs w:val="26"/>
        </w:rPr>
        <w:t xml:space="preserve">CPUC </w:t>
      </w:r>
      <w:r w:rsidRPr="000B47C0">
        <w:rPr>
          <w:rFonts w:ascii="Palatino Linotype" w:hAnsi="Palatino Linotype" w:eastAsia="Times New Roman" w:cs="Times New Roman"/>
          <w:sz w:val="26"/>
          <w:szCs w:val="26"/>
        </w:rPr>
        <w:t xml:space="preserve">opened Rulemaking (R.)18-05-007 to examine new approaches to disconnections for nonpayment.  Disconnecting customers’ electric or gas service can create unsafe conditions for customers who depend on electric or gas service to meet basic needs such as heating, cooking, and light. </w:t>
      </w:r>
      <w:r w:rsidRPr="000B47C0" w:rsidR="00815085">
        <w:rPr>
          <w:rFonts w:ascii="Palatino Linotype" w:hAnsi="Palatino Linotype" w:eastAsia="Times New Roman" w:cs="Times New Roman"/>
          <w:sz w:val="26"/>
          <w:szCs w:val="26"/>
        </w:rPr>
        <w:t xml:space="preserve">The compounding effects of disconnection include disruption of the customer’s normal daily activities (e.g. potentially, the ability to maintain employment) as well as broad public health and social impacts associated with </w:t>
      </w:r>
      <w:r w:rsidRPr="000B47C0" w:rsidR="006D5A28">
        <w:rPr>
          <w:rFonts w:ascii="Palatino Linotype" w:hAnsi="Palatino Linotype" w:eastAsia="Times New Roman" w:cs="Times New Roman"/>
          <w:sz w:val="26"/>
          <w:szCs w:val="26"/>
        </w:rPr>
        <w:t xml:space="preserve">the </w:t>
      </w:r>
      <w:r w:rsidRPr="000B47C0" w:rsidR="00815085">
        <w:rPr>
          <w:rFonts w:ascii="Palatino Linotype" w:hAnsi="Palatino Linotype" w:eastAsia="Times New Roman" w:cs="Times New Roman"/>
          <w:sz w:val="26"/>
          <w:szCs w:val="26"/>
        </w:rPr>
        <w:t>lack of electric and gas service.</w:t>
      </w:r>
      <w:r w:rsidRPr="000B47C0">
        <w:rPr>
          <w:rFonts w:ascii="Palatino Linotype" w:hAnsi="Palatino Linotype" w:eastAsia="Times New Roman" w:cs="Times New Roman"/>
          <w:sz w:val="26"/>
          <w:szCs w:val="26"/>
        </w:rPr>
        <w:t xml:space="preserve"> The </w:t>
      </w:r>
      <w:r w:rsidRPr="000B47C0" w:rsidR="00116509">
        <w:rPr>
          <w:rFonts w:ascii="Palatino Linotype" w:hAnsi="Palatino Linotype" w:eastAsia="Times New Roman" w:cs="Times New Roman"/>
          <w:sz w:val="26"/>
          <w:szCs w:val="26"/>
        </w:rPr>
        <w:t xml:space="preserve">CPUC </w:t>
      </w:r>
      <w:r w:rsidRPr="000B47C0">
        <w:rPr>
          <w:rFonts w:ascii="Palatino Linotype" w:hAnsi="Palatino Linotype" w:eastAsia="Times New Roman" w:cs="Times New Roman"/>
          <w:sz w:val="26"/>
          <w:szCs w:val="26"/>
        </w:rPr>
        <w:t>opened the rulemaking following legislative direction in Senate Bill 598 (</w:t>
      </w:r>
      <w:proofErr w:type="spellStart"/>
      <w:r w:rsidRPr="000B47C0">
        <w:rPr>
          <w:rFonts w:ascii="Palatino Linotype" w:hAnsi="Palatino Linotype" w:eastAsia="Times New Roman" w:cs="Times New Roman"/>
          <w:sz w:val="26"/>
          <w:szCs w:val="26"/>
        </w:rPr>
        <w:t>Hueso</w:t>
      </w:r>
      <w:proofErr w:type="spellEnd"/>
      <w:r w:rsidRPr="000B47C0">
        <w:rPr>
          <w:rFonts w:ascii="Palatino Linotype" w:hAnsi="Palatino Linotype" w:eastAsia="Times New Roman" w:cs="Times New Roman"/>
          <w:sz w:val="26"/>
          <w:szCs w:val="26"/>
        </w:rPr>
        <w:t xml:space="preserve">, 2017) for the </w:t>
      </w:r>
      <w:r w:rsidRPr="000B47C0" w:rsidR="00116509">
        <w:rPr>
          <w:rFonts w:ascii="Palatino Linotype" w:hAnsi="Palatino Linotype" w:eastAsia="Times New Roman" w:cs="Times New Roman"/>
          <w:sz w:val="26"/>
          <w:szCs w:val="26"/>
        </w:rPr>
        <w:t xml:space="preserve">CPUC </w:t>
      </w:r>
      <w:r w:rsidRPr="000B47C0">
        <w:rPr>
          <w:rFonts w:ascii="Palatino Linotype" w:hAnsi="Palatino Linotype" w:eastAsia="Times New Roman" w:cs="Times New Roman"/>
          <w:sz w:val="26"/>
          <w:szCs w:val="26"/>
        </w:rPr>
        <w:t xml:space="preserve">to enact new policies to reduce the level of disconnections by </w:t>
      </w:r>
      <w:r w:rsidRPr="000B47C0" w:rsidR="6462C85D">
        <w:rPr>
          <w:rFonts w:ascii="Palatino Linotype" w:hAnsi="Palatino Linotype" w:eastAsia="Times New Roman" w:cs="Times New Roman"/>
          <w:sz w:val="26"/>
          <w:szCs w:val="26"/>
        </w:rPr>
        <w:t>IOUs</w:t>
      </w:r>
      <w:r w:rsidRPr="000B47C0">
        <w:rPr>
          <w:rFonts w:ascii="Palatino Linotype" w:hAnsi="Palatino Linotype" w:eastAsia="Times New Roman" w:cs="Times New Roman"/>
          <w:sz w:val="26"/>
          <w:szCs w:val="26"/>
        </w:rPr>
        <w:t xml:space="preserve"> statewide. </w:t>
      </w:r>
    </w:p>
    <w:p w:rsidRPr="000B47C0" w:rsidR="00FE6881" w:rsidP="00FE6881" w:rsidRDefault="00FE6881" w14:paraId="0D10CE09" w14:textId="77777777">
      <w:pPr>
        <w:spacing w:after="0" w:line="240" w:lineRule="auto"/>
        <w:rPr>
          <w:rFonts w:ascii="Palatino Linotype" w:hAnsi="Palatino Linotype" w:eastAsia="Times New Roman" w:cs="Times New Roman"/>
          <w:sz w:val="26"/>
          <w:szCs w:val="20"/>
        </w:rPr>
      </w:pPr>
    </w:p>
    <w:p w:rsidRPr="000B47C0" w:rsidR="0012472A" w:rsidP="00FE6881" w:rsidRDefault="00FE6881" w14:paraId="75E3E27D" w14:textId="46981698">
      <w:p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Decision</w:t>
      </w:r>
      <w:r w:rsidRPr="000B47C0" w:rsidR="006D5A28">
        <w:rPr>
          <w:rFonts w:ascii="Palatino Linotype" w:hAnsi="Palatino Linotype" w:eastAsia="Times New Roman" w:cs="Times New Roman"/>
          <w:sz w:val="26"/>
          <w:szCs w:val="20"/>
        </w:rPr>
        <w:t xml:space="preserve"> (D).</w:t>
      </w:r>
      <w:r w:rsidRPr="000B47C0">
        <w:rPr>
          <w:rFonts w:ascii="Palatino Linotype" w:hAnsi="Palatino Linotype" w:eastAsia="Times New Roman" w:cs="Times New Roman"/>
          <w:sz w:val="26"/>
          <w:szCs w:val="20"/>
        </w:rPr>
        <w:t xml:space="preserve">20-06-003 adopted the AMP program to assist low-income IOU customers with unpaid electric and gas utility bills.  The program provides customers an opportunity to receive forgiveness for past-due arrearages in return for on-time payment of current monthly bills. Customers enrolled in AMP will receive forgiveness of 1/12 of their starting arrearage balance for every on-time payment of a current monthly bill, with a maximum possible amount of $8,000 in total forgiveness per 12-month period. Only customers enrolled in either the California Affordable Rates for Energy (CARE) or Family Electric Rate Assistance (FERA) programs are eligible for AMP, and customers must also owe at least $500 in arrearages, or $250 for gas-only customers, with some portion of the arrearage at least 90 days past due. </w:t>
      </w:r>
    </w:p>
    <w:p w:rsidRPr="000B47C0" w:rsidR="0012472A" w:rsidP="00FE6881" w:rsidRDefault="0012472A" w14:paraId="141A5D7B"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58BCE91D" w14:textId="5E0B1D00">
      <w:p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Customers enrolled in AMP who fail to make a current on-time monthly bill payment in two sequential months or three non-sequential months shall be removed from participation, but they will retain any arrearage forgiveness received through AMP prior to their removal from the program. Customers removed from the program </w:t>
      </w:r>
      <w:r w:rsidRPr="000B47C0" w:rsidR="5E874548">
        <w:rPr>
          <w:rFonts w:ascii="Palatino Linotype" w:hAnsi="Palatino Linotype" w:eastAsia="Times New Roman" w:cs="Times New Roman"/>
          <w:sz w:val="26"/>
          <w:szCs w:val="26"/>
        </w:rPr>
        <w:t>in</w:t>
      </w:r>
      <w:r w:rsidRPr="000B47C0">
        <w:rPr>
          <w:rFonts w:ascii="Palatino Linotype" w:hAnsi="Palatino Linotype" w:eastAsia="Times New Roman" w:cs="Times New Roman"/>
          <w:sz w:val="26"/>
          <w:szCs w:val="26"/>
        </w:rPr>
        <w:t>voluntarily, through failure to remain current on monthly bills, or after completing 12 months of on-time monthly bill payments may re-enroll after a 12-month waiting period provided that they still meet the eligibility criteria at the time of re-enrollment.</w:t>
      </w:r>
    </w:p>
    <w:p w:rsidRPr="000B47C0" w:rsidR="00FE6881" w:rsidP="00FE6881" w:rsidRDefault="00FE6881" w14:paraId="6247E010" w14:textId="77777777">
      <w:pPr>
        <w:spacing w:after="0" w:line="240" w:lineRule="auto"/>
        <w:rPr>
          <w:rFonts w:ascii="Palatino Linotype" w:hAnsi="Palatino Linotype" w:eastAsia="Times New Roman" w:cs="Times New Roman"/>
          <w:sz w:val="26"/>
          <w:szCs w:val="20"/>
        </w:rPr>
      </w:pPr>
    </w:p>
    <w:p w:rsidRPr="000B47C0" w:rsidR="00AA3644" w:rsidP="00FE6881" w:rsidRDefault="00FE6881" w14:paraId="5E5BA0FE" w14:textId="54B21F00">
      <w:p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Ordering Paragraph (OP) 83 of Decision (D.) 20-06-003 directed the IOUs to submit Tier 2 Advice Letters (ALs) within 90 days of its effective date to implement AMP programs for their customers. D.20-06-003 </w:t>
      </w:r>
      <w:r w:rsidRPr="000B47C0" w:rsidR="00752B54">
        <w:rPr>
          <w:rFonts w:ascii="Palatino Linotype" w:hAnsi="Palatino Linotype" w:eastAsia="Times New Roman" w:cs="Times New Roman"/>
          <w:sz w:val="26"/>
          <w:szCs w:val="26"/>
        </w:rPr>
        <w:t>also</w:t>
      </w:r>
      <w:r w:rsidRPr="000B47C0">
        <w:rPr>
          <w:rFonts w:ascii="Palatino Linotype" w:hAnsi="Palatino Linotype" w:eastAsia="Times New Roman" w:cs="Times New Roman"/>
          <w:sz w:val="26"/>
          <w:szCs w:val="26"/>
        </w:rPr>
        <w:t xml:space="preserve"> established the AMP Working Group, co-led by </w:t>
      </w:r>
      <w:r w:rsidRPr="000B47C0" w:rsidR="56DA25B0">
        <w:rPr>
          <w:rFonts w:ascii="Palatino Linotype" w:hAnsi="Palatino Linotype" w:eastAsia="Times New Roman" w:cs="Times New Roman"/>
          <w:sz w:val="26"/>
          <w:szCs w:val="26"/>
        </w:rPr>
        <w:t xml:space="preserve">the </w:t>
      </w:r>
      <w:r w:rsidRPr="000B47C0">
        <w:rPr>
          <w:rFonts w:ascii="Palatino Linotype" w:hAnsi="Palatino Linotype" w:eastAsia="Times New Roman" w:cs="Times New Roman"/>
          <w:sz w:val="26"/>
          <w:szCs w:val="26"/>
        </w:rPr>
        <w:t>IOUs, the California Community Choice Association (</w:t>
      </w:r>
      <w:proofErr w:type="spellStart"/>
      <w:r w:rsidRPr="000B47C0">
        <w:rPr>
          <w:rFonts w:ascii="Palatino Linotype" w:hAnsi="Palatino Linotype" w:eastAsia="Times New Roman" w:cs="Times New Roman"/>
          <w:sz w:val="26"/>
          <w:szCs w:val="26"/>
        </w:rPr>
        <w:t>CalCCA</w:t>
      </w:r>
      <w:proofErr w:type="spellEnd"/>
      <w:r w:rsidRPr="000B47C0">
        <w:rPr>
          <w:rFonts w:ascii="Palatino Linotype" w:hAnsi="Palatino Linotype" w:eastAsia="Times New Roman" w:cs="Times New Roman"/>
          <w:sz w:val="26"/>
          <w:szCs w:val="26"/>
        </w:rPr>
        <w:t xml:space="preserve">), and The Utility Reform Network (TURN), and OP 87 of D.20-06-003 tasked the AMP Working Group with evaluating potential options for cost recovery that would resolve concerns over potentially disproportionate costs allocated to certain CCAs resulting from arrearage forgiveness before IOUs would submit their Tier 2 ALs implementing AMP. </w:t>
      </w:r>
    </w:p>
    <w:p w:rsidRPr="000B47C0" w:rsidR="00AA3644" w:rsidP="00FE6881" w:rsidRDefault="00AA3644" w14:paraId="270384B5"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7A6BC08B" w14:textId="423BEC64">
      <w:p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The AMP Working Group met four times in advance of the IOUs’ submission of their ALs to discuss </w:t>
      </w:r>
      <w:r w:rsidRPr="000B47C0" w:rsidR="000B798D">
        <w:rPr>
          <w:rFonts w:ascii="Palatino Linotype" w:hAnsi="Palatino Linotype" w:eastAsia="Times New Roman" w:cs="Times New Roman"/>
          <w:sz w:val="26"/>
          <w:szCs w:val="26"/>
        </w:rPr>
        <w:t>details of the program including</w:t>
      </w:r>
      <w:r w:rsidRPr="000B47C0">
        <w:rPr>
          <w:rFonts w:ascii="Palatino Linotype" w:hAnsi="Palatino Linotype" w:eastAsia="Times New Roman" w:cs="Times New Roman"/>
          <w:sz w:val="26"/>
          <w:szCs w:val="26"/>
        </w:rPr>
        <w:t xml:space="preserve"> options for cost recovery</w:t>
      </w:r>
      <w:r w:rsidRPr="000B47C0" w:rsidR="0030354B">
        <w:rPr>
          <w:rFonts w:ascii="Palatino Linotype" w:hAnsi="Palatino Linotype" w:eastAsia="Times New Roman" w:cs="Times New Roman"/>
          <w:sz w:val="26"/>
          <w:szCs w:val="26"/>
        </w:rPr>
        <w:t xml:space="preserve">. </w:t>
      </w:r>
      <w:r w:rsidRPr="000B47C0" w:rsidR="110A4E22">
        <w:rPr>
          <w:rFonts w:ascii="Palatino Linotype" w:hAnsi="Palatino Linotype" w:eastAsia="Times New Roman" w:cs="Times New Roman"/>
          <w:sz w:val="26"/>
          <w:szCs w:val="26"/>
        </w:rPr>
        <w:t>A</w:t>
      </w:r>
      <w:r w:rsidRPr="000B47C0">
        <w:rPr>
          <w:rFonts w:ascii="Palatino Linotype" w:hAnsi="Palatino Linotype" w:eastAsia="Times New Roman" w:cs="Times New Roman"/>
          <w:sz w:val="26"/>
          <w:szCs w:val="26"/>
        </w:rPr>
        <w:t xml:space="preserve">t the last AMP Working Group meeting on August 28, 2020, each IOU proposed to track and recover costs for both unbundled and bundled customers through the existing PPP Charge. On September 9, 2020, the IOUs filed the above ALs, reflecting the input of the Working Group by proposing to recover costs of forgiven arrearages for both bundled and unbundled customers using the </w:t>
      </w:r>
      <w:r w:rsidRPr="000B47C0" w:rsidR="004254E0">
        <w:rPr>
          <w:rFonts w:ascii="Palatino Linotype" w:hAnsi="Palatino Linotype" w:eastAsia="Times New Roman" w:cs="Times New Roman"/>
          <w:sz w:val="26"/>
          <w:szCs w:val="26"/>
        </w:rPr>
        <w:t>PPP</w:t>
      </w:r>
      <w:r w:rsidRPr="000B47C0">
        <w:rPr>
          <w:rFonts w:ascii="Palatino Linotype" w:hAnsi="Palatino Linotype" w:eastAsia="Times New Roman" w:cs="Times New Roman"/>
          <w:sz w:val="26"/>
          <w:szCs w:val="26"/>
        </w:rPr>
        <w:t xml:space="preserve"> Charge and subsequently remit to participating CCAs the amount of forgiven arrearages owed to each CCA.</w:t>
      </w:r>
    </w:p>
    <w:p w:rsidRPr="000B47C0" w:rsidR="00FE6881" w:rsidP="00FE6881" w:rsidRDefault="00FE6881" w14:paraId="12C68292"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648BC812" w14:textId="2B5B213F">
      <w:p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All </w:t>
      </w:r>
      <w:r w:rsidRPr="000B47C0" w:rsidR="2B5BE7B5">
        <w:rPr>
          <w:rFonts w:ascii="Palatino Linotype" w:hAnsi="Palatino Linotype" w:eastAsia="Times New Roman" w:cs="Times New Roman"/>
          <w:sz w:val="26"/>
          <w:szCs w:val="26"/>
        </w:rPr>
        <w:t>the</w:t>
      </w:r>
      <w:r w:rsidRPr="000B47C0">
        <w:rPr>
          <w:rFonts w:ascii="Palatino Linotype" w:hAnsi="Palatino Linotype" w:eastAsia="Times New Roman" w:cs="Times New Roman"/>
          <w:sz w:val="26"/>
          <w:szCs w:val="26"/>
        </w:rPr>
        <w:t xml:space="preserve"> IOUs proposed AMP programs in their Tier 2 ALs consistent with the eligibility and operational requirements </w:t>
      </w:r>
      <w:r w:rsidRPr="000B47C0" w:rsidR="001F3AB4">
        <w:rPr>
          <w:rFonts w:ascii="Palatino Linotype" w:hAnsi="Palatino Linotype" w:eastAsia="Times New Roman" w:cs="Times New Roman"/>
          <w:sz w:val="26"/>
          <w:szCs w:val="26"/>
        </w:rPr>
        <w:t xml:space="preserve">established by </w:t>
      </w:r>
      <w:r w:rsidRPr="000B47C0">
        <w:rPr>
          <w:rFonts w:ascii="Palatino Linotype" w:hAnsi="Palatino Linotype" w:eastAsia="Times New Roman" w:cs="Times New Roman"/>
          <w:sz w:val="26"/>
          <w:szCs w:val="26"/>
        </w:rPr>
        <w:t xml:space="preserve">D.20-06-003. Eligible customers must meet the following criteria: (1) be enrolled in either California Alternate Rates for Energy (CARE) or Family Electric Rate Assistance (FERA) for bill assistance, (2) have made at least one on-time bill payment within the previous 24 months, and (3) have at least $500 in past-due arrearages (or $250 for </w:t>
      </w:r>
      <w:r w:rsidRPr="000B47C0">
        <w:rPr>
          <w:rFonts w:ascii="Palatino Linotype" w:hAnsi="Palatino Linotype" w:eastAsia="Times New Roman" w:cs="Times New Roman"/>
          <w:sz w:val="26"/>
          <w:szCs w:val="26"/>
        </w:rPr>
        <w:lastRenderedPageBreak/>
        <w:t>gas-only customers), some portion of which is at least 90 days old. Customers who enroll in AMP are subject to the following provisions and conditions:</w:t>
      </w:r>
    </w:p>
    <w:p w:rsidRPr="000B47C0" w:rsidR="00FE6881" w:rsidP="00FE6881" w:rsidRDefault="00FE6881" w14:paraId="61873ABF"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1BE593EC" w14:textId="77777777">
      <w:pPr>
        <w:numPr>
          <w:ilvl w:val="0"/>
          <w:numId w:val="5"/>
        </w:numPr>
        <w:spacing w:after="0" w:line="240" w:lineRule="auto"/>
        <w:contextualSpacing/>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 xml:space="preserve">Customers are entitled to arrearage forgiveness equal to 1/12 of their beginning arrearage balance for every on-time payment of a current monthly bill up to a maximum total amount of $8,000 over 12 months of payments. </w:t>
      </w:r>
    </w:p>
    <w:p w:rsidRPr="000B47C0" w:rsidR="00FE6881" w:rsidP="00FE6881" w:rsidRDefault="00FE6881" w14:paraId="516872BD" w14:textId="77777777">
      <w:pPr>
        <w:spacing w:after="0" w:line="240" w:lineRule="auto"/>
        <w:ind w:left="720"/>
        <w:contextualSpacing/>
        <w:rPr>
          <w:rFonts w:ascii="Palatino Linotype" w:hAnsi="Palatino Linotype" w:eastAsia="Times New Roman" w:cs="Times New Roman"/>
          <w:sz w:val="26"/>
          <w:szCs w:val="20"/>
        </w:rPr>
      </w:pPr>
    </w:p>
    <w:p w:rsidRPr="000B47C0" w:rsidR="00FE6881" w:rsidP="00FE6881" w:rsidRDefault="00FE6881" w14:paraId="2F06AABB" w14:textId="77777777">
      <w:pPr>
        <w:numPr>
          <w:ilvl w:val="0"/>
          <w:numId w:val="5"/>
        </w:numPr>
        <w:spacing w:after="0" w:line="240" w:lineRule="auto"/>
        <w:contextualSpacing/>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Customers who miss two consecutive monthly payments or three non-consecutive monthly payments will be removed from the program but will not forfeit forgiven amounts associated with on-time bill payments.</w:t>
      </w:r>
      <w:r w:rsidRPr="000B47C0">
        <w:rPr>
          <w:rFonts w:ascii="Palatino Linotype" w:hAnsi="Palatino Linotype" w:eastAsia="Times New Roman" w:cs="Times New Roman"/>
          <w:sz w:val="26"/>
          <w:szCs w:val="20"/>
        </w:rPr>
        <w:br/>
      </w:r>
    </w:p>
    <w:p w:rsidRPr="000B47C0" w:rsidR="00FE6881" w:rsidP="00FE6881" w:rsidRDefault="00FE6881" w14:paraId="2DD09B41" w14:textId="77777777">
      <w:pPr>
        <w:numPr>
          <w:ilvl w:val="0"/>
          <w:numId w:val="5"/>
        </w:numPr>
        <w:spacing w:after="0" w:line="240" w:lineRule="auto"/>
        <w:contextualSpacing/>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 xml:space="preserve">Customers who exit the program either for non-payment or successful completion of all 12 monthly payments may re-enroll after a 12-month waiting period. </w:t>
      </w:r>
    </w:p>
    <w:p w:rsidRPr="000B47C0" w:rsidR="00FE6881" w:rsidP="00FE6881" w:rsidRDefault="00FE6881" w14:paraId="36E0E5DB" w14:textId="77777777">
      <w:pPr>
        <w:spacing w:after="0" w:line="240" w:lineRule="auto"/>
        <w:ind w:left="360"/>
        <w:contextualSpacing/>
        <w:rPr>
          <w:rFonts w:ascii="Palatino Linotype" w:hAnsi="Palatino Linotype" w:eastAsia="Times New Roman" w:cs="Times New Roman"/>
          <w:sz w:val="26"/>
          <w:szCs w:val="20"/>
        </w:rPr>
      </w:pPr>
    </w:p>
    <w:p w:rsidRPr="000B47C0" w:rsidR="00FE6881" w:rsidP="00FE6881" w:rsidRDefault="00FE6881" w14:paraId="6CDEC2D8" w14:textId="51913308">
      <w:pPr>
        <w:numPr>
          <w:ilvl w:val="0"/>
          <w:numId w:val="5"/>
        </w:numPr>
        <w:spacing w:after="0" w:line="240" w:lineRule="auto"/>
        <w:contextualSpacing/>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Customers who receive unbundled electric service from a CCA are eligible for participation in AMP, but may only receive forgiveness for the portion of their arrearage owed to the IOU</w:t>
      </w:r>
      <w:r w:rsidRPr="000B47C0" w:rsidR="5410EC68">
        <w:rPr>
          <w:rFonts w:ascii="Palatino Linotype" w:hAnsi="Palatino Linotype" w:eastAsia="Times New Roman" w:cs="Times New Roman"/>
          <w:sz w:val="26"/>
          <w:szCs w:val="26"/>
        </w:rPr>
        <w:t>,</w:t>
      </w:r>
      <w:r w:rsidRPr="000B47C0">
        <w:rPr>
          <w:rFonts w:ascii="Palatino Linotype" w:hAnsi="Palatino Linotype" w:eastAsia="Times New Roman" w:cs="Times New Roman"/>
          <w:sz w:val="26"/>
          <w:szCs w:val="26"/>
        </w:rPr>
        <w:t xml:space="preserve"> unless the customer’s CCA voluntarily participates in the program to forgive generation-related costs.  IOU customers that receive generation from a CCA still pay the IOU for transmission and distribution costs, and the AMP covers costs attributable to these IOU services.</w:t>
      </w:r>
    </w:p>
    <w:p w:rsidRPr="000B47C0" w:rsidR="00FE6881" w:rsidP="00FE6881" w:rsidRDefault="00FE6881" w14:paraId="38E5D2D4"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63D5DA51" w14:textId="0A30C49A">
      <w:pPr>
        <w:numPr>
          <w:ilvl w:val="0"/>
          <w:numId w:val="5"/>
        </w:numPr>
        <w:spacing w:after="0" w:line="240" w:lineRule="auto"/>
        <w:contextualSpacing/>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 xml:space="preserve">Customers who receive gas service through a Core Transport Agent (CTA) may participate in AMP </w:t>
      </w:r>
      <w:r w:rsidRPr="000B47C0" w:rsidR="007C33DA">
        <w:rPr>
          <w:rFonts w:ascii="Palatino Linotype" w:hAnsi="Palatino Linotype" w:eastAsia="Times New Roman" w:cs="Times New Roman"/>
          <w:sz w:val="26"/>
          <w:szCs w:val="20"/>
        </w:rPr>
        <w:t xml:space="preserve">only </w:t>
      </w:r>
      <w:r w:rsidRPr="000B47C0">
        <w:rPr>
          <w:rFonts w:ascii="Palatino Linotype" w:hAnsi="Palatino Linotype" w:eastAsia="Times New Roman" w:cs="Times New Roman"/>
          <w:sz w:val="26"/>
          <w:szCs w:val="20"/>
        </w:rPr>
        <w:t>for arrearages owed to the IOU for distribution-related costs</w:t>
      </w:r>
      <w:r w:rsidRPr="000B47C0" w:rsidR="00712149">
        <w:rPr>
          <w:rFonts w:ascii="Palatino Linotype" w:hAnsi="Palatino Linotype" w:eastAsia="Times New Roman" w:cs="Times New Roman"/>
          <w:sz w:val="26"/>
          <w:szCs w:val="20"/>
        </w:rPr>
        <w:t xml:space="preserve"> if the IOU is the billing agent for those costs</w:t>
      </w:r>
      <w:r w:rsidRPr="000B47C0">
        <w:rPr>
          <w:rFonts w:ascii="Palatino Linotype" w:hAnsi="Palatino Linotype" w:eastAsia="Times New Roman" w:cs="Times New Roman"/>
          <w:sz w:val="26"/>
          <w:szCs w:val="20"/>
        </w:rPr>
        <w:t xml:space="preserve">.  </w:t>
      </w:r>
    </w:p>
    <w:p w:rsidRPr="000B47C0" w:rsidR="00FE6881" w:rsidP="00FE6881" w:rsidRDefault="00FE6881" w14:paraId="1E254452" w14:textId="77777777">
      <w:pPr>
        <w:pStyle w:val="ListParagraph"/>
        <w:rPr>
          <w:rFonts w:ascii="Palatino Linotype" w:hAnsi="Palatino Linotype" w:eastAsia="Times New Roman" w:cs="Times New Roman"/>
          <w:sz w:val="26"/>
          <w:szCs w:val="20"/>
        </w:rPr>
      </w:pPr>
    </w:p>
    <w:p w:rsidRPr="000B47C0" w:rsidR="00FE6881" w:rsidP="00FE6881" w:rsidRDefault="00FE6881" w14:paraId="16BAD10A" w14:textId="6A5D66DC">
      <w:pPr>
        <w:numPr>
          <w:ilvl w:val="0"/>
          <w:numId w:val="5"/>
        </w:numPr>
        <w:spacing w:after="0" w:line="240" w:lineRule="auto"/>
        <w:contextualSpacing/>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Customers participating in Net Energy Metering </w:t>
      </w:r>
      <w:r w:rsidRPr="000B47C0" w:rsidR="007F298A">
        <w:rPr>
          <w:rFonts w:ascii="Palatino Linotype" w:hAnsi="Palatino Linotype" w:eastAsia="Times New Roman" w:cs="Times New Roman"/>
          <w:sz w:val="26"/>
          <w:szCs w:val="26"/>
        </w:rPr>
        <w:t xml:space="preserve">(NEM) </w:t>
      </w:r>
      <w:r w:rsidRPr="000B47C0">
        <w:rPr>
          <w:rFonts w:ascii="Palatino Linotype" w:hAnsi="Palatino Linotype" w:eastAsia="Times New Roman" w:cs="Times New Roman"/>
          <w:sz w:val="26"/>
          <w:szCs w:val="26"/>
        </w:rPr>
        <w:t>are not eligible for participation</w:t>
      </w:r>
      <w:r w:rsidRPr="000B47C0" w:rsidR="007F298A">
        <w:rPr>
          <w:rFonts w:ascii="Palatino Linotype" w:hAnsi="Palatino Linotype" w:eastAsia="Times New Roman" w:cs="Times New Roman"/>
          <w:sz w:val="26"/>
          <w:szCs w:val="26"/>
        </w:rPr>
        <w:t xml:space="preserve"> at this time</w:t>
      </w:r>
      <w:r w:rsidRPr="000B47C0">
        <w:rPr>
          <w:rFonts w:ascii="Palatino Linotype" w:hAnsi="Palatino Linotype" w:eastAsia="Times New Roman" w:cs="Times New Roman"/>
          <w:sz w:val="26"/>
          <w:szCs w:val="26"/>
        </w:rPr>
        <w:t>.</w:t>
      </w:r>
      <w:r w:rsidRPr="000B47C0" w:rsidR="00DE0769">
        <w:rPr>
          <w:rFonts w:ascii="Palatino Linotype" w:hAnsi="Palatino Linotype" w:eastAsia="Times New Roman" w:cs="Times New Roman"/>
          <w:sz w:val="26"/>
          <w:szCs w:val="26"/>
        </w:rPr>
        <w:t xml:space="preserve"> Parties discussed options for allowing NEM customers to enroll in AMP during the AMP Working Group meetings, but agreed that</w:t>
      </w:r>
      <w:r w:rsidRPr="000B47C0" w:rsidR="00D010AA">
        <w:rPr>
          <w:rFonts w:ascii="Palatino Linotype" w:hAnsi="Palatino Linotype" w:eastAsia="Times New Roman" w:cs="Times New Roman"/>
          <w:sz w:val="26"/>
          <w:szCs w:val="26"/>
        </w:rPr>
        <w:t xml:space="preserve"> </w:t>
      </w:r>
      <w:r w:rsidRPr="000B47C0" w:rsidR="00406F6F">
        <w:rPr>
          <w:rFonts w:ascii="Palatino Linotype" w:hAnsi="Palatino Linotype" w:eastAsia="Times New Roman" w:cs="Times New Roman"/>
          <w:sz w:val="26"/>
          <w:szCs w:val="26"/>
        </w:rPr>
        <w:t>more discussion would be necessary</w:t>
      </w:r>
      <w:r w:rsidRPr="000B47C0" w:rsidR="00740BBE">
        <w:rPr>
          <w:rFonts w:ascii="Palatino Linotype" w:hAnsi="Palatino Linotype" w:eastAsia="Times New Roman" w:cs="Times New Roman"/>
          <w:sz w:val="26"/>
          <w:szCs w:val="26"/>
        </w:rPr>
        <w:t xml:space="preserve"> </w:t>
      </w:r>
      <w:r w:rsidRPr="000B47C0" w:rsidR="00085A24">
        <w:rPr>
          <w:rFonts w:ascii="Palatino Linotype" w:hAnsi="Palatino Linotype" w:eastAsia="Times New Roman" w:cs="Times New Roman"/>
          <w:sz w:val="26"/>
          <w:szCs w:val="26"/>
        </w:rPr>
        <w:t xml:space="preserve">before </w:t>
      </w:r>
      <w:r w:rsidRPr="000B47C0" w:rsidR="001655C5">
        <w:rPr>
          <w:rFonts w:ascii="Palatino Linotype" w:hAnsi="Palatino Linotype" w:eastAsia="Times New Roman" w:cs="Times New Roman"/>
          <w:sz w:val="26"/>
          <w:szCs w:val="26"/>
        </w:rPr>
        <w:t xml:space="preserve">establishing a framework for NEM customers to enroll in AMP </w:t>
      </w:r>
      <w:r w:rsidRPr="000B47C0" w:rsidR="00740BBE">
        <w:rPr>
          <w:rFonts w:ascii="Palatino Linotype" w:hAnsi="Palatino Linotype" w:eastAsia="Times New Roman" w:cs="Times New Roman"/>
          <w:sz w:val="26"/>
          <w:szCs w:val="26"/>
        </w:rPr>
        <w:t>given differences in billing practices</w:t>
      </w:r>
      <w:r w:rsidRPr="000B47C0" w:rsidR="00543B1E">
        <w:rPr>
          <w:rFonts w:ascii="Palatino Linotype" w:hAnsi="Palatino Linotype" w:eastAsia="Times New Roman" w:cs="Times New Roman"/>
          <w:sz w:val="26"/>
          <w:szCs w:val="26"/>
        </w:rPr>
        <w:t xml:space="preserve"> between the IOUs.</w:t>
      </w:r>
      <w:r w:rsidRPr="000B47C0" w:rsidR="00740BBE">
        <w:rPr>
          <w:rFonts w:ascii="Palatino Linotype" w:hAnsi="Palatino Linotype" w:eastAsia="Times New Roman" w:cs="Times New Roman"/>
          <w:sz w:val="26"/>
          <w:szCs w:val="26"/>
        </w:rPr>
        <w:t xml:space="preserve"> </w:t>
      </w:r>
    </w:p>
    <w:p w:rsidRPr="000B47C0" w:rsidR="00FE6881" w:rsidP="00FE6881" w:rsidRDefault="00FE6881" w14:paraId="17F2188B"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3DA450E8" w14:textId="18CE4FF1">
      <w:p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lastRenderedPageBreak/>
        <w:t xml:space="preserve">All IOUs propose in their ALs to recover costs for forgiven arrearages </w:t>
      </w:r>
      <w:r w:rsidRPr="000B47C0" w:rsidR="00C66595">
        <w:rPr>
          <w:rFonts w:ascii="Palatino Linotype" w:hAnsi="Palatino Linotype" w:eastAsia="Times New Roman" w:cs="Times New Roman"/>
          <w:sz w:val="26"/>
          <w:szCs w:val="20"/>
        </w:rPr>
        <w:t>through</w:t>
      </w:r>
      <w:r w:rsidRPr="000B47C0">
        <w:rPr>
          <w:rFonts w:ascii="Palatino Linotype" w:hAnsi="Palatino Linotype" w:eastAsia="Times New Roman" w:cs="Times New Roman"/>
          <w:sz w:val="26"/>
          <w:szCs w:val="20"/>
        </w:rPr>
        <w:t xml:space="preserve"> the PPP Charge. At the four AMP Working Group meetings, IOUs and stakeholders discussed options for ensuring adequate cost recovery and proportional allocation of costs for unbundled customers shared by IOUs and CCAs. At the fourth and final AMP Working Group meeting on August 28, 2020, parties agreed the most reasonable option to ensure adequate cost recovery was for IOUs to jointly recover both IOU and CCA costs for forgiven arrearages </w:t>
      </w:r>
      <w:r w:rsidRPr="000B47C0" w:rsidR="0042540F">
        <w:rPr>
          <w:rFonts w:ascii="Palatino Linotype" w:hAnsi="Palatino Linotype" w:eastAsia="Times New Roman" w:cs="Times New Roman"/>
          <w:sz w:val="26"/>
          <w:szCs w:val="20"/>
        </w:rPr>
        <w:t xml:space="preserve">through </w:t>
      </w:r>
      <w:r w:rsidRPr="000B47C0">
        <w:rPr>
          <w:rFonts w:ascii="Palatino Linotype" w:hAnsi="Palatino Linotype" w:eastAsia="Times New Roman" w:cs="Times New Roman"/>
          <w:sz w:val="26"/>
          <w:szCs w:val="20"/>
        </w:rPr>
        <w:t xml:space="preserve">the PPP Charge and </w:t>
      </w:r>
      <w:r w:rsidRPr="000B47C0" w:rsidR="0042540F">
        <w:rPr>
          <w:rFonts w:ascii="Palatino Linotype" w:hAnsi="Palatino Linotype" w:eastAsia="Times New Roman" w:cs="Times New Roman"/>
          <w:sz w:val="26"/>
          <w:szCs w:val="20"/>
        </w:rPr>
        <w:t xml:space="preserve">to </w:t>
      </w:r>
      <w:r w:rsidRPr="000B47C0">
        <w:rPr>
          <w:rFonts w:ascii="Palatino Linotype" w:hAnsi="Palatino Linotype" w:eastAsia="Times New Roman" w:cs="Times New Roman"/>
          <w:sz w:val="26"/>
          <w:szCs w:val="20"/>
        </w:rPr>
        <w:t xml:space="preserve">subsequently remit to CCAs the amount of recovered costs attributable to generation-related CCA costs. This option was preferred by stakeholders out of concern that alternative options, such as requiring CCAs to track and recover costs from their own customers directly, would be overly burdensome to implement, disproportionately costly to small CCAs, and could deter CCA participation in AMP. </w:t>
      </w:r>
    </w:p>
    <w:p w:rsidRPr="000B47C0" w:rsidR="00FE6881" w:rsidP="00FE6881" w:rsidRDefault="00FE6881" w14:paraId="63C0A7E6" w14:textId="77777777">
      <w:pPr>
        <w:spacing w:after="0" w:line="240" w:lineRule="auto"/>
        <w:rPr>
          <w:rFonts w:ascii="Palatino Linotype" w:hAnsi="Palatino Linotype" w:eastAsia="Times New Roman" w:cs="Times New Roman"/>
          <w:sz w:val="26"/>
          <w:szCs w:val="20"/>
        </w:rPr>
      </w:pPr>
    </w:p>
    <w:p w:rsidRPr="000B47C0" w:rsidR="00FE6881" w:rsidP="00FE6881" w:rsidRDefault="000B2A60" w14:paraId="70F617AA" w14:textId="607EF302">
      <w:p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 xml:space="preserve">The </w:t>
      </w:r>
      <w:r w:rsidRPr="000B47C0" w:rsidR="00FE6881">
        <w:rPr>
          <w:rFonts w:ascii="Palatino Linotype" w:hAnsi="Palatino Linotype" w:eastAsia="Times New Roman" w:cs="Times New Roman"/>
          <w:sz w:val="26"/>
          <w:szCs w:val="20"/>
        </w:rPr>
        <w:t xml:space="preserve">IOUs propose to record the cost of forgiven debt in each utility’s Residential </w:t>
      </w:r>
      <w:proofErr w:type="spellStart"/>
      <w:r w:rsidRPr="000B47C0" w:rsidR="00FE6881">
        <w:rPr>
          <w:rFonts w:ascii="Palatino Linotype" w:hAnsi="Palatino Linotype" w:eastAsia="Times New Roman" w:cs="Times New Roman"/>
          <w:sz w:val="26"/>
          <w:szCs w:val="20"/>
        </w:rPr>
        <w:t>Uncollectibles</w:t>
      </w:r>
      <w:proofErr w:type="spellEnd"/>
      <w:r w:rsidRPr="000B47C0" w:rsidR="00FE6881">
        <w:rPr>
          <w:rFonts w:ascii="Palatino Linotype" w:hAnsi="Palatino Linotype" w:eastAsia="Times New Roman" w:cs="Times New Roman"/>
          <w:sz w:val="26"/>
          <w:szCs w:val="20"/>
        </w:rPr>
        <w:t xml:space="preserve"> Balancing Account (RUBA). This residential balance will be transferred to the PPP adjustment mechanism during the annual true-up process before being recovered from all customers. </w:t>
      </w:r>
      <w:r w:rsidRPr="000B47C0" w:rsidR="003E1FB3">
        <w:rPr>
          <w:rFonts w:ascii="Palatino Linotype" w:hAnsi="Palatino Linotype" w:eastAsia="Times New Roman" w:cs="Times New Roman"/>
          <w:sz w:val="26"/>
          <w:szCs w:val="20"/>
        </w:rPr>
        <w:t xml:space="preserve">In addition, the </w:t>
      </w:r>
      <w:r w:rsidRPr="000B47C0" w:rsidR="00FE6881">
        <w:rPr>
          <w:rFonts w:ascii="Palatino Linotype" w:hAnsi="Palatino Linotype" w:eastAsia="Times New Roman" w:cs="Times New Roman"/>
          <w:sz w:val="26"/>
          <w:szCs w:val="20"/>
        </w:rPr>
        <w:t xml:space="preserve">IOUs will also recover costs associated with generation-related forgiven debt for unbundled customers and will provide remittance payments to relevant CCAs to compensate each participating CCA for the cost of forgiving generation-related debt under AMP. </w:t>
      </w:r>
    </w:p>
    <w:p w:rsidRPr="000B47C0" w:rsidR="00FE6881" w:rsidP="00FE6881" w:rsidRDefault="00FE6881" w14:paraId="2BF6D14A" w14:textId="77777777">
      <w:pPr>
        <w:spacing w:after="0" w:line="240" w:lineRule="auto"/>
        <w:rPr>
          <w:rFonts w:ascii="Palatino Linotype" w:hAnsi="Palatino Linotype" w:eastAsia="Times New Roman" w:cs="Times New Roman"/>
          <w:sz w:val="26"/>
          <w:szCs w:val="20"/>
        </w:rPr>
      </w:pPr>
    </w:p>
    <w:p w:rsidRPr="000B47C0" w:rsidR="00FE6881" w:rsidP="00FE6881" w:rsidRDefault="00C654BD" w14:paraId="36C7D987" w14:textId="4CE94459">
      <w:p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 xml:space="preserve">The </w:t>
      </w:r>
      <w:r w:rsidRPr="000B47C0" w:rsidR="00FE6881">
        <w:rPr>
          <w:rFonts w:ascii="Palatino Linotype" w:hAnsi="Palatino Linotype" w:eastAsia="Times New Roman" w:cs="Times New Roman"/>
          <w:sz w:val="26"/>
          <w:szCs w:val="20"/>
        </w:rPr>
        <w:t xml:space="preserve">IOUs propose to track and recover implementation related costs for AMP, such as staff workload and IT costs, using memorandum accounts authorized by D.20-06-003. </w:t>
      </w:r>
    </w:p>
    <w:p w:rsidRPr="000B47C0" w:rsidR="00FE6881" w:rsidP="00FE6881" w:rsidRDefault="00FE6881" w14:paraId="2BF0DB1F" w14:textId="77777777">
      <w:pPr>
        <w:spacing w:after="0" w:line="240" w:lineRule="auto"/>
        <w:rPr>
          <w:rFonts w:ascii="Palatino Linotype" w:hAnsi="Palatino Linotype" w:eastAsia="Times New Roman" w:cs="Times New Roman"/>
          <w:b/>
          <w:sz w:val="26"/>
          <w:szCs w:val="20"/>
          <w:u w:val="single"/>
        </w:rPr>
      </w:pPr>
    </w:p>
    <w:p w:rsidRPr="00287817" w:rsidR="00FE6881" w:rsidP="00FE6881" w:rsidRDefault="00FE6881" w14:paraId="52130E40" w14:textId="77777777">
      <w:pPr>
        <w:keepNext/>
        <w:spacing w:before="120" w:after="240" w:line="240" w:lineRule="auto"/>
        <w:outlineLvl w:val="0"/>
        <w:rPr>
          <w:rFonts w:ascii="Arial" w:hAnsi="Arial" w:eastAsia="Times New Roman" w:cs="Arial"/>
          <w:b/>
          <w:caps/>
          <w:kern w:val="28"/>
          <w:sz w:val="26"/>
          <w:szCs w:val="20"/>
          <w:u w:val="single"/>
        </w:rPr>
      </w:pPr>
      <w:r w:rsidRPr="00287817">
        <w:rPr>
          <w:rFonts w:ascii="Arial" w:hAnsi="Arial" w:eastAsia="Times New Roman" w:cs="Arial"/>
          <w:b/>
          <w:caps/>
          <w:kern w:val="28"/>
          <w:sz w:val="26"/>
          <w:szCs w:val="20"/>
          <w:u w:val="single"/>
        </w:rPr>
        <w:t>Notice</w:t>
      </w:r>
    </w:p>
    <w:p w:rsidRPr="000B47C0" w:rsidR="00FE6881" w:rsidP="00FE6881" w:rsidRDefault="00FE6881" w14:paraId="40168CDC" w14:textId="1C3FE934">
      <w:p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Notice of AL 4308-G/5943-E was made by publication in the Commission’s Daily Calendar. PG&amp;E states that a copy of the AL was mailed and distributed in accordance with Section 4 of General Order 96-B. Notice of AL 4287-E was made by publication in the Commission’s Daily Calendar. SCE states that a copy of the AL was mailed and distributed in accordance with Section 4 of General Order 96-B. Notice of AL 3602-E/2902-G was made by publication in the Commission’s Daily Calendar. SDG&amp;E states that a copy of the AL was mailed and distributed </w:t>
      </w:r>
      <w:r w:rsidRPr="000B47C0">
        <w:rPr>
          <w:rFonts w:ascii="Palatino Linotype" w:hAnsi="Palatino Linotype" w:eastAsia="Times New Roman" w:cs="Times New Roman"/>
          <w:sz w:val="26"/>
          <w:szCs w:val="26"/>
        </w:rPr>
        <w:lastRenderedPageBreak/>
        <w:t xml:space="preserve">in accordance with Section 4 of General Order 96-B. Notice of AL 5689-G was made by publication in the Commission’s Daily Calendar. </w:t>
      </w:r>
      <w:r w:rsidRPr="000B47C0" w:rsidR="301D88B2">
        <w:rPr>
          <w:rFonts w:ascii="Palatino Linotype" w:hAnsi="Palatino Linotype" w:eastAsia="Times New Roman" w:cs="Times New Roman"/>
          <w:sz w:val="26"/>
          <w:szCs w:val="26"/>
        </w:rPr>
        <w:t>SoCalGas</w:t>
      </w:r>
      <w:r w:rsidRPr="000B47C0">
        <w:rPr>
          <w:rFonts w:ascii="Palatino Linotype" w:hAnsi="Palatino Linotype" w:eastAsia="Times New Roman" w:cs="Times New Roman"/>
          <w:sz w:val="26"/>
          <w:szCs w:val="26"/>
        </w:rPr>
        <w:t xml:space="preserve"> states that a copy of the AL was mailed and distributed in accordance with Section 4 of General Order 96-B.</w:t>
      </w:r>
    </w:p>
    <w:p w:rsidRPr="000B47C0" w:rsidR="00FE6881" w:rsidP="00FE6881" w:rsidRDefault="00FE6881" w14:paraId="3C26A512" w14:textId="77777777">
      <w:pPr>
        <w:spacing w:after="0" w:line="240" w:lineRule="auto"/>
        <w:rPr>
          <w:rFonts w:ascii="Palatino Linotype" w:hAnsi="Palatino Linotype" w:eastAsia="Times New Roman" w:cs="Times New Roman"/>
          <w:sz w:val="26"/>
          <w:szCs w:val="20"/>
        </w:rPr>
      </w:pPr>
    </w:p>
    <w:p w:rsidRPr="00287817" w:rsidR="00FE6881" w:rsidP="00FE6881" w:rsidRDefault="00FE6881" w14:paraId="31977284" w14:textId="77777777">
      <w:pPr>
        <w:keepNext/>
        <w:spacing w:before="120" w:after="240" w:line="240" w:lineRule="auto"/>
        <w:outlineLvl w:val="0"/>
        <w:rPr>
          <w:rFonts w:ascii="Arial" w:hAnsi="Arial" w:eastAsia="Times New Roman" w:cs="Arial"/>
          <w:b/>
          <w:caps/>
          <w:kern w:val="28"/>
          <w:sz w:val="26"/>
          <w:szCs w:val="20"/>
          <w:u w:val="single"/>
        </w:rPr>
      </w:pPr>
      <w:r w:rsidRPr="00287817">
        <w:rPr>
          <w:rFonts w:ascii="Arial" w:hAnsi="Arial" w:eastAsia="Times New Roman" w:cs="Arial"/>
          <w:b/>
          <w:caps/>
          <w:kern w:val="28"/>
          <w:sz w:val="26"/>
          <w:szCs w:val="20"/>
          <w:u w:val="single"/>
        </w:rPr>
        <w:t>Protests</w:t>
      </w:r>
    </w:p>
    <w:p w:rsidRPr="000B47C0" w:rsidR="00FE6881" w:rsidP="00FE6881" w:rsidRDefault="00FE6881" w14:paraId="1A10F6AA" w14:textId="77777777">
      <w:pPr>
        <w:spacing w:after="0" w:line="240" w:lineRule="auto"/>
        <w:rPr>
          <w:rFonts w:ascii="Palatino Linotype" w:hAnsi="Palatino Linotype" w:eastAsia="Times New Roman" w:cs="Times New Roman"/>
          <w:b/>
          <w:bCs/>
          <w:i/>
          <w:iCs/>
          <w:sz w:val="26"/>
          <w:szCs w:val="20"/>
        </w:rPr>
      </w:pPr>
      <w:proofErr w:type="spellStart"/>
      <w:r w:rsidRPr="000B47C0">
        <w:rPr>
          <w:rFonts w:ascii="Palatino Linotype" w:hAnsi="Palatino Linotype" w:eastAsia="Times New Roman" w:cs="Times New Roman"/>
          <w:b/>
          <w:bCs/>
          <w:i/>
          <w:iCs/>
          <w:sz w:val="26"/>
          <w:szCs w:val="20"/>
        </w:rPr>
        <w:t>CalCCA</w:t>
      </w:r>
      <w:proofErr w:type="spellEnd"/>
      <w:r w:rsidRPr="000B47C0">
        <w:rPr>
          <w:rFonts w:ascii="Palatino Linotype" w:hAnsi="Palatino Linotype" w:eastAsia="Times New Roman" w:cs="Times New Roman"/>
          <w:b/>
          <w:bCs/>
          <w:i/>
          <w:iCs/>
          <w:sz w:val="26"/>
          <w:szCs w:val="20"/>
        </w:rPr>
        <w:t xml:space="preserve"> protest of PG&amp;E AL 4308-G/5943-E</w:t>
      </w:r>
    </w:p>
    <w:p w:rsidRPr="000B47C0" w:rsidR="00FE6881" w:rsidP="00FE6881" w:rsidRDefault="00FE6881" w14:paraId="17D3A0E4" w14:textId="77777777">
      <w:pPr>
        <w:spacing w:after="0" w:line="240" w:lineRule="auto"/>
        <w:rPr>
          <w:rFonts w:ascii="Palatino Linotype" w:hAnsi="Palatino Linotype" w:eastAsia="Times New Roman" w:cs="Times New Roman"/>
          <w:sz w:val="26"/>
          <w:szCs w:val="20"/>
        </w:rPr>
      </w:pPr>
    </w:p>
    <w:p w:rsidRPr="000B47C0" w:rsidR="00ED7D40" w:rsidP="00FE6881" w:rsidRDefault="00FE6881" w14:paraId="375F3B98" w14:textId="77777777">
      <w:p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PG&amp;E’s AL 4308-G/5943-E was timely protested by the California Community Choice Association (</w:t>
      </w:r>
      <w:proofErr w:type="spellStart"/>
      <w:r w:rsidRPr="000B47C0">
        <w:rPr>
          <w:rFonts w:ascii="Palatino Linotype" w:hAnsi="Palatino Linotype" w:eastAsia="Times New Roman" w:cs="Times New Roman"/>
          <w:sz w:val="26"/>
          <w:szCs w:val="20"/>
        </w:rPr>
        <w:t>CalCCA</w:t>
      </w:r>
      <w:proofErr w:type="spellEnd"/>
      <w:r w:rsidRPr="000B47C0">
        <w:rPr>
          <w:rFonts w:ascii="Palatino Linotype" w:hAnsi="Palatino Linotype" w:eastAsia="Times New Roman" w:cs="Times New Roman"/>
          <w:sz w:val="26"/>
          <w:szCs w:val="20"/>
        </w:rPr>
        <w:t xml:space="preserve">). </w:t>
      </w:r>
      <w:proofErr w:type="spellStart"/>
      <w:r w:rsidRPr="000B47C0">
        <w:rPr>
          <w:rFonts w:ascii="Palatino Linotype" w:hAnsi="Palatino Linotype" w:eastAsia="Times New Roman" w:cs="Times New Roman"/>
          <w:sz w:val="26"/>
          <w:szCs w:val="20"/>
        </w:rPr>
        <w:t>CalCCA</w:t>
      </w:r>
      <w:proofErr w:type="spellEnd"/>
      <w:r w:rsidRPr="000B47C0">
        <w:rPr>
          <w:rFonts w:ascii="Palatino Linotype" w:hAnsi="Palatino Linotype" w:eastAsia="Times New Roman" w:cs="Times New Roman"/>
          <w:sz w:val="26"/>
          <w:szCs w:val="20"/>
        </w:rPr>
        <w:t xml:space="preserve"> </w:t>
      </w:r>
      <w:r w:rsidRPr="000B47C0" w:rsidR="00EE1428">
        <w:rPr>
          <w:rFonts w:ascii="Palatino Linotype" w:hAnsi="Palatino Linotype" w:eastAsia="Times New Roman" w:cs="Times New Roman"/>
          <w:sz w:val="26"/>
          <w:szCs w:val="20"/>
        </w:rPr>
        <w:t xml:space="preserve">argues </w:t>
      </w:r>
      <w:r w:rsidRPr="000B47C0">
        <w:rPr>
          <w:rFonts w:ascii="Palatino Linotype" w:hAnsi="Palatino Linotype" w:eastAsia="Times New Roman" w:cs="Times New Roman"/>
          <w:sz w:val="26"/>
          <w:szCs w:val="20"/>
        </w:rPr>
        <w:t>that PG&amp;E’s AL 4308-G/5943-E proposal that third party cost recovery be addressed during a later phase of this proceeding renders it noncompliant with OP 87 of D.20-06-003</w:t>
      </w:r>
      <w:r w:rsidRPr="000B47C0" w:rsidR="00A90736">
        <w:rPr>
          <w:rFonts w:ascii="Palatino Linotype" w:hAnsi="Palatino Linotype" w:eastAsia="Times New Roman" w:cs="Times New Roman"/>
          <w:sz w:val="26"/>
          <w:szCs w:val="20"/>
        </w:rPr>
        <w:t xml:space="preserve">.  Specifically </w:t>
      </w:r>
      <w:proofErr w:type="spellStart"/>
      <w:r w:rsidRPr="000B47C0" w:rsidR="00EE1428">
        <w:rPr>
          <w:rFonts w:ascii="Palatino Linotype" w:hAnsi="Palatino Linotype" w:eastAsia="Times New Roman" w:cs="Times New Roman"/>
          <w:sz w:val="26"/>
          <w:szCs w:val="20"/>
        </w:rPr>
        <w:t>CalCCA</w:t>
      </w:r>
      <w:proofErr w:type="spellEnd"/>
      <w:r w:rsidRPr="000B47C0" w:rsidR="00EE1428">
        <w:rPr>
          <w:rFonts w:ascii="Palatino Linotype" w:hAnsi="Palatino Linotype" w:eastAsia="Times New Roman" w:cs="Times New Roman"/>
          <w:sz w:val="26"/>
          <w:szCs w:val="20"/>
        </w:rPr>
        <w:t xml:space="preserve"> asserts that </w:t>
      </w:r>
      <w:r w:rsidRPr="000B47C0" w:rsidR="00A90736">
        <w:rPr>
          <w:rFonts w:ascii="Palatino Linotype" w:hAnsi="Palatino Linotype" w:eastAsia="Times New Roman" w:cs="Times New Roman"/>
          <w:sz w:val="26"/>
          <w:szCs w:val="20"/>
        </w:rPr>
        <w:t>OP 87</w:t>
      </w:r>
      <w:r w:rsidRPr="000B47C0">
        <w:rPr>
          <w:rFonts w:ascii="Palatino Linotype" w:hAnsi="Palatino Linotype" w:eastAsia="Times New Roman" w:cs="Times New Roman"/>
          <w:sz w:val="26"/>
          <w:szCs w:val="20"/>
        </w:rPr>
        <w:t xml:space="preserve"> required the IOUs to propose a mechanism in their Tier 2 Advice Letters for proportional allocation of recovered AMP costs between CCAs and IOUs following discussion within the AMP Working Group.</w:t>
      </w:r>
      <w:r w:rsidRPr="000B47C0">
        <w:rPr>
          <w:rFonts w:ascii="Palatino Linotype" w:hAnsi="Palatino Linotype" w:eastAsia="Times New Roman" w:cs="Times New Roman"/>
          <w:sz w:val="26"/>
          <w:szCs w:val="20"/>
          <w:vertAlign w:val="superscript"/>
        </w:rPr>
        <w:footnoteReference w:id="3"/>
      </w:r>
      <w:r w:rsidRPr="000B47C0">
        <w:rPr>
          <w:rFonts w:ascii="Palatino Linotype" w:hAnsi="Palatino Linotype" w:eastAsia="Times New Roman" w:cs="Times New Roman"/>
          <w:sz w:val="26"/>
          <w:szCs w:val="20"/>
        </w:rPr>
        <w:t xml:space="preserve"> </w:t>
      </w:r>
    </w:p>
    <w:p w:rsidRPr="000B47C0" w:rsidR="00ED7D40" w:rsidP="00FE6881" w:rsidRDefault="00ED7D40" w14:paraId="0A5B2DBE" w14:textId="77777777">
      <w:pPr>
        <w:spacing w:after="0" w:line="240" w:lineRule="auto"/>
        <w:rPr>
          <w:rFonts w:ascii="Palatino Linotype" w:hAnsi="Palatino Linotype" w:eastAsia="Times New Roman" w:cs="Times New Roman"/>
          <w:sz w:val="26"/>
          <w:szCs w:val="20"/>
        </w:rPr>
      </w:pPr>
    </w:p>
    <w:p w:rsidRPr="000B47C0" w:rsidR="00A823EC" w:rsidP="00FE6881" w:rsidRDefault="00FE6881" w14:paraId="67C105A0" w14:textId="5B7DF635">
      <w:pPr>
        <w:spacing w:after="0" w:line="240" w:lineRule="auto"/>
        <w:rPr>
          <w:rFonts w:ascii="Palatino Linotype" w:hAnsi="Palatino Linotype" w:eastAsia="Times New Roman" w:cs="Times New Roman"/>
          <w:sz w:val="26"/>
          <w:szCs w:val="20"/>
        </w:rPr>
      </w:pPr>
      <w:proofErr w:type="spellStart"/>
      <w:r w:rsidRPr="000B47C0">
        <w:rPr>
          <w:rFonts w:ascii="Palatino Linotype" w:hAnsi="Palatino Linotype" w:eastAsia="Times New Roman" w:cs="Times New Roman"/>
          <w:sz w:val="26"/>
          <w:szCs w:val="20"/>
        </w:rPr>
        <w:t>CalCCA</w:t>
      </w:r>
      <w:proofErr w:type="spellEnd"/>
      <w:r w:rsidRPr="000B47C0">
        <w:rPr>
          <w:rFonts w:ascii="Palatino Linotype" w:hAnsi="Palatino Linotype" w:eastAsia="Times New Roman" w:cs="Times New Roman"/>
          <w:sz w:val="26"/>
          <w:szCs w:val="20"/>
        </w:rPr>
        <w:t xml:space="preserve"> also objected to PG&amp;E’s proposal that prior to Commission approval of the cost recovery mechanism, individual CCAs be required to track and recover costs of unbundled customer generation-related arrearages forgiven under AMP</w:t>
      </w:r>
      <w:r w:rsidRPr="000B47C0" w:rsidR="00617F57">
        <w:rPr>
          <w:rFonts w:ascii="Palatino Linotype" w:hAnsi="Palatino Linotype" w:eastAsia="Times New Roman" w:cs="Times New Roman"/>
          <w:sz w:val="26"/>
          <w:szCs w:val="20"/>
        </w:rPr>
        <w:t>.  The CCAs argue that</w:t>
      </w:r>
      <w:r w:rsidRPr="000B47C0">
        <w:rPr>
          <w:rFonts w:ascii="Palatino Linotype" w:hAnsi="Palatino Linotype" w:eastAsia="Times New Roman" w:cs="Times New Roman"/>
          <w:sz w:val="26"/>
          <w:szCs w:val="20"/>
        </w:rPr>
        <w:t xml:space="preserve"> this proposal could force CCAs with high AMP participation to recover AMP costs from only their own customers and increase rates significantly. </w:t>
      </w:r>
      <w:proofErr w:type="spellStart"/>
      <w:r w:rsidRPr="000B47C0">
        <w:rPr>
          <w:rFonts w:ascii="Palatino Linotype" w:hAnsi="Palatino Linotype" w:eastAsia="Times New Roman" w:cs="Times New Roman"/>
          <w:sz w:val="26"/>
          <w:szCs w:val="20"/>
        </w:rPr>
        <w:t>CalCCA</w:t>
      </w:r>
      <w:proofErr w:type="spellEnd"/>
      <w:r w:rsidRPr="000B47C0">
        <w:rPr>
          <w:rFonts w:ascii="Palatino Linotype" w:hAnsi="Palatino Linotype" w:eastAsia="Times New Roman" w:cs="Times New Roman"/>
          <w:sz w:val="26"/>
          <w:szCs w:val="20"/>
        </w:rPr>
        <w:t xml:space="preserve"> request</w:t>
      </w:r>
      <w:r w:rsidRPr="000B47C0" w:rsidR="003636E1">
        <w:rPr>
          <w:rFonts w:ascii="Palatino Linotype" w:hAnsi="Palatino Linotype" w:eastAsia="Times New Roman" w:cs="Times New Roman"/>
          <w:sz w:val="26"/>
          <w:szCs w:val="20"/>
        </w:rPr>
        <w:t>s</w:t>
      </w:r>
      <w:r w:rsidRPr="000B47C0">
        <w:rPr>
          <w:rFonts w:ascii="Palatino Linotype" w:hAnsi="Palatino Linotype" w:eastAsia="Times New Roman" w:cs="Times New Roman"/>
          <w:sz w:val="26"/>
          <w:szCs w:val="20"/>
        </w:rPr>
        <w:t xml:space="preserve"> clarification of when PG&amp;E intend</w:t>
      </w:r>
      <w:r w:rsidRPr="000B47C0" w:rsidR="003636E1">
        <w:rPr>
          <w:rFonts w:ascii="Palatino Linotype" w:hAnsi="Palatino Linotype" w:eastAsia="Times New Roman" w:cs="Times New Roman"/>
          <w:sz w:val="26"/>
          <w:szCs w:val="20"/>
        </w:rPr>
        <w:t>s</w:t>
      </w:r>
      <w:r w:rsidRPr="000B47C0">
        <w:rPr>
          <w:rFonts w:ascii="Palatino Linotype" w:hAnsi="Palatino Linotype" w:eastAsia="Times New Roman" w:cs="Times New Roman"/>
          <w:sz w:val="26"/>
          <w:szCs w:val="20"/>
        </w:rPr>
        <w:t xml:space="preserve"> to receive notification from participating CCAs of their intent to participate, as CCA participation in AMP is voluntary. </w:t>
      </w:r>
    </w:p>
    <w:p w:rsidRPr="000B47C0" w:rsidR="00A823EC" w:rsidP="00FE6881" w:rsidRDefault="00A823EC" w14:paraId="23028ACF"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2CD00918" w14:textId="5AE23D37">
      <w:pPr>
        <w:spacing w:after="0" w:line="240" w:lineRule="auto"/>
        <w:rPr>
          <w:rFonts w:ascii="Palatino Linotype" w:hAnsi="Palatino Linotype" w:eastAsia="Times New Roman" w:cs="Times New Roman"/>
          <w:sz w:val="26"/>
          <w:szCs w:val="26"/>
        </w:rPr>
      </w:pPr>
      <w:proofErr w:type="spellStart"/>
      <w:r w:rsidRPr="000B47C0">
        <w:rPr>
          <w:rFonts w:ascii="Palatino Linotype" w:hAnsi="Palatino Linotype" w:eastAsia="Times New Roman" w:cs="Times New Roman"/>
          <w:sz w:val="26"/>
          <w:szCs w:val="26"/>
        </w:rPr>
        <w:t>CalCCA</w:t>
      </w:r>
      <w:proofErr w:type="spellEnd"/>
      <w:r w:rsidRPr="000B47C0">
        <w:rPr>
          <w:rFonts w:ascii="Palatino Linotype" w:hAnsi="Palatino Linotype" w:eastAsia="Times New Roman" w:cs="Times New Roman"/>
          <w:sz w:val="26"/>
          <w:szCs w:val="26"/>
        </w:rPr>
        <w:t xml:space="preserve"> also argue</w:t>
      </w:r>
      <w:r w:rsidRPr="000B47C0" w:rsidR="003636E1">
        <w:rPr>
          <w:rFonts w:ascii="Palatino Linotype" w:hAnsi="Palatino Linotype" w:eastAsia="Times New Roman" w:cs="Times New Roman"/>
          <w:sz w:val="26"/>
          <w:szCs w:val="26"/>
        </w:rPr>
        <w:t>s</w:t>
      </w:r>
      <w:r w:rsidRPr="000B47C0">
        <w:rPr>
          <w:rFonts w:ascii="Palatino Linotype" w:hAnsi="Palatino Linotype" w:eastAsia="Times New Roman" w:cs="Times New Roman"/>
          <w:sz w:val="26"/>
          <w:szCs w:val="26"/>
        </w:rPr>
        <w:t xml:space="preserve"> that PG&amp;E has not </w:t>
      </w:r>
      <w:r w:rsidRPr="000B47C0" w:rsidR="003636E1">
        <w:rPr>
          <w:rFonts w:ascii="Palatino Linotype" w:hAnsi="Palatino Linotype" w:eastAsia="Times New Roman" w:cs="Times New Roman"/>
          <w:sz w:val="26"/>
          <w:szCs w:val="26"/>
        </w:rPr>
        <w:t xml:space="preserve">explained </w:t>
      </w:r>
      <w:r w:rsidRPr="000B47C0">
        <w:rPr>
          <w:rFonts w:ascii="Palatino Linotype" w:hAnsi="Palatino Linotype" w:eastAsia="Times New Roman" w:cs="Times New Roman"/>
          <w:sz w:val="26"/>
          <w:szCs w:val="26"/>
        </w:rPr>
        <w:t>what customer information it will share with participating CCAs to track the status</w:t>
      </w:r>
      <w:r w:rsidRPr="000B47C0" w:rsidR="007A607A">
        <w:rPr>
          <w:rFonts w:ascii="Palatino Linotype" w:hAnsi="Palatino Linotype" w:eastAsia="Times New Roman" w:cs="Times New Roman"/>
          <w:sz w:val="26"/>
          <w:szCs w:val="26"/>
        </w:rPr>
        <w:t>,</w:t>
      </w:r>
      <w:r w:rsidRPr="000B47C0">
        <w:rPr>
          <w:rFonts w:ascii="Palatino Linotype" w:hAnsi="Palatino Linotype" w:eastAsia="Times New Roman" w:cs="Times New Roman"/>
          <w:sz w:val="26"/>
          <w:szCs w:val="26"/>
        </w:rPr>
        <w:t xml:space="preserve"> </w:t>
      </w:r>
      <w:r w:rsidRPr="000B47C0" w:rsidR="003636E1">
        <w:rPr>
          <w:rFonts w:ascii="Palatino Linotype" w:hAnsi="Palatino Linotype" w:eastAsia="Times New Roman" w:cs="Times New Roman"/>
          <w:sz w:val="26"/>
          <w:szCs w:val="26"/>
        </w:rPr>
        <w:t>and associated costs</w:t>
      </w:r>
      <w:r w:rsidRPr="000B47C0" w:rsidR="2A3AB47F">
        <w:rPr>
          <w:rFonts w:ascii="Palatino Linotype" w:hAnsi="Palatino Linotype" w:eastAsia="Times New Roman" w:cs="Times New Roman"/>
          <w:sz w:val="26"/>
          <w:szCs w:val="26"/>
        </w:rPr>
        <w:t>,</w:t>
      </w:r>
      <w:r w:rsidRPr="000B47C0" w:rsidR="003636E1">
        <w:rPr>
          <w:rFonts w:ascii="Palatino Linotype" w:hAnsi="Palatino Linotype" w:eastAsia="Times New Roman" w:cs="Times New Roman"/>
          <w:sz w:val="26"/>
          <w:szCs w:val="26"/>
        </w:rPr>
        <w:t xml:space="preserve"> of </w:t>
      </w:r>
      <w:r w:rsidRPr="000B47C0">
        <w:rPr>
          <w:rFonts w:ascii="Palatino Linotype" w:hAnsi="Palatino Linotype" w:eastAsia="Times New Roman" w:cs="Times New Roman"/>
          <w:sz w:val="26"/>
          <w:szCs w:val="26"/>
        </w:rPr>
        <w:t>unbundled customers enrolled in AMP</w:t>
      </w:r>
      <w:r w:rsidRPr="000B47C0" w:rsidR="002549E8">
        <w:rPr>
          <w:rFonts w:ascii="Palatino Linotype" w:hAnsi="Palatino Linotype" w:eastAsia="Times New Roman" w:cs="Times New Roman"/>
          <w:sz w:val="26"/>
          <w:szCs w:val="26"/>
        </w:rPr>
        <w:t>.</w:t>
      </w:r>
      <w:r w:rsidRPr="000B47C0" w:rsidR="00561807">
        <w:rPr>
          <w:rFonts w:ascii="Palatino Linotype" w:hAnsi="Palatino Linotype" w:eastAsia="Times New Roman" w:cs="Times New Roman"/>
          <w:sz w:val="26"/>
          <w:szCs w:val="26"/>
        </w:rPr>
        <w:t xml:space="preserve"> </w:t>
      </w:r>
      <w:r w:rsidRPr="000B47C0" w:rsidR="00CE71DF">
        <w:rPr>
          <w:rFonts w:ascii="Palatino Linotype" w:hAnsi="Palatino Linotype" w:eastAsia="Times New Roman" w:cs="Times New Roman"/>
          <w:sz w:val="26"/>
          <w:szCs w:val="26"/>
        </w:rPr>
        <w:t>This information includes</w:t>
      </w:r>
      <w:r w:rsidRPr="000B47C0" w:rsidR="006C0473">
        <w:rPr>
          <w:rFonts w:ascii="Palatino Linotype" w:hAnsi="Palatino Linotype" w:eastAsia="Times New Roman" w:cs="Times New Roman"/>
          <w:sz w:val="26"/>
          <w:szCs w:val="26"/>
        </w:rPr>
        <w:t xml:space="preserve"> </w:t>
      </w:r>
      <w:r w:rsidRPr="000B47C0" w:rsidR="00E225E0">
        <w:rPr>
          <w:rFonts w:ascii="Palatino Linotype" w:hAnsi="Palatino Linotype" w:eastAsia="Times New Roman" w:cs="Times New Roman"/>
          <w:sz w:val="26"/>
          <w:szCs w:val="26"/>
        </w:rPr>
        <w:t xml:space="preserve">the number of customers eligible for AMP, </w:t>
      </w:r>
      <w:r w:rsidRPr="000B47C0" w:rsidR="00F60349">
        <w:rPr>
          <w:rFonts w:ascii="Palatino Linotype" w:hAnsi="Palatino Linotype" w:eastAsia="Times New Roman" w:cs="Times New Roman"/>
          <w:sz w:val="26"/>
          <w:szCs w:val="26"/>
        </w:rPr>
        <w:t>account numbers of customers</w:t>
      </w:r>
      <w:r w:rsidRPr="000B47C0" w:rsidR="007B1AF0">
        <w:rPr>
          <w:rFonts w:ascii="Palatino Linotype" w:hAnsi="Palatino Linotype" w:eastAsia="Times New Roman" w:cs="Times New Roman"/>
          <w:sz w:val="26"/>
          <w:szCs w:val="26"/>
        </w:rPr>
        <w:t xml:space="preserve"> enrolled in AMP,</w:t>
      </w:r>
      <w:r w:rsidRPr="000B47C0">
        <w:rPr>
          <w:rFonts w:ascii="Palatino Linotype" w:hAnsi="Palatino Linotype" w:eastAsia="Times New Roman" w:cs="Times New Roman"/>
          <w:sz w:val="26"/>
          <w:szCs w:val="26"/>
        </w:rPr>
        <w:t xml:space="preserve"> and </w:t>
      </w:r>
      <w:r w:rsidRPr="000B47C0" w:rsidR="003D549F">
        <w:rPr>
          <w:rFonts w:ascii="Palatino Linotype" w:hAnsi="Palatino Linotype" w:eastAsia="Times New Roman" w:cs="Times New Roman"/>
          <w:sz w:val="26"/>
          <w:szCs w:val="26"/>
        </w:rPr>
        <w:t>account numbers for customers who have missed one payment</w:t>
      </w:r>
      <w:r w:rsidRPr="000B47C0" w:rsidR="004440A0">
        <w:rPr>
          <w:rFonts w:ascii="Palatino Linotype" w:hAnsi="Palatino Linotype" w:eastAsia="Times New Roman" w:cs="Times New Roman"/>
          <w:sz w:val="26"/>
          <w:szCs w:val="26"/>
        </w:rPr>
        <w:t>,</w:t>
      </w:r>
      <w:r w:rsidRPr="000B47C0">
        <w:rPr>
          <w:rFonts w:ascii="Palatino Linotype" w:hAnsi="Palatino Linotype" w:eastAsia="Times New Roman" w:cs="Times New Roman"/>
          <w:sz w:val="26"/>
          <w:szCs w:val="26"/>
        </w:rPr>
        <w:t xml:space="preserve"> and the frequency with which PG&amp;E w</w:t>
      </w:r>
      <w:r w:rsidRPr="000B47C0" w:rsidR="003636E1">
        <w:rPr>
          <w:rFonts w:ascii="Palatino Linotype" w:hAnsi="Palatino Linotype" w:eastAsia="Times New Roman" w:cs="Times New Roman"/>
          <w:sz w:val="26"/>
          <w:szCs w:val="26"/>
        </w:rPr>
        <w:t xml:space="preserve">ill </w:t>
      </w:r>
      <w:r w:rsidRPr="000B47C0" w:rsidR="00FE238B">
        <w:rPr>
          <w:rFonts w:ascii="Palatino Linotype" w:hAnsi="Palatino Linotype" w:eastAsia="Times New Roman" w:cs="Times New Roman"/>
          <w:sz w:val="26"/>
          <w:szCs w:val="26"/>
        </w:rPr>
        <w:t xml:space="preserve">report </w:t>
      </w:r>
      <w:r w:rsidRPr="000B47C0" w:rsidR="009918AA">
        <w:rPr>
          <w:rFonts w:ascii="Palatino Linotype" w:hAnsi="Palatino Linotype" w:eastAsia="Times New Roman" w:cs="Times New Roman"/>
          <w:sz w:val="26"/>
          <w:szCs w:val="26"/>
        </w:rPr>
        <w:t xml:space="preserve">such </w:t>
      </w:r>
      <w:r w:rsidRPr="000B47C0">
        <w:rPr>
          <w:rFonts w:ascii="Palatino Linotype" w:hAnsi="Palatino Linotype" w:eastAsia="Times New Roman" w:cs="Times New Roman"/>
          <w:sz w:val="26"/>
          <w:szCs w:val="26"/>
        </w:rPr>
        <w:t>information</w:t>
      </w:r>
      <w:r w:rsidRPr="000B47C0" w:rsidR="009918AA">
        <w:rPr>
          <w:rFonts w:ascii="Palatino Linotype" w:hAnsi="Palatino Linotype" w:eastAsia="Times New Roman" w:cs="Times New Roman"/>
          <w:sz w:val="26"/>
          <w:szCs w:val="26"/>
        </w:rPr>
        <w:t xml:space="preserve"> to CCAs</w:t>
      </w:r>
      <w:r w:rsidRPr="000B47C0">
        <w:rPr>
          <w:rFonts w:ascii="Palatino Linotype" w:hAnsi="Palatino Linotype" w:eastAsia="Times New Roman" w:cs="Times New Roman"/>
          <w:sz w:val="26"/>
          <w:szCs w:val="26"/>
        </w:rPr>
        <w:t>.</w:t>
      </w:r>
      <w:r w:rsidRPr="000B47C0" w:rsidR="000671BE">
        <w:rPr>
          <w:rFonts w:ascii="Palatino Linotype" w:hAnsi="Palatino Linotype" w:eastAsia="Times New Roman" w:cs="Times New Roman"/>
          <w:sz w:val="26"/>
          <w:szCs w:val="26"/>
        </w:rPr>
        <w:t xml:space="preserve"> </w:t>
      </w:r>
      <w:proofErr w:type="spellStart"/>
      <w:r w:rsidRPr="000B47C0" w:rsidR="009D0568">
        <w:rPr>
          <w:rFonts w:ascii="Palatino Linotype" w:hAnsi="Palatino Linotype" w:eastAsia="Times New Roman" w:cs="Times New Roman"/>
          <w:sz w:val="26"/>
          <w:szCs w:val="26"/>
        </w:rPr>
        <w:t>CalCCA</w:t>
      </w:r>
      <w:proofErr w:type="spellEnd"/>
      <w:r w:rsidRPr="000B47C0" w:rsidR="009D0568">
        <w:rPr>
          <w:rFonts w:ascii="Palatino Linotype" w:hAnsi="Palatino Linotype" w:eastAsia="Times New Roman" w:cs="Times New Roman"/>
          <w:sz w:val="26"/>
          <w:szCs w:val="26"/>
        </w:rPr>
        <w:t xml:space="preserve"> indicated </w:t>
      </w:r>
      <w:r w:rsidRPr="000B47C0" w:rsidR="00E8698C">
        <w:rPr>
          <w:rFonts w:ascii="Palatino Linotype" w:hAnsi="Palatino Linotype" w:eastAsia="Times New Roman" w:cs="Times New Roman"/>
          <w:sz w:val="26"/>
          <w:szCs w:val="26"/>
        </w:rPr>
        <w:t xml:space="preserve">its members would require additional information, such as the </w:t>
      </w:r>
      <w:r w:rsidRPr="000B47C0" w:rsidR="008D42F8">
        <w:rPr>
          <w:rFonts w:ascii="Palatino Linotype" w:hAnsi="Palatino Linotype" w:eastAsia="Times New Roman" w:cs="Times New Roman"/>
          <w:sz w:val="26"/>
          <w:szCs w:val="26"/>
        </w:rPr>
        <w:t>starting arrearage balance of customers participating in AMP</w:t>
      </w:r>
      <w:r w:rsidRPr="000B47C0" w:rsidR="005534F9">
        <w:rPr>
          <w:rFonts w:ascii="Palatino Linotype" w:hAnsi="Palatino Linotype" w:eastAsia="Times New Roman" w:cs="Times New Roman"/>
          <w:sz w:val="26"/>
          <w:szCs w:val="26"/>
        </w:rPr>
        <w:t xml:space="preserve"> and the dollar amount </w:t>
      </w:r>
      <w:r w:rsidRPr="000B47C0" w:rsidR="00443B59">
        <w:rPr>
          <w:rFonts w:ascii="Palatino Linotype" w:hAnsi="Palatino Linotype" w:eastAsia="Times New Roman" w:cs="Times New Roman"/>
          <w:sz w:val="26"/>
          <w:szCs w:val="26"/>
        </w:rPr>
        <w:t xml:space="preserve">of </w:t>
      </w:r>
      <w:r w:rsidRPr="000B47C0" w:rsidR="00443B59">
        <w:rPr>
          <w:rFonts w:ascii="Palatino Linotype" w:hAnsi="Palatino Linotype" w:eastAsia="Times New Roman" w:cs="Times New Roman"/>
          <w:sz w:val="26"/>
          <w:szCs w:val="26"/>
        </w:rPr>
        <w:lastRenderedPageBreak/>
        <w:t xml:space="preserve">arrearage forgiveness already processed, to implement </w:t>
      </w:r>
      <w:r w:rsidRPr="000B47C0" w:rsidR="00CF039F">
        <w:rPr>
          <w:rFonts w:ascii="Palatino Linotype" w:hAnsi="Palatino Linotype" w:eastAsia="Times New Roman" w:cs="Times New Roman"/>
          <w:sz w:val="26"/>
          <w:szCs w:val="26"/>
        </w:rPr>
        <w:t xml:space="preserve">PG&amp;E’s proposal </w:t>
      </w:r>
      <w:r w:rsidRPr="000B47C0" w:rsidR="00681A39">
        <w:rPr>
          <w:rFonts w:ascii="Palatino Linotype" w:hAnsi="Palatino Linotype" w:eastAsia="Times New Roman" w:cs="Times New Roman"/>
          <w:sz w:val="26"/>
          <w:szCs w:val="26"/>
        </w:rPr>
        <w:t>for individual CCAs to track and recover costs from their own customers</w:t>
      </w:r>
      <w:r w:rsidRPr="000B47C0" w:rsidR="6DCACF6F">
        <w:rPr>
          <w:rFonts w:ascii="Palatino Linotype" w:hAnsi="Palatino Linotype" w:eastAsia="Times New Roman" w:cs="Times New Roman"/>
          <w:sz w:val="26"/>
          <w:szCs w:val="26"/>
        </w:rPr>
        <w:t>,</w:t>
      </w:r>
      <w:r w:rsidRPr="000B47C0" w:rsidR="00681A39">
        <w:rPr>
          <w:rFonts w:ascii="Palatino Linotype" w:hAnsi="Palatino Linotype" w:eastAsia="Times New Roman" w:cs="Times New Roman"/>
          <w:sz w:val="26"/>
          <w:szCs w:val="26"/>
        </w:rPr>
        <w:t xml:space="preserve"> </w:t>
      </w:r>
      <w:r w:rsidRPr="000B47C0" w:rsidR="00332FBF">
        <w:rPr>
          <w:rFonts w:ascii="Palatino Linotype" w:hAnsi="Palatino Linotype" w:eastAsia="Times New Roman" w:cs="Times New Roman"/>
          <w:sz w:val="26"/>
          <w:szCs w:val="26"/>
        </w:rPr>
        <w:t xml:space="preserve">if AMP were implemented </w:t>
      </w:r>
      <w:r w:rsidRPr="000B47C0" w:rsidR="00B14272">
        <w:rPr>
          <w:rFonts w:ascii="Palatino Linotype" w:hAnsi="Palatino Linotype" w:eastAsia="Times New Roman" w:cs="Times New Roman"/>
          <w:sz w:val="26"/>
          <w:szCs w:val="26"/>
        </w:rPr>
        <w:t xml:space="preserve">prior to </w:t>
      </w:r>
      <w:r w:rsidRPr="000B47C0" w:rsidR="0035779D">
        <w:rPr>
          <w:rFonts w:ascii="Palatino Linotype" w:hAnsi="Palatino Linotype" w:eastAsia="Times New Roman" w:cs="Times New Roman"/>
          <w:sz w:val="26"/>
          <w:szCs w:val="26"/>
        </w:rPr>
        <w:t>receiving explicit Commission approval.</w:t>
      </w:r>
    </w:p>
    <w:p w:rsidRPr="000B47C0" w:rsidR="00FE6881" w:rsidP="00FE6881" w:rsidRDefault="00FE6881" w14:paraId="43F9B563" w14:textId="77777777">
      <w:pPr>
        <w:spacing w:after="0" w:line="240" w:lineRule="auto"/>
        <w:rPr>
          <w:rFonts w:ascii="Palatino Linotype" w:hAnsi="Palatino Linotype" w:eastAsia="Times New Roman" w:cs="Times New Roman"/>
          <w:sz w:val="26"/>
          <w:szCs w:val="20"/>
          <w:highlight w:val="yellow"/>
        </w:rPr>
      </w:pPr>
    </w:p>
    <w:p w:rsidRPr="000B47C0" w:rsidR="00FE6881" w:rsidP="00FE6881" w:rsidRDefault="003636E1" w14:paraId="5DB05E5F" w14:textId="2DA4244A">
      <w:p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In response to </w:t>
      </w:r>
      <w:proofErr w:type="spellStart"/>
      <w:r w:rsidRPr="000B47C0">
        <w:rPr>
          <w:rFonts w:ascii="Palatino Linotype" w:hAnsi="Palatino Linotype" w:eastAsia="Times New Roman" w:cs="Times New Roman"/>
          <w:sz w:val="26"/>
          <w:szCs w:val="26"/>
        </w:rPr>
        <w:t>CalCCA’s</w:t>
      </w:r>
      <w:proofErr w:type="spellEnd"/>
      <w:r w:rsidRPr="000B47C0">
        <w:rPr>
          <w:rFonts w:ascii="Palatino Linotype" w:hAnsi="Palatino Linotype" w:eastAsia="Times New Roman" w:cs="Times New Roman"/>
          <w:sz w:val="26"/>
          <w:szCs w:val="26"/>
        </w:rPr>
        <w:t xml:space="preserve"> protest, </w:t>
      </w:r>
      <w:r w:rsidRPr="000B47C0" w:rsidR="00FE6881">
        <w:rPr>
          <w:rFonts w:ascii="Palatino Linotype" w:hAnsi="Palatino Linotype" w:eastAsia="Times New Roman" w:cs="Times New Roman"/>
          <w:sz w:val="26"/>
          <w:szCs w:val="26"/>
        </w:rPr>
        <w:t>PG&amp;E argue</w:t>
      </w:r>
      <w:r w:rsidRPr="000B47C0">
        <w:rPr>
          <w:rFonts w:ascii="Palatino Linotype" w:hAnsi="Palatino Linotype" w:eastAsia="Times New Roman" w:cs="Times New Roman"/>
          <w:sz w:val="26"/>
          <w:szCs w:val="26"/>
        </w:rPr>
        <w:t>s</w:t>
      </w:r>
      <w:r w:rsidRPr="000B47C0" w:rsidR="00FE6881">
        <w:rPr>
          <w:rFonts w:ascii="Palatino Linotype" w:hAnsi="Palatino Linotype" w:eastAsia="Times New Roman" w:cs="Times New Roman"/>
          <w:sz w:val="26"/>
          <w:szCs w:val="26"/>
        </w:rPr>
        <w:t xml:space="preserve"> AL 4308-G/5943-E is compliant with OP 87 because it </w:t>
      </w:r>
      <w:r w:rsidRPr="000B47C0">
        <w:rPr>
          <w:rFonts w:ascii="Palatino Linotype" w:hAnsi="Palatino Linotype" w:eastAsia="Times New Roman" w:cs="Times New Roman"/>
          <w:sz w:val="26"/>
          <w:szCs w:val="26"/>
        </w:rPr>
        <w:t xml:space="preserve">addresses </w:t>
      </w:r>
      <w:r w:rsidRPr="000B47C0" w:rsidR="00FE6881">
        <w:rPr>
          <w:rFonts w:ascii="Palatino Linotype" w:hAnsi="Palatino Linotype" w:eastAsia="Times New Roman" w:cs="Times New Roman"/>
          <w:sz w:val="26"/>
          <w:szCs w:val="26"/>
        </w:rPr>
        <w:t>cost recovery for arrearages forgiven in PG&amp;E’s territory. PG&amp;E propose</w:t>
      </w:r>
      <w:r w:rsidRPr="000B47C0">
        <w:rPr>
          <w:rFonts w:ascii="Palatino Linotype" w:hAnsi="Palatino Linotype" w:eastAsia="Times New Roman" w:cs="Times New Roman"/>
          <w:sz w:val="26"/>
          <w:szCs w:val="26"/>
        </w:rPr>
        <w:t>s</w:t>
      </w:r>
      <w:r w:rsidRPr="000B47C0" w:rsidR="00FE6881">
        <w:rPr>
          <w:rFonts w:ascii="Palatino Linotype" w:hAnsi="Palatino Linotype" w:eastAsia="Times New Roman" w:cs="Times New Roman"/>
          <w:sz w:val="26"/>
          <w:szCs w:val="26"/>
        </w:rPr>
        <w:t xml:space="preserve"> that individual CCAs track and recover unbundled customer forgiven arrearages</w:t>
      </w:r>
      <w:r w:rsidRPr="000B47C0" w:rsidR="659404D0">
        <w:rPr>
          <w:rFonts w:ascii="Palatino Linotype" w:hAnsi="Palatino Linotype" w:eastAsia="Times New Roman" w:cs="Times New Roman"/>
          <w:sz w:val="26"/>
          <w:szCs w:val="26"/>
        </w:rPr>
        <w:t>,</w:t>
      </w:r>
      <w:r w:rsidRPr="000B47C0" w:rsidR="00FE6881">
        <w:rPr>
          <w:rFonts w:ascii="Palatino Linotype" w:hAnsi="Palatino Linotype" w:eastAsia="Times New Roman" w:cs="Times New Roman"/>
          <w:sz w:val="26"/>
          <w:szCs w:val="26"/>
        </w:rPr>
        <w:t xml:space="preserve"> if AMP enrollment began prior to Commission authorization of its proposal for cost recovery. PG&amp;E  reques</w:t>
      </w:r>
      <w:r w:rsidRPr="000B47C0">
        <w:rPr>
          <w:rFonts w:ascii="Palatino Linotype" w:hAnsi="Palatino Linotype" w:eastAsia="Times New Roman" w:cs="Times New Roman"/>
          <w:sz w:val="26"/>
          <w:szCs w:val="26"/>
        </w:rPr>
        <w:t xml:space="preserve">ts that </w:t>
      </w:r>
      <w:r w:rsidRPr="000B47C0" w:rsidR="00FE6881">
        <w:rPr>
          <w:rFonts w:ascii="Palatino Linotype" w:hAnsi="Palatino Linotype" w:eastAsia="Times New Roman" w:cs="Times New Roman"/>
          <w:sz w:val="26"/>
          <w:szCs w:val="26"/>
        </w:rPr>
        <w:t xml:space="preserve">CCAs notify PG&amp;E of their voluntary participation within 45 days of submission of AL 4308-G/5943-E (October 26, 2020) </w:t>
      </w:r>
      <w:r w:rsidRPr="000B47C0">
        <w:rPr>
          <w:rFonts w:ascii="Palatino Linotype" w:hAnsi="Palatino Linotype" w:eastAsia="Times New Roman" w:cs="Times New Roman"/>
          <w:sz w:val="26"/>
          <w:szCs w:val="26"/>
        </w:rPr>
        <w:t>because PG&amp;E needs</w:t>
      </w:r>
      <w:r w:rsidRPr="000B47C0" w:rsidR="00FE6881">
        <w:rPr>
          <w:rFonts w:ascii="Palatino Linotype" w:hAnsi="Palatino Linotype" w:eastAsia="Times New Roman" w:cs="Times New Roman"/>
          <w:sz w:val="26"/>
          <w:szCs w:val="26"/>
        </w:rPr>
        <w:t xml:space="preserve"> sufficient time to allocate resources for participating CCA customers. To </w:t>
      </w:r>
      <w:proofErr w:type="spellStart"/>
      <w:r w:rsidRPr="000B47C0" w:rsidR="00FE6881">
        <w:rPr>
          <w:rFonts w:ascii="Palatino Linotype" w:hAnsi="Palatino Linotype" w:eastAsia="Times New Roman" w:cs="Times New Roman"/>
          <w:sz w:val="26"/>
          <w:szCs w:val="26"/>
        </w:rPr>
        <w:t>CalCCA’s</w:t>
      </w:r>
      <w:proofErr w:type="spellEnd"/>
      <w:r w:rsidRPr="000B47C0" w:rsidR="00FE6881">
        <w:rPr>
          <w:rFonts w:ascii="Palatino Linotype" w:hAnsi="Palatino Linotype" w:eastAsia="Times New Roman" w:cs="Times New Roman"/>
          <w:sz w:val="26"/>
          <w:szCs w:val="26"/>
        </w:rPr>
        <w:t xml:space="preserve"> request for more frequent sharing of customer information to track the status and costs associated with unbundled customers enrolled in AMP, PG&amp;E respond</w:t>
      </w:r>
      <w:r w:rsidRPr="000B47C0">
        <w:rPr>
          <w:rFonts w:ascii="Palatino Linotype" w:hAnsi="Palatino Linotype" w:eastAsia="Times New Roman" w:cs="Times New Roman"/>
          <w:sz w:val="26"/>
          <w:szCs w:val="26"/>
        </w:rPr>
        <w:t>s</w:t>
      </w:r>
      <w:r w:rsidRPr="000B47C0" w:rsidR="00FE6881">
        <w:rPr>
          <w:rFonts w:ascii="Palatino Linotype" w:hAnsi="Palatino Linotype" w:eastAsia="Times New Roman" w:cs="Times New Roman"/>
          <w:sz w:val="26"/>
          <w:szCs w:val="26"/>
        </w:rPr>
        <w:t xml:space="preserve"> that it w</w:t>
      </w:r>
      <w:r w:rsidRPr="000B47C0">
        <w:rPr>
          <w:rFonts w:ascii="Palatino Linotype" w:hAnsi="Palatino Linotype" w:eastAsia="Times New Roman" w:cs="Times New Roman"/>
          <w:sz w:val="26"/>
          <w:szCs w:val="26"/>
        </w:rPr>
        <w:t xml:space="preserve">ill </w:t>
      </w:r>
      <w:r w:rsidRPr="000B47C0" w:rsidR="00FE6881">
        <w:rPr>
          <w:rFonts w:ascii="Palatino Linotype" w:hAnsi="Palatino Linotype" w:eastAsia="Times New Roman" w:cs="Times New Roman"/>
          <w:sz w:val="26"/>
          <w:szCs w:val="26"/>
        </w:rPr>
        <w:t>work directly with CCAs to address concerns over frequency of information sharing for unbundled customers</w:t>
      </w:r>
      <w:r w:rsidRPr="000B47C0">
        <w:rPr>
          <w:rFonts w:ascii="Palatino Linotype" w:hAnsi="Palatino Linotype" w:eastAsia="Times New Roman" w:cs="Times New Roman"/>
          <w:sz w:val="26"/>
          <w:szCs w:val="26"/>
        </w:rPr>
        <w:t>.  PG&amp;E states</w:t>
      </w:r>
      <w:r w:rsidRPr="000B47C0" w:rsidR="00FE6881">
        <w:rPr>
          <w:rFonts w:ascii="Palatino Linotype" w:hAnsi="Palatino Linotype" w:eastAsia="Times New Roman" w:cs="Times New Roman"/>
          <w:sz w:val="26"/>
          <w:szCs w:val="26"/>
        </w:rPr>
        <w:t xml:space="preserve"> that the information sharing described in AL 4308-G/5943-E </w:t>
      </w:r>
      <w:r w:rsidRPr="000B47C0">
        <w:rPr>
          <w:rFonts w:ascii="Palatino Linotype" w:hAnsi="Palatino Linotype" w:eastAsia="Times New Roman" w:cs="Times New Roman"/>
          <w:sz w:val="26"/>
          <w:szCs w:val="26"/>
        </w:rPr>
        <w:t>i</w:t>
      </w:r>
      <w:r w:rsidRPr="000B47C0" w:rsidR="00FE6881">
        <w:rPr>
          <w:rFonts w:ascii="Palatino Linotype" w:hAnsi="Palatino Linotype" w:eastAsia="Times New Roman" w:cs="Times New Roman"/>
          <w:sz w:val="26"/>
          <w:szCs w:val="26"/>
        </w:rPr>
        <w:t xml:space="preserve">s sufficient for tracking and recovering unbundled customer costs from participating in AMP. </w:t>
      </w:r>
    </w:p>
    <w:p w:rsidRPr="000B47C0" w:rsidR="00FE6881" w:rsidP="00FE6881" w:rsidRDefault="00FE6881" w14:paraId="52214052" w14:textId="77777777">
      <w:pPr>
        <w:spacing w:after="0" w:line="240" w:lineRule="auto"/>
        <w:rPr>
          <w:rFonts w:ascii="Palatino Linotype" w:hAnsi="Palatino Linotype" w:eastAsia="Times New Roman" w:cs="Times New Roman"/>
          <w:sz w:val="26"/>
          <w:szCs w:val="20"/>
          <w:highlight w:val="yellow"/>
        </w:rPr>
      </w:pPr>
    </w:p>
    <w:p w:rsidRPr="00287817" w:rsidR="00FE6881" w:rsidP="00FE6881" w:rsidRDefault="00FE6881" w14:paraId="60AD7383" w14:textId="77777777">
      <w:pPr>
        <w:spacing w:after="0" w:line="240" w:lineRule="auto"/>
        <w:rPr>
          <w:rFonts w:ascii="Palatino Linotype" w:hAnsi="Palatino Linotype" w:eastAsia="Times New Roman" w:cs="Times New Roman"/>
          <w:b/>
          <w:bCs/>
          <w:i/>
          <w:iCs/>
          <w:sz w:val="26"/>
          <w:szCs w:val="20"/>
        </w:rPr>
      </w:pPr>
      <w:proofErr w:type="spellStart"/>
      <w:r w:rsidRPr="00287817">
        <w:rPr>
          <w:rFonts w:ascii="Palatino Linotype" w:hAnsi="Palatino Linotype" w:eastAsia="Times New Roman" w:cs="Times New Roman"/>
          <w:b/>
          <w:bCs/>
          <w:i/>
          <w:iCs/>
          <w:sz w:val="26"/>
          <w:szCs w:val="20"/>
        </w:rPr>
        <w:t>CalCCA</w:t>
      </w:r>
      <w:proofErr w:type="spellEnd"/>
      <w:r w:rsidRPr="00287817">
        <w:rPr>
          <w:rFonts w:ascii="Palatino Linotype" w:hAnsi="Palatino Linotype" w:eastAsia="Times New Roman" w:cs="Times New Roman"/>
          <w:b/>
          <w:bCs/>
          <w:i/>
          <w:iCs/>
          <w:sz w:val="26"/>
          <w:szCs w:val="20"/>
        </w:rPr>
        <w:t xml:space="preserve"> protest of ALs SCE 4287-E and SDG&amp;E 2902-G/3602-E </w:t>
      </w:r>
    </w:p>
    <w:p w:rsidRPr="000B47C0" w:rsidR="00FE6881" w:rsidP="00FE6881" w:rsidRDefault="00FE6881" w14:paraId="79354DBD"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0CF4541C" w14:textId="77777777">
      <w:p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 xml:space="preserve">SCE’s AL 4287-E and SDG&amp;E’s AL 2902-G/3602-E were timely protested by </w:t>
      </w:r>
      <w:proofErr w:type="spellStart"/>
      <w:r w:rsidRPr="000B47C0">
        <w:rPr>
          <w:rFonts w:ascii="Palatino Linotype" w:hAnsi="Palatino Linotype" w:eastAsia="Times New Roman" w:cs="Times New Roman"/>
          <w:sz w:val="26"/>
          <w:szCs w:val="20"/>
        </w:rPr>
        <w:t>CalCCA</w:t>
      </w:r>
      <w:proofErr w:type="spellEnd"/>
      <w:r w:rsidRPr="000B47C0">
        <w:rPr>
          <w:rFonts w:ascii="Palatino Linotype" w:hAnsi="Palatino Linotype" w:eastAsia="Times New Roman" w:cs="Times New Roman"/>
          <w:sz w:val="26"/>
          <w:szCs w:val="20"/>
        </w:rPr>
        <w:t xml:space="preserve">, which requested that SCE and SDG&amp;E clarify how frequently remittances recovered for generation-related arrears would be rendered to CCAs. </w:t>
      </w:r>
      <w:proofErr w:type="spellStart"/>
      <w:r w:rsidRPr="000B47C0">
        <w:rPr>
          <w:rFonts w:ascii="Palatino Linotype" w:hAnsi="Palatino Linotype" w:eastAsia="Times New Roman" w:cs="Times New Roman"/>
          <w:sz w:val="26"/>
          <w:szCs w:val="20"/>
        </w:rPr>
        <w:t>CalCCA</w:t>
      </w:r>
      <w:proofErr w:type="spellEnd"/>
      <w:r w:rsidRPr="000B47C0">
        <w:rPr>
          <w:rFonts w:ascii="Palatino Linotype" w:hAnsi="Palatino Linotype" w:eastAsia="Times New Roman" w:cs="Times New Roman"/>
          <w:sz w:val="26"/>
          <w:szCs w:val="20"/>
        </w:rPr>
        <w:t xml:space="preserve"> also requested that SCE and SDG&amp;E be required to share specific customer information with CCAs at least weekly and objected to SDG&amp;E’s proposal to share customer information through the regular data request process. Finally, </w:t>
      </w:r>
      <w:proofErr w:type="spellStart"/>
      <w:r w:rsidRPr="000B47C0">
        <w:rPr>
          <w:rFonts w:ascii="Palatino Linotype" w:hAnsi="Palatino Linotype" w:eastAsia="Times New Roman" w:cs="Times New Roman"/>
          <w:sz w:val="26"/>
          <w:szCs w:val="20"/>
        </w:rPr>
        <w:t>CalCCA</w:t>
      </w:r>
      <w:proofErr w:type="spellEnd"/>
      <w:r w:rsidRPr="000B47C0">
        <w:rPr>
          <w:rFonts w:ascii="Palatino Linotype" w:hAnsi="Palatino Linotype" w:eastAsia="Times New Roman" w:cs="Times New Roman"/>
          <w:sz w:val="26"/>
          <w:szCs w:val="20"/>
        </w:rPr>
        <w:t xml:space="preserve"> requested that SCE clarify whether its proposal that CCAs notify it of intent to participate within 45 days of AL 4287-E refers to submission or approval.</w:t>
      </w:r>
    </w:p>
    <w:p w:rsidRPr="000B47C0" w:rsidR="00FE6881" w:rsidP="00FE6881" w:rsidRDefault="00FE6881" w14:paraId="144B60CF" w14:textId="77777777">
      <w:pPr>
        <w:spacing w:after="0" w:line="240" w:lineRule="auto"/>
        <w:rPr>
          <w:rFonts w:ascii="Palatino Linotype" w:hAnsi="Palatino Linotype" w:eastAsia="Times New Roman" w:cs="Times New Roman"/>
          <w:sz w:val="26"/>
          <w:szCs w:val="20"/>
        </w:rPr>
      </w:pPr>
    </w:p>
    <w:p w:rsidRPr="000B47C0" w:rsidR="008C253D" w:rsidP="00FE6881" w:rsidRDefault="00FE6881" w14:paraId="302C06A0" w14:textId="6878FDA5">
      <w:p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SCE responded to </w:t>
      </w:r>
      <w:proofErr w:type="spellStart"/>
      <w:r w:rsidRPr="000B47C0">
        <w:rPr>
          <w:rFonts w:ascii="Palatino Linotype" w:hAnsi="Palatino Linotype" w:eastAsia="Times New Roman" w:cs="Times New Roman"/>
          <w:sz w:val="26"/>
          <w:szCs w:val="26"/>
        </w:rPr>
        <w:t>CalCCA’s</w:t>
      </w:r>
      <w:proofErr w:type="spellEnd"/>
      <w:r w:rsidRPr="000B47C0">
        <w:rPr>
          <w:rFonts w:ascii="Palatino Linotype" w:hAnsi="Palatino Linotype" w:eastAsia="Times New Roman" w:cs="Times New Roman"/>
          <w:sz w:val="26"/>
          <w:szCs w:val="26"/>
        </w:rPr>
        <w:t xml:space="preserve"> protest and indicated that costs for forgiven arrearages under AMP would only be recovered in the subsequent year after the customer has received forgiveness in an annual true up process. SCE also advised that Customer Service Re-Platform implementation would force the company to implement AMP manually first, and SCE’s existing billing system </w:t>
      </w:r>
      <w:r w:rsidRPr="000B47C0">
        <w:rPr>
          <w:rFonts w:ascii="Palatino Linotype" w:hAnsi="Palatino Linotype" w:eastAsia="Times New Roman" w:cs="Times New Roman"/>
          <w:sz w:val="26"/>
          <w:szCs w:val="26"/>
        </w:rPr>
        <w:lastRenderedPageBreak/>
        <w:t xml:space="preserve">will treat arrearages forgiven due to on-time bill payment as a customer payment. This will allow SCE to remit payments for generation-related forgiven costs within a week of a customer’s on-time payment. Accordingly, SCE will remit payments to CCAs under the manual system for many months before seeking cost recovery through the PPP Charge. </w:t>
      </w:r>
    </w:p>
    <w:p w:rsidRPr="000B47C0" w:rsidR="008C253D" w:rsidP="00FE6881" w:rsidRDefault="008C253D" w14:paraId="39BE2B1B"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2ACDA63D" w14:textId="2406F3A8">
      <w:p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 xml:space="preserve">Regarding frequency with which unbundled customer information would be shared with CCAs, SCE argues that monthly sharing of information is sufficient since payments will be made monthly and the number of participating customers for any given CCA is likely to be small. Finally, SCE clarified it is requesting that participating CCAs notify SCE of their intent to participate within 45 days of AL 4287-E’s submittal (October 24, 2020) to ensure SCE has sufficient time to prepare for managing the cases of unbundled customers participating in AMP. SCE specifically indicated that allowing CCAs to notify SCE of their intent to participate 45 days </w:t>
      </w:r>
      <w:r w:rsidRPr="000B47C0">
        <w:rPr>
          <w:rFonts w:ascii="Palatino Linotype" w:hAnsi="Palatino Linotype" w:eastAsia="Times New Roman" w:cs="Times New Roman"/>
          <w:i/>
          <w:sz w:val="26"/>
          <w:szCs w:val="20"/>
        </w:rPr>
        <w:t>after</w:t>
      </w:r>
      <w:r w:rsidRPr="000B47C0">
        <w:rPr>
          <w:rFonts w:ascii="Palatino Linotype" w:hAnsi="Palatino Linotype" w:eastAsia="Times New Roman" w:cs="Times New Roman"/>
          <w:sz w:val="26"/>
          <w:szCs w:val="20"/>
        </w:rPr>
        <w:t xml:space="preserve"> Commission approval of AL 4287-E could occur on the same day that AMP enrollments begin. </w:t>
      </w:r>
    </w:p>
    <w:p w:rsidRPr="000B47C0" w:rsidR="00FE6881" w:rsidP="00FE6881" w:rsidRDefault="00FE6881" w14:paraId="2E6F3F1D"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7CD503EA" w14:textId="6D9C4519">
      <w:p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 xml:space="preserve">SDG&amp;E responded to the protest of </w:t>
      </w:r>
      <w:proofErr w:type="spellStart"/>
      <w:r w:rsidRPr="000B47C0">
        <w:rPr>
          <w:rFonts w:ascii="Palatino Linotype" w:hAnsi="Palatino Linotype" w:eastAsia="Times New Roman" w:cs="Times New Roman"/>
          <w:sz w:val="26"/>
          <w:szCs w:val="20"/>
        </w:rPr>
        <w:t>CalCCA</w:t>
      </w:r>
      <w:proofErr w:type="spellEnd"/>
      <w:r w:rsidRPr="000B47C0">
        <w:rPr>
          <w:rFonts w:ascii="Palatino Linotype" w:hAnsi="Palatino Linotype" w:eastAsia="Times New Roman" w:cs="Times New Roman"/>
          <w:sz w:val="26"/>
          <w:szCs w:val="20"/>
        </w:rPr>
        <w:t xml:space="preserve"> and clarified that its proposed mechanism for cost recovery would result in monthly remittances to CCAs as costs are incorporated into rates through the PPP charge and collected from customers monthly.</w:t>
      </w:r>
      <w:r w:rsidR="007E2890">
        <w:rPr>
          <w:rStyle w:val="FootnoteReference"/>
          <w:rFonts w:ascii="Palatino Linotype" w:hAnsi="Palatino Linotype" w:eastAsia="Times New Roman" w:cs="Times New Roman"/>
          <w:sz w:val="26"/>
          <w:szCs w:val="20"/>
        </w:rPr>
        <w:footnoteReference w:id="4"/>
      </w:r>
      <w:r w:rsidRPr="000B47C0">
        <w:rPr>
          <w:rFonts w:ascii="Palatino Linotype" w:hAnsi="Palatino Linotype" w:eastAsia="Times New Roman" w:cs="Times New Roman"/>
          <w:sz w:val="26"/>
          <w:szCs w:val="20"/>
        </w:rPr>
        <w:t xml:space="preserve"> SDG&amp;E indicated that remitting payments on a more frequent basis than monthly would be unworkable and unnecessary to ensure cost recovery, and that it would share unbundled customer information with participating CCAs on an ongoing monthly basis since customers are billed monthly. SDG&amp;E further indicated sharing information more frequently during replacement of its Customer Information System would be overly burdensome because the reports would be created manually during the system replacement. SDG&amp;E pledged to continue working with CCAs in its territory to meet additional needs for information sharing should such need arise. </w:t>
      </w:r>
    </w:p>
    <w:p w:rsidRPr="000B47C0" w:rsidR="00FE6881" w:rsidP="00FE6881" w:rsidRDefault="00FE6881" w14:paraId="130413AF"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1E73D4CD" w14:textId="77777777">
      <w:pPr>
        <w:spacing w:after="0" w:line="240" w:lineRule="auto"/>
        <w:rPr>
          <w:rFonts w:ascii="Palatino Linotype" w:hAnsi="Palatino Linotype" w:eastAsia="Times New Roman" w:cs="Times New Roman"/>
          <w:sz w:val="26"/>
          <w:szCs w:val="20"/>
        </w:rPr>
      </w:pPr>
    </w:p>
    <w:p w:rsidRPr="003B2D7E" w:rsidR="00FE6881" w:rsidP="00FE6881" w:rsidRDefault="00FE6881" w14:paraId="5CB7871A" w14:textId="77777777">
      <w:pPr>
        <w:keepNext/>
        <w:spacing w:before="120" w:after="240" w:line="240" w:lineRule="auto"/>
        <w:outlineLvl w:val="0"/>
        <w:rPr>
          <w:rFonts w:ascii="Arial" w:hAnsi="Arial" w:eastAsia="Times New Roman" w:cs="Arial"/>
          <w:b/>
          <w:caps/>
          <w:kern w:val="28"/>
          <w:sz w:val="26"/>
          <w:szCs w:val="20"/>
          <w:u w:val="single"/>
        </w:rPr>
      </w:pPr>
      <w:r w:rsidRPr="003B2D7E">
        <w:rPr>
          <w:rFonts w:ascii="Arial" w:hAnsi="Arial" w:eastAsia="Times New Roman" w:cs="Arial"/>
          <w:b/>
          <w:caps/>
          <w:kern w:val="28"/>
          <w:sz w:val="26"/>
          <w:szCs w:val="20"/>
          <w:u w:val="single"/>
        </w:rPr>
        <w:lastRenderedPageBreak/>
        <w:t>Discussion</w:t>
      </w:r>
    </w:p>
    <w:p w:rsidRPr="000B47C0" w:rsidR="00FE6881" w:rsidP="00FE6881" w:rsidRDefault="71185EB8" w14:paraId="07C6C6FE" w14:textId="2A7E9E68">
      <w:p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The CPUC</w:t>
      </w:r>
      <w:r w:rsidRPr="000B47C0" w:rsidR="00FE6881">
        <w:rPr>
          <w:rFonts w:ascii="Palatino Linotype" w:hAnsi="Palatino Linotype" w:eastAsia="Times New Roman" w:cs="Times New Roman"/>
          <w:sz w:val="26"/>
          <w:szCs w:val="26"/>
        </w:rPr>
        <w:t xml:space="preserve"> has reviewed the ALs and the protests and has determined that they are compliant with the AMP program implementation directives and eligibility and operational criteria set forth in D.20-06-003. The IOU cost recovery proposals are discussed here and approved with noted clarifications.</w:t>
      </w:r>
    </w:p>
    <w:p w:rsidRPr="000B47C0" w:rsidR="00FE6881" w:rsidP="00FE6881" w:rsidRDefault="00FE6881" w14:paraId="6FCCA9E1"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199E1201" w14:textId="77777777">
      <w:p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 xml:space="preserve">Pursuant to OP 87 of D.20-06-003, the AMP Working Group met four times to discuss proposals for appropriate cost recovery, which were submitted for socialized cost recovery via the PPP charge. The Working Group determined that the framework of recovering IOU and CCA costs jointly through the PPP charge, with CCA costs remitted by IOUs after cost recovery, was reasonable. Under this framework, IOUs will record all arrearages forgiven under AMP within the RUBA. During the annual true-up process, each IOU will adjust its PPP charge to recover these costs from all customers. Subsequently, IOUs will remit revenue equal to the recovered costs of generation-related arrears for each participating CCA in its territory on a monthly basis. </w:t>
      </w:r>
    </w:p>
    <w:p w:rsidRPr="000B47C0" w:rsidR="00FE6881" w:rsidP="00FE6881" w:rsidRDefault="00FE6881" w14:paraId="60256E2D"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1700AEEF" w14:textId="26B9CF5E">
      <w:p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In AL 4308-G/5943-E, PG&amp;E requested that the Commission provide guidance on the customer classes from which to seek recovery for AMP costs. PG&amp;E noted that CARE costs are recovered from all customers, while FERA costs have historically been allocated only to residential customers. </w:t>
      </w:r>
      <w:r w:rsidRPr="000B47C0" w:rsidR="00815D68">
        <w:rPr>
          <w:rFonts w:ascii="Palatino Linotype" w:hAnsi="Palatino Linotype" w:eastAsia="Times New Roman" w:cs="Times New Roman"/>
          <w:sz w:val="26"/>
          <w:szCs w:val="26"/>
        </w:rPr>
        <w:t xml:space="preserve">Resolving this issue requires a policy determination by the CPUC </w:t>
      </w:r>
      <w:r w:rsidRPr="000B47C0" w:rsidR="0056662A">
        <w:rPr>
          <w:rFonts w:ascii="Palatino Linotype" w:hAnsi="Palatino Linotype" w:eastAsia="Times New Roman" w:cs="Times New Roman"/>
          <w:sz w:val="26"/>
          <w:szCs w:val="26"/>
        </w:rPr>
        <w:t xml:space="preserve">as to </w:t>
      </w:r>
      <w:r w:rsidRPr="000B47C0" w:rsidR="00815D68">
        <w:rPr>
          <w:rFonts w:ascii="Palatino Linotype" w:hAnsi="Palatino Linotype" w:eastAsia="Times New Roman" w:cs="Times New Roman"/>
          <w:sz w:val="26"/>
          <w:szCs w:val="26"/>
        </w:rPr>
        <w:t>whether</w:t>
      </w:r>
      <w:r w:rsidRPr="000B47C0" w:rsidR="0038033E">
        <w:rPr>
          <w:rFonts w:ascii="Palatino Linotype" w:hAnsi="Palatino Linotype" w:eastAsia="Times New Roman" w:cs="Times New Roman"/>
          <w:sz w:val="26"/>
          <w:szCs w:val="26"/>
        </w:rPr>
        <w:t xml:space="preserve"> to allocate costs </w:t>
      </w:r>
      <w:r w:rsidRPr="000B47C0" w:rsidR="003842CB">
        <w:rPr>
          <w:rFonts w:ascii="Palatino Linotype" w:hAnsi="Palatino Linotype" w:eastAsia="Times New Roman" w:cs="Times New Roman"/>
          <w:sz w:val="26"/>
          <w:szCs w:val="26"/>
        </w:rPr>
        <w:t xml:space="preserve">only </w:t>
      </w:r>
      <w:r w:rsidRPr="000B47C0" w:rsidR="0038033E">
        <w:rPr>
          <w:rFonts w:ascii="Palatino Linotype" w:hAnsi="Palatino Linotype" w:eastAsia="Times New Roman" w:cs="Times New Roman"/>
          <w:sz w:val="26"/>
          <w:szCs w:val="26"/>
        </w:rPr>
        <w:t xml:space="preserve">to </w:t>
      </w:r>
      <w:r w:rsidRPr="000B47C0" w:rsidR="00A41E58">
        <w:rPr>
          <w:rFonts w:ascii="Palatino Linotype" w:hAnsi="Palatino Linotype" w:eastAsia="Times New Roman" w:cs="Times New Roman"/>
          <w:sz w:val="26"/>
          <w:szCs w:val="26"/>
        </w:rPr>
        <w:t xml:space="preserve">the </w:t>
      </w:r>
      <w:r w:rsidRPr="000B47C0" w:rsidR="0038033E">
        <w:rPr>
          <w:rFonts w:ascii="Palatino Linotype" w:hAnsi="Palatino Linotype" w:eastAsia="Times New Roman" w:cs="Times New Roman"/>
          <w:sz w:val="26"/>
          <w:szCs w:val="26"/>
        </w:rPr>
        <w:t>residential customer</w:t>
      </w:r>
      <w:r w:rsidRPr="000B47C0" w:rsidR="00A41E58">
        <w:rPr>
          <w:rFonts w:ascii="Palatino Linotype" w:hAnsi="Palatino Linotype" w:eastAsia="Times New Roman" w:cs="Times New Roman"/>
          <w:sz w:val="26"/>
          <w:szCs w:val="26"/>
        </w:rPr>
        <w:t xml:space="preserve"> class</w:t>
      </w:r>
      <w:r w:rsidRPr="000B47C0" w:rsidR="003842CB">
        <w:rPr>
          <w:rFonts w:ascii="Palatino Linotype" w:hAnsi="Palatino Linotype" w:eastAsia="Times New Roman" w:cs="Times New Roman"/>
          <w:sz w:val="26"/>
          <w:szCs w:val="26"/>
        </w:rPr>
        <w:t>,</w:t>
      </w:r>
      <w:r w:rsidRPr="000B47C0" w:rsidR="0038033E">
        <w:rPr>
          <w:rFonts w:ascii="Palatino Linotype" w:hAnsi="Palatino Linotype" w:eastAsia="Times New Roman" w:cs="Times New Roman"/>
          <w:sz w:val="26"/>
          <w:szCs w:val="26"/>
        </w:rPr>
        <w:t xml:space="preserve"> or </w:t>
      </w:r>
      <w:r w:rsidRPr="000B47C0" w:rsidR="003842CB">
        <w:rPr>
          <w:rFonts w:ascii="Palatino Linotype" w:hAnsi="Palatino Linotype" w:eastAsia="Times New Roman" w:cs="Times New Roman"/>
          <w:sz w:val="26"/>
          <w:szCs w:val="26"/>
        </w:rPr>
        <w:t xml:space="preserve">to </w:t>
      </w:r>
      <w:r w:rsidRPr="000B47C0" w:rsidR="0038033E">
        <w:rPr>
          <w:rFonts w:ascii="Palatino Linotype" w:hAnsi="Palatino Linotype" w:eastAsia="Times New Roman" w:cs="Times New Roman"/>
          <w:sz w:val="26"/>
          <w:szCs w:val="26"/>
        </w:rPr>
        <w:t>all customer</w:t>
      </w:r>
      <w:r w:rsidRPr="000B47C0" w:rsidR="00A41E58">
        <w:rPr>
          <w:rFonts w:ascii="Palatino Linotype" w:hAnsi="Palatino Linotype" w:eastAsia="Times New Roman" w:cs="Times New Roman"/>
          <w:sz w:val="26"/>
          <w:szCs w:val="26"/>
        </w:rPr>
        <w:t xml:space="preserve"> classes</w:t>
      </w:r>
      <w:r w:rsidRPr="000B47C0" w:rsidR="009616C7">
        <w:rPr>
          <w:rFonts w:ascii="Palatino Linotype" w:hAnsi="Palatino Linotype" w:eastAsia="Times New Roman" w:cs="Times New Roman"/>
          <w:sz w:val="26"/>
          <w:szCs w:val="26"/>
        </w:rPr>
        <w:t>.</w:t>
      </w:r>
      <w:r w:rsidRPr="000B47C0">
        <w:rPr>
          <w:rFonts w:ascii="Palatino Linotype" w:hAnsi="Palatino Linotype" w:eastAsia="Times New Roman" w:cs="Times New Roman"/>
          <w:sz w:val="26"/>
          <w:szCs w:val="26"/>
        </w:rPr>
        <w:t xml:space="preserve"> </w:t>
      </w:r>
      <w:r w:rsidRPr="000B47C0" w:rsidR="00723A70">
        <w:rPr>
          <w:rFonts w:ascii="Palatino Linotype" w:hAnsi="Palatino Linotype" w:eastAsia="Times New Roman" w:cs="Times New Roman"/>
          <w:sz w:val="26"/>
          <w:szCs w:val="26"/>
        </w:rPr>
        <w:t>Allocating these costs to only residential customers could</w:t>
      </w:r>
      <w:r w:rsidRPr="000B47C0" w:rsidR="00FD50AD">
        <w:rPr>
          <w:rFonts w:ascii="Palatino Linotype" w:hAnsi="Palatino Linotype" w:eastAsia="Times New Roman" w:cs="Times New Roman"/>
          <w:sz w:val="26"/>
          <w:szCs w:val="26"/>
        </w:rPr>
        <w:t xml:space="preserve"> </w:t>
      </w:r>
      <w:r w:rsidRPr="000B47C0" w:rsidR="00C04564">
        <w:rPr>
          <w:rFonts w:ascii="Palatino Linotype" w:hAnsi="Palatino Linotype" w:eastAsia="Times New Roman" w:cs="Times New Roman"/>
          <w:sz w:val="26"/>
          <w:szCs w:val="26"/>
        </w:rPr>
        <w:t xml:space="preserve">increase the number of disconnected residential customers by increasing bills for </w:t>
      </w:r>
      <w:r w:rsidRPr="000B47C0" w:rsidR="00C432AD">
        <w:rPr>
          <w:rFonts w:ascii="Palatino Linotype" w:hAnsi="Palatino Linotype" w:eastAsia="Times New Roman" w:cs="Times New Roman"/>
          <w:sz w:val="26"/>
          <w:szCs w:val="26"/>
        </w:rPr>
        <w:t>those customers</w:t>
      </w:r>
      <w:r w:rsidRPr="000B47C0" w:rsidR="00F76CAF">
        <w:rPr>
          <w:rFonts w:ascii="Palatino Linotype" w:hAnsi="Palatino Linotype" w:eastAsia="Times New Roman" w:cs="Times New Roman"/>
          <w:sz w:val="26"/>
          <w:szCs w:val="26"/>
        </w:rPr>
        <w:t xml:space="preserve"> by a greater incremental quantity than </w:t>
      </w:r>
      <w:r w:rsidRPr="000B47C0" w:rsidR="009F363D">
        <w:rPr>
          <w:rFonts w:ascii="Palatino Linotype" w:hAnsi="Palatino Linotype" w:eastAsia="Times New Roman" w:cs="Times New Roman"/>
          <w:sz w:val="26"/>
          <w:szCs w:val="26"/>
        </w:rPr>
        <w:t xml:space="preserve">if </w:t>
      </w:r>
      <w:r w:rsidRPr="000B47C0" w:rsidR="00E6463B">
        <w:rPr>
          <w:rFonts w:ascii="Palatino Linotype" w:hAnsi="Palatino Linotype" w:eastAsia="Times New Roman" w:cs="Times New Roman"/>
          <w:sz w:val="26"/>
          <w:szCs w:val="26"/>
        </w:rPr>
        <w:t xml:space="preserve">the costs were allocated across all </w:t>
      </w:r>
      <w:r w:rsidRPr="000B47C0" w:rsidR="001E2000">
        <w:rPr>
          <w:rFonts w:ascii="Palatino Linotype" w:hAnsi="Palatino Linotype" w:eastAsia="Times New Roman" w:cs="Times New Roman"/>
          <w:sz w:val="26"/>
          <w:szCs w:val="26"/>
        </w:rPr>
        <w:t xml:space="preserve">customer classes. </w:t>
      </w:r>
      <w:r w:rsidRPr="000B47C0" w:rsidR="00F75094">
        <w:rPr>
          <w:rFonts w:ascii="Palatino Linotype" w:hAnsi="Palatino Linotype" w:eastAsia="Times New Roman" w:cs="Times New Roman"/>
          <w:sz w:val="26"/>
          <w:szCs w:val="26"/>
        </w:rPr>
        <w:t>In addition, spreading these costs over all customer classes is consistent with th</w:t>
      </w:r>
      <w:r w:rsidRPr="000B47C0" w:rsidR="000A74A6">
        <w:rPr>
          <w:rFonts w:ascii="Palatino Linotype" w:hAnsi="Palatino Linotype" w:eastAsia="Times New Roman" w:cs="Times New Roman"/>
          <w:sz w:val="26"/>
          <w:szCs w:val="26"/>
        </w:rPr>
        <w:t xml:space="preserve">e </w:t>
      </w:r>
      <w:r w:rsidRPr="000B47C0" w:rsidR="00B34DD3">
        <w:rPr>
          <w:rFonts w:ascii="Palatino Linotype" w:hAnsi="Palatino Linotype" w:eastAsia="Times New Roman" w:cs="Times New Roman"/>
          <w:sz w:val="26"/>
          <w:szCs w:val="26"/>
        </w:rPr>
        <w:t xml:space="preserve">historic </w:t>
      </w:r>
      <w:r w:rsidRPr="000B47C0" w:rsidR="00514BD6">
        <w:rPr>
          <w:rFonts w:ascii="Palatino Linotype" w:hAnsi="Palatino Linotype" w:eastAsia="Times New Roman" w:cs="Times New Roman"/>
          <w:sz w:val="26"/>
          <w:szCs w:val="26"/>
        </w:rPr>
        <w:t xml:space="preserve">approach </w:t>
      </w:r>
      <w:r w:rsidRPr="000B47C0" w:rsidR="00DC0EC3">
        <w:rPr>
          <w:rFonts w:ascii="Palatino Linotype" w:hAnsi="Palatino Linotype" w:eastAsia="Times New Roman" w:cs="Times New Roman"/>
          <w:sz w:val="26"/>
          <w:szCs w:val="26"/>
        </w:rPr>
        <w:t>to</w:t>
      </w:r>
      <w:r w:rsidRPr="000B47C0" w:rsidR="00514BD6">
        <w:rPr>
          <w:rFonts w:ascii="Palatino Linotype" w:hAnsi="Palatino Linotype" w:eastAsia="Times New Roman" w:cs="Times New Roman"/>
          <w:sz w:val="26"/>
          <w:szCs w:val="26"/>
        </w:rPr>
        <w:t xml:space="preserve"> </w:t>
      </w:r>
      <w:r w:rsidRPr="000B47C0" w:rsidR="000A74A6">
        <w:rPr>
          <w:rFonts w:ascii="Palatino Linotype" w:hAnsi="Palatino Linotype" w:eastAsia="Times New Roman" w:cs="Times New Roman"/>
          <w:sz w:val="26"/>
          <w:szCs w:val="26"/>
        </w:rPr>
        <w:t>recover</w:t>
      </w:r>
      <w:r w:rsidRPr="000B47C0" w:rsidR="00514BD6">
        <w:rPr>
          <w:rFonts w:ascii="Palatino Linotype" w:hAnsi="Palatino Linotype" w:eastAsia="Times New Roman" w:cs="Times New Roman"/>
          <w:sz w:val="26"/>
          <w:szCs w:val="26"/>
        </w:rPr>
        <w:t>ing</w:t>
      </w:r>
      <w:r w:rsidRPr="000B47C0" w:rsidR="000A74A6">
        <w:rPr>
          <w:rFonts w:ascii="Palatino Linotype" w:hAnsi="Palatino Linotype" w:eastAsia="Times New Roman" w:cs="Times New Roman"/>
          <w:sz w:val="26"/>
          <w:szCs w:val="26"/>
        </w:rPr>
        <w:t xml:space="preserve"> </w:t>
      </w:r>
      <w:r w:rsidRPr="000B47C0" w:rsidR="00514BD6">
        <w:rPr>
          <w:rFonts w:ascii="Palatino Linotype" w:hAnsi="Palatino Linotype" w:eastAsia="Times New Roman" w:cs="Times New Roman"/>
          <w:sz w:val="26"/>
          <w:szCs w:val="26"/>
        </w:rPr>
        <w:t xml:space="preserve">uncollectible arrearages </w:t>
      </w:r>
      <w:r w:rsidRPr="000B47C0" w:rsidR="008A1F5A">
        <w:rPr>
          <w:rFonts w:ascii="Palatino Linotype" w:hAnsi="Palatino Linotype" w:eastAsia="Times New Roman" w:cs="Times New Roman"/>
          <w:sz w:val="26"/>
          <w:szCs w:val="26"/>
        </w:rPr>
        <w:t>through the PPP Charge</w:t>
      </w:r>
      <w:r w:rsidRPr="000B47C0" w:rsidR="00EF1BBF">
        <w:rPr>
          <w:rFonts w:ascii="Palatino Linotype" w:hAnsi="Palatino Linotype" w:eastAsia="Times New Roman" w:cs="Times New Roman"/>
          <w:sz w:val="26"/>
          <w:szCs w:val="26"/>
        </w:rPr>
        <w:t>.</w:t>
      </w:r>
      <w:r w:rsidR="00AD50EF">
        <w:rPr>
          <w:rStyle w:val="FootnoteReference"/>
          <w:rFonts w:ascii="Palatino Linotype" w:hAnsi="Palatino Linotype" w:eastAsia="Times New Roman" w:cs="Times New Roman"/>
          <w:sz w:val="26"/>
          <w:szCs w:val="26"/>
        </w:rPr>
        <w:footnoteReference w:id="5"/>
      </w:r>
      <w:r w:rsidRPr="000B47C0" w:rsidR="00EF1BBF">
        <w:rPr>
          <w:rFonts w:ascii="Palatino Linotype" w:hAnsi="Palatino Linotype" w:eastAsia="Times New Roman" w:cs="Times New Roman"/>
          <w:sz w:val="26"/>
          <w:szCs w:val="26"/>
        </w:rPr>
        <w:t xml:space="preserve"> </w:t>
      </w:r>
      <w:r w:rsidRPr="000B47C0" w:rsidR="005E1882">
        <w:rPr>
          <w:rFonts w:ascii="Palatino Linotype" w:hAnsi="Palatino Linotype" w:eastAsia="Times New Roman" w:cs="Times New Roman"/>
          <w:sz w:val="26"/>
          <w:szCs w:val="26"/>
        </w:rPr>
        <w:t>Moreover, s</w:t>
      </w:r>
      <w:r w:rsidRPr="000B47C0" w:rsidR="00EF1BBF">
        <w:rPr>
          <w:rFonts w:ascii="Palatino Linotype" w:hAnsi="Palatino Linotype" w:eastAsia="Times New Roman" w:cs="Times New Roman"/>
          <w:sz w:val="26"/>
          <w:szCs w:val="26"/>
        </w:rPr>
        <w:t xml:space="preserve">ince it is the </w:t>
      </w:r>
      <w:r w:rsidRPr="000B47C0" w:rsidR="00F76392">
        <w:rPr>
          <w:rFonts w:ascii="Palatino Linotype" w:hAnsi="Palatino Linotype" w:eastAsia="Times New Roman" w:cs="Times New Roman"/>
          <w:sz w:val="26"/>
          <w:szCs w:val="26"/>
        </w:rPr>
        <w:t xml:space="preserve">intent of this proceeding and the AMP programs specifically to reduce disconnections </w:t>
      </w:r>
      <w:r w:rsidRPr="000B47C0" w:rsidR="007E2F12">
        <w:rPr>
          <w:rFonts w:ascii="Palatino Linotype" w:hAnsi="Palatino Linotype" w:eastAsia="Times New Roman" w:cs="Times New Roman"/>
          <w:sz w:val="26"/>
          <w:szCs w:val="26"/>
        </w:rPr>
        <w:t>of residential customers</w:t>
      </w:r>
      <w:r w:rsidRPr="000B47C0" w:rsidR="00337DDB">
        <w:rPr>
          <w:rFonts w:ascii="Palatino Linotype" w:hAnsi="Palatino Linotype" w:eastAsia="Times New Roman" w:cs="Times New Roman"/>
          <w:sz w:val="26"/>
          <w:szCs w:val="26"/>
        </w:rPr>
        <w:t xml:space="preserve"> </w:t>
      </w:r>
      <w:r w:rsidRPr="000B47C0" w:rsidR="004277B8">
        <w:rPr>
          <w:rFonts w:ascii="Palatino Linotype" w:hAnsi="Palatino Linotype" w:eastAsia="Times New Roman" w:cs="Times New Roman"/>
          <w:sz w:val="26"/>
          <w:szCs w:val="26"/>
        </w:rPr>
        <w:t xml:space="preserve">and manage arrearages, it </w:t>
      </w:r>
      <w:r w:rsidRPr="000B47C0" w:rsidR="002648A8">
        <w:rPr>
          <w:rFonts w:ascii="Palatino Linotype" w:hAnsi="Palatino Linotype" w:eastAsia="Times New Roman" w:cs="Times New Roman"/>
          <w:sz w:val="26"/>
          <w:szCs w:val="26"/>
        </w:rPr>
        <w:t xml:space="preserve">makes sense </w:t>
      </w:r>
      <w:r w:rsidRPr="000B47C0" w:rsidR="005E1882">
        <w:rPr>
          <w:rFonts w:ascii="Palatino Linotype" w:hAnsi="Palatino Linotype" w:eastAsia="Times New Roman" w:cs="Times New Roman"/>
          <w:sz w:val="26"/>
          <w:szCs w:val="26"/>
        </w:rPr>
        <w:t>to recover AMP costs from all customer classes through the PPP Charge as well</w:t>
      </w:r>
      <w:r w:rsidRPr="000B47C0" w:rsidR="007E2F12">
        <w:rPr>
          <w:rFonts w:ascii="Palatino Linotype" w:hAnsi="Palatino Linotype" w:eastAsia="Times New Roman" w:cs="Times New Roman"/>
          <w:sz w:val="26"/>
          <w:szCs w:val="26"/>
        </w:rPr>
        <w:t>.</w:t>
      </w:r>
      <w:r w:rsidRPr="000B47C0" w:rsidR="00723A70">
        <w:rPr>
          <w:rFonts w:ascii="Palatino Linotype" w:hAnsi="Palatino Linotype" w:eastAsia="Times New Roman" w:cs="Times New Roman"/>
          <w:sz w:val="26"/>
          <w:szCs w:val="26"/>
        </w:rPr>
        <w:t xml:space="preserve"> </w:t>
      </w:r>
      <w:r w:rsidRPr="000B47C0" w:rsidR="00BC07C4">
        <w:rPr>
          <w:rFonts w:ascii="Palatino Linotype" w:hAnsi="Palatino Linotype" w:eastAsia="Times New Roman" w:cs="Times New Roman"/>
          <w:sz w:val="26"/>
          <w:szCs w:val="26"/>
        </w:rPr>
        <w:t>T</w:t>
      </w:r>
      <w:r w:rsidRPr="000B47C0" w:rsidR="007E2F12">
        <w:rPr>
          <w:rFonts w:ascii="Palatino Linotype" w:hAnsi="Palatino Linotype" w:eastAsia="Times New Roman" w:cs="Times New Roman"/>
          <w:sz w:val="26"/>
          <w:szCs w:val="26"/>
        </w:rPr>
        <w:t>herefore, the</w:t>
      </w:r>
      <w:r w:rsidRPr="000B47C0">
        <w:rPr>
          <w:rFonts w:ascii="Palatino Linotype" w:hAnsi="Palatino Linotype" w:eastAsia="Times New Roman" w:cs="Times New Roman"/>
          <w:sz w:val="26"/>
          <w:szCs w:val="26"/>
        </w:rPr>
        <w:t xml:space="preserve"> </w:t>
      </w:r>
      <w:r w:rsidRPr="000B47C0" w:rsidR="00676339">
        <w:rPr>
          <w:rFonts w:ascii="Palatino Linotype" w:hAnsi="Palatino Linotype" w:eastAsia="Times New Roman" w:cs="Times New Roman"/>
          <w:sz w:val="26"/>
          <w:szCs w:val="26"/>
        </w:rPr>
        <w:t xml:space="preserve">CPUC </w:t>
      </w:r>
      <w:r w:rsidRPr="000B47C0">
        <w:rPr>
          <w:rFonts w:ascii="Palatino Linotype" w:hAnsi="Palatino Linotype" w:eastAsia="Times New Roman" w:cs="Times New Roman"/>
          <w:sz w:val="26"/>
          <w:szCs w:val="26"/>
        </w:rPr>
        <w:t xml:space="preserve">finds that it is reasonable to recover the cost of forgiven AMP debt from all customers. </w:t>
      </w:r>
    </w:p>
    <w:p w:rsidRPr="000B47C0" w:rsidR="00FE6881" w:rsidP="00FE6881" w:rsidRDefault="00FE6881" w14:paraId="1043C099" w14:textId="166F7190">
      <w:pPr>
        <w:spacing w:after="0" w:line="240" w:lineRule="auto"/>
        <w:rPr>
          <w:rFonts w:ascii="Palatino Linotype" w:hAnsi="Palatino Linotype" w:eastAsia="Times New Roman" w:cs="Times New Roman"/>
          <w:sz w:val="26"/>
          <w:szCs w:val="20"/>
        </w:rPr>
      </w:pPr>
    </w:p>
    <w:p w:rsidRPr="000B47C0" w:rsidR="0092185B" w:rsidP="00FE6881" w:rsidRDefault="00FE6881" w14:paraId="7B23F6C3" w14:textId="7B74EC6C">
      <w:pPr>
        <w:spacing w:after="0" w:line="240" w:lineRule="auto"/>
        <w:rPr>
          <w:rFonts w:ascii="Palatino Linotype" w:hAnsi="Palatino Linotype" w:eastAsia="Times New Roman" w:cs="Times New Roman"/>
          <w:sz w:val="26"/>
          <w:szCs w:val="20"/>
        </w:rPr>
      </w:pPr>
      <w:proofErr w:type="spellStart"/>
      <w:r w:rsidRPr="000B47C0">
        <w:rPr>
          <w:rFonts w:ascii="Palatino Linotype" w:hAnsi="Palatino Linotype" w:eastAsia="Times New Roman" w:cs="Times New Roman"/>
          <w:sz w:val="26"/>
          <w:szCs w:val="20"/>
        </w:rPr>
        <w:lastRenderedPageBreak/>
        <w:t>CalCCA</w:t>
      </w:r>
      <w:proofErr w:type="spellEnd"/>
      <w:r w:rsidRPr="000B47C0">
        <w:rPr>
          <w:rFonts w:ascii="Palatino Linotype" w:hAnsi="Palatino Linotype" w:eastAsia="Times New Roman" w:cs="Times New Roman"/>
          <w:sz w:val="26"/>
          <w:szCs w:val="20"/>
        </w:rPr>
        <w:t xml:space="preserve"> protest</w:t>
      </w:r>
      <w:r w:rsidRPr="000B47C0" w:rsidR="003E376E">
        <w:rPr>
          <w:rFonts w:ascii="Palatino Linotype" w:hAnsi="Palatino Linotype" w:eastAsia="Times New Roman" w:cs="Times New Roman"/>
          <w:sz w:val="26"/>
          <w:szCs w:val="20"/>
        </w:rPr>
        <w:t>ed</w:t>
      </w:r>
      <w:r w:rsidRPr="000B47C0">
        <w:rPr>
          <w:rFonts w:ascii="Palatino Linotype" w:hAnsi="Palatino Linotype" w:eastAsia="Times New Roman" w:cs="Times New Roman"/>
          <w:sz w:val="26"/>
          <w:szCs w:val="20"/>
        </w:rPr>
        <w:t xml:space="preserve"> PG&amp;E’s proposal to require participating CCAs to track and recover costs of unbundled customer generation-related arrearages before the Commission has formally approved cost recovery via the PPP charge.</w:t>
      </w:r>
      <w:r w:rsidRPr="000B47C0" w:rsidR="0092185B">
        <w:rPr>
          <w:rFonts w:ascii="Palatino Linotype" w:hAnsi="Palatino Linotype" w:eastAsia="Times New Roman" w:cs="Times New Roman"/>
          <w:sz w:val="26"/>
          <w:szCs w:val="20"/>
        </w:rPr>
        <w:t xml:space="preserve"> PG&amp;E respond</w:t>
      </w:r>
      <w:r w:rsidRPr="000B47C0" w:rsidR="005A2CD7">
        <w:rPr>
          <w:rFonts w:ascii="Palatino Linotype" w:hAnsi="Palatino Linotype" w:eastAsia="Times New Roman" w:cs="Times New Roman"/>
          <w:sz w:val="26"/>
          <w:szCs w:val="20"/>
        </w:rPr>
        <w:t>ed</w:t>
      </w:r>
      <w:r w:rsidRPr="000B47C0" w:rsidR="0092185B">
        <w:rPr>
          <w:rFonts w:ascii="Palatino Linotype" w:hAnsi="Palatino Linotype" w:eastAsia="Times New Roman" w:cs="Times New Roman"/>
          <w:sz w:val="26"/>
          <w:szCs w:val="20"/>
        </w:rPr>
        <w:t xml:space="preserve"> that </w:t>
      </w:r>
      <w:r w:rsidRPr="000B47C0" w:rsidR="0082244B">
        <w:rPr>
          <w:rFonts w:ascii="Palatino Linotype" w:hAnsi="Palatino Linotype" w:eastAsia="Times New Roman" w:cs="Times New Roman"/>
          <w:sz w:val="26"/>
          <w:szCs w:val="20"/>
        </w:rPr>
        <w:t>its proposal only requires CCAs to track and recover costs</w:t>
      </w:r>
      <w:r w:rsidRPr="000B47C0" w:rsidR="00C21C3D">
        <w:rPr>
          <w:rFonts w:ascii="Palatino Linotype" w:hAnsi="Palatino Linotype" w:eastAsia="Times New Roman" w:cs="Times New Roman"/>
          <w:sz w:val="26"/>
          <w:szCs w:val="20"/>
        </w:rPr>
        <w:t xml:space="preserve"> of forgiving arrearages owed to the CCA, not costs of arrearages owed to IOUs. </w:t>
      </w:r>
      <w:r w:rsidRPr="000B47C0" w:rsidR="005A2CD7">
        <w:rPr>
          <w:rFonts w:ascii="Palatino Linotype" w:hAnsi="Palatino Linotype" w:eastAsia="Times New Roman" w:cs="Times New Roman"/>
          <w:sz w:val="26"/>
          <w:szCs w:val="20"/>
        </w:rPr>
        <w:t>Furthermore, PG&amp;E noted that this proposal is only</w:t>
      </w:r>
      <w:r w:rsidRPr="000B47C0" w:rsidR="00FC707C">
        <w:rPr>
          <w:rFonts w:ascii="Palatino Linotype" w:hAnsi="Palatino Linotype" w:eastAsia="Times New Roman" w:cs="Times New Roman"/>
          <w:sz w:val="26"/>
          <w:szCs w:val="20"/>
        </w:rPr>
        <w:t xml:space="preserve"> intended to </w:t>
      </w:r>
      <w:r w:rsidRPr="000B47C0" w:rsidR="005572EC">
        <w:rPr>
          <w:rFonts w:ascii="Palatino Linotype" w:hAnsi="Palatino Linotype" w:eastAsia="Times New Roman" w:cs="Times New Roman"/>
          <w:sz w:val="26"/>
          <w:szCs w:val="20"/>
        </w:rPr>
        <w:t xml:space="preserve">apply to AMP costs incurred prior to CPUC </w:t>
      </w:r>
      <w:r w:rsidRPr="000B47C0" w:rsidR="00B977F9">
        <w:rPr>
          <w:rFonts w:ascii="Palatino Linotype" w:hAnsi="Palatino Linotype" w:eastAsia="Times New Roman" w:cs="Times New Roman"/>
          <w:sz w:val="26"/>
          <w:szCs w:val="20"/>
        </w:rPr>
        <w:t xml:space="preserve">approval of </w:t>
      </w:r>
      <w:r w:rsidRPr="000B47C0" w:rsidR="005572EC">
        <w:rPr>
          <w:rFonts w:ascii="Palatino Linotype" w:hAnsi="Palatino Linotype" w:eastAsia="Times New Roman" w:cs="Times New Roman"/>
          <w:sz w:val="26"/>
          <w:szCs w:val="20"/>
        </w:rPr>
        <w:t>the proposal for joint cost recovery through the PPP charge</w:t>
      </w:r>
      <w:r w:rsidRPr="000B47C0" w:rsidR="000A6101">
        <w:rPr>
          <w:rFonts w:ascii="Palatino Linotype" w:hAnsi="Palatino Linotype" w:eastAsia="Times New Roman" w:cs="Times New Roman"/>
          <w:sz w:val="26"/>
          <w:szCs w:val="20"/>
        </w:rPr>
        <w:t xml:space="preserve"> and subsequent remittance payments to participating CCAs. </w:t>
      </w:r>
      <w:r w:rsidRPr="000B47C0" w:rsidR="00041834">
        <w:rPr>
          <w:rFonts w:ascii="Palatino Linotype" w:hAnsi="Palatino Linotype" w:eastAsia="Times New Roman" w:cs="Times New Roman"/>
          <w:sz w:val="26"/>
          <w:szCs w:val="20"/>
        </w:rPr>
        <w:t xml:space="preserve">PG&amp;E </w:t>
      </w:r>
      <w:r w:rsidRPr="000B47C0" w:rsidR="00102C39">
        <w:rPr>
          <w:rFonts w:ascii="Palatino Linotype" w:hAnsi="Palatino Linotype" w:eastAsia="Times New Roman" w:cs="Times New Roman"/>
          <w:sz w:val="26"/>
          <w:szCs w:val="20"/>
        </w:rPr>
        <w:t>additionally indicated its proposal to address</w:t>
      </w:r>
      <w:r w:rsidRPr="000B47C0" w:rsidR="00DD70EC">
        <w:rPr>
          <w:rFonts w:ascii="Palatino Linotype" w:hAnsi="Palatino Linotype" w:eastAsia="Times New Roman" w:cs="Times New Roman"/>
          <w:sz w:val="26"/>
          <w:szCs w:val="20"/>
        </w:rPr>
        <w:t xml:space="preserve"> its joint cost recovery proposal during</w:t>
      </w:r>
      <w:r w:rsidRPr="000B47C0" w:rsidR="002C3ECD">
        <w:rPr>
          <w:rFonts w:ascii="Palatino Linotype" w:hAnsi="Palatino Linotype" w:eastAsia="Times New Roman" w:cs="Times New Roman"/>
          <w:sz w:val="26"/>
          <w:szCs w:val="20"/>
        </w:rPr>
        <w:t xml:space="preserve"> a subsequent </w:t>
      </w:r>
      <w:proofErr w:type="spellStart"/>
      <w:r w:rsidRPr="000B47C0" w:rsidR="002C3ECD">
        <w:rPr>
          <w:rFonts w:ascii="Palatino Linotype" w:hAnsi="Palatino Linotype" w:eastAsia="Times New Roman" w:cs="Times New Roman"/>
          <w:sz w:val="26"/>
          <w:szCs w:val="20"/>
        </w:rPr>
        <w:t>ratesetting</w:t>
      </w:r>
      <w:proofErr w:type="spellEnd"/>
      <w:r w:rsidRPr="000B47C0" w:rsidR="002C3ECD">
        <w:rPr>
          <w:rFonts w:ascii="Palatino Linotype" w:hAnsi="Palatino Linotype" w:eastAsia="Times New Roman" w:cs="Times New Roman"/>
          <w:sz w:val="26"/>
          <w:szCs w:val="20"/>
        </w:rPr>
        <w:t xml:space="preserve"> phase of this proceeding reflects its</w:t>
      </w:r>
      <w:r w:rsidRPr="000B47C0" w:rsidR="00084BD9">
        <w:rPr>
          <w:rFonts w:ascii="Palatino Linotype" w:hAnsi="Palatino Linotype" w:eastAsia="Times New Roman" w:cs="Times New Roman"/>
          <w:sz w:val="26"/>
          <w:szCs w:val="20"/>
        </w:rPr>
        <w:t xml:space="preserve"> intent to enable unbundled customers to participate in AMP</w:t>
      </w:r>
      <w:r w:rsidRPr="000B47C0" w:rsidR="000A7E8D">
        <w:rPr>
          <w:rFonts w:ascii="Palatino Linotype" w:hAnsi="Palatino Linotype" w:eastAsia="Times New Roman" w:cs="Times New Roman"/>
          <w:sz w:val="26"/>
          <w:szCs w:val="20"/>
        </w:rPr>
        <w:t xml:space="preserve"> as soon as feasible.</w:t>
      </w:r>
      <w:r w:rsidRPr="000B47C0" w:rsidR="005A2CD7">
        <w:rPr>
          <w:rFonts w:ascii="Palatino Linotype" w:hAnsi="Palatino Linotype" w:eastAsia="Times New Roman" w:cs="Times New Roman"/>
          <w:sz w:val="26"/>
          <w:szCs w:val="20"/>
        </w:rPr>
        <w:t xml:space="preserve"> </w:t>
      </w:r>
    </w:p>
    <w:p w:rsidRPr="000B47C0" w:rsidR="0092185B" w:rsidP="00FE6881" w:rsidRDefault="0092185B" w14:paraId="003A3AD7" w14:textId="77777777">
      <w:pPr>
        <w:spacing w:after="0" w:line="240" w:lineRule="auto"/>
        <w:rPr>
          <w:rFonts w:ascii="Palatino Linotype" w:hAnsi="Palatino Linotype" w:eastAsia="Times New Roman" w:cs="Times New Roman"/>
          <w:sz w:val="26"/>
          <w:szCs w:val="20"/>
        </w:rPr>
      </w:pPr>
    </w:p>
    <w:p w:rsidRPr="000B47C0" w:rsidR="00FE6881" w:rsidP="00FE6881" w:rsidRDefault="0092185B" w14:paraId="124062C9" w14:textId="06D80824">
      <w:p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W</w:t>
      </w:r>
      <w:r w:rsidRPr="000B47C0" w:rsidR="00FE6881">
        <w:rPr>
          <w:rFonts w:ascii="Palatino Linotype" w:hAnsi="Palatino Linotype" w:eastAsia="Times New Roman" w:cs="Times New Roman"/>
          <w:sz w:val="26"/>
          <w:szCs w:val="26"/>
        </w:rPr>
        <w:t xml:space="preserve">e </w:t>
      </w:r>
      <w:r w:rsidRPr="000B47C0">
        <w:rPr>
          <w:rFonts w:ascii="Palatino Linotype" w:hAnsi="Palatino Linotype" w:eastAsia="Times New Roman" w:cs="Times New Roman"/>
          <w:sz w:val="26"/>
          <w:szCs w:val="26"/>
        </w:rPr>
        <w:t xml:space="preserve">reject </w:t>
      </w:r>
      <w:proofErr w:type="spellStart"/>
      <w:r w:rsidRPr="000B47C0">
        <w:rPr>
          <w:rFonts w:ascii="Palatino Linotype" w:hAnsi="Palatino Linotype" w:eastAsia="Times New Roman" w:cs="Times New Roman"/>
          <w:sz w:val="26"/>
          <w:szCs w:val="26"/>
        </w:rPr>
        <w:t>CalCCA’s</w:t>
      </w:r>
      <w:proofErr w:type="spellEnd"/>
      <w:r w:rsidRPr="000B47C0">
        <w:rPr>
          <w:rFonts w:ascii="Palatino Linotype" w:hAnsi="Palatino Linotype" w:eastAsia="Times New Roman" w:cs="Times New Roman"/>
          <w:sz w:val="26"/>
          <w:szCs w:val="26"/>
        </w:rPr>
        <w:t xml:space="preserve"> arguments and</w:t>
      </w:r>
      <w:r w:rsidRPr="000B47C0" w:rsidR="00FE6881">
        <w:rPr>
          <w:rFonts w:ascii="Palatino Linotype" w:hAnsi="Palatino Linotype" w:eastAsia="Times New Roman" w:cs="Times New Roman"/>
          <w:sz w:val="26"/>
          <w:szCs w:val="26"/>
        </w:rPr>
        <w:t xml:space="preserve"> approve PG&amp;E’s proposal to recover costs using the PPP charge and remit the portion of arrearages attributable to CCA costs to the relevant CCA. </w:t>
      </w:r>
      <w:r w:rsidRPr="000B47C0">
        <w:rPr>
          <w:rFonts w:ascii="Palatino Linotype" w:hAnsi="Palatino Linotype" w:eastAsia="Times New Roman" w:cs="Times New Roman"/>
          <w:sz w:val="26"/>
          <w:szCs w:val="26"/>
        </w:rPr>
        <w:t>We find</w:t>
      </w:r>
      <w:r w:rsidRPr="000B47C0" w:rsidR="080E5FAD">
        <w:rPr>
          <w:rFonts w:ascii="Palatino Linotype" w:hAnsi="Palatino Linotype" w:eastAsia="Times New Roman" w:cs="Times New Roman"/>
          <w:sz w:val="26"/>
          <w:szCs w:val="26"/>
        </w:rPr>
        <w:t xml:space="preserve"> this reasonable</w:t>
      </w:r>
      <w:r w:rsidRPr="000B47C0">
        <w:rPr>
          <w:rFonts w:ascii="Palatino Linotype" w:hAnsi="Palatino Linotype" w:eastAsia="Times New Roman" w:cs="Times New Roman"/>
          <w:sz w:val="26"/>
          <w:szCs w:val="26"/>
        </w:rPr>
        <w:t xml:space="preserve"> because </w:t>
      </w:r>
      <w:proofErr w:type="spellStart"/>
      <w:r w:rsidRPr="000B47C0" w:rsidR="000A7E8D">
        <w:rPr>
          <w:rFonts w:ascii="Palatino Linotype" w:hAnsi="Palatino Linotype" w:eastAsia="Times New Roman" w:cs="Times New Roman"/>
          <w:sz w:val="26"/>
          <w:szCs w:val="26"/>
        </w:rPr>
        <w:t>CalCCA’s</w:t>
      </w:r>
      <w:proofErr w:type="spellEnd"/>
      <w:r w:rsidRPr="000B47C0" w:rsidR="000A7E8D">
        <w:rPr>
          <w:rFonts w:ascii="Palatino Linotype" w:hAnsi="Palatino Linotype" w:eastAsia="Times New Roman" w:cs="Times New Roman"/>
          <w:sz w:val="26"/>
          <w:szCs w:val="26"/>
        </w:rPr>
        <w:t xml:space="preserve"> own protest endorsed </w:t>
      </w:r>
      <w:r w:rsidRPr="000B47C0" w:rsidR="004901B8">
        <w:rPr>
          <w:rFonts w:ascii="Palatino Linotype" w:hAnsi="Palatino Linotype" w:eastAsia="Times New Roman" w:cs="Times New Roman"/>
          <w:sz w:val="26"/>
          <w:szCs w:val="26"/>
        </w:rPr>
        <w:t xml:space="preserve">PG&amp;E’s proposed solution </w:t>
      </w:r>
      <w:r w:rsidRPr="000B47C0" w:rsidR="00504F8C">
        <w:rPr>
          <w:rFonts w:ascii="Palatino Linotype" w:hAnsi="Palatino Linotype" w:eastAsia="Times New Roman" w:cs="Times New Roman"/>
          <w:sz w:val="26"/>
          <w:szCs w:val="26"/>
        </w:rPr>
        <w:t xml:space="preserve">to recover costs using the PPP charge and remit the portion of arrearages attributable to CCA costs to the relevant CCA. </w:t>
      </w:r>
      <w:proofErr w:type="spellStart"/>
      <w:r w:rsidRPr="000B47C0" w:rsidR="00C54F26">
        <w:rPr>
          <w:rFonts w:ascii="Palatino Linotype" w:hAnsi="Palatino Linotype" w:eastAsia="Times New Roman" w:cs="Times New Roman"/>
          <w:sz w:val="26"/>
          <w:szCs w:val="26"/>
        </w:rPr>
        <w:t>CalCCA’s</w:t>
      </w:r>
      <w:proofErr w:type="spellEnd"/>
      <w:r w:rsidRPr="000B47C0" w:rsidR="00C54F26">
        <w:rPr>
          <w:rFonts w:ascii="Palatino Linotype" w:hAnsi="Palatino Linotype" w:eastAsia="Times New Roman" w:cs="Times New Roman"/>
          <w:sz w:val="26"/>
          <w:szCs w:val="26"/>
        </w:rPr>
        <w:t xml:space="preserve"> protest indicated </w:t>
      </w:r>
      <w:r w:rsidRPr="000B47C0" w:rsidR="00F57EF5">
        <w:rPr>
          <w:rFonts w:ascii="Palatino Linotype" w:hAnsi="Palatino Linotype" w:eastAsia="Times New Roman" w:cs="Times New Roman"/>
          <w:sz w:val="26"/>
          <w:szCs w:val="26"/>
        </w:rPr>
        <w:t xml:space="preserve">that its </w:t>
      </w:r>
      <w:r w:rsidRPr="000B47C0" w:rsidR="00716213">
        <w:rPr>
          <w:rFonts w:ascii="Palatino Linotype" w:hAnsi="Palatino Linotype" w:eastAsia="Times New Roman" w:cs="Times New Roman"/>
          <w:sz w:val="26"/>
          <w:szCs w:val="26"/>
        </w:rPr>
        <w:t xml:space="preserve">objection was </w:t>
      </w:r>
      <w:r w:rsidRPr="000B47C0" w:rsidR="00F57EF5">
        <w:rPr>
          <w:rFonts w:ascii="Palatino Linotype" w:hAnsi="Palatino Linotype" w:eastAsia="Times New Roman" w:cs="Times New Roman"/>
          <w:sz w:val="26"/>
          <w:szCs w:val="26"/>
        </w:rPr>
        <w:t xml:space="preserve">only applicable to PG&amp;E’s proposed alternative </w:t>
      </w:r>
      <w:r w:rsidRPr="000B47C0" w:rsidR="00B70BF8">
        <w:rPr>
          <w:rFonts w:ascii="Palatino Linotype" w:hAnsi="Palatino Linotype" w:eastAsia="Times New Roman" w:cs="Times New Roman"/>
          <w:sz w:val="26"/>
          <w:szCs w:val="26"/>
        </w:rPr>
        <w:t xml:space="preserve">intended to take effect in the absence of CPUC </w:t>
      </w:r>
      <w:r w:rsidRPr="000B47C0" w:rsidR="00B624CC">
        <w:rPr>
          <w:rFonts w:ascii="Palatino Linotype" w:hAnsi="Palatino Linotype" w:eastAsia="Times New Roman" w:cs="Times New Roman"/>
          <w:sz w:val="26"/>
          <w:szCs w:val="26"/>
        </w:rPr>
        <w:t>approval of the proposal for joint cost recovery using the PPP charge. Since this resolution provides th</w:t>
      </w:r>
      <w:r w:rsidRPr="000B47C0" w:rsidR="00C24009">
        <w:rPr>
          <w:rFonts w:ascii="Palatino Linotype" w:hAnsi="Palatino Linotype" w:eastAsia="Times New Roman" w:cs="Times New Roman"/>
          <w:sz w:val="26"/>
          <w:szCs w:val="26"/>
        </w:rPr>
        <w:t>at</w:t>
      </w:r>
      <w:r w:rsidRPr="000B47C0" w:rsidR="00B624CC">
        <w:rPr>
          <w:rFonts w:ascii="Palatino Linotype" w:hAnsi="Palatino Linotype" w:eastAsia="Times New Roman" w:cs="Times New Roman"/>
          <w:sz w:val="26"/>
          <w:szCs w:val="26"/>
        </w:rPr>
        <w:t xml:space="preserve"> approval, </w:t>
      </w:r>
      <w:proofErr w:type="spellStart"/>
      <w:r w:rsidRPr="000B47C0" w:rsidR="00B624CC">
        <w:rPr>
          <w:rFonts w:ascii="Palatino Linotype" w:hAnsi="Palatino Linotype" w:eastAsia="Times New Roman" w:cs="Times New Roman"/>
          <w:sz w:val="26"/>
          <w:szCs w:val="26"/>
        </w:rPr>
        <w:t>CalCCA’s</w:t>
      </w:r>
      <w:proofErr w:type="spellEnd"/>
      <w:r w:rsidRPr="000B47C0" w:rsidR="00B624CC">
        <w:rPr>
          <w:rFonts w:ascii="Palatino Linotype" w:hAnsi="Palatino Linotype" w:eastAsia="Times New Roman" w:cs="Times New Roman"/>
          <w:sz w:val="26"/>
          <w:szCs w:val="26"/>
        </w:rPr>
        <w:t xml:space="preserve"> objections are moot.</w:t>
      </w:r>
    </w:p>
    <w:p w:rsidRPr="000B47C0" w:rsidR="00FE6881" w:rsidP="00FE6881" w:rsidRDefault="00FE6881" w14:paraId="4B1A6B25"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4F8D5823" w14:textId="7771A63E">
      <w:pPr>
        <w:spacing w:after="0" w:line="240" w:lineRule="auto"/>
        <w:rPr>
          <w:rFonts w:ascii="Palatino Linotype" w:hAnsi="Palatino Linotype" w:eastAsia="Times New Roman" w:cs="Times New Roman"/>
          <w:sz w:val="26"/>
          <w:szCs w:val="26"/>
        </w:rPr>
      </w:pPr>
      <w:proofErr w:type="spellStart"/>
      <w:r w:rsidRPr="000B47C0">
        <w:rPr>
          <w:rFonts w:ascii="Palatino Linotype" w:hAnsi="Palatino Linotype" w:eastAsia="Times New Roman" w:cs="Times New Roman"/>
          <w:sz w:val="26"/>
          <w:szCs w:val="26"/>
        </w:rPr>
        <w:t>CalCCA</w:t>
      </w:r>
      <w:proofErr w:type="spellEnd"/>
      <w:r w:rsidRPr="000B47C0">
        <w:rPr>
          <w:rFonts w:ascii="Palatino Linotype" w:hAnsi="Palatino Linotype" w:eastAsia="Times New Roman" w:cs="Times New Roman"/>
          <w:sz w:val="26"/>
          <w:szCs w:val="26"/>
        </w:rPr>
        <w:t xml:space="preserve"> requested clarification of when PG&amp;E intended to receive notification from participating CCAs of their intent to participate. Like SCE, PG&amp;E indicated that a CCA seeking to participate should notify PG&amp;E within 45 days of submittal of AL 4308-G/5943-E (October 26, 2020) to provide sufficient time for PG&amp;E to allocate resources and make preparations to track costs and billing information for unbundled customers participating in AMP. However, SDG&amp;E and </w:t>
      </w:r>
      <w:r w:rsidRPr="000B47C0" w:rsidR="00CE0F74">
        <w:rPr>
          <w:rFonts w:ascii="Palatino Linotype" w:hAnsi="Palatino Linotype" w:eastAsia="Times New Roman" w:cs="Times New Roman"/>
          <w:sz w:val="26"/>
          <w:szCs w:val="26"/>
        </w:rPr>
        <w:t>SCE</w:t>
      </w:r>
      <w:r w:rsidRPr="000B47C0">
        <w:rPr>
          <w:rFonts w:ascii="Palatino Linotype" w:hAnsi="Palatino Linotype" w:eastAsia="Times New Roman" w:cs="Times New Roman"/>
          <w:sz w:val="26"/>
          <w:szCs w:val="26"/>
        </w:rPr>
        <w:t xml:space="preserve"> did not directly address the timeline for a CCA notifying its local IOU that it intends to participate in the AMP program. To date, a number of CCAs have conveyed publicly via the </w:t>
      </w:r>
      <w:r w:rsidRPr="000B47C0" w:rsidR="003307ED">
        <w:rPr>
          <w:rFonts w:ascii="Palatino Linotype" w:hAnsi="Palatino Linotype" w:eastAsia="Times New Roman" w:cs="Times New Roman"/>
          <w:sz w:val="26"/>
          <w:szCs w:val="26"/>
        </w:rPr>
        <w:t xml:space="preserve">service list </w:t>
      </w:r>
      <w:r w:rsidRPr="000B47C0">
        <w:rPr>
          <w:rFonts w:ascii="Palatino Linotype" w:hAnsi="Palatino Linotype" w:eastAsia="Times New Roman" w:cs="Times New Roman"/>
          <w:sz w:val="26"/>
          <w:szCs w:val="26"/>
        </w:rPr>
        <w:t>in this proceeding that they intend to participate in AMP, meeting PG&amp;E and SCE’s requested timing for advance notification.</w:t>
      </w:r>
      <w:r w:rsidRPr="000B47C0" w:rsidR="00295D2B">
        <w:rPr>
          <w:rStyle w:val="FootnoteReference"/>
          <w:rFonts w:ascii="Palatino Linotype" w:hAnsi="Palatino Linotype" w:eastAsia="Times New Roman" w:cs="Times New Roman"/>
          <w:sz w:val="26"/>
          <w:szCs w:val="26"/>
        </w:rPr>
        <w:footnoteReference w:id="6"/>
      </w:r>
      <w:r w:rsidRPr="000B47C0">
        <w:rPr>
          <w:rFonts w:ascii="Palatino Linotype" w:hAnsi="Palatino Linotype" w:eastAsia="Times New Roman" w:cs="Times New Roman"/>
          <w:sz w:val="26"/>
          <w:szCs w:val="26"/>
        </w:rPr>
        <w:t xml:space="preserve"> However, setting a one-time deadline for advance notification when new CCAs are continually being formed </w:t>
      </w:r>
      <w:r w:rsidRPr="000B47C0" w:rsidR="005303C2">
        <w:rPr>
          <w:rFonts w:ascii="Palatino Linotype" w:hAnsi="Palatino Linotype" w:eastAsia="Times New Roman" w:cs="Times New Roman"/>
          <w:sz w:val="26"/>
          <w:szCs w:val="26"/>
        </w:rPr>
        <w:t>or when existing</w:t>
      </w:r>
      <w:r w:rsidRPr="000B47C0">
        <w:rPr>
          <w:rFonts w:ascii="Palatino Linotype" w:hAnsi="Palatino Linotype" w:eastAsia="Times New Roman" w:cs="Times New Roman"/>
          <w:sz w:val="26"/>
          <w:szCs w:val="26"/>
        </w:rPr>
        <w:t xml:space="preserve"> CCAs </w:t>
      </w:r>
      <w:r w:rsidRPr="000B47C0" w:rsidR="005303C2">
        <w:rPr>
          <w:rFonts w:ascii="Palatino Linotype" w:hAnsi="Palatino Linotype" w:eastAsia="Times New Roman" w:cs="Times New Roman"/>
          <w:sz w:val="26"/>
          <w:szCs w:val="26"/>
        </w:rPr>
        <w:t>were not</w:t>
      </w:r>
      <w:r w:rsidRPr="000B47C0">
        <w:rPr>
          <w:rFonts w:ascii="Palatino Linotype" w:hAnsi="Palatino Linotype" w:eastAsia="Times New Roman" w:cs="Times New Roman"/>
          <w:sz w:val="26"/>
          <w:szCs w:val="26"/>
        </w:rPr>
        <w:t xml:space="preserve"> in a </w:t>
      </w:r>
      <w:r w:rsidRPr="000B47C0">
        <w:rPr>
          <w:rFonts w:ascii="Palatino Linotype" w:hAnsi="Palatino Linotype" w:eastAsia="Times New Roman" w:cs="Times New Roman"/>
          <w:sz w:val="26"/>
          <w:szCs w:val="26"/>
        </w:rPr>
        <w:lastRenderedPageBreak/>
        <w:t xml:space="preserve">position to rapidly meet the IOUs’ requested deadlines is needlessly arbitrary. It is reasonable for IOUs to request advance notification to prepare for </w:t>
      </w:r>
      <w:r w:rsidRPr="000B47C0" w:rsidR="001D2B11">
        <w:rPr>
          <w:rFonts w:ascii="Palatino Linotype" w:hAnsi="Palatino Linotype" w:eastAsia="Times New Roman" w:cs="Times New Roman"/>
          <w:sz w:val="26"/>
          <w:szCs w:val="26"/>
        </w:rPr>
        <w:t>other</w:t>
      </w:r>
      <w:r w:rsidRPr="000B47C0">
        <w:rPr>
          <w:rFonts w:ascii="Palatino Linotype" w:hAnsi="Palatino Linotype" w:eastAsia="Times New Roman" w:cs="Times New Roman"/>
          <w:sz w:val="26"/>
          <w:szCs w:val="26"/>
        </w:rPr>
        <w:t xml:space="preserve"> CCA</w:t>
      </w:r>
      <w:r w:rsidRPr="000B47C0" w:rsidR="001D2B11">
        <w:rPr>
          <w:rFonts w:ascii="Palatino Linotype" w:hAnsi="Palatino Linotype" w:eastAsia="Times New Roman" w:cs="Times New Roman"/>
          <w:sz w:val="26"/>
          <w:szCs w:val="26"/>
        </w:rPr>
        <w:t>s that decide</w:t>
      </w:r>
      <w:r w:rsidRPr="000B47C0">
        <w:rPr>
          <w:rFonts w:ascii="Palatino Linotype" w:hAnsi="Palatino Linotype" w:eastAsia="Times New Roman" w:cs="Times New Roman"/>
          <w:sz w:val="26"/>
          <w:szCs w:val="26"/>
        </w:rPr>
        <w:t xml:space="preserve"> to participate in AMP</w:t>
      </w:r>
      <w:r w:rsidRPr="000B47C0" w:rsidR="0092185B">
        <w:rPr>
          <w:rFonts w:ascii="Palatino Linotype" w:hAnsi="Palatino Linotype" w:eastAsia="Times New Roman" w:cs="Times New Roman"/>
          <w:sz w:val="26"/>
          <w:szCs w:val="26"/>
        </w:rPr>
        <w:t xml:space="preserve">.  We </w:t>
      </w:r>
      <w:r w:rsidRPr="000B47C0">
        <w:rPr>
          <w:rFonts w:ascii="Palatino Linotype" w:hAnsi="Palatino Linotype" w:eastAsia="Times New Roman" w:cs="Times New Roman"/>
          <w:sz w:val="26"/>
          <w:szCs w:val="26"/>
        </w:rPr>
        <w:t xml:space="preserve">direct the IOUs to meet a 60-day timeline following notification from </w:t>
      </w:r>
      <w:r w:rsidRPr="000B47C0" w:rsidR="00000BF6">
        <w:rPr>
          <w:rFonts w:ascii="Palatino Linotype" w:hAnsi="Palatino Linotype" w:eastAsia="Times New Roman" w:cs="Times New Roman"/>
          <w:sz w:val="26"/>
          <w:szCs w:val="26"/>
        </w:rPr>
        <w:t>other</w:t>
      </w:r>
      <w:r w:rsidRPr="000B47C0">
        <w:rPr>
          <w:rFonts w:ascii="Palatino Linotype" w:hAnsi="Palatino Linotype" w:eastAsia="Times New Roman" w:cs="Times New Roman"/>
          <w:sz w:val="26"/>
          <w:szCs w:val="26"/>
        </w:rPr>
        <w:t xml:space="preserve"> CCA</w:t>
      </w:r>
      <w:r w:rsidRPr="000B47C0" w:rsidR="00000BF6">
        <w:rPr>
          <w:rFonts w:ascii="Palatino Linotype" w:hAnsi="Palatino Linotype" w:eastAsia="Times New Roman" w:cs="Times New Roman"/>
          <w:sz w:val="26"/>
          <w:szCs w:val="26"/>
        </w:rPr>
        <w:t>s</w:t>
      </w:r>
      <w:r w:rsidRPr="000B47C0">
        <w:rPr>
          <w:rFonts w:ascii="Palatino Linotype" w:hAnsi="Palatino Linotype" w:eastAsia="Times New Roman" w:cs="Times New Roman"/>
          <w:sz w:val="26"/>
          <w:szCs w:val="26"/>
        </w:rPr>
        <w:t xml:space="preserve"> that it intends to participate in AMP in the future. Since the IOUs only requested 45 days of advance notification for the first CCAs that would participate in AMP, 60 days of advance warning in the future should be enough to accommodate </w:t>
      </w:r>
      <w:r w:rsidRPr="000B47C0" w:rsidR="001D2B11">
        <w:rPr>
          <w:rFonts w:ascii="Palatino Linotype" w:hAnsi="Palatino Linotype" w:eastAsia="Times New Roman" w:cs="Times New Roman"/>
          <w:sz w:val="26"/>
          <w:szCs w:val="26"/>
        </w:rPr>
        <w:t xml:space="preserve">other </w:t>
      </w:r>
      <w:r w:rsidRPr="000B47C0">
        <w:rPr>
          <w:rFonts w:ascii="Palatino Linotype" w:hAnsi="Palatino Linotype" w:eastAsia="Times New Roman" w:cs="Times New Roman"/>
          <w:sz w:val="26"/>
          <w:szCs w:val="26"/>
        </w:rPr>
        <w:t xml:space="preserve">CCAs once the program is already operating. </w:t>
      </w:r>
    </w:p>
    <w:p w:rsidRPr="000B47C0" w:rsidR="00FE6881" w:rsidP="00FE6881" w:rsidRDefault="00FE6881" w14:paraId="7C7B0D8E"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17C3EE6F" w14:textId="4B15010A">
      <w:pPr>
        <w:spacing w:after="0" w:line="240" w:lineRule="auto"/>
        <w:rPr>
          <w:rFonts w:ascii="Palatino Linotype" w:hAnsi="Palatino Linotype" w:eastAsia="Times New Roman" w:cs="Times New Roman"/>
          <w:sz w:val="26"/>
          <w:szCs w:val="26"/>
        </w:rPr>
      </w:pPr>
      <w:proofErr w:type="spellStart"/>
      <w:r w:rsidRPr="000B47C0">
        <w:rPr>
          <w:rFonts w:ascii="Palatino Linotype" w:hAnsi="Palatino Linotype" w:eastAsia="Times New Roman" w:cs="Times New Roman"/>
          <w:sz w:val="26"/>
          <w:szCs w:val="26"/>
        </w:rPr>
        <w:t>CalCCA</w:t>
      </w:r>
      <w:proofErr w:type="spellEnd"/>
      <w:r w:rsidRPr="000B47C0">
        <w:rPr>
          <w:rFonts w:ascii="Palatino Linotype" w:hAnsi="Palatino Linotype" w:eastAsia="Times New Roman" w:cs="Times New Roman"/>
          <w:sz w:val="26"/>
          <w:szCs w:val="26"/>
        </w:rPr>
        <w:t xml:space="preserve"> requested clarification from PG&amp;E regarding </w:t>
      </w:r>
      <w:r w:rsidRPr="000B47C0" w:rsidR="002C11AE">
        <w:rPr>
          <w:rFonts w:ascii="Palatino Linotype" w:hAnsi="Palatino Linotype" w:eastAsia="Times New Roman" w:cs="Times New Roman"/>
          <w:sz w:val="26"/>
          <w:szCs w:val="26"/>
        </w:rPr>
        <w:t>the type and frequency of</w:t>
      </w:r>
      <w:r w:rsidRPr="000B47C0">
        <w:rPr>
          <w:rFonts w:ascii="Palatino Linotype" w:hAnsi="Palatino Linotype" w:eastAsia="Times New Roman" w:cs="Times New Roman"/>
          <w:sz w:val="26"/>
          <w:szCs w:val="26"/>
        </w:rPr>
        <w:t xml:space="preserve"> information it intended to share with CCAs. This issue was also raised in </w:t>
      </w:r>
      <w:proofErr w:type="spellStart"/>
      <w:r w:rsidRPr="000B47C0">
        <w:rPr>
          <w:rFonts w:ascii="Palatino Linotype" w:hAnsi="Palatino Linotype" w:eastAsia="Times New Roman" w:cs="Times New Roman"/>
          <w:sz w:val="26"/>
          <w:szCs w:val="26"/>
        </w:rPr>
        <w:t>CalCCA’s</w:t>
      </w:r>
      <w:proofErr w:type="spellEnd"/>
      <w:r w:rsidRPr="000B47C0">
        <w:rPr>
          <w:rFonts w:ascii="Palatino Linotype" w:hAnsi="Palatino Linotype" w:eastAsia="Times New Roman" w:cs="Times New Roman"/>
          <w:sz w:val="26"/>
          <w:szCs w:val="26"/>
        </w:rPr>
        <w:t xml:space="preserve"> protest of SCE AL 4287-E and SDG&amp;E’s AL 3602-E/2902-G, in which </w:t>
      </w:r>
      <w:proofErr w:type="spellStart"/>
      <w:r w:rsidRPr="000B47C0">
        <w:rPr>
          <w:rFonts w:ascii="Palatino Linotype" w:hAnsi="Palatino Linotype" w:eastAsia="Times New Roman" w:cs="Times New Roman"/>
          <w:sz w:val="26"/>
          <w:szCs w:val="26"/>
        </w:rPr>
        <w:t>CalCCA</w:t>
      </w:r>
      <w:proofErr w:type="spellEnd"/>
      <w:r w:rsidRPr="000B47C0">
        <w:rPr>
          <w:rFonts w:ascii="Palatino Linotype" w:hAnsi="Palatino Linotype" w:eastAsia="Times New Roman" w:cs="Times New Roman"/>
          <w:sz w:val="26"/>
          <w:szCs w:val="26"/>
        </w:rPr>
        <w:t xml:space="preserve"> requested that information be shared at least weekly with CCAs. PG&amp;E, SCE, and SDG&amp;E all indicated they would continue working with CCAs in their territor</w:t>
      </w:r>
      <w:r w:rsidRPr="000B47C0" w:rsidR="00355BDC">
        <w:rPr>
          <w:rFonts w:ascii="Palatino Linotype" w:hAnsi="Palatino Linotype" w:eastAsia="Times New Roman" w:cs="Times New Roman"/>
          <w:sz w:val="26"/>
          <w:szCs w:val="26"/>
        </w:rPr>
        <w:t>ies</w:t>
      </w:r>
      <w:r w:rsidRPr="000B47C0">
        <w:rPr>
          <w:rFonts w:ascii="Palatino Linotype" w:hAnsi="Palatino Linotype" w:eastAsia="Times New Roman" w:cs="Times New Roman"/>
          <w:sz w:val="26"/>
          <w:szCs w:val="26"/>
        </w:rPr>
        <w:t xml:space="preserve"> to deliver any information needed to track unbundled customers participating in AMP. However, providing reports weekly or even more frequently would be unnecessarily labor-intensive, especially during the manual phase of implementation, since customers are billed monthly and would only experience a change in program status or arrearage amount on the same basis. At this time, we </w:t>
      </w:r>
      <w:r w:rsidRPr="000B47C0" w:rsidR="0062197D">
        <w:rPr>
          <w:rFonts w:ascii="Palatino Linotype" w:hAnsi="Palatino Linotype" w:eastAsia="Times New Roman" w:cs="Times New Roman"/>
          <w:sz w:val="26"/>
          <w:szCs w:val="26"/>
        </w:rPr>
        <w:t>conclude</w:t>
      </w:r>
      <w:r w:rsidRPr="000B47C0">
        <w:rPr>
          <w:rFonts w:ascii="Palatino Linotype" w:hAnsi="Palatino Linotype" w:eastAsia="Times New Roman" w:cs="Times New Roman"/>
          <w:sz w:val="26"/>
          <w:szCs w:val="26"/>
        </w:rPr>
        <w:t xml:space="preserve"> that monthly reporting of the requested information should be sufficient for tracking and recording costs associated with unbundled customers participating in AMP, which all IOUs have indicated is workable. </w:t>
      </w:r>
    </w:p>
    <w:p w:rsidRPr="000B47C0" w:rsidR="00FE6881" w:rsidP="00FE6881" w:rsidRDefault="00FE6881" w14:paraId="529ED6E3"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32A6B601" w14:textId="77777777">
      <w:pPr>
        <w:spacing w:after="0" w:line="240" w:lineRule="auto"/>
        <w:rPr>
          <w:rFonts w:ascii="Palatino Linotype" w:hAnsi="Palatino Linotype" w:eastAsia="Times New Roman" w:cs="Times New Roman"/>
          <w:sz w:val="26"/>
          <w:szCs w:val="20"/>
        </w:rPr>
      </w:pPr>
      <w:proofErr w:type="spellStart"/>
      <w:r w:rsidRPr="000B47C0">
        <w:rPr>
          <w:rFonts w:ascii="Palatino Linotype" w:hAnsi="Palatino Linotype" w:eastAsia="Times New Roman" w:cs="Times New Roman"/>
          <w:sz w:val="26"/>
          <w:szCs w:val="20"/>
        </w:rPr>
        <w:t>CalCCA</w:t>
      </w:r>
      <w:proofErr w:type="spellEnd"/>
      <w:r w:rsidRPr="000B47C0">
        <w:rPr>
          <w:rFonts w:ascii="Palatino Linotype" w:hAnsi="Palatino Linotype" w:eastAsia="Times New Roman" w:cs="Times New Roman"/>
          <w:sz w:val="26"/>
          <w:szCs w:val="20"/>
        </w:rPr>
        <w:t xml:space="preserve"> protested SCE’s AL 4287-E and SDG&amp;E’s AL 3602-E/2902-G requesting clarification of how frequently each IOU intended to remit payments of costs associated with unbundled customers participating in AMP that IOUs have recovered on behalf of participating CCAs. SCE and SDG&amp;E both replied by indicating that cost recovery would be sought through an annual true-up process that would adjust monthly rates, meaning that cost recovery would begin in the subsequent year after AMP has begun, and payments would be remitted on a monthly basis as customer bills containing the adjusted PPP charge are paid to the IOU. The Commission finds that this is a reasonable remittance schedule for IOUs to provide recovered costs to participating CCAs and directs PG&amp;E to follow the same remittance schedule to ensure consistency across IOUs.</w:t>
      </w:r>
    </w:p>
    <w:p w:rsidRPr="000B47C0" w:rsidR="00FE6881" w:rsidP="00FE6881" w:rsidRDefault="00FE6881" w14:paraId="40A121A6"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0094BC9E" w14:textId="77777777">
      <w:p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lastRenderedPageBreak/>
        <w:t xml:space="preserve">PG&amp;E, SCE, and SDG&amp;E requested that customers participating in Net Energy Metering (NEM) be excluded from participation in AMP during initial implementation due to the complexity of resolving differences between the way AMP would function for most customers compared to NEM customers. We agree that integrating NEM customers in an AMP framework will require more discussion, so we will prohibit them from participating in AMP at this time. </w:t>
      </w:r>
    </w:p>
    <w:p w:rsidRPr="000B47C0" w:rsidR="00FE6881" w:rsidP="00FE6881" w:rsidRDefault="00FE6881" w14:paraId="6514AEAC"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657DDBF1" w14:textId="4662750F">
      <w:p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PG&amp;E and </w:t>
      </w:r>
      <w:r w:rsidRPr="000B47C0" w:rsidR="4C0ED55C">
        <w:rPr>
          <w:rFonts w:ascii="Palatino Linotype" w:hAnsi="Palatino Linotype" w:eastAsia="Times New Roman" w:cs="Times New Roman"/>
          <w:sz w:val="26"/>
          <w:szCs w:val="26"/>
        </w:rPr>
        <w:t>SoCalGas</w:t>
      </w:r>
      <w:r w:rsidRPr="000B47C0">
        <w:rPr>
          <w:rFonts w:ascii="Palatino Linotype" w:hAnsi="Palatino Linotype" w:eastAsia="Times New Roman" w:cs="Times New Roman"/>
          <w:sz w:val="26"/>
          <w:szCs w:val="26"/>
        </w:rPr>
        <w:t xml:space="preserve"> both requested that customers receiving gas service from Core Transport Agents or receiving Core Aggregation Transportation service only be eligible for arrearage forgiveness under AMP for transportation costs owed to the IOU, rather than being eligible for forgiveness for arrearages owed to the third party. The Commission finds that this is a reasonable solution to the issue of third party gas costs</w:t>
      </w:r>
      <w:r w:rsidRPr="000B47C0" w:rsidR="55D93FFC">
        <w:rPr>
          <w:rFonts w:ascii="Palatino Linotype" w:hAnsi="Palatino Linotype" w:eastAsia="Times New Roman" w:cs="Times New Roman"/>
          <w:sz w:val="26"/>
          <w:szCs w:val="26"/>
        </w:rPr>
        <w:t xml:space="preserve"> because the issue of </w:t>
      </w:r>
      <w:r w:rsidRPr="000B47C0" w:rsidR="5A21EEAE">
        <w:rPr>
          <w:rFonts w:ascii="Palatino Linotype" w:hAnsi="Palatino Linotype" w:eastAsia="Times New Roman" w:cs="Times New Roman"/>
          <w:sz w:val="26"/>
          <w:szCs w:val="26"/>
        </w:rPr>
        <w:t>costs owed to Core Transport Agents was not addressed in D.</w:t>
      </w:r>
      <w:r w:rsidRPr="000B47C0" w:rsidR="1DEB20A3">
        <w:rPr>
          <w:rFonts w:ascii="Palatino Linotype" w:hAnsi="Palatino Linotype" w:eastAsia="Times New Roman" w:cs="Times New Roman"/>
          <w:sz w:val="26"/>
          <w:szCs w:val="26"/>
        </w:rPr>
        <w:t>20-06-003</w:t>
      </w:r>
      <w:r w:rsidRPr="000B47C0" w:rsidR="0092185B">
        <w:rPr>
          <w:rFonts w:ascii="Palatino Linotype" w:hAnsi="Palatino Linotype" w:eastAsia="Times New Roman" w:cs="Times New Roman"/>
          <w:sz w:val="26"/>
          <w:szCs w:val="26"/>
        </w:rPr>
        <w:t xml:space="preserve">.  We </w:t>
      </w:r>
      <w:r w:rsidRPr="000B47C0">
        <w:rPr>
          <w:rFonts w:ascii="Palatino Linotype" w:hAnsi="Palatino Linotype" w:eastAsia="Times New Roman" w:cs="Times New Roman"/>
          <w:sz w:val="26"/>
          <w:szCs w:val="26"/>
        </w:rPr>
        <w:t xml:space="preserve">direct that costs for gas service owed to third parties other than the IOUs are not eligible at this time for arrearage forgiveness under AMP. While SDG&amp;E did not directly address the issue in its AL 2902-G/3602-E, SDG&amp;E indicated at the fourth AMP Working Group meeting on August 28, 2020 that it does not bill for third parties providing Core Aggregation Transportation service and therefore is not authorized or able to waive past-due charges on behalf of these providers. It is therefore reasonable to exclude </w:t>
      </w:r>
      <w:r w:rsidRPr="000B47C0" w:rsidR="001F0394">
        <w:rPr>
          <w:rFonts w:ascii="Palatino Linotype" w:hAnsi="Palatino Linotype" w:eastAsia="Times New Roman" w:cs="Times New Roman"/>
          <w:sz w:val="26"/>
          <w:szCs w:val="26"/>
        </w:rPr>
        <w:t xml:space="preserve">gas </w:t>
      </w:r>
      <w:r w:rsidRPr="000B47C0" w:rsidR="004701E5">
        <w:rPr>
          <w:rFonts w:ascii="Palatino Linotype" w:hAnsi="Palatino Linotype" w:eastAsia="Times New Roman" w:cs="Times New Roman"/>
          <w:sz w:val="26"/>
          <w:szCs w:val="26"/>
        </w:rPr>
        <w:t>arrearages of</w:t>
      </w:r>
      <w:r w:rsidRPr="000B47C0">
        <w:rPr>
          <w:rFonts w:ascii="Palatino Linotype" w:hAnsi="Palatino Linotype" w:eastAsia="Times New Roman" w:cs="Times New Roman"/>
          <w:sz w:val="26"/>
          <w:szCs w:val="26"/>
        </w:rPr>
        <w:t xml:space="preserve"> </w:t>
      </w:r>
      <w:r w:rsidRPr="000B47C0" w:rsidR="005774B5">
        <w:rPr>
          <w:rFonts w:ascii="Palatino Linotype" w:hAnsi="Palatino Linotype" w:eastAsia="Times New Roman" w:cs="Times New Roman"/>
          <w:sz w:val="26"/>
          <w:szCs w:val="26"/>
        </w:rPr>
        <w:t xml:space="preserve">CTA-served </w:t>
      </w:r>
      <w:r w:rsidRPr="000B47C0">
        <w:rPr>
          <w:rFonts w:ascii="Palatino Linotype" w:hAnsi="Palatino Linotype" w:eastAsia="Times New Roman" w:cs="Times New Roman"/>
          <w:sz w:val="26"/>
          <w:szCs w:val="26"/>
        </w:rPr>
        <w:t xml:space="preserve">customers from SDG&amp;E’s AMP program as </w:t>
      </w:r>
      <w:r w:rsidRPr="000B47C0" w:rsidR="00C70C01">
        <w:rPr>
          <w:rFonts w:ascii="Palatino Linotype" w:hAnsi="Palatino Linotype" w:eastAsia="Times New Roman" w:cs="Times New Roman"/>
          <w:sz w:val="26"/>
          <w:szCs w:val="26"/>
        </w:rPr>
        <w:t xml:space="preserve">SDG&amp;E is not in </w:t>
      </w:r>
      <w:r w:rsidRPr="000B47C0" w:rsidR="00FF2A17">
        <w:rPr>
          <w:rFonts w:ascii="Palatino Linotype" w:hAnsi="Palatino Linotype" w:eastAsia="Times New Roman" w:cs="Times New Roman"/>
          <w:sz w:val="26"/>
          <w:szCs w:val="26"/>
        </w:rPr>
        <w:t xml:space="preserve">a </w:t>
      </w:r>
      <w:r w:rsidRPr="000B47C0" w:rsidR="00C70C01">
        <w:rPr>
          <w:rFonts w:ascii="Palatino Linotype" w:hAnsi="Palatino Linotype" w:eastAsia="Times New Roman" w:cs="Times New Roman"/>
          <w:sz w:val="26"/>
          <w:szCs w:val="26"/>
        </w:rPr>
        <w:t>position to</w:t>
      </w:r>
      <w:r w:rsidRPr="000B47C0" w:rsidR="00466D85">
        <w:rPr>
          <w:rFonts w:ascii="Palatino Linotype" w:hAnsi="Palatino Linotype" w:eastAsia="Times New Roman" w:cs="Times New Roman"/>
          <w:sz w:val="26"/>
          <w:szCs w:val="26"/>
        </w:rPr>
        <w:t xml:space="preserve"> administer the program</w:t>
      </w:r>
      <w:r w:rsidRPr="000B47C0">
        <w:rPr>
          <w:rFonts w:ascii="Palatino Linotype" w:hAnsi="Palatino Linotype" w:eastAsia="Times New Roman" w:cs="Times New Roman"/>
          <w:sz w:val="26"/>
          <w:szCs w:val="26"/>
        </w:rPr>
        <w:t xml:space="preserve">. </w:t>
      </w:r>
    </w:p>
    <w:p w:rsidRPr="000B47C0" w:rsidR="00FE6881" w:rsidP="00FE6881" w:rsidRDefault="00FE6881" w14:paraId="286BA197"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42E6B528" w14:textId="5E03A04B">
      <w:p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The IOUs should begin enrolling customers 30 days after the effective date of this resolution. In a letter dated August 13, 2020, the Energy Division Director indicated to the IOUs “An expeditious implementation of this program is a critical facet of the CPUC’s on-going effort to reduce disconnections among residential customers,” and conveyed that IOUs should be prepared to implement AMP plans by the end of 2020. Accordingly, all four IOUs proposed to implement their AMP programs the later of 90 days from the date of the letter (November 11, 2020) or 45 days following the Commission’s approval of the utility’s AL. It is reasonable for the IOUs to request preparation time after AMP program proposals have been approved. Therefore, in order to ensure customers may begin obtaining the benefits of arrearage forgiveness as quickly as is feasible, we direct the IOUs </w:t>
      </w:r>
      <w:r w:rsidRPr="000B47C0" w:rsidR="00137E98">
        <w:rPr>
          <w:rFonts w:ascii="Palatino Linotype" w:hAnsi="Palatino Linotype" w:eastAsia="Times New Roman" w:cs="Times New Roman"/>
          <w:sz w:val="26"/>
          <w:szCs w:val="26"/>
        </w:rPr>
        <w:t xml:space="preserve">to </w:t>
      </w:r>
      <w:r w:rsidRPr="000B47C0">
        <w:rPr>
          <w:rFonts w:ascii="Palatino Linotype" w:hAnsi="Palatino Linotype" w:eastAsia="Times New Roman" w:cs="Times New Roman"/>
          <w:sz w:val="26"/>
          <w:szCs w:val="26"/>
        </w:rPr>
        <w:t xml:space="preserve">begin enrolling customers 30 days after the effective date of this resolution. </w:t>
      </w:r>
    </w:p>
    <w:p w:rsidRPr="000B47C0" w:rsidR="00FE6881" w:rsidP="00FE6881" w:rsidRDefault="00FE6881" w14:paraId="27C0A549" w14:textId="77777777">
      <w:pPr>
        <w:keepNext/>
        <w:spacing w:before="120" w:after="240" w:line="240" w:lineRule="auto"/>
        <w:outlineLvl w:val="0"/>
        <w:rPr>
          <w:rFonts w:ascii="Arial" w:hAnsi="Arial" w:eastAsia="Times New Roman" w:cs="Arial"/>
          <w:b/>
          <w:caps/>
          <w:kern w:val="28"/>
          <w:sz w:val="26"/>
          <w:szCs w:val="20"/>
          <w:u w:val="single"/>
        </w:rPr>
      </w:pPr>
      <w:r w:rsidRPr="000B47C0">
        <w:rPr>
          <w:rFonts w:ascii="Arial" w:hAnsi="Arial" w:eastAsia="Times New Roman" w:cs="Arial"/>
          <w:b/>
          <w:caps/>
          <w:kern w:val="28"/>
          <w:sz w:val="26"/>
          <w:szCs w:val="20"/>
          <w:u w:val="single"/>
        </w:rPr>
        <w:lastRenderedPageBreak/>
        <w:t>Comments</w:t>
      </w:r>
    </w:p>
    <w:p w:rsidRPr="000B47C0" w:rsidR="00225E89" w:rsidP="00225E89" w:rsidRDefault="00225E89" w14:paraId="4531AD1F" w14:textId="77777777">
      <w:pPr>
        <w:spacing w:after="0" w:line="240" w:lineRule="auto"/>
        <w:rPr>
          <w:rFonts w:ascii="Palatino Linotype" w:hAnsi="Palatino Linotype" w:eastAsia="Times New Roman" w:cs="Times New Roman"/>
          <w:sz w:val="26"/>
          <w:szCs w:val="20"/>
        </w:rPr>
      </w:pPr>
      <w:bookmarkStart w:name="_Hlk943272" w:id="2"/>
      <w:r w:rsidRPr="000B47C0">
        <w:rPr>
          <w:rFonts w:ascii="Palatino Linotype" w:hAnsi="Palatino Linotype" w:eastAsia="Times New Roman" w:cs="Times New Roman"/>
          <w:sz w:val="26"/>
          <w:szCs w:val="20"/>
        </w:rPr>
        <w:t xml:space="preserve">Public Utilities Code section 311(g)(1) provides that this resolution must be served on all parties and subject to at least 30 days public review.  Please note that comments are due 20 days from the mailing date of this resolution. Section 311(g)(2) provides that this 30-day review period and 20-day comment period may be reduced or waived upon the stipulation of all parties in the proceeding. </w:t>
      </w:r>
    </w:p>
    <w:p w:rsidRPr="000B47C0" w:rsidR="00225E89" w:rsidP="00225E89" w:rsidRDefault="00225E89" w14:paraId="1DCB59C0" w14:textId="77777777">
      <w:pPr>
        <w:spacing w:after="0" w:line="240" w:lineRule="auto"/>
        <w:rPr>
          <w:rFonts w:ascii="Palatino Linotype" w:hAnsi="Palatino Linotype" w:eastAsia="Times New Roman" w:cs="Times New Roman"/>
          <w:sz w:val="26"/>
          <w:szCs w:val="20"/>
        </w:rPr>
      </w:pPr>
    </w:p>
    <w:p w:rsidRPr="000B47C0" w:rsidR="00225E89" w:rsidP="00225E89" w:rsidRDefault="00225E89" w14:paraId="48C295A3" w14:textId="1C4BBC34">
      <w:p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The 30-day review and 20-day comment period for the draft of this resolution was neither waived nor reduced.  Accordingly, this draft resolution was mailed to parties for comments, and will be placed on the Commission's agenda no earlier than 30 days from today.</w:t>
      </w:r>
    </w:p>
    <w:p w:rsidRPr="000B47C0" w:rsidR="00225E89" w:rsidP="00225E89" w:rsidRDefault="00225E89" w14:paraId="362749EC" w14:textId="77777777">
      <w:pPr>
        <w:spacing w:after="0" w:line="240" w:lineRule="auto"/>
        <w:rPr>
          <w:rFonts w:ascii="Palatino Linotype" w:hAnsi="Palatino Linotype" w:eastAsia="Times New Roman" w:cs="Times New Roman"/>
          <w:sz w:val="26"/>
          <w:szCs w:val="20"/>
        </w:rPr>
      </w:pPr>
    </w:p>
    <w:bookmarkEnd w:id="2"/>
    <w:p w:rsidRPr="000B47C0" w:rsidR="00FE6881" w:rsidP="00FE6881" w:rsidRDefault="00FE6881" w14:paraId="7E7542B1" w14:textId="77777777">
      <w:pPr>
        <w:keepNext/>
        <w:spacing w:before="120" w:after="240" w:line="240" w:lineRule="auto"/>
        <w:outlineLvl w:val="0"/>
        <w:rPr>
          <w:rFonts w:ascii="Arial" w:hAnsi="Arial" w:eastAsia="Times New Roman" w:cs="Arial"/>
          <w:b/>
          <w:caps/>
          <w:kern w:val="28"/>
          <w:sz w:val="26"/>
          <w:szCs w:val="20"/>
          <w:u w:val="single"/>
        </w:rPr>
      </w:pPr>
      <w:r w:rsidRPr="000B47C0">
        <w:rPr>
          <w:rFonts w:ascii="Arial" w:hAnsi="Arial" w:eastAsia="Times New Roman" w:cs="Arial"/>
          <w:b/>
          <w:caps/>
          <w:kern w:val="28"/>
          <w:sz w:val="26"/>
          <w:szCs w:val="20"/>
          <w:u w:val="single"/>
        </w:rPr>
        <w:t>Findings</w:t>
      </w:r>
    </w:p>
    <w:p w:rsidRPr="000B47C0" w:rsidR="00FE6881" w:rsidP="00FE6881" w:rsidRDefault="00FE6881" w14:paraId="738C81ED" w14:textId="26818B38">
      <w:pPr>
        <w:numPr>
          <w:ilvl w:val="0"/>
          <w:numId w:val="1"/>
        </w:num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Decision (D.)20-06-003 directed Pacific Gas and Electric Company (PG&amp;E), Southern California Edison Company (SCE), San Diego Gas and Electric Company (SDG&amp;E), and Southern California Gas Company (</w:t>
      </w:r>
      <w:r w:rsidRPr="000B47C0" w:rsidR="15447295">
        <w:rPr>
          <w:rFonts w:ascii="Palatino Linotype" w:hAnsi="Palatino Linotype" w:eastAsia="Times New Roman" w:cs="Times New Roman"/>
          <w:sz w:val="26"/>
          <w:szCs w:val="26"/>
        </w:rPr>
        <w:t>SoCalGas</w:t>
      </w:r>
      <w:r w:rsidRPr="000B47C0">
        <w:rPr>
          <w:rFonts w:ascii="Palatino Linotype" w:hAnsi="Palatino Linotype" w:eastAsia="Times New Roman" w:cs="Times New Roman"/>
          <w:sz w:val="26"/>
          <w:szCs w:val="26"/>
        </w:rPr>
        <w:t>) to file Tier 2 ALs to implement Arrearage Management Plans (AMPs).</w:t>
      </w:r>
    </w:p>
    <w:p w:rsidRPr="000B47C0" w:rsidR="00FE6881" w:rsidP="00FE6881" w:rsidRDefault="00FE6881" w14:paraId="7061443A" w14:textId="52C6BAA2">
      <w:pPr>
        <w:numPr>
          <w:ilvl w:val="0"/>
          <w:numId w:val="1"/>
        </w:num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PG&amp;E, SCE, SDG&amp;E, and </w:t>
      </w:r>
      <w:r w:rsidRPr="000B47C0" w:rsidR="77143749">
        <w:rPr>
          <w:rFonts w:ascii="Palatino Linotype" w:hAnsi="Palatino Linotype" w:eastAsia="Times New Roman" w:cs="Times New Roman"/>
          <w:sz w:val="26"/>
          <w:szCs w:val="26"/>
        </w:rPr>
        <w:t>SoCalGas</w:t>
      </w:r>
      <w:r w:rsidRPr="000B47C0">
        <w:rPr>
          <w:rFonts w:ascii="Palatino Linotype" w:hAnsi="Palatino Linotype" w:eastAsia="Times New Roman" w:cs="Times New Roman"/>
          <w:sz w:val="26"/>
          <w:szCs w:val="26"/>
        </w:rPr>
        <w:t xml:space="preserve"> (collectively, the IOUs) filed Tier 2 ALs on September 9, 2020 proposing to implement Arrearage Management Plan (AMP) programs that comply with the eligibility and operational requirements of D 20-06-003.</w:t>
      </w:r>
    </w:p>
    <w:p w:rsidRPr="000B47C0" w:rsidR="00FE6881" w:rsidP="00FE6881" w:rsidRDefault="00FE6881" w14:paraId="5E834AE5" w14:textId="4C5F0CBB">
      <w:pPr>
        <w:numPr>
          <w:ilvl w:val="0"/>
          <w:numId w:val="1"/>
        </w:num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D.20-06-003 ordered the IOUs to propose a method for cost recovery in ALs addressing the proportional recovery concerns raised by California Community Choice Association (</w:t>
      </w:r>
      <w:proofErr w:type="spellStart"/>
      <w:r w:rsidRPr="000B47C0">
        <w:rPr>
          <w:rFonts w:ascii="Palatino Linotype" w:hAnsi="Palatino Linotype" w:eastAsia="Times New Roman" w:cs="Times New Roman"/>
          <w:sz w:val="26"/>
          <w:szCs w:val="20"/>
        </w:rPr>
        <w:t>CalCCA</w:t>
      </w:r>
      <w:proofErr w:type="spellEnd"/>
      <w:r w:rsidRPr="000B47C0">
        <w:rPr>
          <w:rFonts w:ascii="Palatino Linotype" w:hAnsi="Palatino Linotype" w:eastAsia="Times New Roman" w:cs="Times New Roman"/>
          <w:sz w:val="26"/>
          <w:szCs w:val="20"/>
        </w:rPr>
        <w:t xml:space="preserve">) in the Arrearage Management Working Group. </w:t>
      </w:r>
    </w:p>
    <w:p w:rsidRPr="000B47C0" w:rsidR="00FE6881" w:rsidP="00FE6881" w:rsidRDefault="00FE6881" w14:paraId="6DDD2DB2" w14:textId="77777777">
      <w:pPr>
        <w:numPr>
          <w:ilvl w:val="0"/>
          <w:numId w:val="1"/>
        </w:num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The IOUs</w:t>
      </w:r>
      <w:r w:rsidRPr="000B47C0" w:rsidDel="009D654C">
        <w:rPr>
          <w:rFonts w:ascii="Palatino Linotype" w:hAnsi="Palatino Linotype" w:eastAsia="Times New Roman" w:cs="Times New Roman"/>
          <w:sz w:val="26"/>
          <w:szCs w:val="20"/>
        </w:rPr>
        <w:t xml:space="preserve"> </w:t>
      </w:r>
      <w:r w:rsidRPr="000B47C0">
        <w:rPr>
          <w:rFonts w:ascii="Palatino Linotype" w:hAnsi="Palatino Linotype" w:eastAsia="Times New Roman" w:cs="Times New Roman"/>
          <w:sz w:val="26"/>
          <w:szCs w:val="20"/>
        </w:rPr>
        <w:t>proposed in their ALs to recover costs for arrearages forgiven through an AMP plan using the existing Public Purpose Program (PPP) Charge, which would be adjusted annually and recovered from all customers.</w:t>
      </w:r>
    </w:p>
    <w:p w:rsidRPr="000B47C0" w:rsidR="00FE6881" w:rsidP="00FE6881" w:rsidRDefault="00FE6881" w14:paraId="592F0531" w14:textId="77777777">
      <w:pPr>
        <w:numPr>
          <w:ilvl w:val="0"/>
          <w:numId w:val="1"/>
        </w:num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It is reasonable for the IOUs</w:t>
      </w:r>
      <w:r w:rsidRPr="000B47C0" w:rsidDel="009D654C">
        <w:rPr>
          <w:rFonts w:ascii="Palatino Linotype" w:hAnsi="Palatino Linotype" w:eastAsia="Times New Roman" w:cs="Times New Roman"/>
          <w:sz w:val="26"/>
          <w:szCs w:val="20"/>
        </w:rPr>
        <w:t xml:space="preserve"> </w:t>
      </w:r>
      <w:r w:rsidRPr="000B47C0">
        <w:rPr>
          <w:rFonts w:ascii="Palatino Linotype" w:hAnsi="Palatino Linotype" w:eastAsia="Times New Roman" w:cs="Times New Roman"/>
          <w:sz w:val="26"/>
          <w:szCs w:val="20"/>
        </w:rPr>
        <w:t>to request that any Community Choice Aggregator (CCA) seeking to allow its customers to participate in AMP programs notify the utility 60 days in advance of the CCA’s customers being eligible to enroll in an AMP program.</w:t>
      </w:r>
    </w:p>
    <w:p w:rsidRPr="000B47C0" w:rsidR="00FE6881" w:rsidP="00FE6881" w:rsidRDefault="00FE6881" w14:paraId="7BE708A1" w14:textId="77777777">
      <w:pPr>
        <w:numPr>
          <w:ilvl w:val="0"/>
          <w:numId w:val="1"/>
        </w:num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It is reasonable for the IOUs</w:t>
      </w:r>
      <w:r w:rsidRPr="000B47C0" w:rsidDel="009D654C">
        <w:rPr>
          <w:rFonts w:ascii="Palatino Linotype" w:hAnsi="Palatino Linotype" w:eastAsia="Times New Roman" w:cs="Times New Roman"/>
          <w:sz w:val="26"/>
          <w:szCs w:val="20"/>
        </w:rPr>
        <w:t xml:space="preserve"> </w:t>
      </w:r>
      <w:r w:rsidRPr="000B47C0">
        <w:rPr>
          <w:rFonts w:ascii="Palatino Linotype" w:hAnsi="Palatino Linotype" w:eastAsia="Times New Roman" w:cs="Times New Roman"/>
          <w:sz w:val="26"/>
          <w:szCs w:val="20"/>
        </w:rPr>
        <w:t xml:space="preserve">to provide unbundled customer information for those participating in AMP programs to the customer’s CCA on a monthly </w:t>
      </w:r>
      <w:r w:rsidRPr="000B47C0">
        <w:rPr>
          <w:rFonts w:ascii="Palatino Linotype" w:hAnsi="Palatino Linotype" w:eastAsia="Times New Roman" w:cs="Times New Roman"/>
          <w:sz w:val="26"/>
          <w:szCs w:val="20"/>
        </w:rPr>
        <w:lastRenderedPageBreak/>
        <w:t xml:space="preserve">basis and attempt to meet additional requests from participating CCAs to share information that are necessary to track and recover costs for unbundled customers participating in AMP programs. </w:t>
      </w:r>
    </w:p>
    <w:p w:rsidRPr="000B47C0" w:rsidR="00FE6881" w:rsidP="00FE6881" w:rsidRDefault="00FE6881" w14:paraId="694314E7" w14:textId="77777777">
      <w:pPr>
        <w:numPr>
          <w:ilvl w:val="0"/>
          <w:numId w:val="1"/>
        </w:num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 xml:space="preserve">It is reasonable for the IOUs to provide remittances for generation-related costs for unbundled customers receiving arrearage forgiveness to participating CCAs on a monthly basis once the PPP charge has been adjusted to recover these costs from customers. </w:t>
      </w:r>
    </w:p>
    <w:p w:rsidRPr="000B47C0" w:rsidR="00FE6881" w:rsidP="00FE6881" w:rsidRDefault="00FE6881" w14:paraId="4D85CB0B" w14:textId="77777777">
      <w:pPr>
        <w:numPr>
          <w:ilvl w:val="0"/>
          <w:numId w:val="1"/>
        </w:num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Customers receiving Net Energy Metering are not eligible for arrearage forgiveness under AMP programs until issues related to their participation can be discussed in greater detail.</w:t>
      </w:r>
    </w:p>
    <w:p w:rsidRPr="000B47C0" w:rsidR="00FE6881" w:rsidP="00FE6881" w:rsidRDefault="00FE6881" w14:paraId="20CB38C5" w14:textId="7E2270A9">
      <w:pPr>
        <w:numPr>
          <w:ilvl w:val="0"/>
          <w:numId w:val="1"/>
        </w:num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 xml:space="preserve">It is reasonable that charges owed to third party gas providers, such as Core Transport Agents, for service such as Core Aggregation Transportation will not be eligible for forgiveness of costs other than transportation-related gas costs owed to PG&amp;E and SCG. </w:t>
      </w:r>
    </w:p>
    <w:p w:rsidRPr="000B47C0" w:rsidR="00FE6881" w:rsidP="00FE6881" w:rsidRDefault="00FE6881" w14:paraId="2F4D93E4" w14:textId="61FA2BB6">
      <w:pPr>
        <w:numPr>
          <w:ilvl w:val="0"/>
          <w:numId w:val="1"/>
        </w:num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 xml:space="preserve">It is reasonable to exclude </w:t>
      </w:r>
      <w:r w:rsidRPr="000B47C0" w:rsidR="00EC4CFE">
        <w:rPr>
          <w:rFonts w:ascii="Palatino Linotype" w:hAnsi="Palatino Linotype" w:eastAsia="Times New Roman" w:cs="Times New Roman"/>
          <w:sz w:val="26"/>
          <w:szCs w:val="20"/>
        </w:rPr>
        <w:t xml:space="preserve">Core Aggregation Transportation </w:t>
      </w:r>
      <w:r w:rsidRPr="000B47C0">
        <w:rPr>
          <w:rFonts w:ascii="Palatino Linotype" w:hAnsi="Palatino Linotype" w:eastAsia="Times New Roman" w:cs="Times New Roman"/>
          <w:sz w:val="26"/>
          <w:szCs w:val="20"/>
        </w:rPr>
        <w:t xml:space="preserve">customers </w:t>
      </w:r>
      <w:r w:rsidRPr="000B47C0" w:rsidR="00EC4CFE">
        <w:rPr>
          <w:rFonts w:ascii="Palatino Linotype" w:hAnsi="Palatino Linotype" w:eastAsia="Times New Roman" w:cs="Times New Roman"/>
          <w:sz w:val="26"/>
          <w:szCs w:val="20"/>
        </w:rPr>
        <w:t xml:space="preserve">in </w:t>
      </w:r>
      <w:r w:rsidRPr="000B47C0">
        <w:rPr>
          <w:rFonts w:ascii="Palatino Linotype" w:hAnsi="Palatino Linotype" w:eastAsia="Times New Roman" w:cs="Times New Roman"/>
          <w:sz w:val="26"/>
          <w:szCs w:val="20"/>
        </w:rPr>
        <w:t xml:space="preserve">SDG&amp;E </w:t>
      </w:r>
      <w:r w:rsidRPr="000B47C0" w:rsidR="00EC4CFE">
        <w:rPr>
          <w:rFonts w:ascii="Palatino Linotype" w:hAnsi="Palatino Linotype" w:eastAsia="Times New Roman" w:cs="Times New Roman"/>
          <w:sz w:val="26"/>
          <w:szCs w:val="20"/>
        </w:rPr>
        <w:t xml:space="preserve">territory </w:t>
      </w:r>
      <w:r w:rsidRPr="000B47C0">
        <w:rPr>
          <w:rFonts w:ascii="Palatino Linotype" w:hAnsi="Palatino Linotype" w:eastAsia="Times New Roman" w:cs="Times New Roman"/>
          <w:sz w:val="26"/>
          <w:szCs w:val="20"/>
        </w:rPr>
        <w:t xml:space="preserve">because </w:t>
      </w:r>
      <w:r w:rsidRPr="000B47C0" w:rsidR="00EC4CFE">
        <w:rPr>
          <w:rFonts w:ascii="Palatino Linotype" w:hAnsi="Palatino Linotype" w:eastAsia="Times New Roman" w:cs="Times New Roman"/>
          <w:sz w:val="26"/>
          <w:szCs w:val="20"/>
        </w:rPr>
        <w:t>SDG&amp;E</w:t>
      </w:r>
      <w:r w:rsidRPr="000B47C0">
        <w:rPr>
          <w:rFonts w:ascii="Palatino Linotype" w:hAnsi="Palatino Linotype" w:eastAsia="Times New Roman" w:cs="Times New Roman"/>
          <w:sz w:val="26"/>
          <w:szCs w:val="20"/>
        </w:rPr>
        <w:t xml:space="preserve"> does not bill on behalf of third-party gas providers and therefore does not have arrearages from customers of these companies to forgive. </w:t>
      </w:r>
    </w:p>
    <w:p w:rsidRPr="000B47C0" w:rsidR="00FE6881" w:rsidP="00FE6881" w:rsidRDefault="00FE6881" w14:paraId="0A79455C" w14:textId="77777777">
      <w:pPr>
        <w:spacing w:after="0" w:line="240" w:lineRule="auto"/>
        <w:rPr>
          <w:rFonts w:ascii="Palatino Linotype" w:hAnsi="Palatino Linotype" w:eastAsia="Times New Roman" w:cs="Times New Roman"/>
          <w:sz w:val="26"/>
          <w:szCs w:val="20"/>
        </w:rPr>
      </w:pPr>
    </w:p>
    <w:p w:rsidRPr="000B47C0" w:rsidR="00FE6881" w:rsidP="00FE6881" w:rsidRDefault="00FE6881" w14:paraId="69669085" w14:textId="77777777">
      <w:pPr>
        <w:spacing w:after="0" w:line="240" w:lineRule="auto"/>
        <w:rPr>
          <w:rFonts w:ascii="Palatino Linotype" w:hAnsi="Palatino Linotype" w:eastAsia="Times New Roman" w:cs="Times New Roman"/>
          <w:b/>
          <w:sz w:val="26"/>
          <w:szCs w:val="20"/>
        </w:rPr>
      </w:pPr>
    </w:p>
    <w:p w:rsidRPr="000B47C0" w:rsidR="00FE6881" w:rsidP="00FE6881" w:rsidRDefault="00FE6881" w14:paraId="1EC31DB4" w14:textId="77777777">
      <w:pPr>
        <w:keepNext/>
        <w:spacing w:before="120" w:after="240" w:line="240" w:lineRule="auto"/>
        <w:outlineLvl w:val="0"/>
        <w:rPr>
          <w:rFonts w:ascii="Palatino Linotype" w:hAnsi="Palatino Linotype" w:eastAsia="Times New Roman" w:cs="Times New Roman"/>
          <w:b/>
          <w:caps/>
          <w:kern w:val="28"/>
          <w:sz w:val="26"/>
          <w:szCs w:val="20"/>
          <w:u w:val="single"/>
        </w:rPr>
      </w:pPr>
      <w:r w:rsidRPr="000B47C0">
        <w:rPr>
          <w:rFonts w:ascii="Palatino Linotype" w:hAnsi="Palatino Linotype" w:eastAsia="Times New Roman" w:cs="Times New Roman"/>
          <w:b/>
          <w:caps/>
          <w:kern w:val="28"/>
          <w:sz w:val="26"/>
          <w:szCs w:val="20"/>
          <w:u w:val="single"/>
        </w:rPr>
        <w:t>Therefore it is ordered that:</w:t>
      </w:r>
    </w:p>
    <w:p w:rsidRPr="000B47C0" w:rsidR="00FE6881" w:rsidP="00FE6881" w:rsidRDefault="00FE6881" w14:paraId="3E573EA2" w14:textId="7941B97E">
      <w:pPr>
        <w:numPr>
          <w:ilvl w:val="0"/>
          <w:numId w:val="2"/>
        </w:numPr>
        <w:spacing w:after="0" w:line="240" w:lineRule="auto"/>
        <w:rPr>
          <w:rFonts w:ascii="Palatino Linotype" w:hAnsi="Palatino Linotype" w:eastAsia="Times New Roman" w:cs="Times New Roman"/>
          <w:snapToGrid w:val="0"/>
          <w:sz w:val="26"/>
          <w:szCs w:val="26"/>
        </w:rPr>
      </w:pPr>
      <w:r w:rsidRPr="000B47C0">
        <w:rPr>
          <w:rFonts w:ascii="Palatino Linotype" w:hAnsi="Palatino Linotype" w:eastAsia="Times New Roman" w:cs="Times New Roman"/>
          <w:snapToGrid w:val="0"/>
          <w:sz w:val="26"/>
          <w:szCs w:val="26"/>
        </w:rPr>
        <w:t>The requests of Pacific Gas &amp; Electric Company</w:t>
      </w:r>
      <w:r w:rsidRPr="000B47C0" w:rsidR="00316DCF">
        <w:rPr>
          <w:rFonts w:ascii="Palatino Linotype" w:hAnsi="Palatino Linotype" w:eastAsia="Times New Roman" w:cs="Times New Roman"/>
          <w:snapToGrid w:val="0"/>
          <w:sz w:val="26"/>
          <w:szCs w:val="26"/>
        </w:rPr>
        <w:t xml:space="preserve"> (PG&amp;E)</w:t>
      </w:r>
      <w:r w:rsidRPr="000B47C0">
        <w:rPr>
          <w:rFonts w:ascii="Palatino Linotype" w:hAnsi="Palatino Linotype" w:eastAsia="Times New Roman" w:cs="Times New Roman"/>
          <w:snapToGrid w:val="0"/>
          <w:sz w:val="26"/>
          <w:szCs w:val="26"/>
        </w:rPr>
        <w:t>, Southern California Edison Company</w:t>
      </w:r>
      <w:r w:rsidRPr="000B47C0" w:rsidR="00316DCF">
        <w:rPr>
          <w:rFonts w:ascii="Palatino Linotype" w:hAnsi="Palatino Linotype" w:eastAsia="Times New Roman" w:cs="Times New Roman"/>
          <w:snapToGrid w:val="0"/>
          <w:sz w:val="26"/>
          <w:szCs w:val="26"/>
        </w:rPr>
        <w:t xml:space="preserve"> (SCE)</w:t>
      </w:r>
      <w:r w:rsidRPr="000B47C0">
        <w:rPr>
          <w:rFonts w:ascii="Palatino Linotype" w:hAnsi="Palatino Linotype" w:eastAsia="Times New Roman" w:cs="Times New Roman"/>
          <w:snapToGrid w:val="0"/>
          <w:sz w:val="26"/>
          <w:szCs w:val="26"/>
        </w:rPr>
        <w:t>, San Diego Gas &amp; Electric Company</w:t>
      </w:r>
      <w:r w:rsidRPr="000B47C0" w:rsidR="00316DCF">
        <w:rPr>
          <w:rFonts w:ascii="Palatino Linotype" w:hAnsi="Palatino Linotype" w:eastAsia="Times New Roman" w:cs="Times New Roman"/>
          <w:snapToGrid w:val="0"/>
          <w:sz w:val="26"/>
          <w:szCs w:val="26"/>
        </w:rPr>
        <w:t xml:space="preserve"> (SDG&amp;E)</w:t>
      </w:r>
      <w:r w:rsidRPr="000B47C0">
        <w:rPr>
          <w:rFonts w:ascii="Palatino Linotype" w:hAnsi="Palatino Linotype" w:eastAsia="Times New Roman" w:cs="Times New Roman"/>
          <w:snapToGrid w:val="0"/>
          <w:sz w:val="26"/>
          <w:szCs w:val="26"/>
        </w:rPr>
        <w:t xml:space="preserve">, and Southern California Gas Company </w:t>
      </w:r>
      <w:r w:rsidRPr="000B47C0" w:rsidR="00316DCF">
        <w:rPr>
          <w:rFonts w:ascii="Palatino Linotype" w:hAnsi="Palatino Linotype" w:eastAsia="Times New Roman" w:cs="Times New Roman"/>
          <w:snapToGrid w:val="0"/>
          <w:sz w:val="26"/>
          <w:szCs w:val="26"/>
        </w:rPr>
        <w:t>(</w:t>
      </w:r>
      <w:r w:rsidRPr="000B47C0" w:rsidR="73AA4EAB">
        <w:rPr>
          <w:rFonts w:ascii="Palatino Linotype" w:hAnsi="Palatino Linotype" w:eastAsia="Times New Roman" w:cs="Times New Roman"/>
          <w:snapToGrid w:val="0"/>
          <w:sz w:val="26"/>
          <w:szCs w:val="26"/>
        </w:rPr>
        <w:t>SoCalGas</w:t>
      </w:r>
      <w:r w:rsidRPr="000B47C0" w:rsidR="00316DCF">
        <w:rPr>
          <w:rFonts w:ascii="Palatino Linotype" w:hAnsi="Palatino Linotype" w:eastAsia="Times New Roman" w:cs="Times New Roman"/>
          <w:snapToGrid w:val="0"/>
          <w:sz w:val="26"/>
          <w:szCs w:val="26"/>
        </w:rPr>
        <w:t xml:space="preserve">) </w:t>
      </w:r>
      <w:r w:rsidRPr="000B47C0">
        <w:rPr>
          <w:rFonts w:ascii="Palatino Linotype" w:hAnsi="Palatino Linotype" w:eastAsia="Times New Roman" w:cs="Times New Roman"/>
          <w:snapToGrid w:val="0"/>
          <w:sz w:val="26"/>
          <w:szCs w:val="26"/>
        </w:rPr>
        <w:t xml:space="preserve">to implement Arrearage Management Plan (AMP) programs as requested in PG&amp;E AL </w:t>
      </w:r>
      <w:r w:rsidRPr="000B47C0">
        <w:rPr>
          <w:rFonts w:ascii="Palatino Linotype" w:hAnsi="Palatino Linotype" w:eastAsia="Times New Roman" w:cs="Times New Roman"/>
          <w:sz w:val="26"/>
          <w:szCs w:val="26"/>
        </w:rPr>
        <w:t xml:space="preserve">4308-G/5943-E, SCE AL 4287-E AL SDG&amp;E 3602-E/2902-G, and </w:t>
      </w:r>
      <w:r w:rsidRPr="000B47C0" w:rsidR="3B0AA1E8">
        <w:rPr>
          <w:rFonts w:ascii="Palatino Linotype" w:hAnsi="Palatino Linotype" w:eastAsia="Times New Roman" w:cs="Times New Roman"/>
          <w:sz w:val="26"/>
          <w:szCs w:val="26"/>
        </w:rPr>
        <w:t>SoCalGas</w:t>
      </w:r>
      <w:r w:rsidRPr="000B47C0">
        <w:rPr>
          <w:rFonts w:ascii="Palatino Linotype" w:hAnsi="Palatino Linotype" w:eastAsia="Times New Roman" w:cs="Times New Roman"/>
          <w:sz w:val="26"/>
          <w:szCs w:val="26"/>
        </w:rPr>
        <w:t xml:space="preserve"> 5689-G are approved as clarified in this resolution.</w:t>
      </w:r>
    </w:p>
    <w:p w:rsidRPr="000B47C0" w:rsidR="00FE6881" w:rsidP="00FE6881" w:rsidRDefault="00FE6881" w14:paraId="340AA831" w14:textId="6975FE9F">
      <w:pPr>
        <w:numPr>
          <w:ilvl w:val="0"/>
          <w:numId w:val="2"/>
        </w:numPr>
        <w:spacing w:after="0" w:line="240" w:lineRule="auto"/>
        <w:rPr>
          <w:rFonts w:ascii="Palatino Linotype" w:hAnsi="Palatino Linotype" w:eastAsia="Times New Roman" w:cs="Times New Roman"/>
          <w:snapToGrid w:val="0"/>
          <w:sz w:val="26"/>
          <w:szCs w:val="26"/>
        </w:rPr>
      </w:pPr>
      <w:r w:rsidRPr="000B47C0">
        <w:rPr>
          <w:rFonts w:ascii="Palatino Linotype" w:hAnsi="Palatino Linotype" w:eastAsia="Times New Roman" w:cs="Times New Roman"/>
          <w:sz w:val="26"/>
          <w:szCs w:val="26"/>
        </w:rPr>
        <w:t xml:space="preserve">PG&amp;E, SCE, SDG&amp;E, and </w:t>
      </w:r>
      <w:r w:rsidRPr="000B47C0" w:rsidR="7AFD90FE">
        <w:rPr>
          <w:rFonts w:ascii="Palatino Linotype" w:hAnsi="Palatino Linotype" w:eastAsia="Times New Roman" w:cs="Times New Roman"/>
          <w:sz w:val="26"/>
          <w:szCs w:val="26"/>
        </w:rPr>
        <w:t>SoCalGas</w:t>
      </w:r>
      <w:r w:rsidRPr="000B47C0" w:rsidDel="00DD3D05">
        <w:rPr>
          <w:rFonts w:ascii="Palatino Linotype" w:hAnsi="Palatino Linotype" w:eastAsia="Times New Roman" w:cs="Times New Roman"/>
          <w:snapToGrid w:val="0"/>
          <w:sz w:val="26"/>
          <w:szCs w:val="26"/>
        </w:rPr>
        <w:t xml:space="preserve"> </w:t>
      </w:r>
      <w:r w:rsidRPr="000B47C0">
        <w:rPr>
          <w:rFonts w:ascii="Palatino Linotype" w:hAnsi="Palatino Linotype" w:eastAsia="Times New Roman" w:cs="Times New Roman"/>
          <w:snapToGrid w:val="0"/>
          <w:sz w:val="26"/>
          <w:szCs w:val="26"/>
        </w:rPr>
        <w:t>are authorized to include costs for forgiven arrearages through AMP plans in their annual adjustments of their Public Purpose Program (PPP) charge and recover those costs from all customers accordingly.</w:t>
      </w:r>
    </w:p>
    <w:p w:rsidRPr="000B47C0" w:rsidR="00FE6881" w:rsidP="00FE6881" w:rsidRDefault="00FE6881" w14:paraId="17E32364" w14:textId="6EB610AC">
      <w:pPr>
        <w:numPr>
          <w:ilvl w:val="0"/>
          <w:numId w:val="2"/>
        </w:numPr>
        <w:spacing w:after="0" w:line="240" w:lineRule="auto"/>
        <w:rPr>
          <w:rFonts w:ascii="Palatino Linotype" w:hAnsi="Palatino Linotype" w:eastAsia="Times New Roman" w:cs="Times New Roman"/>
          <w:snapToGrid w:val="0"/>
          <w:sz w:val="26"/>
          <w:szCs w:val="26"/>
        </w:rPr>
      </w:pPr>
      <w:r w:rsidRPr="000B47C0">
        <w:rPr>
          <w:rFonts w:ascii="Palatino Linotype" w:hAnsi="Palatino Linotype" w:eastAsia="Times New Roman" w:cs="Times New Roman"/>
          <w:sz w:val="26"/>
          <w:szCs w:val="26"/>
        </w:rPr>
        <w:t xml:space="preserve">PG&amp;E, SCE, SDG&amp;E, and </w:t>
      </w:r>
      <w:r w:rsidRPr="000B47C0" w:rsidR="02049B7E">
        <w:rPr>
          <w:rFonts w:ascii="Palatino Linotype" w:hAnsi="Palatino Linotype" w:eastAsia="Times New Roman" w:cs="Times New Roman"/>
          <w:sz w:val="26"/>
          <w:szCs w:val="26"/>
        </w:rPr>
        <w:t>SoCalGas</w:t>
      </w:r>
      <w:r w:rsidRPr="000B47C0">
        <w:rPr>
          <w:rFonts w:ascii="Palatino Linotype" w:hAnsi="Palatino Linotype" w:eastAsia="Times New Roman" w:cs="Times New Roman"/>
          <w:snapToGrid w:val="0"/>
          <w:sz w:val="26"/>
          <w:szCs w:val="26"/>
        </w:rPr>
        <w:t xml:space="preserve"> are authorized to provide monthly remittance payments to any Community Choice Aggregator </w:t>
      </w:r>
      <w:r w:rsidRPr="000B47C0" w:rsidR="00BD5E29">
        <w:rPr>
          <w:rFonts w:ascii="Palatino Linotype" w:hAnsi="Palatino Linotype" w:eastAsia="Times New Roman" w:cs="Times New Roman"/>
          <w:snapToGrid w:val="0"/>
          <w:sz w:val="26"/>
          <w:szCs w:val="26"/>
        </w:rPr>
        <w:t xml:space="preserve">(CCA) </w:t>
      </w:r>
      <w:r w:rsidRPr="000B47C0">
        <w:rPr>
          <w:rFonts w:ascii="Palatino Linotype" w:hAnsi="Palatino Linotype" w:eastAsia="Times New Roman" w:cs="Times New Roman"/>
          <w:snapToGrid w:val="0"/>
          <w:sz w:val="26"/>
          <w:szCs w:val="26"/>
        </w:rPr>
        <w:t xml:space="preserve">that has elected to participate in a utility’s Arrearage Management Plan program equal to forgiven customer arrearages associated with generation-related costs </w:t>
      </w:r>
      <w:r w:rsidRPr="000B47C0">
        <w:rPr>
          <w:rFonts w:ascii="Palatino Linotype" w:hAnsi="Palatino Linotype" w:eastAsia="Times New Roman" w:cs="Times New Roman"/>
          <w:snapToGrid w:val="0"/>
          <w:sz w:val="26"/>
          <w:szCs w:val="26"/>
        </w:rPr>
        <w:lastRenderedPageBreak/>
        <w:t xml:space="preserve">borne by the Community Choice aggregator and recovered through the Public Purpose Program charge. </w:t>
      </w:r>
    </w:p>
    <w:p w:rsidRPr="000B47C0" w:rsidR="00FE6881" w:rsidP="00FE6881" w:rsidRDefault="00FE6881" w14:paraId="7FD160A8" w14:textId="59AA7A70">
      <w:pPr>
        <w:numPr>
          <w:ilvl w:val="0"/>
          <w:numId w:val="2"/>
        </w:numPr>
        <w:spacing w:after="0" w:line="240" w:lineRule="auto"/>
        <w:rPr>
          <w:rFonts w:ascii="Palatino Linotype" w:hAnsi="Palatino Linotype" w:eastAsia="Times New Roman" w:cs="Times New Roman"/>
          <w:snapToGrid w:val="0"/>
          <w:sz w:val="26"/>
          <w:szCs w:val="26"/>
        </w:rPr>
      </w:pPr>
      <w:r w:rsidRPr="000B47C0">
        <w:rPr>
          <w:rFonts w:ascii="Palatino Linotype" w:hAnsi="Palatino Linotype" w:eastAsia="Times New Roman" w:cs="Times New Roman"/>
          <w:sz w:val="26"/>
          <w:szCs w:val="26"/>
        </w:rPr>
        <w:t xml:space="preserve">PG&amp;E, SCE, SDG&amp;E, and </w:t>
      </w:r>
      <w:r w:rsidRPr="000B47C0" w:rsidR="45318721">
        <w:rPr>
          <w:rFonts w:ascii="Palatino Linotype" w:hAnsi="Palatino Linotype" w:eastAsia="Times New Roman" w:cs="Times New Roman"/>
          <w:sz w:val="26"/>
          <w:szCs w:val="26"/>
        </w:rPr>
        <w:t>SoCalGas</w:t>
      </w:r>
      <w:r w:rsidRPr="000B47C0" w:rsidDel="00DD3D05">
        <w:rPr>
          <w:rFonts w:ascii="Palatino Linotype" w:hAnsi="Palatino Linotype" w:eastAsia="Times New Roman" w:cs="Times New Roman"/>
          <w:sz w:val="26"/>
          <w:szCs w:val="26"/>
        </w:rPr>
        <w:t xml:space="preserve"> </w:t>
      </w:r>
      <w:r w:rsidRPr="000B47C0">
        <w:rPr>
          <w:rFonts w:ascii="Palatino Linotype" w:hAnsi="Palatino Linotype" w:eastAsia="Times New Roman" w:cs="Times New Roman"/>
          <w:sz w:val="26"/>
          <w:szCs w:val="26"/>
        </w:rPr>
        <w:t xml:space="preserve">shall request 60 days of advance notification from any Community Choice Aggregator in the utility’s service territory seeking to participate in the </w:t>
      </w:r>
      <w:r w:rsidRPr="000B47C0" w:rsidR="005D4881">
        <w:rPr>
          <w:rFonts w:ascii="Palatino Linotype" w:hAnsi="Palatino Linotype" w:eastAsia="Times New Roman" w:cs="Times New Roman"/>
          <w:sz w:val="26"/>
          <w:szCs w:val="26"/>
        </w:rPr>
        <w:t>AMP</w:t>
      </w:r>
      <w:r w:rsidRPr="000B47C0">
        <w:rPr>
          <w:rFonts w:ascii="Palatino Linotype" w:hAnsi="Palatino Linotype" w:eastAsia="Times New Roman" w:cs="Times New Roman"/>
          <w:sz w:val="26"/>
          <w:szCs w:val="26"/>
        </w:rPr>
        <w:t xml:space="preserve"> program after each utility has begun enrolling customers</w:t>
      </w:r>
      <w:r w:rsidRPr="000B47C0" w:rsidR="00BD5E29">
        <w:rPr>
          <w:rFonts w:ascii="Palatino Linotype" w:hAnsi="Palatino Linotype" w:eastAsia="Times New Roman" w:cs="Times New Roman"/>
          <w:sz w:val="26"/>
          <w:szCs w:val="26"/>
        </w:rPr>
        <w:t xml:space="preserve"> in AMP plans.</w:t>
      </w:r>
      <w:r w:rsidRPr="000B47C0">
        <w:rPr>
          <w:rFonts w:ascii="Palatino Linotype" w:hAnsi="Palatino Linotype" w:eastAsia="Times New Roman" w:cs="Times New Roman"/>
          <w:sz w:val="26"/>
          <w:szCs w:val="26"/>
        </w:rPr>
        <w:t xml:space="preserve"> </w:t>
      </w:r>
    </w:p>
    <w:p w:rsidRPr="000B47C0" w:rsidR="00A427E9" w:rsidP="00A823EC" w:rsidRDefault="00FE6881" w14:paraId="4507B990" w14:textId="7C280083">
      <w:pPr>
        <w:pStyle w:val="ListParagraph"/>
        <w:numPr>
          <w:ilvl w:val="0"/>
          <w:numId w:val="2"/>
        </w:num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PG&amp;E, SCE, SDG&amp;E, and </w:t>
      </w:r>
      <w:r w:rsidRPr="000B47C0" w:rsidR="1C83DC7F">
        <w:rPr>
          <w:rFonts w:ascii="Palatino Linotype" w:hAnsi="Palatino Linotype" w:eastAsia="Times New Roman" w:cs="Times New Roman"/>
          <w:sz w:val="26"/>
          <w:szCs w:val="26"/>
        </w:rPr>
        <w:t>SoCalGas</w:t>
      </w:r>
      <w:r w:rsidRPr="000B47C0" w:rsidDel="00DD3D05">
        <w:rPr>
          <w:rFonts w:ascii="Palatino Linotype" w:hAnsi="Palatino Linotype" w:eastAsia="Times New Roman" w:cs="Times New Roman"/>
          <w:sz w:val="26"/>
          <w:szCs w:val="26"/>
        </w:rPr>
        <w:t xml:space="preserve"> </w:t>
      </w:r>
      <w:r w:rsidRPr="000B47C0">
        <w:rPr>
          <w:rFonts w:ascii="Palatino Linotype" w:hAnsi="Palatino Linotype" w:eastAsia="Times New Roman" w:cs="Times New Roman"/>
          <w:sz w:val="26"/>
          <w:szCs w:val="26"/>
        </w:rPr>
        <w:t>shall provide information on unbundled customers participating in AMP plans to the customer’s CCA at least monthly that is necessary to track and recover costs for unbundled customers participating in AMP programs.</w:t>
      </w:r>
    </w:p>
    <w:p w:rsidRPr="000B47C0" w:rsidR="00485BC3" w:rsidP="00485BC3" w:rsidRDefault="00FE6881" w14:paraId="72AF1C09" w14:textId="77777777">
      <w:pPr>
        <w:pStyle w:val="ListParagraph"/>
        <w:numPr>
          <w:ilvl w:val="0"/>
          <w:numId w:val="2"/>
        </w:num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After the first annual adjustment of the Public Purpose Program (PPP) Charge to recover costs of forgiven arrearages, PG&amp;E, SCE, SDG&amp;E, and </w:t>
      </w:r>
      <w:r w:rsidRPr="000B47C0" w:rsidR="55D48438">
        <w:rPr>
          <w:rFonts w:ascii="Palatino Linotype" w:hAnsi="Palatino Linotype" w:eastAsia="Times New Roman" w:cs="Times New Roman"/>
          <w:sz w:val="26"/>
          <w:szCs w:val="26"/>
        </w:rPr>
        <w:t>SoCalGas</w:t>
      </w:r>
      <w:r w:rsidRPr="000B47C0" w:rsidDel="00D06903">
        <w:rPr>
          <w:rFonts w:ascii="Palatino Linotype" w:hAnsi="Palatino Linotype" w:eastAsia="Times New Roman" w:cs="Times New Roman"/>
          <w:sz w:val="26"/>
          <w:szCs w:val="26"/>
        </w:rPr>
        <w:t xml:space="preserve"> </w:t>
      </w:r>
      <w:r w:rsidRPr="000B47C0">
        <w:rPr>
          <w:rFonts w:ascii="Palatino Linotype" w:hAnsi="Palatino Linotype" w:eastAsia="Times New Roman" w:cs="Times New Roman"/>
          <w:sz w:val="26"/>
          <w:szCs w:val="26"/>
        </w:rPr>
        <w:t xml:space="preserve">shall provide remittance payments to participating CCAs on a monthly basis for costs recovered through the PPP charge for generation-related costs associated with arrearages forgiven under an Arrearage Management Plan for customers of the participating Community Choice Aggregator. </w:t>
      </w:r>
    </w:p>
    <w:p w:rsidRPr="000B47C0" w:rsidR="00A86CFA" w:rsidP="00A86CFA" w:rsidRDefault="00E24F71" w14:paraId="7AE521EE" w14:textId="7AB451B2">
      <w:pPr>
        <w:pStyle w:val="ListParagraph"/>
        <w:numPr>
          <w:ilvl w:val="0"/>
          <w:numId w:val="2"/>
        </w:num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C</w:t>
      </w:r>
      <w:r w:rsidRPr="000B47C0" w:rsidR="008B010C">
        <w:rPr>
          <w:rFonts w:ascii="Palatino Linotype" w:hAnsi="Palatino Linotype" w:eastAsia="Times New Roman" w:cs="Times New Roman"/>
          <w:sz w:val="26"/>
          <w:szCs w:val="26"/>
        </w:rPr>
        <w:t xml:space="preserve">ustomers </w:t>
      </w:r>
      <w:r w:rsidRPr="000B47C0" w:rsidR="001C27D7">
        <w:rPr>
          <w:rFonts w:ascii="Palatino Linotype" w:hAnsi="Palatino Linotype" w:eastAsia="Times New Roman" w:cs="Times New Roman"/>
          <w:sz w:val="26"/>
          <w:szCs w:val="26"/>
        </w:rPr>
        <w:t>receiving Core Aggregation Transportation service may enroll in AMP subject to the following conditions:</w:t>
      </w:r>
    </w:p>
    <w:p w:rsidRPr="000B47C0" w:rsidR="008755FD" w:rsidP="008755FD" w:rsidRDefault="008646C0" w14:paraId="6AF8A474" w14:textId="330BE246">
      <w:pPr>
        <w:pStyle w:val="ListParagraph"/>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a. </w:t>
      </w:r>
      <w:r w:rsidRPr="000B47C0" w:rsidR="00C40D19">
        <w:rPr>
          <w:rFonts w:ascii="Palatino Linotype" w:hAnsi="Palatino Linotype" w:eastAsia="Times New Roman" w:cs="Times New Roman"/>
          <w:sz w:val="26"/>
          <w:szCs w:val="26"/>
        </w:rPr>
        <w:t>PG&amp;E and SoCalGas</w:t>
      </w:r>
      <w:r w:rsidRPr="000B47C0" w:rsidR="005A510F">
        <w:rPr>
          <w:rFonts w:ascii="Palatino Linotype" w:hAnsi="Palatino Linotype" w:eastAsia="Times New Roman" w:cs="Times New Roman"/>
          <w:sz w:val="26"/>
          <w:szCs w:val="26"/>
        </w:rPr>
        <w:t xml:space="preserve"> </w:t>
      </w:r>
      <w:r w:rsidRPr="000B47C0">
        <w:rPr>
          <w:rFonts w:ascii="Palatino Linotype" w:hAnsi="Palatino Linotype" w:eastAsia="Times New Roman" w:cs="Times New Roman"/>
          <w:sz w:val="26"/>
          <w:szCs w:val="26"/>
        </w:rPr>
        <w:t xml:space="preserve">customers </w:t>
      </w:r>
      <w:r w:rsidRPr="000B47C0" w:rsidR="00E24F71">
        <w:rPr>
          <w:rFonts w:ascii="Palatino Linotype" w:hAnsi="Palatino Linotype" w:eastAsia="Times New Roman" w:cs="Times New Roman"/>
          <w:sz w:val="26"/>
          <w:szCs w:val="26"/>
        </w:rPr>
        <w:t xml:space="preserve">receiving Core Aggregation Transportation service from </w:t>
      </w:r>
      <w:r w:rsidRPr="000B47C0" w:rsidR="005A510F">
        <w:rPr>
          <w:rFonts w:ascii="Palatino Linotype" w:hAnsi="Palatino Linotype" w:eastAsia="Times New Roman" w:cs="Times New Roman"/>
          <w:sz w:val="26"/>
          <w:szCs w:val="26"/>
        </w:rPr>
        <w:t>third</w:t>
      </w:r>
      <w:r w:rsidRPr="000B47C0" w:rsidR="00E24F71">
        <w:rPr>
          <w:rFonts w:ascii="Palatino Linotype" w:hAnsi="Palatino Linotype" w:eastAsia="Times New Roman" w:cs="Times New Roman"/>
          <w:sz w:val="26"/>
          <w:szCs w:val="26"/>
        </w:rPr>
        <w:t>-</w:t>
      </w:r>
      <w:r w:rsidRPr="000B47C0" w:rsidR="005A510F">
        <w:rPr>
          <w:rFonts w:ascii="Palatino Linotype" w:hAnsi="Palatino Linotype" w:eastAsia="Times New Roman" w:cs="Times New Roman"/>
          <w:sz w:val="26"/>
          <w:szCs w:val="26"/>
        </w:rPr>
        <w:t xml:space="preserve">party gas providers, </w:t>
      </w:r>
      <w:r w:rsidRPr="000B47C0" w:rsidR="00E24F71">
        <w:rPr>
          <w:rFonts w:ascii="Palatino Linotype" w:hAnsi="Palatino Linotype" w:eastAsia="Times New Roman" w:cs="Times New Roman"/>
          <w:sz w:val="26"/>
          <w:szCs w:val="26"/>
        </w:rPr>
        <w:t xml:space="preserve">including </w:t>
      </w:r>
      <w:r w:rsidRPr="000B47C0" w:rsidR="005A510F">
        <w:rPr>
          <w:rFonts w:ascii="Palatino Linotype" w:hAnsi="Palatino Linotype" w:eastAsia="Times New Roman" w:cs="Times New Roman"/>
          <w:sz w:val="26"/>
          <w:szCs w:val="26"/>
        </w:rPr>
        <w:t xml:space="preserve">Core Transport Agents, shall only be eligible for forgiveness of </w:t>
      </w:r>
      <w:r w:rsidRPr="000B47C0" w:rsidR="00E24F71">
        <w:rPr>
          <w:rFonts w:ascii="Palatino Linotype" w:hAnsi="Palatino Linotype" w:eastAsia="Times New Roman" w:cs="Times New Roman"/>
          <w:sz w:val="26"/>
          <w:szCs w:val="26"/>
        </w:rPr>
        <w:t xml:space="preserve">gas </w:t>
      </w:r>
      <w:r w:rsidRPr="000B47C0" w:rsidR="005A510F">
        <w:rPr>
          <w:rFonts w:ascii="Palatino Linotype" w:hAnsi="Palatino Linotype" w:eastAsia="Times New Roman" w:cs="Times New Roman"/>
          <w:sz w:val="26"/>
          <w:szCs w:val="26"/>
        </w:rPr>
        <w:t xml:space="preserve">charges owed to </w:t>
      </w:r>
      <w:r w:rsidRPr="000B47C0" w:rsidR="00D73DF7">
        <w:rPr>
          <w:rFonts w:ascii="Palatino Linotype" w:hAnsi="Palatino Linotype" w:eastAsia="Times New Roman" w:cs="Times New Roman"/>
          <w:sz w:val="26"/>
          <w:szCs w:val="26"/>
        </w:rPr>
        <w:t xml:space="preserve">PG&amp;E </w:t>
      </w:r>
      <w:r w:rsidRPr="000B47C0" w:rsidR="005A510F">
        <w:rPr>
          <w:rFonts w:ascii="Palatino Linotype" w:hAnsi="Palatino Linotype" w:eastAsia="Times New Roman" w:cs="Times New Roman"/>
          <w:sz w:val="26"/>
          <w:szCs w:val="26"/>
        </w:rPr>
        <w:t xml:space="preserve">and </w:t>
      </w:r>
      <w:r w:rsidRPr="000B47C0" w:rsidR="00D73DF7">
        <w:rPr>
          <w:rFonts w:ascii="Palatino Linotype" w:hAnsi="Palatino Linotype" w:eastAsia="Times New Roman" w:cs="Times New Roman"/>
          <w:sz w:val="26"/>
          <w:szCs w:val="26"/>
        </w:rPr>
        <w:t xml:space="preserve">SoCalGas </w:t>
      </w:r>
      <w:r w:rsidRPr="000B47C0" w:rsidR="005A510F">
        <w:rPr>
          <w:rFonts w:ascii="Palatino Linotype" w:hAnsi="Palatino Linotype" w:eastAsia="Times New Roman" w:cs="Times New Roman"/>
          <w:sz w:val="26"/>
          <w:szCs w:val="26"/>
        </w:rPr>
        <w:t xml:space="preserve">when either company is the billing agent for the customer. </w:t>
      </w:r>
    </w:p>
    <w:p w:rsidRPr="000B47C0" w:rsidR="008B010C" w:rsidP="008646C0" w:rsidRDefault="008646C0" w14:paraId="72F7DCE0" w14:textId="330BE246">
      <w:pPr>
        <w:pStyle w:val="ListParagraph"/>
        <w:numPr>
          <w:ilvl w:val="1"/>
          <w:numId w:val="2"/>
        </w:num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b. </w:t>
      </w:r>
      <w:r w:rsidRPr="000B47C0" w:rsidR="00420EB0">
        <w:rPr>
          <w:rFonts w:ascii="Palatino Linotype" w:hAnsi="Palatino Linotype" w:eastAsia="Times New Roman" w:cs="Times New Roman"/>
          <w:sz w:val="26"/>
          <w:szCs w:val="26"/>
        </w:rPr>
        <w:t>C</w:t>
      </w:r>
      <w:r w:rsidRPr="000B47C0" w:rsidR="005A510F">
        <w:rPr>
          <w:rFonts w:ascii="Palatino Linotype" w:hAnsi="Palatino Linotype" w:eastAsia="Times New Roman" w:cs="Times New Roman"/>
          <w:sz w:val="26"/>
          <w:szCs w:val="26"/>
        </w:rPr>
        <w:t xml:space="preserve">ustomers of SDG&amp;E </w:t>
      </w:r>
      <w:r w:rsidRPr="000B47C0" w:rsidR="00420EB0">
        <w:rPr>
          <w:rFonts w:ascii="Palatino Linotype" w:hAnsi="Palatino Linotype" w:eastAsia="Times New Roman" w:cs="Times New Roman"/>
          <w:sz w:val="26"/>
          <w:szCs w:val="26"/>
        </w:rPr>
        <w:t xml:space="preserve">receiving </w:t>
      </w:r>
      <w:r w:rsidRPr="000B47C0" w:rsidR="005A510F">
        <w:rPr>
          <w:rFonts w:ascii="Palatino Linotype" w:hAnsi="Palatino Linotype" w:eastAsia="Times New Roman" w:cs="Times New Roman"/>
          <w:sz w:val="26"/>
          <w:szCs w:val="26"/>
        </w:rPr>
        <w:t xml:space="preserve">Core Aggregation Transportation </w:t>
      </w:r>
      <w:r w:rsidRPr="000B47C0" w:rsidR="00420EB0">
        <w:rPr>
          <w:rFonts w:ascii="Palatino Linotype" w:hAnsi="Palatino Linotype" w:eastAsia="Times New Roman" w:cs="Times New Roman"/>
          <w:sz w:val="26"/>
          <w:szCs w:val="26"/>
        </w:rPr>
        <w:t xml:space="preserve">service from Core Transport Agents </w:t>
      </w:r>
      <w:r w:rsidRPr="000B47C0" w:rsidR="005A510F">
        <w:rPr>
          <w:rFonts w:ascii="Palatino Linotype" w:hAnsi="Palatino Linotype" w:eastAsia="Times New Roman" w:cs="Times New Roman"/>
          <w:sz w:val="26"/>
          <w:szCs w:val="26"/>
        </w:rPr>
        <w:t>shall not be eligible for forgiveness of gas arrearages.</w:t>
      </w:r>
    </w:p>
    <w:p w:rsidRPr="000B47C0" w:rsidR="00FE6881" w:rsidP="00FE6881" w:rsidRDefault="00FE6881" w14:paraId="42ED7CFF" w14:textId="50766486">
      <w:pPr>
        <w:numPr>
          <w:ilvl w:val="0"/>
          <w:numId w:val="2"/>
        </w:numPr>
        <w:spacing w:after="0" w:line="240" w:lineRule="auto"/>
        <w:rPr>
          <w:rFonts w:ascii="Palatino Linotype" w:hAnsi="Palatino Linotype" w:eastAsia="Times New Roman" w:cs="Times New Roman"/>
          <w:sz w:val="26"/>
          <w:szCs w:val="26"/>
        </w:rPr>
      </w:pPr>
      <w:r w:rsidRPr="000B47C0">
        <w:rPr>
          <w:rFonts w:ascii="Palatino Linotype" w:hAnsi="Palatino Linotype" w:eastAsia="Times New Roman" w:cs="Times New Roman"/>
          <w:sz w:val="26"/>
          <w:szCs w:val="26"/>
        </w:rPr>
        <w:t xml:space="preserve">PG&amp;E, SCE, SDG&amp;E, and </w:t>
      </w:r>
      <w:r w:rsidRPr="000B47C0" w:rsidR="048D8D2E">
        <w:rPr>
          <w:rFonts w:ascii="Palatino Linotype" w:hAnsi="Palatino Linotype" w:eastAsia="Times New Roman" w:cs="Times New Roman"/>
          <w:sz w:val="26"/>
          <w:szCs w:val="26"/>
        </w:rPr>
        <w:t>SoCalGas</w:t>
      </w:r>
      <w:r w:rsidRPr="000B47C0" w:rsidDel="00DD3D05">
        <w:rPr>
          <w:rFonts w:ascii="Palatino Linotype" w:hAnsi="Palatino Linotype" w:eastAsia="Times New Roman" w:cs="Times New Roman"/>
          <w:snapToGrid w:val="0"/>
          <w:sz w:val="26"/>
          <w:szCs w:val="26"/>
        </w:rPr>
        <w:t xml:space="preserve"> </w:t>
      </w:r>
      <w:r w:rsidRPr="000B47C0">
        <w:rPr>
          <w:rFonts w:ascii="Palatino Linotype" w:hAnsi="Palatino Linotype" w:eastAsia="Times New Roman" w:cs="Times New Roman"/>
          <w:snapToGrid w:val="0"/>
          <w:sz w:val="26"/>
          <w:szCs w:val="26"/>
        </w:rPr>
        <w:t>shall begin enrolling eligible customers in AMP programs within 30 days of the effective date of this decision.</w:t>
      </w:r>
    </w:p>
    <w:p w:rsidRPr="000B47C0" w:rsidR="00FE6881" w:rsidP="00FE6881" w:rsidRDefault="00FE6881" w14:paraId="76F9FB62" w14:textId="41F4BFAE">
      <w:pPr>
        <w:tabs>
          <w:tab w:val="left" w:pos="720"/>
          <w:tab w:val="left" w:pos="1296"/>
          <w:tab w:val="left" w:pos="2016"/>
          <w:tab w:val="left" w:pos="2736"/>
          <w:tab w:val="left" w:pos="3456"/>
          <w:tab w:val="left" w:pos="4176"/>
          <w:tab w:val="left" w:pos="5760"/>
        </w:tabs>
        <w:spacing w:after="0" w:line="240" w:lineRule="auto"/>
        <w:rPr>
          <w:rFonts w:ascii="Palatino Linotype" w:hAnsi="Palatino Linotype" w:eastAsia="Times New Roman" w:cs="Times New Roman"/>
          <w:sz w:val="26"/>
          <w:szCs w:val="20"/>
        </w:rPr>
      </w:pPr>
    </w:p>
    <w:p w:rsidRPr="000B47C0" w:rsidR="00FE6881" w:rsidP="00FE6881" w:rsidRDefault="009F5908" w14:paraId="6F2DE5B2" w14:textId="339668B7">
      <w:pPr>
        <w:tabs>
          <w:tab w:val="left" w:pos="720"/>
          <w:tab w:val="left" w:pos="1296"/>
          <w:tab w:val="left" w:pos="2016"/>
          <w:tab w:val="left" w:pos="2736"/>
          <w:tab w:val="left" w:pos="3456"/>
          <w:tab w:val="left" w:pos="4176"/>
          <w:tab w:val="left" w:pos="5760"/>
        </w:tabs>
        <w:spacing w:after="0" w:line="240" w:lineRule="auto"/>
        <w:rPr>
          <w:rFonts w:ascii="Palatino Linotype" w:hAnsi="Palatino Linotype" w:eastAsia="Times New Roman" w:cs="Times New Roman"/>
          <w:sz w:val="26"/>
          <w:szCs w:val="20"/>
        </w:rPr>
      </w:pPr>
      <w:r>
        <w:rPr>
          <w:rFonts w:ascii="Palatino Linotype" w:hAnsi="Palatino Linotype" w:eastAsia="Times New Roman" w:cs="Times New Roman"/>
          <w:sz w:val="26"/>
          <w:szCs w:val="20"/>
        </w:rPr>
        <w:br/>
      </w:r>
      <w:r>
        <w:rPr>
          <w:rFonts w:ascii="Palatino Linotype" w:hAnsi="Palatino Linotype" w:eastAsia="Times New Roman" w:cs="Times New Roman"/>
          <w:sz w:val="26"/>
          <w:szCs w:val="20"/>
        </w:rPr>
        <w:br/>
      </w:r>
      <w:r>
        <w:rPr>
          <w:rFonts w:ascii="Palatino Linotype" w:hAnsi="Palatino Linotype" w:eastAsia="Times New Roman" w:cs="Times New Roman"/>
          <w:sz w:val="26"/>
          <w:szCs w:val="20"/>
        </w:rPr>
        <w:br/>
      </w:r>
      <w:r>
        <w:rPr>
          <w:rFonts w:ascii="Palatino Linotype" w:hAnsi="Palatino Linotype" w:eastAsia="Times New Roman" w:cs="Times New Roman"/>
          <w:sz w:val="26"/>
          <w:szCs w:val="20"/>
        </w:rPr>
        <w:br/>
      </w:r>
      <w:r>
        <w:rPr>
          <w:rFonts w:ascii="Palatino Linotype" w:hAnsi="Palatino Linotype" w:eastAsia="Times New Roman" w:cs="Times New Roman"/>
          <w:sz w:val="26"/>
          <w:szCs w:val="20"/>
        </w:rPr>
        <w:br/>
      </w:r>
      <w:r>
        <w:rPr>
          <w:rFonts w:ascii="Palatino Linotype" w:hAnsi="Palatino Linotype" w:eastAsia="Times New Roman" w:cs="Times New Roman"/>
          <w:sz w:val="26"/>
          <w:szCs w:val="20"/>
        </w:rPr>
        <w:br/>
      </w:r>
      <w:r>
        <w:rPr>
          <w:rFonts w:ascii="Palatino Linotype" w:hAnsi="Palatino Linotype" w:eastAsia="Times New Roman" w:cs="Times New Roman"/>
          <w:sz w:val="26"/>
          <w:szCs w:val="20"/>
        </w:rPr>
        <w:lastRenderedPageBreak/>
        <w:br/>
      </w:r>
      <w:r w:rsidRPr="000B47C0" w:rsidR="00FE6881">
        <w:rPr>
          <w:rFonts w:ascii="Palatino Linotype" w:hAnsi="Palatino Linotype" w:eastAsia="Times New Roman" w:cs="Times New Roman"/>
          <w:sz w:val="26"/>
          <w:szCs w:val="20"/>
        </w:rPr>
        <w:t>This Resolution is effective today.</w:t>
      </w:r>
    </w:p>
    <w:p w:rsidRPr="000B47C0" w:rsidR="00FE6881" w:rsidP="00FE6881" w:rsidRDefault="00FE6881" w14:paraId="4ED1CAAF" w14:textId="77777777">
      <w:pPr>
        <w:tabs>
          <w:tab w:val="left" w:pos="720"/>
          <w:tab w:val="left" w:pos="1296"/>
          <w:tab w:val="left" w:pos="2016"/>
          <w:tab w:val="left" w:pos="2736"/>
          <w:tab w:val="left" w:pos="3456"/>
          <w:tab w:val="left" w:pos="4176"/>
          <w:tab w:val="left" w:pos="5760"/>
        </w:tabs>
        <w:spacing w:after="0" w:line="240" w:lineRule="auto"/>
        <w:rPr>
          <w:rFonts w:ascii="Palatino Linotype" w:hAnsi="Palatino Linotype" w:eastAsia="Times New Roman" w:cs="Times New Roman"/>
          <w:sz w:val="26"/>
          <w:szCs w:val="20"/>
        </w:rPr>
      </w:pPr>
    </w:p>
    <w:p w:rsidRPr="000B47C0" w:rsidR="00FE6881" w:rsidP="00FE6881" w:rsidRDefault="00FE6881" w14:paraId="61598080" w14:textId="77777777">
      <w:pPr>
        <w:spacing w:after="0" w:line="240" w:lineRule="auto"/>
        <w:rPr>
          <w:rFonts w:ascii="Palatino Linotype" w:hAnsi="Palatino Linotype" w:eastAsia="Times New Roman" w:cs="Times New Roman"/>
          <w:snapToGrid w:val="0"/>
          <w:sz w:val="26"/>
          <w:szCs w:val="20"/>
        </w:rPr>
      </w:pPr>
      <w:r w:rsidRPr="000B47C0">
        <w:rPr>
          <w:rFonts w:ascii="Palatino Linotype" w:hAnsi="Palatino Linotype" w:eastAsia="Times New Roman" w:cs="Times New Roman"/>
          <w:snapToGrid w:val="0"/>
          <w:sz w:val="26"/>
          <w:szCs w:val="20"/>
        </w:rPr>
        <w:t>I certify that the foregoing resolution was duly introduced, passed and adopted at a conference of the Public Utilities Commission of the State of California held on December 17, 2020; the following Commissioners voting favorably thereon:</w:t>
      </w:r>
    </w:p>
    <w:p w:rsidRPr="000B47C0" w:rsidR="00FE6881" w:rsidP="00FE6881" w:rsidRDefault="00FE6881" w14:paraId="41A3A20A" w14:textId="77777777">
      <w:pPr>
        <w:tabs>
          <w:tab w:val="left" w:pos="720"/>
          <w:tab w:val="left" w:pos="1152"/>
          <w:tab w:val="left" w:pos="1728"/>
          <w:tab w:val="left" w:pos="3168"/>
          <w:tab w:val="left" w:pos="5040"/>
        </w:tabs>
        <w:spacing w:after="0" w:line="240" w:lineRule="auto"/>
        <w:ind w:right="144"/>
        <w:rPr>
          <w:rFonts w:ascii="Palatino Linotype" w:hAnsi="Palatino Linotype" w:eastAsia="Times New Roman" w:cs="Times New Roman"/>
          <w:sz w:val="26"/>
          <w:szCs w:val="20"/>
        </w:rPr>
      </w:pPr>
    </w:p>
    <w:p w:rsidRPr="000B47C0" w:rsidR="00FE6881" w:rsidP="00FE6881" w:rsidRDefault="00FE6881" w14:paraId="3D8C36EB" w14:textId="77777777">
      <w:pPr>
        <w:tabs>
          <w:tab w:val="left" w:pos="720"/>
          <w:tab w:val="left" w:pos="1152"/>
          <w:tab w:val="left" w:pos="1728"/>
          <w:tab w:val="left" w:pos="3168"/>
          <w:tab w:val="left" w:pos="5040"/>
        </w:tabs>
        <w:spacing w:after="0" w:line="240" w:lineRule="auto"/>
        <w:ind w:right="144"/>
        <w:rPr>
          <w:rFonts w:ascii="Palatino Linotype" w:hAnsi="Palatino Linotype" w:eastAsia="Times New Roman" w:cs="Times New Roman"/>
          <w:sz w:val="26"/>
          <w:szCs w:val="20"/>
        </w:rPr>
      </w:pPr>
    </w:p>
    <w:p w:rsidRPr="000B47C0" w:rsidR="00FE6881" w:rsidP="00FE6881" w:rsidRDefault="00FE6881" w14:paraId="4723B4AE" w14:textId="77777777">
      <w:pPr>
        <w:tabs>
          <w:tab w:val="left" w:pos="720"/>
          <w:tab w:val="left" w:pos="1152"/>
          <w:tab w:val="left" w:pos="1728"/>
          <w:tab w:val="left" w:pos="3168"/>
          <w:tab w:val="left" w:pos="5040"/>
        </w:tabs>
        <w:spacing w:after="0" w:line="240" w:lineRule="auto"/>
        <w:ind w:right="144"/>
        <w:rPr>
          <w:rFonts w:ascii="Palatino Linotype" w:hAnsi="Palatino Linotype" w:eastAsia="Times New Roman" w:cs="Times New Roman"/>
          <w:sz w:val="26"/>
          <w:szCs w:val="20"/>
        </w:rPr>
      </w:pPr>
    </w:p>
    <w:p w:rsidRPr="000B47C0" w:rsidR="00FE6881" w:rsidP="00FE6881" w:rsidRDefault="00FE6881" w14:paraId="3FD752D9" w14:textId="77777777">
      <w:pPr>
        <w:tabs>
          <w:tab w:val="left" w:pos="720"/>
          <w:tab w:val="left" w:pos="1152"/>
          <w:tab w:val="left" w:pos="1728"/>
          <w:tab w:val="left" w:pos="3168"/>
          <w:tab w:val="left" w:pos="5040"/>
        </w:tabs>
        <w:spacing w:after="0" w:line="240" w:lineRule="auto"/>
        <w:ind w:right="144"/>
        <w:rPr>
          <w:rFonts w:ascii="Palatino Linotype" w:hAnsi="Palatino Linotype" w:eastAsia="Times New Roman" w:cs="Times New Roman"/>
          <w:sz w:val="26"/>
          <w:szCs w:val="20"/>
        </w:rPr>
      </w:pPr>
    </w:p>
    <w:p w:rsidRPr="000B47C0" w:rsidR="00FE6881" w:rsidP="00FE6881" w:rsidRDefault="00FE6881" w14:paraId="42922E4A" w14:textId="77777777">
      <w:pPr>
        <w:tabs>
          <w:tab w:val="left" w:pos="720"/>
          <w:tab w:val="left" w:pos="1152"/>
          <w:tab w:val="left" w:pos="1728"/>
          <w:tab w:val="left" w:pos="3168"/>
          <w:tab w:val="left" w:pos="5040"/>
        </w:tabs>
        <w:spacing w:after="0" w:line="240" w:lineRule="auto"/>
        <w:ind w:right="144"/>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t>_____________________</w:t>
      </w:r>
    </w:p>
    <w:p w:rsidRPr="000B47C0" w:rsidR="00FE6881" w:rsidP="00FE6881" w:rsidRDefault="00FE6881" w14:paraId="7D06B674" w14:textId="77777777">
      <w:p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t>Rachel Peterson</w:t>
      </w:r>
    </w:p>
    <w:p w:rsidRPr="000B47C0" w:rsidR="00FE6881" w:rsidP="00FE6881" w:rsidRDefault="00FE6881" w14:paraId="05927DB9" w14:textId="77777777">
      <w:pPr>
        <w:spacing w:after="0" w:line="240" w:lineRule="auto"/>
        <w:rPr>
          <w:rFonts w:ascii="Palatino Linotype" w:hAnsi="Palatino Linotype" w:eastAsia="Times New Roman" w:cs="Times New Roman"/>
          <w:sz w:val="26"/>
          <w:szCs w:val="20"/>
        </w:rPr>
      </w:pP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r>
      <w:r w:rsidRPr="000B47C0">
        <w:rPr>
          <w:rFonts w:ascii="Palatino Linotype" w:hAnsi="Palatino Linotype" w:eastAsia="Times New Roman" w:cs="Times New Roman"/>
          <w:sz w:val="26"/>
          <w:szCs w:val="20"/>
        </w:rPr>
        <w:tab/>
        <w:t>Acting Executive Director</w:t>
      </w:r>
    </w:p>
    <w:p w:rsidRPr="000B47C0" w:rsidR="00FE6881" w:rsidP="00FE6881" w:rsidRDefault="00FE6881" w14:paraId="5FEDE62A" w14:textId="77777777">
      <w:pPr>
        <w:rPr>
          <w:rFonts w:ascii="Palatino Linotype" w:hAnsi="Palatino Linotype"/>
        </w:rPr>
      </w:pPr>
    </w:p>
    <w:p w:rsidRPr="000B47C0" w:rsidR="003D138E" w:rsidRDefault="003D138E" w14:paraId="2117150A" w14:textId="77777777">
      <w:pPr>
        <w:rPr>
          <w:rFonts w:ascii="Palatino Linotype" w:hAnsi="Palatino Linotype"/>
        </w:rPr>
      </w:pPr>
    </w:p>
    <w:sectPr w:rsidRPr="000B47C0" w:rsidR="003D138E" w:rsidSect="008F3186">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3A7DC" w14:textId="77777777" w:rsidR="00C8302F" w:rsidRDefault="00C8302F" w:rsidP="00FE6881">
      <w:pPr>
        <w:spacing w:after="0" w:line="240" w:lineRule="auto"/>
      </w:pPr>
      <w:r>
        <w:separator/>
      </w:r>
    </w:p>
  </w:endnote>
  <w:endnote w:type="continuationSeparator" w:id="0">
    <w:p w14:paraId="7B7757DC" w14:textId="77777777" w:rsidR="00C8302F" w:rsidRDefault="00C8302F" w:rsidP="00FE6881">
      <w:pPr>
        <w:spacing w:after="0" w:line="240" w:lineRule="auto"/>
      </w:pPr>
      <w:r>
        <w:continuationSeparator/>
      </w:r>
    </w:p>
  </w:endnote>
  <w:endnote w:type="continuationNotice" w:id="1">
    <w:p w14:paraId="3FCE439D" w14:textId="77777777" w:rsidR="00C8302F" w:rsidRDefault="00C83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D0FB9" w14:textId="77777777" w:rsidR="008F3186" w:rsidRDefault="008F3186" w:rsidP="009F590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658F" w14:textId="539FA543" w:rsidR="008F3186" w:rsidRDefault="00270D3B" w:rsidP="00270D3B">
    <w:pPr>
      <w:pStyle w:val="Footer"/>
    </w:pPr>
    <w:r w:rsidRPr="00270D3B">
      <w:rPr>
        <w:rStyle w:val="PageNumber"/>
      </w:rPr>
      <w:t>351056287</w:t>
    </w:r>
    <w:r>
      <w:rPr>
        <w:rStyle w:val="PageNumber"/>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9E876" w14:textId="77777777" w:rsidR="00C8302F" w:rsidRDefault="00C8302F" w:rsidP="00FE6881">
      <w:pPr>
        <w:spacing w:after="0" w:line="240" w:lineRule="auto"/>
      </w:pPr>
      <w:r>
        <w:separator/>
      </w:r>
    </w:p>
  </w:footnote>
  <w:footnote w:type="continuationSeparator" w:id="0">
    <w:p w14:paraId="6F66C5C4" w14:textId="77777777" w:rsidR="00C8302F" w:rsidRDefault="00C8302F" w:rsidP="00FE6881">
      <w:pPr>
        <w:spacing w:after="0" w:line="240" w:lineRule="auto"/>
      </w:pPr>
      <w:r>
        <w:continuationSeparator/>
      </w:r>
    </w:p>
  </w:footnote>
  <w:footnote w:type="continuationNotice" w:id="1">
    <w:p w14:paraId="10FCAE29" w14:textId="77777777" w:rsidR="00C8302F" w:rsidRDefault="00C8302F">
      <w:pPr>
        <w:spacing w:after="0" w:line="240" w:lineRule="auto"/>
      </w:pPr>
    </w:p>
  </w:footnote>
  <w:footnote w:id="2">
    <w:p w14:paraId="4A23F2E8" w14:textId="77777777" w:rsidR="00FE6881" w:rsidRDefault="00FE6881" w:rsidP="00FE6881">
      <w:pPr>
        <w:pStyle w:val="FootnoteText"/>
        <w:ind w:left="360" w:hanging="360"/>
      </w:pPr>
      <w:r>
        <w:rPr>
          <w:rStyle w:val="FootnoteReference"/>
        </w:rPr>
        <w:footnoteRef/>
      </w:r>
      <w:r>
        <w:t xml:space="preserve"> </w:t>
      </w:r>
      <w:r>
        <w:rPr>
          <w:szCs w:val="16"/>
        </w:rPr>
        <w:t>The u</w:t>
      </w:r>
      <w:r w:rsidRPr="002F136D">
        <w:rPr>
          <w:szCs w:val="16"/>
        </w:rPr>
        <w:t>ncertainty</w:t>
      </w:r>
      <w:r>
        <w:rPr>
          <w:szCs w:val="16"/>
        </w:rPr>
        <w:t xml:space="preserve"> of cost impacts</w:t>
      </w:r>
      <w:r w:rsidRPr="002F136D">
        <w:rPr>
          <w:szCs w:val="16"/>
        </w:rPr>
        <w:t xml:space="preserve"> is due to </w:t>
      </w:r>
      <w:r>
        <w:rPr>
          <w:szCs w:val="16"/>
        </w:rPr>
        <w:t xml:space="preserve">the </w:t>
      </w:r>
      <w:r w:rsidRPr="002F136D">
        <w:rPr>
          <w:szCs w:val="16"/>
        </w:rPr>
        <w:t xml:space="preserve">difficulty </w:t>
      </w:r>
      <w:r>
        <w:rPr>
          <w:szCs w:val="16"/>
        </w:rPr>
        <w:t xml:space="preserve">in </w:t>
      </w:r>
      <w:r w:rsidRPr="002F136D">
        <w:rPr>
          <w:szCs w:val="16"/>
        </w:rPr>
        <w:t>forecasting the number of customers who will receive arrearage forgiveness and the magnitude of arrearages owed by those customers.</w:t>
      </w:r>
    </w:p>
  </w:footnote>
  <w:footnote w:id="3">
    <w:p w14:paraId="602A8C3D" w14:textId="77777777" w:rsidR="00FE6881" w:rsidRPr="00E76C81" w:rsidRDefault="00FE6881" w:rsidP="00FE6881">
      <w:pPr>
        <w:pStyle w:val="Header"/>
        <w:ind w:left="360" w:hanging="360"/>
        <w:rPr>
          <w:sz w:val="20"/>
          <w:szCs w:val="16"/>
        </w:rPr>
      </w:pPr>
      <w:r w:rsidRPr="007D62AF">
        <w:rPr>
          <w:sz w:val="20"/>
          <w:szCs w:val="16"/>
        </w:rPr>
        <w:footnoteRef/>
      </w:r>
      <w:r w:rsidRPr="007D62AF">
        <w:rPr>
          <w:sz w:val="20"/>
          <w:szCs w:val="16"/>
        </w:rPr>
        <w:t xml:space="preserve"> </w:t>
      </w:r>
      <w:proofErr w:type="spellStart"/>
      <w:r w:rsidRPr="007D62AF">
        <w:rPr>
          <w:sz w:val="20"/>
          <w:szCs w:val="16"/>
        </w:rPr>
        <w:t>CalCCA</w:t>
      </w:r>
      <w:proofErr w:type="spellEnd"/>
      <w:r w:rsidRPr="007D62AF">
        <w:rPr>
          <w:sz w:val="20"/>
          <w:szCs w:val="16"/>
        </w:rPr>
        <w:t xml:space="preserve"> Protest to PG&amp;</w:t>
      </w:r>
      <w:r w:rsidRPr="0060301B">
        <w:rPr>
          <w:sz w:val="20"/>
          <w:szCs w:val="16"/>
        </w:rPr>
        <w:t>E AMP Advice Letter in response to Decision 20-06-003</w:t>
      </w:r>
      <w:r>
        <w:rPr>
          <w:sz w:val="20"/>
          <w:szCs w:val="16"/>
        </w:rPr>
        <w:t>, in AL 4308-G/5943-E, dated September 29, 2020</w:t>
      </w:r>
    </w:p>
  </w:footnote>
  <w:footnote w:id="4">
    <w:p w14:paraId="5575428D" w14:textId="6C525E0B" w:rsidR="007E2890" w:rsidRDefault="007E2890">
      <w:pPr>
        <w:pStyle w:val="FootnoteText"/>
      </w:pPr>
      <w:r>
        <w:rPr>
          <w:rStyle w:val="FootnoteReference"/>
        </w:rPr>
        <w:footnoteRef/>
      </w:r>
      <w:r>
        <w:t xml:space="preserve"> </w:t>
      </w:r>
      <w:proofErr w:type="spellStart"/>
      <w:r w:rsidR="00D220FA" w:rsidRPr="007D62AF">
        <w:rPr>
          <w:szCs w:val="16"/>
        </w:rPr>
        <w:t>CalCCA</w:t>
      </w:r>
      <w:proofErr w:type="spellEnd"/>
      <w:r w:rsidR="00D220FA" w:rsidRPr="007D62AF">
        <w:rPr>
          <w:szCs w:val="16"/>
        </w:rPr>
        <w:t xml:space="preserve"> Protest to Southern California Edison’s and San Diego Gas and Electric’s AMP Advice Letters in response to Decision 20-06-003, dated September 29, 2020.</w:t>
      </w:r>
    </w:p>
  </w:footnote>
  <w:footnote w:id="5">
    <w:p w14:paraId="415505B1" w14:textId="2D461682" w:rsidR="00AD50EF" w:rsidRDefault="00AD50EF">
      <w:pPr>
        <w:pStyle w:val="FootnoteText"/>
      </w:pPr>
      <w:r>
        <w:rPr>
          <w:rStyle w:val="FootnoteReference"/>
        </w:rPr>
        <w:footnoteRef/>
      </w:r>
      <w:r>
        <w:t xml:space="preserve"> </w:t>
      </w:r>
      <w:r w:rsidR="00173E60">
        <w:t xml:space="preserve">Traditionally, </w:t>
      </w:r>
      <w:r w:rsidR="008115A1">
        <w:t xml:space="preserve">utility arrearages are </w:t>
      </w:r>
      <w:r w:rsidR="005C7F66">
        <w:t xml:space="preserve">written off as uncollectible, </w:t>
      </w:r>
      <w:r w:rsidR="00931732">
        <w:t xml:space="preserve">evaluated in </w:t>
      </w:r>
      <w:r w:rsidR="00D436C2">
        <w:t>General Rate Cases</w:t>
      </w:r>
      <w:r w:rsidR="005C7F66">
        <w:t xml:space="preserve">, </w:t>
      </w:r>
      <w:r w:rsidR="00931732">
        <w:t xml:space="preserve">and recovered </w:t>
      </w:r>
      <w:r w:rsidR="00FA0174">
        <w:t>from all customer classes through the PPP Charge.</w:t>
      </w:r>
    </w:p>
  </w:footnote>
  <w:footnote w:id="6">
    <w:p w14:paraId="233F4BFC" w14:textId="13E3E091" w:rsidR="00295D2B" w:rsidRPr="00A823EC" w:rsidRDefault="00295D2B">
      <w:pPr>
        <w:pStyle w:val="FootnoteText"/>
        <w:rPr>
          <w:sz w:val="14"/>
          <w:szCs w:val="14"/>
        </w:rPr>
      </w:pPr>
      <w:r w:rsidRPr="00AD50EF">
        <w:rPr>
          <w:rStyle w:val="FootnoteReference"/>
        </w:rPr>
        <w:footnoteRef/>
      </w:r>
      <w:r w:rsidRPr="00AD50EF">
        <w:t xml:space="preserve"> </w:t>
      </w:r>
      <w:r w:rsidRPr="00A823EC">
        <w:rPr>
          <w:rFonts w:ascii="Palatino" w:eastAsia="Times New Roman" w:hAnsi="Palatino" w:cs="Times New Roman"/>
          <w:szCs w:val="14"/>
        </w:rPr>
        <w:t xml:space="preserve">These </w:t>
      </w:r>
      <w:r w:rsidR="0039185B">
        <w:rPr>
          <w:rFonts w:ascii="Palatino" w:eastAsia="Times New Roman" w:hAnsi="Palatino" w:cs="Times New Roman"/>
          <w:szCs w:val="14"/>
        </w:rPr>
        <w:t xml:space="preserve">CCAs </w:t>
      </w:r>
      <w:r w:rsidRPr="00A823EC">
        <w:rPr>
          <w:rFonts w:ascii="Palatino" w:eastAsia="Times New Roman" w:hAnsi="Palatino" w:cs="Times New Roman"/>
          <w:szCs w:val="14"/>
        </w:rPr>
        <w:t>include the California Choice Energy Authority, Western Community Energy, and the Clean Power Alliance of Southern California.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575B" w14:textId="64665736" w:rsidR="008F3186" w:rsidRDefault="008F3186">
    <w:pPr>
      <w:pStyle w:val="Header"/>
      <w:tabs>
        <w:tab w:val="right" w:pos="9180"/>
      </w:tabs>
    </w:pPr>
    <w:r>
      <w:t xml:space="preserve">Resolution </w:t>
    </w:r>
    <w:r w:rsidR="00851D87">
      <w:t>E-5114</w:t>
    </w:r>
    <w:r>
      <w:tab/>
      <w:t>DRAFT</w:t>
    </w:r>
    <w:r>
      <w:tab/>
      <w:t>December 17, 2020</w:t>
    </w:r>
  </w:p>
  <w:p w14:paraId="27C02E4E" w14:textId="2DF3958C" w:rsidR="008F3186" w:rsidRDefault="008F3186">
    <w:pPr>
      <w:pStyle w:val="Header"/>
      <w:tabs>
        <w:tab w:val="right" w:pos="9180"/>
      </w:tabs>
    </w:pPr>
    <w:r>
      <w:t>PG&amp;E 4308-G/5943-E, SCE 4287-E, SDG&amp;E 2902-G/3602-E, SCG 5689-G /BM</w:t>
    </w:r>
    <w:r w:rsidR="009F5908">
      <w:t>Z</w:t>
    </w:r>
  </w:p>
  <w:p w14:paraId="12BD1D90" w14:textId="77777777" w:rsidR="008F3186" w:rsidRDefault="008F3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7CBB0" w14:textId="452F99EF" w:rsidR="00DE4AC7" w:rsidRDefault="00DE4AC7" w:rsidP="00DE4AC7">
    <w:pPr>
      <w:pStyle w:val="Header"/>
      <w:jc w:val="cent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7819"/>
    <w:multiLevelType w:val="hybridMultilevel"/>
    <w:tmpl w:val="A56CA08E"/>
    <w:lvl w:ilvl="0" w:tplc="50844222">
      <w:start w:val="1"/>
      <w:numFmt w:val="decimal"/>
      <w:lvlText w:val="%1."/>
      <w:lvlJc w:val="left"/>
      <w:pPr>
        <w:tabs>
          <w:tab w:val="num" w:pos="360"/>
        </w:tabs>
        <w:ind w:left="360" w:hanging="360"/>
      </w:pPr>
    </w:lvl>
    <w:lvl w:ilvl="1" w:tplc="A84882CC">
      <w:numFmt w:val="decimal"/>
      <w:lvlText w:val=""/>
      <w:lvlJc w:val="left"/>
    </w:lvl>
    <w:lvl w:ilvl="2" w:tplc="2C3A2104">
      <w:numFmt w:val="decimal"/>
      <w:lvlText w:val=""/>
      <w:lvlJc w:val="left"/>
    </w:lvl>
    <w:lvl w:ilvl="3" w:tplc="04090019">
      <w:start w:val="1"/>
      <w:numFmt w:val="lowerLetter"/>
      <w:lvlText w:val="%4."/>
      <w:lvlJc w:val="left"/>
    </w:lvl>
    <w:lvl w:ilvl="4" w:tplc="B9F8F24A">
      <w:numFmt w:val="decimal"/>
      <w:lvlText w:val=""/>
      <w:lvlJc w:val="left"/>
    </w:lvl>
    <w:lvl w:ilvl="5" w:tplc="94D8B208">
      <w:numFmt w:val="decimal"/>
      <w:lvlText w:val=""/>
      <w:lvlJc w:val="left"/>
    </w:lvl>
    <w:lvl w:ilvl="6" w:tplc="725A8406">
      <w:numFmt w:val="decimal"/>
      <w:lvlText w:val=""/>
      <w:lvlJc w:val="left"/>
    </w:lvl>
    <w:lvl w:ilvl="7" w:tplc="661CCB1C">
      <w:numFmt w:val="decimal"/>
      <w:lvlText w:val=""/>
      <w:lvlJc w:val="left"/>
    </w:lvl>
    <w:lvl w:ilvl="8" w:tplc="9DC88D32">
      <w:numFmt w:val="decimal"/>
      <w:lvlText w:val=""/>
      <w:lvlJc w:val="left"/>
    </w:lvl>
  </w:abstractNum>
  <w:abstractNum w:abstractNumId="1" w15:restartNumberingAfterBreak="0">
    <w:nsid w:val="109971E9"/>
    <w:multiLevelType w:val="hybridMultilevel"/>
    <w:tmpl w:val="73889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2565C7"/>
    <w:multiLevelType w:val="hybridMultilevel"/>
    <w:tmpl w:val="B4D29030"/>
    <w:lvl w:ilvl="0" w:tplc="5CDAB0F0">
      <w:start w:val="1"/>
      <w:numFmt w:val="decimal"/>
      <w:lvlText w:val="%1."/>
      <w:lvlJc w:val="left"/>
      <w:pPr>
        <w:tabs>
          <w:tab w:val="num" w:pos="420"/>
        </w:tabs>
        <w:ind w:left="420" w:hanging="420"/>
      </w:pPr>
      <w:rPr>
        <w:rFonts w:hint="default"/>
      </w:rPr>
    </w:lvl>
    <w:lvl w:ilvl="1" w:tplc="7384F174">
      <w:numFmt w:val="decimal"/>
      <w:lvlText w:val=""/>
      <w:lvlJc w:val="left"/>
    </w:lvl>
    <w:lvl w:ilvl="2" w:tplc="A606AE20">
      <w:numFmt w:val="decimal"/>
      <w:lvlText w:val=""/>
      <w:lvlJc w:val="left"/>
    </w:lvl>
    <w:lvl w:ilvl="3" w:tplc="A38A7302">
      <w:numFmt w:val="decimal"/>
      <w:lvlText w:val=""/>
      <w:lvlJc w:val="left"/>
    </w:lvl>
    <w:lvl w:ilvl="4" w:tplc="98AEF6CE">
      <w:numFmt w:val="decimal"/>
      <w:lvlText w:val=""/>
      <w:lvlJc w:val="left"/>
    </w:lvl>
    <w:lvl w:ilvl="5" w:tplc="DC589EA2">
      <w:numFmt w:val="decimal"/>
      <w:lvlText w:val=""/>
      <w:lvlJc w:val="left"/>
    </w:lvl>
    <w:lvl w:ilvl="6" w:tplc="4D60DC00">
      <w:numFmt w:val="decimal"/>
      <w:lvlText w:val=""/>
      <w:lvlJc w:val="left"/>
    </w:lvl>
    <w:lvl w:ilvl="7" w:tplc="9086E384">
      <w:numFmt w:val="decimal"/>
      <w:lvlText w:val=""/>
      <w:lvlJc w:val="left"/>
    </w:lvl>
    <w:lvl w:ilvl="8" w:tplc="E8D255B0">
      <w:numFmt w:val="decimal"/>
      <w:lvlText w:val=""/>
      <w:lvlJc w:val="left"/>
    </w:lvl>
  </w:abstractNum>
  <w:abstractNum w:abstractNumId="4"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81"/>
    <w:rsid w:val="00000133"/>
    <w:rsid w:val="00000BF6"/>
    <w:rsid w:val="00000E8A"/>
    <w:rsid w:val="00012773"/>
    <w:rsid w:val="00022F2C"/>
    <w:rsid w:val="000260F7"/>
    <w:rsid w:val="000355F8"/>
    <w:rsid w:val="00041834"/>
    <w:rsid w:val="00052C72"/>
    <w:rsid w:val="00062DB2"/>
    <w:rsid w:val="000671BE"/>
    <w:rsid w:val="00075F31"/>
    <w:rsid w:val="00084BD9"/>
    <w:rsid w:val="00085A24"/>
    <w:rsid w:val="000865B3"/>
    <w:rsid w:val="000868EC"/>
    <w:rsid w:val="0009278E"/>
    <w:rsid w:val="00096A21"/>
    <w:rsid w:val="00097339"/>
    <w:rsid w:val="00097926"/>
    <w:rsid w:val="000A0A0D"/>
    <w:rsid w:val="000A5EBC"/>
    <w:rsid w:val="000A6101"/>
    <w:rsid w:val="000A74A6"/>
    <w:rsid w:val="000A7E8D"/>
    <w:rsid w:val="000B267C"/>
    <w:rsid w:val="000B2A60"/>
    <w:rsid w:val="000B47C0"/>
    <w:rsid w:val="000B5C45"/>
    <w:rsid w:val="000B798D"/>
    <w:rsid w:val="000C1E8D"/>
    <w:rsid w:val="000C27D7"/>
    <w:rsid w:val="000C46DD"/>
    <w:rsid w:val="000D13A2"/>
    <w:rsid w:val="000D1B54"/>
    <w:rsid w:val="000D3BA3"/>
    <w:rsid w:val="000D4F49"/>
    <w:rsid w:val="000D5714"/>
    <w:rsid w:val="000E0A19"/>
    <w:rsid w:val="000E2B5C"/>
    <w:rsid w:val="000E67F2"/>
    <w:rsid w:val="000E6B4A"/>
    <w:rsid w:val="000F389D"/>
    <w:rsid w:val="000F5BB0"/>
    <w:rsid w:val="00102C39"/>
    <w:rsid w:val="00104318"/>
    <w:rsid w:val="00105C77"/>
    <w:rsid w:val="00115205"/>
    <w:rsid w:val="00115A0D"/>
    <w:rsid w:val="00116509"/>
    <w:rsid w:val="0012063C"/>
    <w:rsid w:val="0012472A"/>
    <w:rsid w:val="001347A2"/>
    <w:rsid w:val="00137E98"/>
    <w:rsid w:val="0014483F"/>
    <w:rsid w:val="00145AF9"/>
    <w:rsid w:val="001504F2"/>
    <w:rsid w:val="00163A82"/>
    <w:rsid w:val="001655C5"/>
    <w:rsid w:val="00173E60"/>
    <w:rsid w:val="00174C4D"/>
    <w:rsid w:val="00177175"/>
    <w:rsid w:val="00183E98"/>
    <w:rsid w:val="001863A9"/>
    <w:rsid w:val="00187CE0"/>
    <w:rsid w:val="00195A12"/>
    <w:rsid w:val="00197897"/>
    <w:rsid w:val="001A14F9"/>
    <w:rsid w:val="001A6854"/>
    <w:rsid w:val="001C27D7"/>
    <w:rsid w:val="001C4B94"/>
    <w:rsid w:val="001D29C6"/>
    <w:rsid w:val="001D2B11"/>
    <w:rsid w:val="001D6117"/>
    <w:rsid w:val="001E0385"/>
    <w:rsid w:val="001E2000"/>
    <w:rsid w:val="001E6405"/>
    <w:rsid w:val="001F0394"/>
    <w:rsid w:val="001F2788"/>
    <w:rsid w:val="001F3AB4"/>
    <w:rsid w:val="001F49E6"/>
    <w:rsid w:val="00207903"/>
    <w:rsid w:val="00207FCA"/>
    <w:rsid w:val="00214EB9"/>
    <w:rsid w:val="002221AF"/>
    <w:rsid w:val="00223358"/>
    <w:rsid w:val="00223BCC"/>
    <w:rsid w:val="00225E89"/>
    <w:rsid w:val="0023140E"/>
    <w:rsid w:val="002345A7"/>
    <w:rsid w:val="0024178D"/>
    <w:rsid w:val="002429EB"/>
    <w:rsid w:val="002469A1"/>
    <w:rsid w:val="00250F86"/>
    <w:rsid w:val="002549E8"/>
    <w:rsid w:val="00261140"/>
    <w:rsid w:val="00262C8C"/>
    <w:rsid w:val="002648A8"/>
    <w:rsid w:val="002664F6"/>
    <w:rsid w:val="00270D3B"/>
    <w:rsid w:val="00272116"/>
    <w:rsid w:val="00283B2E"/>
    <w:rsid w:val="00284597"/>
    <w:rsid w:val="00287817"/>
    <w:rsid w:val="00295D2B"/>
    <w:rsid w:val="002B0B74"/>
    <w:rsid w:val="002C11AE"/>
    <w:rsid w:val="002C3ECD"/>
    <w:rsid w:val="002D028B"/>
    <w:rsid w:val="002E465A"/>
    <w:rsid w:val="002E5F2E"/>
    <w:rsid w:val="0030354B"/>
    <w:rsid w:val="00316DCF"/>
    <w:rsid w:val="00317912"/>
    <w:rsid w:val="0032254A"/>
    <w:rsid w:val="003307ED"/>
    <w:rsid w:val="0033233F"/>
    <w:rsid w:val="00332D49"/>
    <w:rsid w:val="00332FBF"/>
    <w:rsid w:val="00337DDB"/>
    <w:rsid w:val="00342C1E"/>
    <w:rsid w:val="0034419D"/>
    <w:rsid w:val="00355BDC"/>
    <w:rsid w:val="0035779D"/>
    <w:rsid w:val="003604D8"/>
    <w:rsid w:val="003636E1"/>
    <w:rsid w:val="00366692"/>
    <w:rsid w:val="00374F4F"/>
    <w:rsid w:val="0038033E"/>
    <w:rsid w:val="0038329D"/>
    <w:rsid w:val="003842CB"/>
    <w:rsid w:val="003902D4"/>
    <w:rsid w:val="0039185B"/>
    <w:rsid w:val="00391BD5"/>
    <w:rsid w:val="003B2D7E"/>
    <w:rsid w:val="003B6BC6"/>
    <w:rsid w:val="003B7443"/>
    <w:rsid w:val="003B74D8"/>
    <w:rsid w:val="003D077C"/>
    <w:rsid w:val="003D138E"/>
    <w:rsid w:val="003D20F9"/>
    <w:rsid w:val="003D549F"/>
    <w:rsid w:val="003E1088"/>
    <w:rsid w:val="003E1FB3"/>
    <w:rsid w:val="003E376E"/>
    <w:rsid w:val="00401335"/>
    <w:rsid w:val="00402248"/>
    <w:rsid w:val="00402BA1"/>
    <w:rsid w:val="004038D9"/>
    <w:rsid w:val="00406F6F"/>
    <w:rsid w:val="00413E91"/>
    <w:rsid w:val="0041607D"/>
    <w:rsid w:val="00416C75"/>
    <w:rsid w:val="00420B62"/>
    <w:rsid w:val="00420EB0"/>
    <w:rsid w:val="0042540F"/>
    <w:rsid w:val="004254E0"/>
    <w:rsid w:val="004277B8"/>
    <w:rsid w:val="00434AEF"/>
    <w:rsid w:val="00434F6C"/>
    <w:rsid w:val="00440C24"/>
    <w:rsid w:val="00443B59"/>
    <w:rsid w:val="004440A0"/>
    <w:rsid w:val="00454AF1"/>
    <w:rsid w:val="00456A2F"/>
    <w:rsid w:val="00466621"/>
    <w:rsid w:val="00466D85"/>
    <w:rsid w:val="004701E5"/>
    <w:rsid w:val="00471401"/>
    <w:rsid w:val="00474DD6"/>
    <w:rsid w:val="0047781E"/>
    <w:rsid w:val="00482538"/>
    <w:rsid w:val="00485BC3"/>
    <w:rsid w:val="00487724"/>
    <w:rsid w:val="004901B8"/>
    <w:rsid w:val="004916A1"/>
    <w:rsid w:val="004A6975"/>
    <w:rsid w:val="004C37E8"/>
    <w:rsid w:val="004D7728"/>
    <w:rsid w:val="004F0CEC"/>
    <w:rsid w:val="004F16CE"/>
    <w:rsid w:val="004F3585"/>
    <w:rsid w:val="004F4174"/>
    <w:rsid w:val="00502B44"/>
    <w:rsid w:val="00504F8C"/>
    <w:rsid w:val="00511BA0"/>
    <w:rsid w:val="00514BD6"/>
    <w:rsid w:val="005303C2"/>
    <w:rsid w:val="00531950"/>
    <w:rsid w:val="00536173"/>
    <w:rsid w:val="00543B1E"/>
    <w:rsid w:val="005453A7"/>
    <w:rsid w:val="00552D74"/>
    <w:rsid w:val="005534F9"/>
    <w:rsid w:val="0055436A"/>
    <w:rsid w:val="005572EC"/>
    <w:rsid w:val="00561807"/>
    <w:rsid w:val="00561F58"/>
    <w:rsid w:val="00563530"/>
    <w:rsid w:val="00563F6A"/>
    <w:rsid w:val="005653D3"/>
    <w:rsid w:val="005656B7"/>
    <w:rsid w:val="0056662A"/>
    <w:rsid w:val="00574686"/>
    <w:rsid w:val="00574C9C"/>
    <w:rsid w:val="00574DE3"/>
    <w:rsid w:val="0057547A"/>
    <w:rsid w:val="005774B5"/>
    <w:rsid w:val="00577994"/>
    <w:rsid w:val="005875AF"/>
    <w:rsid w:val="00592FC3"/>
    <w:rsid w:val="00594094"/>
    <w:rsid w:val="005A2CD7"/>
    <w:rsid w:val="005A510F"/>
    <w:rsid w:val="005A7102"/>
    <w:rsid w:val="005B4529"/>
    <w:rsid w:val="005B4C4F"/>
    <w:rsid w:val="005B5A23"/>
    <w:rsid w:val="005B5DB3"/>
    <w:rsid w:val="005C1DC1"/>
    <w:rsid w:val="005C433D"/>
    <w:rsid w:val="005C7F66"/>
    <w:rsid w:val="005D2D17"/>
    <w:rsid w:val="005D4881"/>
    <w:rsid w:val="005D510E"/>
    <w:rsid w:val="005E1882"/>
    <w:rsid w:val="005E2A67"/>
    <w:rsid w:val="005E31F5"/>
    <w:rsid w:val="005F2E0D"/>
    <w:rsid w:val="00601659"/>
    <w:rsid w:val="00601A51"/>
    <w:rsid w:val="00617F57"/>
    <w:rsid w:val="0062197D"/>
    <w:rsid w:val="00621C96"/>
    <w:rsid w:val="00624943"/>
    <w:rsid w:val="00633FF3"/>
    <w:rsid w:val="00635581"/>
    <w:rsid w:val="00635D21"/>
    <w:rsid w:val="00655F78"/>
    <w:rsid w:val="00665DB7"/>
    <w:rsid w:val="006672A9"/>
    <w:rsid w:val="00670590"/>
    <w:rsid w:val="00671337"/>
    <w:rsid w:val="00676339"/>
    <w:rsid w:val="00681A39"/>
    <w:rsid w:val="00683300"/>
    <w:rsid w:val="00691902"/>
    <w:rsid w:val="006929BB"/>
    <w:rsid w:val="006A0A93"/>
    <w:rsid w:val="006B18ED"/>
    <w:rsid w:val="006B33D7"/>
    <w:rsid w:val="006B5539"/>
    <w:rsid w:val="006B62E9"/>
    <w:rsid w:val="006C0473"/>
    <w:rsid w:val="006C143F"/>
    <w:rsid w:val="006C50C0"/>
    <w:rsid w:val="006D0312"/>
    <w:rsid w:val="006D5A28"/>
    <w:rsid w:val="006E69C7"/>
    <w:rsid w:val="00706A7C"/>
    <w:rsid w:val="00712149"/>
    <w:rsid w:val="007138B3"/>
    <w:rsid w:val="00716213"/>
    <w:rsid w:val="0072012F"/>
    <w:rsid w:val="00720DC2"/>
    <w:rsid w:val="00721F7A"/>
    <w:rsid w:val="00723A70"/>
    <w:rsid w:val="00740A63"/>
    <w:rsid w:val="00740BBE"/>
    <w:rsid w:val="00752B54"/>
    <w:rsid w:val="00761582"/>
    <w:rsid w:val="00764F3B"/>
    <w:rsid w:val="0077207A"/>
    <w:rsid w:val="00792CE1"/>
    <w:rsid w:val="0079642E"/>
    <w:rsid w:val="007A0AE6"/>
    <w:rsid w:val="007A2239"/>
    <w:rsid w:val="007A544E"/>
    <w:rsid w:val="007A607A"/>
    <w:rsid w:val="007B18C2"/>
    <w:rsid w:val="007B1AF0"/>
    <w:rsid w:val="007B5784"/>
    <w:rsid w:val="007B6159"/>
    <w:rsid w:val="007C1527"/>
    <w:rsid w:val="007C33DA"/>
    <w:rsid w:val="007C3BB0"/>
    <w:rsid w:val="007E20D3"/>
    <w:rsid w:val="007E2890"/>
    <w:rsid w:val="007E2F12"/>
    <w:rsid w:val="007E5C5F"/>
    <w:rsid w:val="007F298A"/>
    <w:rsid w:val="007F54F0"/>
    <w:rsid w:val="008003C7"/>
    <w:rsid w:val="0080417A"/>
    <w:rsid w:val="008115A1"/>
    <w:rsid w:val="0081441B"/>
    <w:rsid w:val="008149B8"/>
    <w:rsid w:val="00815085"/>
    <w:rsid w:val="00815D68"/>
    <w:rsid w:val="0082244B"/>
    <w:rsid w:val="00832710"/>
    <w:rsid w:val="008334C8"/>
    <w:rsid w:val="008351F5"/>
    <w:rsid w:val="00851D87"/>
    <w:rsid w:val="008646C0"/>
    <w:rsid w:val="008666D2"/>
    <w:rsid w:val="008730BD"/>
    <w:rsid w:val="008755FD"/>
    <w:rsid w:val="0089144E"/>
    <w:rsid w:val="00894578"/>
    <w:rsid w:val="0089618B"/>
    <w:rsid w:val="00897517"/>
    <w:rsid w:val="008A06EA"/>
    <w:rsid w:val="008A1F5A"/>
    <w:rsid w:val="008A5A31"/>
    <w:rsid w:val="008A7E5E"/>
    <w:rsid w:val="008B010C"/>
    <w:rsid w:val="008B0617"/>
    <w:rsid w:val="008B0F6B"/>
    <w:rsid w:val="008C253D"/>
    <w:rsid w:val="008C43EF"/>
    <w:rsid w:val="008C7EDD"/>
    <w:rsid w:val="008D42F8"/>
    <w:rsid w:val="008E0F62"/>
    <w:rsid w:val="008E3771"/>
    <w:rsid w:val="008F0D65"/>
    <w:rsid w:val="008F3186"/>
    <w:rsid w:val="008F6EC2"/>
    <w:rsid w:val="0092185B"/>
    <w:rsid w:val="009224E7"/>
    <w:rsid w:val="009308E5"/>
    <w:rsid w:val="00931732"/>
    <w:rsid w:val="00931F91"/>
    <w:rsid w:val="00932853"/>
    <w:rsid w:val="00942A09"/>
    <w:rsid w:val="00951DA9"/>
    <w:rsid w:val="009616C7"/>
    <w:rsid w:val="00970317"/>
    <w:rsid w:val="00974B4F"/>
    <w:rsid w:val="009750D1"/>
    <w:rsid w:val="00986882"/>
    <w:rsid w:val="009918AA"/>
    <w:rsid w:val="0099708C"/>
    <w:rsid w:val="009970FD"/>
    <w:rsid w:val="00997457"/>
    <w:rsid w:val="009A067E"/>
    <w:rsid w:val="009A4045"/>
    <w:rsid w:val="009D0568"/>
    <w:rsid w:val="009D6D70"/>
    <w:rsid w:val="009F2BB9"/>
    <w:rsid w:val="009F363D"/>
    <w:rsid w:val="009F4466"/>
    <w:rsid w:val="009F4634"/>
    <w:rsid w:val="009F5908"/>
    <w:rsid w:val="009F6584"/>
    <w:rsid w:val="00A0029F"/>
    <w:rsid w:val="00A06522"/>
    <w:rsid w:val="00A17FBF"/>
    <w:rsid w:val="00A412F4"/>
    <w:rsid w:val="00A41E58"/>
    <w:rsid w:val="00A4234C"/>
    <w:rsid w:val="00A427E9"/>
    <w:rsid w:val="00A4470B"/>
    <w:rsid w:val="00A44E1F"/>
    <w:rsid w:val="00A4679F"/>
    <w:rsid w:val="00A477EF"/>
    <w:rsid w:val="00A52E8A"/>
    <w:rsid w:val="00A57FCF"/>
    <w:rsid w:val="00A650F8"/>
    <w:rsid w:val="00A653D3"/>
    <w:rsid w:val="00A77A45"/>
    <w:rsid w:val="00A823EC"/>
    <w:rsid w:val="00A86CFA"/>
    <w:rsid w:val="00A90736"/>
    <w:rsid w:val="00AA3644"/>
    <w:rsid w:val="00AA3B9E"/>
    <w:rsid w:val="00AB4708"/>
    <w:rsid w:val="00AB5FA1"/>
    <w:rsid w:val="00AB603A"/>
    <w:rsid w:val="00AC385E"/>
    <w:rsid w:val="00AD0480"/>
    <w:rsid w:val="00AD1653"/>
    <w:rsid w:val="00AD50EF"/>
    <w:rsid w:val="00AE5EB5"/>
    <w:rsid w:val="00AE7414"/>
    <w:rsid w:val="00AF1AB4"/>
    <w:rsid w:val="00AF28EA"/>
    <w:rsid w:val="00AF4713"/>
    <w:rsid w:val="00B00A73"/>
    <w:rsid w:val="00B0349B"/>
    <w:rsid w:val="00B04F71"/>
    <w:rsid w:val="00B12230"/>
    <w:rsid w:val="00B136D8"/>
    <w:rsid w:val="00B14272"/>
    <w:rsid w:val="00B14B1C"/>
    <w:rsid w:val="00B15E2E"/>
    <w:rsid w:val="00B22156"/>
    <w:rsid w:val="00B23376"/>
    <w:rsid w:val="00B24E51"/>
    <w:rsid w:val="00B262B8"/>
    <w:rsid w:val="00B26D4C"/>
    <w:rsid w:val="00B271C2"/>
    <w:rsid w:val="00B30B20"/>
    <w:rsid w:val="00B32B69"/>
    <w:rsid w:val="00B34DD3"/>
    <w:rsid w:val="00B41E2A"/>
    <w:rsid w:val="00B43292"/>
    <w:rsid w:val="00B46BA4"/>
    <w:rsid w:val="00B478FC"/>
    <w:rsid w:val="00B5048C"/>
    <w:rsid w:val="00B50980"/>
    <w:rsid w:val="00B60908"/>
    <w:rsid w:val="00B624CC"/>
    <w:rsid w:val="00B70BF8"/>
    <w:rsid w:val="00B769A4"/>
    <w:rsid w:val="00B93309"/>
    <w:rsid w:val="00B93835"/>
    <w:rsid w:val="00B9502A"/>
    <w:rsid w:val="00B977F9"/>
    <w:rsid w:val="00BA0AD7"/>
    <w:rsid w:val="00BA1A61"/>
    <w:rsid w:val="00BA1DFA"/>
    <w:rsid w:val="00BA21B4"/>
    <w:rsid w:val="00BA502C"/>
    <w:rsid w:val="00BC07C4"/>
    <w:rsid w:val="00BD0204"/>
    <w:rsid w:val="00BD5E29"/>
    <w:rsid w:val="00BF3BC4"/>
    <w:rsid w:val="00C04564"/>
    <w:rsid w:val="00C21C3D"/>
    <w:rsid w:val="00C22DD7"/>
    <w:rsid w:val="00C24009"/>
    <w:rsid w:val="00C25EBF"/>
    <w:rsid w:val="00C40D19"/>
    <w:rsid w:val="00C41F03"/>
    <w:rsid w:val="00C432AD"/>
    <w:rsid w:val="00C46C31"/>
    <w:rsid w:val="00C50BB1"/>
    <w:rsid w:val="00C53AA8"/>
    <w:rsid w:val="00C545A5"/>
    <w:rsid w:val="00C54F26"/>
    <w:rsid w:val="00C62FDB"/>
    <w:rsid w:val="00C654BD"/>
    <w:rsid w:val="00C66595"/>
    <w:rsid w:val="00C665F4"/>
    <w:rsid w:val="00C70C01"/>
    <w:rsid w:val="00C80AB2"/>
    <w:rsid w:val="00C810DC"/>
    <w:rsid w:val="00C82E85"/>
    <w:rsid w:val="00C8302F"/>
    <w:rsid w:val="00C85E4B"/>
    <w:rsid w:val="00C93D01"/>
    <w:rsid w:val="00CA2C66"/>
    <w:rsid w:val="00CA637F"/>
    <w:rsid w:val="00CA7643"/>
    <w:rsid w:val="00CB232A"/>
    <w:rsid w:val="00CB3CBD"/>
    <w:rsid w:val="00CC1B3F"/>
    <w:rsid w:val="00CD1693"/>
    <w:rsid w:val="00CD2474"/>
    <w:rsid w:val="00CD3D29"/>
    <w:rsid w:val="00CD4EB4"/>
    <w:rsid w:val="00CD5450"/>
    <w:rsid w:val="00CD5C24"/>
    <w:rsid w:val="00CE0C20"/>
    <w:rsid w:val="00CE0F74"/>
    <w:rsid w:val="00CE51C1"/>
    <w:rsid w:val="00CE71DF"/>
    <w:rsid w:val="00CF0075"/>
    <w:rsid w:val="00CF039F"/>
    <w:rsid w:val="00D010AA"/>
    <w:rsid w:val="00D045A7"/>
    <w:rsid w:val="00D10526"/>
    <w:rsid w:val="00D12019"/>
    <w:rsid w:val="00D15CBA"/>
    <w:rsid w:val="00D21F45"/>
    <w:rsid w:val="00D220FA"/>
    <w:rsid w:val="00D23D2B"/>
    <w:rsid w:val="00D25A3F"/>
    <w:rsid w:val="00D32CF6"/>
    <w:rsid w:val="00D33339"/>
    <w:rsid w:val="00D364F5"/>
    <w:rsid w:val="00D41DDF"/>
    <w:rsid w:val="00D436C2"/>
    <w:rsid w:val="00D43E07"/>
    <w:rsid w:val="00D53D29"/>
    <w:rsid w:val="00D566A4"/>
    <w:rsid w:val="00D704E4"/>
    <w:rsid w:val="00D736C0"/>
    <w:rsid w:val="00D73DF7"/>
    <w:rsid w:val="00D8650F"/>
    <w:rsid w:val="00D90448"/>
    <w:rsid w:val="00DA6811"/>
    <w:rsid w:val="00DB4DF1"/>
    <w:rsid w:val="00DC0EC3"/>
    <w:rsid w:val="00DD3440"/>
    <w:rsid w:val="00DD70EC"/>
    <w:rsid w:val="00DE0769"/>
    <w:rsid w:val="00DE154B"/>
    <w:rsid w:val="00DE4AC7"/>
    <w:rsid w:val="00DF3BE1"/>
    <w:rsid w:val="00E016E2"/>
    <w:rsid w:val="00E11B7E"/>
    <w:rsid w:val="00E14C4F"/>
    <w:rsid w:val="00E225E0"/>
    <w:rsid w:val="00E22704"/>
    <w:rsid w:val="00E24F71"/>
    <w:rsid w:val="00E36DCA"/>
    <w:rsid w:val="00E45313"/>
    <w:rsid w:val="00E461E4"/>
    <w:rsid w:val="00E6463B"/>
    <w:rsid w:val="00E64E4A"/>
    <w:rsid w:val="00E73F93"/>
    <w:rsid w:val="00E744B6"/>
    <w:rsid w:val="00E747AC"/>
    <w:rsid w:val="00E75504"/>
    <w:rsid w:val="00E76493"/>
    <w:rsid w:val="00E8179F"/>
    <w:rsid w:val="00E8698C"/>
    <w:rsid w:val="00E927D3"/>
    <w:rsid w:val="00EB43EF"/>
    <w:rsid w:val="00EC4CFE"/>
    <w:rsid w:val="00ED0190"/>
    <w:rsid w:val="00ED5C97"/>
    <w:rsid w:val="00ED77E1"/>
    <w:rsid w:val="00ED7D40"/>
    <w:rsid w:val="00EE1428"/>
    <w:rsid w:val="00EF1BBF"/>
    <w:rsid w:val="00EF5980"/>
    <w:rsid w:val="00F06063"/>
    <w:rsid w:val="00F07A1D"/>
    <w:rsid w:val="00F2107A"/>
    <w:rsid w:val="00F26F3C"/>
    <w:rsid w:val="00F437C4"/>
    <w:rsid w:val="00F57EF5"/>
    <w:rsid w:val="00F60349"/>
    <w:rsid w:val="00F62EE1"/>
    <w:rsid w:val="00F75094"/>
    <w:rsid w:val="00F76392"/>
    <w:rsid w:val="00F76CAF"/>
    <w:rsid w:val="00F957FB"/>
    <w:rsid w:val="00FA0174"/>
    <w:rsid w:val="00FA2F3B"/>
    <w:rsid w:val="00FA3338"/>
    <w:rsid w:val="00FA528D"/>
    <w:rsid w:val="00FA7FB7"/>
    <w:rsid w:val="00FB1E18"/>
    <w:rsid w:val="00FB3276"/>
    <w:rsid w:val="00FB5AF0"/>
    <w:rsid w:val="00FB67EB"/>
    <w:rsid w:val="00FC011E"/>
    <w:rsid w:val="00FC707C"/>
    <w:rsid w:val="00FD50AD"/>
    <w:rsid w:val="00FD59C1"/>
    <w:rsid w:val="00FE238B"/>
    <w:rsid w:val="00FE2A83"/>
    <w:rsid w:val="00FE64B2"/>
    <w:rsid w:val="00FE6881"/>
    <w:rsid w:val="00FF1E6C"/>
    <w:rsid w:val="00FF2A17"/>
    <w:rsid w:val="0168D059"/>
    <w:rsid w:val="01E49516"/>
    <w:rsid w:val="02049B7E"/>
    <w:rsid w:val="035615A9"/>
    <w:rsid w:val="036BB497"/>
    <w:rsid w:val="039A133B"/>
    <w:rsid w:val="048D8D2E"/>
    <w:rsid w:val="04B4226F"/>
    <w:rsid w:val="05FFD606"/>
    <w:rsid w:val="080E5FAD"/>
    <w:rsid w:val="0A066CA8"/>
    <w:rsid w:val="0C3AE1AF"/>
    <w:rsid w:val="0CD3B325"/>
    <w:rsid w:val="0D4EB4E6"/>
    <w:rsid w:val="0D839850"/>
    <w:rsid w:val="0E8D8583"/>
    <w:rsid w:val="0F41385A"/>
    <w:rsid w:val="1010080B"/>
    <w:rsid w:val="110A4E22"/>
    <w:rsid w:val="13D7CEA7"/>
    <w:rsid w:val="1499451E"/>
    <w:rsid w:val="153A4728"/>
    <w:rsid w:val="15447295"/>
    <w:rsid w:val="18228A86"/>
    <w:rsid w:val="19CB393E"/>
    <w:rsid w:val="19E743EA"/>
    <w:rsid w:val="1C83DC7F"/>
    <w:rsid w:val="1DEB20A3"/>
    <w:rsid w:val="1FC309C3"/>
    <w:rsid w:val="213744AE"/>
    <w:rsid w:val="23FDA887"/>
    <w:rsid w:val="243BEED9"/>
    <w:rsid w:val="2A3AB47F"/>
    <w:rsid w:val="2AE905AE"/>
    <w:rsid w:val="2B5BE7B5"/>
    <w:rsid w:val="2FD41D72"/>
    <w:rsid w:val="301D88B2"/>
    <w:rsid w:val="3035B1B8"/>
    <w:rsid w:val="35D27010"/>
    <w:rsid w:val="387C4EEA"/>
    <w:rsid w:val="3ACA651B"/>
    <w:rsid w:val="3B0AA1E8"/>
    <w:rsid w:val="3C03763F"/>
    <w:rsid w:val="3E38B7F8"/>
    <w:rsid w:val="3FE84FD8"/>
    <w:rsid w:val="4067AE6C"/>
    <w:rsid w:val="40B810B1"/>
    <w:rsid w:val="4201EF3F"/>
    <w:rsid w:val="423EE752"/>
    <w:rsid w:val="45318721"/>
    <w:rsid w:val="47AD5D67"/>
    <w:rsid w:val="4B378553"/>
    <w:rsid w:val="4C0ED55C"/>
    <w:rsid w:val="4C67E2E6"/>
    <w:rsid w:val="4D021422"/>
    <w:rsid w:val="4D81F37B"/>
    <w:rsid w:val="4EE606BD"/>
    <w:rsid w:val="4F68364F"/>
    <w:rsid w:val="50F81656"/>
    <w:rsid w:val="51602403"/>
    <w:rsid w:val="52D4A90A"/>
    <w:rsid w:val="5410EC68"/>
    <w:rsid w:val="543F83F7"/>
    <w:rsid w:val="54A439A0"/>
    <w:rsid w:val="5514A9A1"/>
    <w:rsid w:val="551ADE3E"/>
    <w:rsid w:val="55D48438"/>
    <w:rsid w:val="55D93FFC"/>
    <w:rsid w:val="56DA25B0"/>
    <w:rsid w:val="5A21EEAE"/>
    <w:rsid w:val="5D991328"/>
    <w:rsid w:val="5E874548"/>
    <w:rsid w:val="5F8871B3"/>
    <w:rsid w:val="610FEBCC"/>
    <w:rsid w:val="622A9840"/>
    <w:rsid w:val="63D3E98B"/>
    <w:rsid w:val="6462C85D"/>
    <w:rsid w:val="648477AB"/>
    <w:rsid w:val="659404D0"/>
    <w:rsid w:val="66D0BC6A"/>
    <w:rsid w:val="682692E6"/>
    <w:rsid w:val="68483818"/>
    <w:rsid w:val="6C0CB173"/>
    <w:rsid w:val="6DCACF6F"/>
    <w:rsid w:val="6DF4692F"/>
    <w:rsid w:val="6EE0FF6D"/>
    <w:rsid w:val="7110D2E5"/>
    <w:rsid w:val="71185EB8"/>
    <w:rsid w:val="73A3C458"/>
    <w:rsid w:val="73AA4EAB"/>
    <w:rsid w:val="7492D2FE"/>
    <w:rsid w:val="77143749"/>
    <w:rsid w:val="797C3345"/>
    <w:rsid w:val="79A13489"/>
    <w:rsid w:val="7AA9B48E"/>
    <w:rsid w:val="7AFD90FE"/>
    <w:rsid w:val="7BCB9454"/>
    <w:rsid w:val="7D15C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4012124E"/>
  <w15:chartTrackingRefBased/>
  <w15:docId w15:val="{66E4B0AB-9E44-4BCA-8F46-AE6BB33797A6}"/>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68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881"/>
    <w:rPr>
      <w:sz w:val="20"/>
      <w:szCs w:val="20"/>
    </w:rPr>
  </w:style>
  <w:style w:type="paragraph" w:styleId="Header">
    <w:name w:val="header"/>
    <w:basedOn w:val="Normal"/>
    <w:link w:val="HeaderChar"/>
    <w:uiPriority w:val="99"/>
    <w:unhideWhenUsed/>
    <w:rsid w:val="00FE6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881"/>
  </w:style>
  <w:style w:type="paragraph" w:styleId="Footer">
    <w:name w:val="footer"/>
    <w:basedOn w:val="Normal"/>
    <w:link w:val="FooterChar"/>
    <w:uiPriority w:val="99"/>
    <w:unhideWhenUsed/>
    <w:rsid w:val="00FE6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881"/>
  </w:style>
  <w:style w:type="character" w:styleId="PageNumber">
    <w:name w:val="page number"/>
    <w:basedOn w:val="DefaultParagraphFont"/>
    <w:rsid w:val="00FE6881"/>
  </w:style>
  <w:style w:type="character" w:styleId="FootnoteReference">
    <w:name w:val="footnote reference"/>
    <w:semiHidden/>
    <w:rsid w:val="00FE6881"/>
    <w:rPr>
      <w:vertAlign w:val="superscript"/>
    </w:rPr>
  </w:style>
  <w:style w:type="character" w:styleId="CommentReference">
    <w:name w:val="annotation reference"/>
    <w:basedOn w:val="DefaultParagraphFont"/>
    <w:semiHidden/>
    <w:unhideWhenUsed/>
    <w:rsid w:val="00FE6881"/>
    <w:rPr>
      <w:sz w:val="16"/>
      <w:szCs w:val="16"/>
    </w:rPr>
  </w:style>
  <w:style w:type="paragraph" w:styleId="CommentText">
    <w:name w:val="annotation text"/>
    <w:basedOn w:val="Normal"/>
    <w:link w:val="CommentTextChar"/>
    <w:semiHidden/>
    <w:unhideWhenUsed/>
    <w:rsid w:val="00FE6881"/>
    <w:pPr>
      <w:spacing w:after="0" w:line="240" w:lineRule="auto"/>
    </w:pPr>
    <w:rPr>
      <w:rFonts w:ascii="Palatino" w:eastAsia="Times New Roman" w:hAnsi="Palatino" w:cs="Times New Roman"/>
      <w:sz w:val="20"/>
      <w:szCs w:val="20"/>
    </w:rPr>
  </w:style>
  <w:style w:type="character" w:customStyle="1" w:styleId="CommentTextChar">
    <w:name w:val="Comment Text Char"/>
    <w:basedOn w:val="DefaultParagraphFont"/>
    <w:link w:val="CommentText"/>
    <w:semiHidden/>
    <w:rsid w:val="00FE6881"/>
    <w:rPr>
      <w:rFonts w:ascii="Palatino" w:eastAsia="Times New Roman" w:hAnsi="Palatino" w:cs="Times New Roman"/>
      <w:sz w:val="20"/>
      <w:szCs w:val="20"/>
    </w:rPr>
  </w:style>
  <w:style w:type="character" w:styleId="Mention">
    <w:name w:val="Mention"/>
    <w:basedOn w:val="DefaultParagraphFont"/>
    <w:uiPriority w:val="99"/>
    <w:unhideWhenUsed/>
    <w:rsid w:val="00FE6881"/>
    <w:rPr>
      <w:color w:val="2B579A"/>
      <w:shd w:val="clear" w:color="auto" w:fill="E1DFDD"/>
    </w:rPr>
  </w:style>
  <w:style w:type="paragraph" w:styleId="ListParagraph">
    <w:name w:val="List Paragraph"/>
    <w:basedOn w:val="Normal"/>
    <w:uiPriority w:val="34"/>
    <w:qFormat/>
    <w:rsid w:val="00FE6881"/>
    <w:pPr>
      <w:ind w:left="720"/>
      <w:contextualSpacing/>
    </w:pPr>
  </w:style>
  <w:style w:type="paragraph" w:styleId="BalloonText">
    <w:name w:val="Balloon Text"/>
    <w:basedOn w:val="Normal"/>
    <w:link w:val="BalloonTextChar"/>
    <w:uiPriority w:val="99"/>
    <w:semiHidden/>
    <w:unhideWhenUsed/>
    <w:rsid w:val="00FE6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8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1E8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C1E8D"/>
    <w:rPr>
      <w:rFonts w:ascii="Palatino" w:eastAsia="Times New Roman" w:hAnsi="Palatino" w:cs="Times New Roman"/>
      <w:b/>
      <w:bCs/>
      <w:sz w:val="20"/>
      <w:szCs w:val="20"/>
    </w:rPr>
  </w:style>
  <w:style w:type="character" w:styleId="UnresolvedMention">
    <w:name w:val="Unresolved Mention"/>
    <w:basedOn w:val="DefaultParagraphFont"/>
    <w:uiPriority w:val="99"/>
    <w:unhideWhenUsed/>
    <w:rsid w:val="00587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5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B713-E0FC-42DD-A5D8-3C9753E683C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17</ap:Pages>
  <ap:Words>5076</ap:Words>
  <ap:Characters>28937</ap:Characters>
  <ap:Application>Microsoft Office Word</ap:Application>
  <ap:DocSecurity>0</ap:DocSecurity>
  <ap:Lines>241</ap:Lines>
  <ap:Paragraphs>67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33946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2020-11-13T15:07:43Z</dcterms:created>
  <dcterms:modified xsi:type="dcterms:W3CDTF">2020-11-13T15:07:43Z</dcterms:modified>
</cp:coreProperties>
</file>