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F60AB" w:rsidR="00032417" w:rsidP="00032417" w:rsidRDefault="005E629D" w14:paraId="42C4AF90" w14:textId="433FD814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rPr>
          <w:rFonts w:ascii="Book Antiqua" w:hAnsi="Book Antiqua"/>
          <w:b/>
          <w:szCs w:val="26"/>
        </w:rPr>
      </w:pPr>
      <w:r w:rsidRPr="0007271A">
        <w:rPr>
          <w:rFonts w:ascii="Book Antiqua" w:hAnsi="Book Antiqua"/>
        </w:rPr>
        <w:t>ALJ/</w:t>
      </w:r>
      <w:r w:rsidR="00181A2D">
        <w:rPr>
          <w:rFonts w:ascii="Book Antiqua" w:hAnsi="Book Antiqua"/>
        </w:rPr>
        <w:t>EC2/RL8</w:t>
      </w:r>
      <w:r w:rsidRPr="0007271A">
        <w:rPr>
          <w:rFonts w:ascii="Book Antiqua" w:hAnsi="Book Antiqua"/>
        </w:rPr>
        <w:t>/</w:t>
      </w:r>
      <w:proofErr w:type="spellStart"/>
      <w:r w:rsidRPr="0007271A">
        <w:rPr>
          <w:rFonts w:ascii="Book Antiqua" w:hAnsi="Book Antiqua"/>
        </w:rPr>
        <w:t>mln</w:t>
      </w:r>
      <w:proofErr w:type="spellEnd"/>
      <w:r w:rsidR="002F2657">
        <w:rPr>
          <w:rFonts w:ascii="Book Antiqua" w:hAnsi="Book Antiqua"/>
        </w:rPr>
        <w:t>/</w:t>
      </w:r>
      <w:proofErr w:type="spellStart"/>
      <w:r w:rsidR="002F2657">
        <w:rPr>
          <w:rFonts w:ascii="Book Antiqua" w:hAnsi="Book Antiqua"/>
        </w:rPr>
        <w:t>avs</w:t>
      </w:r>
      <w:proofErr w:type="spellEnd"/>
      <w:r w:rsidRPr="00270AB9" w:rsidR="00032417">
        <w:rPr>
          <w:rFonts w:ascii="Book Antiqua" w:hAnsi="Book Antiqua"/>
          <w:szCs w:val="26"/>
        </w:rPr>
        <w:tab/>
        <w:t xml:space="preserve"> </w:t>
      </w:r>
      <w:r w:rsidRPr="00270AB9" w:rsidR="00032417">
        <w:rPr>
          <w:rFonts w:ascii="Arial" w:hAnsi="Arial" w:cs="Arial"/>
          <w:b/>
          <w:szCs w:val="26"/>
        </w:rPr>
        <w:t>PROPOSED DECISION</w:t>
      </w:r>
      <w:r w:rsidRPr="00270AB9" w:rsidR="00032417">
        <w:rPr>
          <w:rFonts w:ascii="Book Antiqua" w:hAnsi="Book Antiqua"/>
          <w:szCs w:val="26"/>
        </w:rPr>
        <w:tab/>
      </w:r>
      <w:r w:rsidRPr="000F60AB" w:rsidR="00032417">
        <w:rPr>
          <w:rFonts w:ascii="Book Antiqua" w:hAnsi="Book Antiqua"/>
          <w:b/>
          <w:szCs w:val="26"/>
        </w:rPr>
        <w:t>Agenda ID #</w:t>
      </w:r>
      <w:r w:rsidR="002F2657">
        <w:rPr>
          <w:rFonts w:ascii="Book Antiqua" w:hAnsi="Book Antiqua"/>
          <w:b/>
          <w:szCs w:val="26"/>
        </w:rPr>
        <w:t>18954</w:t>
      </w:r>
    </w:p>
    <w:p w:rsidRPr="000F60AB" w:rsidR="00032417" w:rsidP="00032417" w:rsidRDefault="00032417" w14:paraId="0E8FF803" w14:textId="77777777">
      <w:pPr>
        <w:tabs>
          <w:tab w:val="center" w:pos="4320"/>
          <w:tab w:val="right" w:pos="9360"/>
        </w:tabs>
        <w:rPr>
          <w:rFonts w:ascii="Book Antiqua" w:hAnsi="Book Antiqua"/>
          <w:b/>
          <w:szCs w:val="26"/>
        </w:rPr>
      </w:pPr>
      <w:r w:rsidRPr="000F60AB">
        <w:rPr>
          <w:rFonts w:ascii="Book Antiqua" w:hAnsi="Book Antiqua"/>
          <w:b/>
          <w:szCs w:val="26"/>
        </w:rPr>
        <w:tab/>
      </w:r>
      <w:r w:rsidRPr="000F60AB">
        <w:rPr>
          <w:rFonts w:ascii="Book Antiqua" w:hAnsi="Book Antiqua"/>
          <w:b/>
          <w:szCs w:val="26"/>
        </w:rPr>
        <w:tab/>
      </w:r>
      <w:proofErr w:type="spellStart"/>
      <w:r w:rsidRPr="000F60AB">
        <w:rPr>
          <w:rFonts w:ascii="Book Antiqua" w:hAnsi="Book Antiqua"/>
          <w:b/>
          <w:szCs w:val="26"/>
        </w:rPr>
        <w:t>Ratesetting</w:t>
      </w:r>
      <w:proofErr w:type="spellEnd"/>
    </w:p>
    <w:p w:rsidRPr="000F60AB" w:rsidR="00032417" w:rsidP="00032417" w:rsidRDefault="00032417" w14:paraId="442A569E" w14:textId="77777777">
      <w:pPr>
        <w:tabs>
          <w:tab w:val="center" w:pos="4680"/>
          <w:tab w:val="right" w:pos="9360"/>
        </w:tabs>
        <w:rPr>
          <w:rFonts w:ascii="Book Antiqua" w:hAnsi="Book Antiqua"/>
          <w:b/>
          <w:szCs w:val="26"/>
        </w:rPr>
      </w:pPr>
    </w:p>
    <w:p w:rsidRPr="00270AB9" w:rsidR="00032417" w:rsidP="00032417" w:rsidRDefault="00032417" w14:paraId="2749C8D6" w14:textId="77777777">
      <w:pPr>
        <w:suppressAutoHyphens/>
        <w:rPr>
          <w:rFonts w:ascii="Book Antiqua" w:hAnsi="Book Antiqua"/>
          <w:szCs w:val="26"/>
        </w:rPr>
      </w:pPr>
      <w:r w:rsidRPr="00270AB9">
        <w:rPr>
          <w:rFonts w:ascii="Book Antiqua" w:hAnsi="Book Antiqua"/>
          <w:szCs w:val="26"/>
        </w:rPr>
        <w:t>Decision ____________</w:t>
      </w:r>
    </w:p>
    <w:p w:rsidR="00032417" w:rsidP="00032417" w:rsidRDefault="00032417" w14:paraId="54AA80A0" w14:textId="77777777">
      <w:pPr>
        <w:pStyle w:val="Header"/>
        <w:tabs>
          <w:tab w:val="clear" w:pos="4320"/>
          <w:tab w:val="clear" w:pos="8640"/>
          <w:tab w:val="center" w:pos="4680"/>
          <w:tab w:val="right" w:pos="9360"/>
        </w:tabs>
      </w:pPr>
    </w:p>
    <w:p w:rsidRPr="0007271A" w:rsidR="00B80F6A" w:rsidP="00290C75" w:rsidRDefault="00B80F6A" w14:paraId="3CD7CEDE" w14:textId="14728CBE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rPr>
          <w:rFonts w:ascii="Arial" w:hAnsi="Arial" w:cs="Arial"/>
          <w:b/>
          <w:bCs/>
          <w:sz w:val="24"/>
        </w:rPr>
      </w:pPr>
      <w:r w:rsidRPr="0007271A">
        <w:rPr>
          <w:rFonts w:ascii="Arial" w:hAnsi="Arial" w:cs="Arial"/>
          <w:b/>
          <w:bCs/>
          <w:sz w:val="24"/>
        </w:rPr>
        <w:t>BEFORE THE PUBLIC UTILITIES COMMISSION OF THE STATE OF CALIFORNIA</w:t>
      </w:r>
    </w:p>
    <w:p w:rsidRPr="0007271A" w:rsidR="001562CD" w:rsidP="0061321E" w:rsidRDefault="001562CD" w14:paraId="3E27E4E7" w14:textId="77777777">
      <w:pPr>
        <w:rPr>
          <w:rFonts w:ascii="Arial" w:hAnsi="Arial" w:cs="Arial"/>
          <w:b/>
          <w:bCs/>
          <w:sz w:val="24"/>
        </w:rPr>
      </w:pPr>
    </w:p>
    <w:tbl>
      <w:tblPr>
        <w:tblW w:w="9245" w:type="dxa"/>
        <w:tblLayout w:type="fixed"/>
        <w:tblLook w:val="0000" w:firstRow="0" w:lastRow="0" w:firstColumn="0" w:lastColumn="0" w:noHBand="0" w:noVBand="0"/>
      </w:tblPr>
      <w:tblGrid>
        <w:gridCol w:w="4968"/>
        <w:gridCol w:w="4277"/>
      </w:tblGrid>
      <w:tr w:rsidRPr="0007271A" w:rsidR="001562CD" w:rsidTr="002F2657" w14:paraId="7CB3B88B" w14:textId="77777777">
        <w:tc>
          <w:tcPr>
            <w:tcW w:w="4968" w:type="dxa"/>
            <w:tcBorders>
              <w:bottom w:val="single" w:color="auto" w:sz="6" w:space="0"/>
              <w:right w:val="single" w:color="auto" w:sz="6" w:space="0"/>
            </w:tcBorders>
          </w:tcPr>
          <w:p w:rsidR="00B913EB" w:rsidP="00F16711" w:rsidRDefault="00181A2D" w14:paraId="32F584A0" w14:textId="63F12014">
            <w:pPr>
              <w:tabs>
                <w:tab w:val="left" w:pos="4575"/>
              </w:tabs>
              <w:rPr>
                <w:rFonts w:ascii="Book Antiqua" w:hAnsi="Book Antiqua"/>
              </w:rPr>
            </w:pPr>
            <w:r w:rsidRPr="00181A2D">
              <w:rPr>
                <w:rFonts w:ascii="Book Antiqua" w:hAnsi="Book Antiqua"/>
              </w:rPr>
              <w:t xml:space="preserve">Application of Pacific Gas and Electric Company for Authority, Among Other Things, to Increase Rates and Charges for Electric and Gas Service Effective on January 1, 2020. </w:t>
            </w:r>
            <w:r w:rsidR="002F2657">
              <w:rPr>
                <w:rFonts w:ascii="Book Antiqua" w:hAnsi="Book Antiqua"/>
              </w:rPr>
              <w:t xml:space="preserve"> </w:t>
            </w:r>
            <w:r w:rsidRPr="00181A2D">
              <w:rPr>
                <w:rFonts w:ascii="Book Antiqua" w:hAnsi="Book Antiqua"/>
              </w:rPr>
              <w:t>(U39M</w:t>
            </w:r>
            <w:r w:rsidR="002F2657">
              <w:rPr>
                <w:rFonts w:ascii="Book Antiqua" w:hAnsi="Book Antiqua"/>
              </w:rPr>
              <w:t>.</w:t>
            </w:r>
            <w:r w:rsidRPr="00181A2D">
              <w:rPr>
                <w:rFonts w:ascii="Book Antiqua" w:hAnsi="Book Antiqua"/>
              </w:rPr>
              <w:t>)</w:t>
            </w:r>
            <w:r w:rsidRPr="00F16711" w:rsidR="00F16711">
              <w:rPr>
                <w:rFonts w:ascii="Book Antiqua" w:hAnsi="Book Antiqua"/>
              </w:rPr>
              <w:t xml:space="preserve"> </w:t>
            </w:r>
          </w:p>
          <w:p w:rsidRPr="0007271A" w:rsidR="00F16711" w:rsidP="00F16711" w:rsidRDefault="00F16711" w14:paraId="63C0C2C2" w14:textId="7777333C">
            <w:pPr>
              <w:tabs>
                <w:tab w:val="left" w:pos="4575"/>
              </w:tabs>
              <w:rPr>
                <w:rFonts w:ascii="Book Antiqua" w:hAnsi="Book Antiqua"/>
              </w:rPr>
            </w:pPr>
          </w:p>
        </w:tc>
        <w:tc>
          <w:tcPr>
            <w:tcW w:w="4277" w:type="dxa"/>
            <w:tcBorders>
              <w:left w:val="nil"/>
            </w:tcBorders>
          </w:tcPr>
          <w:p w:rsidRPr="0007271A" w:rsidR="001562CD" w:rsidP="00136B17" w:rsidRDefault="001562CD" w14:paraId="74FC7FDD" w14:textId="77777777">
            <w:pPr>
              <w:jc w:val="center"/>
              <w:rPr>
                <w:rFonts w:ascii="Book Antiqua" w:hAnsi="Book Antiqua"/>
              </w:rPr>
            </w:pPr>
          </w:p>
          <w:p w:rsidR="00181A2D" w:rsidP="00136B17" w:rsidRDefault="00181A2D" w14:paraId="71ABEC35" w14:textId="77777777">
            <w:pPr>
              <w:jc w:val="center"/>
              <w:rPr>
                <w:rFonts w:ascii="Book Antiqua" w:hAnsi="Book Antiqua"/>
              </w:rPr>
            </w:pPr>
          </w:p>
          <w:p w:rsidRPr="0007271A" w:rsidR="001562CD" w:rsidP="00136B17" w:rsidRDefault="00F16711" w14:paraId="56C4BC43" w14:textId="4FBDC78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Application 18-</w:t>
            </w:r>
            <w:r w:rsidR="00AA21AD">
              <w:rPr>
                <w:rFonts w:ascii="Book Antiqua" w:hAnsi="Book Antiqua"/>
              </w:rPr>
              <w:t>12-00</w:t>
            </w:r>
            <w:r w:rsidR="00181A2D">
              <w:rPr>
                <w:rFonts w:ascii="Book Antiqua" w:hAnsi="Book Antiqua"/>
              </w:rPr>
              <w:t>9</w:t>
            </w:r>
          </w:p>
          <w:p w:rsidRPr="0007271A" w:rsidR="001562CD" w:rsidP="00525AC2" w:rsidRDefault="001562CD" w14:paraId="54773832" w14:textId="6667A69A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B80F6A" w:rsidRDefault="00B80F6A" w14:paraId="15BB994B" w14:textId="77777777">
      <w:pPr>
        <w:suppressAutoHyphens/>
      </w:pPr>
    </w:p>
    <w:p w:rsidRPr="0007271A" w:rsidR="00B80F6A" w:rsidP="00570D04" w:rsidRDefault="00B84879" w14:paraId="3BFF2ABC" w14:textId="77777777">
      <w:pPr>
        <w:pStyle w:val="main"/>
        <w:spacing w:before="120"/>
        <w:rPr>
          <w:rFonts w:ascii="Arial" w:hAnsi="Arial" w:cs="Arial"/>
        </w:rPr>
      </w:pPr>
      <w:r w:rsidRPr="0007271A">
        <w:rPr>
          <w:rFonts w:ascii="Arial" w:hAnsi="Arial" w:cs="Arial"/>
        </w:rPr>
        <w:t>ORDER EXTENDING STATUTORY DEADLINE</w:t>
      </w:r>
    </w:p>
    <w:p w:rsidRPr="0007271A" w:rsidR="00B80F6A" w:rsidRDefault="00B80F6A" w14:paraId="47174E94" w14:textId="77777777">
      <w:pPr>
        <w:suppressAutoHyphens/>
        <w:rPr>
          <w:rFonts w:ascii="Arial" w:hAnsi="Arial" w:cs="Arial"/>
        </w:rPr>
      </w:pPr>
    </w:p>
    <w:p w:rsidRPr="0007271A" w:rsidR="00A80FB0" w:rsidP="00A80FB0" w:rsidRDefault="00A80FB0" w14:paraId="642E6D43" w14:textId="77777777">
      <w:pPr>
        <w:keepNext/>
        <w:overflowPunct w:val="0"/>
        <w:autoSpaceDE w:val="0"/>
        <w:autoSpaceDN w:val="0"/>
        <w:adjustRightInd w:val="0"/>
        <w:spacing w:before="120" w:after="120"/>
        <w:textAlignment w:val="baseline"/>
        <w:outlineLvl w:val="0"/>
        <w:rPr>
          <w:rFonts w:ascii="Arial" w:hAnsi="Arial" w:cs="Arial"/>
          <w:b/>
        </w:rPr>
      </w:pPr>
      <w:bookmarkStart w:name="_Toc370798910" w:id="0"/>
      <w:r w:rsidRPr="0007271A">
        <w:rPr>
          <w:rFonts w:ascii="Arial" w:hAnsi="Arial" w:cs="Arial"/>
          <w:b/>
        </w:rPr>
        <w:t>Summary</w:t>
      </w:r>
    </w:p>
    <w:p w:rsidRPr="0007271A" w:rsidR="00A80FB0" w:rsidP="00A80FB0" w:rsidRDefault="00A80FB0" w14:paraId="642299F3" w14:textId="11B24B7B">
      <w:pPr>
        <w:overflowPunct w:val="0"/>
        <w:autoSpaceDE w:val="0"/>
        <w:autoSpaceDN w:val="0"/>
        <w:adjustRightInd w:val="0"/>
        <w:spacing w:line="360" w:lineRule="auto"/>
        <w:ind w:firstLine="720"/>
        <w:textAlignment w:val="baseline"/>
        <w:rPr>
          <w:rFonts w:ascii="Book Antiqua" w:hAnsi="Book Antiqua"/>
        </w:rPr>
      </w:pPr>
      <w:r w:rsidRPr="0007271A">
        <w:rPr>
          <w:rFonts w:ascii="Book Antiqua" w:hAnsi="Book Antiqua"/>
        </w:rPr>
        <w:t xml:space="preserve">This decision extends the statutory deadline in this proceeding to </w:t>
      </w:r>
      <w:r w:rsidR="0054494E">
        <w:rPr>
          <w:rFonts w:ascii="Book Antiqua" w:hAnsi="Book Antiqua"/>
        </w:rPr>
        <w:br/>
        <w:t>February</w:t>
      </w:r>
      <w:r w:rsidR="00181A2D">
        <w:rPr>
          <w:rFonts w:ascii="Book Antiqua" w:hAnsi="Book Antiqua"/>
        </w:rPr>
        <w:t xml:space="preserve"> 13</w:t>
      </w:r>
      <w:r w:rsidRPr="0007271A" w:rsidR="009C2289">
        <w:rPr>
          <w:rFonts w:ascii="Book Antiqua" w:hAnsi="Book Antiqua"/>
        </w:rPr>
        <w:t>,</w:t>
      </w:r>
      <w:r w:rsidR="00E26940">
        <w:rPr>
          <w:rFonts w:ascii="Book Antiqua" w:hAnsi="Book Antiqua"/>
        </w:rPr>
        <w:t xml:space="preserve"> </w:t>
      </w:r>
      <w:r w:rsidRPr="0007271A" w:rsidR="009C2289">
        <w:rPr>
          <w:rFonts w:ascii="Book Antiqua" w:hAnsi="Book Antiqua"/>
        </w:rPr>
        <w:t>202</w:t>
      </w:r>
      <w:r w:rsidR="0054494E">
        <w:rPr>
          <w:rFonts w:ascii="Book Antiqua" w:hAnsi="Book Antiqua"/>
        </w:rPr>
        <w:t>1</w:t>
      </w:r>
      <w:r w:rsidRPr="0007271A">
        <w:rPr>
          <w:rFonts w:ascii="Book Antiqua" w:hAnsi="Book Antiqua"/>
        </w:rPr>
        <w:t>.</w:t>
      </w:r>
    </w:p>
    <w:p w:rsidRPr="0007271A" w:rsidR="00A80FB0" w:rsidP="00DF63E0" w:rsidRDefault="00A80FB0" w14:paraId="1E78EDB9" w14:textId="7777777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120"/>
        <w:ind w:left="360"/>
        <w:textAlignment w:val="baseline"/>
        <w:outlineLvl w:val="0"/>
        <w:rPr>
          <w:rFonts w:ascii="Arial" w:hAnsi="Arial" w:cs="Arial"/>
          <w:b/>
        </w:rPr>
      </w:pPr>
      <w:r w:rsidRPr="0007271A">
        <w:rPr>
          <w:rFonts w:ascii="Arial" w:hAnsi="Arial" w:cs="Arial"/>
          <w:b/>
        </w:rPr>
        <w:t>Background</w:t>
      </w:r>
      <w:bookmarkEnd w:id="0"/>
    </w:p>
    <w:p w:rsidRPr="0001254D" w:rsidR="0001254D" w:rsidP="002423B9" w:rsidRDefault="0001254D" w14:paraId="4D23028E" w14:textId="1B297F05">
      <w:pPr>
        <w:spacing w:line="360" w:lineRule="auto"/>
        <w:ind w:firstLine="720"/>
        <w:rPr>
          <w:rFonts w:ascii="Book Antiqua" w:hAnsi="Book Antiqua"/>
          <w:szCs w:val="26"/>
        </w:rPr>
      </w:pPr>
      <w:r w:rsidRPr="0001254D">
        <w:rPr>
          <w:rFonts w:ascii="Book Antiqua" w:hAnsi="Book Antiqua"/>
          <w:szCs w:val="26"/>
        </w:rPr>
        <w:t xml:space="preserve">Public Utilities Code (Pub. Util. Code) Section 1701.5(a) provides that the Commission shall resolve the issues raised in the scoping memo of a </w:t>
      </w:r>
      <w:proofErr w:type="spellStart"/>
      <w:r w:rsidRPr="0001254D">
        <w:rPr>
          <w:rFonts w:ascii="Book Antiqua" w:hAnsi="Book Antiqua"/>
          <w:szCs w:val="26"/>
        </w:rPr>
        <w:t>ratesetting</w:t>
      </w:r>
      <w:proofErr w:type="spellEnd"/>
      <w:r w:rsidRPr="0001254D">
        <w:rPr>
          <w:rFonts w:ascii="Book Antiqua" w:hAnsi="Book Antiqua"/>
          <w:szCs w:val="26"/>
        </w:rPr>
        <w:t xml:space="preserve"> proceeding within 18 months of the date the proceeding is initiated, unless the Commission makes a written determination that the deadline cannot be met, and issues an order extending that deadline.  In this proceeding, the 18-month statutory deadline for resolving this application </w:t>
      </w:r>
      <w:r w:rsidR="00150C04">
        <w:rPr>
          <w:rFonts w:ascii="Book Antiqua" w:hAnsi="Book Antiqua"/>
          <w:szCs w:val="26"/>
        </w:rPr>
        <w:t>was</w:t>
      </w:r>
      <w:r w:rsidRPr="0001254D">
        <w:rPr>
          <w:rFonts w:ascii="Book Antiqua" w:hAnsi="Book Antiqua"/>
          <w:szCs w:val="26"/>
        </w:rPr>
        <w:t xml:space="preserve"> </w:t>
      </w:r>
      <w:r w:rsidR="002423B9">
        <w:rPr>
          <w:rFonts w:ascii="Book Antiqua" w:hAnsi="Book Antiqua"/>
          <w:szCs w:val="26"/>
        </w:rPr>
        <w:t xml:space="preserve">June </w:t>
      </w:r>
      <w:r w:rsidR="00181A2D">
        <w:rPr>
          <w:rFonts w:ascii="Book Antiqua" w:hAnsi="Book Antiqua"/>
          <w:szCs w:val="26"/>
        </w:rPr>
        <w:t>1</w:t>
      </w:r>
      <w:r w:rsidR="002423B9">
        <w:rPr>
          <w:rFonts w:ascii="Book Antiqua" w:hAnsi="Book Antiqua"/>
          <w:szCs w:val="26"/>
        </w:rPr>
        <w:t>3, 2020</w:t>
      </w:r>
      <w:r w:rsidRPr="0001254D">
        <w:rPr>
          <w:rFonts w:ascii="Book Antiqua" w:hAnsi="Book Antiqua"/>
          <w:szCs w:val="26"/>
        </w:rPr>
        <w:t>.</w:t>
      </w:r>
      <w:r w:rsidR="00150C04">
        <w:rPr>
          <w:rFonts w:ascii="Book Antiqua" w:hAnsi="Book Antiqua"/>
          <w:szCs w:val="26"/>
        </w:rPr>
        <w:t xml:space="preserve">  </w:t>
      </w:r>
      <w:r w:rsidRPr="00B63DDF" w:rsidR="00150C04">
        <w:rPr>
          <w:rFonts w:ascii="Book Antiqua" w:hAnsi="Book Antiqua"/>
          <w:szCs w:val="26"/>
        </w:rPr>
        <w:t>On June</w:t>
      </w:r>
      <w:r w:rsidR="002F2657">
        <w:rPr>
          <w:rFonts w:ascii="Book Antiqua" w:hAnsi="Book Antiqua"/>
          <w:szCs w:val="26"/>
        </w:rPr>
        <w:t> </w:t>
      </w:r>
      <w:r w:rsidRPr="00B63DDF" w:rsidR="00150C04">
        <w:rPr>
          <w:rFonts w:ascii="Book Antiqua" w:hAnsi="Book Antiqua"/>
          <w:szCs w:val="26"/>
        </w:rPr>
        <w:t>11,</w:t>
      </w:r>
      <w:r w:rsidR="002F2657">
        <w:rPr>
          <w:rFonts w:ascii="Book Antiqua" w:hAnsi="Book Antiqua"/>
          <w:szCs w:val="26"/>
        </w:rPr>
        <w:t> </w:t>
      </w:r>
      <w:r w:rsidRPr="00B63DDF" w:rsidR="00150C04">
        <w:rPr>
          <w:rFonts w:ascii="Book Antiqua" w:hAnsi="Book Antiqua"/>
          <w:szCs w:val="26"/>
        </w:rPr>
        <w:t xml:space="preserve">2020, the Commission </w:t>
      </w:r>
      <w:r w:rsidRPr="00B63DDF" w:rsidR="009636F0">
        <w:rPr>
          <w:rFonts w:ascii="Book Antiqua" w:hAnsi="Book Antiqua"/>
          <w:szCs w:val="26"/>
        </w:rPr>
        <w:t>issued</w:t>
      </w:r>
      <w:r w:rsidRPr="00B63DDF" w:rsidR="00150C04">
        <w:rPr>
          <w:rFonts w:ascii="Book Antiqua" w:hAnsi="Book Antiqua"/>
          <w:szCs w:val="26"/>
        </w:rPr>
        <w:t xml:space="preserve"> Decision (D.) 20-06-019 </w:t>
      </w:r>
      <w:r w:rsidRPr="00B63DDF" w:rsidR="009636F0">
        <w:rPr>
          <w:rFonts w:ascii="Book Antiqua" w:hAnsi="Book Antiqua"/>
          <w:szCs w:val="26"/>
        </w:rPr>
        <w:t xml:space="preserve">which </w:t>
      </w:r>
      <w:r w:rsidRPr="00B63DDF" w:rsidR="00150C04">
        <w:rPr>
          <w:rFonts w:ascii="Book Antiqua" w:hAnsi="Book Antiqua"/>
          <w:szCs w:val="26"/>
        </w:rPr>
        <w:t>extended the statutory deadline of this proceeding to December 13, 2020.</w:t>
      </w:r>
    </w:p>
    <w:p w:rsidR="00C20B54" w:rsidP="00243034" w:rsidRDefault="0001254D" w14:paraId="21C2A6AE" w14:textId="6E284727">
      <w:pPr>
        <w:pStyle w:val="standard"/>
        <w:rPr>
          <w:rFonts w:ascii="Book Antiqua" w:hAnsi="Book Antiqua"/>
          <w:szCs w:val="26"/>
        </w:rPr>
      </w:pPr>
      <w:r w:rsidRPr="0001254D">
        <w:rPr>
          <w:rFonts w:ascii="Book Antiqua" w:hAnsi="Book Antiqua"/>
          <w:szCs w:val="26"/>
        </w:rPr>
        <w:t xml:space="preserve">On </w:t>
      </w:r>
      <w:r w:rsidR="00783044">
        <w:rPr>
          <w:rFonts w:ascii="Book Antiqua" w:hAnsi="Book Antiqua"/>
          <w:szCs w:val="26"/>
        </w:rPr>
        <w:t xml:space="preserve">December </w:t>
      </w:r>
      <w:r w:rsidR="00E729F0">
        <w:rPr>
          <w:rFonts w:ascii="Book Antiqua" w:hAnsi="Book Antiqua"/>
          <w:szCs w:val="26"/>
        </w:rPr>
        <w:t>1</w:t>
      </w:r>
      <w:r w:rsidR="00783044">
        <w:rPr>
          <w:rFonts w:ascii="Book Antiqua" w:hAnsi="Book Antiqua"/>
          <w:szCs w:val="26"/>
        </w:rPr>
        <w:t>3</w:t>
      </w:r>
      <w:r w:rsidRPr="0001254D">
        <w:rPr>
          <w:rFonts w:ascii="Book Antiqua" w:hAnsi="Book Antiqua"/>
          <w:szCs w:val="26"/>
        </w:rPr>
        <w:t xml:space="preserve">, 2018, </w:t>
      </w:r>
      <w:r w:rsidRPr="00181A2D" w:rsidR="00E729F0">
        <w:rPr>
          <w:rFonts w:ascii="Book Antiqua" w:hAnsi="Book Antiqua"/>
        </w:rPr>
        <w:t>Pacific Gas and Electric Company</w:t>
      </w:r>
      <w:r w:rsidR="00E729F0">
        <w:rPr>
          <w:rFonts w:ascii="Book Antiqua" w:hAnsi="Book Antiqua"/>
        </w:rPr>
        <w:t xml:space="preserve"> </w:t>
      </w:r>
      <w:r w:rsidR="0034677F">
        <w:rPr>
          <w:rFonts w:ascii="Book Antiqua" w:hAnsi="Book Antiqua"/>
        </w:rPr>
        <w:t>(</w:t>
      </w:r>
      <w:r w:rsidR="00E729F0">
        <w:rPr>
          <w:rFonts w:ascii="Book Antiqua" w:hAnsi="Book Antiqua"/>
        </w:rPr>
        <w:t>PG&amp;E</w:t>
      </w:r>
      <w:r w:rsidR="0034677F">
        <w:rPr>
          <w:rFonts w:ascii="Book Antiqua" w:hAnsi="Book Antiqua"/>
        </w:rPr>
        <w:t xml:space="preserve">) </w:t>
      </w:r>
      <w:r w:rsidRPr="0001254D">
        <w:rPr>
          <w:rFonts w:ascii="Book Antiqua" w:hAnsi="Book Antiqua"/>
          <w:szCs w:val="26"/>
        </w:rPr>
        <w:t xml:space="preserve">filed this application </w:t>
      </w:r>
      <w:r w:rsidR="001875DE">
        <w:rPr>
          <w:rFonts w:ascii="Book Antiqua" w:hAnsi="Book Antiqua"/>
          <w:szCs w:val="26"/>
        </w:rPr>
        <w:t>to increase its gas, electric distribution, and electric generation base revenue requirement by $1.058 billion in 2020.</w:t>
      </w:r>
      <w:r w:rsidRPr="0001254D">
        <w:rPr>
          <w:rFonts w:ascii="Book Antiqua" w:hAnsi="Book Antiqua"/>
          <w:szCs w:val="26"/>
        </w:rPr>
        <w:t xml:space="preserve"> </w:t>
      </w:r>
      <w:r w:rsidR="00DB039E">
        <w:rPr>
          <w:rFonts w:ascii="Book Antiqua" w:hAnsi="Book Antiqua"/>
          <w:szCs w:val="26"/>
        </w:rPr>
        <w:t xml:space="preserve"> </w:t>
      </w:r>
      <w:r w:rsidR="00C20B54">
        <w:rPr>
          <w:rFonts w:ascii="Book Antiqua" w:hAnsi="Book Antiqua"/>
          <w:szCs w:val="26"/>
        </w:rPr>
        <w:t xml:space="preserve">Protests </w:t>
      </w:r>
      <w:r w:rsidR="001875DE">
        <w:rPr>
          <w:rFonts w:ascii="Book Antiqua" w:hAnsi="Book Antiqua"/>
          <w:szCs w:val="26"/>
        </w:rPr>
        <w:t xml:space="preserve">and responses to the </w:t>
      </w:r>
      <w:r w:rsidR="001875DE">
        <w:rPr>
          <w:rFonts w:ascii="Book Antiqua" w:hAnsi="Book Antiqua"/>
          <w:szCs w:val="26"/>
        </w:rPr>
        <w:lastRenderedPageBreak/>
        <w:t xml:space="preserve">application </w:t>
      </w:r>
      <w:r w:rsidR="00C20B54">
        <w:rPr>
          <w:rFonts w:ascii="Book Antiqua" w:hAnsi="Book Antiqua"/>
          <w:szCs w:val="26"/>
        </w:rPr>
        <w:t xml:space="preserve">were filed on </w:t>
      </w:r>
      <w:r w:rsidR="001875DE">
        <w:rPr>
          <w:rFonts w:ascii="Book Antiqua" w:hAnsi="Book Antiqua"/>
          <w:szCs w:val="26"/>
        </w:rPr>
        <w:t>January 11, 2019 and January 17, 20</w:t>
      </w:r>
      <w:r w:rsidR="00DB039E">
        <w:rPr>
          <w:rFonts w:ascii="Book Antiqua" w:hAnsi="Book Antiqua"/>
          <w:szCs w:val="26"/>
        </w:rPr>
        <w:t xml:space="preserve">19.  PG&amp;E filed its reply on January 28, 2019. </w:t>
      </w:r>
      <w:r w:rsidR="001875DE">
        <w:rPr>
          <w:rFonts w:ascii="Book Antiqua" w:hAnsi="Book Antiqua"/>
          <w:szCs w:val="26"/>
        </w:rPr>
        <w:t xml:space="preserve"> </w:t>
      </w:r>
    </w:p>
    <w:p w:rsidR="00243034" w:rsidP="00243034" w:rsidRDefault="00C913ED" w14:paraId="51761C27" w14:textId="468F8DF1">
      <w:pPr>
        <w:pStyle w:val="standard"/>
        <w:rPr>
          <w:rFonts w:ascii="Book Antiqua" w:hAnsi="Book Antiqua"/>
        </w:rPr>
      </w:pPr>
      <w:r w:rsidRPr="00106905">
        <w:rPr>
          <w:rFonts w:ascii="Book Antiqua" w:hAnsi="Book Antiqua"/>
        </w:rPr>
        <w:t xml:space="preserve">A </w:t>
      </w:r>
      <w:r w:rsidR="007005FC">
        <w:rPr>
          <w:rFonts w:ascii="Book Antiqua" w:hAnsi="Book Antiqua"/>
        </w:rPr>
        <w:t>p</w:t>
      </w:r>
      <w:r w:rsidRPr="00106905">
        <w:rPr>
          <w:rFonts w:ascii="Book Antiqua" w:hAnsi="Book Antiqua"/>
        </w:rPr>
        <w:t xml:space="preserve">rehearing </w:t>
      </w:r>
      <w:r w:rsidR="007005FC">
        <w:rPr>
          <w:rFonts w:ascii="Book Antiqua" w:hAnsi="Book Antiqua"/>
        </w:rPr>
        <w:t>c</w:t>
      </w:r>
      <w:r w:rsidRPr="00106905">
        <w:rPr>
          <w:rFonts w:ascii="Book Antiqua" w:hAnsi="Book Antiqua"/>
        </w:rPr>
        <w:t xml:space="preserve">onference (PHC) was held on </w:t>
      </w:r>
      <w:r w:rsidR="00832CD0">
        <w:rPr>
          <w:rFonts w:ascii="Book Antiqua" w:hAnsi="Book Antiqua"/>
        </w:rPr>
        <w:t xml:space="preserve">February </w:t>
      </w:r>
      <w:r w:rsidR="00DB039E">
        <w:rPr>
          <w:rFonts w:ascii="Book Antiqua" w:hAnsi="Book Antiqua"/>
        </w:rPr>
        <w:t>11, 2019</w:t>
      </w:r>
      <w:r w:rsidRPr="00106905">
        <w:rPr>
          <w:rFonts w:ascii="Book Antiqua" w:hAnsi="Book Antiqua"/>
        </w:rPr>
        <w:t>, to discuss the issues of law and fact and to determine the need for hearing and schedule for resolving the matter.  The assigned Commissioner issue</w:t>
      </w:r>
      <w:r w:rsidR="004304BB">
        <w:rPr>
          <w:rFonts w:ascii="Book Antiqua" w:hAnsi="Book Antiqua"/>
        </w:rPr>
        <w:t>d</w:t>
      </w:r>
      <w:r w:rsidRPr="00106905">
        <w:rPr>
          <w:rFonts w:ascii="Book Antiqua" w:hAnsi="Book Antiqua"/>
        </w:rPr>
        <w:t xml:space="preserve"> the Scoping Memo and Ruling on </w:t>
      </w:r>
      <w:r w:rsidR="002A6FB5">
        <w:rPr>
          <w:rFonts w:ascii="Book Antiqua" w:hAnsi="Book Antiqua"/>
        </w:rPr>
        <w:t xml:space="preserve">March </w:t>
      </w:r>
      <w:r w:rsidR="001D7547">
        <w:rPr>
          <w:rFonts w:ascii="Book Antiqua" w:hAnsi="Book Antiqua"/>
        </w:rPr>
        <w:t>8</w:t>
      </w:r>
      <w:r w:rsidRPr="00106905">
        <w:rPr>
          <w:rFonts w:ascii="Book Antiqua" w:hAnsi="Book Antiqua"/>
        </w:rPr>
        <w:t>, 201</w:t>
      </w:r>
      <w:r w:rsidR="002A6FB5">
        <w:rPr>
          <w:rFonts w:ascii="Book Antiqua" w:hAnsi="Book Antiqua"/>
        </w:rPr>
        <w:t>9</w:t>
      </w:r>
      <w:r w:rsidRPr="00106905">
        <w:rPr>
          <w:rFonts w:ascii="Book Antiqua" w:hAnsi="Book Antiqua"/>
        </w:rPr>
        <w:t>.</w:t>
      </w:r>
    </w:p>
    <w:p w:rsidR="001D7547" w:rsidP="0034677F" w:rsidRDefault="001D7547" w14:paraId="51E8AF42" w14:textId="54688FC1">
      <w:pPr>
        <w:pStyle w:val="standard"/>
        <w:rPr>
          <w:rFonts w:ascii="Book Antiqua" w:hAnsi="Book Antiqua"/>
        </w:rPr>
      </w:pPr>
      <w:r w:rsidRPr="001D7547">
        <w:rPr>
          <w:rFonts w:ascii="Book Antiqua" w:hAnsi="Book Antiqua"/>
        </w:rPr>
        <w:t xml:space="preserve">Public Participation Hearings were held </w:t>
      </w:r>
      <w:r w:rsidRPr="00BE78CF" w:rsidR="00BE78CF">
        <w:rPr>
          <w:rFonts w:ascii="Book Antiqua" w:hAnsi="Book Antiqua"/>
        </w:rPr>
        <w:t>on several days</w:t>
      </w:r>
      <w:r w:rsidR="00BE78CF">
        <w:rPr>
          <w:rFonts w:ascii="Book Antiqua" w:hAnsi="Book Antiqua"/>
        </w:rPr>
        <w:t xml:space="preserve"> in</w:t>
      </w:r>
      <w:r w:rsidRPr="00BE78CF" w:rsidR="00BE78CF">
        <w:rPr>
          <w:rFonts w:ascii="Book Antiqua" w:hAnsi="Book Antiqua"/>
        </w:rPr>
        <w:t xml:space="preserve"> </w:t>
      </w:r>
      <w:r w:rsidRPr="001D7547">
        <w:rPr>
          <w:rFonts w:ascii="Book Antiqua" w:hAnsi="Book Antiqua"/>
        </w:rPr>
        <w:t>July</w:t>
      </w:r>
      <w:r w:rsidR="00832CD0">
        <w:rPr>
          <w:rFonts w:ascii="Book Antiqua" w:hAnsi="Book Antiqua"/>
        </w:rPr>
        <w:t xml:space="preserve"> and August </w:t>
      </w:r>
      <w:r w:rsidRPr="001D7547">
        <w:rPr>
          <w:rFonts w:ascii="Book Antiqua" w:hAnsi="Book Antiqua"/>
        </w:rPr>
        <w:t>20</w:t>
      </w:r>
      <w:r w:rsidR="00832CD0">
        <w:rPr>
          <w:rFonts w:ascii="Book Antiqua" w:hAnsi="Book Antiqua"/>
        </w:rPr>
        <w:t>19</w:t>
      </w:r>
      <w:r w:rsidR="00BE78CF">
        <w:rPr>
          <w:rFonts w:ascii="Book Antiqua" w:hAnsi="Book Antiqua"/>
        </w:rPr>
        <w:t xml:space="preserve">. </w:t>
      </w:r>
      <w:r w:rsidRPr="001D7547">
        <w:rPr>
          <w:rFonts w:ascii="Book Antiqua" w:hAnsi="Book Antiqua"/>
        </w:rPr>
        <w:t xml:space="preserve"> Evidentiary Hearings were held </w:t>
      </w:r>
      <w:r w:rsidRPr="00BE78CF" w:rsidR="00BE78CF">
        <w:rPr>
          <w:rFonts w:ascii="Book Antiqua" w:hAnsi="Book Antiqua"/>
        </w:rPr>
        <w:t xml:space="preserve">on several days </w:t>
      </w:r>
      <w:r w:rsidR="00EC75CB">
        <w:rPr>
          <w:rFonts w:ascii="Book Antiqua" w:hAnsi="Book Antiqua"/>
        </w:rPr>
        <w:t>in</w:t>
      </w:r>
      <w:r w:rsidRPr="001D7547">
        <w:rPr>
          <w:rFonts w:ascii="Book Antiqua" w:hAnsi="Book Antiqua"/>
        </w:rPr>
        <w:t xml:space="preserve"> </w:t>
      </w:r>
      <w:r w:rsidR="00832CD0">
        <w:rPr>
          <w:rFonts w:ascii="Book Antiqua" w:hAnsi="Book Antiqua"/>
        </w:rPr>
        <w:t>September</w:t>
      </w:r>
      <w:r w:rsidR="00EC75CB">
        <w:rPr>
          <w:rFonts w:ascii="Book Antiqua" w:hAnsi="Book Antiqua"/>
        </w:rPr>
        <w:t xml:space="preserve"> and</w:t>
      </w:r>
      <w:r w:rsidR="00832CD0">
        <w:rPr>
          <w:rFonts w:ascii="Book Antiqua" w:hAnsi="Book Antiqua"/>
        </w:rPr>
        <w:t xml:space="preserve"> October</w:t>
      </w:r>
      <w:r w:rsidR="00EC75CB">
        <w:rPr>
          <w:rFonts w:ascii="Book Antiqua" w:hAnsi="Book Antiqua"/>
        </w:rPr>
        <w:t xml:space="preserve"> 2019</w:t>
      </w:r>
      <w:r w:rsidR="00A069CD">
        <w:rPr>
          <w:rFonts w:ascii="Book Antiqua" w:hAnsi="Book Antiqua"/>
        </w:rPr>
        <w:t>,</w:t>
      </w:r>
      <w:r w:rsidR="00832CD0">
        <w:rPr>
          <w:rFonts w:ascii="Book Antiqua" w:hAnsi="Book Antiqua"/>
        </w:rPr>
        <w:t xml:space="preserve"> </w:t>
      </w:r>
      <w:r w:rsidR="00BE78CF">
        <w:rPr>
          <w:rFonts w:ascii="Book Antiqua" w:hAnsi="Book Antiqua"/>
        </w:rPr>
        <w:t xml:space="preserve">and on November 6, </w:t>
      </w:r>
      <w:r w:rsidR="00832CD0">
        <w:rPr>
          <w:rFonts w:ascii="Book Antiqua" w:hAnsi="Book Antiqua"/>
        </w:rPr>
        <w:t>2019</w:t>
      </w:r>
      <w:r w:rsidRPr="001D7547">
        <w:rPr>
          <w:rFonts w:ascii="Book Antiqua" w:hAnsi="Book Antiqua"/>
        </w:rPr>
        <w:t xml:space="preserve">.  Briefs were filed on January </w:t>
      </w:r>
      <w:r w:rsidR="0076681D">
        <w:rPr>
          <w:rFonts w:ascii="Book Antiqua" w:hAnsi="Book Antiqua"/>
        </w:rPr>
        <w:t>6</w:t>
      </w:r>
      <w:r w:rsidRPr="001D7547">
        <w:rPr>
          <w:rFonts w:ascii="Book Antiqua" w:hAnsi="Book Antiqua"/>
        </w:rPr>
        <w:t xml:space="preserve">, 2020 and reply briefs were filed on </w:t>
      </w:r>
      <w:r w:rsidR="0076681D">
        <w:rPr>
          <w:rFonts w:ascii="Book Antiqua" w:hAnsi="Book Antiqua"/>
        </w:rPr>
        <w:t>January 27</w:t>
      </w:r>
      <w:r w:rsidRPr="001D7547">
        <w:rPr>
          <w:rFonts w:ascii="Book Antiqua" w:hAnsi="Book Antiqua"/>
        </w:rPr>
        <w:t xml:space="preserve">, 2020.  </w:t>
      </w:r>
    </w:p>
    <w:p w:rsidR="002C5F5D" w:rsidP="002C5F5D" w:rsidRDefault="0034677F" w14:paraId="4804E6F6" w14:textId="70245DE5">
      <w:pPr>
        <w:pStyle w:val="standard"/>
        <w:rPr>
          <w:rFonts w:ascii="Book Antiqua" w:hAnsi="Book Antiqua"/>
          <w:szCs w:val="26"/>
        </w:rPr>
      </w:pPr>
      <w:r>
        <w:rPr>
          <w:rFonts w:ascii="Book Antiqua" w:hAnsi="Book Antiqua"/>
        </w:rPr>
        <w:t xml:space="preserve">On </w:t>
      </w:r>
      <w:r w:rsidR="002C5F5D">
        <w:rPr>
          <w:rFonts w:ascii="Book Antiqua" w:hAnsi="Book Antiqua"/>
        </w:rPr>
        <w:t>November 7</w:t>
      </w:r>
      <w:r>
        <w:rPr>
          <w:rFonts w:ascii="Book Antiqua" w:hAnsi="Book Antiqua"/>
        </w:rPr>
        <w:t>, 2019, the Commission issued Decision (D.) 19-</w:t>
      </w:r>
      <w:r w:rsidR="002C5F5D">
        <w:rPr>
          <w:rFonts w:ascii="Book Antiqua" w:hAnsi="Book Antiqua"/>
        </w:rPr>
        <w:t xml:space="preserve">11-004 granting </w:t>
      </w:r>
      <w:r w:rsidRPr="002C5F5D" w:rsidR="002C5F5D">
        <w:rPr>
          <w:rFonts w:ascii="Book Antiqua" w:hAnsi="Book Antiqua"/>
          <w:szCs w:val="26"/>
        </w:rPr>
        <w:t>PG&amp;E’s motion to set the Test Year 2020 General Rate Case (GRC) revenue requirement</w:t>
      </w:r>
      <w:r w:rsidR="002C5F5D">
        <w:rPr>
          <w:rFonts w:ascii="Book Antiqua" w:hAnsi="Book Antiqua"/>
          <w:szCs w:val="26"/>
        </w:rPr>
        <w:t xml:space="preserve"> and </w:t>
      </w:r>
      <w:r w:rsidRPr="002C5F5D" w:rsidR="002C5F5D">
        <w:rPr>
          <w:rFonts w:ascii="Book Antiqua" w:hAnsi="Book Antiqua"/>
          <w:szCs w:val="26"/>
        </w:rPr>
        <w:t>direct</w:t>
      </w:r>
      <w:r w:rsidR="002C5F5D">
        <w:rPr>
          <w:rFonts w:ascii="Book Antiqua" w:hAnsi="Book Antiqua"/>
          <w:szCs w:val="26"/>
        </w:rPr>
        <w:t xml:space="preserve">ing </w:t>
      </w:r>
      <w:r w:rsidRPr="002C5F5D" w:rsidR="002C5F5D">
        <w:rPr>
          <w:rFonts w:ascii="Book Antiqua" w:hAnsi="Book Antiqua"/>
          <w:szCs w:val="26"/>
        </w:rPr>
        <w:t>PG&amp;E to establish a GRC memorandum account to record the difference in revenue requirement that is effective on January 1, 2020, and the final revenue requirement adopted in the GRC decision.</w:t>
      </w:r>
    </w:p>
    <w:p w:rsidR="00150C04" w:rsidP="0034677F" w:rsidRDefault="00D01DE3" w14:paraId="79A2DF2B" w14:textId="6250365F">
      <w:pPr>
        <w:pStyle w:val="standard"/>
        <w:rPr>
          <w:rFonts w:ascii="Book Antiqua" w:hAnsi="Book Antiqua"/>
        </w:rPr>
      </w:pPr>
      <w:r>
        <w:rPr>
          <w:rFonts w:ascii="Book Antiqua" w:hAnsi="Book Antiqua"/>
          <w:szCs w:val="26"/>
        </w:rPr>
        <w:t xml:space="preserve">On January 14, 2020, </w:t>
      </w:r>
      <w:r w:rsidR="004D2129">
        <w:rPr>
          <w:rFonts w:ascii="Book Antiqua" w:hAnsi="Book Antiqua"/>
          <w:szCs w:val="26"/>
        </w:rPr>
        <w:t>a Joint Motion for Approval of a Settlement Agreement was filed by the Public Advocates Office</w:t>
      </w:r>
      <w:r w:rsidR="00700D08">
        <w:rPr>
          <w:rFonts w:ascii="Book Antiqua" w:hAnsi="Book Antiqua"/>
          <w:szCs w:val="26"/>
        </w:rPr>
        <w:t xml:space="preserve"> of the California Public Utilities Commission</w:t>
      </w:r>
      <w:r w:rsidR="004D2129">
        <w:rPr>
          <w:rFonts w:ascii="Book Antiqua" w:hAnsi="Book Antiqua"/>
          <w:szCs w:val="26"/>
        </w:rPr>
        <w:t>, The Utility Reform Network, Center for Acces</w:t>
      </w:r>
      <w:r w:rsidR="00390F3E">
        <w:rPr>
          <w:rFonts w:ascii="Book Antiqua" w:hAnsi="Book Antiqua"/>
          <w:szCs w:val="26"/>
        </w:rPr>
        <w:t>s</w:t>
      </w:r>
      <w:r w:rsidR="004D2129">
        <w:rPr>
          <w:rFonts w:ascii="Book Antiqua" w:hAnsi="Book Antiqua"/>
          <w:szCs w:val="26"/>
        </w:rPr>
        <w:t>ib</w:t>
      </w:r>
      <w:r w:rsidR="00390F3E">
        <w:rPr>
          <w:rFonts w:ascii="Book Antiqua" w:hAnsi="Book Antiqua"/>
          <w:szCs w:val="26"/>
        </w:rPr>
        <w:t>le</w:t>
      </w:r>
      <w:r w:rsidR="004D2129">
        <w:rPr>
          <w:rFonts w:ascii="Book Antiqua" w:hAnsi="Book Antiqua"/>
          <w:szCs w:val="26"/>
        </w:rPr>
        <w:t xml:space="preserve"> Technology, National Technology Coalition, Small Business Utility Advocates, Coalition of California </w:t>
      </w:r>
      <w:r w:rsidR="00700D08">
        <w:rPr>
          <w:rFonts w:ascii="Book Antiqua" w:hAnsi="Book Antiqua"/>
          <w:szCs w:val="26"/>
        </w:rPr>
        <w:t>Utility Employee, California City County Street Light Association, the Office of the Safety Advocates</w:t>
      </w:r>
      <w:r w:rsidRPr="00700D08" w:rsidR="00700D08">
        <w:t xml:space="preserve"> </w:t>
      </w:r>
      <w:r w:rsidRPr="00700D08" w:rsidR="00700D08">
        <w:rPr>
          <w:rFonts w:ascii="Book Antiqua" w:hAnsi="Book Antiqua"/>
          <w:szCs w:val="26"/>
        </w:rPr>
        <w:t>of the California Public Utilities Commission</w:t>
      </w:r>
      <w:r w:rsidR="00700D08">
        <w:rPr>
          <w:rFonts w:ascii="Book Antiqua" w:hAnsi="Book Antiqua"/>
          <w:szCs w:val="26"/>
        </w:rPr>
        <w:t>, and PG&amp;E</w:t>
      </w:r>
      <w:r w:rsidR="00B47F60">
        <w:rPr>
          <w:rFonts w:ascii="Book Antiqua" w:hAnsi="Book Antiqua"/>
          <w:szCs w:val="26"/>
        </w:rPr>
        <w:t xml:space="preserve">. </w:t>
      </w:r>
      <w:r w:rsidRPr="00B47F60" w:rsidR="00B47F60">
        <w:t xml:space="preserve"> </w:t>
      </w:r>
      <w:r w:rsidRPr="00B47F60" w:rsidR="00B47F60">
        <w:rPr>
          <w:rFonts w:ascii="Book Antiqua" w:hAnsi="Book Antiqua"/>
          <w:szCs w:val="26"/>
        </w:rPr>
        <w:t xml:space="preserve">Parties filed initial comments to the Settlement on </w:t>
      </w:r>
      <w:r w:rsidRPr="00B47F60" w:rsidR="00150C04">
        <w:rPr>
          <w:rFonts w:ascii="Book Antiqua" w:hAnsi="Book Antiqua"/>
          <w:szCs w:val="26"/>
        </w:rPr>
        <w:t>January 21, 2020 and</w:t>
      </w:r>
      <w:r w:rsidRPr="00B47F60" w:rsidR="00B47F60">
        <w:rPr>
          <w:rFonts w:ascii="Book Antiqua" w:hAnsi="Book Antiqua"/>
          <w:szCs w:val="26"/>
        </w:rPr>
        <w:t xml:space="preserve"> reply comments on February 5, 2020.  The assigned Administrative Law Judges (ALJ) review</w:t>
      </w:r>
      <w:r w:rsidR="00304C7E">
        <w:rPr>
          <w:rFonts w:ascii="Book Antiqua" w:hAnsi="Book Antiqua"/>
          <w:szCs w:val="26"/>
        </w:rPr>
        <w:t>ed</w:t>
      </w:r>
      <w:r w:rsidRPr="00B47F60" w:rsidR="00B47F60">
        <w:rPr>
          <w:rFonts w:ascii="Book Antiqua" w:hAnsi="Book Antiqua"/>
          <w:szCs w:val="26"/>
        </w:rPr>
        <w:t xml:space="preserve"> the terms of the Settlement Agreement, the initial and reply comments, and the objections to the proposed Settlement Agreement.</w:t>
      </w:r>
      <w:r w:rsidR="00700D08">
        <w:rPr>
          <w:rFonts w:ascii="Book Antiqua" w:hAnsi="Book Antiqua"/>
        </w:rPr>
        <w:t xml:space="preserve"> </w:t>
      </w:r>
    </w:p>
    <w:p w:rsidRPr="00B63DDF" w:rsidR="001875DE" w:rsidP="0034677F" w:rsidRDefault="00150C04" w14:paraId="105E2726" w14:textId="4A500AA0">
      <w:pPr>
        <w:pStyle w:val="standard"/>
        <w:rPr>
          <w:rFonts w:ascii="Book Antiqua" w:hAnsi="Book Antiqua"/>
        </w:rPr>
      </w:pPr>
      <w:bookmarkStart w:name="_Hlk55469424" w:id="1"/>
      <w:r w:rsidRPr="00B63DDF">
        <w:rPr>
          <w:rFonts w:ascii="Book Antiqua" w:hAnsi="Book Antiqua"/>
        </w:rPr>
        <w:lastRenderedPageBreak/>
        <w:t xml:space="preserve">On August 13, 2020, PG&amp;E filed a motion to </w:t>
      </w:r>
      <w:r w:rsidRPr="00B63DDF" w:rsidR="00AC4AD6">
        <w:rPr>
          <w:rFonts w:ascii="Book Antiqua" w:hAnsi="Book Antiqua"/>
        </w:rPr>
        <w:t>A</w:t>
      </w:r>
      <w:r w:rsidRPr="00B63DDF">
        <w:rPr>
          <w:rFonts w:ascii="Book Antiqua" w:hAnsi="Book Antiqua"/>
        </w:rPr>
        <w:t xml:space="preserve">mend the </w:t>
      </w:r>
      <w:r w:rsidRPr="00B63DDF" w:rsidR="00AC4AD6">
        <w:rPr>
          <w:rFonts w:ascii="Book Antiqua" w:hAnsi="Book Antiqua"/>
        </w:rPr>
        <w:t>S</w:t>
      </w:r>
      <w:r w:rsidRPr="00B63DDF">
        <w:rPr>
          <w:rFonts w:ascii="Book Antiqua" w:hAnsi="Book Antiqua"/>
        </w:rPr>
        <w:t xml:space="preserve">ettlement </w:t>
      </w:r>
      <w:r w:rsidRPr="00B63DDF" w:rsidR="00AC4AD6">
        <w:rPr>
          <w:rFonts w:ascii="Book Antiqua" w:hAnsi="Book Antiqua"/>
        </w:rPr>
        <w:t>A</w:t>
      </w:r>
      <w:r w:rsidRPr="00B63DDF">
        <w:rPr>
          <w:rFonts w:ascii="Book Antiqua" w:hAnsi="Book Antiqua"/>
        </w:rPr>
        <w:t>greement</w:t>
      </w:r>
      <w:r w:rsidRPr="00B63DDF" w:rsidR="00700D08">
        <w:rPr>
          <w:rFonts w:ascii="Book Antiqua" w:hAnsi="Book Antiqua"/>
        </w:rPr>
        <w:t xml:space="preserve"> </w:t>
      </w:r>
      <w:r w:rsidRPr="00B63DDF" w:rsidR="00AC4AD6">
        <w:rPr>
          <w:rFonts w:ascii="Book Antiqua" w:hAnsi="Book Antiqua"/>
        </w:rPr>
        <w:t>and the assigned ALJ</w:t>
      </w:r>
      <w:r w:rsidRPr="00B63DDF" w:rsidR="00256895">
        <w:rPr>
          <w:rFonts w:ascii="Book Antiqua" w:hAnsi="Book Antiqua"/>
        </w:rPr>
        <w:t>s</w:t>
      </w:r>
      <w:r w:rsidRPr="00B63DDF" w:rsidR="00AC4AD6">
        <w:rPr>
          <w:rFonts w:ascii="Book Antiqua" w:hAnsi="Book Antiqua"/>
        </w:rPr>
        <w:t xml:space="preserve"> granted the motion on September 28, 2020.</w:t>
      </w:r>
      <w:r w:rsidRPr="00B63DDF" w:rsidR="0097778A">
        <w:rPr>
          <w:rFonts w:ascii="Book Antiqua" w:hAnsi="Book Antiqua"/>
        </w:rPr>
        <w:t xml:space="preserve">  </w:t>
      </w:r>
      <w:bookmarkEnd w:id="1"/>
      <w:r w:rsidRPr="00B63DDF" w:rsidR="0097778A">
        <w:rPr>
          <w:rFonts w:ascii="Book Antiqua" w:hAnsi="Book Antiqua"/>
        </w:rPr>
        <w:t xml:space="preserve">On October </w:t>
      </w:r>
      <w:r w:rsidRPr="00B63DDF" w:rsidR="00C05174">
        <w:rPr>
          <w:rFonts w:ascii="Book Antiqua" w:hAnsi="Book Antiqua"/>
        </w:rPr>
        <w:t xml:space="preserve">23, 2020, a proposed decision addressing the Test Year 2020 </w:t>
      </w:r>
      <w:r w:rsidR="00D73E76">
        <w:rPr>
          <w:rFonts w:ascii="Book Antiqua" w:hAnsi="Book Antiqua"/>
        </w:rPr>
        <w:t>GRC</w:t>
      </w:r>
      <w:r w:rsidRPr="00B63DDF" w:rsidR="00C05174">
        <w:rPr>
          <w:rFonts w:ascii="Book Antiqua" w:hAnsi="Book Antiqua"/>
        </w:rPr>
        <w:t xml:space="preserve"> was issued for public review and comments.</w:t>
      </w:r>
    </w:p>
    <w:p w:rsidRPr="00D70FF5" w:rsidR="00C913ED" w:rsidP="00C913ED" w:rsidRDefault="00256895" w14:paraId="19DDACB9" w14:textId="71C429A5">
      <w:pPr>
        <w:pStyle w:val="standard"/>
        <w:rPr>
          <w:rFonts w:ascii="Book Antiqua" w:hAnsi="Book Antiqua"/>
        </w:rPr>
      </w:pPr>
      <w:r w:rsidRPr="00B63DDF">
        <w:rPr>
          <w:rFonts w:ascii="Book Antiqua" w:hAnsi="Book Antiqua"/>
        </w:rPr>
        <w:t>A</w:t>
      </w:r>
      <w:r w:rsidRPr="00B63DDF" w:rsidR="00C913ED">
        <w:rPr>
          <w:rFonts w:ascii="Book Antiqua" w:hAnsi="Book Antiqua"/>
        </w:rPr>
        <w:t xml:space="preserve">n extension of the statutory deadline until </w:t>
      </w:r>
      <w:r w:rsidRPr="00B63DDF" w:rsidR="00C05174">
        <w:rPr>
          <w:rFonts w:ascii="Book Antiqua" w:hAnsi="Book Antiqua"/>
        </w:rPr>
        <w:t xml:space="preserve">February </w:t>
      </w:r>
      <w:r w:rsidRPr="00B63DDF" w:rsidR="00CC5089">
        <w:rPr>
          <w:rFonts w:ascii="Book Antiqua" w:hAnsi="Book Antiqua"/>
        </w:rPr>
        <w:t>13</w:t>
      </w:r>
      <w:r w:rsidRPr="00B63DDF" w:rsidR="00C913ED">
        <w:rPr>
          <w:rFonts w:ascii="Book Antiqua" w:hAnsi="Book Antiqua"/>
        </w:rPr>
        <w:t>, 202</w:t>
      </w:r>
      <w:r w:rsidRPr="00B63DDF" w:rsidR="00C05174">
        <w:rPr>
          <w:rFonts w:ascii="Book Antiqua" w:hAnsi="Book Antiqua"/>
        </w:rPr>
        <w:t>1</w:t>
      </w:r>
      <w:r w:rsidRPr="00B63DDF" w:rsidR="00C913ED">
        <w:rPr>
          <w:rFonts w:ascii="Book Antiqua" w:hAnsi="Book Antiqua"/>
        </w:rPr>
        <w:t xml:space="preserve">, is appropriate </w:t>
      </w:r>
      <w:bookmarkStart w:name="_Hlk55480890" w:id="2"/>
      <w:r w:rsidRPr="00B63DDF" w:rsidR="00C913ED">
        <w:rPr>
          <w:rFonts w:ascii="Book Antiqua" w:hAnsi="Book Antiqua"/>
        </w:rPr>
        <w:t xml:space="preserve">to allow </w:t>
      </w:r>
      <w:r w:rsidRPr="00B63DDF" w:rsidR="007A002F">
        <w:rPr>
          <w:rFonts w:ascii="Book Antiqua" w:hAnsi="Book Antiqua"/>
        </w:rPr>
        <w:t>the ALJ</w:t>
      </w:r>
      <w:r w:rsidRPr="00B63DDF" w:rsidR="00394451">
        <w:rPr>
          <w:rFonts w:ascii="Book Antiqua" w:hAnsi="Book Antiqua"/>
        </w:rPr>
        <w:t>s</w:t>
      </w:r>
      <w:r w:rsidRPr="00B63DDF" w:rsidR="007A002F">
        <w:rPr>
          <w:rFonts w:ascii="Book Antiqua" w:hAnsi="Book Antiqua"/>
        </w:rPr>
        <w:t xml:space="preserve"> </w:t>
      </w:r>
      <w:r w:rsidRPr="00B63DDF" w:rsidR="00C913ED">
        <w:rPr>
          <w:rFonts w:ascii="Book Antiqua" w:hAnsi="Book Antiqua"/>
        </w:rPr>
        <w:t xml:space="preserve">enough time to </w:t>
      </w:r>
      <w:r w:rsidRPr="00B63DDF" w:rsidR="007A002F">
        <w:rPr>
          <w:rFonts w:ascii="Book Antiqua" w:hAnsi="Book Antiqua"/>
        </w:rPr>
        <w:t xml:space="preserve">review the </w:t>
      </w:r>
      <w:r w:rsidRPr="00B63DDF" w:rsidR="00C05174">
        <w:rPr>
          <w:rFonts w:ascii="Book Antiqua" w:hAnsi="Book Antiqua"/>
        </w:rPr>
        <w:t>comments received</w:t>
      </w:r>
      <w:r w:rsidRPr="00B63DDF" w:rsidR="00C913ED">
        <w:rPr>
          <w:rFonts w:ascii="Book Antiqua" w:hAnsi="Book Antiqua"/>
        </w:rPr>
        <w:t xml:space="preserve"> and to allow the Commission enough time to deliberate and issue its final decision</w:t>
      </w:r>
      <w:bookmarkEnd w:id="2"/>
      <w:r w:rsidRPr="00B63DDF" w:rsidR="00C913ED">
        <w:rPr>
          <w:rFonts w:ascii="Book Antiqua" w:hAnsi="Book Antiqua"/>
        </w:rPr>
        <w:t>.</w:t>
      </w:r>
    </w:p>
    <w:p w:rsidRPr="0007271A" w:rsidR="00B80F6A" w:rsidP="005E73D3" w:rsidRDefault="00793A4E" w14:paraId="41DFFCAA" w14:textId="77777777">
      <w:pPr>
        <w:pStyle w:val="Heading1"/>
        <w:keepNext w:val="0"/>
        <w:numPr>
          <w:ilvl w:val="0"/>
          <w:numId w:val="4"/>
        </w:numPr>
        <w:spacing w:before="0" w:after="0" w:line="360" w:lineRule="auto"/>
        <w:ind w:left="360"/>
        <w:rPr>
          <w:rFonts w:ascii="Arial" w:hAnsi="Arial" w:cs="Arial"/>
        </w:rPr>
      </w:pPr>
      <w:r w:rsidRPr="0007271A">
        <w:rPr>
          <w:rFonts w:ascii="Arial" w:hAnsi="Arial" w:cs="Arial"/>
        </w:rPr>
        <w:t>Waiver of Comment Period</w:t>
      </w:r>
    </w:p>
    <w:p w:rsidRPr="00324D6F" w:rsidR="00125013" w:rsidRDefault="0001254D" w14:paraId="3D7293B8" w14:textId="4740B831">
      <w:pPr>
        <w:pStyle w:val="standard"/>
        <w:rPr>
          <w:rFonts w:ascii="Book Antiqua" w:hAnsi="Book Antiqua"/>
        </w:rPr>
      </w:pPr>
      <w:r w:rsidRPr="0001254D">
        <w:rPr>
          <w:rFonts w:ascii="Book Antiqua" w:hAnsi="Book Antiqua"/>
        </w:rPr>
        <w:t>Under Rule 14.6(c)(4) of the Commission’s Rules of Practice and Procedure, the Commission may reduce or waive the period for public review and comment o</w:t>
      </w:r>
      <w:r w:rsidR="007A002F">
        <w:rPr>
          <w:rFonts w:ascii="Book Antiqua" w:hAnsi="Book Antiqua"/>
        </w:rPr>
        <w:t>n</w:t>
      </w:r>
      <w:r w:rsidRPr="0001254D">
        <w:rPr>
          <w:rFonts w:ascii="Book Antiqua" w:hAnsi="Book Antiqua"/>
        </w:rPr>
        <w:t xml:space="preserve"> the proposed decisions extending the deadline for resolving </w:t>
      </w:r>
      <w:proofErr w:type="spellStart"/>
      <w:r w:rsidRPr="0001254D">
        <w:rPr>
          <w:rFonts w:ascii="Book Antiqua" w:hAnsi="Book Antiqua"/>
        </w:rPr>
        <w:t>ratesetting</w:t>
      </w:r>
      <w:proofErr w:type="spellEnd"/>
      <w:r w:rsidRPr="0001254D">
        <w:rPr>
          <w:rFonts w:ascii="Book Antiqua" w:hAnsi="Book Antiqua"/>
        </w:rPr>
        <w:t xml:space="preserve"> proceedings.  Accordingly, the otherwise applicable period for public review and comment is being waived</w:t>
      </w:r>
      <w:r w:rsidRPr="00324D6F" w:rsidR="005731A9">
        <w:rPr>
          <w:rFonts w:ascii="Book Antiqua" w:hAnsi="Book Antiqua" w:cs="BookAntiqua"/>
          <w:szCs w:val="26"/>
        </w:rPr>
        <w:t xml:space="preserve">. </w:t>
      </w:r>
    </w:p>
    <w:p w:rsidRPr="0007271A" w:rsidR="00B80F6A" w:rsidP="005E73D3" w:rsidRDefault="00B80F6A" w14:paraId="41E906A7" w14:textId="42DDB591">
      <w:pPr>
        <w:pStyle w:val="Heading1"/>
        <w:keepNext w:val="0"/>
        <w:numPr>
          <w:ilvl w:val="0"/>
          <w:numId w:val="4"/>
        </w:numPr>
        <w:spacing w:before="0" w:after="0" w:line="360" w:lineRule="auto"/>
        <w:ind w:left="360"/>
        <w:rPr>
          <w:rFonts w:ascii="Arial" w:hAnsi="Arial" w:cs="Arial"/>
        </w:rPr>
      </w:pPr>
      <w:r w:rsidRPr="0007271A">
        <w:rPr>
          <w:rFonts w:ascii="Arial" w:hAnsi="Arial" w:cs="Arial"/>
        </w:rPr>
        <w:t>Assignment of Proceeding</w:t>
      </w:r>
    </w:p>
    <w:p w:rsidRPr="0007271A" w:rsidR="00B80F6A" w:rsidRDefault="00CC5089" w14:paraId="23B100B9" w14:textId="2E9F29AE">
      <w:pPr>
        <w:pStyle w:val="standard"/>
        <w:rPr>
          <w:rFonts w:ascii="Book Antiqua" w:hAnsi="Book Antiqua"/>
        </w:rPr>
      </w:pPr>
      <w:r>
        <w:rPr>
          <w:rFonts w:ascii="Book Antiqua" w:hAnsi="Book Antiqua"/>
        </w:rPr>
        <w:t>Liane M. Randolph</w:t>
      </w:r>
      <w:r w:rsidRPr="0001254D" w:rsidR="0001254D">
        <w:rPr>
          <w:rFonts w:ascii="Book Antiqua" w:hAnsi="Book Antiqua"/>
        </w:rPr>
        <w:t xml:space="preserve"> is the assigned Commissioner</w:t>
      </w:r>
      <w:r>
        <w:rPr>
          <w:rFonts w:ascii="Book Antiqua" w:hAnsi="Book Antiqua"/>
        </w:rPr>
        <w:t xml:space="preserve"> and</w:t>
      </w:r>
      <w:r w:rsidRPr="0001254D" w:rsidR="0001254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Elaine C. Lau</w:t>
      </w:r>
      <w:r w:rsidRPr="0001254D" w:rsidR="0001254D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 Rafael L. Lirag are</w:t>
      </w:r>
      <w:r w:rsidRPr="0001254D" w:rsidR="0001254D">
        <w:rPr>
          <w:rFonts w:ascii="Book Antiqua" w:hAnsi="Book Antiqua"/>
        </w:rPr>
        <w:t xml:space="preserve"> the assigned </w:t>
      </w:r>
      <w:r w:rsidR="00E75B12">
        <w:rPr>
          <w:rFonts w:ascii="Book Antiqua" w:hAnsi="Book Antiqua"/>
        </w:rPr>
        <w:t>ALJs</w:t>
      </w:r>
      <w:r w:rsidRPr="0001254D" w:rsidR="0001254D">
        <w:rPr>
          <w:rFonts w:ascii="Book Antiqua" w:hAnsi="Book Antiqua"/>
        </w:rPr>
        <w:t xml:space="preserve"> in this proceeding</w:t>
      </w:r>
      <w:r w:rsidRPr="0007271A" w:rsidR="00B80F6A">
        <w:rPr>
          <w:rFonts w:ascii="Book Antiqua" w:hAnsi="Book Antiqua"/>
        </w:rPr>
        <w:t>.</w:t>
      </w:r>
    </w:p>
    <w:p w:rsidRPr="0007271A" w:rsidR="00B80F6A" w:rsidRDefault="00B80F6A" w14:paraId="58757AB1" w14:textId="77777777">
      <w:pPr>
        <w:pStyle w:val="dummy"/>
        <w:spacing w:before="0" w:after="0" w:line="360" w:lineRule="auto"/>
        <w:rPr>
          <w:rFonts w:ascii="Arial" w:hAnsi="Arial" w:cs="Arial"/>
        </w:rPr>
      </w:pPr>
      <w:bookmarkStart w:name="_Toc370798913" w:id="3"/>
      <w:r w:rsidRPr="0007271A">
        <w:rPr>
          <w:rFonts w:ascii="Arial" w:hAnsi="Arial" w:cs="Arial"/>
        </w:rPr>
        <w:t>Findings of Fact</w:t>
      </w:r>
      <w:bookmarkEnd w:id="3"/>
    </w:p>
    <w:p w:rsidR="00F06107" w:rsidP="00F06107" w:rsidRDefault="00F06107" w14:paraId="66C3F085" w14:textId="3C031C74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F06107">
        <w:rPr>
          <w:rFonts w:ascii="Book Antiqua" w:hAnsi="Book Antiqua"/>
        </w:rPr>
        <w:t xml:space="preserve">This application was filed by </w:t>
      </w:r>
      <w:r w:rsidR="00394451">
        <w:rPr>
          <w:rFonts w:ascii="Book Antiqua" w:hAnsi="Book Antiqua"/>
        </w:rPr>
        <w:t>PG&amp;E</w:t>
      </w:r>
      <w:r w:rsidRPr="00F06107">
        <w:rPr>
          <w:rFonts w:ascii="Book Antiqua" w:hAnsi="Book Antiqua"/>
        </w:rPr>
        <w:t xml:space="preserve"> on </w:t>
      </w:r>
      <w:r w:rsidR="00873CAA">
        <w:rPr>
          <w:rFonts w:ascii="Book Antiqua" w:hAnsi="Book Antiqua"/>
        </w:rPr>
        <w:t xml:space="preserve">December </w:t>
      </w:r>
      <w:r w:rsidR="00394451">
        <w:rPr>
          <w:rFonts w:ascii="Book Antiqua" w:hAnsi="Book Antiqua"/>
        </w:rPr>
        <w:t>1</w:t>
      </w:r>
      <w:r w:rsidR="00873CAA">
        <w:rPr>
          <w:rFonts w:ascii="Book Antiqua" w:hAnsi="Book Antiqua"/>
        </w:rPr>
        <w:t>3</w:t>
      </w:r>
      <w:r w:rsidRPr="00F06107">
        <w:rPr>
          <w:rFonts w:ascii="Book Antiqua" w:hAnsi="Book Antiqua"/>
        </w:rPr>
        <w:t>, 2018.</w:t>
      </w:r>
    </w:p>
    <w:p w:rsidRPr="00F1755C" w:rsidR="00241326" w:rsidP="00F06107" w:rsidRDefault="00241326" w14:paraId="0BD5F2A1" w14:textId="21E6378C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F1755C">
        <w:rPr>
          <w:rFonts w:ascii="Book Antiqua" w:hAnsi="Book Antiqua"/>
        </w:rPr>
        <w:t xml:space="preserve">Protests and responses to the application were filed on January 11, 2019 and January 17, 2019.  PG&amp;E filed its reply on January 28, 2019.  </w:t>
      </w:r>
    </w:p>
    <w:p w:rsidRPr="00F06107" w:rsidR="00F06107" w:rsidP="00F06107" w:rsidRDefault="00F06107" w14:paraId="05EF1B3A" w14:textId="09425FEF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F06107">
        <w:rPr>
          <w:rFonts w:ascii="Book Antiqua" w:hAnsi="Book Antiqua"/>
        </w:rPr>
        <w:t xml:space="preserve">A </w:t>
      </w:r>
      <w:r w:rsidR="007005FC">
        <w:rPr>
          <w:rFonts w:ascii="Book Antiqua" w:hAnsi="Book Antiqua"/>
        </w:rPr>
        <w:t>PHC</w:t>
      </w:r>
      <w:r w:rsidRPr="00F06107">
        <w:rPr>
          <w:rFonts w:ascii="Book Antiqua" w:hAnsi="Book Antiqua"/>
        </w:rPr>
        <w:t xml:space="preserve"> was held on </w:t>
      </w:r>
      <w:r w:rsidR="00AD0820">
        <w:rPr>
          <w:rFonts w:ascii="Book Antiqua" w:hAnsi="Book Antiqua"/>
        </w:rPr>
        <w:t>February 11, 2019</w:t>
      </w:r>
      <w:r w:rsidRPr="00F06107">
        <w:rPr>
          <w:rFonts w:ascii="Book Antiqua" w:hAnsi="Book Antiqua"/>
        </w:rPr>
        <w:t>.</w:t>
      </w:r>
    </w:p>
    <w:p w:rsidR="00F06107" w:rsidP="00F06107" w:rsidRDefault="00F06107" w14:paraId="40F42BAE" w14:textId="131C9497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F06107">
        <w:rPr>
          <w:rFonts w:ascii="Book Antiqua" w:hAnsi="Book Antiqua"/>
        </w:rPr>
        <w:t xml:space="preserve">On </w:t>
      </w:r>
      <w:r w:rsidR="00873CAA">
        <w:rPr>
          <w:rFonts w:ascii="Book Antiqua" w:hAnsi="Book Antiqua"/>
        </w:rPr>
        <w:t>March</w:t>
      </w:r>
      <w:r w:rsidRPr="00F06107">
        <w:rPr>
          <w:rFonts w:ascii="Book Antiqua" w:hAnsi="Book Antiqua"/>
        </w:rPr>
        <w:t xml:space="preserve"> </w:t>
      </w:r>
      <w:r w:rsidR="00054A32">
        <w:rPr>
          <w:rFonts w:ascii="Book Antiqua" w:hAnsi="Book Antiqua"/>
        </w:rPr>
        <w:t>8</w:t>
      </w:r>
      <w:r w:rsidRPr="00F06107">
        <w:rPr>
          <w:rFonts w:ascii="Book Antiqua" w:hAnsi="Book Antiqua"/>
        </w:rPr>
        <w:t>, 201</w:t>
      </w:r>
      <w:r w:rsidR="00873CAA">
        <w:rPr>
          <w:rFonts w:ascii="Book Antiqua" w:hAnsi="Book Antiqua"/>
        </w:rPr>
        <w:t>9</w:t>
      </w:r>
      <w:r w:rsidRPr="00F06107">
        <w:rPr>
          <w:rFonts w:ascii="Book Antiqua" w:hAnsi="Book Antiqua"/>
        </w:rPr>
        <w:t>, the scoping memo and ruling was issued.</w:t>
      </w:r>
    </w:p>
    <w:p w:rsidR="00054A32" w:rsidP="00F06107" w:rsidRDefault="00035F70" w14:paraId="2BE79FE1" w14:textId="77777777">
      <w:pPr>
        <w:pStyle w:val="num1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Public Participation Hearings were held on </w:t>
      </w:r>
      <w:r w:rsidRPr="00054A32" w:rsidR="00054A32">
        <w:rPr>
          <w:rFonts w:ascii="Book Antiqua" w:hAnsi="Book Antiqua"/>
        </w:rPr>
        <w:t xml:space="preserve">several days in July and August 2019.  </w:t>
      </w:r>
    </w:p>
    <w:p w:rsidR="00054A32" w:rsidP="00F06107" w:rsidRDefault="00054A32" w14:paraId="7B548BA8" w14:textId="54973C7B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054A32">
        <w:rPr>
          <w:rFonts w:ascii="Book Antiqua" w:hAnsi="Book Antiqua"/>
        </w:rPr>
        <w:t xml:space="preserve">Evidentiary Hearings were held on several days </w:t>
      </w:r>
      <w:r w:rsidR="00304C7E">
        <w:rPr>
          <w:rFonts w:ascii="Book Antiqua" w:hAnsi="Book Antiqua"/>
        </w:rPr>
        <w:t>i</w:t>
      </w:r>
      <w:r w:rsidRPr="00054A32">
        <w:rPr>
          <w:rFonts w:ascii="Book Antiqua" w:hAnsi="Book Antiqua"/>
        </w:rPr>
        <w:t>n September</w:t>
      </w:r>
      <w:r w:rsidR="00304C7E">
        <w:rPr>
          <w:rFonts w:ascii="Book Antiqua" w:hAnsi="Book Antiqua"/>
        </w:rPr>
        <w:t xml:space="preserve"> and</w:t>
      </w:r>
      <w:r w:rsidRPr="00054A32">
        <w:rPr>
          <w:rFonts w:ascii="Book Antiqua" w:hAnsi="Book Antiqua"/>
        </w:rPr>
        <w:t xml:space="preserve"> October</w:t>
      </w:r>
      <w:r w:rsidR="00D73E76">
        <w:rPr>
          <w:rFonts w:ascii="Book Antiqua" w:hAnsi="Book Antiqua"/>
        </w:rPr>
        <w:t> </w:t>
      </w:r>
      <w:r w:rsidR="00304C7E">
        <w:rPr>
          <w:rFonts w:ascii="Book Antiqua" w:hAnsi="Book Antiqua"/>
        </w:rPr>
        <w:t>2019</w:t>
      </w:r>
      <w:r w:rsidRPr="00054A32">
        <w:rPr>
          <w:rFonts w:ascii="Book Antiqua" w:hAnsi="Book Antiqua"/>
        </w:rPr>
        <w:t xml:space="preserve">, and on November 6, 2019.  </w:t>
      </w:r>
    </w:p>
    <w:p w:rsidR="00054A32" w:rsidP="00F06107" w:rsidRDefault="00054A32" w14:paraId="54224415" w14:textId="766AD1B9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054A32">
        <w:rPr>
          <w:rFonts w:ascii="Book Antiqua" w:hAnsi="Book Antiqua"/>
        </w:rPr>
        <w:lastRenderedPageBreak/>
        <w:t>On November 7, 2019</w:t>
      </w:r>
      <w:r>
        <w:rPr>
          <w:rFonts w:ascii="Book Antiqua" w:hAnsi="Book Antiqua"/>
        </w:rPr>
        <w:t xml:space="preserve">, </w:t>
      </w:r>
      <w:r w:rsidRPr="00054A32">
        <w:rPr>
          <w:rFonts w:ascii="Book Antiqua" w:hAnsi="Book Antiqua"/>
        </w:rPr>
        <w:t xml:space="preserve">D.19-11-004 </w:t>
      </w:r>
      <w:r>
        <w:rPr>
          <w:rFonts w:ascii="Book Antiqua" w:hAnsi="Book Antiqua"/>
        </w:rPr>
        <w:t xml:space="preserve">was issued </w:t>
      </w:r>
      <w:r w:rsidRPr="00054A32">
        <w:rPr>
          <w:rFonts w:ascii="Book Antiqua" w:hAnsi="Book Antiqua"/>
        </w:rPr>
        <w:t>granting PG&amp;E’s motion to set the Test Year 2020 GRC revenue requirement</w:t>
      </w:r>
      <w:r>
        <w:rPr>
          <w:rFonts w:ascii="Book Antiqua" w:hAnsi="Book Antiqua"/>
        </w:rPr>
        <w:t>.</w:t>
      </w:r>
    </w:p>
    <w:p w:rsidRPr="00F1755C" w:rsidR="006E11FC" w:rsidP="00946822" w:rsidRDefault="006E11FC" w14:paraId="7C5A9072" w14:textId="6B72AD58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F1755C">
        <w:rPr>
          <w:rFonts w:ascii="Book Antiqua" w:hAnsi="Book Antiqua"/>
        </w:rPr>
        <w:t>Briefs were filed on January 6, 2020 and reply briefs were filed on January</w:t>
      </w:r>
      <w:r w:rsidR="00D73E76">
        <w:rPr>
          <w:rFonts w:ascii="Book Antiqua" w:hAnsi="Book Antiqua"/>
        </w:rPr>
        <w:t> </w:t>
      </w:r>
      <w:r w:rsidRPr="00F1755C">
        <w:rPr>
          <w:rFonts w:ascii="Book Antiqua" w:hAnsi="Book Antiqua"/>
        </w:rPr>
        <w:t xml:space="preserve">27, 2020.  </w:t>
      </w:r>
    </w:p>
    <w:p w:rsidR="006E11FC" w:rsidP="006E11FC" w:rsidRDefault="006E11FC" w14:paraId="3964616C" w14:textId="0DE93529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6E11FC">
        <w:rPr>
          <w:rFonts w:ascii="Book Antiqua" w:hAnsi="Book Antiqua"/>
        </w:rPr>
        <w:t xml:space="preserve">A Joint Motion for Approval of a Settlement Agreement was filed </w:t>
      </w:r>
      <w:r>
        <w:rPr>
          <w:rFonts w:ascii="Book Antiqua" w:hAnsi="Book Antiqua"/>
        </w:rPr>
        <w:t>o</w:t>
      </w:r>
      <w:r w:rsidRPr="006E11FC">
        <w:rPr>
          <w:rFonts w:ascii="Book Antiqua" w:hAnsi="Book Antiqua"/>
        </w:rPr>
        <w:t>n January 14, 2020</w:t>
      </w:r>
      <w:r>
        <w:rPr>
          <w:rFonts w:ascii="Book Antiqua" w:hAnsi="Book Antiqua"/>
        </w:rPr>
        <w:t>.</w:t>
      </w:r>
      <w:r w:rsidR="00C05174">
        <w:rPr>
          <w:rFonts w:ascii="Book Antiqua" w:hAnsi="Book Antiqua"/>
        </w:rPr>
        <w:t xml:space="preserve"> </w:t>
      </w:r>
    </w:p>
    <w:p w:rsidRPr="00F1755C" w:rsidR="006E11FC" w:rsidP="006E11FC" w:rsidRDefault="006E11FC" w14:paraId="5AFA3763" w14:textId="11196453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F1755C">
        <w:rPr>
          <w:rFonts w:ascii="Book Antiqua" w:hAnsi="Book Antiqua"/>
        </w:rPr>
        <w:t>Initial and reply comments to the Joint Motion for Approval of a Settlement Agreement were filed on January 21, 2020 and February 5, 2020, respectively.</w:t>
      </w:r>
    </w:p>
    <w:p w:rsidRPr="00B63DDF" w:rsidR="00C05174" w:rsidP="006E11FC" w:rsidRDefault="00C05174" w14:paraId="5E67B864" w14:textId="5AF0DF3E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B63DDF">
        <w:rPr>
          <w:rFonts w:ascii="Book Antiqua" w:hAnsi="Book Antiqua"/>
        </w:rPr>
        <w:t>On August 13, 2020, PG&amp;E filed a motion to Amend the Settlement Agreement and the assigned ALJ</w:t>
      </w:r>
      <w:r w:rsidR="00254D0C">
        <w:rPr>
          <w:rFonts w:ascii="Book Antiqua" w:hAnsi="Book Antiqua"/>
        </w:rPr>
        <w:t>s</w:t>
      </w:r>
      <w:r w:rsidRPr="00B63DDF">
        <w:rPr>
          <w:rFonts w:ascii="Book Antiqua" w:hAnsi="Book Antiqua"/>
        </w:rPr>
        <w:t xml:space="preserve"> granted the motion on September 28, 2020. </w:t>
      </w:r>
    </w:p>
    <w:p w:rsidRPr="00B63DDF" w:rsidR="00C05174" w:rsidP="006E11FC" w:rsidRDefault="00C05174" w14:paraId="162A868B" w14:textId="31B33B50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B63DDF">
        <w:rPr>
          <w:rFonts w:ascii="Book Antiqua" w:hAnsi="Book Antiqua"/>
        </w:rPr>
        <w:t xml:space="preserve"> On October 23, 2020, a proposed decision addressing the Test Year 2020 General Rate Case was issued for public review and comments.</w:t>
      </w:r>
    </w:p>
    <w:p w:rsidRPr="00B63DDF" w:rsidR="00CC380E" w:rsidP="006E11FC" w:rsidRDefault="006E11FC" w14:paraId="2449E37B" w14:textId="4C7D681E">
      <w:pPr>
        <w:pStyle w:val="num1"/>
        <w:numPr>
          <w:ilvl w:val="0"/>
          <w:numId w:val="1"/>
        </w:numPr>
        <w:rPr>
          <w:rFonts w:ascii="Book Antiqua" w:hAnsi="Book Antiqua"/>
        </w:rPr>
      </w:pPr>
      <w:r w:rsidRPr="00B63DDF">
        <w:rPr>
          <w:rFonts w:ascii="Book Antiqua" w:hAnsi="Book Antiqua"/>
        </w:rPr>
        <w:t xml:space="preserve">An extension of the statutory deadline to </w:t>
      </w:r>
      <w:r w:rsidRPr="00B63DDF" w:rsidR="0054494E">
        <w:rPr>
          <w:rFonts w:ascii="Book Antiqua" w:hAnsi="Book Antiqua"/>
        </w:rPr>
        <w:t xml:space="preserve">February </w:t>
      </w:r>
      <w:r w:rsidRPr="00B63DDF">
        <w:rPr>
          <w:rFonts w:ascii="Book Antiqua" w:hAnsi="Book Antiqua"/>
        </w:rPr>
        <w:t>13, 202</w:t>
      </w:r>
      <w:r w:rsidRPr="00B63DDF" w:rsidR="0054494E">
        <w:rPr>
          <w:rFonts w:ascii="Book Antiqua" w:hAnsi="Book Antiqua"/>
        </w:rPr>
        <w:t>1</w:t>
      </w:r>
      <w:r w:rsidRPr="00B63DDF">
        <w:rPr>
          <w:rFonts w:ascii="Book Antiqua" w:hAnsi="Book Antiqua"/>
        </w:rPr>
        <w:t xml:space="preserve"> is necessary </w:t>
      </w:r>
      <w:r w:rsidRPr="00B63DDF" w:rsidR="00931B8F">
        <w:rPr>
          <w:rFonts w:ascii="Book Antiqua" w:hAnsi="Book Antiqua"/>
        </w:rPr>
        <w:t>to allow the ALJs enough time to review the comments received and to allow the Commission enough time to deliberate and issue its final decision</w:t>
      </w:r>
      <w:r w:rsidRPr="00B63DDF" w:rsidR="00CC380E">
        <w:rPr>
          <w:rFonts w:ascii="Book Antiqua" w:hAnsi="Book Antiqua"/>
        </w:rPr>
        <w:t>.</w:t>
      </w:r>
    </w:p>
    <w:p w:rsidRPr="0007271A" w:rsidR="00B80F6A" w:rsidP="007B1307" w:rsidRDefault="00B80F6A" w14:paraId="7E5CA8EF" w14:textId="5F62DCB6">
      <w:pPr>
        <w:pStyle w:val="dummy"/>
        <w:keepNext w:val="0"/>
        <w:spacing w:before="0" w:after="0" w:line="360" w:lineRule="auto"/>
        <w:rPr>
          <w:rFonts w:ascii="Arial" w:hAnsi="Arial" w:cs="Arial"/>
        </w:rPr>
      </w:pPr>
      <w:bookmarkStart w:name="_Toc370798914" w:id="4"/>
      <w:r w:rsidRPr="0007271A">
        <w:rPr>
          <w:rFonts w:ascii="Arial" w:hAnsi="Arial" w:cs="Arial"/>
        </w:rPr>
        <w:t>Conclusion of Law</w:t>
      </w:r>
      <w:bookmarkEnd w:id="4"/>
    </w:p>
    <w:p w:rsidR="00931B8F" w:rsidP="005E73D3" w:rsidRDefault="00F06107" w14:paraId="3EFF20A2" w14:textId="09E3EAC9">
      <w:pPr>
        <w:pStyle w:val="standard"/>
        <w:rPr>
          <w:rFonts w:ascii="Book Antiqua" w:hAnsi="Book Antiqua"/>
        </w:rPr>
      </w:pPr>
      <w:r w:rsidRPr="00F06107">
        <w:rPr>
          <w:rFonts w:ascii="Book Antiqua" w:hAnsi="Book Antiqua" w:eastAsia="Calibri"/>
          <w:szCs w:val="22"/>
        </w:rPr>
        <w:t xml:space="preserve">Pursuant to the authority granted to the Commission under Pub. Util. Code § 1701.5(a), the statutory deadline in this proceeding should be extended to </w:t>
      </w:r>
      <w:r w:rsidR="0054494E">
        <w:rPr>
          <w:rFonts w:ascii="Book Antiqua" w:hAnsi="Book Antiqua" w:eastAsia="Calibri"/>
          <w:szCs w:val="22"/>
        </w:rPr>
        <w:t>February</w:t>
      </w:r>
      <w:r w:rsidR="00CC5089">
        <w:rPr>
          <w:rFonts w:ascii="Book Antiqua" w:hAnsi="Book Antiqua" w:eastAsia="Calibri"/>
          <w:szCs w:val="22"/>
        </w:rPr>
        <w:t xml:space="preserve"> 13</w:t>
      </w:r>
      <w:r w:rsidRPr="00F06107">
        <w:rPr>
          <w:rFonts w:ascii="Book Antiqua" w:hAnsi="Book Antiqua" w:eastAsia="Calibri"/>
          <w:szCs w:val="22"/>
        </w:rPr>
        <w:t>, 202</w:t>
      </w:r>
      <w:r w:rsidR="0054494E">
        <w:rPr>
          <w:rFonts w:ascii="Book Antiqua" w:hAnsi="Book Antiqua" w:eastAsia="Calibri"/>
          <w:szCs w:val="22"/>
        </w:rPr>
        <w:t>1</w:t>
      </w:r>
      <w:r w:rsidRPr="0007271A" w:rsidR="005731A9">
        <w:rPr>
          <w:rFonts w:ascii="Book Antiqua" w:hAnsi="Book Antiqua"/>
        </w:rPr>
        <w:t>.</w:t>
      </w:r>
    </w:p>
    <w:p w:rsidRPr="0007271A" w:rsidR="00C54A96" w:rsidP="00D73E76" w:rsidRDefault="00C550F5" w14:paraId="2E86F6AC" w14:textId="57120974">
      <w:pPr>
        <w:pStyle w:val="standard"/>
        <w:keepNext/>
        <w:keepLines/>
        <w:spacing w:before="120"/>
        <w:rPr>
          <w:rFonts w:ascii="Book Antiqua" w:hAnsi="Book Antiqua" w:cs="BookAntiqua"/>
          <w:szCs w:val="26"/>
        </w:rPr>
      </w:pPr>
      <w:r w:rsidRPr="0007271A">
        <w:rPr>
          <w:rFonts w:ascii="Arial" w:hAnsi="Arial" w:cs="Arial"/>
          <w:b/>
        </w:rPr>
        <w:lastRenderedPageBreak/>
        <w:t>IT IS ORDERED</w:t>
      </w:r>
      <w:r>
        <w:t xml:space="preserve"> </w:t>
      </w:r>
      <w:r w:rsidRPr="00F06107" w:rsidR="00F06107">
        <w:rPr>
          <w:rFonts w:ascii="Book Antiqua" w:hAnsi="Book Antiqua"/>
        </w:rPr>
        <w:t xml:space="preserve">that the statutory deadline in this proceeding is extended until </w:t>
      </w:r>
      <w:r w:rsidR="0054494E">
        <w:rPr>
          <w:rFonts w:ascii="Book Antiqua" w:hAnsi="Book Antiqua"/>
        </w:rPr>
        <w:t>February</w:t>
      </w:r>
      <w:r w:rsidR="00CC5089">
        <w:rPr>
          <w:rFonts w:ascii="Book Antiqua" w:hAnsi="Book Antiqua"/>
        </w:rPr>
        <w:t xml:space="preserve"> 13</w:t>
      </w:r>
      <w:r w:rsidRPr="00F06107" w:rsidR="00F06107">
        <w:rPr>
          <w:rFonts w:ascii="Book Antiqua" w:hAnsi="Book Antiqua"/>
        </w:rPr>
        <w:t>, 202</w:t>
      </w:r>
      <w:r w:rsidR="0054494E">
        <w:rPr>
          <w:rFonts w:ascii="Book Antiqua" w:hAnsi="Book Antiqua"/>
        </w:rPr>
        <w:t>1</w:t>
      </w:r>
      <w:r w:rsidRPr="0007271A">
        <w:rPr>
          <w:rFonts w:ascii="Book Antiqua" w:hAnsi="Book Antiqua"/>
        </w:rPr>
        <w:t>.</w:t>
      </w:r>
    </w:p>
    <w:p w:rsidRPr="0007271A" w:rsidR="00B80F6A" w:rsidP="00D73E76" w:rsidRDefault="00B80F6A" w14:paraId="0AB1F1F7" w14:textId="77777777">
      <w:pPr>
        <w:pStyle w:val="standard"/>
        <w:keepNext/>
        <w:keepLines/>
        <w:rPr>
          <w:rFonts w:ascii="Book Antiqua" w:hAnsi="Book Antiqua"/>
        </w:rPr>
      </w:pPr>
      <w:r w:rsidRPr="0007271A">
        <w:rPr>
          <w:rFonts w:ascii="Book Antiqua" w:hAnsi="Book Antiqua"/>
        </w:rPr>
        <w:t>This order is effective today.</w:t>
      </w:r>
    </w:p>
    <w:p w:rsidR="00A161D4" w:rsidP="00D73E76" w:rsidRDefault="00A161D4" w14:paraId="38470D47" w14:textId="77777777">
      <w:pPr>
        <w:pStyle w:val="standard"/>
        <w:keepNext/>
        <w:keepLines/>
      </w:pPr>
      <w:r>
        <w:t>Dated __________________, at San Francisco, California.</w:t>
      </w:r>
    </w:p>
    <w:p w:rsidR="003A2457" w:rsidP="00D73E76" w:rsidRDefault="003A2457" w14:paraId="56138013" w14:textId="452531FE">
      <w:pPr>
        <w:pStyle w:val="standard"/>
        <w:keepNext/>
        <w:keepLines/>
        <w:spacing w:line="240" w:lineRule="auto"/>
        <w:rPr>
          <w:rFonts w:ascii="Book Antiqua" w:hAnsi="Book Antiqua"/>
          <w:szCs w:val="26"/>
        </w:rPr>
      </w:pPr>
    </w:p>
    <w:p w:rsidR="003A2457" w:rsidP="00D73E76" w:rsidRDefault="003A2457" w14:paraId="3EFBB5FD" w14:textId="59818725">
      <w:pPr>
        <w:pStyle w:val="standard"/>
        <w:keepNext/>
        <w:keepLines/>
        <w:spacing w:line="240" w:lineRule="auto"/>
        <w:rPr>
          <w:rFonts w:ascii="Book Antiqua" w:hAnsi="Book Antiqua"/>
          <w:szCs w:val="26"/>
        </w:rPr>
      </w:pPr>
    </w:p>
    <w:p w:rsidR="003A2457" w:rsidP="00D73E76" w:rsidRDefault="003A2457" w14:paraId="1934D9D7" w14:textId="1B95DB42">
      <w:pPr>
        <w:pStyle w:val="standard"/>
        <w:keepNext/>
        <w:keepLines/>
        <w:spacing w:line="240" w:lineRule="auto"/>
        <w:rPr>
          <w:rFonts w:ascii="Book Antiqua" w:hAnsi="Book Antiqua"/>
          <w:szCs w:val="26"/>
        </w:rPr>
      </w:pPr>
    </w:p>
    <w:p w:rsidRPr="0007271A" w:rsidR="003A2457" w:rsidP="000B1B33" w:rsidRDefault="003A2457" w14:paraId="5F0937C2" w14:textId="77777777">
      <w:pPr>
        <w:pStyle w:val="standard"/>
        <w:spacing w:line="240" w:lineRule="auto"/>
        <w:rPr>
          <w:rFonts w:ascii="Book Antiqua" w:hAnsi="Book Antiqua"/>
          <w:szCs w:val="26"/>
        </w:rPr>
      </w:pPr>
    </w:p>
    <w:sectPr w:rsidRPr="0007271A" w:rsidR="003A2457" w:rsidSect="009238B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28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5EF2" w14:textId="77777777" w:rsidR="00581E8F" w:rsidRDefault="00581E8F">
      <w:r>
        <w:separator/>
      </w:r>
    </w:p>
  </w:endnote>
  <w:endnote w:type="continuationSeparator" w:id="0">
    <w:p w14:paraId="1FA9AF1E" w14:textId="77777777" w:rsidR="00581E8F" w:rsidRDefault="0058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Antiqu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3D2B6" w14:textId="77777777" w:rsidR="009D26C2" w:rsidRDefault="009D26C2" w:rsidP="009238BB">
    <w:pPr>
      <w:pStyle w:val="Footer"/>
      <w:tabs>
        <w:tab w:val="clear" w:pos="4320"/>
        <w:tab w:val="center" w:pos="4680"/>
      </w:tabs>
      <w:rPr>
        <w:rStyle w:val="PageNumber"/>
        <w:sz w:val="24"/>
        <w:szCs w:val="24"/>
      </w:rPr>
    </w:pPr>
    <w:r>
      <w:rPr>
        <w:rStyle w:val="PageNumber"/>
        <w:sz w:val="24"/>
        <w:szCs w:val="24"/>
      </w:rPr>
      <w:t xml:space="preserve">- </w:t>
    </w:r>
    <w:r>
      <w:rPr>
        <w:rStyle w:val="PageNumber"/>
        <w:sz w:val="24"/>
        <w:szCs w:val="24"/>
      </w:rPr>
      <w:fldChar w:fldCharType="begin"/>
    </w:r>
    <w:r>
      <w:rPr>
        <w:rStyle w:val="PageNumber"/>
        <w:sz w:val="24"/>
        <w:szCs w:val="24"/>
      </w:rPr>
      <w:instrText xml:space="preserve"> PAGE </w:instrText>
    </w:r>
    <w:r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2</w:t>
    </w:r>
    <w:r>
      <w:rPr>
        <w:rStyle w:val="PageNumber"/>
        <w:sz w:val="24"/>
        <w:szCs w:val="24"/>
      </w:rPr>
      <w:fldChar w:fldCharType="end"/>
    </w:r>
    <w:r>
      <w:rPr>
        <w:rStyle w:val="PageNumber"/>
        <w:sz w:val="24"/>
        <w:szCs w:val="2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9FBB4" w14:textId="3662D03B" w:rsidR="009D26C2" w:rsidRDefault="001E50CF" w:rsidP="009238BB">
    <w:pPr>
      <w:pStyle w:val="Footer"/>
      <w:tabs>
        <w:tab w:val="clear" w:pos="4320"/>
        <w:tab w:val="center" w:pos="4680"/>
      </w:tabs>
      <w:jc w:val="left"/>
      <w:rPr>
        <w:rStyle w:val="PageNumber"/>
        <w:sz w:val="24"/>
        <w:szCs w:val="24"/>
      </w:rPr>
    </w:pPr>
    <w:r w:rsidRPr="001E50CF">
      <w:rPr>
        <w:sz w:val="16"/>
        <w:szCs w:val="16"/>
      </w:rPr>
      <w:t xml:space="preserve">350345129 </w:t>
    </w:r>
    <w:r w:rsidR="009D26C2">
      <w:rPr>
        <w:rStyle w:val="PageNumber"/>
        <w:sz w:val="24"/>
        <w:szCs w:val="24"/>
      </w:rPr>
      <w:tab/>
      <w:t xml:space="preserve">- </w:t>
    </w:r>
    <w:r w:rsidR="009D26C2">
      <w:rPr>
        <w:rStyle w:val="PageNumber"/>
        <w:sz w:val="24"/>
        <w:szCs w:val="24"/>
      </w:rPr>
      <w:fldChar w:fldCharType="begin"/>
    </w:r>
    <w:r w:rsidR="009D26C2">
      <w:rPr>
        <w:rStyle w:val="PageNumber"/>
        <w:sz w:val="24"/>
        <w:szCs w:val="24"/>
      </w:rPr>
      <w:instrText xml:space="preserve"> PAGE </w:instrText>
    </w:r>
    <w:r w:rsidR="009D26C2">
      <w:rPr>
        <w:rStyle w:val="PageNumber"/>
        <w:sz w:val="24"/>
        <w:szCs w:val="24"/>
      </w:rPr>
      <w:fldChar w:fldCharType="separate"/>
    </w:r>
    <w:r w:rsidR="009D26C2">
      <w:rPr>
        <w:rStyle w:val="PageNumber"/>
        <w:noProof/>
        <w:sz w:val="24"/>
        <w:szCs w:val="24"/>
      </w:rPr>
      <w:t>1</w:t>
    </w:r>
    <w:r w:rsidR="009D26C2">
      <w:rPr>
        <w:rStyle w:val="PageNumber"/>
        <w:sz w:val="24"/>
        <w:szCs w:val="24"/>
      </w:rPr>
      <w:fldChar w:fldCharType="end"/>
    </w:r>
    <w:r w:rsidR="009D26C2">
      <w:rPr>
        <w:rStyle w:val="PageNumber"/>
        <w:sz w:val="24"/>
        <w:szCs w:val="24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B4676" w14:textId="77777777" w:rsidR="00581E8F" w:rsidRDefault="00581E8F">
      <w:r>
        <w:separator/>
      </w:r>
    </w:p>
  </w:footnote>
  <w:footnote w:type="continuationSeparator" w:id="0">
    <w:p w14:paraId="31BB2E35" w14:textId="77777777" w:rsidR="00581E8F" w:rsidRDefault="00581E8F">
      <w:r>
        <w:continuationSeparator/>
      </w:r>
    </w:p>
  </w:footnote>
  <w:footnote w:type="continuationNotice" w:id="1">
    <w:p w14:paraId="141DE4E1" w14:textId="77777777" w:rsidR="00581E8F" w:rsidRDefault="00581E8F">
      <w:pPr>
        <w:rPr>
          <w:sz w:val="22"/>
        </w:rPr>
      </w:pPr>
    </w:p>
    <w:p w14:paraId="59E251CC" w14:textId="77777777" w:rsidR="00581E8F" w:rsidRDefault="00581E8F">
      <w:pPr>
        <w:jc w:val="right"/>
        <w:rPr>
          <w:sz w:val="22"/>
        </w:rPr>
      </w:pPr>
      <w:r>
        <w:rPr>
          <w:i/>
          <w:sz w:val="22"/>
        </w:rPr>
        <w:t xml:space="preserve">Footnote </w:t>
      </w:r>
      <w:proofErr w:type="gramStart"/>
      <w:r>
        <w:rPr>
          <w:i/>
          <w:sz w:val="22"/>
        </w:rPr>
        <w:t>continued on</w:t>
      </w:r>
      <w:proofErr w:type="gramEnd"/>
      <w:r>
        <w:rPr>
          <w:i/>
          <w:sz w:val="22"/>
        </w:rPr>
        <w:t xml:space="preserve"> next page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D1B3" w14:textId="094312AA" w:rsidR="007E5E3E" w:rsidRDefault="00F16711" w:rsidP="007E5E3E">
    <w:pPr>
      <w:pStyle w:val="Header"/>
      <w:tabs>
        <w:tab w:val="clear" w:pos="8640"/>
        <w:tab w:val="right" w:pos="9360"/>
      </w:tabs>
    </w:pPr>
    <w:r>
      <w:rPr>
        <w:rFonts w:ascii="Book Antiqua" w:hAnsi="Book Antiqua"/>
      </w:rPr>
      <w:t>A.18-</w:t>
    </w:r>
    <w:r w:rsidR="007C6AC7">
      <w:rPr>
        <w:rFonts w:ascii="Book Antiqua" w:hAnsi="Book Antiqua"/>
      </w:rPr>
      <w:t>12-</w:t>
    </w:r>
    <w:proofErr w:type="gramStart"/>
    <w:r w:rsidR="007C6AC7">
      <w:rPr>
        <w:rFonts w:ascii="Book Antiqua" w:hAnsi="Book Antiqua"/>
      </w:rPr>
      <w:t>00</w:t>
    </w:r>
    <w:r w:rsidR="00181A2D">
      <w:rPr>
        <w:rFonts w:ascii="Book Antiqua" w:hAnsi="Book Antiqua"/>
      </w:rPr>
      <w:t>9</w:t>
    </w:r>
    <w:r w:rsidR="009D26C2" w:rsidRPr="00817A60">
      <w:rPr>
        <w:rFonts w:ascii="Book Antiqua" w:hAnsi="Book Antiqua"/>
      </w:rPr>
      <w:t xml:space="preserve">  ALJ</w:t>
    </w:r>
    <w:proofErr w:type="gramEnd"/>
    <w:r w:rsidR="009D26C2" w:rsidRPr="00817A60">
      <w:rPr>
        <w:rFonts w:ascii="Book Antiqua" w:hAnsi="Book Antiqua"/>
      </w:rPr>
      <w:t>/</w:t>
    </w:r>
    <w:r w:rsidR="00181A2D">
      <w:rPr>
        <w:rFonts w:ascii="Book Antiqua" w:hAnsi="Book Antiqua"/>
      </w:rPr>
      <w:t>EC2/RL8</w:t>
    </w:r>
    <w:r w:rsidR="009D26C2" w:rsidRPr="00817A60">
      <w:rPr>
        <w:rFonts w:ascii="Book Antiqua" w:hAnsi="Book Antiqua"/>
      </w:rPr>
      <w:t>/</w:t>
    </w:r>
    <w:proofErr w:type="spellStart"/>
    <w:r w:rsidR="009D26C2" w:rsidRPr="00817A60">
      <w:rPr>
        <w:rFonts w:ascii="Book Antiqua" w:hAnsi="Book Antiqua"/>
      </w:rPr>
      <w:t>mln</w:t>
    </w:r>
    <w:proofErr w:type="spellEnd"/>
    <w:r w:rsidR="00EA2E93">
      <w:rPr>
        <w:rFonts w:ascii="Book Antiqua" w:hAnsi="Book Antiqua"/>
      </w:rPr>
      <w:t>/</w:t>
    </w:r>
    <w:proofErr w:type="spellStart"/>
    <w:r w:rsidR="00EA2E93">
      <w:rPr>
        <w:rFonts w:ascii="Book Antiqua" w:hAnsi="Book Antiqua"/>
      </w:rPr>
      <w:t>avs</w:t>
    </w:r>
    <w:proofErr w:type="spellEnd"/>
    <w:r w:rsidR="007E5E3E">
      <w:tab/>
    </w:r>
    <w:r w:rsidR="007E5E3E" w:rsidRPr="008B197F">
      <w:rPr>
        <w:rFonts w:ascii="Arial" w:hAnsi="Arial" w:cs="Arial"/>
        <w:b/>
        <w:sz w:val="32"/>
        <w:szCs w:val="32"/>
      </w:rPr>
      <w:t>PROPOSED DECISION</w:t>
    </w:r>
  </w:p>
  <w:p w14:paraId="4CF6C605" w14:textId="2391F25B" w:rsidR="002E134E" w:rsidRDefault="002E134E" w:rsidP="00440B6D">
    <w:pPr>
      <w:pStyle w:val="Header"/>
      <w:tabs>
        <w:tab w:val="clear" w:pos="8640"/>
        <w:tab w:val="right" w:pos="9360"/>
      </w:tabs>
      <w:rPr>
        <w:rFonts w:ascii="Book Antiqua" w:hAnsi="Book Antiqua"/>
      </w:rPr>
    </w:pPr>
  </w:p>
  <w:p w14:paraId="310B4375" w14:textId="77777777" w:rsidR="002F2657" w:rsidRPr="002E134E" w:rsidRDefault="002F2657" w:rsidP="00440B6D">
    <w:pPr>
      <w:pStyle w:val="Header"/>
      <w:tabs>
        <w:tab w:val="clear" w:pos="8640"/>
        <w:tab w:val="right" w:pos="9360"/>
      </w:tabs>
      <w:rPr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CB13B" w14:textId="44B75547" w:rsidR="00032417" w:rsidRPr="00270AB9" w:rsidRDefault="00032417" w:rsidP="00032417">
    <w:pPr>
      <w:pStyle w:val="Header"/>
      <w:rPr>
        <w:rFonts w:ascii="Book Antiqua" w:hAnsi="Book Antiqua"/>
        <w:b/>
      </w:rPr>
    </w:pPr>
    <w:r w:rsidRPr="00270AB9">
      <w:rPr>
        <w:rFonts w:ascii="Book Antiqua" w:hAnsi="Book Antiqua"/>
      </w:rPr>
      <w:t>[</w:t>
    </w:r>
    <w:r>
      <w:rPr>
        <w:rFonts w:ascii="Book Antiqua" w:hAnsi="Book Antiqua"/>
      </w:rPr>
      <w:t>November 5, 2020</w:t>
    </w:r>
    <w:r w:rsidRPr="00270AB9">
      <w:rPr>
        <w:rFonts w:ascii="Book Antiqua" w:hAnsi="Book Antiqua"/>
      </w:rPr>
      <w:t xml:space="preserve">] </w:t>
    </w:r>
    <w:r w:rsidRPr="00270AB9">
      <w:rPr>
        <w:rFonts w:ascii="Book Antiqua" w:hAnsi="Book Antiqua"/>
        <w:i/>
      </w:rPr>
      <w:t xml:space="preserve">Internal Review Draft; Subject to </w:t>
    </w:r>
    <w:r w:rsidRPr="00270AB9">
      <w:rPr>
        <w:rFonts w:ascii="Book Antiqua" w:hAnsi="Book Antiqua"/>
        <w:b/>
        <w:i/>
      </w:rPr>
      <w:t>ALJ Division Review</w:t>
    </w:r>
  </w:p>
  <w:p w14:paraId="0D17F50F" w14:textId="77777777" w:rsidR="00032417" w:rsidRDefault="00032417" w:rsidP="00032417">
    <w:pPr>
      <w:pStyle w:val="Header"/>
      <w:rPr>
        <w:i/>
      </w:rPr>
    </w:pPr>
    <w:r w:rsidRPr="00270AB9">
      <w:rPr>
        <w:rFonts w:ascii="Book Antiqua" w:hAnsi="Book Antiqua"/>
        <w:b/>
      </w:rPr>
      <w:t xml:space="preserve">CONFIDENTIAL; </w:t>
    </w:r>
    <w:r w:rsidRPr="00270AB9">
      <w:rPr>
        <w:rFonts w:ascii="Book Antiqua" w:hAnsi="Book Antiqua"/>
        <w:i/>
      </w:rPr>
      <w:t>Deliberative Process Privilege</w:t>
    </w:r>
  </w:p>
  <w:p w14:paraId="1277CF6A" w14:textId="77777777" w:rsidR="00032417" w:rsidRDefault="00032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B381E"/>
    <w:multiLevelType w:val="singleLevel"/>
    <w:tmpl w:val="2FB6A734"/>
    <w:lvl w:ilvl="0">
      <w:start w:val="1"/>
      <w:numFmt w:val="decimal"/>
      <w:lvlText w:val="%1."/>
      <w:legacy w:legacy="1" w:legacySpace="144" w:legacyIndent="0"/>
      <w:lvlJc w:val="left"/>
    </w:lvl>
  </w:abstractNum>
  <w:abstractNum w:abstractNumId="1" w15:restartNumberingAfterBreak="0">
    <w:nsid w:val="2DD46003"/>
    <w:multiLevelType w:val="singleLevel"/>
    <w:tmpl w:val="2FB6A734"/>
    <w:lvl w:ilvl="0">
      <w:start w:val="1"/>
      <w:numFmt w:val="decimal"/>
      <w:lvlText w:val="%1."/>
      <w:legacy w:legacy="1" w:legacySpace="144" w:legacyIndent="0"/>
      <w:lvlJc w:val="left"/>
    </w:lvl>
  </w:abstractNum>
  <w:abstractNum w:abstractNumId="2" w15:restartNumberingAfterBreak="0">
    <w:nsid w:val="2E187A67"/>
    <w:multiLevelType w:val="hybridMultilevel"/>
    <w:tmpl w:val="10BA0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3765A4"/>
    <w:multiLevelType w:val="hybridMultilevel"/>
    <w:tmpl w:val="48009896"/>
    <w:lvl w:ilvl="0" w:tplc="408002C8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4" w15:restartNumberingAfterBreak="0">
    <w:nsid w:val="52067F93"/>
    <w:multiLevelType w:val="hybridMultilevel"/>
    <w:tmpl w:val="9956F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713A"/>
    <w:multiLevelType w:val="hybridMultilevel"/>
    <w:tmpl w:val="0D3AE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1C30FD"/>
    <w:multiLevelType w:val="singleLevel"/>
    <w:tmpl w:val="2FB6A734"/>
    <w:lvl w:ilvl="0">
      <w:start w:val="1"/>
      <w:numFmt w:val="decimal"/>
      <w:lvlText w:val="%1."/>
      <w:legacy w:legacy="1" w:legacySpace="144" w:legacyIndent="0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F6A"/>
    <w:rsid w:val="0000241C"/>
    <w:rsid w:val="000026D1"/>
    <w:rsid w:val="00004D1D"/>
    <w:rsid w:val="0001254D"/>
    <w:rsid w:val="0001521A"/>
    <w:rsid w:val="00016A92"/>
    <w:rsid w:val="00032417"/>
    <w:rsid w:val="000350F9"/>
    <w:rsid w:val="00035F70"/>
    <w:rsid w:val="000368A5"/>
    <w:rsid w:val="00036E0A"/>
    <w:rsid w:val="00051D74"/>
    <w:rsid w:val="00054A32"/>
    <w:rsid w:val="00066650"/>
    <w:rsid w:val="00071014"/>
    <w:rsid w:val="0007271A"/>
    <w:rsid w:val="000768E5"/>
    <w:rsid w:val="00087E6E"/>
    <w:rsid w:val="00090AFF"/>
    <w:rsid w:val="0009530D"/>
    <w:rsid w:val="000958B2"/>
    <w:rsid w:val="000A1267"/>
    <w:rsid w:val="000A634C"/>
    <w:rsid w:val="000B1B33"/>
    <w:rsid w:val="000B1ED7"/>
    <w:rsid w:val="000C15AE"/>
    <w:rsid w:val="000D092E"/>
    <w:rsid w:val="000D314C"/>
    <w:rsid w:val="000F0D71"/>
    <w:rsid w:val="000F1018"/>
    <w:rsid w:val="000F5BE3"/>
    <w:rsid w:val="000F60AB"/>
    <w:rsid w:val="00100F2D"/>
    <w:rsid w:val="0010357D"/>
    <w:rsid w:val="00103F8F"/>
    <w:rsid w:val="00106905"/>
    <w:rsid w:val="00116110"/>
    <w:rsid w:val="00124F80"/>
    <w:rsid w:val="00125013"/>
    <w:rsid w:val="00136B17"/>
    <w:rsid w:val="00145A29"/>
    <w:rsid w:val="00147E1D"/>
    <w:rsid w:val="00150C04"/>
    <w:rsid w:val="0015404A"/>
    <w:rsid w:val="00155724"/>
    <w:rsid w:val="001562CD"/>
    <w:rsid w:val="001573B2"/>
    <w:rsid w:val="001604D0"/>
    <w:rsid w:val="001616B3"/>
    <w:rsid w:val="0017570C"/>
    <w:rsid w:val="00181A2D"/>
    <w:rsid w:val="001875DE"/>
    <w:rsid w:val="00194FB5"/>
    <w:rsid w:val="001A0413"/>
    <w:rsid w:val="001A498F"/>
    <w:rsid w:val="001A49E7"/>
    <w:rsid w:val="001A7E24"/>
    <w:rsid w:val="001C7B93"/>
    <w:rsid w:val="001D0123"/>
    <w:rsid w:val="001D67FF"/>
    <w:rsid w:val="001D7547"/>
    <w:rsid w:val="001E378D"/>
    <w:rsid w:val="001E50CF"/>
    <w:rsid w:val="001E711B"/>
    <w:rsid w:val="001F2B4A"/>
    <w:rsid w:val="001F4BCA"/>
    <w:rsid w:val="001F6391"/>
    <w:rsid w:val="002003EA"/>
    <w:rsid w:val="00212B87"/>
    <w:rsid w:val="0021412D"/>
    <w:rsid w:val="0021463F"/>
    <w:rsid w:val="00215BDC"/>
    <w:rsid w:val="00221487"/>
    <w:rsid w:val="00221518"/>
    <w:rsid w:val="00221BEB"/>
    <w:rsid w:val="002274BE"/>
    <w:rsid w:val="00227BD3"/>
    <w:rsid w:val="00236C61"/>
    <w:rsid w:val="00241326"/>
    <w:rsid w:val="002423B9"/>
    <w:rsid w:val="00243034"/>
    <w:rsid w:val="00250019"/>
    <w:rsid w:val="0025076A"/>
    <w:rsid w:val="00254D0C"/>
    <w:rsid w:val="00256895"/>
    <w:rsid w:val="00264F78"/>
    <w:rsid w:val="00267D4B"/>
    <w:rsid w:val="00283B82"/>
    <w:rsid w:val="002873E6"/>
    <w:rsid w:val="002874E3"/>
    <w:rsid w:val="00290C75"/>
    <w:rsid w:val="00291EE4"/>
    <w:rsid w:val="002A4443"/>
    <w:rsid w:val="002A6FB5"/>
    <w:rsid w:val="002B2010"/>
    <w:rsid w:val="002B59FA"/>
    <w:rsid w:val="002C5F5D"/>
    <w:rsid w:val="002D2BA6"/>
    <w:rsid w:val="002E134E"/>
    <w:rsid w:val="002E7512"/>
    <w:rsid w:val="002F254D"/>
    <w:rsid w:val="002F2657"/>
    <w:rsid w:val="002F3EED"/>
    <w:rsid w:val="002F64D5"/>
    <w:rsid w:val="00304438"/>
    <w:rsid w:val="00304C7E"/>
    <w:rsid w:val="003060A5"/>
    <w:rsid w:val="0031019F"/>
    <w:rsid w:val="00313439"/>
    <w:rsid w:val="00315820"/>
    <w:rsid w:val="003225FF"/>
    <w:rsid w:val="00324D6F"/>
    <w:rsid w:val="00340BE5"/>
    <w:rsid w:val="0034677F"/>
    <w:rsid w:val="003579CB"/>
    <w:rsid w:val="00362241"/>
    <w:rsid w:val="00366842"/>
    <w:rsid w:val="00370B6E"/>
    <w:rsid w:val="00371887"/>
    <w:rsid w:val="00373E62"/>
    <w:rsid w:val="0038139A"/>
    <w:rsid w:val="00390F3E"/>
    <w:rsid w:val="00394451"/>
    <w:rsid w:val="003A2457"/>
    <w:rsid w:val="003A2C44"/>
    <w:rsid w:val="003A49ED"/>
    <w:rsid w:val="003D1B71"/>
    <w:rsid w:val="003F2DE7"/>
    <w:rsid w:val="0040038A"/>
    <w:rsid w:val="00412CAF"/>
    <w:rsid w:val="00412FB0"/>
    <w:rsid w:val="00416CE4"/>
    <w:rsid w:val="00421D8B"/>
    <w:rsid w:val="004304BB"/>
    <w:rsid w:val="00432EF7"/>
    <w:rsid w:val="004361D7"/>
    <w:rsid w:val="004406D0"/>
    <w:rsid w:val="00440B6D"/>
    <w:rsid w:val="004419F6"/>
    <w:rsid w:val="00445F3C"/>
    <w:rsid w:val="00450550"/>
    <w:rsid w:val="0045060A"/>
    <w:rsid w:val="00450DA4"/>
    <w:rsid w:val="004520BB"/>
    <w:rsid w:val="00454E08"/>
    <w:rsid w:val="00457846"/>
    <w:rsid w:val="0046034C"/>
    <w:rsid w:val="0046618E"/>
    <w:rsid w:val="0047751D"/>
    <w:rsid w:val="00485210"/>
    <w:rsid w:val="004A6E0C"/>
    <w:rsid w:val="004B74CF"/>
    <w:rsid w:val="004D0FBF"/>
    <w:rsid w:val="004D2129"/>
    <w:rsid w:val="004D38AB"/>
    <w:rsid w:val="004D3C60"/>
    <w:rsid w:val="004D46AD"/>
    <w:rsid w:val="004D7E66"/>
    <w:rsid w:val="004E7478"/>
    <w:rsid w:val="00510738"/>
    <w:rsid w:val="00521532"/>
    <w:rsid w:val="00522AA1"/>
    <w:rsid w:val="00525AC2"/>
    <w:rsid w:val="00530037"/>
    <w:rsid w:val="005331C3"/>
    <w:rsid w:val="00534D37"/>
    <w:rsid w:val="00535A0B"/>
    <w:rsid w:val="005408E1"/>
    <w:rsid w:val="00542231"/>
    <w:rsid w:val="0054494E"/>
    <w:rsid w:val="005507C7"/>
    <w:rsid w:val="00552D5F"/>
    <w:rsid w:val="00557E2E"/>
    <w:rsid w:val="0056564C"/>
    <w:rsid w:val="00570D04"/>
    <w:rsid w:val="005731A9"/>
    <w:rsid w:val="00581E8F"/>
    <w:rsid w:val="0058474B"/>
    <w:rsid w:val="00586E88"/>
    <w:rsid w:val="00592A8A"/>
    <w:rsid w:val="00593A4D"/>
    <w:rsid w:val="0059678D"/>
    <w:rsid w:val="00596DBD"/>
    <w:rsid w:val="005A03F2"/>
    <w:rsid w:val="005A1556"/>
    <w:rsid w:val="005A3EE6"/>
    <w:rsid w:val="005A7AE2"/>
    <w:rsid w:val="005B480B"/>
    <w:rsid w:val="005B6884"/>
    <w:rsid w:val="005C3B2A"/>
    <w:rsid w:val="005C445C"/>
    <w:rsid w:val="005C4F70"/>
    <w:rsid w:val="005C552C"/>
    <w:rsid w:val="005C5E0F"/>
    <w:rsid w:val="005D31C1"/>
    <w:rsid w:val="005D6398"/>
    <w:rsid w:val="005D6ABA"/>
    <w:rsid w:val="005E629D"/>
    <w:rsid w:val="005E73D3"/>
    <w:rsid w:val="005F3911"/>
    <w:rsid w:val="00600B7A"/>
    <w:rsid w:val="00612438"/>
    <w:rsid w:val="0061321E"/>
    <w:rsid w:val="00614E65"/>
    <w:rsid w:val="0062310A"/>
    <w:rsid w:val="00630632"/>
    <w:rsid w:val="00655340"/>
    <w:rsid w:val="006602E5"/>
    <w:rsid w:val="00660626"/>
    <w:rsid w:val="00680FC2"/>
    <w:rsid w:val="006915A9"/>
    <w:rsid w:val="00694505"/>
    <w:rsid w:val="00694F4E"/>
    <w:rsid w:val="006A081E"/>
    <w:rsid w:val="006C2E23"/>
    <w:rsid w:val="006E1009"/>
    <w:rsid w:val="006E11FC"/>
    <w:rsid w:val="006E1B00"/>
    <w:rsid w:val="006E4047"/>
    <w:rsid w:val="006E5CF9"/>
    <w:rsid w:val="006E7DAA"/>
    <w:rsid w:val="007005FC"/>
    <w:rsid w:val="00700D08"/>
    <w:rsid w:val="007040E4"/>
    <w:rsid w:val="00716B4B"/>
    <w:rsid w:val="007310E0"/>
    <w:rsid w:val="007345E9"/>
    <w:rsid w:val="00735483"/>
    <w:rsid w:val="00740DE1"/>
    <w:rsid w:val="00751A5A"/>
    <w:rsid w:val="00751CDA"/>
    <w:rsid w:val="007524B9"/>
    <w:rsid w:val="00764B74"/>
    <w:rsid w:val="0076681D"/>
    <w:rsid w:val="00783044"/>
    <w:rsid w:val="00793A4E"/>
    <w:rsid w:val="007A002F"/>
    <w:rsid w:val="007B11B1"/>
    <w:rsid w:val="007B1307"/>
    <w:rsid w:val="007B4B4F"/>
    <w:rsid w:val="007B7F2A"/>
    <w:rsid w:val="007C0C2A"/>
    <w:rsid w:val="007C2439"/>
    <w:rsid w:val="007C52E6"/>
    <w:rsid w:val="007C6AC7"/>
    <w:rsid w:val="007C6CEA"/>
    <w:rsid w:val="007D31A5"/>
    <w:rsid w:val="007E37BE"/>
    <w:rsid w:val="007E5E3E"/>
    <w:rsid w:val="007F4437"/>
    <w:rsid w:val="00804FE4"/>
    <w:rsid w:val="00817A60"/>
    <w:rsid w:val="00825D66"/>
    <w:rsid w:val="00832CD0"/>
    <w:rsid w:val="008336A9"/>
    <w:rsid w:val="00843F26"/>
    <w:rsid w:val="00856CE7"/>
    <w:rsid w:val="00872403"/>
    <w:rsid w:val="008728C6"/>
    <w:rsid w:val="00873CAA"/>
    <w:rsid w:val="00873FA6"/>
    <w:rsid w:val="00875C50"/>
    <w:rsid w:val="00887206"/>
    <w:rsid w:val="00896570"/>
    <w:rsid w:val="008A42C3"/>
    <w:rsid w:val="008B3993"/>
    <w:rsid w:val="008B5B00"/>
    <w:rsid w:val="008B66A2"/>
    <w:rsid w:val="008C3184"/>
    <w:rsid w:val="008C3812"/>
    <w:rsid w:val="008D1661"/>
    <w:rsid w:val="008D62B6"/>
    <w:rsid w:val="008E415D"/>
    <w:rsid w:val="008F123D"/>
    <w:rsid w:val="008F5D27"/>
    <w:rsid w:val="00906699"/>
    <w:rsid w:val="009238BB"/>
    <w:rsid w:val="00931B8F"/>
    <w:rsid w:val="00934389"/>
    <w:rsid w:val="00936CFB"/>
    <w:rsid w:val="00956E68"/>
    <w:rsid w:val="009636F0"/>
    <w:rsid w:val="00967E6A"/>
    <w:rsid w:val="0097778A"/>
    <w:rsid w:val="00984D87"/>
    <w:rsid w:val="00994DD3"/>
    <w:rsid w:val="009A574D"/>
    <w:rsid w:val="009B2EAB"/>
    <w:rsid w:val="009B382D"/>
    <w:rsid w:val="009C1FC0"/>
    <w:rsid w:val="009C2289"/>
    <w:rsid w:val="009D26C2"/>
    <w:rsid w:val="009D4A23"/>
    <w:rsid w:val="009D659E"/>
    <w:rsid w:val="009E3308"/>
    <w:rsid w:val="00A00A24"/>
    <w:rsid w:val="00A069CD"/>
    <w:rsid w:val="00A1179E"/>
    <w:rsid w:val="00A156BC"/>
    <w:rsid w:val="00A161D4"/>
    <w:rsid w:val="00A24B24"/>
    <w:rsid w:val="00A27A6E"/>
    <w:rsid w:val="00A426A7"/>
    <w:rsid w:val="00A60670"/>
    <w:rsid w:val="00A63C5F"/>
    <w:rsid w:val="00A64333"/>
    <w:rsid w:val="00A668F2"/>
    <w:rsid w:val="00A73BBF"/>
    <w:rsid w:val="00A80FB0"/>
    <w:rsid w:val="00A914BD"/>
    <w:rsid w:val="00A93E5A"/>
    <w:rsid w:val="00A974EE"/>
    <w:rsid w:val="00A97E22"/>
    <w:rsid w:val="00AA21AD"/>
    <w:rsid w:val="00AA2A5E"/>
    <w:rsid w:val="00AA5DCF"/>
    <w:rsid w:val="00AB0431"/>
    <w:rsid w:val="00AB5B09"/>
    <w:rsid w:val="00AC4AD6"/>
    <w:rsid w:val="00AC4FC8"/>
    <w:rsid w:val="00AD0820"/>
    <w:rsid w:val="00AE3EF6"/>
    <w:rsid w:val="00AF1575"/>
    <w:rsid w:val="00B13938"/>
    <w:rsid w:val="00B20886"/>
    <w:rsid w:val="00B209FF"/>
    <w:rsid w:val="00B24712"/>
    <w:rsid w:val="00B332E5"/>
    <w:rsid w:val="00B3335D"/>
    <w:rsid w:val="00B36BB1"/>
    <w:rsid w:val="00B4178A"/>
    <w:rsid w:val="00B47F60"/>
    <w:rsid w:val="00B56304"/>
    <w:rsid w:val="00B63DDF"/>
    <w:rsid w:val="00B66D98"/>
    <w:rsid w:val="00B76F86"/>
    <w:rsid w:val="00B80F6A"/>
    <w:rsid w:val="00B81AB9"/>
    <w:rsid w:val="00B84879"/>
    <w:rsid w:val="00B913EB"/>
    <w:rsid w:val="00B9596F"/>
    <w:rsid w:val="00B960D6"/>
    <w:rsid w:val="00B969B1"/>
    <w:rsid w:val="00BB002F"/>
    <w:rsid w:val="00BB186A"/>
    <w:rsid w:val="00BB6132"/>
    <w:rsid w:val="00BB69A6"/>
    <w:rsid w:val="00BC1212"/>
    <w:rsid w:val="00BC466E"/>
    <w:rsid w:val="00BD0F25"/>
    <w:rsid w:val="00BD2B67"/>
    <w:rsid w:val="00BD5F8C"/>
    <w:rsid w:val="00BE5B4D"/>
    <w:rsid w:val="00BE78CF"/>
    <w:rsid w:val="00C05174"/>
    <w:rsid w:val="00C076DB"/>
    <w:rsid w:val="00C0776D"/>
    <w:rsid w:val="00C1304A"/>
    <w:rsid w:val="00C145FA"/>
    <w:rsid w:val="00C20B54"/>
    <w:rsid w:val="00C43BE6"/>
    <w:rsid w:val="00C51341"/>
    <w:rsid w:val="00C54A96"/>
    <w:rsid w:val="00C550F5"/>
    <w:rsid w:val="00C60748"/>
    <w:rsid w:val="00C635D8"/>
    <w:rsid w:val="00C6687C"/>
    <w:rsid w:val="00C80AA9"/>
    <w:rsid w:val="00C84484"/>
    <w:rsid w:val="00C9134A"/>
    <w:rsid w:val="00C913ED"/>
    <w:rsid w:val="00C95844"/>
    <w:rsid w:val="00CB1842"/>
    <w:rsid w:val="00CB21D0"/>
    <w:rsid w:val="00CB3D62"/>
    <w:rsid w:val="00CB7D38"/>
    <w:rsid w:val="00CC1005"/>
    <w:rsid w:val="00CC380E"/>
    <w:rsid w:val="00CC5089"/>
    <w:rsid w:val="00CC5D77"/>
    <w:rsid w:val="00CD1FE3"/>
    <w:rsid w:val="00CD5B5F"/>
    <w:rsid w:val="00CD6F09"/>
    <w:rsid w:val="00CF3048"/>
    <w:rsid w:val="00CF551F"/>
    <w:rsid w:val="00CF78C7"/>
    <w:rsid w:val="00D01DE3"/>
    <w:rsid w:val="00D10899"/>
    <w:rsid w:val="00D16AEA"/>
    <w:rsid w:val="00D22DE3"/>
    <w:rsid w:val="00D30C1F"/>
    <w:rsid w:val="00D34294"/>
    <w:rsid w:val="00D3725A"/>
    <w:rsid w:val="00D4109C"/>
    <w:rsid w:val="00D45027"/>
    <w:rsid w:val="00D4617F"/>
    <w:rsid w:val="00D52A5D"/>
    <w:rsid w:val="00D65460"/>
    <w:rsid w:val="00D66554"/>
    <w:rsid w:val="00D67B49"/>
    <w:rsid w:val="00D70BBD"/>
    <w:rsid w:val="00D70FF5"/>
    <w:rsid w:val="00D711C0"/>
    <w:rsid w:val="00D73E76"/>
    <w:rsid w:val="00D7730D"/>
    <w:rsid w:val="00D92014"/>
    <w:rsid w:val="00D934E4"/>
    <w:rsid w:val="00D94B5A"/>
    <w:rsid w:val="00DA4B58"/>
    <w:rsid w:val="00DA4CB3"/>
    <w:rsid w:val="00DA4CF5"/>
    <w:rsid w:val="00DB039E"/>
    <w:rsid w:val="00DB5E13"/>
    <w:rsid w:val="00DE5114"/>
    <w:rsid w:val="00DF07ED"/>
    <w:rsid w:val="00DF63E0"/>
    <w:rsid w:val="00DF7749"/>
    <w:rsid w:val="00E002E3"/>
    <w:rsid w:val="00E058B1"/>
    <w:rsid w:val="00E10988"/>
    <w:rsid w:val="00E1684D"/>
    <w:rsid w:val="00E16F15"/>
    <w:rsid w:val="00E26940"/>
    <w:rsid w:val="00E30028"/>
    <w:rsid w:val="00E612AC"/>
    <w:rsid w:val="00E62368"/>
    <w:rsid w:val="00E70B86"/>
    <w:rsid w:val="00E7183A"/>
    <w:rsid w:val="00E729F0"/>
    <w:rsid w:val="00E73D4E"/>
    <w:rsid w:val="00E75B12"/>
    <w:rsid w:val="00E81CF9"/>
    <w:rsid w:val="00E92C0B"/>
    <w:rsid w:val="00EA2BBF"/>
    <w:rsid w:val="00EA2E93"/>
    <w:rsid w:val="00EB61BA"/>
    <w:rsid w:val="00EC75CB"/>
    <w:rsid w:val="00EE0673"/>
    <w:rsid w:val="00F0194C"/>
    <w:rsid w:val="00F038CF"/>
    <w:rsid w:val="00F06107"/>
    <w:rsid w:val="00F10E50"/>
    <w:rsid w:val="00F16711"/>
    <w:rsid w:val="00F1755C"/>
    <w:rsid w:val="00F23C68"/>
    <w:rsid w:val="00F33FDD"/>
    <w:rsid w:val="00F60AF4"/>
    <w:rsid w:val="00F61910"/>
    <w:rsid w:val="00F62BC9"/>
    <w:rsid w:val="00F6748F"/>
    <w:rsid w:val="00F85E08"/>
    <w:rsid w:val="00F87A71"/>
    <w:rsid w:val="00F92E48"/>
    <w:rsid w:val="00F93B53"/>
    <w:rsid w:val="00FA7A21"/>
    <w:rsid w:val="00FB3A04"/>
    <w:rsid w:val="00FB3A2F"/>
    <w:rsid w:val="00FC24FA"/>
    <w:rsid w:val="00FC79B9"/>
    <w:rsid w:val="00FD27B1"/>
    <w:rsid w:val="00FD5A50"/>
    <w:rsid w:val="00FD6444"/>
    <w:rsid w:val="00FE0E5F"/>
    <w:rsid w:val="00FE1BF9"/>
    <w:rsid w:val="00FE5698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899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6"/>
    </w:rPr>
  </w:style>
  <w:style w:type="paragraph" w:styleId="Heading1">
    <w:name w:val="heading 1"/>
    <w:basedOn w:val="Normal"/>
    <w:next w:val="standard"/>
    <w:qFormat/>
    <w:pPr>
      <w:keepNext/>
      <w:spacing w:before="120" w:after="120"/>
      <w:outlineLvl w:val="0"/>
    </w:pPr>
    <w:rPr>
      <w:rFonts w:ascii="Helvetica" w:hAnsi="Helvetica"/>
      <w:b/>
      <w:kern w:val="28"/>
    </w:rPr>
  </w:style>
  <w:style w:type="paragraph" w:styleId="Heading2">
    <w:name w:val="heading 2"/>
    <w:basedOn w:val="Normal"/>
    <w:next w:val="sub1"/>
    <w:qFormat/>
    <w:pPr>
      <w:keepNext/>
      <w:spacing w:before="120" w:after="120"/>
      <w:ind w:firstLine="144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sub2"/>
    <w:qFormat/>
    <w:pPr>
      <w:keepNext/>
      <w:spacing w:before="120" w:after="120"/>
      <w:ind w:firstLine="21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sub3"/>
    <w:qFormat/>
    <w:pPr>
      <w:keepNext/>
      <w:spacing w:before="120" w:after="120"/>
      <w:ind w:firstLine="2880"/>
      <w:outlineLvl w:val="3"/>
    </w:pPr>
    <w:rPr>
      <w:rFonts w:ascii="Helvetica" w:hAnsi="Helvetica"/>
      <w:b/>
      <w:i/>
    </w:rPr>
  </w:style>
  <w:style w:type="paragraph" w:styleId="Heading5">
    <w:name w:val="heading 5"/>
    <w:basedOn w:val="Normal"/>
    <w:next w:val="sub4"/>
    <w:qFormat/>
    <w:pPr>
      <w:spacing w:before="120" w:after="120"/>
      <w:ind w:firstLine="3600"/>
      <w:outlineLvl w:val="4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customStyle="1" w:styleId="standard">
    <w:name w:val="standard"/>
    <w:basedOn w:val="Normal"/>
    <w:link w:val="standardChar"/>
    <w:pPr>
      <w:spacing w:line="360" w:lineRule="auto"/>
      <w:ind w:firstLine="72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customStyle="1" w:styleId="Quote1">
    <w:name w:val="Quote1"/>
    <w:basedOn w:val="standard"/>
    <w:next w:val="standard"/>
    <w:pPr>
      <w:spacing w:before="120" w:after="240" w:line="240" w:lineRule="auto"/>
      <w:ind w:left="720" w:right="720" w:firstLine="0"/>
    </w:pPr>
  </w:style>
  <w:style w:type="paragraph" w:customStyle="1" w:styleId="letter">
    <w:name w:val="letter"/>
    <w:basedOn w:val="num1"/>
    <w:pPr>
      <w:spacing w:after="120" w:line="240" w:lineRule="auto"/>
      <w:ind w:left="994" w:hanging="274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720"/>
    </w:pPr>
  </w:style>
  <w:style w:type="paragraph" w:customStyle="1" w:styleId="main">
    <w:name w:val="main"/>
    <w:basedOn w:val="Normal"/>
    <w:link w:val="mainChar"/>
    <w:pPr>
      <w:jc w:val="center"/>
    </w:pPr>
    <w:rPr>
      <w:rFonts w:ascii="Helvetica" w:hAnsi="Helvetica"/>
      <w:b/>
    </w:rPr>
  </w:style>
  <w:style w:type="paragraph" w:customStyle="1" w:styleId="mainex">
    <w:name w:val="mainex"/>
    <w:basedOn w:val="main"/>
    <w:pPr>
      <w:keepNext/>
    </w:pPr>
    <w:rPr>
      <w:spacing w:val="120"/>
    </w:rPr>
  </w:style>
  <w:style w:type="paragraph" w:customStyle="1" w:styleId="num1">
    <w:name w:val="num1"/>
    <w:basedOn w:val="Normal"/>
    <w:uiPriority w:val="99"/>
    <w:pPr>
      <w:tabs>
        <w:tab w:val="left" w:pos="-720"/>
      </w:tabs>
      <w:suppressAutoHyphens/>
      <w:spacing w:line="360" w:lineRule="auto"/>
      <w:ind w:firstLine="360"/>
    </w:pPr>
  </w:style>
  <w:style w:type="paragraph" w:styleId="Header">
    <w:name w:val="header"/>
    <w:basedOn w:val="Normal"/>
    <w:link w:val="HeaderChar"/>
    <w:pPr>
      <w:widowControl w:val="0"/>
      <w:tabs>
        <w:tab w:val="center" w:pos="4320"/>
        <w:tab w:val="right" w:pos="8640"/>
      </w:tabs>
    </w:pPr>
  </w:style>
  <w:style w:type="paragraph" w:customStyle="1" w:styleId="num2">
    <w:name w:val="num2"/>
    <w:basedOn w:val="num1"/>
    <w:pPr>
      <w:ind w:firstLine="270"/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jc w:val="center"/>
    </w:pPr>
  </w:style>
  <w:style w:type="paragraph" w:customStyle="1" w:styleId="sub1">
    <w:name w:val="sub1"/>
    <w:basedOn w:val="Normal"/>
    <w:pPr>
      <w:spacing w:line="360" w:lineRule="auto"/>
      <w:ind w:firstLine="1440"/>
    </w:pPr>
  </w:style>
  <w:style w:type="paragraph" w:customStyle="1" w:styleId="titlebar">
    <w:name w:val="title bar"/>
    <w:basedOn w:val="main"/>
    <w:pPr>
      <w:keepNext/>
      <w:suppressAutoHyphens/>
    </w:pPr>
  </w:style>
  <w:style w:type="character" w:styleId="PageNumber">
    <w:name w:val="page number"/>
    <w:basedOn w:val="DefaultParagraphFont"/>
  </w:style>
  <w:style w:type="paragraph" w:customStyle="1" w:styleId="sub2">
    <w:name w:val="sub2"/>
    <w:basedOn w:val="Normal"/>
    <w:pPr>
      <w:spacing w:line="360" w:lineRule="auto"/>
      <w:ind w:firstLine="2160"/>
    </w:pPr>
  </w:style>
  <w:style w:type="paragraph" w:customStyle="1" w:styleId="sub3">
    <w:name w:val="sub3"/>
    <w:basedOn w:val="Normal"/>
    <w:pPr>
      <w:spacing w:line="360" w:lineRule="auto"/>
      <w:ind w:firstLine="2880"/>
    </w:pPr>
  </w:style>
  <w:style w:type="paragraph" w:customStyle="1" w:styleId="sub4">
    <w:name w:val="sub4"/>
    <w:basedOn w:val="Normal"/>
    <w:pPr>
      <w:ind w:firstLine="3600"/>
    </w:pPr>
  </w:style>
  <w:style w:type="paragraph" w:customStyle="1" w:styleId="dummy">
    <w:name w:val="dummy"/>
    <w:basedOn w:val="Heading1"/>
    <w:pPr>
      <w:outlineLvl w:val="9"/>
    </w:pPr>
  </w:style>
  <w:style w:type="character" w:customStyle="1" w:styleId="standardChar">
    <w:name w:val="standard Char"/>
    <w:link w:val="standard"/>
    <w:rPr>
      <w:rFonts w:ascii="Palatino" w:hAnsi="Palatino"/>
      <w:sz w:val="26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mainChar">
    <w:name w:val="main Char"/>
    <w:link w:val="main"/>
    <w:rPr>
      <w:rFonts w:ascii="Helvetica" w:hAnsi="Helvetica"/>
      <w:b/>
      <w:sz w:val="26"/>
      <w:lang w:val="en-US" w:eastAsia="en-US" w:bidi="ar-SA"/>
    </w:rPr>
  </w:style>
  <w:style w:type="paragraph" w:styleId="BodyText2">
    <w:name w:val="Body Text 2"/>
    <w:basedOn w:val="Normal"/>
    <w:link w:val="BodyText2Char"/>
    <w:rsid w:val="00304438"/>
    <w:pPr>
      <w:spacing w:after="120" w:line="480" w:lineRule="auto"/>
    </w:pPr>
  </w:style>
  <w:style w:type="character" w:customStyle="1" w:styleId="BodyText2Char">
    <w:name w:val="Body Text 2 Char"/>
    <w:link w:val="BodyText2"/>
    <w:rsid w:val="00304438"/>
    <w:rPr>
      <w:rFonts w:ascii="Palatino" w:hAnsi="Palatino"/>
      <w:sz w:val="26"/>
    </w:rPr>
  </w:style>
  <w:style w:type="paragraph" w:customStyle="1" w:styleId="Default">
    <w:name w:val="Default"/>
    <w:rsid w:val="004D38AB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HeaderChar">
    <w:name w:val="Header Char"/>
    <w:link w:val="Header"/>
    <w:rsid w:val="001562CD"/>
    <w:rPr>
      <w:rFonts w:ascii="Palatino" w:hAnsi="Palatino"/>
      <w:sz w:val="26"/>
    </w:rPr>
  </w:style>
  <w:style w:type="paragraph" w:styleId="BalloonText">
    <w:name w:val="Balloon Text"/>
    <w:basedOn w:val="Normal"/>
    <w:link w:val="BalloonTextChar"/>
    <w:rsid w:val="00370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70B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1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xxmsonormal">
    <w:name w:val="x_xmsonormal"/>
    <w:basedOn w:val="Normal"/>
    <w:rsid w:val="001875DE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5965-0D6E-46E6-B817-0E645F0E4DFC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5</ap:Pages>
  <ap:Words>884</ap:Words>
  <ap:Characters>5042</ap:Characters>
  <ap:Application>Microsoft Office Word</ap:Application>
  <ap:DocSecurity>0</ap:DocSecurity>
  <ap:Lines>42</ap:Lines>
  <ap:Paragraphs>11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Manager/>
  <ap:Company/>
  <ap:LinksUpToDate>false</ap:LinksUpToDate>
  <ap:CharactersWithSpaces>5915</ap:CharactersWithSpaces>
  <ap:SharedDoc>false</ap:SharedDoc>
  <ap:HyperlinkBase/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2014-03-25T00:59:00Z</cp:lastPrinted>
  <dcterms:created xsi:type="dcterms:W3CDTF">2020-11-13T18:57:06Z</dcterms:created>
  <dcterms:modified xsi:type="dcterms:W3CDTF">2020-11-13T18:57:06Z</dcterms:modified>
</cp:coreProperties>
</file>