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F17DE" w:rsidRDefault="00CF17DE" w14:paraId="70BEAF91" w14:textId="1F24DE37">
      <w:pPr>
        <w:pStyle w:val="titlebar"/>
        <w:rPr>
          <w:rFonts w:ascii="Palatino Linotype" w:hAnsi="Palatino Linotype"/>
          <w:sz w:val="24"/>
        </w:rPr>
      </w:pPr>
      <w:r w:rsidRPr="00573A19">
        <w:rPr>
          <w:rFonts w:ascii="Palatino Linotype" w:hAnsi="Palatino Linotype"/>
          <w:sz w:val="24"/>
        </w:rPr>
        <w:t>PUBLIC UTILITIES COMMISSION OF THE STATE OF CALIFORNIA</w:t>
      </w:r>
    </w:p>
    <w:p w:rsidRPr="00573A19" w:rsidR="00030BF5" w:rsidRDefault="00030BF5" w14:paraId="646DABAF" w14:textId="77777777">
      <w:pPr>
        <w:pStyle w:val="titlebar"/>
        <w:rPr>
          <w:rFonts w:ascii="Palatino Linotype" w:hAnsi="Palatino Linotype"/>
          <w:sz w:val="24"/>
        </w:rPr>
      </w:pPr>
    </w:p>
    <w:p w:rsidRPr="00573A19" w:rsidR="00CF17DE" w:rsidP="007D12F4" w:rsidRDefault="007D12F4" w14:paraId="5E624470" w14:textId="0CD53336">
      <w:pPr>
        <w:tabs>
          <w:tab w:val="left" w:pos="6840"/>
        </w:tabs>
        <w:rPr>
          <w:rFonts w:ascii="Palatino Linotype" w:hAnsi="Palatino Linotype"/>
        </w:rPr>
      </w:pPr>
      <w:r>
        <w:rPr>
          <w:rFonts w:ascii="Palatino Linotype" w:hAnsi="Palatino Linotype"/>
        </w:rPr>
        <w:tab/>
      </w:r>
      <w:r w:rsidRPr="007D12F4">
        <w:rPr>
          <w:rFonts w:ascii="Palatino Linotype" w:hAnsi="Palatino Linotype"/>
          <w:b/>
          <w:sz w:val="24"/>
        </w:rPr>
        <w:t>Agenda ID: 18836</w:t>
      </w:r>
    </w:p>
    <w:p w:rsidRPr="00573A19" w:rsidR="00CF17DE" w:rsidP="007D12F4" w:rsidRDefault="00593807" w14:paraId="7AE852C7" w14:textId="6A1A4FEB">
      <w:pPr>
        <w:tabs>
          <w:tab w:val="left" w:pos="6840"/>
        </w:tabs>
        <w:rPr>
          <w:rFonts w:ascii="Palatino Linotype" w:hAnsi="Palatino Linotype"/>
          <w:b/>
          <w:sz w:val="24"/>
        </w:rPr>
      </w:pPr>
      <w:r w:rsidRPr="00573A19">
        <w:rPr>
          <w:rFonts w:ascii="Palatino Linotype" w:hAnsi="Palatino Linotype"/>
          <w:b/>
          <w:sz w:val="24"/>
        </w:rPr>
        <w:t>ENERGY DIVISION</w:t>
      </w:r>
      <w:r w:rsidRPr="00573A19">
        <w:rPr>
          <w:rFonts w:ascii="Palatino Linotype" w:hAnsi="Palatino Linotype"/>
          <w:b/>
          <w:sz w:val="24"/>
        </w:rPr>
        <w:tab/>
      </w:r>
      <w:r w:rsidRPr="00573A19" w:rsidR="00CF17DE">
        <w:rPr>
          <w:rFonts w:ascii="Palatino Linotype" w:hAnsi="Palatino Linotype"/>
          <w:b/>
          <w:sz w:val="24"/>
        </w:rPr>
        <w:t>RESOLUTION E</w:t>
      </w:r>
      <w:r w:rsidRPr="00573A19" w:rsidR="00955814">
        <w:rPr>
          <w:rFonts w:ascii="Palatino Linotype" w:hAnsi="Palatino Linotype"/>
          <w:b/>
          <w:sz w:val="24"/>
        </w:rPr>
        <w:t xml:space="preserve"> </w:t>
      </w:r>
      <w:r w:rsidRPr="00573A19" w:rsidR="00CF17DE">
        <w:rPr>
          <w:rFonts w:ascii="Palatino Linotype" w:hAnsi="Palatino Linotype"/>
          <w:b/>
          <w:sz w:val="24"/>
        </w:rPr>
        <w:t>-</w:t>
      </w:r>
      <w:r w:rsidRPr="00573A19" w:rsidR="00955814">
        <w:rPr>
          <w:rFonts w:ascii="Palatino Linotype" w:hAnsi="Palatino Linotype"/>
          <w:b/>
          <w:sz w:val="24"/>
        </w:rPr>
        <w:t>5105</w:t>
      </w:r>
    </w:p>
    <w:p w:rsidRPr="00573A19" w:rsidR="00CF17DE" w:rsidP="007D12F4" w:rsidRDefault="007D12F4" w14:paraId="3DBC912E" w14:textId="745CE086">
      <w:pPr>
        <w:tabs>
          <w:tab w:val="left" w:pos="6840"/>
        </w:tabs>
        <w:rPr>
          <w:rFonts w:ascii="Palatino Linotype" w:hAnsi="Palatino Linotype"/>
          <w:b/>
          <w:sz w:val="24"/>
        </w:rPr>
      </w:pPr>
      <w:r>
        <w:rPr>
          <w:rFonts w:ascii="Palatino Linotype" w:hAnsi="Palatino Linotype"/>
          <w:b/>
          <w:sz w:val="24"/>
        </w:rPr>
        <w:tab/>
      </w:r>
      <w:r w:rsidR="00030BF5">
        <w:rPr>
          <w:rFonts w:ascii="Palatino Linotype" w:hAnsi="Palatino Linotype"/>
          <w:b/>
          <w:sz w:val="24"/>
        </w:rPr>
        <w:t>December 3</w:t>
      </w:r>
      <w:r w:rsidRPr="007D12F4" w:rsidR="00D00333">
        <w:rPr>
          <w:rFonts w:ascii="Palatino Linotype" w:hAnsi="Palatino Linotype"/>
          <w:b/>
          <w:sz w:val="24"/>
        </w:rPr>
        <w:t>, 2020</w:t>
      </w:r>
    </w:p>
    <w:p w:rsidRPr="00573A19" w:rsidR="00CF17DE" w:rsidRDefault="00CF17DE" w14:paraId="061A7957" w14:textId="77777777">
      <w:pPr>
        <w:tabs>
          <w:tab w:val="right" w:pos="8910"/>
        </w:tabs>
        <w:ind w:left="1440" w:firstLine="720"/>
        <w:rPr>
          <w:rFonts w:ascii="Palatino Linotype" w:hAnsi="Palatino Linotype"/>
          <w:b/>
          <w:sz w:val="24"/>
        </w:rPr>
      </w:pPr>
    </w:p>
    <w:p w:rsidRPr="00573A19" w:rsidR="00CF17DE" w:rsidRDefault="00CF17DE" w14:paraId="40ADBA19" w14:textId="77777777">
      <w:pPr>
        <w:pStyle w:val="mainex"/>
        <w:rPr>
          <w:rFonts w:ascii="Palatino Linotype" w:hAnsi="Palatino Linotype"/>
          <w:u w:val="single"/>
        </w:rPr>
      </w:pPr>
      <w:bookmarkStart w:name="_Ref404993683" w:id="0"/>
      <w:r w:rsidRPr="00573A19">
        <w:rPr>
          <w:rFonts w:ascii="Palatino Linotype" w:hAnsi="Palatino Linotype"/>
          <w:u w:val="single"/>
        </w:rPr>
        <w:t>RESOLUTION</w:t>
      </w:r>
    </w:p>
    <w:p w:rsidRPr="00573A19" w:rsidR="00CF17DE" w:rsidRDefault="00CF17DE" w14:paraId="63C93376" w14:textId="77777777">
      <w:pPr>
        <w:rPr>
          <w:rFonts w:ascii="Palatino Linotype" w:hAnsi="Palatino Linotype"/>
        </w:rPr>
      </w:pPr>
    </w:p>
    <w:p w:rsidRPr="00573A19" w:rsidR="00B927B5" w:rsidP="00B927B5" w:rsidRDefault="00B927B5" w14:paraId="38C822AA" w14:textId="25A79362">
      <w:pPr>
        <w:pStyle w:val="Res-Caption"/>
        <w:rPr>
          <w:rFonts w:ascii="Palatino Linotype" w:hAnsi="Palatino Linotype"/>
        </w:rPr>
      </w:pPr>
      <w:r w:rsidRPr="00573A19">
        <w:rPr>
          <w:rFonts w:ascii="Palatino Linotype" w:hAnsi="Palatino Linotype"/>
        </w:rPr>
        <w:t>Resolution E</w:t>
      </w:r>
      <w:r w:rsidRPr="00573A19" w:rsidR="00955814">
        <w:rPr>
          <w:rFonts w:ascii="Palatino Linotype" w:hAnsi="Palatino Linotype"/>
        </w:rPr>
        <w:t>-5105</w:t>
      </w:r>
      <w:r w:rsidRPr="00573A19">
        <w:rPr>
          <w:rFonts w:ascii="Palatino Linotype" w:hAnsi="Palatino Linotype"/>
        </w:rPr>
        <w:t xml:space="preserve">. </w:t>
      </w:r>
      <w:r w:rsidRPr="00573A19" w:rsidR="00D00333">
        <w:rPr>
          <w:rFonts w:ascii="Palatino Linotype" w:hAnsi="Palatino Linotype"/>
        </w:rPr>
        <w:t xml:space="preserve">Provides data requirements </w:t>
      </w:r>
      <w:r w:rsidRPr="00573A19" w:rsidR="00955814">
        <w:rPr>
          <w:rFonts w:ascii="Palatino Linotype" w:hAnsi="Palatino Linotype"/>
        </w:rPr>
        <w:t xml:space="preserve">to Pacific Gas and Electric Company, San Diego Gas &amp; Electric Company, Southern California Edison, Southwest Gas Corporation, and Southern California Gas Company </w:t>
      </w:r>
      <w:r w:rsidRPr="00573A19" w:rsidR="00D00333">
        <w:rPr>
          <w:rFonts w:ascii="Palatino Linotype" w:hAnsi="Palatino Linotype"/>
        </w:rPr>
        <w:t>for building decarbonization pilot programs</w:t>
      </w:r>
      <w:r w:rsidRPr="00573A19" w:rsidR="00955814">
        <w:rPr>
          <w:rFonts w:ascii="Palatino Linotype" w:hAnsi="Palatino Linotype"/>
        </w:rPr>
        <w:t xml:space="preserve"> authorized by Decision 20-03-027.</w:t>
      </w:r>
      <w:r w:rsidRPr="00573A19" w:rsidR="00D00333">
        <w:rPr>
          <w:rFonts w:ascii="Palatino Linotype" w:hAnsi="Palatino Linotype"/>
        </w:rPr>
        <w:t xml:space="preserve"> </w:t>
      </w:r>
    </w:p>
    <w:p w:rsidRPr="00573A19" w:rsidR="00801D70" w:rsidRDefault="00801D70" w14:paraId="70E6A3B4" w14:textId="77777777">
      <w:pPr>
        <w:pStyle w:val="Res-Caption"/>
        <w:rPr>
          <w:rFonts w:ascii="Palatino Linotype" w:hAnsi="Palatino Linotype"/>
        </w:rPr>
      </w:pPr>
    </w:p>
    <w:p w:rsidRPr="00573A19" w:rsidR="00DF35CC" w:rsidP="00DF35CC" w:rsidRDefault="00801D70" w14:paraId="5B232953" w14:textId="77777777">
      <w:pPr>
        <w:pStyle w:val="Res-Caption"/>
        <w:rPr>
          <w:rFonts w:ascii="Palatino Linotype" w:hAnsi="Palatino Linotype"/>
        </w:rPr>
      </w:pPr>
      <w:r w:rsidRPr="00573A19">
        <w:rPr>
          <w:rFonts w:ascii="Palatino Linotype" w:hAnsi="Palatino Linotype"/>
        </w:rPr>
        <w:t>PROPOSED OUTCOME:</w:t>
      </w:r>
      <w:r w:rsidRPr="00573A19" w:rsidR="00142FB8">
        <w:rPr>
          <w:rFonts w:ascii="Palatino Linotype" w:hAnsi="Palatino Linotype"/>
        </w:rPr>
        <w:t xml:space="preserve"> </w:t>
      </w:r>
    </w:p>
    <w:p w:rsidRPr="00573A19" w:rsidR="00142FB8" w:rsidP="00DF35CC" w:rsidRDefault="009219BA" w14:paraId="6EF53595" w14:textId="28CDDFF5">
      <w:pPr>
        <w:pStyle w:val="Res-Caption"/>
        <w:numPr>
          <w:ilvl w:val="0"/>
          <w:numId w:val="7"/>
        </w:numPr>
        <w:rPr>
          <w:rFonts w:ascii="Palatino Linotype" w:hAnsi="Palatino Linotype"/>
        </w:rPr>
      </w:pPr>
      <w:r w:rsidRPr="00573A19">
        <w:rPr>
          <w:rFonts w:ascii="Palatino Linotype" w:hAnsi="Palatino Linotype"/>
        </w:rPr>
        <w:t xml:space="preserve">Provides data </w:t>
      </w:r>
      <w:r w:rsidRPr="00573A19" w:rsidR="00990273">
        <w:rPr>
          <w:rFonts w:ascii="Palatino Linotype" w:hAnsi="Palatino Linotype"/>
        </w:rPr>
        <w:t xml:space="preserve">submission </w:t>
      </w:r>
      <w:r w:rsidRPr="00573A19">
        <w:rPr>
          <w:rFonts w:ascii="Palatino Linotype" w:hAnsi="Palatino Linotype"/>
        </w:rPr>
        <w:t>requirements to Pacific Gas and Electric Company (PG&amp;E), San Diego Gas &amp; Electric Company (SDG&amp;E), Southern California Edison (SCE), Southwest Gas Corporation (SWG), and Southern California Gas Company (SoCalGas)</w:t>
      </w:r>
      <w:r w:rsidRPr="00573A19" w:rsidR="00990273">
        <w:rPr>
          <w:rFonts w:ascii="Palatino Linotype" w:hAnsi="Palatino Linotype"/>
        </w:rPr>
        <w:t>,</w:t>
      </w:r>
      <w:r w:rsidRPr="00573A19">
        <w:rPr>
          <w:rFonts w:ascii="Palatino Linotype" w:hAnsi="Palatino Linotype"/>
        </w:rPr>
        <w:t xml:space="preserve"> as required by Ordering Paragraph 25 of Decision (D.)</w:t>
      </w:r>
      <w:r w:rsidRPr="00573A19" w:rsidR="00990273">
        <w:rPr>
          <w:rFonts w:ascii="Palatino Linotype" w:hAnsi="Palatino Linotype"/>
        </w:rPr>
        <w:t xml:space="preserve"> </w:t>
      </w:r>
      <w:r w:rsidRPr="00573A19">
        <w:rPr>
          <w:rFonts w:ascii="Palatino Linotype" w:hAnsi="Palatino Linotype"/>
        </w:rPr>
        <w:t>20-03-027 (Building Decarbonization Pilots); Rulemaking (R.) 19-01-011</w:t>
      </w:r>
      <w:r w:rsidRPr="00573A19" w:rsidR="000C3018">
        <w:rPr>
          <w:rFonts w:ascii="Palatino Linotype" w:hAnsi="Palatino Linotype"/>
        </w:rPr>
        <w:t>.</w:t>
      </w:r>
    </w:p>
    <w:p w:rsidRPr="00573A19" w:rsidR="00F51F8B" w:rsidRDefault="00F51F8B" w14:paraId="65BE5ED4" w14:textId="77777777">
      <w:pPr>
        <w:pStyle w:val="Res-Caption"/>
        <w:rPr>
          <w:rFonts w:ascii="Palatino Linotype" w:hAnsi="Palatino Linotype"/>
        </w:rPr>
      </w:pPr>
    </w:p>
    <w:p w:rsidRPr="00573A19" w:rsidR="00F51F8B" w:rsidRDefault="00F51F8B" w14:paraId="5348E825" w14:textId="77777777">
      <w:pPr>
        <w:pStyle w:val="Res-Caption"/>
        <w:rPr>
          <w:rFonts w:ascii="Palatino Linotype" w:hAnsi="Palatino Linotype"/>
        </w:rPr>
      </w:pPr>
      <w:r w:rsidRPr="00573A19">
        <w:rPr>
          <w:rFonts w:ascii="Palatino Linotype" w:hAnsi="Palatino Linotype"/>
        </w:rPr>
        <w:t>SAFETY CONSIDERATIONS:</w:t>
      </w:r>
    </w:p>
    <w:p w:rsidRPr="00573A19" w:rsidR="00801D70" w:rsidP="009219BA" w:rsidRDefault="009219BA" w14:paraId="664CBB61" w14:textId="5AF2B887">
      <w:pPr>
        <w:pStyle w:val="Res-Caption"/>
        <w:numPr>
          <w:ilvl w:val="0"/>
          <w:numId w:val="6"/>
        </w:numPr>
        <w:rPr>
          <w:rFonts w:ascii="Palatino Linotype" w:hAnsi="Palatino Linotype"/>
        </w:rPr>
      </w:pPr>
      <w:r w:rsidRPr="00573A19">
        <w:rPr>
          <w:rFonts w:ascii="Palatino Linotype" w:hAnsi="Palatino Linotype"/>
        </w:rPr>
        <w:t>There are no safety considerations associated with this resolution.</w:t>
      </w:r>
    </w:p>
    <w:p w:rsidRPr="00573A19" w:rsidR="009219BA" w:rsidP="009219BA" w:rsidRDefault="009219BA" w14:paraId="2C9E0011" w14:textId="77777777">
      <w:pPr>
        <w:pStyle w:val="Res-Caption"/>
        <w:ind w:left="1440"/>
        <w:rPr>
          <w:rFonts w:ascii="Palatino Linotype" w:hAnsi="Palatino Linotype"/>
        </w:rPr>
      </w:pPr>
    </w:p>
    <w:p w:rsidRPr="00573A19" w:rsidR="00801D70" w:rsidRDefault="00801D70" w14:paraId="28BD615D" w14:textId="77777777">
      <w:pPr>
        <w:pStyle w:val="Res-Caption"/>
        <w:rPr>
          <w:rFonts w:ascii="Palatino Linotype" w:hAnsi="Palatino Linotype"/>
        </w:rPr>
      </w:pPr>
      <w:r w:rsidRPr="00573A19">
        <w:rPr>
          <w:rFonts w:ascii="Palatino Linotype" w:hAnsi="Palatino Linotype"/>
        </w:rPr>
        <w:t xml:space="preserve">ESTIMATED COST:  </w:t>
      </w:r>
    </w:p>
    <w:p w:rsidRPr="00573A19" w:rsidR="009219BA" w:rsidP="003F6E5A" w:rsidRDefault="009219BA" w14:paraId="0708F13F" w14:textId="615E8489">
      <w:pPr>
        <w:pStyle w:val="Res-Caption"/>
        <w:numPr>
          <w:ilvl w:val="0"/>
          <w:numId w:val="6"/>
        </w:numPr>
        <w:rPr>
          <w:rFonts w:ascii="Palatino Linotype" w:hAnsi="Palatino Linotype"/>
        </w:rPr>
      </w:pPr>
      <w:r w:rsidRPr="00573A19">
        <w:rPr>
          <w:rFonts w:ascii="Palatino Linotype" w:hAnsi="Palatino Linotype"/>
        </w:rPr>
        <w:t>Th</w:t>
      </w:r>
      <w:r w:rsidRPr="00573A19" w:rsidR="0054771C">
        <w:rPr>
          <w:rFonts w:ascii="Palatino Linotype" w:hAnsi="Palatino Linotype"/>
        </w:rPr>
        <w:t xml:space="preserve">is Resolution is expected to </w:t>
      </w:r>
      <w:r w:rsidRPr="00573A19" w:rsidR="00A34EB3">
        <w:rPr>
          <w:rFonts w:ascii="Palatino Linotype" w:hAnsi="Palatino Linotype"/>
        </w:rPr>
        <w:t xml:space="preserve">create </w:t>
      </w:r>
      <w:r w:rsidRPr="00573A19" w:rsidR="0054771C">
        <w:rPr>
          <w:rFonts w:ascii="Palatino Linotype" w:hAnsi="Palatino Linotype"/>
        </w:rPr>
        <w:t>some administrative costs for the California investor-owned utilities, which are not known at this time.</w:t>
      </w:r>
    </w:p>
    <w:p w:rsidRPr="00573A19" w:rsidR="00CF17DE" w:rsidRDefault="00CF17DE" w14:paraId="414B5F5B" w14:textId="77777777">
      <w:pPr>
        <w:pStyle w:val="Res-Caption"/>
        <w:rPr>
          <w:rFonts w:ascii="Palatino Linotype" w:hAnsi="Palatino Linotype"/>
        </w:rPr>
      </w:pPr>
    </w:p>
    <w:p w:rsidRPr="00573A19" w:rsidR="00CF17DE" w:rsidRDefault="00CF17DE" w14:paraId="0395FC4E" w14:textId="020F5E9B">
      <w:pPr>
        <w:pStyle w:val="Res-Caption"/>
        <w:rPr>
          <w:rFonts w:ascii="Palatino Linotype" w:hAnsi="Palatino Linotype"/>
        </w:rPr>
      </w:pPr>
      <w:r w:rsidRPr="00573A19">
        <w:rPr>
          <w:rFonts w:ascii="Palatino Linotype" w:hAnsi="Palatino Linotype"/>
        </w:rPr>
        <w:t xml:space="preserve">By </w:t>
      </w:r>
      <w:r w:rsidRPr="00573A19" w:rsidR="0054771C">
        <w:rPr>
          <w:rFonts w:ascii="Palatino Linotype" w:hAnsi="Palatino Linotype"/>
        </w:rPr>
        <w:t xml:space="preserve">Energy Division’s own motion in compliance with </w:t>
      </w:r>
      <w:r w:rsidRPr="00573A19" w:rsidR="00BA1C7A">
        <w:rPr>
          <w:rFonts w:ascii="Palatino Linotype" w:hAnsi="Palatino Linotype"/>
        </w:rPr>
        <w:t>Ordering Paragraph 25</w:t>
      </w:r>
      <w:r w:rsidRPr="00573A19" w:rsidR="00707B61">
        <w:rPr>
          <w:rFonts w:ascii="Palatino Linotype" w:hAnsi="Palatino Linotype"/>
        </w:rPr>
        <w:t xml:space="preserve"> of</w:t>
      </w:r>
      <w:r w:rsidRPr="00573A19" w:rsidR="00BA1C7A">
        <w:rPr>
          <w:rFonts w:ascii="Palatino Linotype" w:hAnsi="Palatino Linotype"/>
        </w:rPr>
        <w:t xml:space="preserve"> </w:t>
      </w:r>
      <w:r w:rsidRPr="00573A19" w:rsidR="009219BA">
        <w:rPr>
          <w:rFonts w:ascii="Palatino Linotype" w:hAnsi="Palatino Linotype"/>
        </w:rPr>
        <w:t>D.20-03-027,</w:t>
      </w:r>
      <w:r w:rsidRPr="00573A19" w:rsidR="008732EC">
        <w:rPr>
          <w:rFonts w:ascii="Palatino Linotype" w:hAnsi="Palatino Linotype"/>
        </w:rPr>
        <w:t xml:space="preserve"> </w:t>
      </w:r>
      <w:r w:rsidRPr="00573A19" w:rsidR="00BA1C7A">
        <w:rPr>
          <w:rFonts w:ascii="Palatino Linotype" w:hAnsi="Palatino Linotype"/>
        </w:rPr>
        <w:t>which was</w:t>
      </w:r>
      <w:r w:rsidRPr="00573A19">
        <w:rPr>
          <w:rFonts w:ascii="Palatino Linotype" w:hAnsi="Palatino Linotype"/>
        </w:rPr>
        <w:t xml:space="preserve"> </w:t>
      </w:r>
      <w:r w:rsidRPr="00573A19" w:rsidR="00767D55">
        <w:rPr>
          <w:rFonts w:ascii="Palatino Linotype" w:hAnsi="Palatino Linotype"/>
        </w:rPr>
        <w:t>i</w:t>
      </w:r>
      <w:r w:rsidRPr="00573A19" w:rsidR="009219BA">
        <w:rPr>
          <w:rFonts w:ascii="Palatino Linotype" w:hAnsi="Palatino Linotype"/>
        </w:rPr>
        <w:t>ssued</w:t>
      </w:r>
      <w:r w:rsidRPr="00573A19">
        <w:rPr>
          <w:rFonts w:ascii="Palatino Linotype" w:hAnsi="Palatino Linotype"/>
        </w:rPr>
        <w:t xml:space="preserve"> on </w:t>
      </w:r>
      <w:r w:rsidRPr="00573A19" w:rsidR="009219BA">
        <w:rPr>
          <w:rFonts w:ascii="Palatino Linotype" w:hAnsi="Palatino Linotype"/>
        </w:rPr>
        <w:t>April 6, 2020.</w:t>
      </w:r>
      <w:r w:rsidRPr="00573A19">
        <w:rPr>
          <w:rFonts w:ascii="Palatino Linotype" w:hAnsi="Palatino Linotype"/>
        </w:rPr>
        <w:t xml:space="preserve"> </w:t>
      </w:r>
    </w:p>
    <w:p w:rsidRPr="00573A19" w:rsidR="00CF17DE" w:rsidRDefault="00CF17DE" w14:paraId="2BFCF270" w14:textId="77777777">
      <w:pPr>
        <w:jc w:val="center"/>
        <w:rPr>
          <w:rFonts w:ascii="Palatino Linotype" w:hAnsi="Palatino Linotype"/>
        </w:rPr>
      </w:pPr>
      <w:r w:rsidRPr="00573A19">
        <w:rPr>
          <w:rFonts w:ascii="Palatino Linotype" w:hAnsi="Palatino Linotype"/>
        </w:rPr>
        <w:t>__________________________________________________________</w:t>
      </w:r>
    </w:p>
    <w:p w:rsidRPr="00573A19" w:rsidR="00CF17DE" w:rsidRDefault="00CF17DE" w14:paraId="21ED6BB6" w14:textId="77777777">
      <w:pPr>
        <w:rPr>
          <w:rFonts w:ascii="Palatino Linotype" w:hAnsi="Palatino Linotype"/>
          <w:b/>
        </w:rPr>
      </w:pPr>
    </w:p>
    <w:p w:rsidRPr="00573A19" w:rsidR="00CF17DE" w:rsidRDefault="00CF17DE" w14:paraId="2C49E15C" w14:textId="77777777">
      <w:pPr>
        <w:pStyle w:val="Heading1"/>
        <w:rPr>
          <w:rFonts w:ascii="Palatino Linotype" w:hAnsi="Palatino Linotype"/>
        </w:rPr>
      </w:pPr>
      <w:r w:rsidRPr="00573A19">
        <w:rPr>
          <w:rFonts w:ascii="Palatino Linotype" w:hAnsi="Palatino Linotype"/>
        </w:rPr>
        <w:lastRenderedPageBreak/>
        <w:t>Summary</w:t>
      </w:r>
      <w:bookmarkEnd w:id="0"/>
    </w:p>
    <w:p w:rsidRPr="00573A19" w:rsidR="003602AD" w:rsidP="003602AD" w:rsidRDefault="003602AD" w14:paraId="047865EC" w14:textId="11D5DAA0">
      <w:pPr>
        <w:rPr>
          <w:rFonts w:ascii="Palatino Linotype" w:hAnsi="Palatino Linotype"/>
        </w:rPr>
      </w:pPr>
      <w:r w:rsidRPr="00573A19">
        <w:rPr>
          <w:rFonts w:ascii="Palatino Linotype" w:hAnsi="Palatino Linotype"/>
        </w:rPr>
        <w:t>This resolution directs the five large investor-owned utilities</w:t>
      </w:r>
      <w:r w:rsidRPr="00573A19" w:rsidR="00837905">
        <w:rPr>
          <w:rFonts w:ascii="Palatino Linotype" w:hAnsi="Palatino Linotype"/>
        </w:rPr>
        <w:t xml:space="preserve"> (IOUs)</w:t>
      </w:r>
      <w:r w:rsidRPr="00573A19">
        <w:rPr>
          <w:rFonts w:ascii="Palatino Linotype" w:hAnsi="Palatino Linotype"/>
        </w:rPr>
        <w:t xml:space="preserve"> operating in California to release specified data </w:t>
      </w:r>
      <w:r w:rsidRPr="00573A19" w:rsidR="00A61B5F">
        <w:rPr>
          <w:rFonts w:ascii="Palatino Linotype" w:hAnsi="Palatino Linotype"/>
        </w:rPr>
        <w:t>pertaining to</w:t>
      </w:r>
      <w:r w:rsidRPr="00573A19">
        <w:rPr>
          <w:rFonts w:ascii="Palatino Linotype" w:hAnsi="Palatino Linotype"/>
        </w:rPr>
        <w:t xml:space="preserve"> building decarbonization</w:t>
      </w:r>
      <w:r w:rsidRPr="00573A19" w:rsidR="001A6742">
        <w:rPr>
          <w:rFonts w:ascii="Palatino Linotype" w:hAnsi="Palatino Linotype"/>
        </w:rPr>
        <w:t xml:space="preserve"> </w:t>
      </w:r>
      <w:r w:rsidRPr="00573A19" w:rsidR="0000694B">
        <w:rPr>
          <w:rFonts w:ascii="Palatino Linotype" w:hAnsi="Palatino Linotype"/>
        </w:rPr>
        <w:t>within 60 days from the date th</w:t>
      </w:r>
      <w:r w:rsidRPr="00573A19" w:rsidR="0054771C">
        <w:rPr>
          <w:rFonts w:ascii="Palatino Linotype" w:hAnsi="Palatino Linotype"/>
        </w:rPr>
        <w:t>e</w:t>
      </w:r>
      <w:r w:rsidRPr="00573A19" w:rsidR="0000694B">
        <w:rPr>
          <w:rFonts w:ascii="Palatino Linotype" w:hAnsi="Palatino Linotype"/>
        </w:rPr>
        <w:t xml:space="preserve"> resolution is issued</w:t>
      </w:r>
      <w:r w:rsidRPr="00573A19" w:rsidR="00EF6B11">
        <w:rPr>
          <w:rFonts w:ascii="Palatino Linotype" w:hAnsi="Palatino Linotype"/>
        </w:rPr>
        <w:t>, and annually thereafter by September 1 of each calendar year</w:t>
      </w:r>
      <w:r w:rsidRPr="00573A19" w:rsidR="0000694B">
        <w:rPr>
          <w:rFonts w:ascii="Palatino Linotype" w:hAnsi="Palatino Linotype"/>
        </w:rPr>
        <w:t>.</w:t>
      </w:r>
    </w:p>
    <w:p w:rsidRPr="00573A19" w:rsidR="00EF6B11" w:rsidP="003602AD" w:rsidRDefault="00EF6B11" w14:paraId="4097D64E" w14:textId="77777777">
      <w:pPr>
        <w:rPr>
          <w:rFonts w:ascii="Palatino Linotype" w:hAnsi="Palatino Linotype"/>
        </w:rPr>
      </w:pPr>
    </w:p>
    <w:p w:rsidRPr="00573A19" w:rsidR="0054771C" w:rsidP="007E30C1" w:rsidRDefault="007E30C1" w14:paraId="3130BDCC" w14:textId="730EC115">
      <w:pPr>
        <w:rPr>
          <w:rFonts w:ascii="Palatino Linotype" w:hAnsi="Palatino Linotype"/>
        </w:rPr>
      </w:pPr>
      <w:r w:rsidRPr="00573A19">
        <w:rPr>
          <w:rFonts w:ascii="Palatino Linotype" w:hAnsi="Palatino Linotype"/>
        </w:rPr>
        <w:t xml:space="preserve">The purpose of this resolution is </w:t>
      </w:r>
      <w:r w:rsidRPr="00573A19" w:rsidR="00C14DE3">
        <w:rPr>
          <w:rFonts w:ascii="Palatino Linotype" w:hAnsi="Palatino Linotype"/>
        </w:rPr>
        <w:t xml:space="preserve">to </w:t>
      </w:r>
      <w:r w:rsidRPr="00573A19" w:rsidR="009F40AA">
        <w:rPr>
          <w:rFonts w:ascii="Palatino Linotype" w:hAnsi="Palatino Linotype"/>
        </w:rPr>
        <w:t>(</w:t>
      </w:r>
      <w:r w:rsidRPr="00573A19" w:rsidR="00C14DE3">
        <w:rPr>
          <w:rFonts w:ascii="Palatino Linotype" w:hAnsi="Palatino Linotype"/>
        </w:rPr>
        <w:t xml:space="preserve">a) make non-confidential data accessible to stakeholders, </w:t>
      </w:r>
      <w:r w:rsidRPr="00573A19" w:rsidR="009F40AA">
        <w:rPr>
          <w:rFonts w:ascii="Palatino Linotype" w:hAnsi="Palatino Linotype"/>
        </w:rPr>
        <w:t>(</w:t>
      </w:r>
      <w:r w:rsidRPr="00573A19" w:rsidR="00C14DE3">
        <w:rPr>
          <w:rFonts w:ascii="Palatino Linotype" w:hAnsi="Palatino Linotype"/>
        </w:rPr>
        <w:t>b)</w:t>
      </w:r>
      <w:r w:rsidRPr="00573A19">
        <w:rPr>
          <w:rFonts w:ascii="Palatino Linotype" w:hAnsi="Palatino Linotype"/>
        </w:rPr>
        <w:t xml:space="preserve"> identify continuously needed </w:t>
      </w:r>
      <w:r w:rsidRPr="00573A19" w:rsidR="00837905">
        <w:rPr>
          <w:rFonts w:ascii="Palatino Linotype" w:hAnsi="Palatino Linotype"/>
        </w:rPr>
        <w:t xml:space="preserve">IOU </w:t>
      </w:r>
      <w:r w:rsidRPr="00573A19">
        <w:rPr>
          <w:rFonts w:ascii="Palatino Linotype" w:hAnsi="Palatino Linotype"/>
        </w:rPr>
        <w:t>data</w:t>
      </w:r>
      <w:r w:rsidRPr="00573A19" w:rsidR="00C14DE3">
        <w:rPr>
          <w:rFonts w:ascii="Palatino Linotype" w:hAnsi="Palatino Linotype"/>
        </w:rPr>
        <w:t xml:space="preserve"> through a stakeholder process</w:t>
      </w:r>
      <w:r w:rsidRPr="00573A19">
        <w:rPr>
          <w:rFonts w:ascii="Palatino Linotype" w:hAnsi="Palatino Linotype"/>
        </w:rPr>
        <w:t>,</w:t>
      </w:r>
      <w:r w:rsidRPr="00573A19" w:rsidR="00C14DE3">
        <w:rPr>
          <w:rFonts w:ascii="Palatino Linotype" w:hAnsi="Palatino Linotype"/>
        </w:rPr>
        <w:t xml:space="preserve"> and </w:t>
      </w:r>
      <w:r w:rsidRPr="00573A19" w:rsidR="009F40AA">
        <w:rPr>
          <w:rFonts w:ascii="Palatino Linotype" w:hAnsi="Palatino Linotype"/>
        </w:rPr>
        <w:t>(</w:t>
      </w:r>
      <w:r w:rsidRPr="00573A19" w:rsidR="00C14DE3">
        <w:rPr>
          <w:rFonts w:ascii="Palatino Linotype" w:hAnsi="Palatino Linotype"/>
        </w:rPr>
        <w:t>c)</w:t>
      </w:r>
      <w:r w:rsidRPr="00573A19">
        <w:rPr>
          <w:rFonts w:ascii="Palatino Linotype" w:hAnsi="Palatino Linotype"/>
        </w:rPr>
        <w:t xml:space="preserve"> identify common data across proceedings </w:t>
      </w:r>
    </w:p>
    <w:p w:rsidRPr="00573A19" w:rsidR="0054771C" w:rsidP="007E30C1" w:rsidRDefault="0054771C" w14:paraId="07FD1318" w14:textId="77777777">
      <w:pPr>
        <w:rPr>
          <w:rFonts w:ascii="Palatino Linotype" w:hAnsi="Palatino Linotype"/>
        </w:rPr>
      </w:pPr>
    </w:p>
    <w:p w:rsidRPr="00573A19" w:rsidR="007E30C1" w:rsidP="007E30C1" w:rsidRDefault="00837905" w14:paraId="61DB1452" w14:textId="672C294F">
      <w:pPr>
        <w:rPr>
          <w:rFonts w:ascii="Palatino Linotype" w:hAnsi="Palatino Linotype"/>
        </w:rPr>
      </w:pPr>
      <w:r w:rsidRPr="00573A19">
        <w:rPr>
          <w:rFonts w:ascii="Palatino Linotype" w:hAnsi="Palatino Linotype"/>
        </w:rPr>
        <w:t>I</w:t>
      </w:r>
      <w:r w:rsidRPr="00573A19" w:rsidR="007E30C1">
        <w:rPr>
          <w:rFonts w:ascii="Palatino Linotype" w:hAnsi="Palatino Linotype"/>
        </w:rPr>
        <w:t xml:space="preserve">n </w:t>
      </w:r>
      <w:r w:rsidRPr="00573A19" w:rsidR="0054771C">
        <w:rPr>
          <w:rFonts w:ascii="Palatino Linotype" w:hAnsi="Palatino Linotype"/>
        </w:rPr>
        <w:t>developing th</w:t>
      </w:r>
      <w:r w:rsidRPr="00573A19" w:rsidR="00DE4882">
        <w:rPr>
          <w:rFonts w:ascii="Palatino Linotype" w:hAnsi="Palatino Linotype"/>
        </w:rPr>
        <w:t>is</w:t>
      </w:r>
      <w:r w:rsidRPr="00573A19" w:rsidR="0054771C">
        <w:rPr>
          <w:rFonts w:ascii="Palatino Linotype" w:hAnsi="Palatino Linotype"/>
        </w:rPr>
        <w:t xml:space="preserve"> resolution</w:t>
      </w:r>
      <w:r w:rsidRPr="00573A19">
        <w:rPr>
          <w:rFonts w:ascii="Palatino Linotype" w:hAnsi="Palatino Linotype"/>
        </w:rPr>
        <w:t>,</w:t>
      </w:r>
      <w:r w:rsidRPr="00573A19" w:rsidR="007E30C1">
        <w:rPr>
          <w:rFonts w:ascii="Palatino Linotype" w:hAnsi="Palatino Linotype"/>
        </w:rPr>
        <w:t xml:space="preserve"> </w:t>
      </w:r>
      <w:r w:rsidRPr="00573A19" w:rsidR="00DE4882">
        <w:rPr>
          <w:rFonts w:ascii="Palatino Linotype" w:hAnsi="Palatino Linotype"/>
        </w:rPr>
        <w:t>Energy Division staff</w:t>
      </w:r>
      <w:r w:rsidRPr="00573A19" w:rsidR="007E30C1">
        <w:rPr>
          <w:rFonts w:ascii="Palatino Linotype" w:hAnsi="Palatino Linotype"/>
        </w:rPr>
        <w:t xml:space="preserve"> </w:t>
      </w:r>
      <w:r w:rsidRPr="00573A19">
        <w:rPr>
          <w:rFonts w:ascii="Palatino Linotype" w:hAnsi="Palatino Linotype"/>
        </w:rPr>
        <w:t>also identif</w:t>
      </w:r>
      <w:r w:rsidRPr="00573A19" w:rsidR="000F3DEE">
        <w:rPr>
          <w:rFonts w:ascii="Palatino Linotype" w:hAnsi="Palatino Linotype"/>
        </w:rPr>
        <w:t>ied</w:t>
      </w:r>
      <w:r w:rsidRPr="00573A19" w:rsidR="007E30C1">
        <w:rPr>
          <w:rFonts w:ascii="Palatino Linotype" w:hAnsi="Palatino Linotype"/>
        </w:rPr>
        <w:t xml:space="preserve"> several key issues that indirectly affect the data requirements</w:t>
      </w:r>
      <w:r w:rsidRPr="00573A19">
        <w:rPr>
          <w:rFonts w:ascii="Palatino Linotype" w:hAnsi="Palatino Linotype"/>
        </w:rPr>
        <w:t xml:space="preserve"> but</w:t>
      </w:r>
      <w:r w:rsidRPr="00573A19" w:rsidR="007E30C1">
        <w:rPr>
          <w:rFonts w:ascii="Palatino Linotype" w:hAnsi="Palatino Linotype"/>
        </w:rPr>
        <w:t xml:space="preserve"> need to be solved first in other </w:t>
      </w:r>
      <w:r w:rsidRPr="00573A19" w:rsidR="00C14DE3">
        <w:rPr>
          <w:rFonts w:ascii="Palatino Linotype" w:hAnsi="Palatino Linotype"/>
        </w:rPr>
        <w:t>proceedings</w:t>
      </w:r>
      <w:r w:rsidRPr="00573A19" w:rsidR="00DE4882">
        <w:rPr>
          <w:rFonts w:ascii="Palatino Linotype" w:hAnsi="Palatino Linotype"/>
        </w:rPr>
        <w:t xml:space="preserve"> or venues</w:t>
      </w:r>
      <w:r w:rsidRPr="00573A19" w:rsidR="00C14DE3">
        <w:rPr>
          <w:rFonts w:ascii="Palatino Linotype" w:hAnsi="Palatino Linotype"/>
        </w:rPr>
        <w:t xml:space="preserve"> before</w:t>
      </w:r>
      <w:r w:rsidRPr="00573A19" w:rsidR="007E30C1">
        <w:rPr>
          <w:rFonts w:ascii="Palatino Linotype" w:hAnsi="Palatino Linotype"/>
        </w:rPr>
        <w:t xml:space="preserve"> relevant data can be </w:t>
      </w:r>
      <w:r w:rsidRPr="00573A19">
        <w:rPr>
          <w:rFonts w:ascii="Palatino Linotype" w:hAnsi="Palatino Linotype"/>
        </w:rPr>
        <w:t>requ</w:t>
      </w:r>
      <w:r w:rsidRPr="00573A19" w:rsidR="00DE4882">
        <w:rPr>
          <w:rFonts w:ascii="Palatino Linotype" w:hAnsi="Palatino Linotype"/>
        </w:rPr>
        <w:t xml:space="preserve">ired of </w:t>
      </w:r>
      <w:r w:rsidRPr="00573A19" w:rsidR="007D372C">
        <w:rPr>
          <w:rFonts w:ascii="Palatino Linotype" w:hAnsi="Palatino Linotype"/>
        </w:rPr>
        <w:t xml:space="preserve">the </w:t>
      </w:r>
      <w:r w:rsidRPr="00573A19" w:rsidR="00DE4882">
        <w:rPr>
          <w:rFonts w:ascii="Palatino Linotype" w:hAnsi="Palatino Linotype"/>
        </w:rPr>
        <w:t>IOUs</w:t>
      </w:r>
      <w:r w:rsidRPr="00573A19" w:rsidR="007E30C1">
        <w:rPr>
          <w:rFonts w:ascii="Palatino Linotype" w:hAnsi="Palatino Linotype"/>
        </w:rPr>
        <w:t xml:space="preserve">. </w:t>
      </w:r>
      <w:r w:rsidRPr="00573A19" w:rsidR="00DE4882">
        <w:rPr>
          <w:rFonts w:ascii="Palatino Linotype" w:hAnsi="Palatino Linotype"/>
        </w:rPr>
        <w:t>C</w:t>
      </w:r>
      <w:r w:rsidRPr="00573A19" w:rsidR="009C49B2">
        <w:rPr>
          <w:rFonts w:ascii="Palatino Linotype" w:hAnsi="Palatino Linotype"/>
        </w:rPr>
        <w:t xml:space="preserve">ertain complex </w:t>
      </w:r>
      <w:r w:rsidRPr="00573A19">
        <w:rPr>
          <w:rFonts w:ascii="Palatino Linotype" w:hAnsi="Palatino Linotype"/>
        </w:rPr>
        <w:t>data</w:t>
      </w:r>
      <w:r w:rsidRPr="00573A19" w:rsidR="009C49B2">
        <w:rPr>
          <w:rFonts w:ascii="Palatino Linotype" w:hAnsi="Palatino Linotype"/>
        </w:rPr>
        <w:t>sets</w:t>
      </w:r>
      <w:r w:rsidRPr="00573A19">
        <w:rPr>
          <w:rFonts w:ascii="Palatino Linotype" w:hAnsi="Palatino Linotype"/>
        </w:rPr>
        <w:t xml:space="preserve"> </w:t>
      </w:r>
      <w:r w:rsidRPr="00573A19" w:rsidR="009C49B2">
        <w:rPr>
          <w:rFonts w:ascii="Palatino Linotype" w:hAnsi="Palatino Linotype"/>
        </w:rPr>
        <w:t xml:space="preserve">are </w:t>
      </w:r>
      <w:r w:rsidRPr="00573A19" w:rsidR="00DE4882">
        <w:rPr>
          <w:rFonts w:ascii="Palatino Linotype" w:hAnsi="Palatino Linotype"/>
        </w:rPr>
        <w:t xml:space="preserve">also </w:t>
      </w:r>
      <w:r w:rsidRPr="00573A19" w:rsidR="009C49B2">
        <w:rPr>
          <w:rFonts w:ascii="Palatino Linotype" w:hAnsi="Palatino Linotype"/>
        </w:rPr>
        <w:t>excluded from these data require</w:t>
      </w:r>
      <w:r w:rsidRPr="00573A19" w:rsidR="00294E1F">
        <w:rPr>
          <w:rFonts w:ascii="Palatino Linotype" w:hAnsi="Palatino Linotype"/>
        </w:rPr>
        <w:t>ments</w:t>
      </w:r>
      <w:r w:rsidRPr="00573A19" w:rsidR="009C49B2">
        <w:rPr>
          <w:rFonts w:ascii="Palatino Linotype" w:hAnsi="Palatino Linotype"/>
        </w:rPr>
        <w:t xml:space="preserve"> because they are either</w:t>
      </w:r>
      <w:r w:rsidRPr="00573A19" w:rsidR="007E30C1">
        <w:rPr>
          <w:rFonts w:ascii="Palatino Linotype" w:hAnsi="Palatino Linotype"/>
        </w:rPr>
        <w:t xml:space="preserve"> </w:t>
      </w:r>
      <w:r w:rsidRPr="00573A19">
        <w:rPr>
          <w:rFonts w:ascii="Palatino Linotype" w:hAnsi="Palatino Linotype"/>
        </w:rPr>
        <w:t xml:space="preserve">already </w:t>
      </w:r>
      <w:r w:rsidRPr="00573A19" w:rsidR="009C49B2">
        <w:rPr>
          <w:rFonts w:ascii="Palatino Linotype" w:hAnsi="Palatino Linotype"/>
        </w:rPr>
        <w:t xml:space="preserve">submitted by </w:t>
      </w:r>
      <w:r w:rsidRPr="00573A19" w:rsidR="007A6156">
        <w:rPr>
          <w:rFonts w:ascii="Palatino Linotype" w:hAnsi="Palatino Linotype"/>
        </w:rPr>
        <w:t xml:space="preserve">the </w:t>
      </w:r>
      <w:r w:rsidRPr="00573A19" w:rsidR="009C49B2">
        <w:rPr>
          <w:rFonts w:ascii="Palatino Linotype" w:hAnsi="Palatino Linotype"/>
        </w:rPr>
        <w:t>IOUs</w:t>
      </w:r>
      <w:r w:rsidRPr="00573A19" w:rsidR="007E30C1">
        <w:rPr>
          <w:rFonts w:ascii="Palatino Linotype" w:hAnsi="Palatino Linotype"/>
        </w:rPr>
        <w:t xml:space="preserve"> elsewhere</w:t>
      </w:r>
      <w:r w:rsidRPr="00573A19">
        <w:rPr>
          <w:rFonts w:ascii="Palatino Linotype" w:hAnsi="Palatino Linotype"/>
        </w:rPr>
        <w:t xml:space="preserve"> (e.g.</w:t>
      </w:r>
      <w:r w:rsidRPr="00573A19" w:rsidR="007A6156">
        <w:rPr>
          <w:rFonts w:ascii="Palatino Linotype" w:hAnsi="Palatino Linotype"/>
        </w:rPr>
        <w:t>,</w:t>
      </w:r>
      <w:r w:rsidRPr="00573A19">
        <w:rPr>
          <w:rFonts w:ascii="Palatino Linotype" w:hAnsi="Palatino Linotype"/>
        </w:rPr>
        <w:t xml:space="preserve"> </w:t>
      </w:r>
      <w:r w:rsidRPr="00573A19" w:rsidR="009C49B2">
        <w:rPr>
          <w:rFonts w:ascii="Palatino Linotype" w:hAnsi="Palatino Linotype"/>
        </w:rPr>
        <w:t>rate schedules</w:t>
      </w:r>
      <w:r w:rsidRPr="00573A19">
        <w:rPr>
          <w:rFonts w:ascii="Palatino Linotype" w:hAnsi="Palatino Linotype"/>
        </w:rPr>
        <w:t xml:space="preserve">) </w:t>
      </w:r>
      <w:r w:rsidRPr="00573A19" w:rsidR="009C49B2">
        <w:rPr>
          <w:rFonts w:ascii="Palatino Linotype" w:hAnsi="Palatino Linotype"/>
        </w:rPr>
        <w:t>or have little to contribute toward building decarbonization planning.</w:t>
      </w:r>
    </w:p>
    <w:p w:rsidRPr="00573A19" w:rsidR="007E30C1" w:rsidP="003602AD" w:rsidRDefault="007E30C1" w14:paraId="5E9DABF7" w14:textId="77777777">
      <w:pPr>
        <w:rPr>
          <w:rFonts w:ascii="Palatino Linotype" w:hAnsi="Palatino Linotype"/>
        </w:rPr>
      </w:pPr>
    </w:p>
    <w:p w:rsidRPr="00573A19" w:rsidR="00DE4882" w:rsidP="0000694B" w:rsidRDefault="00294E1F" w14:paraId="2E638B19" w14:textId="22AE3F7B">
      <w:pPr>
        <w:rPr>
          <w:rFonts w:ascii="Palatino Linotype" w:hAnsi="Palatino Linotype"/>
        </w:rPr>
      </w:pPr>
      <w:r w:rsidRPr="00573A19">
        <w:rPr>
          <w:rFonts w:ascii="Palatino Linotype" w:hAnsi="Palatino Linotype"/>
        </w:rPr>
        <w:t>To frame the data requirements, w</w:t>
      </w:r>
      <w:r w:rsidRPr="00573A19" w:rsidR="00846D36">
        <w:rPr>
          <w:rFonts w:ascii="Palatino Linotype" w:hAnsi="Palatino Linotype"/>
        </w:rPr>
        <w:t xml:space="preserve">e adopt </w:t>
      </w:r>
      <w:r w:rsidRPr="00573A19" w:rsidR="007927B4">
        <w:rPr>
          <w:rFonts w:ascii="Palatino Linotype" w:hAnsi="Palatino Linotype"/>
        </w:rPr>
        <w:t xml:space="preserve">four categories of data that </w:t>
      </w:r>
      <w:r w:rsidRPr="00573A19" w:rsidR="00FA0A8C">
        <w:rPr>
          <w:rFonts w:ascii="Palatino Linotype" w:hAnsi="Palatino Linotype"/>
        </w:rPr>
        <w:t xml:space="preserve">the </w:t>
      </w:r>
      <w:r w:rsidRPr="00573A19" w:rsidR="007927B4">
        <w:rPr>
          <w:rFonts w:ascii="Palatino Linotype" w:hAnsi="Palatino Linotype"/>
        </w:rPr>
        <w:t>IOUs</w:t>
      </w:r>
      <w:r w:rsidRPr="00573A19" w:rsidR="00E02813">
        <w:rPr>
          <w:rFonts w:ascii="Palatino Linotype" w:hAnsi="Palatino Linotype"/>
        </w:rPr>
        <w:t xml:space="preserve"> </w:t>
      </w:r>
      <w:r w:rsidRPr="00573A19" w:rsidR="00DD7A3E">
        <w:rPr>
          <w:rFonts w:ascii="Palatino Linotype" w:hAnsi="Palatino Linotype"/>
        </w:rPr>
        <w:t xml:space="preserve">either </w:t>
      </w:r>
      <w:r w:rsidRPr="00573A19" w:rsidR="008732EC">
        <w:rPr>
          <w:rFonts w:ascii="Palatino Linotype" w:hAnsi="Palatino Linotype"/>
        </w:rPr>
        <w:t xml:space="preserve">already </w:t>
      </w:r>
      <w:r w:rsidRPr="00573A19" w:rsidR="00E02813">
        <w:rPr>
          <w:rFonts w:ascii="Palatino Linotype" w:hAnsi="Palatino Linotype"/>
        </w:rPr>
        <w:t>have</w:t>
      </w:r>
      <w:r w:rsidRPr="00573A19" w:rsidR="00DD7A3E">
        <w:rPr>
          <w:rFonts w:ascii="Palatino Linotype" w:hAnsi="Palatino Linotype"/>
        </w:rPr>
        <w:t xml:space="preserve"> </w:t>
      </w:r>
      <w:r w:rsidRPr="00573A19" w:rsidR="00E02813">
        <w:rPr>
          <w:rFonts w:ascii="Palatino Linotype" w:hAnsi="Palatino Linotype"/>
        </w:rPr>
        <w:t xml:space="preserve">or </w:t>
      </w:r>
      <w:r w:rsidRPr="00573A19" w:rsidR="008732EC">
        <w:rPr>
          <w:rFonts w:ascii="Palatino Linotype" w:hAnsi="Palatino Linotype"/>
        </w:rPr>
        <w:t>can</w:t>
      </w:r>
      <w:r w:rsidRPr="00573A19" w:rsidR="00E02813">
        <w:rPr>
          <w:rFonts w:ascii="Palatino Linotype" w:hAnsi="Palatino Linotype"/>
        </w:rPr>
        <w:t xml:space="preserve"> collect</w:t>
      </w:r>
      <w:r w:rsidRPr="00573A19" w:rsidR="007927B4">
        <w:rPr>
          <w:rFonts w:ascii="Palatino Linotype" w:hAnsi="Palatino Linotype"/>
        </w:rPr>
        <w:t xml:space="preserve">. Appendix A </w:t>
      </w:r>
      <w:r w:rsidRPr="00573A19" w:rsidR="00E02813">
        <w:rPr>
          <w:rFonts w:ascii="Palatino Linotype" w:hAnsi="Palatino Linotype"/>
        </w:rPr>
        <w:t xml:space="preserve">uses these categories to </w:t>
      </w:r>
      <w:r w:rsidRPr="00573A19" w:rsidR="00DE4882">
        <w:rPr>
          <w:rFonts w:ascii="Palatino Linotype" w:hAnsi="Palatino Linotype"/>
        </w:rPr>
        <w:t xml:space="preserve">formulate </w:t>
      </w:r>
      <w:r w:rsidRPr="00573A19" w:rsidR="00E02813">
        <w:rPr>
          <w:rFonts w:ascii="Palatino Linotype" w:hAnsi="Palatino Linotype"/>
        </w:rPr>
        <w:t>the required data fields, template</w:t>
      </w:r>
      <w:r w:rsidRPr="00573A19" w:rsidR="00DD7A3E">
        <w:rPr>
          <w:rFonts w:ascii="Palatino Linotype" w:hAnsi="Palatino Linotype"/>
        </w:rPr>
        <w:t>,</w:t>
      </w:r>
      <w:r w:rsidRPr="00573A19" w:rsidR="00E02813">
        <w:rPr>
          <w:rFonts w:ascii="Palatino Linotype" w:hAnsi="Palatino Linotype"/>
        </w:rPr>
        <w:t xml:space="preserve"> and format for </w:t>
      </w:r>
      <w:r w:rsidRPr="00573A19" w:rsidR="008248FF">
        <w:rPr>
          <w:rFonts w:ascii="Palatino Linotype" w:hAnsi="Palatino Linotype"/>
        </w:rPr>
        <w:t xml:space="preserve">the </w:t>
      </w:r>
      <w:r w:rsidRPr="00573A19" w:rsidR="00E02813">
        <w:rPr>
          <w:rFonts w:ascii="Palatino Linotype" w:hAnsi="Palatino Linotype"/>
        </w:rPr>
        <w:t>IOUs to fulfi</w:t>
      </w:r>
      <w:r w:rsidRPr="00573A19" w:rsidR="00846D36">
        <w:rPr>
          <w:rFonts w:ascii="Palatino Linotype" w:hAnsi="Palatino Linotype"/>
        </w:rPr>
        <w:t>l</w:t>
      </w:r>
      <w:r w:rsidRPr="00573A19" w:rsidR="00E02813">
        <w:rPr>
          <w:rFonts w:ascii="Palatino Linotype" w:hAnsi="Palatino Linotype"/>
        </w:rPr>
        <w:t>l.</w:t>
      </w:r>
    </w:p>
    <w:p w:rsidRPr="00573A19" w:rsidR="007927B4" w:rsidP="0000694B" w:rsidRDefault="00E02813" w14:paraId="7A41C23D" w14:textId="0E27F80C">
      <w:pPr>
        <w:rPr>
          <w:rFonts w:ascii="Palatino Linotype" w:hAnsi="Palatino Linotype"/>
        </w:rPr>
      </w:pPr>
      <w:r w:rsidRPr="00573A19">
        <w:rPr>
          <w:rFonts w:ascii="Palatino Linotype" w:hAnsi="Palatino Linotype"/>
        </w:rPr>
        <w:t xml:space="preserve"> </w:t>
      </w:r>
    </w:p>
    <w:p w:rsidRPr="00573A19" w:rsidR="007927B4" w:rsidP="007927B4" w:rsidRDefault="007927B4" w14:paraId="0B6D851B" w14:textId="5EF5EDC4">
      <w:pPr>
        <w:pStyle w:val="ListParagraph"/>
        <w:numPr>
          <w:ilvl w:val="0"/>
          <w:numId w:val="20"/>
        </w:numPr>
        <w:rPr>
          <w:rFonts w:ascii="Palatino Linotype" w:hAnsi="Palatino Linotype"/>
          <w:b/>
          <w:bCs/>
        </w:rPr>
      </w:pPr>
      <w:r w:rsidRPr="00573A19">
        <w:rPr>
          <w:rFonts w:ascii="Palatino Linotype" w:hAnsi="Palatino Linotype"/>
          <w:b/>
          <w:bCs/>
        </w:rPr>
        <w:t>Physical characteristics:</w:t>
      </w:r>
    </w:p>
    <w:p w:rsidRPr="00573A19" w:rsidR="007927B4" w:rsidP="00E02813" w:rsidRDefault="007927B4" w14:paraId="7ABE5D4F" w14:textId="7F9B680F">
      <w:pPr>
        <w:pStyle w:val="ListParagraph"/>
        <w:numPr>
          <w:ilvl w:val="0"/>
          <w:numId w:val="21"/>
        </w:numPr>
        <w:rPr>
          <w:rFonts w:ascii="Palatino Linotype" w:hAnsi="Palatino Linotype"/>
        </w:rPr>
      </w:pPr>
      <w:r w:rsidRPr="00573A19">
        <w:rPr>
          <w:rFonts w:ascii="Palatino Linotype" w:hAnsi="Palatino Linotype"/>
        </w:rPr>
        <w:t xml:space="preserve">Behind-the-meter data </w:t>
      </w:r>
      <w:r w:rsidRPr="00573A19" w:rsidR="008248FF">
        <w:rPr>
          <w:rFonts w:ascii="Palatino Linotype" w:hAnsi="Palatino Linotype"/>
        </w:rPr>
        <w:t>(e</w:t>
      </w:r>
      <w:r w:rsidRPr="00573A19">
        <w:rPr>
          <w:rFonts w:ascii="Palatino Linotype" w:hAnsi="Palatino Linotype"/>
        </w:rPr>
        <w:t>.g.</w:t>
      </w:r>
      <w:r w:rsidRPr="00573A19" w:rsidR="008248FF">
        <w:rPr>
          <w:rFonts w:ascii="Palatino Linotype" w:hAnsi="Palatino Linotype"/>
        </w:rPr>
        <w:t>,</w:t>
      </w:r>
      <w:r w:rsidRPr="00573A19">
        <w:rPr>
          <w:rFonts w:ascii="Palatino Linotype" w:hAnsi="Palatino Linotype"/>
        </w:rPr>
        <w:t xml:space="preserve"> </w:t>
      </w:r>
      <w:r w:rsidRPr="00573A19" w:rsidR="008248FF">
        <w:rPr>
          <w:rFonts w:ascii="Palatino Linotype" w:hAnsi="Palatino Linotype"/>
        </w:rPr>
        <w:t xml:space="preserve">onsite </w:t>
      </w:r>
      <w:r w:rsidRPr="00573A19" w:rsidR="0054771C">
        <w:rPr>
          <w:rFonts w:ascii="Palatino Linotype" w:hAnsi="Palatino Linotype"/>
        </w:rPr>
        <w:t>generation</w:t>
      </w:r>
      <w:r w:rsidRPr="00573A19" w:rsidR="000E345B">
        <w:rPr>
          <w:rFonts w:ascii="Palatino Linotype" w:hAnsi="Palatino Linotype"/>
        </w:rPr>
        <w:t>,</w:t>
      </w:r>
      <w:r w:rsidRPr="00573A19" w:rsidR="0054771C">
        <w:rPr>
          <w:rFonts w:ascii="Palatino Linotype" w:hAnsi="Palatino Linotype"/>
        </w:rPr>
        <w:t xml:space="preserve"> building type</w:t>
      </w:r>
      <w:r w:rsidRPr="00573A19" w:rsidR="000E345B">
        <w:rPr>
          <w:rFonts w:ascii="Palatino Linotype" w:hAnsi="Palatino Linotype"/>
        </w:rPr>
        <w:t>, building age, building square footage</w:t>
      </w:r>
      <w:r w:rsidRPr="00573A19" w:rsidR="008248FF">
        <w:rPr>
          <w:rFonts w:ascii="Palatino Linotype" w:hAnsi="Palatino Linotype"/>
        </w:rPr>
        <w:t>)</w:t>
      </w:r>
      <w:r w:rsidRPr="00573A19" w:rsidR="00134892">
        <w:rPr>
          <w:rFonts w:ascii="Palatino Linotype" w:hAnsi="Palatino Linotype"/>
        </w:rPr>
        <w:t>.</w:t>
      </w:r>
    </w:p>
    <w:p w:rsidRPr="00573A19" w:rsidR="007927B4" w:rsidP="00E02813" w:rsidRDefault="007927B4" w14:paraId="51580EE3" w14:textId="578CA57C">
      <w:pPr>
        <w:pStyle w:val="ListParagraph"/>
        <w:numPr>
          <w:ilvl w:val="0"/>
          <w:numId w:val="21"/>
        </w:numPr>
        <w:rPr>
          <w:rFonts w:ascii="Palatino Linotype" w:hAnsi="Palatino Linotype"/>
        </w:rPr>
      </w:pPr>
      <w:r w:rsidRPr="00573A19">
        <w:rPr>
          <w:rFonts w:ascii="Palatino Linotype" w:hAnsi="Palatino Linotype"/>
        </w:rPr>
        <w:t>In-front-of-the-meter data</w:t>
      </w:r>
      <w:r w:rsidRPr="00573A19" w:rsidR="00B11A2C">
        <w:rPr>
          <w:rFonts w:ascii="Palatino Linotype" w:hAnsi="Palatino Linotype"/>
        </w:rPr>
        <w:t xml:space="preserve"> </w:t>
      </w:r>
      <w:r w:rsidRPr="00573A19" w:rsidR="00134892">
        <w:rPr>
          <w:rFonts w:ascii="Palatino Linotype" w:hAnsi="Palatino Linotype"/>
        </w:rPr>
        <w:t>(e</w:t>
      </w:r>
      <w:r w:rsidRPr="00573A19">
        <w:rPr>
          <w:rFonts w:ascii="Palatino Linotype" w:hAnsi="Palatino Linotype"/>
        </w:rPr>
        <w:t>.g.</w:t>
      </w:r>
      <w:r w:rsidRPr="00573A19" w:rsidR="00134892">
        <w:rPr>
          <w:rFonts w:ascii="Palatino Linotype" w:hAnsi="Palatino Linotype"/>
        </w:rPr>
        <w:t>,</w:t>
      </w:r>
      <w:r w:rsidRPr="00573A19">
        <w:rPr>
          <w:rFonts w:ascii="Palatino Linotype" w:hAnsi="Palatino Linotype"/>
        </w:rPr>
        <w:t xml:space="preserve"> </w:t>
      </w:r>
      <w:r w:rsidRPr="00573A19" w:rsidR="00134892">
        <w:rPr>
          <w:rFonts w:ascii="Palatino Linotype" w:hAnsi="Palatino Linotype"/>
        </w:rPr>
        <w:t xml:space="preserve">service </w:t>
      </w:r>
      <w:r w:rsidRPr="00573A19">
        <w:rPr>
          <w:rFonts w:ascii="Palatino Linotype" w:hAnsi="Palatino Linotype"/>
        </w:rPr>
        <w:t>line size, age</w:t>
      </w:r>
      <w:r w:rsidRPr="00573A19" w:rsidR="00DD25C2">
        <w:rPr>
          <w:rFonts w:ascii="Palatino Linotype" w:hAnsi="Palatino Linotype"/>
        </w:rPr>
        <w:t xml:space="preserve">, </w:t>
      </w:r>
      <w:r w:rsidRPr="00573A19" w:rsidR="00D26A8C">
        <w:rPr>
          <w:rFonts w:ascii="Palatino Linotype" w:hAnsi="Palatino Linotype"/>
        </w:rPr>
        <w:t>locational attributes, pipeline materia</w:t>
      </w:r>
      <w:r w:rsidRPr="00573A19" w:rsidR="00CF46DA">
        <w:rPr>
          <w:rFonts w:ascii="Palatino Linotype" w:hAnsi="Palatino Linotype"/>
        </w:rPr>
        <w:t>l</w:t>
      </w:r>
      <w:r w:rsidRPr="00573A19" w:rsidR="00134892">
        <w:rPr>
          <w:rFonts w:ascii="Palatino Linotype" w:hAnsi="Palatino Linotype"/>
        </w:rPr>
        <w:t>).</w:t>
      </w:r>
    </w:p>
    <w:p w:rsidRPr="00573A19" w:rsidR="007927B4" w:rsidP="0000694B" w:rsidRDefault="007927B4" w14:paraId="2E5315B5" w14:textId="77777777">
      <w:pPr>
        <w:rPr>
          <w:rFonts w:ascii="Palatino Linotype" w:hAnsi="Palatino Linotype"/>
        </w:rPr>
      </w:pPr>
    </w:p>
    <w:p w:rsidRPr="00573A19" w:rsidR="007927B4" w:rsidP="007927B4" w:rsidRDefault="007927B4" w14:paraId="66050B99" w14:textId="790EBB0A">
      <w:pPr>
        <w:pStyle w:val="ListParagraph"/>
        <w:numPr>
          <w:ilvl w:val="0"/>
          <w:numId w:val="20"/>
        </w:numPr>
        <w:rPr>
          <w:rFonts w:ascii="Palatino Linotype" w:hAnsi="Palatino Linotype"/>
          <w:b/>
          <w:bCs/>
        </w:rPr>
      </w:pPr>
      <w:r w:rsidRPr="00573A19">
        <w:rPr>
          <w:rFonts w:ascii="Palatino Linotype" w:hAnsi="Palatino Linotype"/>
          <w:b/>
          <w:bCs/>
        </w:rPr>
        <w:t xml:space="preserve"> Energy </w:t>
      </w:r>
      <w:r w:rsidRPr="00573A19" w:rsidR="00D932BF">
        <w:rPr>
          <w:rFonts w:ascii="Palatino Linotype" w:hAnsi="Palatino Linotype"/>
          <w:b/>
          <w:bCs/>
        </w:rPr>
        <w:t>data</w:t>
      </w:r>
      <w:r w:rsidRPr="00573A19">
        <w:rPr>
          <w:rFonts w:ascii="Palatino Linotype" w:hAnsi="Palatino Linotype"/>
          <w:b/>
          <w:bCs/>
        </w:rPr>
        <w:t>:</w:t>
      </w:r>
    </w:p>
    <w:p w:rsidRPr="00573A19" w:rsidR="007927B4" w:rsidP="00E02813" w:rsidRDefault="007927B4" w14:paraId="5304FD81" w14:textId="53D8A8A4">
      <w:pPr>
        <w:pStyle w:val="ListParagraph"/>
        <w:numPr>
          <w:ilvl w:val="0"/>
          <w:numId w:val="22"/>
        </w:numPr>
        <w:rPr>
          <w:rFonts w:ascii="Palatino Linotype" w:hAnsi="Palatino Linotype"/>
        </w:rPr>
      </w:pPr>
      <w:r w:rsidRPr="00573A19">
        <w:rPr>
          <w:rFonts w:ascii="Palatino Linotype" w:hAnsi="Palatino Linotype"/>
        </w:rPr>
        <w:t xml:space="preserve">Usage data </w:t>
      </w:r>
      <w:r w:rsidRPr="00573A19" w:rsidR="00134892">
        <w:rPr>
          <w:rFonts w:ascii="Palatino Linotype" w:hAnsi="Palatino Linotype"/>
        </w:rPr>
        <w:t>(e</w:t>
      </w:r>
      <w:r w:rsidRPr="00573A19">
        <w:rPr>
          <w:rFonts w:ascii="Palatino Linotype" w:hAnsi="Palatino Linotype"/>
        </w:rPr>
        <w:t>.g.</w:t>
      </w:r>
      <w:r w:rsidRPr="00573A19" w:rsidR="00134892">
        <w:rPr>
          <w:rFonts w:ascii="Palatino Linotype" w:hAnsi="Palatino Linotype"/>
        </w:rPr>
        <w:t>,</w:t>
      </w:r>
      <w:r w:rsidRPr="00573A19">
        <w:rPr>
          <w:rFonts w:ascii="Palatino Linotype" w:hAnsi="Palatino Linotype"/>
        </w:rPr>
        <w:t xml:space="preserve"> customer billing data, hourly load profiles</w:t>
      </w:r>
      <w:r w:rsidRPr="00573A19" w:rsidR="00754526">
        <w:rPr>
          <w:rFonts w:ascii="Palatino Linotype" w:hAnsi="Palatino Linotype"/>
        </w:rPr>
        <w:t>,</w:t>
      </w:r>
      <w:r w:rsidRPr="00573A19">
        <w:rPr>
          <w:rFonts w:ascii="Palatino Linotype" w:hAnsi="Palatino Linotype"/>
        </w:rPr>
        <w:t xml:space="preserve"> </w:t>
      </w:r>
      <w:r w:rsidRPr="00573A19" w:rsidR="00754526">
        <w:rPr>
          <w:rFonts w:ascii="Palatino Linotype" w:hAnsi="Palatino Linotype"/>
        </w:rPr>
        <w:t xml:space="preserve">and </w:t>
      </w:r>
      <w:r w:rsidRPr="00573A19">
        <w:rPr>
          <w:rFonts w:ascii="Palatino Linotype" w:hAnsi="Palatino Linotype"/>
        </w:rPr>
        <w:t>program-incented</w:t>
      </w:r>
      <w:r w:rsidRPr="00573A19" w:rsidR="00E02813">
        <w:rPr>
          <w:rFonts w:ascii="Palatino Linotype" w:hAnsi="Palatino Linotype"/>
        </w:rPr>
        <w:t xml:space="preserve"> </w:t>
      </w:r>
      <w:r w:rsidRPr="00573A19">
        <w:rPr>
          <w:rFonts w:ascii="Palatino Linotype" w:hAnsi="Palatino Linotype"/>
        </w:rPr>
        <w:t>appliances</w:t>
      </w:r>
      <w:r w:rsidRPr="00573A19" w:rsidR="00AD1CC7">
        <w:rPr>
          <w:rFonts w:ascii="Palatino Linotype" w:hAnsi="Palatino Linotype"/>
        </w:rPr>
        <w:t xml:space="preserve"> installed on premise</w:t>
      </w:r>
      <w:r w:rsidRPr="00573A19">
        <w:rPr>
          <w:rFonts w:ascii="Palatino Linotype" w:hAnsi="Palatino Linotype"/>
        </w:rPr>
        <w:t>)</w:t>
      </w:r>
      <w:r w:rsidRPr="00573A19" w:rsidR="00D932BF">
        <w:rPr>
          <w:rFonts w:ascii="Palatino Linotype" w:hAnsi="Palatino Linotype"/>
        </w:rPr>
        <w:t>.</w:t>
      </w:r>
    </w:p>
    <w:p w:rsidRPr="00573A19" w:rsidR="0000694B" w:rsidP="00E02813" w:rsidRDefault="007927B4" w14:paraId="3E770AB4" w14:textId="1AF54683">
      <w:pPr>
        <w:pStyle w:val="ListParagraph"/>
        <w:numPr>
          <w:ilvl w:val="0"/>
          <w:numId w:val="22"/>
        </w:numPr>
        <w:rPr>
          <w:rFonts w:ascii="Palatino Linotype" w:hAnsi="Palatino Linotype"/>
        </w:rPr>
      </w:pPr>
      <w:r w:rsidRPr="00573A19">
        <w:rPr>
          <w:rFonts w:ascii="Palatino Linotype" w:hAnsi="Palatino Linotype"/>
        </w:rPr>
        <w:t xml:space="preserve">Generation and </w:t>
      </w:r>
      <w:r w:rsidRPr="00573A19" w:rsidR="00AD1CC7">
        <w:rPr>
          <w:rFonts w:ascii="Palatino Linotype" w:hAnsi="Palatino Linotype"/>
        </w:rPr>
        <w:t xml:space="preserve">distribution </w:t>
      </w:r>
      <w:r w:rsidRPr="00573A19">
        <w:rPr>
          <w:rFonts w:ascii="Palatino Linotype" w:hAnsi="Palatino Linotype"/>
        </w:rPr>
        <w:t xml:space="preserve">data </w:t>
      </w:r>
      <w:r w:rsidRPr="00573A19" w:rsidR="00AD1CC7">
        <w:rPr>
          <w:rFonts w:ascii="Palatino Linotype" w:hAnsi="Palatino Linotype"/>
        </w:rPr>
        <w:t>(</w:t>
      </w:r>
      <w:r w:rsidRPr="00573A19" w:rsidR="00DA4658">
        <w:rPr>
          <w:rFonts w:ascii="Palatino Linotype" w:hAnsi="Palatino Linotype"/>
        </w:rPr>
        <w:t xml:space="preserve">e.g. </w:t>
      </w:r>
      <w:r w:rsidRPr="00573A19">
        <w:rPr>
          <w:rFonts w:ascii="Palatino Linotype" w:hAnsi="Palatino Linotype"/>
        </w:rPr>
        <w:t>feeder capacity</w:t>
      </w:r>
      <w:r w:rsidRPr="00573A19" w:rsidR="00911E3A">
        <w:rPr>
          <w:rFonts w:ascii="Palatino Linotype" w:hAnsi="Palatino Linotype"/>
        </w:rPr>
        <w:t>)</w:t>
      </w:r>
    </w:p>
    <w:p w:rsidRPr="00573A19" w:rsidR="00E02813" w:rsidP="00E02813" w:rsidRDefault="00E02813" w14:paraId="6FDCC29C" w14:textId="77777777">
      <w:pPr>
        <w:pStyle w:val="ListParagraph"/>
        <w:ind w:left="1440"/>
        <w:rPr>
          <w:rFonts w:ascii="Palatino Linotype" w:hAnsi="Palatino Linotype"/>
        </w:rPr>
      </w:pPr>
    </w:p>
    <w:p w:rsidRPr="00573A19" w:rsidR="007927B4" w:rsidP="00E02813" w:rsidRDefault="007927B4" w14:paraId="7312C2D7" w14:textId="1E655627">
      <w:pPr>
        <w:pStyle w:val="ListParagraph"/>
        <w:numPr>
          <w:ilvl w:val="0"/>
          <w:numId w:val="20"/>
        </w:numPr>
        <w:rPr>
          <w:rFonts w:ascii="Palatino Linotype" w:hAnsi="Palatino Linotype"/>
          <w:b/>
          <w:bCs/>
        </w:rPr>
      </w:pPr>
      <w:r w:rsidRPr="00573A19">
        <w:rPr>
          <w:rFonts w:ascii="Palatino Linotype" w:hAnsi="Palatino Linotype"/>
          <w:b/>
          <w:bCs/>
        </w:rPr>
        <w:t>Rates data:</w:t>
      </w:r>
    </w:p>
    <w:p w:rsidRPr="00573A19" w:rsidR="007927B4" w:rsidP="00E02813" w:rsidRDefault="009038FE" w14:paraId="31C9B0BC" w14:textId="5DA0B904">
      <w:pPr>
        <w:pStyle w:val="ListParagraph"/>
        <w:numPr>
          <w:ilvl w:val="0"/>
          <w:numId w:val="23"/>
        </w:numPr>
        <w:rPr>
          <w:rFonts w:ascii="Palatino Linotype" w:hAnsi="Palatino Linotype"/>
        </w:rPr>
      </w:pPr>
      <w:r w:rsidRPr="00573A19">
        <w:rPr>
          <w:rFonts w:ascii="Palatino Linotype" w:hAnsi="Palatino Linotype"/>
        </w:rPr>
        <w:t>General</w:t>
      </w:r>
      <w:r w:rsidRPr="00573A19" w:rsidR="007927B4">
        <w:rPr>
          <w:rFonts w:ascii="Palatino Linotype" w:hAnsi="Palatino Linotype"/>
        </w:rPr>
        <w:t xml:space="preserve"> </w:t>
      </w:r>
      <w:r w:rsidRPr="00573A19">
        <w:rPr>
          <w:rFonts w:ascii="Palatino Linotype" w:hAnsi="Palatino Linotype"/>
        </w:rPr>
        <w:t>rate information</w:t>
      </w:r>
      <w:r w:rsidRPr="00573A19" w:rsidR="007927B4">
        <w:rPr>
          <w:rFonts w:ascii="Palatino Linotype" w:hAnsi="Palatino Linotype"/>
        </w:rPr>
        <w:t xml:space="preserve"> </w:t>
      </w:r>
      <w:r w:rsidRPr="00573A19" w:rsidR="0044323C">
        <w:rPr>
          <w:rFonts w:ascii="Palatino Linotype" w:hAnsi="Palatino Linotype"/>
        </w:rPr>
        <w:t>(e</w:t>
      </w:r>
      <w:r w:rsidRPr="00573A19" w:rsidR="007927B4">
        <w:rPr>
          <w:rFonts w:ascii="Palatino Linotype" w:hAnsi="Palatino Linotype"/>
        </w:rPr>
        <w:t>.g.</w:t>
      </w:r>
      <w:r w:rsidRPr="00573A19" w:rsidR="0044323C">
        <w:rPr>
          <w:rFonts w:ascii="Palatino Linotype" w:hAnsi="Palatino Linotype"/>
        </w:rPr>
        <w:t>,</w:t>
      </w:r>
      <w:r w:rsidRPr="00573A19" w:rsidR="007927B4">
        <w:rPr>
          <w:rFonts w:ascii="Palatino Linotype" w:hAnsi="Palatino Linotype"/>
        </w:rPr>
        <w:t xml:space="preserve"> hourly rates by customer class, baselines, tiers, </w:t>
      </w:r>
      <w:r w:rsidRPr="00573A19" w:rsidR="0044323C">
        <w:rPr>
          <w:rFonts w:ascii="Palatino Linotype" w:hAnsi="Palatino Linotype"/>
        </w:rPr>
        <w:t xml:space="preserve">and </w:t>
      </w:r>
      <w:r w:rsidRPr="00573A19" w:rsidR="007927B4">
        <w:rPr>
          <w:rFonts w:ascii="Palatino Linotype" w:hAnsi="Palatino Linotype"/>
        </w:rPr>
        <w:t>rate forecasts</w:t>
      </w:r>
      <w:r w:rsidRPr="00573A19" w:rsidR="0044323C">
        <w:rPr>
          <w:rFonts w:ascii="Palatino Linotype" w:hAnsi="Palatino Linotype"/>
        </w:rPr>
        <w:t>).</w:t>
      </w:r>
    </w:p>
    <w:p w:rsidRPr="00573A19" w:rsidR="007927B4" w:rsidP="00E02813" w:rsidRDefault="004F0B00" w14:paraId="5E05EFF0" w14:textId="587EB07E">
      <w:pPr>
        <w:pStyle w:val="ListParagraph"/>
        <w:numPr>
          <w:ilvl w:val="0"/>
          <w:numId w:val="23"/>
        </w:numPr>
        <w:rPr>
          <w:rFonts w:ascii="Palatino Linotype" w:hAnsi="Palatino Linotype"/>
        </w:rPr>
      </w:pPr>
      <w:r w:rsidRPr="00573A19">
        <w:rPr>
          <w:rFonts w:ascii="Palatino Linotype" w:hAnsi="Palatino Linotype"/>
        </w:rPr>
        <w:lastRenderedPageBreak/>
        <w:t>C</w:t>
      </w:r>
      <w:r w:rsidRPr="00573A19" w:rsidR="007927B4">
        <w:rPr>
          <w:rFonts w:ascii="Palatino Linotype" w:hAnsi="Palatino Linotype"/>
        </w:rPr>
        <w:t>ustomer</w:t>
      </w:r>
      <w:r w:rsidRPr="00573A19">
        <w:rPr>
          <w:rFonts w:ascii="Palatino Linotype" w:hAnsi="Palatino Linotype"/>
        </w:rPr>
        <w:t>-specific information</w:t>
      </w:r>
      <w:r w:rsidRPr="00573A19" w:rsidR="007927B4">
        <w:rPr>
          <w:rFonts w:ascii="Palatino Linotype" w:hAnsi="Palatino Linotype"/>
        </w:rPr>
        <w:t xml:space="preserve"> derived from rates </w:t>
      </w:r>
      <w:r w:rsidRPr="00573A19" w:rsidR="002E5848">
        <w:rPr>
          <w:rFonts w:ascii="Palatino Linotype" w:hAnsi="Palatino Linotype"/>
        </w:rPr>
        <w:t>(e</w:t>
      </w:r>
      <w:r w:rsidRPr="00573A19" w:rsidR="007927B4">
        <w:rPr>
          <w:rFonts w:ascii="Palatino Linotype" w:hAnsi="Palatino Linotype"/>
        </w:rPr>
        <w:t>.g.</w:t>
      </w:r>
      <w:r w:rsidRPr="00573A19" w:rsidR="002E5848">
        <w:rPr>
          <w:rFonts w:ascii="Palatino Linotype" w:hAnsi="Palatino Linotype"/>
        </w:rPr>
        <w:t>,</w:t>
      </w:r>
      <w:r w:rsidRPr="00573A19" w:rsidR="007927B4">
        <w:rPr>
          <w:rFonts w:ascii="Palatino Linotype" w:hAnsi="Palatino Linotype"/>
        </w:rPr>
        <w:t xml:space="preserve"> number of customers on certain rate,</w:t>
      </w:r>
      <w:r w:rsidRPr="00573A19" w:rsidR="00E02813">
        <w:rPr>
          <w:rFonts w:ascii="Palatino Linotype" w:hAnsi="Palatino Linotype"/>
        </w:rPr>
        <w:t xml:space="preserve"> </w:t>
      </w:r>
      <w:r w:rsidRPr="00573A19" w:rsidR="007927B4">
        <w:rPr>
          <w:rFonts w:ascii="Palatino Linotype" w:hAnsi="Palatino Linotype"/>
        </w:rPr>
        <w:t xml:space="preserve">equity need, </w:t>
      </w:r>
      <w:r w:rsidRPr="00573A19" w:rsidR="002E5848">
        <w:rPr>
          <w:rFonts w:ascii="Palatino Linotype" w:hAnsi="Palatino Linotype"/>
        </w:rPr>
        <w:t xml:space="preserve">and </w:t>
      </w:r>
      <w:r w:rsidRPr="00573A19" w:rsidR="007927B4">
        <w:rPr>
          <w:rFonts w:ascii="Palatino Linotype" w:hAnsi="Palatino Linotype"/>
        </w:rPr>
        <w:t>primary heating source</w:t>
      </w:r>
      <w:r w:rsidRPr="00573A19" w:rsidR="002E5848">
        <w:rPr>
          <w:rFonts w:ascii="Palatino Linotype" w:hAnsi="Palatino Linotype"/>
        </w:rPr>
        <w:t>).</w:t>
      </w:r>
    </w:p>
    <w:p w:rsidRPr="00573A19" w:rsidR="00E02813" w:rsidP="00E02813" w:rsidRDefault="00E02813" w14:paraId="6D9700D4" w14:textId="77777777">
      <w:pPr>
        <w:pStyle w:val="ListParagraph"/>
        <w:ind w:left="1440"/>
        <w:rPr>
          <w:rFonts w:ascii="Palatino Linotype" w:hAnsi="Palatino Linotype"/>
        </w:rPr>
      </w:pPr>
    </w:p>
    <w:p w:rsidRPr="00573A19" w:rsidR="007927B4" w:rsidP="00E02813" w:rsidRDefault="007927B4" w14:paraId="24D2AEAB" w14:textId="30A6DF26">
      <w:pPr>
        <w:pStyle w:val="ListParagraph"/>
        <w:numPr>
          <w:ilvl w:val="0"/>
          <w:numId w:val="20"/>
        </w:numPr>
        <w:rPr>
          <w:rFonts w:ascii="Palatino Linotype" w:hAnsi="Palatino Linotype"/>
          <w:b/>
          <w:bCs/>
        </w:rPr>
      </w:pPr>
      <w:r w:rsidRPr="00573A19">
        <w:rPr>
          <w:rFonts w:ascii="Palatino Linotype" w:hAnsi="Palatino Linotype"/>
          <w:b/>
          <w:bCs/>
        </w:rPr>
        <w:t>Customer characteristic data:</w:t>
      </w:r>
    </w:p>
    <w:p w:rsidRPr="00573A19" w:rsidR="007927B4" w:rsidP="00AF137C" w:rsidRDefault="00B27F45" w14:paraId="5A8B0223" w14:textId="12ED6630">
      <w:pPr>
        <w:pStyle w:val="ListParagraph"/>
        <w:numPr>
          <w:ilvl w:val="0"/>
          <w:numId w:val="30"/>
        </w:numPr>
        <w:rPr>
          <w:rFonts w:ascii="Palatino Linotype" w:hAnsi="Palatino Linotype"/>
        </w:rPr>
      </w:pPr>
      <w:r w:rsidRPr="00573A19">
        <w:rPr>
          <w:rFonts w:ascii="Palatino Linotype" w:hAnsi="Palatino Linotype"/>
        </w:rPr>
        <w:t>Customer-specific information</w:t>
      </w:r>
      <w:r w:rsidRPr="00573A19" w:rsidR="00C6225A">
        <w:rPr>
          <w:rFonts w:ascii="Palatino Linotype" w:hAnsi="Palatino Linotype"/>
        </w:rPr>
        <w:t xml:space="preserve"> (e</w:t>
      </w:r>
      <w:r w:rsidRPr="00573A19" w:rsidR="007927B4">
        <w:rPr>
          <w:rFonts w:ascii="Palatino Linotype" w:hAnsi="Palatino Linotype"/>
        </w:rPr>
        <w:t>.g.</w:t>
      </w:r>
      <w:r w:rsidRPr="00573A19" w:rsidR="00C6225A">
        <w:rPr>
          <w:rFonts w:ascii="Palatino Linotype" w:hAnsi="Palatino Linotype"/>
        </w:rPr>
        <w:t>,</w:t>
      </w:r>
      <w:r w:rsidRPr="00573A19" w:rsidR="007927B4">
        <w:rPr>
          <w:rFonts w:ascii="Palatino Linotype" w:hAnsi="Palatino Linotype"/>
        </w:rPr>
        <w:t xml:space="preserve"> </w:t>
      </w:r>
      <w:r w:rsidRPr="00573A19" w:rsidR="00C6225A">
        <w:rPr>
          <w:rFonts w:ascii="Palatino Linotype" w:hAnsi="Palatino Linotype"/>
        </w:rPr>
        <w:t xml:space="preserve">household </w:t>
      </w:r>
      <w:r w:rsidRPr="00573A19" w:rsidR="007927B4">
        <w:rPr>
          <w:rFonts w:ascii="Palatino Linotype" w:hAnsi="Palatino Linotype"/>
        </w:rPr>
        <w:t xml:space="preserve">size, responsiveness to programs, </w:t>
      </w:r>
      <w:r w:rsidRPr="00573A19" w:rsidR="00C6225A">
        <w:rPr>
          <w:rFonts w:ascii="Palatino Linotype" w:hAnsi="Palatino Linotype"/>
        </w:rPr>
        <w:t xml:space="preserve">and </w:t>
      </w:r>
      <w:r w:rsidRPr="00573A19" w:rsidR="007927B4">
        <w:rPr>
          <w:rFonts w:ascii="Palatino Linotype" w:hAnsi="Palatino Linotype"/>
        </w:rPr>
        <w:t>other self-reported customer data</w:t>
      </w:r>
      <w:r w:rsidRPr="00573A19" w:rsidR="00E02813">
        <w:rPr>
          <w:rFonts w:ascii="Palatino Linotype" w:hAnsi="Palatino Linotype"/>
        </w:rPr>
        <w:t xml:space="preserve"> </w:t>
      </w:r>
      <w:r w:rsidRPr="00573A19" w:rsidR="007927B4">
        <w:rPr>
          <w:rFonts w:ascii="Palatino Linotype" w:hAnsi="Palatino Linotype"/>
        </w:rPr>
        <w:t>collected through programs</w:t>
      </w:r>
      <w:r w:rsidRPr="00573A19" w:rsidR="00C6225A">
        <w:rPr>
          <w:rFonts w:ascii="Palatino Linotype" w:hAnsi="Palatino Linotype"/>
        </w:rPr>
        <w:t>).</w:t>
      </w:r>
    </w:p>
    <w:p w:rsidRPr="00573A19" w:rsidR="00E02813" w:rsidP="007927B4" w:rsidRDefault="00E02813" w14:paraId="3E0D2C18" w14:textId="77777777">
      <w:pPr>
        <w:ind w:left="720"/>
        <w:rPr>
          <w:rFonts w:ascii="Palatino Linotype" w:hAnsi="Palatino Linotype"/>
        </w:rPr>
      </w:pPr>
    </w:p>
    <w:p w:rsidRPr="00573A19" w:rsidR="00CF17DE" w:rsidRDefault="00EF6B11" w14:paraId="184E396E" w14:textId="5430EAC4">
      <w:pPr>
        <w:rPr>
          <w:rFonts w:ascii="Palatino Linotype" w:hAnsi="Palatino Linotype"/>
        </w:rPr>
      </w:pPr>
      <w:r w:rsidRPr="00573A19">
        <w:rPr>
          <w:rFonts w:ascii="Palatino Linotype" w:hAnsi="Palatino Linotype"/>
        </w:rPr>
        <w:t xml:space="preserve">Each IOU shall maintain a copy of the submitted non-confidential data on a publicly accessible website and share the URL with the R.19-01-011 service list within </w:t>
      </w:r>
      <w:r w:rsidRPr="00573A19" w:rsidR="001B2F82">
        <w:rPr>
          <w:rFonts w:ascii="Palatino Linotype" w:hAnsi="Palatino Linotype"/>
        </w:rPr>
        <w:t>60 days from the date this resolution is issued</w:t>
      </w:r>
      <w:r w:rsidRPr="00573A19">
        <w:rPr>
          <w:rFonts w:ascii="Palatino Linotype" w:hAnsi="Palatino Linotype"/>
        </w:rPr>
        <w:t xml:space="preserve">. Energy Division staff </w:t>
      </w:r>
      <w:r w:rsidRPr="00573A19" w:rsidR="00384AFC">
        <w:rPr>
          <w:rFonts w:ascii="Palatino Linotype" w:hAnsi="Palatino Linotype"/>
        </w:rPr>
        <w:t xml:space="preserve">is directed to </w:t>
      </w:r>
      <w:r w:rsidRPr="00573A19">
        <w:rPr>
          <w:rFonts w:ascii="Palatino Linotype" w:hAnsi="Palatino Linotype"/>
        </w:rPr>
        <w:t>post the URL for each IOU data</w:t>
      </w:r>
      <w:r w:rsidRPr="00573A19" w:rsidR="00840547">
        <w:rPr>
          <w:rFonts w:ascii="Palatino Linotype" w:hAnsi="Palatino Linotype"/>
        </w:rPr>
        <w:t xml:space="preserve"> submittal</w:t>
      </w:r>
      <w:r w:rsidRPr="00573A19">
        <w:rPr>
          <w:rFonts w:ascii="Palatino Linotype" w:hAnsi="Palatino Linotype"/>
        </w:rPr>
        <w:t xml:space="preserve"> on the </w:t>
      </w:r>
      <w:r w:rsidRPr="00573A19" w:rsidR="004B401E">
        <w:rPr>
          <w:rFonts w:ascii="Palatino Linotype" w:hAnsi="Palatino Linotype"/>
        </w:rPr>
        <w:t>Commission’s</w:t>
      </w:r>
      <w:r w:rsidRPr="00573A19">
        <w:rPr>
          <w:rFonts w:ascii="Palatino Linotype" w:hAnsi="Palatino Linotype"/>
        </w:rPr>
        <w:t xml:space="preserve"> </w:t>
      </w:r>
      <w:r w:rsidRPr="00573A19" w:rsidR="00DE4882">
        <w:rPr>
          <w:rFonts w:ascii="Palatino Linotype" w:hAnsi="Palatino Linotype"/>
        </w:rPr>
        <w:t>b</w:t>
      </w:r>
      <w:r w:rsidRPr="00573A19">
        <w:rPr>
          <w:rFonts w:ascii="Palatino Linotype" w:hAnsi="Palatino Linotype"/>
        </w:rPr>
        <w:t xml:space="preserve">uilding </w:t>
      </w:r>
      <w:r w:rsidRPr="00573A19" w:rsidR="00DE4882">
        <w:rPr>
          <w:rFonts w:ascii="Palatino Linotype" w:hAnsi="Palatino Linotype"/>
        </w:rPr>
        <w:t>d</w:t>
      </w:r>
      <w:r w:rsidRPr="00573A19">
        <w:rPr>
          <w:rFonts w:ascii="Palatino Linotype" w:hAnsi="Palatino Linotype"/>
        </w:rPr>
        <w:t>ecarbonization webpage.</w:t>
      </w:r>
      <w:r w:rsidRPr="00573A19" w:rsidR="00DE4882">
        <w:rPr>
          <w:rStyle w:val="FootnoteReference"/>
          <w:rFonts w:ascii="Palatino Linotype" w:hAnsi="Palatino Linotype"/>
        </w:rPr>
        <w:footnoteReference w:id="2"/>
      </w:r>
      <w:r w:rsidRPr="00573A19">
        <w:rPr>
          <w:rFonts w:ascii="Palatino Linotype" w:hAnsi="Palatino Linotype"/>
        </w:rPr>
        <w:t xml:space="preserve"> </w:t>
      </w:r>
    </w:p>
    <w:p w:rsidRPr="00573A19" w:rsidR="00B31D17" w:rsidRDefault="00B31D17" w14:paraId="502C1D72" w14:textId="77777777">
      <w:pPr>
        <w:rPr>
          <w:rFonts w:ascii="Palatino Linotype" w:hAnsi="Palatino Linotype"/>
        </w:rPr>
      </w:pPr>
    </w:p>
    <w:p w:rsidRPr="00573A19" w:rsidR="00233BE9" w:rsidRDefault="00FC7798" w14:paraId="405D21EF" w14:textId="7A8B6199">
      <w:pPr>
        <w:rPr>
          <w:rFonts w:ascii="Palatino Linotype" w:hAnsi="Palatino Linotype"/>
        </w:rPr>
      </w:pPr>
      <w:r w:rsidRPr="00573A19">
        <w:rPr>
          <w:rFonts w:ascii="Palatino Linotype" w:hAnsi="Palatino Linotype"/>
        </w:rPr>
        <w:t xml:space="preserve">D.20-03-027 requires annual updates to the dataset </w:t>
      </w:r>
      <w:r w:rsidRPr="00573A19" w:rsidR="003D3D4E">
        <w:rPr>
          <w:rFonts w:ascii="Palatino Linotype" w:hAnsi="Palatino Linotype"/>
        </w:rPr>
        <w:t>if no new data submission requirements are issued</w:t>
      </w:r>
      <w:r w:rsidRPr="00573A19" w:rsidR="00416C29">
        <w:rPr>
          <w:rFonts w:ascii="Palatino Linotype" w:hAnsi="Palatino Linotype"/>
        </w:rPr>
        <w:t>.</w:t>
      </w:r>
      <w:r w:rsidRPr="00573A19" w:rsidR="003D3D4E">
        <w:rPr>
          <w:rFonts w:ascii="Palatino Linotype" w:hAnsi="Palatino Linotype"/>
        </w:rPr>
        <w:t xml:space="preserve"> </w:t>
      </w:r>
      <w:r w:rsidRPr="00573A19" w:rsidR="00416C29">
        <w:rPr>
          <w:rFonts w:ascii="Palatino Linotype" w:hAnsi="Palatino Linotype"/>
        </w:rPr>
        <w:t>P</w:t>
      </w:r>
      <w:r w:rsidRPr="00573A19" w:rsidR="003D3D4E">
        <w:rPr>
          <w:rFonts w:ascii="Palatino Linotype" w:hAnsi="Palatino Linotype"/>
        </w:rPr>
        <w:t>rior year data sets sh</w:t>
      </w:r>
      <w:r w:rsidRPr="00573A19" w:rsidR="00416C29">
        <w:rPr>
          <w:rFonts w:ascii="Palatino Linotype" w:hAnsi="Palatino Linotype"/>
        </w:rPr>
        <w:t>all</w:t>
      </w:r>
      <w:r w:rsidRPr="00573A19" w:rsidR="003D3D4E">
        <w:rPr>
          <w:rFonts w:ascii="Palatino Linotype" w:hAnsi="Palatino Linotype"/>
        </w:rPr>
        <w:t xml:space="preserve"> be maintained alon</w:t>
      </w:r>
      <w:r w:rsidRPr="00573A19" w:rsidR="007968D7">
        <w:rPr>
          <w:rFonts w:ascii="Palatino Linotype" w:hAnsi="Palatino Linotype"/>
        </w:rPr>
        <w:t xml:space="preserve">g with the updated data, </w:t>
      </w:r>
      <w:r w:rsidRPr="00573A19" w:rsidR="00233BE9">
        <w:rPr>
          <w:rFonts w:ascii="Palatino Linotype" w:hAnsi="Palatino Linotype"/>
        </w:rPr>
        <w:t>so that historical trends</w:t>
      </w:r>
      <w:r w:rsidRPr="00573A19" w:rsidR="00D658AA">
        <w:rPr>
          <w:rFonts w:ascii="Palatino Linotype" w:hAnsi="Palatino Linotype"/>
        </w:rPr>
        <w:t xml:space="preserve"> and changes</w:t>
      </w:r>
      <w:r w:rsidRPr="00573A19" w:rsidR="00233BE9">
        <w:rPr>
          <w:rFonts w:ascii="Palatino Linotype" w:hAnsi="Palatino Linotype"/>
        </w:rPr>
        <w:t xml:space="preserve"> can be studied.</w:t>
      </w:r>
    </w:p>
    <w:p w:rsidRPr="00573A19" w:rsidR="000F3DEE" w:rsidRDefault="007968D7" w14:paraId="67AEB70A" w14:textId="32D56A56">
      <w:pPr>
        <w:rPr>
          <w:rFonts w:ascii="Palatino Linotype" w:hAnsi="Palatino Linotype"/>
        </w:rPr>
      </w:pPr>
      <w:r w:rsidRPr="00573A19">
        <w:rPr>
          <w:rFonts w:ascii="Palatino Linotype" w:hAnsi="Palatino Linotype"/>
        </w:rPr>
        <w:t xml:space="preserve"> </w:t>
      </w:r>
      <w:r w:rsidRPr="00573A19" w:rsidR="003D3D4E">
        <w:rPr>
          <w:rFonts w:ascii="Palatino Linotype" w:hAnsi="Palatino Linotype"/>
        </w:rPr>
        <w:t xml:space="preserve"> </w:t>
      </w:r>
    </w:p>
    <w:p w:rsidRPr="00573A19" w:rsidR="00CF17DE" w:rsidRDefault="00CF17DE" w14:paraId="0BFDDE4C" w14:textId="77777777">
      <w:pPr>
        <w:pStyle w:val="Heading1"/>
        <w:rPr>
          <w:rFonts w:ascii="Palatino Linotype" w:hAnsi="Palatino Linotype"/>
        </w:rPr>
      </w:pPr>
      <w:r w:rsidRPr="00573A19">
        <w:rPr>
          <w:rFonts w:ascii="Palatino Linotype" w:hAnsi="Palatino Linotype"/>
        </w:rPr>
        <w:t>Background</w:t>
      </w:r>
    </w:p>
    <w:p w:rsidRPr="00573A19" w:rsidR="006F46DB" w:rsidRDefault="003C4372" w14:paraId="3A7E90DA" w14:textId="089EBC97">
      <w:pPr>
        <w:rPr>
          <w:rFonts w:ascii="Palatino Linotype" w:hAnsi="Palatino Linotype"/>
        </w:rPr>
      </w:pPr>
      <w:r w:rsidRPr="00573A19">
        <w:rPr>
          <w:rFonts w:ascii="Palatino Linotype" w:hAnsi="Palatino Linotype"/>
        </w:rPr>
        <w:t xml:space="preserve">On March 26, 2020, </w:t>
      </w:r>
      <w:r w:rsidRPr="00573A19" w:rsidR="004B401E">
        <w:rPr>
          <w:rFonts w:ascii="Palatino Linotype" w:hAnsi="Palatino Linotype"/>
        </w:rPr>
        <w:t xml:space="preserve">the </w:t>
      </w:r>
      <w:r w:rsidRPr="00573A19">
        <w:rPr>
          <w:rFonts w:ascii="Palatino Linotype" w:hAnsi="Palatino Linotype"/>
        </w:rPr>
        <w:t>CPUC adopted D</w:t>
      </w:r>
      <w:r w:rsidRPr="00573A19" w:rsidR="001A6742">
        <w:rPr>
          <w:rFonts w:ascii="Palatino Linotype" w:hAnsi="Palatino Linotype"/>
        </w:rPr>
        <w:t>ecision (D</w:t>
      </w:r>
      <w:r w:rsidRPr="00573A19">
        <w:rPr>
          <w:rFonts w:ascii="Palatino Linotype" w:hAnsi="Palatino Linotype"/>
        </w:rPr>
        <w:t>.</w:t>
      </w:r>
      <w:r w:rsidRPr="00573A19" w:rsidR="001A6742">
        <w:rPr>
          <w:rFonts w:ascii="Palatino Linotype" w:hAnsi="Palatino Linotype"/>
        </w:rPr>
        <w:t>)</w:t>
      </w:r>
      <w:r w:rsidRPr="00573A19">
        <w:rPr>
          <w:rFonts w:ascii="Palatino Linotype" w:hAnsi="Palatino Linotype"/>
        </w:rPr>
        <w:t xml:space="preserve"> 20-03-027</w:t>
      </w:r>
      <w:r w:rsidRPr="00573A19" w:rsidR="00BA780F">
        <w:rPr>
          <w:rFonts w:ascii="Palatino Linotype" w:hAnsi="Palatino Linotype"/>
        </w:rPr>
        <w:t>,</w:t>
      </w:r>
      <w:r w:rsidRPr="00573A19">
        <w:rPr>
          <w:rFonts w:ascii="Palatino Linotype" w:hAnsi="Palatino Linotype"/>
        </w:rPr>
        <w:t xml:space="preserve"> which established the framework for two building decarbonization pilot programs</w:t>
      </w:r>
      <w:r w:rsidRPr="00573A19" w:rsidR="00BA780F">
        <w:rPr>
          <w:rFonts w:ascii="Palatino Linotype" w:hAnsi="Palatino Linotype"/>
        </w:rPr>
        <w:t xml:space="preserve">: </w:t>
      </w:r>
      <w:r w:rsidRPr="00573A19">
        <w:rPr>
          <w:rFonts w:ascii="Palatino Linotype" w:hAnsi="Palatino Linotype"/>
        </w:rPr>
        <w:t>the Building Initiative for Low-Emissions Development (BUILD</w:t>
      </w:r>
      <w:r w:rsidRPr="00573A19" w:rsidR="00BA780F">
        <w:rPr>
          <w:rFonts w:ascii="Palatino Linotype" w:hAnsi="Palatino Linotype"/>
        </w:rPr>
        <w:t>)</w:t>
      </w:r>
      <w:r w:rsidRPr="00573A19">
        <w:rPr>
          <w:rFonts w:ascii="Palatino Linotype" w:hAnsi="Palatino Linotype"/>
        </w:rPr>
        <w:t xml:space="preserve"> program and the Technology and Equipment for Clean Heating (TECH) initiative</w:t>
      </w:r>
      <w:r w:rsidRPr="00573A19" w:rsidR="00E72AE9">
        <w:rPr>
          <w:rFonts w:ascii="Palatino Linotype" w:hAnsi="Palatino Linotype"/>
        </w:rPr>
        <w:t>, both</w:t>
      </w:r>
      <w:r w:rsidRPr="00573A19">
        <w:rPr>
          <w:rFonts w:ascii="Palatino Linotype" w:hAnsi="Palatino Linotype"/>
        </w:rPr>
        <w:t xml:space="preserve"> authorized by Senate Bill 1477 (Stern, 2018).</w:t>
      </w:r>
    </w:p>
    <w:p w:rsidRPr="00573A19" w:rsidR="003C4372" w:rsidRDefault="003C4372" w14:paraId="64D2BAA8" w14:textId="767325D0">
      <w:pPr>
        <w:rPr>
          <w:rFonts w:ascii="Palatino Linotype" w:hAnsi="Palatino Linotype"/>
        </w:rPr>
      </w:pPr>
      <w:r w:rsidRPr="00573A19">
        <w:rPr>
          <w:rFonts w:ascii="Palatino Linotype" w:hAnsi="Palatino Linotype"/>
        </w:rPr>
        <w:t xml:space="preserve"> </w:t>
      </w:r>
    </w:p>
    <w:p w:rsidRPr="00573A19" w:rsidR="003C4372" w:rsidRDefault="00184B9C" w14:paraId="4CC86668" w14:textId="3F067995">
      <w:pPr>
        <w:rPr>
          <w:rFonts w:ascii="Palatino Linotype" w:hAnsi="Palatino Linotype"/>
        </w:rPr>
      </w:pPr>
      <w:r w:rsidRPr="00573A19">
        <w:rPr>
          <w:rFonts w:ascii="Palatino Linotype" w:hAnsi="Palatino Linotype"/>
        </w:rPr>
        <w:t>This r</w:t>
      </w:r>
      <w:r w:rsidRPr="00573A19" w:rsidR="00EE690F">
        <w:rPr>
          <w:rFonts w:ascii="Palatino Linotype" w:hAnsi="Palatino Linotype"/>
        </w:rPr>
        <w:t xml:space="preserve">esolution originates from </w:t>
      </w:r>
      <w:r w:rsidRPr="00573A19">
        <w:rPr>
          <w:rFonts w:ascii="Palatino Linotype" w:hAnsi="Palatino Linotype"/>
        </w:rPr>
        <w:t xml:space="preserve">staff’s </w:t>
      </w:r>
      <w:r w:rsidRPr="00573A19" w:rsidR="00EE690F">
        <w:rPr>
          <w:rFonts w:ascii="Palatino Linotype" w:hAnsi="Palatino Linotype"/>
        </w:rPr>
        <w:t>own motion</w:t>
      </w:r>
      <w:r w:rsidRPr="00573A19">
        <w:rPr>
          <w:rFonts w:ascii="Palatino Linotype" w:hAnsi="Palatino Linotype"/>
        </w:rPr>
        <w:t xml:space="preserve"> in response to Ordering Paragraph </w:t>
      </w:r>
      <w:r w:rsidRPr="00573A19" w:rsidR="006F46DB">
        <w:rPr>
          <w:rFonts w:ascii="Palatino Linotype" w:hAnsi="Palatino Linotype"/>
        </w:rPr>
        <w:t>(</w:t>
      </w:r>
      <w:r w:rsidRPr="00573A19">
        <w:rPr>
          <w:rFonts w:ascii="Palatino Linotype" w:hAnsi="Palatino Linotype"/>
        </w:rPr>
        <w:t>OP</w:t>
      </w:r>
      <w:r w:rsidRPr="00573A19" w:rsidR="006F46DB">
        <w:rPr>
          <w:rFonts w:ascii="Palatino Linotype" w:hAnsi="Palatino Linotype"/>
        </w:rPr>
        <w:t>)</w:t>
      </w:r>
      <w:r w:rsidRPr="00573A19">
        <w:rPr>
          <w:rFonts w:ascii="Palatino Linotype" w:hAnsi="Palatino Linotype"/>
        </w:rPr>
        <w:t xml:space="preserve"> 25 of D.20-03-027.</w:t>
      </w:r>
      <w:r w:rsidRPr="00573A19" w:rsidR="00A774C0">
        <w:rPr>
          <w:rFonts w:ascii="Palatino Linotype" w:hAnsi="Palatino Linotype"/>
        </w:rPr>
        <w:t xml:space="preserve"> </w:t>
      </w:r>
    </w:p>
    <w:p w:rsidRPr="00573A19" w:rsidR="003C4372" w:rsidRDefault="003C4372" w14:paraId="05175D3D" w14:textId="77777777">
      <w:pPr>
        <w:rPr>
          <w:rFonts w:ascii="Palatino Linotype" w:hAnsi="Palatino Linotype"/>
        </w:rPr>
      </w:pPr>
    </w:p>
    <w:p w:rsidRPr="00573A19" w:rsidR="00CF17DE" w:rsidRDefault="00A774C0" w14:paraId="2545B8F7" w14:textId="3F0D8796">
      <w:pPr>
        <w:rPr>
          <w:rFonts w:ascii="Palatino Linotype" w:hAnsi="Palatino Linotype"/>
        </w:rPr>
      </w:pPr>
      <w:r w:rsidRPr="00573A19">
        <w:rPr>
          <w:rFonts w:ascii="Palatino Linotype" w:hAnsi="Palatino Linotype"/>
        </w:rPr>
        <w:t>OP 25 states:</w:t>
      </w:r>
    </w:p>
    <w:p w:rsidRPr="00573A19" w:rsidR="00A774C0" w:rsidRDefault="00A774C0" w14:paraId="4D36FBDE" w14:textId="77777777">
      <w:pPr>
        <w:rPr>
          <w:rFonts w:ascii="Palatino Linotype" w:hAnsi="Palatino Linotype"/>
        </w:rPr>
      </w:pPr>
    </w:p>
    <w:p w:rsidRPr="00573A19" w:rsidR="00A774C0" w:rsidRDefault="00A774C0" w14:paraId="0E966EF4" w14:textId="7A640623">
      <w:pPr>
        <w:rPr>
          <w:rFonts w:ascii="Palatino Linotype" w:hAnsi="Palatino Linotype"/>
          <w:i/>
          <w:iCs/>
        </w:rPr>
      </w:pPr>
      <w:r w:rsidRPr="00573A19">
        <w:rPr>
          <w:rFonts w:ascii="Palatino Linotype" w:hAnsi="Palatino Linotype"/>
          <w:i/>
          <w:iCs/>
        </w:rPr>
        <w:t xml:space="preserve">“On September 1 of each year, each investor-owned utility shall release required data and maps needed for program planning and assessment. Details and format of what will be released shall be decided through an Energy Division staff-led workshop. Based on the </w:t>
      </w:r>
      <w:r w:rsidRPr="00573A19">
        <w:rPr>
          <w:rFonts w:ascii="Palatino Linotype" w:hAnsi="Palatino Linotype"/>
          <w:i/>
          <w:iCs/>
        </w:rPr>
        <w:lastRenderedPageBreak/>
        <w:t xml:space="preserve">workshop, Energy Division staff will finalize and publish the data requirements no later than 90 days from the adoption of this decision. </w:t>
      </w:r>
    </w:p>
    <w:p w:rsidRPr="00573A19" w:rsidR="00EC2A88" w:rsidP="00EC2A88" w:rsidRDefault="00EC2A88" w14:paraId="711ED407" w14:textId="77777777">
      <w:pPr>
        <w:rPr>
          <w:rFonts w:ascii="Palatino Linotype" w:hAnsi="Palatino Linotype"/>
        </w:rPr>
      </w:pPr>
    </w:p>
    <w:p w:rsidRPr="00573A19" w:rsidR="00EC2A88" w:rsidP="00EC2A88" w:rsidRDefault="00064432" w14:paraId="0835DE92" w14:textId="3C9BDE87">
      <w:pPr>
        <w:rPr>
          <w:rFonts w:ascii="Palatino Linotype" w:hAnsi="Palatino Linotype"/>
        </w:rPr>
      </w:pPr>
      <w:r w:rsidRPr="00573A19">
        <w:rPr>
          <w:rFonts w:ascii="Palatino Linotype" w:hAnsi="Palatino Linotype"/>
        </w:rPr>
        <w:t xml:space="preserve">A footnote to </w:t>
      </w:r>
      <w:r w:rsidRPr="00573A19" w:rsidR="00EC2A88">
        <w:rPr>
          <w:rFonts w:ascii="Palatino Linotype" w:hAnsi="Palatino Linotype"/>
        </w:rPr>
        <w:t>OP 25 states:</w:t>
      </w:r>
    </w:p>
    <w:p w:rsidRPr="00573A19" w:rsidR="00064432" w:rsidP="00EC2A88" w:rsidRDefault="00064432" w14:paraId="36D8041D" w14:textId="77777777">
      <w:pPr>
        <w:rPr>
          <w:rFonts w:ascii="Palatino Linotype" w:hAnsi="Palatino Linotype"/>
        </w:rPr>
      </w:pPr>
    </w:p>
    <w:p w:rsidRPr="00573A19" w:rsidR="00A774C0" w:rsidRDefault="00A774C0" w14:paraId="03F4203A" w14:textId="2E57A837">
      <w:pPr>
        <w:rPr>
          <w:rFonts w:ascii="Palatino Linotype" w:hAnsi="Palatino Linotype"/>
          <w:i/>
          <w:iCs/>
        </w:rPr>
      </w:pPr>
      <w:r w:rsidRPr="00573A19">
        <w:rPr>
          <w:rFonts w:ascii="Palatino Linotype" w:hAnsi="Palatino Linotype"/>
          <w:i/>
          <w:iCs/>
        </w:rPr>
        <w:t xml:space="preserve">Staff may conduct future workshops to revise the requirements, provided the new requirements are published by staff no later than July 1 of each year. In the absence of any new requirements, the investor-owned utilities shall annually update the datasets based on prior year requirements. In the event of a disagreement between parties, </w:t>
      </w:r>
      <w:r w:rsidRPr="00573A19">
        <w:rPr>
          <w:rFonts w:ascii="Palatino Linotype" w:hAnsi="Palatino Linotype" w:cs="Calibri"/>
          <w:i/>
          <w:iCs/>
          <w:szCs w:val="26"/>
        </w:rPr>
        <w:t>Energy Division staff and attorneys shall be the final authority in determining confidentiality status of any required data, as governed by existing laws and regulations.</w:t>
      </w:r>
      <w:r w:rsidRPr="00573A19">
        <w:rPr>
          <w:rFonts w:ascii="Palatino Linotype" w:hAnsi="Palatino Linotype"/>
          <w:i/>
          <w:iCs/>
        </w:rPr>
        <w:t xml:space="preserve"> Where necessary data is not readily available, the CPUC staff shall consult with all relevant stakeholders to determine how this data can best be collected and by whom. CPUC staff may require investor-owned utilities to initiate data collection through their existing processes so that it can be made available to the public in subsequent years”</w:t>
      </w:r>
    </w:p>
    <w:p w:rsidRPr="00573A19" w:rsidR="00184B9C" w:rsidRDefault="00184B9C" w14:paraId="28AFC4D4" w14:textId="7A1EC4EA">
      <w:pPr>
        <w:rPr>
          <w:rFonts w:ascii="Palatino Linotype" w:hAnsi="Palatino Linotype"/>
        </w:rPr>
      </w:pPr>
    </w:p>
    <w:p w:rsidRPr="00573A19" w:rsidR="005E4132" w:rsidP="005E4132" w:rsidRDefault="001A6742" w14:paraId="4184F096" w14:textId="27855215">
      <w:pPr>
        <w:rPr>
          <w:rFonts w:ascii="Palatino Linotype" w:hAnsi="Palatino Linotype"/>
        </w:rPr>
      </w:pPr>
      <w:r w:rsidRPr="00573A19">
        <w:rPr>
          <w:rFonts w:ascii="Palatino Linotype" w:hAnsi="Palatino Linotype"/>
        </w:rPr>
        <w:t>On June 17, 2020</w:t>
      </w:r>
      <w:r w:rsidRPr="00573A19" w:rsidR="0015684D">
        <w:rPr>
          <w:rFonts w:ascii="Palatino Linotype" w:hAnsi="Palatino Linotype"/>
        </w:rPr>
        <w:t>,</w:t>
      </w:r>
      <w:r w:rsidRPr="00573A19">
        <w:rPr>
          <w:rFonts w:ascii="Palatino Linotype" w:hAnsi="Palatino Linotype"/>
        </w:rPr>
        <w:t xml:space="preserve"> Energy Division staff led a data workshop </w:t>
      </w:r>
      <w:r w:rsidRPr="00573A19" w:rsidR="00517468">
        <w:rPr>
          <w:rFonts w:ascii="Palatino Linotype" w:hAnsi="Palatino Linotype"/>
        </w:rPr>
        <w:t>with presentations from environmental advocacy groups, CPUC staff</w:t>
      </w:r>
      <w:r w:rsidRPr="00573A19" w:rsidR="00AE78D7">
        <w:rPr>
          <w:rFonts w:ascii="Palatino Linotype" w:hAnsi="Palatino Linotype"/>
        </w:rPr>
        <w:t>,</w:t>
      </w:r>
      <w:r w:rsidRPr="00573A19" w:rsidR="00517468">
        <w:rPr>
          <w:rFonts w:ascii="Palatino Linotype" w:hAnsi="Palatino Linotype"/>
        </w:rPr>
        <w:t xml:space="preserve"> and California</w:t>
      </w:r>
      <w:r w:rsidRPr="00573A19" w:rsidR="00AE78D7">
        <w:rPr>
          <w:rFonts w:ascii="Palatino Linotype" w:hAnsi="Palatino Linotype"/>
        </w:rPr>
        <w:t>’s five</w:t>
      </w:r>
      <w:r w:rsidRPr="00573A19" w:rsidR="00517468">
        <w:rPr>
          <w:rFonts w:ascii="Palatino Linotype" w:hAnsi="Palatino Linotype"/>
        </w:rPr>
        <w:t xml:space="preserve"> large investor-owned utilities (IOUs) focusing on the role and need of data in building decarbonization programs.</w:t>
      </w:r>
      <w:r w:rsidRPr="00573A19" w:rsidR="00AD0D3A">
        <w:rPr>
          <w:rStyle w:val="FootnoteReference"/>
          <w:rFonts w:ascii="Palatino Linotype" w:hAnsi="Palatino Linotype"/>
        </w:rPr>
        <w:footnoteReference w:id="3"/>
      </w:r>
      <w:r w:rsidRPr="00573A19" w:rsidR="00517468">
        <w:rPr>
          <w:rFonts w:ascii="Palatino Linotype" w:hAnsi="Palatino Linotype"/>
        </w:rPr>
        <w:t xml:space="preserve"> </w:t>
      </w:r>
      <w:r w:rsidRPr="00573A19" w:rsidR="0093449A">
        <w:rPr>
          <w:rFonts w:ascii="Palatino Linotype" w:hAnsi="Palatino Linotype"/>
        </w:rPr>
        <w:t xml:space="preserve"> </w:t>
      </w:r>
    </w:p>
    <w:p w:rsidRPr="00573A19" w:rsidR="005E4132" w:rsidP="005E4132" w:rsidRDefault="005E4132" w14:paraId="5DCC0D78" w14:textId="77777777">
      <w:pPr>
        <w:rPr>
          <w:rFonts w:ascii="Palatino Linotype" w:hAnsi="Palatino Linotype"/>
        </w:rPr>
      </w:pPr>
    </w:p>
    <w:p w:rsidRPr="00573A19" w:rsidR="00517468" w:rsidP="00184B9C" w:rsidRDefault="005E4132" w14:paraId="53186782" w14:textId="73AB3558">
      <w:pPr>
        <w:rPr>
          <w:rFonts w:ascii="Palatino Linotype" w:hAnsi="Palatino Linotype"/>
        </w:rPr>
      </w:pPr>
      <w:r w:rsidRPr="00573A19">
        <w:rPr>
          <w:rFonts w:ascii="Palatino Linotype" w:hAnsi="Palatino Linotype"/>
        </w:rPr>
        <w:t>CPUC staff presentation proposed four general data categories for stakeholder’s consideration that could be used for developing data submittal requirements for IOUs</w:t>
      </w:r>
      <w:r w:rsidRPr="00573A19" w:rsidR="00AE1D96">
        <w:rPr>
          <w:rFonts w:ascii="Palatino Linotype" w:hAnsi="Palatino Linotype"/>
        </w:rPr>
        <w:t xml:space="preserve">: </w:t>
      </w:r>
      <w:r w:rsidRPr="00573A19">
        <w:rPr>
          <w:rFonts w:ascii="Palatino Linotype" w:hAnsi="Palatino Linotype"/>
        </w:rPr>
        <w:t xml:space="preserve"> In addition to verbal comments at the workshop, subsequent written comments were received from eight parties.</w:t>
      </w:r>
    </w:p>
    <w:p w:rsidRPr="00573A19" w:rsidR="001A6742" w:rsidP="00184B9C" w:rsidRDefault="001A6742" w14:paraId="3FA5726F" w14:textId="270752D5">
      <w:pPr>
        <w:rPr>
          <w:rFonts w:ascii="Palatino Linotype" w:hAnsi="Palatino Linotype"/>
        </w:rPr>
      </w:pPr>
    </w:p>
    <w:p w:rsidRPr="00573A19" w:rsidR="00517468" w:rsidP="00184B9C" w:rsidRDefault="00517468" w14:paraId="3D541B1E" w14:textId="5EA119F3">
      <w:pPr>
        <w:rPr>
          <w:rFonts w:ascii="Palatino Linotype" w:hAnsi="Palatino Linotype"/>
        </w:rPr>
      </w:pPr>
    </w:p>
    <w:p w:rsidRPr="00573A19" w:rsidR="00517468" w:rsidP="00184B9C" w:rsidRDefault="00517468" w14:paraId="656D6720" w14:textId="034B5424">
      <w:pPr>
        <w:rPr>
          <w:rFonts w:ascii="Palatino Linotype" w:hAnsi="Palatino Linotype"/>
        </w:rPr>
      </w:pPr>
      <w:r w:rsidRPr="00573A19">
        <w:rPr>
          <w:rFonts w:ascii="Palatino Linotype" w:hAnsi="Palatino Linotype"/>
        </w:rPr>
        <w:t xml:space="preserve">To allow the time needed </w:t>
      </w:r>
      <w:r w:rsidRPr="00573A19" w:rsidR="000E14DA">
        <w:rPr>
          <w:rFonts w:ascii="Palatino Linotype" w:hAnsi="Palatino Linotype"/>
        </w:rPr>
        <w:t xml:space="preserve">to complete </w:t>
      </w:r>
      <w:r w:rsidRPr="00573A19">
        <w:rPr>
          <w:rFonts w:ascii="Palatino Linotype" w:hAnsi="Palatino Linotype"/>
        </w:rPr>
        <w:t xml:space="preserve">the resolution </w:t>
      </w:r>
      <w:r w:rsidRPr="00573A19" w:rsidR="006061AE">
        <w:rPr>
          <w:rFonts w:ascii="Palatino Linotype" w:hAnsi="Palatino Linotype"/>
        </w:rPr>
        <w:t xml:space="preserve">drafting </w:t>
      </w:r>
      <w:r w:rsidRPr="00573A19">
        <w:rPr>
          <w:rFonts w:ascii="Palatino Linotype" w:hAnsi="Palatino Linotype"/>
        </w:rPr>
        <w:t>process</w:t>
      </w:r>
      <w:r w:rsidRPr="00573A19" w:rsidR="006061AE">
        <w:rPr>
          <w:rFonts w:ascii="Palatino Linotype" w:hAnsi="Palatino Linotype"/>
        </w:rPr>
        <w:t>,</w:t>
      </w:r>
      <w:r w:rsidRPr="00573A19" w:rsidR="00DC630A">
        <w:rPr>
          <w:rFonts w:ascii="Palatino Linotype" w:hAnsi="Palatino Linotype"/>
        </w:rPr>
        <w:t xml:space="preserve"> and pursuant to Rule 16.6 of the CPUC’s Rules of Practice and Procedure</w:t>
      </w:r>
      <w:r w:rsidRPr="00573A19">
        <w:rPr>
          <w:rFonts w:ascii="Palatino Linotype" w:hAnsi="Palatino Linotype"/>
        </w:rPr>
        <w:t xml:space="preserve">, </w:t>
      </w:r>
      <w:r w:rsidRPr="00573A19" w:rsidR="006061AE">
        <w:rPr>
          <w:rFonts w:ascii="Palatino Linotype" w:hAnsi="Palatino Linotype"/>
        </w:rPr>
        <w:t xml:space="preserve">Energy Division </w:t>
      </w:r>
      <w:r w:rsidRPr="00573A19">
        <w:rPr>
          <w:rFonts w:ascii="Palatino Linotype" w:hAnsi="Palatino Linotype"/>
        </w:rPr>
        <w:t>staff sought an extension to the July 1 deadline to issue the data requirements</w:t>
      </w:r>
      <w:r w:rsidRPr="00573A19" w:rsidR="00DC630A">
        <w:rPr>
          <w:rFonts w:ascii="Palatino Linotype" w:hAnsi="Palatino Linotype"/>
        </w:rPr>
        <w:t>. The request for extension was approved on September 1 by the CPUC</w:t>
      </w:r>
      <w:r w:rsidRPr="00573A19" w:rsidR="00BB1F55">
        <w:rPr>
          <w:rFonts w:ascii="Palatino Linotype" w:hAnsi="Palatino Linotype"/>
        </w:rPr>
        <w:t>’s</w:t>
      </w:r>
      <w:r w:rsidRPr="00573A19" w:rsidR="00DC630A">
        <w:rPr>
          <w:rFonts w:ascii="Palatino Linotype" w:hAnsi="Palatino Linotype"/>
        </w:rPr>
        <w:t xml:space="preserve"> Executive Director and </w:t>
      </w:r>
      <w:r w:rsidRPr="00573A19" w:rsidR="00BB1F55">
        <w:rPr>
          <w:rFonts w:ascii="Palatino Linotype" w:hAnsi="Palatino Linotype"/>
        </w:rPr>
        <w:t xml:space="preserve">Energy Division </w:t>
      </w:r>
      <w:r w:rsidRPr="00573A19" w:rsidR="00DC630A">
        <w:rPr>
          <w:rFonts w:ascii="Palatino Linotype" w:hAnsi="Palatino Linotype"/>
        </w:rPr>
        <w:t xml:space="preserve">staff </w:t>
      </w:r>
      <w:r w:rsidRPr="00573A19" w:rsidR="00BB1F55">
        <w:rPr>
          <w:rFonts w:ascii="Palatino Linotype" w:hAnsi="Palatino Linotype"/>
        </w:rPr>
        <w:t xml:space="preserve">was given until </w:t>
      </w:r>
      <w:r w:rsidRPr="00573A19" w:rsidR="00DC630A">
        <w:rPr>
          <w:rFonts w:ascii="Palatino Linotype" w:hAnsi="Palatino Linotype"/>
        </w:rPr>
        <w:t>October 3, 2020</w:t>
      </w:r>
      <w:r w:rsidRPr="00573A19" w:rsidR="00BB1F55">
        <w:rPr>
          <w:rFonts w:ascii="Palatino Linotype" w:hAnsi="Palatino Linotype"/>
        </w:rPr>
        <w:t xml:space="preserve"> to </w:t>
      </w:r>
      <w:r w:rsidRPr="00573A19" w:rsidR="003E30A7">
        <w:rPr>
          <w:rFonts w:ascii="Palatino Linotype" w:hAnsi="Palatino Linotype"/>
        </w:rPr>
        <w:t>issue</w:t>
      </w:r>
      <w:r w:rsidRPr="00573A19" w:rsidR="00BB1F55">
        <w:rPr>
          <w:rFonts w:ascii="Palatino Linotype" w:hAnsi="Palatino Linotype"/>
        </w:rPr>
        <w:t xml:space="preserve"> the data requirements in the form of a draft resolution</w:t>
      </w:r>
      <w:r w:rsidRPr="00573A19" w:rsidR="00DC630A">
        <w:rPr>
          <w:rFonts w:ascii="Palatino Linotype" w:hAnsi="Palatino Linotype"/>
        </w:rPr>
        <w:t xml:space="preserve">. This </w:t>
      </w:r>
      <w:r w:rsidRPr="00573A19" w:rsidR="00DC630A">
        <w:rPr>
          <w:rFonts w:ascii="Palatino Linotype" w:hAnsi="Palatino Linotype"/>
        </w:rPr>
        <w:lastRenderedPageBreak/>
        <w:t xml:space="preserve">resolution </w:t>
      </w:r>
      <w:r w:rsidRPr="00573A19" w:rsidR="00CC0860">
        <w:rPr>
          <w:rFonts w:ascii="Palatino Linotype" w:hAnsi="Palatino Linotype"/>
        </w:rPr>
        <w:t>provides the necessary data</w:t>
      </w:r>
      <w:r w:rsidRPr="00573A19" w:rsidR="00DE4882">
        <w:rPr>
          <w:rFonts w:ascii="Palatino Linotype" w:hAnsi="Palatino Linotype"/>
        </w:rPr>
        <w:t xml:space="preserve"> </w:t>
      </w:r>
      <w:r w:rsidRPr="00573A19" w:rsidR="00DC630A">
        <w:rPr>
          <w:rFonts w:ascii="Palatino Linotype" w:hAnsi="Palatino Linotype"/>
        </w:rPr>
        <w:t>requirement</w:t>
      </w:r>
      <w:r w:rsidRPr="00573A19" w:rsidR="00CC0860">
        <w:rPr>
          <w:rFonts w:ascii="Palatino Linotype" w:hAnsi="Palatino Linotype"/>
        </w:rPr>
        <w:t>s</w:t>
      </w:r>
      <w:r w:rsidRPr="00573A19" w:rsidR="003E30A7">
        <w:rPr>
          <w:rFonts w:ascii="Palatino Linotype" w:hAnsi="Palatino Linotype"/>
        </w:rPr>
        <w:t xml:space="preserve"> in accordance with the revised deadline for issuance</w:t>
      </w:r>
      <w:r w:rsidRPr="00573A19" w:rsidR="00DC630A">
        <w:rPr>
          <w:rFonts w:ascii="Palatino Linotype" w:hAnsi="Palatino Linotype"/>
        </w:rPr>
        <w:t>.</w:t>
      </w:r>
    </w:p>
    <w:p w:rsidRPr="00573A19" w:rsidR="00517468" w:rsidP="00184B9C" w:rsidRDefault="00517468" w14:paraId="76DDB597" w14:textId="328C4B5B">
      <w:pPr>
        <w:rPr>
          <w:rFonts w:ascii="Palatino Linotype" w:hAnsi="Palatino Linotype"/>
        </w:rPr>
      </w:pPr>
    </w:p>
    <w:p w:rsidRPr="00573A19" w:rsidR="00EB49C1" w:rsidP="00184B9C" w:rsidRDefault="003C4372" w14:paraId="0B3FE331" w14:textId="77777777">
      <w:pPr>
        <w:rPr>
          <w:rFonts w:ascii="Palatino Linotype" w:hAnsi="Palatino Linotype"/>
        </w:rPr>
      </w:pPr>
      <w:r w:rsidRPr="00573A19">
        <w:rPr>
          <w:rFonts w:ascii="Palatino Linotype" w:hAnsi="Palatino Linotype"/>
        </w:rPr>
        <w:t>In conjunction</w:t>
      </w:r>
      <w:r w:rsidRPr="00573A19" w:rsidR="00184B9C">
        <w:rPr>
          <w:rFonts w:ascii="Palatino Linotype" w:hAnsi="Palatino Linotype"/>
        </w:rPr>
        <w:t xml:space="preserve"> with other policy issues, </w:t>
      </w:r>
      <w:r w:rsidRPr="00573A19" w:rsidR="00B12B7C">
        <w:rPr>
          <w:rFonts w:ascii="Palatino Linotype" w:hAnsi="Palatino Linotype"/>
        </w:rPr>
        <w:t>D.20-03-027</w:t>
      </w:r>
      <w:r w:rsidRPr="00573A19" w:rsidR="00184B9C">
        <w:rPr>
          <w:rFonts w:ascii="Palatino Linotype" w:hAnsi="Palatino Linotype"/>
        </w:rPr>
        <w:t xml:space="preserve"> recognized the role of data </w:t>
      </w:r>
      <w:r w:rsidRPr="00573A19" w:rsidR="00A401A4">
        <w:rPr>
          <w:rFonts w:ascii="Palatino Linotype" w:hAnsi="Palatino Linotype"/>
        </w:rPr>
        <w:t xml:space="preserve">in helping </w:t>
      </w:r>
      <w:r w:rsidRPr="00573A19" w:rsidR="00184B9C">
        <w:rPr>
          <w:rFonts w:ascii="Palatino Linotype" w:hAnsi="Palatino Linotype"/>
        </w:rPr>
        <w:t>market transformation programs</w:t>
      </w:r>
      <w:r w:rsidRPr="00573A19" w:rsidR="00A401A4">
        <w:rPr>
          <w:rFonts w:ascii="Palatino Linotype" w:hAnsi="Palatino Linotype"/>
        </w:rPr>
        <w:t xml:space="preserve"> succeed</w:t>
      </w:r>
      <w:r w:rsidRPr="00573A19" w:rsidR="00184B9C">
        <w:rPr>
          <w:rFonts w:ascii="Palatino Linotype" w:hAnsi="Palatino Linotype"/>
        </w:rPr>
        <w:t xml:space="preserve">. </w:t>
      </w:r>
      <w:r w:rsidRPr="00573A19" w:rsidR="00A401A4">
        <w:rPr>
          <w:rFonts w:ascii="Palatino Linotype" w:hAnsi="Palatino Linotype"/>
        </w:rPr>
        <w:t xml:space="preserve">The decision </w:t>
      </w:r>
      <w:r w:rsidRPr="00573A19" w:rsidR="00184B9C">
        <w:rPr>
          <w:rFonts w:ascii="Palatino Linotype" w:hAnsi="Palatino Linotype"/>
        </w:rPr>
        <w:t>also recognized that granular customer-level data, while useful for public interest decarbonization research</w:t>
      </w:r>
      <w:r w:rsidRPr="00573A19" w:rsidR="009F4CF8">
        <w:rPr>
          <w:rFonts w:ascii="Palatino Linotype" w:hAnsi="Palatino Linotype"/>
        </w:rPr>
        <w:t>,</w:t>
      </w:r>
      <w:r w:rsidRPr="00573A19" w:rsidR="00184B9C">
        <w:rPr>
          <w:rFonts w:ascii="Palatino Linotype" w:hAnsi="Palatino Linotype"/>
        </w:rPr>
        <w:t xml:space="preserve"> is not </w:t>
      </w:r>
      <w:r w:rsidRPr="00573A19" w:rsidR="00AD493B">
        <w:rPr>
          <w:rFonts w:ascii="Palatino Linotype" w:hAnsi="Palatino Linotype"/>
        </w:rPr>
        <w:t xml:space="preserve">publicly </w:t>
      </w:r>
      <w:r w:rsidRPr="00573A19" w:rsidR="00184B9C">
        <w:rPr>
          <w:rFonts w:ascii="Palatino Linotype" w:hAnsi="Palatino Linotype"/>
        </w:rPr>
        <w:t>available due to current privacy and confidentiality laws</w:t>
      </w:r>
      <w:r w:rsidRPr="00573A19">
        <w:rPr>
          <w:rFonts w:ascii="Palatino Linotype" w:hAnsi="Palatino Linotype"/>
        </w:rPr>
        <w:t>.</w:t>
      </w:r>
      <w:r w:rsidRPr="00573A19" w:rsidR="00184B9C">
        <w:rPr>
          <w:rStyle w:val="FootnoteReference"/>
          <w:rFonts w:ascii="Palatino Linotype" w:hAnsi="Palatino Linotype"/>
        </w:rPr>
        <w:footnoteReference w:id="4"/>
      </w:r>
      <w:r w:rsidRPr="00573A19">
        <w:rPr>
          <w:rFonts w:ascii="Palatino Linotype" w:hAnsi="Palatino Linotype"/>
        </w:rPr>
        <w:t xml:space="preserve"> </w:t>
      </w:r>
      <w:r w:rsidRPr="00573A19" w:rsidR="00C56790">
        <w:rPr>
          <w:rFonts w:ascii="Palatino Linotype" w:hAnsi="Palatino Linotype"/>
        </w:rPr>
        <w:t>Recognizing</w:t>
      </w:r>
      <w:r w:rsidRPr="00573A19" w:rsidR="00AD493B">
        <w:rPr>
          <w:rFonts w:ascii="Palatino Linotype" w:hAnsi="Palatino Linotype"/>
        </w:rPr>
        <w:t xml:space="preserve"> </w:t>
      </w:r>
      <w:r w:rsidRPr="00573A19" w:rsidR="000E01A1">
        <w:rPr>
          <w:rFonts w:ascii="Palatino Linotype" w:hAnsi="Palatino Linotype"/>
        </w:rPr>
        <w:t>those limitations</w:t>
      </w:r>
      <w:r w:rsidRPr="00573A19" w:rsidR="00AD493B">
        <w:rPr>
          <w:rFonts w:ascii="Palatino Linotype" w:hAnsi="Palatino Linotype"/>
        </w:rPr>
        <w:t>, the decision found it reasonable that customers be given the option of voluntary public donation of their energy use data for public interest research.</w:t>
      </w:r>
    </w:p>
    <w:p w:rsidRPr="00573A19" w:rsidR="00EB49C1" w:rsidP="00184B9C" w:rsidRDefault="00EB49C1" w14:paraId="47D00ED1" w14:textId="77777777">
      <w:pPr>
        <w:rPr>
          <w:rFonts w:ascii="Palatino Linotype" w:hAnsi="Palatino Linotype"/>
        </w:rPr>
      </w:pPr>
    </w:p>
    <w:p w:rsidRPr="00573A19" w:rsidR="00184B9C" w:rsidP="00184B9C" w:rsidRDefault="00EB49C1" w14:paraId="07C8F103" w14:textId="7750CF12">
      <w:pPr>
        <w:rPr>
          <w:rFonts w:ascii="Palatino Linotype" w:hAnsi="Palatino Linotype"/>
        </w:rPr>
      </w:pPr>
      <w:r w:rsidRPr="00573A19">
        <w:rPr>
          <w:rFonts w:ascii="Palatino Linotype" w:hAnsi="Palatino Linotype"/>
        </w:rPr>
        <w:t xml:space="preserve">This resolution supports the idea that reliable market characterization data aids market development. Based on observations of other industries such as healthcare, online retail, and consumer lending, information-empowered markets and consumers self-propel to long-term change.  </w:t>
      </w:r>
      <w:r w:rsidRPr="00573A19" w:rsidR="00E8054B">
        <w:rPr>
          <w:rFonts w:ascii="Palatino Linotype" w:hAnsi="Palatino Linotype"/>
        </w:rPr>
        <w:t xml:space="preserve"> </w:t>
      </w:r>
      <w:r w:rsidRPr="00573A19" w:rsidR="003C4372">
        <w:rPr>
          <w:rFonts w:ascii="Palatino Linotype" w:hAnsi="Palatino Linotype"/>
        </w:rPr>
        <w:t xml:space="preserve"> </w:t>
      </w:r>
    </w:p>
    <w:p w:rsidRPr="00573A19" w:rsidR="00DF35CC" w:rsidRDefault="00DF35CC" w14:paraId="7ED5ADC6" w14:textId="77777777">
      <w:pPr>
        <w:rPr>
          <w:rFonts w:ascii="Palatino Linotype" w:hAnsi="Palatino Linotype"/>
          <w:b/>
          <w:u w:val="single"/>
        </w:rPr>
      </w:pPr>
    </w:p>
    <w:p w:rsidRPr="00573A19" w:rsidR="00CF17DE" w:rsidRDefault="00394B3A" w14:paraId="66788129" w14:textId="77777777">
      <w:pPr>
        <w:pStyle w:val="Heading1"/>
        <w:rPr>
          <w:rFonts w:ascii="Palatino Linotype" w:hAnsi="Palatino Linotype"/>
        </w:rPr>
      </w:pPr>
      <w:r w:rsidRPr="00573A19">
        <w:rPr>
          <w:rFonts w:ascii="Palatino Linotype" w:hAnsi="Palatino Linotype"/>
        </w:rPr>
        <w:t>Notice</w:t>
      </w:r>
    </w:p>
    <w:p w:rsidRPr="00573A19" w:rsidR="00CF17DE" w:rsidRDefault="000F3DEE" w14:paraId="37FFE207" w14:textId="63C39A87">
      <w:pPr>
        <w:rPr>
          <w:rFonts w:ascii="Palatino Linotype" w:hAnsi="Palatino Linotype"/>
        </w:rPr>
      </w:pPr>
      <w:r w:rsidRPr="00573A19">
        <w:rPr>
          <w:rFonts w:ascii="Palatino Linotype" w:hAnsi="Palatino Linotype"/>
        </w:rPr>
        <w:t>Energy Division served Draft Resolution E-5105 to the service list for</w:t>
      </w:r>
      <w:r w:rsidRPr="00573A19" w:rsidR="003F5921">
        <w:rPr>
          <w:rFonts w:ascii="Palatino Linotype" w:hAnsi="Palatino Linotype"/>
        </w:rPr>
        <w:t xml:space="preserve"> </w:t>
      </w:r>
      <w:r w:rsidRPr="00573A19">
        <w:rPr>
          <w:rFonts w:ascii="Palatino Linotype" w:hAnsi="Palatino Linotype"/>
        </w:rPr>
        <w:t xml:space="preserve">Rulemaking (R.) 19-01-011 on October </w:t>
      </w:r>
      <w:r w:rsidRPr="00573A19" w:rsidR="00027E61">
        <w:rPr>
          <w:rFonts w:ascii="Palatino Linotype" w:hAnsi="Palatino Linotype"/>
        </w:rPr>
        <w:t>5</w:t>
      </w:r>
      <w:r w:rsidRPr="00573A19">
        <w:rPr>
          <w:rFonts w:ascii="Palatino Linotype" w:hAnsi="Palatino Linotype"/>
        </w:rPr>
        <w:t>, 2020</w:t>
      </w:r>
    </w:p>
    <w:p w:rsidRPr="00573A19" w:rsidR="00CF17DE" w:rsidRDefault="00CF17DE" w14:paraId="6E8F021A" w14:textId="77777777">
      <w:pPr>
        <w:rPr>
          <w:rFonts w:ascii="Palatino Linotype" w:hAnsi="Palatino Linotype"/>
        </w:rPr>
      </w:pPr>
    </w:p>
    <w:p w:rsidRPr="00573A19" w:rsidR="00CF17DE" w:rsidRDefault="00CF17DE" w14:paraId="23E10AE5" w14:textId="77777777">
      <w:pPr>
        <w:pStyle w:val="Heading1"/>
        <w:rPr>
          <w:rFonts w:ascii="Palatino Linotype" w:hAnsi="Palatino Linotype"/>
        </w:rPr>
      </w:pPr>
      <w:r w:rsidRPr="00573A19">
        <w:rPr>
          <w:rFonts w:ascii="Palatino Linotype" w:hAnsi="Palatino Linotype"/>
        </w:rPr>
        <w:t>Discussion</w:t>
      </w:r>
    </w:p>
    <w:p w:rsidRPr="00573A19" w:rsidR="0009172A" w:rsidP="0009172A" w:rsidRDefault="0009172A" w14:paraId="46C8228A" w14:textId="25C9EAD6">
      <w:pPr>
        <w:pStyle w:val="Heading2"/>
        <w:rPr>
          <w:bCs/>
        </w:rPr>
      </w:pPr>
      <w:r w:rsidRPr="00573A19">
        <w:rPr>
          <w:bCs/>
        </w:rPr>
        <w:t>Staff Workshop</w:t>
      </w:r>
      <w:r w:rsidRPr="00573A19" w:rsidR="00E97C3C">
        <w:rPr>
          <w:bCs/>
        </w:rPr>
        <w:t xml:space="preserve"> Comments Received</w:t>
      </w:r>
    </w:p>
    <w:p w:rsidRPr="00573A19" w:rsidR="00E97C3C" w:rsidP="00E97C3C" w:rsidRDefault="00814B11" w14:paraId="205F68CD" w14:textId="4615B456">
      <w:pPr>
        <w:rPr>
          <w:rFonts w:ascii="Palatino Linotype" w:hAnsi="Palatino Linotype"/>
        </w:rPr>
      </w:pPr>
      <w:r w:rsidRPr="00573A19">
        <w:rPr>
          <w:rFonts w:ascii="Palatino Linotype" w:hAnsi="Palatino Linotype"/>
        </w:rPr>
        <w:t xml:space="preserve">Eight written </w:t>
      </w:r>
      <w:r w:rsidRPr="00573A19" w:rsidR="00E97C3C">
        <w:rPr>
          <w:rFonts w:ascii="Palatino Linotype" w:hAnsi="Palatino Linotype"/>
        </w:rPr>
        <w:t>comments were received on the proceeding listserv in response to the June 17</w:t>
      </w:r>
      <w:r w:rsidRPr="00573A19" w:rsidR="003A5173">
        <w:rPr>
          <w:rFonts w:ascii="Palatino Linotype" w:hAnsi="Palatino Linotype"/>
        </w:rPr>
        <w:t>, 2020</w:t>
      </w:r>
      <w:r w:rsidRPr="00573A19" w:rsidR="00E97C3C">
        <w:rPr>
          <w:rFonts w:ascii="Palatino Linotype" w:hAnsi="Palatino Linotype"/>
        </w:rPr>
        <w:t xml:space="preserve"> workshop. Comments were received from the following parties:</w:t>
      </w:r>
    </w:p>
    <w:p w:rsidRPr="00573A19" w:rsidR="00200F97" w:rsidP="00200F97" w:rsidRDefault="00200F97" w14:paraId="0CEBA2BB" w14:textId="77777777">
      <w:pPr>
        <w:pStyle w:val="ListParagraph"/>
        <w:numPr>
          <w:ilvl w:val="0"/>
          <w:numId w:val="14"/>
        </w:numPr>
        <w:ind w:left="1260" w:hanging="450"/>
        <w:rPr>
          <w:rFonts w:ascii="Palatino Linotype" w:hAnsi="Palatino Linotype"/>
        </w:rPr>
      </w:pPr>
      <w:r w:rsidRPr="00573A19">
        <w:rPr>
          <w:rFonts w:ascii="Palatino Linotype" w:hAnsi="Palatino Linotype"/>
        </w:rPr>
        <w:t>California Solar and Storage Association (“CALSSA”)</w:t>
      </w:r>
    </w:p>
    <w:p w:rsidRPr="00573A19" w:rsidR="00200F97" w:rsidP="00200F97" w:rsidRDefault="00200F97" w14:paraId="46CEA099" w14:textId="77777777">
      <w:pPr>
        <w:pStyle w:val="ListParagraph"/>
        <w:numPr>
          <w:ilvl w:val="0"/>
          <w:numId w:val="14"/>
        </w:numPr>
        <w:tabs>
          <w:tab w:val="left" w:pos="1260"/>
        </w:tabs>
        <w:ind w:left="1260" w:hanging="450"/>
        <w:rPr>
          <w:rFonts w:ascii="Palatino Linotype" w:hAnsi="Palatino Linotype"/>
        </w:rPr>
      </w:pPr>
      <w:r w:rsidRPr="00573A19">
        <w:rPr>
          <w:rFonts w:ascii="Palatino Linotype" w:hAnsi="Palatino Linotype"/>
        </w:rPr>
        <w:t>Environmental Defense Fund (“EDF”)</w:t>
      </w:r>
    </w:p>
    <w:p w:rsidRPr="00573A19" w:rsidR="00200F97" w:rsidP="00200F97" w:rsidRDefault="00200F97" w14:paraId="7FF3DE0D" w14:textId="77777777">
      <w:pPr>
        <w:pStyle w:val="ListParagraph"/>
        <w:numPr>
          <w:ilvl w:val="0"/>
          <w:numId w:val="14"/>
        </w:numPr>
        <w:ind w:left="1260" w:hanging="450"/>
        <w:rPr>
          <w:rFonts w:ascii="Palatino Linotype" w:hAnsi="Palatino Linotype"/>
        </w:rPr>
      </w:pPr>
      <w:r w:rsidRPr="00573A19">
        <w:rPr>
          <w:rFonts w:ascii="Palatino Linotype" w:hAnsi="Palatino Linotype"/>
        </w:rPr>
        <w:t>Mitsubishi Electric US (“Mitsubishi”)</w:t>
      </w:r>
    </w:p>
    <w:p w:rsidRPr="00573A19" w:rsidR="00200F97" w:rsidP="00200F97" w:rsidRDefault="00200F97" w14:paraId="499A9C12" w14:textId="77777777">
      <w:pPr>
        <w:pStyle w:val="ListParagraph"/>
        <w:numPr>
          <w:ilvl w:val="0"/>
          <w:numId w:val="14"/>
        </w:numPr>
        <w:ind w:left="1260" w:hanging="450"/>
        <w:rPr>
          <w:rFonts w:ascii="Palatino Linotype" w:hAnsi="Palatino Linotype"/>
        </w:rPr>
      </w:pPr>
      <w:r w:rsidRPr="00573A19">
        <w:rPr>
          <w:rFonts w:ascii="Palatino Linotype" w:hAnsi="Palatino Linotype"/>
        </w:rPr>
        <w:t>Pacific Gas and Electric Company (“PG&amp;E”)</w:t>
      </w:r>
    </w:p>
    <w:p w:rsidRPr="00573A19" w:rsidR="00200F97" w:rsidP="00200F97" w:rsidRDefault="00200F97" w14:paraId="1480D73D" w14:textId="77777777">
      <w:pPr>
        <w:pStyle w:val="ListParagraph"/>
        <w:numPr>
          <w:ilvl w:val="0"/>
          <w:numId w:val="14"/>
        </w:numPr>
        <w:ind w:left="1260" w:hanging="450"/>
        <w:rPr>
          <w:rFonts w:ascii="Palatino Linotype" w:hAnsi="Palatino Linotype"/>
        </w:rPr>
      </w:pPr>
      <w:r w:rsidRPr="00573A19">
        <w:rPr>
          <w:rFonts w:ascii="Palatino Linotype" w:hAnsi="Palatino Linotype"/>
        </w:rPr>
        <w:t>Southern California Edison (“SCE”)</w:t>
      </w:r>
    </w:p>
    <w:p w:rsidRPr="00573A19" w:rsidR="00200F97" w:rsidP="00200F97" w:rsidRDefault="00200F97" w14:paraId="2DCDF2A3" w14:textId="77777777">
      <w:pPr>
        <w:pStyle w:val="ListParagraph"/>
        <w:numPr>
          <w:ilvl w:val="0"/>
          <w:numId w:val="14"/>
        </w:numPr>
        <w:ind w:left="1260" w:hanging="450"/>
        <w:rPr>
          <w:rFonts w:ascii="Palatino Linotype" w:hAnsi="Palatino Linotype"/>
        </w:rPr>
      </w:pPr>
      <w:r w:rsidRPr="00573A19">
        <w:rPr>
          <w:rFonts w:ascii="Palatino Linotype" w:hAnsi="Palatino Linotype"/>
        </w:rPr>
        <w:t>Southern California Gas Company (“SoCalGas”)</w:t>
      </w:r>
    </w:p>
    <w:p w:rsidRPr="00573A19" w:rsidR="00200F97" w:rsidP="00200F97" w:rsidRDefault="00200F97" w14:paraId="50E228E3" w14:textId="0949D847">
      <w:pPr>
        <w:pStyle w:val="ListParagraph"/>
        <w:numPr>
          <w:ilvl w:val="0"/>
          <w:numId w:val="14"/>
        </w:numPr>
        <w:ind w:left="1260" w:hanging="450"/>
        <w:rPr>
          <w:rFonts w:ascii="Palatino Linotype" w:hAnsi="Palatino Linotype"/>
        </w:rPr>
      </w:pPr>
      <w:r w:rsidRPr="00573A19">
        <w:rPr>
          <w:rFonts w:ascii="Palatino Linotype" w:hAnsi="Palatino Linotype"/>
        </w:rPr>
        <w:t>The California Environmental Justice Alliance, the Natural Resources Defense Council</w:t>
      </w:r>
      <w:r w:rsidRPr="00573A19" w:rsidR="003A5173">
        <w:rPr>
          <w:rFonts w:ascii="Palatino Linotype" w:hAnsi="Palatino Linotype"/>
        </w:rPr>
        <w:t>,</w:t>
      </w:r>
      <w:r w:rsidRPr="00573A19">
        <w:rPr>
          <w:rFonts w:ascii="Palatino Linotype" w:hAnsi="Palatino Linotype"/>
        </w:rPr>
        <w:t xml:space="preserve"> and Sierra Club (“Joint Environmentals”)</w:t>
      </w:r>
    </w:p>
    <w:p w:rsidRPr="00573A19" w:rsidR="00CA25DC" w:rsidP="00200F97" w:rsidRDefault="00200F97" w14:paraId="64383E8F" w14:textId="0F4765DC">
      <w:pPr>
        <w:pStyle w:val="ListParagraph"/>
        <w:numPr>
          <w:ilvl w:val="0"/>
          <w:numId w:val="14"/>
        </w:numPr>
        <w:ind w:left="1260" w:hanging="450"/>
        <w:rPr>
          <w:rFonts w:ascii="Palatino Linotype" w:hAnsi="Palatino Linotype"/>
        </w:rPr>
      </w:pPr>
      <w:r w:rsidRPr="00573A19">
        <w:rPr>
          <w:rFonts w:ascii="Palatino Linotype" w:hAnsi="Palatino Linotype"/>
        </w:rPr>
        <w:lastRenderedPageBreak/>
        <w:t>Vermont Energy Investment Corporation (“VEIC”)</w:t>
      </w:r>
    </w:p>
    <w:p w:rsidRPr="00573A19" w:rsidR="003A5173" w:rsidP="000708E7" w:rsidRDefault="003A5173" w14:paraId="62C5C687" w14:textId="77777777">
      <w:pPr>
        <w:pStyle w:val="ListParagraph"/>
        <w:ind w:left="0"/>
        <w:rPr>
          <w:rFonts w:ascii="Palatino Linotype" w:hAnsi="Palatino Linotype"/>
        </w:rPr>
      </w:pPr>
    </w:p>
    <w:p w:rsidRPr="00573A19" w:rsidR="0009172A" w:rsidP="000708E7" w:rsidRDefault="008B69E5" w14:paraId="065BB84E" w14:textId="70FADB8E">
      <w:pPr>
        <w:pStyle w:val="ListParagraph"/>
        <w:ind w:left="0"/>
        <w:rPr>
          <w:rFonts w:ascii="Palatino Linotype" w:hAnsi="Palatino Linotype"/>
        </w:rPr>
      </w:pPr>
      <w:r w:rsidRPr="00573A19">
        <w:rPr>
          <w:rFonts w:ascii="Palatino Linotype" w:hAnsi="Palatino Linotype"/>
        </w:rPr>
        <w:t xml:space="preserve">The substance of parties’ comments </w:t>
      </w:r>
      <w:r w:rsidRPr="00573A19" w:rsidR="00FB7AA3">
        <w:rPr>
          <w:rFonts w:ascii="Palatino Linotype" w:hAnsi="Palatino Linotype"/>
        </w:rPr>
        <w:t>is</w:t>
      </w:r>
      <w:r w:rsidRPr="00573A19">
        <w:rPr>
          <w:rFonts w:ascii="Palatino Linotype" w:hAnsi="Palatino Linotype"/>
        </w:rPr>
        <w:t xml:space="preserve"> described </w:t>
      </w:r>
      <w:r w:rsidRPr="00573A19" w:rsidR="000708E7">
        <w:rPr>
          <w:rFonts w:ascii="Palatino Linotype" w:hAnsi="Palatino Linotype"/>
        </w:rPr>
        <w:t xml:space="preserve">and addressed </w:t>
      </w:r>
      <w:r w:rsidRPr="00573A19">
        <w:rPr>
          <w:rFonts w:ascii="Palatino Linotype" w:hAnsi="Palatino Linotype"/>
        </w:rPr>
        <w:t>in the section below.</w:t>
      </w:r>
    </w:p>
    <w:p w:rsidRPr="00573A19" w:rsidR="0009172A" w:rsidP="0009172A" w:rsidRDefault="0009172A" w14:paraId="38BB5940" w14:textId="0BA324C9">
      <w:pPr>
        <w:pStyle w:val="Heading2"/>
        <w:rPr>
          <w:bCs/>
        </w:rPr>
      </w:pPr>
      <w:r w:rsidRPr="00573A19">
        <w:rPr>
          <w:bCs/>
        </w:rPr>
        <w:t>Policy Issues Identified</w:t>
      </w:r>
    </w:p>
    <w:p w:rsidRPr="00573A19" w:rsidR="008B69E5" w:rsidP="007606A3" w:rsidRDefault="008B69E5" w14:paraId="7483163B" w14:textId="3C0C380C">
      <w:pPr>
        <w:rPr>
          <w:rFonts w:ascii="Palatino Linotype" w:hAnsi="Palatino Linotype"/>
        </w:rPr>
      </w:pPr>
      <w:r w:rsidRPr="00573A19">
        <w:rPr>
          <w:rFonts w:ascii="Palatino Linotype" w:hAnsi="Palatino Linotype"/>
        </w:rPr>
        <w:t>In their comments, parties</w:t>
      </w:r>
      <w:r w:rsidRPr="00573A19" w:rsidR="00C95CD5">
        <w:rPr>
          <w:rFonts w:ascii="Palatino Linotype" w:hAnsi="Palatino Linotype"/>
        </w:rPr>
        <w:t xml:space="preserve"> did not raise concerns abou</w:t>
      </w:r>
      <w:r w:rsidRPr="00573A19" w:rsidR="00814B11">
        <w:rPr>
          <w:rFonts w:ascii="Palatino Linotype" w:hAnsi="Palatino Linotype"/>
        </w:rPr>
        <w:t>t</w:t>
      </w:r>
      <w:r w:rsidRPr="00573A19" w:rsidR="00C95CD5">
        <w:rPr>
          <w:rFonts w:ascii="Palatino Linotype" w:hAnsi="Palatino Linotype"/>
        </w:rPr>
        <w:t xml:space="preserve"> the </w:t>
      </w:r>
      <w:r w:rsidRPr="00573A19" w:rsidR="00707B61">
        <w:rPr>
          <w:rFonts w:ascii="Palatino Linotype" w:hAnsi="Palatino Linotype"/>
        </w:rPr>
        <w:t>four</w:t>
      </w:r>
      <w:r w:rsidRPr="00573A19" w:rsidR="00C95CD5">
        <w:rPr>
          <w:rFonts w:ascii="Palatino Linotype" w:hAnsi="Palatino Linotype"/>
        </w:rPr>
        <w:t xml:space="preserve"> data categories proposed by Energy Division</w:t>
      </w:r>
      <w:r w:rsidRPr="00573A19" w:rsidR="00707B61">
        <w:rPr>
          <w:rFonts w:ascii="Palatino Linotype" w:hAnsi="Palatino Linotype"/>
        </w:rPr>
        <w:t xml:space="preserve"> </w:t>
      </w:r>
      <w:r w:rsidRPr="00573A19" w:rsidR="00447F8B">
        <w:rPr>
          <w:rFonts w:ascii="Palatino Linotype" w:hAnsi="Palatino Linotype"/>
        </w:rPr>
        <w:t>to</w:t>
      </w:r>
      <w:r w:rsidRPr="00573A19" w:rsidR="00707B61">
        <w:rPr>
          <w:rFonts w:ascii="Palatino Linotype" w:hAnsi="Palatino Linotype"/>
        </w:rPr>
        <w:t xml:space="preserve"> formulat</w:t>
      </w:r>
      <w:r w:rsidRPr="00573A19" w:rsidR="00447F8B">
        <w:rPr>
          <w:rFonts w:ascii="Palatino Linotype" w:hAnsi="Palatino Linotype"/>
        </w:rPr>
        <w:t>e</w:t>
      </w:r>
      <w:r w:rsidRPr="00573A19" w:rsidR="00707B61">
        <w:rPr>
          <w:rFonts w:ascii="Palatino Linotype" w:hAnsi="Palatino Linotype"/>
        </w:rPr>
        <w:t xml:space="preserve"> data submittal requirements for IOUs,</w:t>
      </w:r>
      <w:r w:rsidRPr="00573A19" w:rsidR="00C95CD5">
        <w:rPr>
          <w:rFonts w:ascii="Palatino Linotype" w:hAnsi="Palatino Linotype"/>
        </w:rPr>
        <w:t xml:space="preserve"> but did </w:t>
      </w:r>
      <w:r w:rsidRPr="00573A19">
        <w:rPr>
          <w:rFonts w:ascii="Palatino Linotype" w:hAnsi="Palatino Linotype"/>
        </w:rPr>
        <w:t xml:space="preserve">raise various issues that are addressed below.   </w:t>
      </w:r>
    </w:p>
    <w:p w:rsidRPr="00573A19" w:rsidR="00814B11" w:rsidP="007606A3" w:rsidRDefault="00814B11" w14:paraId="59731ED7" w14:textId="1F5A46B2">
      <w:pPr>
        <w:rPr>
          <w:rFonts w:ascii="Palatino Linotype" w:hAnsi="Palatino Linotype"/>
        </w:rPr>
      </w:pPr>
    </w:p>
    <w:p w:rsidRPr="00573A19" w:rsidR="000B4BAF" w:rsidP="000B4BAF" w:rsidRDefault="00DC62DA" w14:paraId="2E48C999" w14:textId="2C47304C">
      <w:pPr>
        <w:pStyle w:val="Heading3"/>
        <w:rPr>
          <w:rFonts w:ascii="Palatino Linotype" w:hAnsi="Palatino Linotype"/>
        </w:rPr>
      </w:pPr>
      <w:r w:rsidRPr="00573A19">
        <w:rPr>
          <w:rFonts w:ascii="Palatino Linotype" w:hAnsi="Palatino Linotype"/>
        </w:rPr>
        <w:t>Collecting</w:t>
      </w:r>
      <w:r w:rsidRPr="00573A19" w:rsidR="000B4BAF">
        <w:rPr>
          <w:rFonts w:ascii="Palatino Linotype" w:hAnsi="Palatino Linotype"/>
        </w:rPr>
        <w:t xml:space="preserve"> </w:t>
      </w:r>
      <w:r w:rsidRPr="00573A19" w:rsidR="009673E9">
        <w:rPr>
          <w:rFonts w:ascii="Palatino Linotype" w:hAnsi="Palatino Linotype"/>
        </w:rPr>
        <w:t>g</w:t>
      </w:r>
      <w:r w:rsidRPr="00573A19" w:rsidR="000B4BAF">
        <w:rPr>
          <w:rFonts w:ascii="Palatino Linotype" w:hAnsi="Palatino Linotype"/>
        </w:rPr>
        <w:t xml:space="preserve">as </w:t>
      </w:r>
      <w:r w:rsidRPr="00573A19" w:rsidR="009673E9">
        <w:rPr>
          <w:rFonts w:ascii="Palatino Linotype" w:hAnsi="Palatino Linotype"/>
        </w:rPr>
        <w:t>a</w:t>
      </w:r>
      <w:r w:rsidRPr="00573A19" w:rsidR="000B4BAF">
        <w:rPr>
          <w:rFonts w:ascii="Palatino Linotype" w:hAnsi="Palatino Linotype"/>
        </w:rPr>
        <w:t xml:space="preserve">sset </w:t>
      </w:r>
      <w:r w:rsidRPr="00573A19">
        <w:rPr>
          <w:rFonts w:ascii="Palatino Linotype" w:hAnsi="Palatino Linotype"/>
        </w:rPr>
        <w:t>data</w:t>
      </w:r>
    </w:p>
    <w:p w:rsidRPr="00573A19" w:rsidR="000B4BAF" w:rsidP="00C145A9" w:rsidRDefault="000B4BAF" w14:paraId="1A433370" w14:textId="585E1144">
      <w:pPr>
        <w:rPr>
          <w:rFonts w:ascii="Palatino Linotype" w:hAnsi="Palatino Linotype"/>
        </w:rPr>
      </w:pPr>
      <w:r w:rsidRPr="00573A19">
        <w:rPr>
          <w:rFonts w:ascii="Palatino Linotype" w:hAnsi="Palatino Linotype"/>
        </w:rPr>
        <w:t>PG&amp;E</w:t>
      </w:r>
      <w:r w:rsidRPr="00573A19" w:rsidR="005B476E">
        <w:rPr>
          <w:rFonts w:ascii="Palatino Linotype" w:hAnsi="Palatino Linotype"/>
        </w:rPr>
        <w:t xml:space="preserve">’s presentation at the workshop and </w:t>
      </w:r>
      <w:r w:rsidRPr="00573A19" w:rsidR="00BD24E4">
        <w:rPr>
          <w:rFonts w:ascii="Palatino Linotype" w:hAnsi="Palatino Linotype"/>
        </w:rPr>
        <w:t xml:space="preserve">later </w:t>
      </w:r>
      <w:r w:rsidRPr="00573A19" w:rsidR="005B476E">
        <w:rPr>
          <w:rFonts w:ascii="Palatino Linotype" w:hAnsi="Palatino Linotype"/>
        </w:rPr>
        <w:t>comments explain the complexity of how gas asset replacement is planned. They state that a</w:t>
      </w:r>
      <w:r w:rsidRPr="00573A19">
        <w:rPr>
          <w:rFonts w:ascii="Palatino Linotype" w:hAnsi="Palatino Linotype"/>
        </w:rPr>
        <w:t>ge alone is not a strong predictor of when distribution pipeline will be replaced</w:t>
      </w:r>
      <w:r w:rsidRPr="00573A19" w:rsidR="005B476E">
        <w:rPr>
          <w:rFonts w:ascii="Palatino Linotype" w:hAnsi="Palatino Linotype"/>
        </w:rPr>
        <w:t xml:space="preserve"> and neither is remaining book value. Per PG&amp;E, g</w:t>
      </w:r>
      <w:r w:rsidRPr="00573A19">
        <w:rPr>
          <w:rFonts w:ascii="Palatino Linotype" w:hAnsi="Palatino Linotype"/>
        </w:rPr>
        <w:t xml:space="preserve">as infrastructure does not depreciate on an asset-by-asset basis, so individual assets do not have their own depreciation schedule. Incurred capital costs are added to total costs </w:t>
      </w:r>
      <w:r w:rsidRPr="00573A19" w:rsidR="005B476E">
        <w:rPr>
          <w:rFonts w:ascii="Palatino Linotype" w:hAnsi="Palatino Linotype"/>
        </w:rPr>
        <w:t>and are</w:t>
      </w:r>
      <w:r w:rsidRPr="00573A19">
        <w:rPr>
          <w:rFonts w:ascii="Palatino Linotype" w:hAnsi="Palatino Linotype"/>
        </w:rPr>
        <w:t xml:space="preserve"> recovered from customers. </w:t>
      </w:r>
      <w:r w:rsidRPr="00573A19" w:rsidR="001B4997">
        <w:rPr>
          <w:rFonts w:ascii="Palatino Linotype" w:hAnsi="Palatino Linotype"/>
        </w:rPr>
        <w:t xml:space="preserve">The retirement </w:t>
      </w:r>
      <w:r w:rsidRPr="00573A19">
        <w:rPr>
          <w:rFonts w:ascii="Palatino Linotype" w:hAnsi="Palatino Linotype"/>
        </w:rPr>
        <w:t>schedule of specific assets does not change the depreciation schedule of the gas system rate</w:t>
      </w:r>
      <w:r w:rsidRPr="00573A19" w:rsidR="007606A3">
        <w:rPr>
          <w:rFonts w:ascii="Palatino Linotype" w:hAnsi="Palatino Linotype"/>
        </w:rPr>
        <w:t xml:space="preserve"> </w:t>
      </w:r>
      <w:r w:rsidRPr="00573A19">
        <w:rPr>
          <w:rFonts w:ascii="Palatino Linotype" w:hAnsi="Palatino Linotype"/>
        </w:rPr>
        <w:t>base.</w:t>
      </w:r>
      <w:r w:rsidRPr="00573A19" w:rsidR="007606A3">
        <w:rPr>
          <w:rFonts w:ascii="Palatino Linotype" w:hAnsi="Palatino Linotype"/>
        </w:rPr>
        <w:t xml:space="preserve"> PG&amp;E identified at least five variables that determine whether electrification is more feasible than gas infrastructure investments:</w:t>
      </w:r>
    </w:p>
    <w:p w:rsidRPr="00573A19" w:rsidR="003A5173" w:rsidP="00C145A9" w:rsidRDefault="003A5173" w14:paraId="2BC950F2" w14:textId="77777777">
      <w:pPr>
        <w:rPr>
          <w:rFonts w:ascii="Palatino Linotype" w:hAnsi="Palatino Linotype"/>
        </w:rPr>
      </w:pPr>
    </w:p>
    <w:p w:rsidRPr="00573A19" w:rsidR="007606A3" w:rsidP="007606A3" w:rsidRDefault="007606A3" w14:paraId="5D90B2ED" w14:textId="3C0600E9">
      <w:pPr>
        <w:pStyle w:val="ListParagraph"/>
        <w:numPr>
          <w:ilvl w:val="0"/>
          <w:numId w:val="15"/>
        </w:numPr>
        <w:rPr>
          <w:rFonts w:ascii="Palatino Linotype" w:hAnsi="Palatino Linotype"/>
        </w:rPr>
      </w:pPr>
      <w:r w:rsidRPr="00573A19">
        <w:rPr>
          <w:rFonts w:ascii="Palatino Linotype" w:hAnsi="Palatino Linotype"/>
        </w:rPr>
        <w:t>Hydraulic needs of the system</w:t>
      </w:r>
    </w:p>
    <w:p w:rsidRPr="00573A19" w:rsidR="007606A3" w:rsidP="007606A3" w:rsidRDefault="007606A3" w14:paraId="4D5DC6A8" w14:textId="4806CD53">
      <w:pPr>
        <w:pStyle w:val="ListParagraph"/>
        <w:numPr>
          <w:ilvl w:val="0"/>
          <w:numId w:val="15"/>
        </w:numPr>
        <w:rPr>
          <w:rFonts w:ascii="Palatino Linotype" w:hAnsi="Palatino Linotype"/>
        </w:rPr>
      </w:pPr>
      <w:r w:rsidRPr="00573A19">
        <w:rPr>
          <w:rFonts w:ascii="Palatino Linotype" w:hAnsi="Palatino Linotype"/>
        </w:rPr>
        <w:t>Total estimated cost of electrification versus cost of gas project</w:t>
      </w:r>
    </w:p>
    <w:p w:rsidRPr="00573A19" w:rsidR="007606A3" w:rsidP="007606A3" w:rsidRDefault="007606A3" w14:paraId="47FFD294" w14:textId="42B93423">
      <w:pPr>
        <w:pStyle w:val="ListParagraph"/>
        <w:numPr>
          <w:ilvl w:val="0"/>
          <w:numId w:val="15"/>
        </w:numPr>
        <w:rPr>
          <w:rFonts w:ascii="Palatino Linotype" w:hAnsi="Palatino Linotype"/>
        </w:rPr>
      </w:pPr>
      <w:r w:rsidRPr="00573A19">
        <w:rPr>
          <w:rFonts w:ascii="Palatino Linotype" w:hAnsi="Palatino Linotype"/>
        </w:rPr>
        <w:t xml:space="preserve">Meeting customer needs and reducing risk to </w:t>
      </w:r>
      <w:r w:rsidRPr="00573A19" w:rsidR="00AF46FE">
        <w:rPr>
          <w:rFonts w:ascii="Palatino Linotype" w:hAnsi="Palatino Linotype"/>
        </w:rPr>
        <w:t xml:space="preserve">the </w:t>
      </w:r>
      <w:r w:rsidRPr="00573A19">
        <w:rPr>
          <w:rFonts w:ascii="Palatino Linotype" w:hAnsi="Palatino Linotype"/>
        </w:rPr>
        <w:t>same or greater extent</w:t>
      </w:r>
    </w:p>
    <w:p w:rsidRPr="00573A19" w:rsidR="007606A3" w:rsidP="007606A3" w:rsidRDefault="007606A3" w14:paraId="57C72939" w14:textId="5B9589D7">
      <w:pPr>
        <w:pStyle w:val="ListParagraph"/>
        <w:numPr>
          <w:ilvl w:val="0"/>
          <w:numId w:val="15"/>
        </w:numPr>
        <w:rPr>
          <w:rFonts w:ascii="Palatino Linotype" w:hAnsi="Palatino Linotype"/>
        </w:rPr>
      </w:pPr>
      <w:r w:rsidRPr="00573A19">
        <w:rPr>
          <w:rFonts w:ascii="Palatino Linotype" w:hAnsi="Palatino Linotype"/>
        </w:rPr>
        <w:t>All customers on the planned line accepting electrification offers</w:t>
      </w:r>
    </w:p>
    <w:p w:rsidRPr="00573A19" w:rsidR="007606A3" w:rsidP="007606A3" w:rsidRDefault="007606A3" w14:paraId="12D5DAEB" w14:textId="50AC908C">
      <w:pPr>
        <w:pStyle w:val="ListParagraph"/>
        <w:numPr>
          <w:ilvl w:val="0"/>
          <w:numId w:val="15"/>
        </w:numPr>
        <w:rPr>
          <w:rFonts w:ascii="Palatino Linotype" w:hAnsi="Palatino Linotype"/>
        </w:rPr>
      </w:pPr>
      <w:r w:rsidRPr="00573A19">
        <w:rPr>
          <w:rFonts w:ascii="Palatino Linotype" w:hAnsi="Palatino Linotype"/>
        </w:rPr>
        <w:t>Availability of funds</w:t>
      </w:r>
    </w:p>
    <w:p w:rsidRPr="00573A19" w:rsidR="007606A3" w:rsidP="007606A3" w:rsidRDefault="007606A3" w14:paraId="0732271A" w14:textId="61E74EB1">
      <w:pPr>
        <w:pStyle w:val="ListParagraph"/>
        <w:rPr>
          <w:rFonts w:ascii="Palatino Linotype" w:hAnsi="Palatino Linotype"/>
        </w:rPr>
      </w:pPr>
    </w:p>
    <w:p w:rsidRPr="00573A19" w:rsidR="008732EC" w:rsidP="005B476E" w:rsidRDefault="008732EC" w14:paraId="0F001DA5" w14:textId="28717846">
      <w:pPr>
        <w:rPr>
          <w:rFonts w:ascii="Palatino Linotype" w:hAnsi="Palatino Linotype"/>
        </w:rPr>
      </w:pPr>
      <w:r w:rsidRPr="00573A19">
        <w:rPr>
          <w:rFonts w:ascii="Palatino Linotype" w:hAnsi="Palatino Linotype"/>
        </w:rPr>
        <w:t>VEIC comments state that managing the impact of broad-scale electrification on the gas system is a second-order problem that should be addressed at a later stage, the focus of this stage should be addressing the first-order problem of driving customer and market adoption through TECH</w:t>
      </w:r>
      <w:r w:rsidRPr="00573A19" w:rsidR="003717BF">
        <w:rPr>
          <w:rFonts w:ascii="Palatino Linotype" w:hAnsi="Palatino Linotype"/>
        </w:rPr>
        <w:t>, and targeting specific gas lines is out of scope for TECH.</w:t>
      </w:r>
    </w:p>
    <w:p w:rsidRPr="00573A19" w:rsidR="00451173" w:rsidP="005B476E" w:rsidRDefault="00451173" w14:paraId="72AE31AD" w14:textId="77777777">
      <w:pPr>
        <w:rPr>
          <w:rFonts w:ascii="Palatino Linotype" w:hAnsi="Palatino Linotype"/>
        </w:rPr>
      </w:pPr>
    </w:p>
    <w:p w:rsidRPr="00573A19" w:rsidR="000708E7" w:rsidP="005B476E" w:rsidRDefault="00814B11" w14:paraId="0D2653E8" w14:textId="5634D4DA">
      <w:pPr>
        <w:rPr>
          <w:rFonts w:ascii="Palatino Linotype" w:hAnsi="Palatino Linotype"/>
        </w:rPr>
      </w:pPr>
      <w:r w:rsidRPr="00573A19">
        <w:rPr>
          <w:rFonts w:ascii="Palatino Linotype" w:hAnsi="Palatino Linotype"/>
        </w:rPr>
        <w:t xml:space="preserve">We acknowledge and agree with VEIC’s perspective that targeting specific gas lines is out of scope for TECH </w:t>
      </w:r>
      <w:r w:rsidRPr="00573A19" w:rsidR="003717BF">
        <w:rPr>
          <w:rFonts w:ascii="Palatino Linotype" w:hAnsi="Palatino Linotype"/>
        </w:rPr>
        <w:t>(</w:t>
      </w:r>
      <w:r w:rsidRPr="00573A19">
        <w:rPr>
          <w:rFonts w:ascii="Palatino Linotype" w:hAnsi="Palatino Linotype"/>
        </w:rPr>
        <w:t xml:space="preserve">and </w:t>
      </w:r>
      <w:r w:rsidRPr="00573A19" w:rsidR="003717BF">
        <w:rPr>
          <w:rFonts w:ascii="Palatino Linotype" w:hAnsi="Palatino Linotype"/>
        </w:rPr>
        <w:t xml:space="preserve">also </w:t>
      </w:r>
      <w:r w:rsidRPr="00573A19">
        <w:rPr>
          <w:rFonts w:ascii="Palatino Linotype" w:hAnsi="Palatino Linotype"/>
        </w:rPr>
        <w:t>BUILD</w:t>
      </w:r>
      <w:r w:rsidRPr="00573A19" w:rsidR="003717BF">
        <w:rPr>
          <w:rFonts w:ascii="Palatino Linotype" w:hAnsi="Palatino Linotype"/>
        </w:rPr>
        <w:t>)</w:t>
      </w:r>
      <w:r w:rsidRPr="00573A19">
        <w:rPr>
          <w:rFonts w:ascii="Palatino Linotype" w:hAnsi="Palatino Linotype"/>
        </w:rPr>
        <w:t xml:space="preserve">. We also agree that TECH and </w:t>
      </w:r>
      <w:r w:rsidRPr="00573A19">
        <w:rPr>
          <w:rFonts w:ascii="Palatino Linotype" w:hAnsi="Palatino Linotype"/>
        </w:rPr>
        <w:lastRenderedPageBreak/>
        <w:t>BUILD’s primary goal is to develop the market for low emission technologies. But</w:t>
      </w:r>
      <w:r w:rsidRPr="00573A19" w:rsidR="003717BF">
        <w:rPr>
          <w:rFonts w:ascii="Palatino Linotype" w:hAnsi="Palatino Linotype"/>
        </w:rPr>
        <w:t xml:space="preserve"> </w:t>
      </w:r>
      <w:r w:rsidRPr="00573A19">
        <w:rPr>
          <w:rFonts w:ascii="Palatino Linotype" w:hAnsi="Palatino Linotype"/>
        </w:rPr>
        <w:t xml:space="preserve">we believe that the broadest possible data access for stakeholders (within the constraints of confidentiality rules) is a key ingredient for accelerating market transformation. Further, the interconnected nature of </w:t>
      </w:r>
      <w:r w:rsidRPr="00573A19" w:rsidR="00334871">
        <w:rPr>
          <w:rFonts w:ascii="Palatino Linotype" w:hAnsi="Palatino Linotype"/>
        </w:rPr>
        <w:t xml:space="preserve">CPUC </w:t>
      </w:r>
      <w:r w:rsidRPr="00573A19">
        <w:rPr>
          <w:rFonts w:ascii="Palatino Linotype" w:hAnsi="Palatino Linotype"/>
        </w:rPr>
        <w:t>proceedings compels us to consider data collection and access</w:t>
      </w:r>
      <w:r w:rsidRPr="00573A19">
        <w:rPr>
          <w:rFonts w:ascii="Palatino Linotype" w:hAnsi="Palatino Linotype"/>
          <w:i/>
          <w:iCs/>
        </w:rPr>
        <w:t xml:space="preserve"> </w:t>
      </w:r>
      <w:r w:rsidRPr="00573A19">
        <w:rPr>
          <w:rFonts w:ascii="Palatino Linotype" w:hAnsi="Palatino Linotype"/>
        </w:rPr>
        <w:t xml:space="preserve">more broadly. For example, data submitted for IOU infrastructure approvals is done within </w:t>
      </w:r>
      <w:r w:rsidRPr="00573A19" w:rsidR="00820FF3">
        <w:rPr>
          <w:rFonts w:ascii="Palatino Linotype" w:hAnsi="Palatino Linotype"/>
        </w:rPr>
        <w:t xml:space="preserve">General Rate Case (GRC) </w:t>
      </w:r>
      <w:r w:rsidRPr="00573A19">
        <w:rPr>
          <w:rFonts w:ascii="Palatino Linotype" w:hAnsi="Palatino Linotype"/>
        </w:rPr>
        <w:t xml:space="preserve">proceedings and affects rates, which directly affects market transformation. </w:t>
      </w:r>
    </w:p>
    <w:p w:rsidRPr="00573A19" w:rsidR="000708E7" w:rsidP="005B476E" w:rsidRDefault="000708E7" w14:paraId="11005AB5" w14:textId="77777777">
      <w:pPr>
        <w:rPr>
          <w:rFonts w:ascii="Palatino Linotype" w:hAnsi="Palatino Linotype"/>
        </w:rPr>
      </w:pPr>
    </w:p>
    <w:p w:rsidRPr="00573A19" w:rsidR="00932070" w:rsidP="005B476E" w:rsidRDefault="000708E7" w14:paraId="4ECFD43A" w14:textId="0B756C05">
      <w:pPr>
        <w:rPr>
          <w:rFonts w:ascii="Palatino Linotype" w:hAnsi="Palatino Linotype"/>
        </w:rPr>
      </w:pPr>
      <w:r w:rsidRPr="00573A19">
        <w:rPr>
          <w:rFonts w:ascii="Palatino Linotype" w:hAnsi="Palatino Linotype"/>
        </w:rPr>
        <w:t>I</w:t>
      </w:r>
      <w:r w:rsidRPr="00573A19" w:rsidR="00DC62DA">
        <w:rPr>
          <w:rFonts w:ascii="Palatino Linotype" w:hAnsi="Palatino Linotype"/>
        </w:rPr>
        <w:t>t</w:t>
      </w:r>
      <w:r w:rsidRPr="00573A19" w:rsidR="0002373F">
        <w:rPr>
          <w:rFonts w:ascii="Palatino Linotype" w:hAnsi="Palatino Linotype"/>
        </w:rPr>
        <w:t xml:space="preserve"> i</w:t>
      </w:r>
      <w:r w:rsidRPr="00573A19" w:rsidR="00DC62DA">
        <w:rPr>
          <w:rFonts w:ascii="Palatino Linotype" w:hAnsi="Palatino Linotype"/>
        </w:rPr>
        <w:t xml:space="preserve">s not clear </w:t>
      </w:r>
      <w:r w:rsidRPr="00573A19" w:rsidR="00814B11">
        <w:rPr>
          <w:rFonts w:ascii="Palatino Linotype" w:hAnsi="Palatino Linotype"/>
        </w:rPr>
        <w:t>from VEIC comments why gas asset data would</w:t>
      </w:r>
      <w:r w:rsidRPr="00573A19" w:rsidR="00DC62DA">
        <w:rPr>
          <w:rFonts w:ascii="Palatino Linotype" w:hAnsi="Palatino Linotype"/>
        </w:rPr>
        <w:t xml:space="preserve"> not contribute </w:t>
      </w:r>
      <w:r w:rsidRPr="00573A19" w:rsidR="00932070">
        <w:rPr>
          <w:rFonts w:ascii="Palatino Linotype" w:hAnsi="Palatino Linotype"/>
        </w:rPr>
        <w:t>toward market transformation planning. For example, if IOU</w:t>
      </w:r>
      <w:r w:rsidRPr="00573A19" w:rsidR="00BF342B">
        <w:rPr>
          <w:rFonts w:ascii="Palatino Linotype" w:hAnsi="Palatino Linotype"/>
        </w:rPr>
        <w:t>s</w:t>
      </w:r>
      <w:r w:rsidRPr="00573A19" w:rsidR="00932070">
        <w:rPr>
          <w:rFonts w:ascii="Palatino Linotype" w:hAnsi="Palatino Linotype"/>
        </w:rPr>
        <w:t xml:space="preserve"> shared plans for customer conversion at a specific line location, that information </w:t>
      </w:r>
      <w:r w:rsidRPr="00573A19" w:rsidR="00DC62DA">
        <w:rPr>
          <w:rFonts w:ascii="Palatino Linotype" w:hAnsi="Palatino Linotype"/>
        </w:rPr>
        <w:t xml:space="preserve">is potentially </w:t>
      </w:r>
      <w:r w:rsidRPr="00573A19" w:rsidR="00932070">
        <w:rPr>
          <w:rFonts w:ascii="Palatino Linotype" w:hAnsi="Palatino Linotype"/>
        </w:rPr>
        <w:t xml:space="preserve">helpful to program implementers to be able to divert </w:t>
      </w:r>
      <w:r w:rsidRPr="00573A19">
        <w:rPr>
          <w:rFonts w:ascii="Palatino Linotype" w:hAnsi="Palatino Linotype"/>
        </w:rPr>
        <w:t xml:space="preserve">incentives and </w:t>
      </w:r>
      <w:r w:rsidRPr="00573A19" w:rsidR="00932070">
        <w:rPr>
          <w:rFonts w:ascii="Palatino Linotype" w:hAnsi="Palatino Linotype"/>
        </w:rPr>
        <w:t>resources to other areas</w:t>
      </w:r>
      <w:r w:rsidRPr="00573A19" w:rsidR="00DC62DA">
        <w:rPr>
          <w:rFonts w:ascii="Palatino Linotype" w:hAnsi="Palatino Linotype"/>
        </w:rPr>
        <w:t xml:space="preserve"> and not duplicate efforts</w:t>
      </w:r>
      <w:r w:rsidRPr="00573A19" w:rsidR="00836028">
        <w:rPr>
          <w:rFonts w:ascii="Palatino Linotype" w:hAnsi="Palatino Linotype"/>
        </w:rPr>
        <w:t>, or</w:t>
      </w:r>
      <w:r w:rsidRPr="00573A19" w:rsidR="00BF342B">
        <w:rPr>
          <w:rFonts w:ascii="Palatino Linotype" w:hAnsi="Palatino Linotype"/>
        </w:rPr>
        <w:t xml:space="preserve"> conversely,</w:t>
      </w:r>
      <w:r w:rsidRPr="00573A19" w:rsidR="00836028">
        <w:rPr>
          <w:rFonts w:ascii="Palatino Linotype" w:hAnsi="Palatino Linotype"/>
        </w:rPr>
        <w:t xml:space="preserve"> </w:t>
      </w:r>
      <w:r w:rsidRPr="00573A19" w:rsidR="00E17BA0">
        <w:rPr>
          <w:rFonts w:ascii="Palatino Linotype" w:hAnsi="Palatino Linotype"/>
        </w:rPr>
        <w:t>extend targeted outreach and program benefits precisely to those areas in coordination with the IOU</w:t>
      </w:r>
      <w:r w:rsidRPr="00573A19" w:rsidR="00BF342B">
        <w:rPr>
          <w:rFonts w:ascii="Palatino Linotype" w:hAnsi="Palatino Linotype"/>
        </w:rPr>
        <w:t>s</w:t>
      </w:r>
      <w:r w:rsidRPr="00573A19" w:rsidR="00932070">
        <w:rPr>
          <w:rFonts w:ascii="Palatino Linotype" w:hAnsi="Palatino Linotype"/>
        </w:rPr>
        <w:t>.</w:t>
      </w:r>
      <w:r w:rsidRPr="00573A19" w:rsidR="00BF342B">
        <w:rPr>
          <w:rFonts w:ascii="Palatino Linotype" w:hAnsi="Palatino Linotype"/>
        </w:rPr>
        <w:t xml:space="preserve"> </w:t>
      </w:r>
    </w:p>
    <w:p w:rsidRPr="00573A19" w:rsidR="00932070" w:rsidP="005B476E" w:rsidRDefault="00932070" w14:paraId="2080FA35" w14:textId="77777777">
      <w:pPr>
        <w:rPr>
          <w:rFonts w:ascii="Palatino Linotype" w:hAnsi="Palatino Linotype"/>
        </w:rPr>
      </w:pPr>
    </w:p>
    <w:p w:rsidRPr="00573A19" w:rsidR="00820FF3" w:rsidP="005B476E" w:rsidRDefault="00BF342B" w14:paraId="2FEFDD9F" w14:textId="31BE5023">
      <w:pPr>
        <w:rPr>
          <w:rFonts w:ascii="Palatino Linotype" w:hAnsi="Palatino Linotype"/>
        </w:rPr>
      </w:pPr>
      <w:r w:rsidRPr="00573A19">
        <w:rPr>
          <w:rFonts w:ascii="Palatino Linotype" w:hAnsi="Palatino Linotype"/>
        </w:rPr>
        <w:t>However, we agree with the general sentiment that gas asset replacement or extension projects involve many layers of information, planning and approval processes</w:t>
      </w:r>
      <w:r w:rsidRPr="00573A19" w:rsidR="00820FF3">
        <w:rPr>
          <w:rFonts w:ascii="Palatino Linotype" w:hAnsi="Palatino Linotype"/>
        </w:rPr>
        <w:t>, comprehensively addressed in GRC proceedings</w:t>
      </w:r>
      <w:r w:rsidRPr="00573A19" w:rsidR="000708E7">
        <w:rPr>
          <w:rFonts w:ascii="Palatino Linotype" w:hAnsi="Palatino Linotype"/>
        </w:rPr>
        <w:t xml:space="preserve">. As part of their application, </w:t>
      </w:r>
      <w:r w:rsidRPr="00573A19" w:rsidR="00820FF3">
        <w:rPr>
          <w:rFonts w:ascii="Palatino Linotype" w:hAnsi="Palatino Linotype"/>
        </w:rPr>
        <w:t xml:space="preserve">IOUs submit detailed cost estimates for planned infrastructure additions and improvements. A limited information set, such as </w:t>
      </w:r>
      <w:r w:rsidRPr="00573A19" w:rsidR="00030B93">
        <w:rPr>
          <w:rFonts w:ascii="Palatino Linotype" w:hAnsi="Palatino Linotype"/>
        </w:rPr>
        <w:t>number or location of</w:t>
      </w:r>
      <w:r w:rsidRPr="00573A19" w:rsidR="00820FF3">
        <w:rPr>
          <w:rFonts w:ascii="Palatino Linotype" w:hAnsi="Palatino Linotype"/>
        </w:rPr>
        <w:t xml:space="preserve"> planned gas asset replacement projects, or </w:t>
      </w:r>
      <w:r w:rsidRPr="00573A19" w:rsidR="00030B93">
        <w:rPr>
          <w:rFonts w:ascii="Palatino Linotype" w:hAnsi="Palatino Linotype"/>
        </w:rPr>
        <w:t xml:space="preserve">general </w:t>
      </w:r>
      <w:r w:rsidRPr="00573A19" w:rsidR="00820FF3">
        <w:rPr>
          <w:rFonts w:ascii="Palatino Linotype" w:hAnsi="Palatino Linotype"/>
        </w:rPr>
        <w:t>information regarding known Aldyl-A pipelines, may be appropriate to include for</w:t>
      </w:r>
      <w:r w:rsidRPr="00573A19" w:rsidR="00CF45B0">
        <w:rPr>
          <w:rFonts w:ascii="Palatino Linotype" w:hAnsi="Palatino Linotype"/>
        </w:rPr>
        <w:t xml:space="preserve"> </w:t>
      </w:r>
      <w:r w:rsidRPr="00573A19" w:rsidR="00820FF3">
        <w:rPr>
          <w:rFonts w:ascii="Palatino Linotype" w:hAnsi="Palatino Linotype"/>
        </w:rPr>
        <w:t>building decarbonization data requirements.</w:t>
      </w:r>
    </w:p>
    <w:p w:rsidRPr="00573A19" w:rsidR="00820FF3" w:rsidP="005B476E" w:rsidRDefault="00820FF3" w14:paraId="0A3F73F4" w14:textId="77777777">
      <w:pPr>
        <w:rPr>
          <w:rFonts w:ascii="Palatino Linotype" w:hAnsi="Palatino Linotype"/>
        </w:rPr>
      </w:pPr>
    </w:p>
    <w:p w:rsidRPr="00573A19" w:rsidR="005B476E" w:rsidP="005B476E" w:rsidRDefault="00932070" w14:paraId="01C2D0BE" w14:textId="03270034">
      <w:pPr>
        <w:rPr>
          <w:rFonts w:ascii="Palatino Linotype" w:hAnsi="Palatino Linotype"/>
        </w:rPr>
      </w:pPr>
      <w:r w:rsidRPr="00573A19">
        <w:rPr>
          <w:rFonts w:ascii="Palatino Linotype" w:hAnsi="Palatino Linotype"/>
        </w:rPr>
        <w:t xml:space="preserve">We also reiterate that </w:t>
      </w:r>
      <w:r w:rsidRPr="00573A19" w:rsidR="005B476E">
        <w:rPr>
          <w:rFonts w:ascii="Palatino Linotype" w:hAnsi="Palatino Linotype"/>
        </w:rPr>
        <w:t xml:space="preserve">coordinated data collection </w:t>
      </w:r>
      <w:r w:rsidRPr="00573A19">
        <w:rPr>
          <w:rFonts w:ascii="Palatino Linotype" w:hAnsi="Palatino Linotype"/>
        </w:rPr>
        <w:t xml:space="preserve">among proceedings </w:t>
      </w:r>
      <w:r w:rsidRPr="00573A19" w:rsidR="005B476E">
        <w:rPr>
          <w:rFonts w:ascii="Palatino Linotype" w:hAnsi="Palatino Linotype"/>
        </w:rPr>
        <w:t xml:space="preserve">is not scope expansion. If this </w:t>
      </w:r>
      <w:r w:rsidRPr="00573A19" w:rsidR="00334563">
        <w:rPr>
          <w:rFonts w:ascii="Palatino Linotype" w:hAnsi="Palatino Linotype"/>
        </w:rPr>
        <w:t>were</w:t>
      </w:r>
      <w:r w:rsidRPr="00573A19" w:rsidR="005B476E">
        <w:rPr>
          <w:rFonts w:ascii="Palatino Linotype" w:hAnsi="Palatino Linotype"/>
        </w:rPr>
        <w:t xml:space="preserve"> the case</w:t>
      </w:r>
      <w:r w:rsidRPr="00573A19">
        <w:rPr>
          <w:rFonts w:ascii="Palatino Linotype" w:hAnsi="Palatino Linotype"/>
        </w:rPr>
        <w:t>,</w:t>
      </w:r>
      <w:r w:rsidRPr="00573A19" w:rsidR="005B476E">
        <w:rPr>
          <w:rFonts w:ascii="Palatino Linotype" w:hAnsi="Palatino Linotype"/>
        </w:rPr>
        <w:t xml:space="preserve"> it would be impossible to streamline administrative processes as each proceeding would need to have its own data resolution</w:t>
      </w:r>
      <w:r w:rsidRPr="00573A19">
        <w:rPr>
          <w:rFonts w:ascii="Palatino Linotype" w:hAnsi="Palatino Linotype"/>
        </w:rPr>
        <w:t xml:space="preserve">. </w:t>
      </w:r>
    </w:p>
    <w:p w:rsidRPr="00573A19" w:rsidR="00932070" w:rsidP="005B476E" w:rsidRDefault="00932070" w14:paraId="099884AF" w14:textId="77777777">
      <w:pPr>
        <w:rPr>
          <w:rFonts w:ascii="Palatino Linotype" w:hAnsi="Palatino Linotype"/>
        </w:rPr>
      </w:pPr>
    </w:p>
    <w:p w:rsidRPr="00573A19" w:rsidR="00037166" w:rsidP="00C145A9" w:rsidRDefault="00840547" w14:paraId="6F109321" w14:textId="30299032">
      <w:pPr>
        <w:rPr>
          <w:rFonts w:ascii="Palatino Linotype" w:hAnsi="Palatino Linotype"/>
        </w:rPr>
      </w:pPr>
      <w:r w:rsidRPr="00573A19">
        <w:rPr>
          <w:rFonts w:ascii="Palatino Linotype" w:hAnsi="Palatino Linotype"/>
        </w:rPr>
        <w:t>A</w:t>
      </w:r>
      <w:r w:rsidRPr="00573A19" w:rsidR="00037166">
        <w:rPr>
          <w:rFonts w:ascii="Palatino Linotype" w:hAnsi="Palatino Linotype"/>
        </w:rPr>
        <w:t xml:space="preserve">lternatives to planned gas investment are </w:t>
      </w:r>
      <w:r w:rsidRPr="00573A19">
        <w:rPr>
          <w:rFonts w:ascii="Palatino Linotype" w:hAnsi="Palatino Linotype"/>
        </w:rPr>
        <w:t xml:space="preserve">comprehensively </w:t>
      </w:r>
      <w:r w:rsidRPr="00573A19" w:rsidR="00037166">
        <w:rPr>
          <w:rFonts w:ascii="Palatino Linotype" w:hAnsi="Palatino Linotype"/>
        </w:rPr>
        <w:t>addressed in General Rate Case</w:t>
      </w:r>
      <w:r w:rsidRPr="00573A19" w:rsidR="00E934F5">
        <w:rPr>
          <w:rFonts w:ascii="Palatino Linotype" w:hAnsi="Palatino Linotype"/>
        </w:rPr>
        <w:t xml:space="preserve"> proceedings</w:t>
      </w:r>
      <w:r w:rsidRPr="00573A19" w:rsidR="007606A3">
        <w:rPr>
          <w:rFonts w:ascii="Palatino Linotype" w:hAnsi="Palatino Linotype"/>
        </w:rPr>
        <w:t>.</w:t>
      </w:r>
      <w:r w:rsidRPr="00573A19" w:rsidR="00E934F5">
        <w:rPr>
          <w:rFonts w:ascii="Palatino Linotype" w:hAnsi="Palatino Linotype"/>
        </w:rPr>
        <w:t xml:space="preserve"> </w:t>
      </w:r>
      <w:r w:rsidRPr="00573A19" w:rsidR="00DC62DA">
        <w:rPr>
          <w:rFonts w:ascii="Palatino Linotype" w:hAnsi="Palatino Linotype"/>
        </w:rPr>
        <w:t xml:space="preserve">However, </w:t>
      </w:r>
      <w:r w:rsidRPr="00573A19" w:rsidR="000C2D1E">
        <w:rPr>
          <w:rFonts w:ascii="Palatino Linotype" w:hAnsi="Palatino Linotype"/>
        </w:rPr>
        <w:t xml:space="preserve">limited </w:t>
      </w:r>
      <w:r w:rsidRPr="00573A19" w:rsidR="001B54E1">
        <w:rPr>
          <w:rFonts w:ascii="Palatino Linotype" w:hAnsi="Palatino Linotype"/>
        </w:rPr>
        <w:t xml:space="preserve">non-confidential </w:t>
      </w:r>
      <w:r w:rsidRPr="00573A19" w:rsidR="00E934F5">
        <w:rPr>
          <w:rFonts w:ascii="Palatino Linotype" w:hAnsi="Palatino Linotype"/>
        </w:rPr>
        <w:t xml:space="preserve">data </w:t>
      </w:r>
      <w:r w:rsidRPr="00573A19" w:rsidR="001B54E1">
        <w:rPr>
          <w:rFonts w:ascii="Palatino Linotype" w:hAnsi="Palatino Linotype"/>
        </w:rPr>
        <w:t>related to long-term gas planning is</w:t>
      </w:r>
      <w:r w:rsidRPr="00573A19" w:rsidR="00E934F5">
        <w:rPr>
          <w:rFonts w:ascii="Palatino Linotype" w:hAnsi="Palatino Linotype"/>
        </w:rPr>
        <w:t xml:space="preserve"> appropriate to include in this data resolution. </w:t>
      </w:r>
      <w:r w:rsidRPr="00573A19" w:rsidR="00037166">
        <w:rPr>
          <w:rFonts w:ascii="Palatino Linotype" w:hAnsi="Palatino Linotype"/>
        </w:rPr>
        <w:t xml:space="preserve">  </w:t>
      </w:r>
    </w:p>
    <w:p w:rsidRPr="00573A19" w:rsidR="00932070" w:rsidP="00C145A9" w:rsidRDefault="00932070" w14:paraId="5FF5E5FA" w14:textId="77777777">
      <w:pPr>
        <w:rPr>
          <w:rFonts w:ascii="Palatino Linotype" w:hAnsi="Palatino Linotype"/>
          <w:u w:val="single"/>
        </w:rPr>
      </w:pPr>
    </w:p>
    <w:p w:rsidRPr="00573A19" w:rsidR="000646B0" w:rsidP="000646B0" w:rsidRDefault="000646B0" w14:paraId="2E5F1744" w14:textId="77777777">
      <w:pPr>
        <w:pStyle w:val="Heading3"/>
        <w:rPr>
          <w:rFonts w:ascii="Palatino Linotype" w:hAnsi="Palatino Linotype"/>
        </w:rPr>
      </w:pPr>
      <w:r w:rsidRPr="00573A19">
        <w:rPr>
          <w:rFonts w:ascii="Palatino Linotype" w:hAnsi="Palatino Linotype"/>
        </w:rPr>
        <w:lastRenderedPageBreak/>
        <w:t xml:space="preserve">IOU baseline territories differ from CEC climate zones </w:t>
      </w:r>
    </w:p>
    <w:p w:rsidRPr="00573A19" w:rsidR="000646B0" w:rsidP="000646B0" w:rsidRDefault="000646B0" w14:paraId="110C579C" w14:textId="77777777">
      <w:pPr>
        <w:rPr>
          <w:rFonts w:ascii="Palatino Linotype" w:hAnsi="Palatino Linotype"/>
        </w:rPr>
      </w:pPr>
      <w:r w:rsidRPr="00573A19">
        <w:rPr>
          <w:rFonts w:ascii="Palatino Linotype" w:hAnsi="Palatino Linotype"/>
        </w:rPr>
        <w:t>The California Energy Commission (CEC) defines 16 distinct California climate zones</w:t>
      </w:r>
      <w:r w:rsidRPr="00573A19">
        <w:rPr>
          <w:rStyle w:val="FootnoteReference"/>
          <w:rFonts w:ascii="Palatino Linotype" w:hAnsi="Palatino Linotype"/>
        </w:rPr>
        <w:footnoteReference w:id="5"/>
      </w:r>
      <w:r w:rsidRPr="00573A19">
        <w:rPr>
          <w:rFonts w:ascii="Palatino Linotype" w:hAnsi="Palatino Linotype"/>
        </w:rPr>
        <w:t xml:space="preserve"> that form the basis of the building energy code development work. However, California IOUs have their own climate-based zoning (23 in total)</w:t>
      </w:r>
      <w:r w:rsidRPr="00573A19">
        <w:rPr>
          <w:rStyle w:val="FootnoteReference"/>
          <w:rFonts w:ascii="Palatino Linotype" w:hAnsi="Palatino Linotype"/>
        </w:rPr>
        <w:footnoteReference w:id="6"/>
      </w:r>
      <w:r w:rsidRPr="00573A19">
        <w:rPr>
          <w:rFonts w:ascii="Palatino Linotype" w:hAnsi="Palatino Linotype"/>
        </w:rPr>
        <w:t xml:space="preserve"> on which their customer energy use baselines are set. Although the CEC climate zones and IOU baseline territories are overlapping and not vastly different, the mismatch is a hinderance for cross-referencing data obtained from one system against the other.</w:t>
      </w:r>
    </w:p>
    <w:p w:rsidRPr="00573A19" w:rsidR="000646B0" w:rsidP="000646B0" w:rsidRDefault="000646B0" w14:paraId="2189AF3A" w14:textId="77777777">
      <w:pPr>
        <w:rPr>
          <w:rFonts w:ascii="Palatino Linotype" w:hAnsi="Palatino Linotype"/>
        </w:rPr>
      </w:pPr>
    </w:p>
    <w:p w:rsidRPr="00573A19" w:rsidR="000646B0" w:rsidP="000646B0" w:rsidRDefault="000646B0" w14:paraId="3A13F659" w14:textId="77777777">
      <w:pPr>
        <w:rPr>
          <w:rFonts w:ascii="Palatino Linotype" w:hAnsi="Palatino Linotype"/>
        </w:rPr>
      </w:pPr>
      <w:r w:rsidRPr="00573A19">
        <w:rPr>
          <w:rFonts w:ascii="Palatino Linotype" w:hAnsi="Palatino Linotype"/>
        </w:rPr>
        <w:t>Aligning climate zones across agencies is long overdue. Unfortunately, it is beyond the scope of this resolution.</w:t>
      </w:r>
    </w:p>
    <w:p w:rsidRPr="00573A19" w:rsidR="000646B0" w:rsidP="000646B0" w:rsidRDefault="000646B0" w14:paraId="2ADE899A" w14:textId="77777777">
      <w:pPr>
        <w:rPr>
          <w:rFonts w:ascii="Palatino Linotype" w:hAnsi="Palatino Linotype"/>
        </w:rPr>
      </w:pPr>
    </w:p>
    <w:p w:rsidRPr="00573A19" w:rsidR="000646B0" w:rsidP="000646B0" w:rsidRDefault="000646B0" w14:paraId="3651A78C" w14:textId="6D151A34">
      <w:pPr>
        <w:rPr>
          <w:rFonts w:ascii="Palatino Linotype" w:hAnsi="Palatino Linotype"/>
        </w:rPr>
      </w:pPr>
      <w:r w:rsidRPr="00573A19">
        <w:rPr>
          <w:rFonts w:ascii="Palatino Linotype" w:hAnsi="Palatino Linotype"/>
        </w:rPr>
        <w:t>While we understand it is possibly easier for the IOUs to assemble the requested data based on their baseline territories, this proceeding involves pilot programs (such as the BUILD program and the proposed WNDRR program</w:t>
      </w:r>
      <w:r w:rsidRPr="00573A19">
        <w:rPr>
          <w:rStyle w:val="FootnoteReference"/>
          <w:rFonts w:ascii="Palatino Linotype" w:hAnsi="Palatino Linotype"/>
        </w:rPr>
        <w:footnoteReference w:id="7"/>
      </w:r>
      <w:r w:rsidRPr="00573A19">
        <w:rPr>
          <w:rFonts w:ascii="Palatino Linotype" w:hAnsi="Palatino Linotype"/>
        </w:rPr>
        <w:t>) that will lean on the Title 24 Building Energy Code software (CBECC-Res) for program planning and implementation. The CBECC-Res software uses CEC climate zones to model parameters such as building energy use, hourly load profiles and GHG emissions. Thus, we require that the IOUs use the CEC climate zones to submit the required data.</w:t>
      </w:r>
    </w:p>
    <w:p w:rsidRPr="00573A19" w:rsidR="000646B0" w:rsidP="000646B0" w:rsidRDefault="000646B0" w14:paraId="75956E16" w14:textId="77777777">
      <w:pPr>
        <w:rPr>
          <w:rFonts w:ascii="Palatino Linotype" w:hAnsi="Palatino Linotype"/>
        </w:rPr>
      </w:pPr>
    </w:p>
    <w:p w:rsidRPr="00573A19" w:rsidR="000646B0" w:rsidP="000646B0" w:rsidRDefault="000646B0" w14:paraId="00AD4618" w14:textId="77777777">
      <w:pPr>
        <w:rPr>
          <w:rFonts w:ascii="Palatino Linotype" w:hAnsi="Palatino Linotype"/>
        </w:rPr>
      </w:pPr>
      <w:r w:rsidRPr="00573A19">
        <w:rPr>
          <w:rFonts w:ascii="Palatino Linotype" w:hAnsi="Palatino Linotype"/>
        </w:rPr>
        <w:t>We encourage the IOUs and stakeholders to submit their rationale if they prefer us to take a different approach.</w:t>
      </w:r>
    </w:p>
    <w:p w:rsidRPr="00573A19" w:rsidR="000646B0" w:rsidP="000646B0" w:rsidRDefault="000646B0" w14:paraId="1266C330" w14:textId="77777777">
      <w:pPr>
        <w:rPr>
          <w:rFonts w:ascii="Palatino Linotype" w:hAnsi="Palatino Linotype"/>
        </w:rPr>
      </w:pPr>
    </w:p>
    <w:p w:rsidRPr="00573A19" w:rsidR="000646B0" w:rsidP="000646B0" w:rsidRDefault="000646B0" w14:paraId="0B5AD252" w14:textId="2D104FAE">
      <w:pPr>
        <w:rPr>
          <w:rFonts w:ascii="Palatino Linotype" w:hAnsi="Palatino Linotype"/>
        </w:rPr>
      </w:pPr>
      <w:r w:rsidRPr="00573A19">
        <w:rPr>
          <w:rFonts w:ascii="Palatino Linotype" w:hAnsi="Palatino Linotype"/>
        </w:rPr>
        <w:t>CEC climate zones and IOU baseline territories are similar, but not fully aligned. Programs in this proceeding will need to use the CEC’s CBECC-Res software to comply with the building energy code. Therefore</w:t>
      </w:r>
      <w:r w:rsidRPr="00573A19" w:rsidR="003717BF">
        <w:rPr>
          <w:rFonts w:ascii="Palatino Linotype" w:hAnsi="Palatino Linotype"/>
        </w:rPr>
        <w:t>,</w:t>
      </w:r>
      <w:r w:rsidRPr="00573A19">
        <w:rPr>
          <w:rFonts w:ascii="Palatino Linotype" w:hAnsi="Palatino Linotype"/>
        </w:rPr>
        <w:t xml:space="preserve"> requiring data from IOUs aggregated by CEC's climate zones will enable an ‘apples to apples’ comparison. </w:t>
      </w:r>
    </w:p>
    <w:p w:rsidRPr="00573A19" w:rsidR="000646B0" w:rsidP="000646B0" w:rsidRDefault="000646B0" w14:paraId="36435683" w14:textId="77777777">
      <w:pPr>
        <w:rPr>
          <w:rFonts w:ascii="Palatino Linotype" w:hAnsi="Palatino Linotype"/>
          <w:u w:val="single"/>
        </w:rPr>
      </w:pPr>
    </w:p>
    <w:p w:rsidRPr="00573A19" w:rsidR="000646B0" w:rsidP="000646B0" w:rsidRDefault="000646B0" w14:paraId="0E85BB28" w14:textId="77777777">
      <w:pPr>
        <w:pStyle w:val="Heading3"/>
        <w:rPr>
          <w:rFonts w:ascii="Palatino Linotype" w:hAnsi="Palatino Linotype"/>
        </w:rPr>
      </w:pPr>
      <w:r w:rsidRPr="00573A19">
        <w:rPr>
          <w:rFonts w:ascii="Palatino Linotype" w:hAnsi="Palatino Linotype"/>
        </w:rPr>
        <w:lastRenderedPageBreak/>
        <w:t xml:space="preserve">10-year gas service agreements between the IOUs and their customers cannot be modified without CPUC approval </w:t>
      </w:r>
    </w:p>
    <w:p w:rsidRPr="00573A19" w:rsidR="000646B0" w:rsidP="000646B0" w:rsidRDefault="000646B0" w14:paraId="3B69A73A" w14:textId="313D3364">
      <w:pPr>
        <w:pStyle w:val="sub2"/>
        <w:spacing w:line="240" w:lineRule="auto"/>
        <w:ind w:firstLine="0"/>
        <w:rPr>
          <w:rFonts w:ascii="Palatino Linotype" w:hAnsi="Palatino Linotype"/>
        </w:rPr>
      </w:pPr>
      <w:r w:rsidRPr="00573A19">
        <w:rPr>
          <w:rFonts w:ascii="Palatino Linotype" w:hAnsi="Palatino Linotype"/>
        </w:rPr>
        <w:t>PG&amp;E’s comments reiterated an important issue raised by stakeholders at the June 17</w:t>
      </w:r>
      <w:r w:rsidRPr="00573A19" w:rsidR="00384AFC">
        <w:rPr>
          <w:rFonts w:ascii="Palatino Linotype" w:hAnsi="Palatino Linotype"/>
        </w:rPr>
        <w:t>, 2020</w:t>
      </w:r>
      <w:r w:rsidRPr="00573A19">
        <w:rPr>
          <w:rFonts w:ascii="Palatino Linotype" w:hAnsi="Palatino Linotype"/>
        </w:rPr>
        <w:t xml:space="preserve"> workshop. Per PG&amp;E’s comments, when gas service is first provided, a customer signs a 10-year service agreement with the gas company, this 10-year term has been established by CPUC. If the customer wishes to electrify before the 10-year period, the cost of infrastructure removal largely falls upon the customer, which becomes a barrier to electrification. </w:t>
      </w:r>
    </w:p>
    <w:p w:rsidRPr="00573A19" w:rsidR="000646B0" w:rsidP="000646B0" w:rsidRDefault="000646B0" w14:paraId="5F4130AA" w14:textId="44F5573A">
      <w:pPr>
        <w:pStyle w:val="sub2"/>
        <w:spacing w:line="240" w:lineRule="auto"/>
        <w:ind w:firstLine="0"/>
        <w:rPr>
          <w:rFonts w:ascii="Palatino Linotype" w:hAnsi="Palatino Linotype"/>
        </w:rPr>
      </w:pPr>
      <w:r w:rsidRPr="00573A19">
        <w:rPr>
          <w:rFonts w:ascii="Palatino Linotype" w:hAnsi="Palatino Linotype"/>
        </w:rPr>
        <w:t>CPUC staff is looking into this issue, and it may be addressed in a later phase of this proceeding or in another proceeding.</w:t>
      </w:r>
    </w:p>
    <w:p w:rsidRPr="00573A19" w:rsidR="000646B0" w:rsidP="000646B0" w:rsidRDefault="000646B0" w14:paraId="62F4C65E" w14:textId="77777777">
      <w:pPr>
        <w:pStyle w:val="sub2"/>
        <w:spacing w:line="240" w:lineRule="auto"/>
        <w:ind w:firstLine="0"/>
        <w:rPr>
          <w:rFonts w:ascii="Palatino Linotype" w:hAnsi="Palatino Linotype"/>
        </w:rPr>
      </w:pPr>
    </w:p>
    <w:p w:rsidRPr="00573A19" w:rsidR="000646B0" w:rsidP="000646B0" w:rsidRDefault="000646B0" w14:paraId="636AF178" w14:textId="32E9A6DC">
      <w:pPr>
        <w:pStyle w:val="sub2"/>
        <w:spacing w:line="240" w:lineRule="auto"/>
        <w:ind w:firstLine="0"/>
        <w:rPr>
          <w:rFonts w:ascii="Palatino Linotype" w:hAnsi="Palatino Linotype"/>
        </w:rPr>
      </w:pPr>
      <w:r w:rsidRPr="00573A19">
        <w:rPr>
          <w:rFonts w:ascii="Palatino Linotype" w:hAnsi="Palatino Linotype"/>
        </w:rPr>
        <w:t xml:space="preserve">In terms of relevance of this issue to data, PG&amp;E explains that year of installation provides a good proxy to ascertain whether certain localities are past the 10-year service agreement mark, and can be therefore candidates for early electrification. Not only for identifying communities suitable for early electrification, we note that maps showing age of households (using meter installation date as a proxy) is a valuable data set by itself, as age of a </w:t>
      </w:r>
      <w:r w:rsidRPr="00573A19" w:rsidR="004621BE">
        <w:rPr>
          <w:rFonts w:ascii="Palatino Linotype" w:hAnsi="Palatino Linotype"/>
        </w:rPr>
        <w:t>dwelling</w:t>
      </w:r>
      <w:r w:rsidRPr="00573A19">
        <w:rPr>
          <w:rFonts w:ascii="Palatino Linotype" w:hAnsi="Palatino Linotype"/>
        </w:rPr>
        <w:t xml:space="preserve"> can be </w:t>
      </w:r>
      <w:r w:rsidRPr="00573A19" w:rsidR="004621BE">
        <w:rPr>
          <w:rFonts w:ascii="Palatino Linotype" w:hAnsi="Palatino Linotype"/>
        </w:rPr>
        <w:t>a predictor of</w:t>
      </w:r>
      <w:r w:rsidRPr="00573A19">
        <w:rPr>
          <w:rFonts w:ascii="Palatino Linotype" w:hAnsi="Palatino Linotype"/>
        </w:rPr>
        <w:t xml:space="preserve"> many other coincidental factors such as insulation levels</w:t>
      </w:r>
      <w:r w:rsidRPr="00573A19" w:rsidR="008732EC">
        <w:rPr>
          <w:rFonts w:ascii="Palatino Linotype" w:hAnsi="Palatino Linotype"/>
        </w:rPr>
        <w:t xml:space="preserve"> (based on prevalent energy code</w:t>
      </w:r>
      <w:r w:rsidRPr="00573A19">
        <w:rPr>
          <w:rFonts w:ascii="Palatino Linotype" w:hAnsi="Palatino Linotype"/>
        </w:rPr>
        <w:t xml:space="preserve">, electrical panel size (based on </w:t>
      </w:r>
      <w:r w:rsidRPr="00573A19" w:rsidR="008732EC">
        <w:rPr>
          <w:rFonts w:ascii="Palatino Linotype" w:hAnsi="Palatino Linotype"/>
        </w:rPr>
        <w:t>prevalent</w:t>
      </w:r>
      <w:r w:rsidRPr="00573A19" w:rsidR="004621BE">
        <w:rPr>
          <w:rFonts w:ascii="Palatino Linotype" w:hAnsi="Palatino Linotype"/>
        </w:rPr>
        <w:t xml:space="preserve"> electrical code</w:t>
      </w:r>
      <w:r w:rsidRPr="00573A19">
        <w:rPr>
          <w:rFonts w:ascii="Palatino Linotype" w:hAnsi="Palatino Linotype"/>
        </w:rPr>
        <w:t xml:space="preserve">), </w:t>
      </w:r>
      <w:r w:rsidRPr="00573A19" w:rsidR="00384AFC">
        <w:rPr>
          <w:rFonts w:ascii="Palatino Linotype" w:hAnsi="Palatino Linotype"/>
        </w:rPr>
        <w:t xml:space="preserve">and </w:t>
      </w:r>
      <w:r w:rsidRPr="00573A19">
        <w:rPr>
          <w:rFonts w:ascii="Palatino Linotype" w:hAnsi="Palatino Linotype"/>
        </w:rPr>
        <w:t>presence of asbestos</w:t>
      </w:r>
      <w:r w:rsidRPr="00573A19" w:rsidR="00384AFC">
        <w:rPr>
          <w:rFonts w:ascii="Palatino Linotype" w:hAnsi="Palatino Linotype"/>
        </w:rPr>
        <w:t>,</w:t>
      </w:r>
      <w:r w:rsidRPr="00573A19">
        <w:rPr>
          <w:rFonts w:ascii="Palatino Linotype" w:hAnsi="Palatino Linotype"/>
        </w:rPr>
        <w:t xml:space="preserve"> etc. We also note that age of building is not considered confidential.</w:t>
      </w:r>
    </w:p>
    <w:p w:rsidRPr="00573A19" w:rsidR="000646B0" w:rsidP="000646B0" w:rsidRDefault="000646B0" w14:paraId="18BE62F6" w14:textId="77777777">
      <w:pPr>
        <w:pStyle w:val="sub2"/>
        <w:spacing w:line="240" w:lineRule="auto"/>
        <w:ind w:firstLine="0"/>
        <w:rPr>
          <w:rFonts w:ascii="Palatino Linotype" w:hAnsi="Palatino Linotype"/>
        </w:rPr>
      </w:pPr>
    </w:p>
    <w:p w:rsidRPr="00573A19" w:rsidR="000646B0" w:rsidP="000646B0" w:rsidRDefault="000646B0" w14:paraId="5AE72D17" w14:textId="696CB01E">
      <w:pPr>
        <w:pStyle w:val="sub2"/>
        <w:spacing w:line="240" w:lineRule="auto"/>
        <w:ind w:firstLine="0"/>
        <w:rPr>
          <w:rFonts w:ascii="Palatino Linotype" w:hAnsi="Palatino Linotype"/>
        </w:rPr>
      </w:pPr>
      <w:r w:rsidRPr="00573A19">
        <w:rPr>
          <w:rFonts w:ascii="Palatino Linotype" w:hAnsi="Palatino Linotype"/>
        </w:rPr>
        <w:t xml:space="preserve">In this year’s data resolution, we are not requiring year of installation data mapped to each service address, but instead as a less comprehensive customer characterization matrix shown in Appendix A. However, we do signal the need for this data in map form so that IOUs can start assembling it for 2021 data submittal. </w:t>
      </w:r>
    </w:p>
    <w:p w:rsidRPr="00573A19" w:rsidR="000646B0" w:rsidP="000646B0" w:rsidRDefault="000646B0" w14:paraId="71B9AE42" w14:textId="77777777">
      <w:pPr>
        <w:pStyle w:val="sub2"/>
        <w:spacing w:line="240" w:lineRule="auto"/>
        <w:ind w:firstLine="0"/>
        <w:rPr>
          <w:rFonts w:ascii="Palatino Linotype" w:hAnsi="Palatino Linotype"/>
          <w:u w:val="single"/>
        </w:rPr>
      </w:pPr>
    </w:p>
    <w:p w:rsidRPr="00573A19" w:rsidR="000646B0" w:rsidP="000646B0" w:rsidRDefault="000646B0" w14:paraId="7B5F112F" w14:textId="09AD55EE">
      <w:pPr>
        <w:pStyle w:val="sub2"/>
        <w:spacing w:line="240" w:lineRule="auto"/>
        <w:ind w:firstLine="0"/>
        <w:rPr>
          <w:rFonts w:ascii="Palatino Linotype" w:hAnsi="Palatino Linotype"/>
        </w:rPr>
      </w:pPr>
      <w:r w:rsidRPr="00573A19">
        <w:rPr>
          <w:rFonts w:ascii="Palatino Linotype" w:hAnsi="Palatino Linotype"/>
        </w:rPr>
        <w:t xml:space="preserve">Date of meter installation is a reasonable proxy to ascertain the age of a </w:t>
      </w:r>
      <w:r w:rsidRPr="00573A19" w:rsidR="004621BE">
        <w:rPr>
          <w:rFonts w:ascii="Palatino Linotype" w:hAnsi="Palatino Linotype"/>
        </w:rPr>
        <w:t>dwelling</w:t>
      </w:r>
      <w:r w:rsidRPr="00573A19" w:rsidR="00947589">
        <w:rPr>
          <w:rFonts w:ascii="Palatino Linotype" w:hAnsi="Palatino Linotype"/>
        </w:rPr>
        <w:t xml:space="preserve"> and</w:t>
      </w:r>
      <w:r w:rsidRPr="00573A19">
        <w:rPr>
          <w:rFonts w:ascii="Palatino Linotype" w:hAnsi="Palatino Linotype"/>
        </w:rPr>
        <w:t xml:space="preserve"> is non-confidential data. </w:t>
      </w:r>
    </w:p>
    <w:p w:rsidRPr="00573A19" w:rsidR="000646B0" w:rsidP="000646B0" w:rsidRDefault="000646B0" w14:paraId="092337FB" w14:textId="77777777">
      <w:pPr>
        <w:pStyle w:val="sub2"/>
        <w:spacing w:line="240" w:lineRule="auto"/>
        <w:ind w:firstLine="0"/>
        <w:rPr>
          <w:rFonts w:ascii="Palatino Linotype" w:hAnsi="Palatino Linotype"/>
          <w:u w:val="single"/>
        </w:rPr>
      </w:pPr>
    </w:p>
    <w:p w:rsidRPr="00573A19" w:rsidR="000646B0" w:rsidP="000646B0" w:rsidRDefault="000646B0" w14:paraId="5AC829F7" w14:textId="77777777">
      <w:pPr>
        <w:pStyle w:val="Heading3"/>
        <w:rPr>
          <w:rFonts w:ascii="Palatino Linotype" w:hAnsi="Palatino Linotype"/>
        </w:rPr>
      </w:pPr>
      <w:r w:rsidRPr="00573A19">
        <w:rPr>
          <w:rFonts w:ascii="Palatino Linotype" w:hAnsi="Palatino Linotype"/>
        </w:rPr>
        <w:lastRenderedPageBreak/>
        <w:t>Customer data access is difficult for a contractor, even after customer permissions</w:t>
      </w:r>
    </w:p>
    <w:p w:rsidRPr="00573A19" w:rsidR="000646B0" w:rsidP="000646B0" w:rsidRDefault="000646B0" w14:paraId="46BC1232" w14:textId="5F018F84">
      <w:pPr>
        <w:rPr>
          <w:rFonts w:ascii="Palatino Linotype" w:hAnsi="Palatino Linotype"/>
        </w:rPr>
      </w:pPr>
      <w:r w:rsidRPr="00573A19">
        <w:rPr>
          <w:rFonts w:ascii="Palatino Linotype" w:hAnsi="Palatino Linotype"/>
        </w:rPr>
        <w:t>According to CALSSA, the Green Button</w:t>
      </w:r>
      <w:r w:rsidRPr="00573A19">
        <w:rPr>
          <w:rStyle w:val="FootnoteReference"/>
          <w:rFonts w:ascii="Palatino Linotype" w:hAnsi="Palatino Linotype"/>
        </w:rPr>
        <w:footnoteReference w:id="8"/>
      </w:r>
      <w:r w:rsidRPr="00573A19">
        <w:rPr>
          <w:rFonts w:ascii="Palatino Linotype" w:hAnsi="Palatino Linotype"/>
        </w:rPr>
        <w:t xml:space="preserve"> portal available through IOU websites is frequently out of service, making it difficult to get interval data for the customer. Per CALSSA, efforts to get this data through e-mails to utilities even after customer authorization can take as long as 30 days. Solar and storage contractors need a simpler process for one-time download that does not require sophisticated contractor websites to connect with Green Button in the back end. Further, SCE comments highlight the lack of Green Button-enabled data access for gas customers.</w:t>
      </w:r>
      <w:r w:rsidRPr="00573A19" w:rsidR="003717BF">
        <w:rPr>
          <w:rFonts w:ascii="Palatino Linotype" w:hAnsi="Palatino Linotype"/>
        </w:rPr>
        <w:t xml:space="preserve"> W</w:t>
      </w:r>
      <w:r w:rsidRPr="00573A19">
        <w:rPr>
          <w:rFonts w:ascii="Palatino Linotype" w:hAnsi="Palatino Linotype"/>
        </w:rPr>
        <w:t xml:space="preserve">e </w:t>
      </w:r>
      <w:r w:rsidRPr="00573A19" w:rsidR="003717BF">
        <w:rPr>
          <w:rFonts w:ascii="Palatino Linotype" w:hAnsi="Palatino Linotype"/>
        </w:rPr>
        <w:t>acknowledge</w:t>
      </w:r>
      <w:r w:rsidRPr="00573A19">
        <w:rPr>
          <w:rFonts w:ascii="Palatino Linotype" w:hAnsi="Palatino Linotype"/>
        </w:rPr>
        <w:t xml:space="preserve"> the importance of access to individual customer’s energy data to third party service providers. This issue is already being addressed in </w:t>
      </w:r>
      <w:r w:rsidRPr="00573A19" w:rsidR="00384AFC">
        <w:rPr>
          <w:rFonts w:ascii="Palatino Linotype" w:hAnsi="Palatino Linotype"/>
        </w:rPr>
        <w:t xml:space="preserve">the click-through authorization </w:t>
      </w:r>
      <w:r w:rsidRPr="00573A19">
        <w:rPr>
          <w:rFonts w:ascii="Palatino Linotype" w:hAnsi="Palatino Linotype"/>
        </w:rPr>
        <w:t>proceeding</w:t>
      </w:r>
      <w:r w:rsidRPr="00573A19" w:rsidR="003717BF">
        <w:rPr>
          <w:rFonts w:ascii="Palatino Linotype" w:hAnsi="Palatino Linotype"/>
        </w:rPr>
        <w:t>.</w:t>
      </w:r>
    </w:p>
    <w:p w:rsidRPr="00573A19" w:rsidR="000646B0" w:rsidP="000646B0" w:rsidRDefault="000646B0" w14:paraId="3812DAE3" w14:textId="77777777">
      <w:pPr>
        <w:rPr>
          <w:rFonts w:ascii="Palatino Linotype" w:hAnsi="Palatino Linotype"/>
        </w:rPr>
      </w:pPr>
    </w:p>
    <w:p w:rsidRPr="00573A19" w:rsidR="000646B0" w:rsidP="000646B0" w:rsidRDefault="000646B0" w14:paraId="4663FE52" w14:textId="77777777">
      <w:pPr>
        <w:rPr>
          <w:rFonts w:ascii="Palatino Linotype" w:hAnsi="Palatino Linotype"/>
        </w:rPr>
      </w:pPr>
      <w:r w:rsidRPr="00573A19">
        <w:rPr>
          <w:rFonts w:ascii="Palatino Linotype" w:hAnsi="Palatino Linotype"/>
        </w:rPr>
        <w:t>The click-through authorization process for customers to approve the provision of the customer’s specific information to third party providers is being addressed in CPUC’s proceeding A.18-11-015.</w:t>
      </w:r>
    </w:p>
    <w:p w:rsidRPr="00573A19" w:rsidR="000646B0" w:rsidP="000646B0" w:rsidRDefault="000646B0" w14:paraId="0520710D" w14:textId="77777777">
      <w:pPr>
        <w:rPr>
          <w:rFonts w:ascii="Palatino Linotype" w:hAnsi="Palatino Linotype"/>
        </w:rPr>
      </w:pPr>
    </w:p>
    <w:p w:rsidRPr="00573A19" w:rsidR="000646B0" w:rsidP="000646B0" w:rsidRDefault="000646B0" w14:paraId="636EA175" w14:textId="77777777">
      <w:pPr>
        <w:pStyle w:val="Heading3"/>
        <w:rPr>
          <w:rFonts w:ascii="Palatino Linotype" w:hAnsi="Palatino Linotype"/>
        </w:rPr>
      </w:pPr>
      <w:r w:rsidRPr="00573A19">
        <w:rPr>
          <w:rFonts w:ascii="Palatino Linotype" w:hAnsi="Palatino Linotype"/>
        </w:rPr>
        <w:t>Public Disclosure of Hourly Energy Use Data</w:t>
      </w:r>
    </w:p>
    <w:p w:rsidRPr="00573A19" w:rsidR="000646B0" w:rsidP="000646B0" w:rsidRDefault="004621BE" w14:paraId="2634F1A1" w14:textId="10785563">
      <w:pPr>
        <w:rPr>
          <w:rFonts w:ascii="Palatino Linotype" w:hAnsi="Palatino Linotype"/>
        </w:rPr>
      </w:pPr>
      <w:bookmarkStart w:name="_Hlk52171625" w:id="1"/>
      <w:r w:rsidRPr="00573A19">
        <w:rPr>
          <w:rFonts w:ascii="Palatino Linotype" w:hAnsi="Palatino Linotype"/>
        </w:rPr>
        <w:t xml:space="preserve">Staff presentation gave an overview of the data access rules established by D.14-05-041. </w:t>
      </w:r>
      <w:r w:rsidRPr="00573A19" w:rsidR="000646B0">
        <w:rPr>
          <w:rFonts w:ascii="Palatino Linotype" w:hAnsi="Palatino Linotype"/>
        </w:rPr>
        <w:t xml:space="preserve">In discussions following the workshop, Recurve Analytics raised the issue of unavailability of hourly energy use data </w:t>
      </w:r>
      <w:r w:rsidRPr="00573A19">
        <w:rPr>
          <w:rFonts w:ascii="Palatino Linotype" w:hAnsi="Palatino Linotype"/>
        </w:rPr>
        <w:t>for public use.</w:t>
      </w:r>
      <w:r w:rsidRPr="00573A19" w:rsidR="000646B0">
        <w:rPr>
          <w:rFonts w:ascii="Palatino Linotype" w:hAnsi="Palatino Linotype"/>
        </w:rPr>
        <w:t xml:space="preserve"> </w:t>
      </w:r>
    </w:p>
    <w:bookmarkEnd w:id="1"/>
    <w:p w:rsidRPr="00573A19" w:rsidR="000646B0" w:rsidP="000646B0" w:rsidRDefault="000646B0" w14:paraId="58266515" w14:textId="77777777">
      <w:pPr>
        <w:rPr>
          <w:rFonts w:ascii="Palatino Linotype" w:hAnsi="Palatino Linotype"/>
        </w:rPr>
      </w:pPr>
    </w:p>
    <w:p w:rsidRPr="00573A19" w:rsidR="000646B0" w:rsidP="000646B0" w:rsidRDefault="000C095E" w14:paraId="3FA85394" w14:textId="60C06D5B">
      <w:pPr>
        <w:rPr>
          <w:rFonts w:ascii="Palatino Linotype" w:hAnsi="Palatino Linotype"/>
        </w:rPr>
      </w:pPr>
      <w:bookmarkStart w:name="_Hlk52171752" w:id="2"/>
      <w:r w:rsidRPr="00573A19">
        <w:rPr>
          <w:rFonts w:ascii="Palatino Linotype" w:hAnsi="Palatino Linotype"/>
        </w:rPr>
        <w:t xml:space="preserve">Staff </w:t>
      </w:r>
      <w:r w:rsidRPr="00573A19" w:rsidR="008732EC">
        <w:rPr>
          <w:rFonts w:ascii="Palatino Linotype" w:hAnsi="Palatino Linotype"/>
        </w:rPr>
        <w:t>recognizes</w:t>
      </w:r>
      <w:r w:rsidRPr="00573A19">
        <w:rPr>
          <w:rFonts w:ascii="Palatino Linotype" w:hAnsi="Palatino Linotype"/>
        </w:rPr>
        <w:t xml:space="preserve"> that b</w:t>
      </w:r>
      <w:r w:rsidRPr="00573A19" w:rsidR="000646B0">
        <w:rPr>
          <w:rFonts w:ascii="Palatino Linotype" w:hAnsi="Palatino Linotype"/>
        </w:rPr>
        <w:t xml:space="preserve">uilding decarbonization’s most obvious “Achilles heel,” as well as its biggest opportunity, is in balancing the electric grid through load management. Maximizing the use of generation from renewables in the daytime and shifting peak loads to the greatest extent possible is necessary in both demand side and supply side markets. </w:t>
      </w:r>
      <w:bookmarkStart w:name="_Hlk52171730" w:id="3"/>
      <w:r w:rsidRPr="00573A19" w:rsidR="000646B0">
        <w:rPr>
          <w:rFonts w:ascii="Palatino Linotype" w:hAnsi="Palatino Linotype"/>
        </w:rPr>
        <w:t xml:space="preserve">To enable Distributed Energy Resource (DER) markets, </w:t>
      </w:r>
      <w:r w:rsidRPr="00573A19" w:rsidR="003C5A26">
        <w:rPr>
          <w:rFonts w:ascii="Palatino Linotype" w:hAnsi="Palatino Linotype"/>
        </w:rPr>
        <w:t xml:space="preserve">Recurve Analytics argues that </w:t>
      </w:r>
      <w:r w:rsidRPr="00573A19" w:rsidR="000646B0">
        <w:rPr>
          <w:rFonts w:ascii="Palatino Linotype" w:hAnsi="Palatino Linotype"/>
        </w:rPr>
        <w:t xml:space="preserve">it is crucial that </w:t>
      </w:r>
      <w:r w:rsidRPr="00573A19" w:rsidR="00D10A05">
        <w:rPr>
          <w:rFonts w:ascii="Palatino Linotype" w:hAnsi="Palatino Linotype"/>
        </w:rPr>
        <w:t>the markets</w:t>
      </w:r>
      <w:r w:rsidRPr="00573A19" w:rsidR="000646B0">
        <w:rPr>
          <w:rFonts w:ascii="Palatino Linotype" w:hAnsi="Palatino Linotype"/>
        </w:rPr>
        <w:t xml:space="preserve"> have access to data</w:t>
      </w:r>
      <w:r w:rsidRPr="00573A19" w:rsidR="00D10A05">
        <w:rPr>
          <w:rFonts w:ascii="Palatino Linotype" w:hAnsi="Palatino Linotype"/>
        </w:rPr>
        <w:t xml:space="preserve"> at a level of granularity that influences decision-making</w:t>
      </w:r>
      <w:r w:rsidRPr="00573A19" w:rsidR="000646B0">
        <w:rPr>
          <w:rFonts w:ascii="Palatino Linotype" w:hAnsi="Palatino Linotype"/>
        </w:rPr>
        <w:t xml:space="preserve">. More specifically, hourly energy use data, which the IOUs collect from each customer account through ratepayer-funded smart meters, remains underutilized for </w:t>
      </w:r>
      <w:r w:rsidRPr="00573A19" w:rsidR="000646B0">
        <w:rPr>
          <w:rFonts w:ascii="Palatino Linotype" w:hAnsi="Palatino Linotype"/>
        </w:rPr>
        <w:lastRenderedPageBreak/>
        <w:t>spurring market competition, even as we face rolling blackouts and see demand remain stubbornly high during peak hours.</w:t>
      </w:r>
      <w:bookmarkEnd w:id="3"/>
      <w:r w:rsidRPr="00573A19" w:rsidR="000646B0">
        <w:rPr>
          <w:rFonts w:ascii="Palatino Linotype" w:hAnsi="Palatino Linotype"/>
        </w:rPr>
        <w:t xml:space="preserve"> </w:t>
      </w:r>
    </w:p>
    <w:bookmarkEnd w:id="2"/>
    <w:p w:rsidRPr="00573A19" w:rsidR="000646B0" w:rsidP="000646B0" w:rsidRDefault="000646B0" w14:paraId="379B1EA5" w14:textId="77777777">
      <w:pPr>
        <w:rPr>
          <w:rFonts w:ascii="Palatino Linotype" w:hAnsi="Palatino Linotype"/>
        </w:rPr>
      </w:pPr>
    </w:p>
    <w:p w:rsidRPr="00573A19" w:rsidR="00281B3A" w:rsidP="000646B0" w:rsidRDefault="000646B0" w14:paraId="190CE62D" w14:textId="2EBD20E5">
      <w:pPr>
        <w:rPr>
          <w:rFonts w:ascii="Palatino Linotype" w:hAnsi="Palatino Linotype"/>
        </w:rPr>
      </w:pPr>
      <w:r w:rsidRPr="00573A19">
        <w:rPr>
          <w:rFonts w:ascii="Palatino Linotype" w:hAnsi="Palatino Linotype"/>
        </w:rPr>
        <w:t xml:space="preserve">Locationally and temporally granular data need not compromise customer confidentiality. </w:t>
      </w:r>
      <w:r w:rsidRPr="00573A19" w:rsidR="00213654">
        <w:rPr>
          <w:rFonts w:ascii="Palatino Linotype" w:hAnsi="Palatino Linotype"/>
        </w:rPr>
        <w:t>Past CPUC decisions guard customer privacy and</w:t>
      </w:r>
      <w:r w:rsidRPr="00573A19">
        <w:rPr>
          <w:rFonts w:ascii="Palatino Linotype" w:hAnsi="Palatino Linotype"/>
        </w:rPr>
        <w:t xml:space="preserve"> prevent any level of anonymized or aggregated </w:t>
      </w:r>
      <w:r w:rsidRPr="00573A19" w:rsidR="008732EC">
        <w:rPr>
          <w:rFonts w:ascii="Palatino Linotype" w:hAnsi="Palatino Linotype"/>
        </w:rPr>
        <w:t xml:space="preserve">customer </w:t>
      </w:r>
      <w:r w:rsidRPr="00573A19">
        <w:rPr>
          <w:rFonts w:ascii="Palatino Linotype" w:hAnsi="Palatino Linotype"/>
        </w:rPr>
        <w:t>hourly interval data to be available for public disclosure. CPUC’s Energy Data Access decision- D.14-05-016- meant to provide the benefit of rich, smart meter-enabled data to various stakeholders, but it did not define aggregation thresholds</w:t>
      </w:r>
      <w:r w:rsidRPr="00573A19">
        <w:rPr>
          <w:rStyle w:val="FootnoteReference"/>
          <w:rFonts w:ascii="Palatino Linotype" w:hAnsi="Palatino Linotype"/>
        </w:rPr>
        <w:footnoteReference w:id="9"/>
      </w:r>
      <w:r w:rsidRPr="00573A19">
        <w:rPr>
          <w:rFonts w:ascii="Palatino Linotype" w:hAnsi="Palatino Linotype"/>
        </w:rPr>
        <w:t xml:space="preserve"> for hourly interval data. Instead it defined them for monthly energy use data.</w:t>
      </w:r>
      <w:r w:rsidRPr="00573A19">
        <w:rPr>
          <w:rStyle w:val="FootnoteReference"/>
          <w:rFonts w:ascii="Palatino Linotype" w:hAnsi="Palatino Linotype"/>
        </w:rPr>
        <w:footnoteReference w:id="10"/>
      </w:r>
      <w:r w:rsidRPr="00573A19">
        <w:rPr>
          <w:rStyle w:val="CommentReference"/>
          <w:rFonts w:ascii="Palatino Linotype" w:hAnsi="Palatino Linotype"/>
        </w:rPr>
        <w:t xml:space="preserve"> </w:t>
      </w:r>
      <w:r w:rsidRPr="00573A19">
        <w:rPr>
          <w:rFonts w:ascii="Palatino Linotype" w:hAnsi="Palatino Linotype"/>
        </w:rPr>
        <w:t xml:space="preserve">D.14-05-016 also predates Assembly Bill 802 (Williams, 2015), which defined less conservative aggregation thresholds for customer data access for both residential and non-residential customers. </w:t>
      </w:r>
    </w:p>
    <w:p w:rsidRPr="00573A19" w:rsidR="00281B3A" w:rsidP="000646B0" w:rsidRDefault="00281B3A" w14:paraId="1E0DFD8B" w14:textId="77777777">
      <w:pPr>
        <w:rPr>
          <w:rFonts w:ascii="Palatino Linotype" w:hAnsi="Palatino Linotype"/>
        </w:rPr>
      </w:pPr>
    </w:p>
    <w:p w:rsidRPr="00573A19" w:rsidR="000646B0" w:rsidP="000646B0" w:rsidRDefault="00D10A05" w14:paraId="54F37D87" w14:textId="7D4694FA">
      <w:pPr>
        <w:rPr>
          <w:rFonts w:ascii="Palatino Linotype" w:hAnsi="Palatino Linotype"/>
        </w:rPr>
      </w:pPr>
      <w:r w:rsidRPr="00573A19">
        <w:rPr>
          <w:rFonts w:ascii="Palatino Linotype" w:hAnsi="Palatino Linotype"/>
        </w:rPr>
        <w:t>It is beyond the scope of this resolution</w:t>
      </w:r>
      <w:r w:rsidRPr="00573A19" w:rsidR="00281B3A">
        <w:rPr>
          <w:rFonts w:ascii="Palatino Linotype" w:hAnsi="Palatino Linotype"/>
        </w:rPr>
        <w:t xml:space="preserve"> to take up this issue</w:t>
      </w:r>
      <w:r w:rsidRPr="00573A19">
        <w:rPr>
          <w:rFonts w:ascii="Palatino Linotype" w:hAnsi="Palatino Linotype"/>
        </w:rPr>
        <w:t>.</w:t>
      </w:r>
    </w:p>
    <w:p w:rsidRPr="00573A19" w:rsidR="000646B0" w:rsidP="000646B0" w:rsidRDefault="000646B0" w14:paraId="1C2378DD" w14:textId="77777777">
      <w:pPr>
        <w:rPr>
          <w:rFonts w:ascii="Palatino Linotype" w:hAnsi="Palatino Linotype"/>
        </w:rPr>
      </w:pPr>
    </w:p>
    <w:p w:rsidRPr="00573A19" w:rsidR="000646B0" w:rsidP="000646B0" w:rsidRDefault="000646B0" w14:paraId="33B959D5" w14:textId="77777777">
      <w:pPr>
        <w:pStyle w:val="Heading3"/>
        <w:rPr>
          <w:rFonts w:ascii="Palatino Linotype" w:hAnsi="Palatino Linotype"/>
        </w:rPr>
      </w:pPr>
      <w:r w:rsidRPr="00573A19">
        <w:rPr>
          <w:rFonts w:ascii="Palatino Linotype" w:hAnsi="Palatino Linotype"/>
        </w:rPr>
        <w:t>Coordination with other Proceedings</w:t>
      </w:r>
    </w:p>
    <w:p w:rsidRPr="00573A19" w:rsidR="000646B0" w:rsidP="000646B0" w:rsidRDefault="000646B0" w14:paraId="68B81A24" w14:textId="5B5B4EB0">
      <w:pPr>
        <w:rPr>
          <w:rFonts w:ascii="Palatino Linotype" w:hAnsi="Palatino Linotype"/>
        </w:rPr>
      </w:pPr>
      <w:r w:rsidRPr="00573A19">
        <w:rPr>
          <w:rFonts w:ascii="Palatino Linotype" w:hAnsi="Palatino Linotype"/>
        </w:rPr>
        <w:t>Both staff and SDG&amp;E</w:t>
      </w:r>
      <w:r w:rsidRPr="00573A19" w:rsidR="007A1A1D">
        <w:rPr>
          <w:rFonts w:ascii="Palatino Linotype" w:hAnsi="Palatino Linotype"/>
        </w:rPr>
        <w:t>’s</w:t>
      </w:r>
      <w:r w:rsidRPr="00573A19">
        <w:rPr>
          <w:rFonts w:ascii="Palatino Linotype" w:hAnsi="Palatino Linotype"/>
        </w:rPr>
        <w:t xml:space="preserve"> presentation </w:t>
      </w:r>
      <w:r w:rsidRPr="00573A19" w:rsidR="008A70B5">
        <w:rPr>
          <w:rFonts w:ascii="Palatino Linotype" w:hAnsi="Palatino Linotype"/>
        </w:rPr>
        <w:t>mentioned</w:t>
      </w:r>
      <w:r w:rsidRPr="00573A19">
        <w:rPr>
          <w:rFonts w:ascii="Palatino Linotype" w:hAnsi="Palatino Linotype"/>
        </w:rPr>
        <w:t xml:space="preserve"> a previous decision from the energy efficiency proceeding (D.18-05-041)</w:t>
      </w:r>
      <w:r w:rsidRPr="00573A19" w:rsidR="003F03A0">
        <w:rPr>
          <w:rFonts w:ascii="Palatino Linotype" w:hAnsi="Palatino Linotype"/>
        </w:rPr>
        <w:t xml:space="preserve"> </w:t>
      </w:r>
      <w:r w:rsidRPr="00573A19" w:rsidR="008A70B5">
        <w:rPr>
          <w:rFonts w:ascii="Palatino Linotype" w:hAnsi="Palatino Linotype"/>
        </w:rPr>
        <w:t xml:space="preserve">which </w:t>
      </w:r>
      <w:r w:rsidRPr="00573A19" w:rsidR="003F03A0">
        <w:rPr>
          <w:rFonts w:ascii="Palatino Linotype" w:hAnsi="Palatino Linotype"/>
        </w:rPr>
        <w:t>requires SCE as the lead IOU to establish a</w:t>
      </w:r>
      <w:r w:rsidRPr="00573A19" w:rsidR="008A70B5">
        <w:rPr>
          <w:rFonts w:ascii="Palatino Linotype" w:hAnsi="Palatino Linotype"/>
        </w:rPr>
        <w:t xml:space="preserve"> statewide</w:t>
      </w:r>
      <w:r w:rsidRPr="00573A19" w:rsidR="003F03A0">
        <w:rPr>
          <w:rFonts w:ascii="Palatino Linotype" w:hAnsi="Palatino Linotype"/>
        </w:rPr>
        <w:t xml:space="preserve"> energy use data analytics and mapping tool to enable data access </w:t>
      </w:r>
      <w:r w:rsidRPr="00573A19" w:rsidR="008A70B5">
        <w:rPr>
          <w:rFonts w:ascii="Palatino Linotype" w:hAnsi="Palatino Linotype"/>
        </w:rPr>
        <w:t>for</w:t>
      </w:r>
      <w:r w:rsidRPr="00573A19" w:rsidR="003F03A0">
        <w:rPr>
          <w:rFonts w:ascii="Palatino Linotype" w:hAnsi="Palatino Linotype"/>
        </w:rPr>
        <w:t xml:space="preserve"> </w:t>
      </w:r>
      <w:r w:rsidRPr="00573A19" w:rsidR="006D6C94">
        <w:rPr>
          <w:rFonts w:ascii="Palatino Linotype" w:hAnsi="Palatino Linotype"/>
        </w:rPr>
        <w:t xml:space="preserve">the </w:t>
      </w:r>
      <w:r w:rsidRPr="00573A19" w:rsidR="003F03A0">
        <w:rPr>
          <w:rFonts w:ascii="Palatino Linotype" w:hAnsi="Palatino Linotype"/>
        </w:rPr>
        <w:t xml:space="preserve">public and local governments. The decision </w:t>
      </w:r>
      <w:r w:rsidRPr="00573A19" w:rsidR="00833016">
        <w:rPr>
          <w:rFonts w:ascii="Palatino Linotype" w:hAnsi="Palatino Linotype"/>
        </w:rPr>
        <w:t xml:space="preserve">directs the </w:t>
      </w:r>
      <w:r w:rsidRPr="00573A19" w:rsidR="003F03A0">
        <w:rPr>
          <w:rFonts w:ascii="Palatino Linotype" w:hAnsi="Palatino Linotype"/>
        </w:rPr>
        <w:t>IOUs to assign up to $2 million within their energy efficiency portfolio budgets to fund the tool.</w:t>
      </w:r>
      <w:r w:rsidRPr="00573A19" w:rsidR="003F03A0">
        <w:rPr>
          <w:rStyle w:val="FootnoteReference"/>
          <w:rFonts w:ascii="Palatino Linotype" w:hAnsi="Palatino Linotype"/>
        </w:rPr>
        <w:footnoteReference w:id="11"/>
      </w:r>
      <w:r w:rsidRPr="00573A19" w:rsidR="003F03A0">
        <w:rPr>
          <w:rFonts w:ascii="Palatino Linotype" w:hAnsi="Palatino Linotype"/>
        </w:rPr>
        <w:t xml:space="preserve"> </w:t>
      </w:r>
      <w:r w:rsidRPr="00573A19" w:rsidR="006D6C94">
        <w:rPr>
          <w:rFonts w:ascii="Palatino Linotype" w:hAnsi="Palatino Linotype"/>
        </w:rPr>
        <w:t>Multiple parties also mentioned in verbal comments at the workshop the complementary value of such a tool to the data requirements of this resolution.</w:t>
      </w:r>
    </w:p>
    <w:p w:rsidRPr="00573A19" w:rsidR="006D6C94" w:rsidP="000646B0" w:rsidRDefault="006D6C94" w14:paraId="681A0913" w14:textId="49DAFC29">
      <w:pPr>
        <w:rPr>
          <w:rFonts w:ascii="Palatino Linotype" w:hAnsi="Palatino Linotype"/>
        </w:rPr>
      </w:pPr>
    </w:p>
    <w:p w:rsidRPr="00573A19" w:rsidR="006D6C94" w:rsidP="000646B0" w:rsidRDefault="006D6C94" w14:paraId="660CE3D4" w14:textId="0C14ED75">
      <w:pPr>
        <w:rPr>
          <w:rFonts w:ascii="Palatino Linotype" w:hAnsi="Palatino Linotype"/>
        </w:rPr>
      </w:pPr>
      <w:r w:rsidRPr="00573A19">
        <w:rPr>
          <w:rFonts w:ascii="Palatino Linotype" w:hAnsi="Palatino Linotype"/>
        </w:rPr>
        <w:t xml:space="preserve">Staff acknowledges that the market characterization data envisioned to be collected through this resolution would benefit many other proceedings since all proceedings are aligned to statewide DER goals. </w:t>
      </w:r>
      <w:r w:rsidRPr="00573A19" w:rsidR="000708E7">
        <w:rPr>
          <w:rFonts w:ascii="Palatino Linotype" w:hAnsi="Palatino Linotype"/>
        </w:rPr>
        <w:t>Conversely, a</w:t>
      </w:r>
      <w:r w:rsidRPr="00573A19">
        <w:rPr>
          <w:rFonts w:ascii="Palatino Linotype" w:hAnsi="Palatino Linotype"/>
        </w:rPr>
        <w:t xml:space="preserve">s more </w:t>
      </w:r>
      <w:r w:rsidRPr="00573A19">
        <w:rPr>
          <w:rFonts w:ascii="Palatino Linotype" w:hAnsi="Palatino Linotype"/>
        </w:rPr>
        <w:lastRenderedPageBreak/>
        <w:t xml:space="preserve">sophisticated </w:t>
      </w:r>
      <w:r w:rsidRPr="00573A19" w:rsidR="00947589">
        <w:rPr>
          <w:rFonts w:ascii="Palatino Linotype" w:hAnsi="Palatino Linotype"/>
        </w:rPr>
        <w:t xml:space="preserve">energy data access </w:t>
      </w:r>
      <w:r w:rsidRPr="00573A19">
        <w:rPr>
          <w:rFonts w:ascii="Palatino Linotype" w:hAnsi="Palatino Linotype"/>
        </w:rPr>
        <w:t xml:space="preserve">tools, such as the one </w:t>
      </w:r>
      <w:r w:rsidRPr="00573A19" w:rsidR="00947589">
        <w:rPr>
          <w:rFonts w:ascii="Palatino Linotype" w:hAnsi="Palatino Linotype"/>
        </w:rPr>
        <w:t>required</w:t>
      </w:r>
      <w:r w:rsidRPr="00573A19">
        <w:rPr>
          <w:rFonts w:ascii="Palatino Linotype" w:hAnsi="Palatino Linotype"/>
        </w:rPr>
        <w:t xml:space="preserve"> by D.18-05-041 are developed, </w:t>
      </w:r>
      <w:r w:rsidRPr="00573A19" w:rsidR="00947589">
        <w:rPr>
          <w:rFonts w:ascii="Palatino Linotype" w:hAnsi="Palatino Linotype"/>
        </w:rPr>
        <w:t>IOUs can</w:t>
      </w:r>
      <w:r w:rsidRPr="00573A19">
        <w:rPr>
          <w:rFonts w:ascii="Palatino Linotype" w:hAnsi="Palatino Linotype"/>
        </w:rPr>
        <w:t xml:space="preserve"> streamline th</w:t>
      </w:r>
      <w:r w:rsidRPr="00573A19" w:rsidR="000708E7">
        <w:rPr>
          <w:rFonts w:ascii="Palatino Linotype" w:hAnsi="Palatino Linotype"/>
        </w:rPr>
        <w:t>is resolution’s</w:t>
      </w:r>
      <w:r w:rsidRPr="00573A19">
        <w:rPr>
          <w:rFonts w:ascii="Palatino Linotype" w:hAnsi="Palatino Linotype"/>
        </w:rPr>
        <w:t xml:space="preserve"> data submittal requirements through them.</w:t>
      </w:r>
    </w:p>
    <w:p w:rsidRPr="00573A19" w:rsidR="00D10A05" w:rsidP="000646B0" w:rsidRDefault="00D10A05" w14:paraId="2C3AFCBC" w14:textId="6DFE7B94">
      <w:pPr>
        <w:rPr>
          <w:rFonts w:ascii="Palatino Linotype" w:hAnsi="Palatino Linotype"/>
        </w:rPr>
      </w:pPr>
    </w:p>
    <w:p w:rsidRPr="00573A19" w:rsidR="00D10A05" w:rsidP="000646B0" w:rsidRDefault="00D10A05" w14:paraId="56D7E150" w14:textId="00E103D4">
      <w:pPr>
        <w:rPr>
          <w:rFonts w:ascii="Palatino Linotype" w:hAnsi="Palatino Linotype"/>
        </w:rPr>
      </w:pPr>
      <w:r w:rsidRPr="00573A19">
        <w:rPr>
          <w:rFonts w:ascii="Palatino Linotype" w:hAnsi="Palatino Linotype"/>
        </w:rPr>
        <w:t>Future energy data access tools currently under development in other proceedings may alleviate data reporting requirements of this resolution.</w:t>
      </w:r>
    </w:p>
    <w:p w:rsidRPr="00573A19" w:rsidR="006D6C94" w:rsidP="000646B0" w:rsidRDefault="006D6C94" w14:paraId="71089E10" w14:textId="6471350B">
      <w:pPr>
        <w:rPr>
          <w:rFonts w:ascii="Palatino Linotype" w:hAnsi="Palatino Linotype"/>
        </w:rPr>
      </w:pPr>
      <w:r w:rsidRPr="00573A19">
        <w:rPr>
          <w:rFonts w:ascii="Palatino Linotype" w:hAnsi="Palatino Linotype"/>
        </w:rPr>
        <w:t xml:space="preserve"> </w:t>
      </w:r>
    </w:p>
    <w:p w:rsidRPr="00573A19" w:rsidR="00FD464E" w:rsidP="00FD464E" w:rsidRDefault="00FD464E" w14:paraId="1401EC31" w14:textId="18485CA8">
      <w:pPr>
        <w:pStyle w:val="Heading2"/>
      </w:pPr>
      <w:r w:rsidRPr="00573A19">
        <w:t xml:space="preserve">Guidance for </w:t>
      </w:r>
      <w:r w:rsidRPr="00573A19" w:rsidR="00C47B97">
        <w:t xml:space="preserve">the </w:t>
      </w:r>
      <w:r w:rsidRPr="00573A19">
        <w:t xml:space="preserve">BUILD </w:t>
      </w:r>
      <w:r w:rsidRPr="00573A19" w:rsidR="00457956">
        <w:t xml:space="preserve">Program </w:t>
      </w:r>
      <w:r w:rsidRPr="00573A19">
        <w:t xml:space="preserve">and TECH </w:t>
      </w:r>
      <w:r w:rsidRPr="00573A19" w:rsidR="00457956">
        <w:t xml:space="preserve">Initiative </w:t>
      </w:r>
      <w:r w:rsidRPr="00573A19" w:rsidR="0034059E">
        <w:t>evaluator</w:t>
      </w:r>
    </w:p>
    <w:p w:rsidRPr="00573A19" w:rsidR="00FD464E" w:rsidP="00FD464E" w:rsidRDefault="00FD464E" w14:paraId="35EE30CB" w14:textId="535A96DA">
      <w:pPr>
        <w:pStyle w:val="Heading3"/>
        <w:numPr>
          <w:ilvl w:val="0"/>
          <w:numId w:val="18"/>
        </w:numPr>
        <w:rPr>
          <w:rFonts w:ascii="Palatino Linotype" w:hAnsi="Palatino Linotype"/>
        </w:rPr>
      </w:pPr>
      <w:r w:rsidRPr="00573A19">
        <w:rPr>
          <w:rFonts w:ascii="Palatino Linotype" w:hAnsi="Palatino Linotype"/>
        </w:rPr>
        <w:t>Program metrics should consider both 2030 and 2050 goals</w:t>
      </w:r>
    </w:p>
    <w:p w:rsidRPr="00573A19" w:rsidR="00D53224" w:rsidP="000D67FE" w:rsidRDefault="000D67FE" w14:paraId="532E092E" w14:textId="2E7C1EB8">
      <w:pPr>
        <w:rPr>
          <w:rFonts w:ascii="Palatino Linotype" w:hAnsi="Palatino Linotype"/>
        </w:rPr>
      </w:pPr>
      <w:r w:rsidRPr="00573A19">
        <w:rPr>
          <w:rFonts w:ascii="Palatino Linotype" w:hAnsi="Palatino Linotype"/>
        </w:rPr>
        <w:t>SCE</w:t>
      </w:r>
      <w:r w:rsidRPr="00573A19" w:rsidR="00D53224">
        <w:rPr>
          <w:rFonts w:ascii="Palatino Linotype" w:hAnsi="Palatino Linotype"/>
        </w:rPr>
        <w:t xml:space="preserve"> in its</w:t>
      </w:r>
      <w:r w:rsidRPr="00573A19">
        <w:rPr>
          <w:rFonts w:ascii="Palatino Linotype" w:hAnsi="Palatino Linotype"/>
        </w:rPr>
        <w:t xml:space="preserve"> comments outline</w:t>
      </w:r>
      <w:r w:rsidRPr="00573A19" w:rsidR="00D53224">
        <w:rPr>
          <w:rFonts w:ascii="Palatino Linotype" w:hAnsi="Palatino Linotype"/>
        </w:rPr>
        <w:t>s</w:t>
      </w:r>
      <w:r w:rsidRPr="00573A19">
        <w:rPr>
          <w:rFonts w:ascii="Palatino Linotype" w:hAnsi="Palatino Linotype"/>
        </w:rPr>
        <w:t xml:space="preserve"> many statutes, proceedings, decisions</w:t>
      </w:r>
      <w:r w:rsidRPr="00573A19" w:rsidR="00C47B97">
        <w:rPr>
          <w:rFonts w:ascii="Palatino Linotype" w:hAnsi="Palatino Linotype"/>
        </w:rPr>
        <w:t>,</w:t>
      </w:r>
      <w:r w:rsidRPr="00573A19">
        <w:rPr>
          <w:rFonts w:ascii="Palatino Linotype" w:hAnsi="Palatino Linotype"/>
        </w:rPr>
        <w:t xml:space="preserve"> and regulatory work, some even outside of CPUC</w:t>
      </w:r>
      <w:r w:rsidRPr="00573A19" w:rsidR="00AC6161">
        <w:rPr>
          <w:rFonts w:ascii="Palatino Linotype" w:hAnsi="Palatino Linotype"/>
        </w:rPr>
        <w:t>,</w:t>
      </w:r>
      <w:r w:rsidRPr="00573A19">
        <w:rPr>
          <w:rFonts w:ascii="Palatino Linotype" w:hAnsi="Palatino Linotype"/>
        </w:rPr>
        <w:t xml:space="preserve"> that currently shape </w:t>
      </w:r>
      <w:r w:rsidRPr="00573A19" w:rsidR="00D53224">
        <w:rPr>
          <w:rFonts w:ascii="Palatino Linotype" w:hAnsi="Palatino Linotype"/>
        </w:rPr>
        <w:t xml:space="preserve">California’s </w:t>
      </w:r>
      <w:r w:rsidRPr="00573A19" w:rsidR="00AC6161">
        <w:rPr>
          <w:rFonts w:ascii="Palatino Linotype" w:hAnsi="Palatino Linotype"/>
        </w:rPr>
        <w:t xml:space="preserve">building </w:t>
      </w:r>
      <w:r w:rsidRPr="00573A19">
        <w:rPr>
          <w:rFonts w:ascii="Palatino Linotype" w:hAnsi="Palatino Linotype"/>
        </w:rPr>
        <w:t xml:space="preserve">decarbonization </w:t>
      </w:r>
      <w:r w:rsidRPr="00573A19" w:rsidR="00D53224">
        <w:rPr>
          <w:rFonts w:ascii="Palatino Linotype" w:hAnsi="Palatino Linotype"/>
        </w:rPr>
        <w:t>policies</w:t>
      </w:r>
      <w:r w:rsidRPr="00573A19">
        <w:rPr>
          <w:rFonts w:ascii="Palatino Linotype" w:hAnsi="Palatino Linotype"/>
        </w:rPr>
        <w:t xml:space="preserve">. Each </w:t>
      </w:r>
      <w:r w:rsidRPr="00573A19" w:rsidR="00D53224">
        <w:rPr>
          <w:rFonts w:ascii="Palatino Linotype" w:hAnsi="Palatino Linotype"/>
        </w:rPr>
        <w:t>of these</w:t>
      </w:r>
      <w:r w:rsidRPr="00573A19">
        <w:rPr>
          <w:rFonts w:ascii="Palatino Linotype" w:hAnsi="Palatino Linotype"/>
        </w:rPr>
        <w:t xml:space="preserve"> is informed by data in some form, and we acknowledge that there are many overlaps in terms of required data</w:t>
      </w:r>
      <w:r w:rsidRPr="00573A19" w:rsidR="00D53224">
        <w:rPr>
          <w:rFonts w:ascii="Palatino Linotype" w:hAnsi="Palatino Linotype"/>
        </w:rPr>
        <w:t xml:space="preserve"> and </w:t>
      </w:r>
      <w:r w:rsidRPr="00573A19" w:rsidR="00C92D67">
        <w:rPr>
          <w:rFonts w:ascii="Palatino Linotype" w:hAnsi="Palatino Linotype"/>
        </w:rPr>
        <w:t xml:space="preserve">that </w:t>
      </w:r>
      <w:r w:rsidRPr="00573A19" w:rsidR="00D53224">
        <w:rPr>
          <w:rFonts w:ascii="Palatino Linotype" w:hAnsi="Palatino Linotype"/>
        </w:rPr>
        <w:t xml:space="preserve">some of it is not necessarily collected by </w:t>
      </w:r>
      <w:r w:rsidRPr="00573A19" w:rsidR="00C92D67">
        <w:rPr>
          <w:rFonts w:ascii="Palatino Linotype" w:hAnsi="Palatino Linotype"/>
        </w:rPr>
        <w:t xml:space="preserve">the </w:t>
      </w:r>
      <w:r w:rsidRPr="00573A19" w:rsidR="00D53224">
        <w:rPr>
          <w:rFonts w:ascii="Palatino Linotype" w:hAnsi="Palatino Linotype"/>
        </w:rPr>
        <w:t>IOUs, which is the focus of this resolution.</w:t>
      </w:r>
    </w:p>
    <w:p w:rsidRPr="00573A19" w:rsidR="00D53224" w:rsidP="000D67FE" w:rsidRDefault="00D53224" w14:paraId="62CA8434" w14:textId="77777777">
      <w:pPr>
        <w:rPr>
          <w:rFonts w:ascii="Palatino Linotype" w:hAnsi="Palatino Linotype"/>
        </w:rPr>
      </w:pPr>
    </w:p>
    <w:p w:rsidRPr="00573A19" w:rsidR="00D53224" w:rsidP="000D67FE" w:rsidRDefault="000D67FE" w14:paraId="12D9832B" w14:textId="6458A75F">
      <w:pPr>
        <w:rPr>
          <w:rFonts w:ascii="Palatino Linotype" w:hAnsi="Palatino Linotype"/>
        </w:rPr>
      </w:pPr>
      <w:r w:rsidRPr="00573A19">
        <w:rPr>
          <w:rFonts w:ascii="Palatino Linotype" w:hAnsi="Palatino Linotype"/>
        </w:rPr>
        <w:t xml:space="preserve">SCE </w:t>
      </w:r>
      <w:r w:rsidRPr="00573A19" w:rsidR="00D53224">
        <w:rPr>
          <w:rFonts w:ascii="Palatino Linotype" w:hAnsi="Palatino Linotype"/>
        </w:rPr>
        <w:t>recommends</w:t>
      </w:r>
      <w:r w:rsidRPr="00573A19">
        <w:rPr>
          <w:rFonts w:ascii="Palatino Linotype" w:hAnsi="Palatino Linotype"/>
        </w:rPr>
        <w:t xml:space="preserve"> that any data metrics for building decarbonization </w:t>
      </w:r>
      <w:r w:rsidRPr="00573A19" w:rsidR="00E26AB9">
        <w:rPr>
          <w:rFonts w:ascii="Palatino Linotype" w:hAnsi="Palatino Linotype"/>
        </w:rPr>
        <w:t>keep both 2030 and 2050 targets in mind</w:t>
      </w:r>
      <w:r w:rsidRPr="00573A19" w:rsidR="00D53224">
        <w:rPr>
          <w:rFonts w:ascii="Palatino Linotype" w:hAnsi="Palatino Linotype"/>
        </w:rPr>
        <w:t>, specifically while assessing system costs</w:t>
      </w:r>
      <w:r w:rsidRPr="00573A19" w:rsidR="00E26AB9">
        <w:rPr>
          <w:rFonts w:ascii="Palatino Linotype" w:hAnsi="Palatino Linotype"/>
        </w:rPr>
        <w:t xml:space="preserve">. While some of the ‘least-cost’ </w:t>
      </w:r>
      <w:r w:rsidRPr="00573A19" w:rsidR="00630016">
        <w:rPr>
          <w:rFonts w:ascii="Palatino Linotype" w:hAnsi="Palatino Linotype"/>
        </w:rPr>
        <w:t xml:space="preserve">system </w:t>
      </w:r>
      <w:r w:rsidRPr="00573A19" w:rsidR="00E26AB9">
        <w:rPr>
          <w:rFonts w:ascii="Palatino Linotype" w:hAnsi="Palatino Linotype"/>
        </w:rPr>
        <w:t xml:space="preserve">analysis will be outside the scope of this proceeding, we </w:t>
      </w:r>
      <w:r w:rsidRPr="00573A19" w:rsidR="00630016">
        <w:rPr>
          <w:rFonts w:ascii="Palatino Linotype" w:hAnsi="Palatino Linotype"/>
        </w:rPr>
        <w:t>recommend that the program evaluator</w:t>
      </w:r>
      <w:r w:rsidRPr="00573A19" w:rsidR="00B13982">
        <w:rPr>
          <w:rFonts w:ascii="Palatino Linotype" w:hAnsi="Palatino Linotype"/>
        </w:rPr>
        <w:t xml:space="preserve"> </w:t>
      </w:r>
      <w:r w:rsidRPr="00573A19" w:rsidR="007D5284">
        <w:rPr>
          <w:rFonts w:ascii="Palatino Linotype" w:hAnsi="Palatino Linotype"/>
        </w:rPr>
        <w:t>who</w:t>
      </w:r>
      <w:r w:rsidRPr="00573A19" w:rsidR="00B13982">
        <w:rPr>
          <w:rFonts w:ascii="Palatino Linotype" w:hAnsi="Palatino Linotype"/>
        </w:rPr>
        <w:t xml:space="preserve"> will be evaluating both the BUID Program and the TECH Initiative pursuant to the requirements outlined in D.20-03-027</w:t>
      </w:r>
      <w:r w:rsidRPr="00573A19" w:rsidR="00630016">
        <w:rPr>
          <w:rFonts w:ascii="Palatino Linotype" w:hAnsi="Palatino Linotype"/>
        </w:rPr>
        <w:t xml:space="preserve"> consider short</w:t>
      </w:r>
      <w:r w:rsidRPr="00573A19" w:rsidR="00AC7A69">
        <w:rPr>
          <w:rFonts w:ascii="Palatino Linotype" w:hAnsi="Palatino Linotype"/>
        </w:rPr>
        <w:t>-</w:t>
      </w:r>
      <w:r w:rsidRPr="00573A19" w:rsidR="00630016">
        <w:rPr>
          <w:rFonts w:ascii="Palatino Linotype" w:hAnsi="Palatino Linotype"/>
        </w:rPr>
        <w:t>, mid</w:t>
      </w:r>
      <w:r w:rsidRPr="00573A19" w:rsidR="00AC7A69">
        <w:rPr>
          <w:rFonts w:ascii="Palatino Linotype" w:hAnsi="Palatino Linotype"/>
        </w:rPr>
        <w:t>-,</w:t>
      </w:r>
      <w:r w:rsidRPr="00573A19" w:rsidR="00630016">
        <w:rPr>
          <w:rFonts w:ascii="Palatino Linotype" w:hAnsi="Palatino Linotype"/>
        </w:rPr>
        <w:t xml:space="preserve"> and long-term </w:t>
      </w:r>
      <w:r w:rsidRPr="00573A19" w:rsidR="006F064A">
        <w:rPr>
          <w:rFonts w:ascii="Palatino Linotype" w:hAnsi="Palatino Linotype"/>
        </w:rPr>
        <w:t xml:space="preserve">building decarbonization </w:t>
      </w:r>
      <w:r w:rsidRPr="00573A19" w:rsidR="00630016">
        <w:rPr>
          <w:rFonts w:ascii="Palatino Linotype" w:hAnsi="Palatino Linotype"/>
        </w:rPr>
        <w:t>goals for setting program metrics.</w:t>
      </w:r>
    </w:p>
    <w:p w:rsidRPr="00573A19" w:rsidR="00FD464E" w:rsidP="000D67FE" w:rsidRDefault="00DE4B04" w14:paraId="555A080E" w14:textId="5BA638AF">
      <w:pPr>
        <w:rPr>
          <w:rFonts w:ascii="Palatino Linotype" w:hAnsi="Palatino Linotype"/>
        </w:rPr>
      </w:pPr>
      <w:r w:rsidRPr="00573A19">
        <w:rPr>
          <w:rFonts w:ascii="Palatino Linotype" w:hAnsi="Palatino Linotype"/>
        </w:rPr>
        <w:t xml:space="preserve"> </w:t>
      </w:r>
    </w:p>
    <w:p w:rsidRPr="00573A19" w:rsidR="00630016" w:rsidP="000D67FE" w:rsidRDefault="0034059E" w14:paraId="21D2ED2B" w14:textId="7A0F609F">
      <w:pPr>
        <w:rPr>
          <w:rFonts w:ascii="Palatino Linotype" w:hAnsi="Palatino Linotype"/>
        </w:rPr>
      </w:pPr>
      <w:r w:rsidRPr="00573A19">
        <w:rPr>
          <w:rFonts w:ascii="Palatino Linotype" w:hAnsi="Palatino Linotype"/>
        </w:rPr>
        <w:t xml:space="preserve">The </w:t>
      </w:r>
      <w:r w:rsidRPr="00573A19" w:rsidR="00B13982">
        <w:rPr>
          <w:rFonts w:ascii="Palatino Linotype" w:hAnsi="Palatino Linotype"/>
        </w:rPr>
        <w:t>program</w:t>
      </w:r>
      <w:r w:rsidRPr="00573A19">
        <w:rPr>
          <w:rFonts w:ascii="Palatino Linotype" w:hAnsi="Palatino Linotype"/>
        </w:rPr>
        <w:t xml:space="preserve"> </w:t>
      </w:r>
      <w:r w:rsidRPr="00573A19" w:rsidR="00630016">
        <w:rPr>
          <w:rFonts w:ascii="Palatino Linotype" w:hAnsi="Palatino Linotype"/>
        </w:rPr>
        <w:t>evaluator sh</w:t>
      </w:r>
      <w:r w:rsidRPr="00573A19" w:rsidR="00FE3579">
        <w:rPr>
          <w:rFonts w:ascii="Palatino Linotype" w:hAnsi="Palatino Linotype"/>
        </w:rPr>
        <w:t>ould</w:t>
      </w:r>
      <w:r w:rsidRPr="00573A19" w:rsidR="00630016">
        <w:rPr>
          <w:rFonts w:ascii="Palatino Linotype" w:hAnsi="Palatino Linotype"/>
        </w:rPr>
        <w:t xml:space="preserve"> consider </w:t>
      </w:r>
      <w:r w:rsidRPr="00573A19" w:rsidR="00DE4B04">
        <w:rPr>
          <w:rFonts w:ascii="Palatino Linotype" w:hAnsi="Palatino Linotype"/>
        </w:rPr>
        <w:t xml:space="preserve">statewide </w:t>
      </w:r>
      <w:r w:rsidRPr="00573A19" w:rsidR="00630016">
        <w:rPr>
          <w:rFonts w:ascii="Palatino Linotype" w:hAnsi="Palatino Linotype"/>
        </w:rPr>
        <w:t>short</w:t>
      </w:r>
      <w:r w:rsidRPr="00573A19">
        <w:rPr>
          <w:rFonts w:ascii="Palatino Linotype" w:hAnsi="Palatino Linotype"/>
        </w:rPr>
        <w:t>-</w:t>
      </w:r>
      <w:r w:rsidRPr="00573A19" w:rsidR="00630016">
        <w:rPr>
          <w:rFonts w:ascii="Palatino Linotype" w:hAnsi="Palatino Linotype"/>
        </w:rPr>
        <w:t>, mid</w:t>
      </w:r>
      <w:r w:rsidRPr="00573A19">
        <w:rPr>
          <w:rFonts w:ascii="Palatino Linotype" w:hAnsi="Palatino Linotype"/>
        </w:rPr>
        <w:t>-,</w:t>
      </w:r>
      <w:r w:rsidRPr="00573A19" w:rsidR="00630016">
        <w:rPr>
          <w:rFonts w:ascii="Palatino Linotype" w:hAnsi="Palatino Linotype"/>
        </w:rPr>
        <w:t xml:space="preserve"> and long-term </w:t>
      </w:r>
      <w:r w:rsidRPr="00573A19">
        <w:rPr>
          <w:rFonts w:ascii="Palatino Linotype" w:hAnsi="Palatino Linotype"/>
        </w:rPr>
        <w:t xml:space="preserve">building </w:t>
      </w:r>
      <w:r w:rsidRPr="00573A19" w:rsidR="00DE4B04">
        <w:rPr>
          <w:rFonts w:ascii="Palatino Linotype" w:hAnsi="Palatino Linotype"/>
        </w:rPr>
        <w:t xml:space="preserve">decarbonization </w:t>
      </w:r>
      <w:r w:rsidRPr="00573A19" w:rsidR="00630016">
        <w:rPr>
          <w:rFonts w:ascii="Palatino Linotype" w:hAnsi="Palatino Linotype"/>
        </w:rPr>
        <w:t>goals for setting program metrics.</w:t>
      </w:r>
    </w:p>
    <w:p w:rsidRPr="00573A19" w:rsidR="00DE4B04" w:rsidP="000D67FE" w:rsidRDefault="00DE4B04" w14:paraId="105F9F64" w14:textId="77777777">
      <w:pPr>
        <w:rPr>
          <w:rFonts w:ascii="Palatino Linotype" w:hAnsi="Palatino Linotype"/>
          <w:u w:val="single"/>
        </w:rPr>
      </w:pPr>
    </w:p>
    <w:p w:rsidRPr="00573A19" w:rsidR="00DE4B04" w:rsidP="00DE4B04" w:rsidRDefault="00DE4B04" w14:paraId="03FBE0C8" w14:textId="2B682BCC">
      <w:pPr>
        <w:pStyle w:val="Heading3"/>
        <w:numPr>
          <w:ilvl w:val="0"/>
          <w:numId w:val="18"/>
        </w:numPr>
        <w:rPr>
          <w:rFonts w:ascii="Palatino Linotype" w:hAnsi="Palatino Linotype"/>
        </w:rPr>
      </w:pPr>
      <w:r w:rsidRPr="00573A19">
        <w:rPr>
          <w:rFonts w:ascii="Palatino Linotype" w:hAnsi="Palatino Linotype"/>
        </w:rPr>
        <w:t>Data on barriers to electrification, customer health and safety</w:t>
      </w:r>
      <w:r w:rsidRPr="00573A19" w:rsidR="006F064A">
        <w:rPr>
          <w:rFonts w:ascii="Palatino Linotype" w:hAnsi="Palatino Linotype"/>
        </w:rPr>
        <w:t>,</w:t>
      </w:r>
      <w:r w:rsidRPr="00573A19">
        <w:rPr>
          <w:rFonts w:ascii="Palatino Linotype" w:hAnsi="Palatino Linotype"/>
        </w:rPr>
        <w:t xml:space="preserve"> and community resilience</w:t>
      </w:r>
    </w:p>
    <w:p w:rsidRPr="00573A19" w:rsidR="00DE4B04" w:rsidP="00DE4B04" w:rsidRDefault="001977FD" w14:paraId="086C060E" w14:textId="42F6175D">
      <w:pPr>
        <w:rPr>
          <w:rFonts w:ascii="Palatino Linotype" w:hAnsi="Palatino Linotype"/>
        </w:rPr>
      </w:pPr>
      <w:r w:rsidRPr="00573A19">
        <w:rPr>
          <w:rFonts w:ascii="Palatino Linotype" w:hAnsi="Palatino Linotype"/>
        </w:rPr>
        <w:t>T</w:t>
      </w:r>
      <w:r w:rsidRPr="00573A19" w:rsidR="00DE4B04">
        <w:rPr>
          <w:rFonts w:ascii="Palatino Linotype" w:hAnsi="Palatino Linotype"/>
        </w:rPr>
        <w:t xml:space="preserve">he Joint Environmentals </w:t>
      </w:r>
      <w:r w:rsidRPr="00573A19">
        <w:rPr>
          <w:rFonts w:ascii="Palatino Linotype" w:hAnsi="Palatino Linotype"/>
        </w:rPr>
        <w:t xml:space="preserve">emphasize </w:t>
      </w:r>
      <w:r w:rsidRPr="00573A19" w:rsidR="00DE4B04">
        <w:rPr>
          <w:rFonts w:ascii="Palatino Linotype" w:hAnsi="Palatino Linotype"/>
        </w:rPr>
        <w:t>equity considerations</w:t>
      </w:r>
      <w:r w:rsidRPr="00573A19">
        <w:rPr>
          <w:rFonts w:ascii="Palatino Linotype" w:hAnsi="Palatino Linotype"/>
        </w:rPr>
        <w:t>,</w:t>
      </w:r>
      <w:r w:rsidRPr="00573A19" w:rsidR="00DE4B04">
        <w:rPr>
          <w:rFonts w:ascii="Palatino Linotype" w:hAnsi="Palatino Linotype"/>
        </w:rPr>
        <w:t xml:space="preserve"> including language barriers, customer health and safety</w:t>
      </w:r>
      <w:r w:rsidRPr="00573A19">
        <w:rPr>
          <w:rFonts w:ascii="Palatino Linotype" w:hAnsi="Palatino Linotype"/>
        </w:rPr>
        <w:t>,</w:t>
      </w:r>
      <w:r w:rsidRPr="00573A19" w:rsidR="00DE4B04">
        <w:rPr>
          <w:rFonts w:ascii="Palatino Linotype" w:hAnsi="Palatino Linotype"/>
        </w:rPr>
        <w:t xml:space="preserve"> and community resilience for program planning and assessment. </w:t>
      </w:r>
      <w:r w:rsidRPr="00573A19" w:rsidR="005B5471">
        <w:rPr>
          <w:rFonts w:ascii="Palatino Linotype" w:hAnsi="Palatino Linotype"/>
        </w:rPr>
        <w:t xml:space="preserve">Program </w:t>
      </w:r>
      <w:r w:rsidRPr="00573A19" w:rsidR="00DE4B04">
        <w:rPr>
          <w:rFonts w:ascii="Palatino Linotype" w:hAnsi="Palatino Linotype"/>
        </w:rPr>
        <w:t xml:space="preserve">metrics would be developed by the </w:t>
      </w:r>
      <w:r w:rsidRPr="00573A19" w:rsidR="00A879A1">
        <w:rPr>
          <w:rFonts w:ascii="Palatino Linotype" w:hAnsi="Palatino Linotype"/>
        </w:rPr>
        <w:t xml:space="preserve">BUILD and TECH </w:t>
      </w:r>
      <w:r w:rsidRPr="00573A19" w:rsidR="00DE4B04">
        <w:rPr>
          <w:rFonts w:ascii="Palatino Linotype" w:hAnsi="Palatino Linotype"/>
        </w:rPr>
        <w:t xml:space="preserve">program evaluator. Once the program evaluator is on board, </w:t>
      </w:r>
      <w:r w:rsidRPr="00573A19" w:rsidR="00B8077F">
        <w:rPr>
          <w:rFonts w:ascii="Palatino Linotype" w:hAnsi="Palatino Linotype"/>
        </w:rPr>
        <w:t xml:space="preserve">Energy Division </w:t>
      </w:r>
      <w:r w:rsidRPr="00573A19" w:rsidR="00DE4B04">
        <w:rPr>
          <w:rFonts w:ascii="Palatino Linotype" w:hAnsi="Palatino Linotype"/>
        </w:rPr>
        <w:t xml:space="preserve">staff can issue data requests to </w:t>
      </w:r>
      <w:r w:rsidRPr="00573A19" w:rsidR="002C7B97">
        <w:rPr>
          <w:rFonts w:ascii="Palatino Linotype" w:hAnsi="Palatino Linotype"/>
        </w:rPr>
        <w:t>develop and evaluate these</w:t>
      </w:r>
      <w:r w:rsidRPr="00573A19" w:rsidR="00DE4B04">
        <w:rPr>
          <w:rFonts w:ascii="Palatino Linotype" w:hAnsi="Palatino Linotype"/>
        </w:rPr>
        <w:t xml:space="preserve"> metrics. The </w:t>
      </w:r>
      <w:r w:rsidRPr="00573A19" w:rsidR="00DE4B04">
        <w:rPr>
          <w:rFonts w:ascii="Palatino Linotype" w:hAnsi="Palatino Linotype"/>
        </w:rPr>
        <w:lastRenderedPageBreak/>
        <w:t xml:space="preserve">process of shaping those metrics is not </w:t>
      </w:r>
      <w:r w:rsidRPr="00573A19" w:rsidR="00143037">
        <w:rPr>
          <w:rFonts w:ascii="Palatino Linotype" w:hAnsi="Palatino Linotype"/>
        </w:rPr>
        <w:t>part of</w:t>
      </w:r>
      <w:r w:rsidRPr="00573A19" w:rsidR="00DE4B04">
        <w:rPr>
          <w:rFonts w:ascii="Palatino Linotype" w:hAnsi="Palatino Linotype"/>
        </w:rPr>
        <w:t xml:space="preserve"> this resolution</w:t>
      </w:r>
      <w:r w:rsidRPr="00573A19" w:rsidR="00B84FC1">
        <w:rPr>
          <w:rFonts w:ascii="Palatino Linotype" w:hAnsi="Palatino Linotype"/>
        </w:rPr>
        <w:t xml:space="preserve"> and will be led by the evaluator</w:t>
      </w:r>
      <w:r w:rsidRPr="00573A19" w:rsidR="00DE4B04">
        <w:rPr>
          <w:rFonts w:ascii="Palatino Linotype" w:hAnsi="Palatino Linotype"/>
        </w:rPr>
        <w:t xml:space="preserve">. However, we identify certain related data (such </w:t>
      </w:r>
      <w:r w:rsidRPr="00573A19" w:rsidR="00143037">
        <w:rPr>
          <w:rFonts w:ascii="Palatino Linotype" w:hAnsi="Palatino Linotype"/>
        </w:rPr>
        <w:t xml:space="preserve">as </w:t>
      </w:r>
      <w:r w:rsidRPr="00573A19" w:rsidR="00DE4B04">
        <w:rPr>
          <w:rFonts w:ascii="Palatino Linotype" w:hAnsi="Palatino Linotype"/>
        </w:rPr>
        <w:t xml:space="preserve">number of reported gas leaks by customer class, by climate zone) to </w:t>
      </w:r>
      <w:r w:rsidRPr="00573A19" w:rsidR="00B84FC1">
        <w:rPr>
          <w:rFonts w:ascii="Palatino Linotype" w:hAnsi="Palatino Linotype"/>
        </w:rPr>
        <w:t>provide</w:t>
      </w:r>
      <w:r w:rsidRPr="00573A19" w:rsidR="00107149">
        <w:rPr>
          <w:rFonts w:ascii="Palatino Linotype" w:hAnsi="Palatino Linotype"/>
        </w:rPr>
        <w:t xml:space="preserve"> some initial data </w:t>
      </w:r>
      <w:r w:rsidRPr="00573A19" w:rsidR="00B84FC1">
        <w:rPr>
          <w:rFonts w:ascii="Palatino Linotype" w:hAnsi="Palatino Linotype"/>
        </w:rPr>
        <w:t xml:space="preserve">to stakeholders </w:t>
      </w:r>
      <w:r w:rsidRPr="00573A19" w:rsidR="002F4876">
        <w:rPr>
          <w:rFonts w:ascii="Palatino Linotype" w:hAnsi="Palatino Linotype"/>
        </w:rPr>
        <w:t xml:space="preserve">and enable deeper inquiries into the co-relation between </w:t>
      </w:r>
      <w:r w:rsidRPr="00573A19" w:rsidR="00D51040">
        <w:rPr>
          <w:rFonts w:ascii="Palatino Linotype" w:hAnsi="Palatino Linotype"/>
        </w:rPr>
        <w:t>electrification, customer health and safety, and community resilience.</w:t>
      </w:r>
      <w:r w:rsidRPr="00573A19" w:rsidR="00927006">
        <w:rPr>
          <w:rFonts w:ascii="Palatino Linotype" w:hAnsi="Palatino Linotype"/>
        </w:rPr>
        <w:t xml:space="preserve"> </w:t>
      </w:r>
      <w:r w:rsidRPr="00573A19" w:rsidR="00597F67">
        <w:rPr>
          <w:rFonts w:ascii="Palatino Linotype" w:hAnsi="Palatino Linotype"/>
        </w:rPr>
        <w:t xml:space="preserve"> </w:t>
      </w:r>
    </w:p>
    <w:p w:rsidRPr="00573A19" w:rsidR="007F1B4E" w:rsidP="00DE4B04" w:rsidRDefault="007F1B4E" w14:paraId="09A096A5" w14:textId="70BFECC3">
      <w:pPr>
        <w:rPr>
          <w:rFonts w:ascii="Palatino Linotype" w:hAnsi="Palatino Linotype"/>
        </w:rPr>
      </w:pPr>
    </w:p>
    <w:p w:rsidRPr="00573A19" w:rsidR="007F1B4E" w:rsidP="00DE4B04" w:rsidRDefault="007F1B4E" w14:paraId="0DEAF738" w14:textId="178658CE">
      <w:pPr>
        <w:rPr>
          <w:rFonts w:ascii="Palatino Linotype" w:hAnsi="Palatino Linotype"/>
        </w:rPr>
      </w:pPr>
      <w:r w:rsidRPr="00573A19">
        <w:rPr>
          <w:rFonts w:ascii="Palatino Linotype" w:hAnsi="Palatino Linotype"/>
        </w:rPr>
        <w:t>We request stakeholders to identify specific data fields related to electrification barriers, customer health and safety</w:t>
      </w:r>
      <w:r w:rsidRPr="00573A19" w:rsidR="00F7146D">
        <w:rPr>
          <w:rFonts w:ascii="Palatino Linotype" w:hAnsi="Palatino Linotype"/>
        </w:rPr>
        <w:t>,</w:t>
      </w:r>
      <w:r w:rsidRPr="00573A19">
        <w:rPr>
          <w:rFonts w:ascii="Palatino Linotype" w:hAnsi="Palatino Linotype"/>
        </w:rPr>
        <w:t xml:space="preserve"> and community resilience that they believe </w:t>
      </w:r>
      <w:r w:rsidRPr="00573A19" w:rsidR="00F7146D">
        <w:rPr>
          <w:rFonts w:ascii="Palatino Linotype" w:hAnsi="Palatino Linotype"/>
        </w:rPr>
        <w:t xml:space="preserve">are </w:t>
      </w:r>
      <w:r w:rsidRPr="00573A19">
        <w:rPr>
          <w:rFonts w:ascii="Palatino Linotype" w:hAnsi="Palatino Linotype"/>
        </w:rPr>
        <w:t xml:space="preserve">available </w:t>
      </w:r>
      <w:r w:rsidRPr="00573A19" w:rsidR="00F7146D">
        <w:rPr>
          <w:rFonts w:ascii="Palatino Linotype" w:hAnsi="Palatino Linotype"/>
        </w:rPr>
        <w:t xml:space="preserve">from the </w:t>
      </w:r>
      <w:r w:rsidRPr="00573A19">
        <w:rPr>
          <w:rFonts w:ascii="Palatino Linotype" w:hAnsi="Palatino Linotype"/>
        </w:rPr>
        <w:t xml:space="preserve">IOUs. </w:t>
      </w:r>
      <w:r w:rsidRPr="00573A19" w:rsidR="00A87865">
        <w:rPr>
          <w:rFonts w:ascii="Palatino Linotype" w:hAnsi="Palatino Linotype"/>
        </w:rPr>
        <w:t xml:space="preserve">Energy Division staff </w:t>
      </w:r>
      <w:r w:rsidRPr="00573A19">
        <w:rPr>
          <w:rFonts w:ascii="Palatino Linotype" w:hAnsi="Palatino Linotype"/>
        </w:rPr>
        <w:t>will revise the requirements based on comments received.</w:t>
      </w:r>
    </w:p>
    <w:p w:rsidRPr="00573A19" w:rsidR="00DE4B04" w:rsidP="000D67FE" w:rsidRDefault="00DE4B04" w14:paraId="57DF6276" w14:textId="699FE68A">
      <w:pPr>
        <w:rPr>
          <w:rFonts w:ascii="Palatino Linotype" w:hAnsi="Palatino Linotype"/>
          <w:u w:val="single"/>
        </w:rPr>
      </w:pPr>
    </w:p>
    <w:p w:rsidRPr="00573A19" w:rsidR="00DC62DA" w:rsidP="00DC62DA" w:rsidRDefault="00DC62DA" w14:paraId="6C6E2299" w14:textId="18A5FB40">
      <w:pPr>
        <w:pStyle w:val="Heading2"/>
      </w:pPr>
      <w:r w:rsidRPr="00573A19">
        <w:t>Data Requirements for IOUs</w:t>
      </w:r>
    </w:p>
    <w:p w:rsidRPr="00573A19" w:rsidR="00E465F9" w:rsidP="00E465F9" w:rsidRDefault="00E465F9" w14:paraId="12D611DA" w14:textId="23049B00">
      <w:pPr>
        <w:pStyle w:val="Heading3"/>
        <w:numPr>
          <w:ilvl w:val="0"/>
          <w:numId w:val="27"/>
        </w:numPr>
        <w:rPr>
          <w:rFonts w:ascii="Palatino Linotype" w:hAnsi="Palatino Linotype"/>
        </w:rPr>
      </w:pPr>
      <w:r w:rsidRPr="00573A19">
        <w:rPr>
          <w:rFonts w:ascii="Palatino Linotype" w:hAnsi="Palatino Linotype"/>
        </w:rPr>
        <w:t>Non-confidential Data</w:t>
      </w:r>
    </w:p>
    <w:p w:rsidRPr="00573A19" w:rsidR="00D25F26" w:rsidP="00DC62DA" w:rsidRDefault="00D25F26" w14:paraId="079608D6" w14:textId="3D155203">
      <w:pPr>
        <w:rPr>
          <w:rFonts w:ascii="Palatino Linotype" w:hAnsi="Palatino Linotype"/>
        </w:rPr>
      </w:pPr>
      <w:r w:rsidRPr="00573A19">
        <w:rPr>
          <w:rFonts w:ascii="Palatino Linotype" w:hAnsi="Palatino Linotype"/>
        </w:rPr>
        <w:t>Energy Division staff compiled a matrix of data requirements</w:t>
      </w:r>
      <w:r w:rsidRPr="00573A19" w:rsidR="0045740E">
        <w:rPr>
          <w:rFonts w:ascii="Palatino Linotype" w:hAnsi="Palatino Linotype"/>
        </w:rPr>
        <w:t xml:space="preserve"> (Appendix A)</w:t>
      </w:r>
      <w:r w:rsidRPr="00573A19">
        <w:rPr>
          <w:rFonts w:ascii="Palatino Linotype" w:hAnsi="Palatino Linotype"/>
        </w:rPr>
        <w:t xml:space="preserve"> derived from</w:t>
      </w:r>
      <w:r w:rsidRPr="00573A19" w:rsidR="00C14DE3">
        <w:rPr>
          <w:rFonts w:ascii="Palatino Linotype" w:hAnsi="Palatino Linotype"/>
        </w:rPr>
        <w:t xml:space="preserve"> </w:t>
      </w:r>
      <w:r w:rsidRPr="00573A19">
        <w:rPr>
          <w:rFonts w:ascii="Palatino Linotype" w:hAnsi="Palatino Linotype"/>
        </w:rPr>
        <w:t xml:space="preserve">prior staff data </w:t>
      </w:r>
      <w:r w:rsidRPr="00573A19" w:rsidR="00694511">
        <w:rPr>
          <w:rFonts w:ascii="Palatino Linotype" w:hAnsi="Palatino Linotype"/>
        </w:rPr>
        <w:t>requests</w:t>
      </w:r>
      <w:r w:rsidRPr="00573A19">
        <w:rPr>
          <w:rFonts w:ascii="Palatino Linotype" w:hAnsi="Palatino Linotype"/>
        </w:rPr>
        <w:t xml:space="preserve"> </w:t>
      </w:r>
      <w:r w:rsidRPr="00573A19" w:rsidR="00694511">
        <w:rPr>
          <w:rFonts w:ascii="Palatino Linotype" w:hAnsi="Palatino Linotype"/>
        </w:rPr>
        <w:t>sent</w:t>
      </w:r>
      <w:r w:rsidRPr="00573A19" w:rsidR="00C14DE3">
        <w:rPr>
          <w:rFonts w:ascii="Palatino Linotype" w:hAnsi="Palatino Linotype"/>
        </w:rPr>
        <w:t xml:space="preserve"> to </w:t>
      </w:r>
      <w:r w:rsidRPr="00573A19" w:rsidR="007816F6">
        <w:rPr>
          <w:rFonts w:ascii="Palatino Linotype" w:hAnsi="Palatino Linotype"/>
        </w:rPr>
        <w:t xml:space="preserve">the </w:t>
      </w:r>
      <w:r w:rsidRPr="00573A19" w:rsidR="00C14DE3">
        <w:rPr>
          <w:rFonts w:ascii="Palatino Linotype" w:hAnsi="Palatino Linotype"/>
        </w:rPr>
        <w:t>IOUs</w:t>
      </w:r>
      <w:r w:rsidRPr="00573A19" w:rsidR="00694511">
        <w:rPr>
          <w:rFonts w:ascii="Palatino Linotype" w:hAnsi="Palatino Linotype"/>
        </w:rPr>
        <w:t xml:space="preserve"> </w:t>
      </w:r>
      <w:r w:rsidRPr="00573A19">
        <w:rPr>
          <w:rFonts w:ascii="Palatino Linotype" w:hAnsi="Palatino Linotype"/>
        </w:rPr>
        <w:t>and</w:t>
      </w:r>
      <w:r w:rsidRPr="00573A19" w:rsidR="00E465F9">
        <w:rPr>
          <w:rFonts w:ascii="Palatino Linotype" w:hAnsi="Palatino Linotype"/>
        </w:rPr>
        <w:t xml:space="preserve"> </w:t>
      </w:r>
      <w:r w:rsidRPr="00573A19">
        <w:rPr>
          <w:rFonts w:ascii="Palatino Linotype" w:hAnsi="Palatino Linotype"/>
        </w:rPr>
        <w:t xml:space="preserve">stakeholder comments received in response to the </w:t>
      </w:r>
      <w:r w:rsidRPr="00573A19" w:rsidR="007816F6">
        <w:rPr>
          <w:rFonts w:ascii="Palatino Linotype" w:hAnsi="Palatino Linotype"/>
        </w:rPr>
        <w:t>June 17</w:t>
      </w:r>
      <w:r w:rsidRPr="00573A19">
        <w:rPr>
          <w:rFonts w:ascii="Palatino Linotype" w:hAnsi="Palatino Linotype"/>
        </w:rPr>
        <w:t xml:space="preserve"> workshop.</w:t>
      </w:r>
      <w:r w:rsidRPr="00573A19" w:rsidR="00C82D7E">
        <w:rPr>
          <w:rFonts w:ascii="Palatino Linotype" w:hAnsi="Palatino Linotype"/>
        </w:rPr>
        <w:t xml:space="preserve">  </w:t>
      </w:r>
      <w:r w:rsidRPr="00573A19" w:rsidR="004E29BC">
        <w:rPr>
          <w:rFonts w:ascii="Palatino Linotype" w:hAnsi="Palatino Linotype"/>
        </w:rPr>
        <w:t xml:space="preserve">The data submittal requirements are structured around the four data categories that were shared in the staff workshop. </w:t>
      </w:r>
      <w:r w:rsidRPr="00573A19" w:rsidR="00FA21DC">
        <w:rPr>
          <w:rFonts w:ascii="Palatino Linotype" w:hAnsi="Palatino Linotype"/>
        </w:rPr>
        <w:t xml:space="preserve">These are: </w:t>
      </w:r>
      <w:r w:rsidRPr="00573A19" w:rsidR="00B13982">
        <w:rPr>
          <w:rFonts w:ascii="Palatino Linotype" w:hAnsi="Palatino Linotype"/>
        </w:rPr>
        <w:t>(</w:t>
      </w:r>
      <w:r w:rsidRPr="00573A19" w:rsidR="00FA21DC">
        <w:rPr>
          <w:rFonts w:ascii="Palatino Linotype" w:hAnsi="Palatino Linotype"/>
        </w:rPr>
        <w:t xml:space="preserve">1) Physical characteristics </w:t>
      </w:r>
      <w:r w:rsidRPr="00573A19" w:rsidR="00B13982">
        <w:rPr>
          <w:rFonts w:ascii="Palatino Linotype" w:hAnsi="Palatino Linotype"/>
        </w:rPr>
        <w:t>(</w:t>
      </w:r>
      <w:r w:rsidRPr="00573A19" w:rsidR="00FA21DC">
        <w:rPr>
          <w:rFonts w:ascii="Palatino Linotype" w:hAnsi="Palatino Linotype"/>
        </w:rPr>
        <w:t xml:space="preserve">2) Energy data </w:t>
      </w:r>
      <w:r w:rsidRPr="00573A19" w:rsidR="00B13982">
        <w:rPr>
          <w:rFonts w:ascii="Palatino Linotype" w:hAnsi="Palatino Linotype"/>
        </w:rPr>
        <w:t>(</w:t>
      </w:r>
      <w:r w:rsidRPr="00573A19" w:rsidR="00FA21DC">
        <w:rPr>
          <w:rFonts w:ascii="Palatino Linotype" w:hAnsi="Palatino Linotype"/>
        </w:rPr>
        <w:t xml:space="preserve">3) Rates data and, </w:t>
      </w:r>
      <w:r w:rsidRPr="00573A19" w:rsidR="00B13982">
        <w:rPr>
          <w:rFonts w:ascii="Palatino Linotype" w:hAnsi="Palatino Linotype"/>
        </w:rPr>
        <w:t>(</w:t>
      </w:r>
      <w:r w:rsidRPr="00573A19" w:rsidR="00FA21DC">
        <w:rPr>
          <w:rFonts w:ascii="Palatino Linotype" w:hAnsi="Palatino Linotype"/>
        </w:rPr>
        <w:t xml:space="preserve">4) Customer characteristic data. </w:t>
      </w:r>
      <w:r w:rsidRPr="00573A19" w:rsidR="004E29BC">
        <w:rPr>
          <w:rFonts w:ascii="Palatino Linotype" w:hAnsi="Palatino Linotype"/>
        </w:rPr>
        <w:t>Parties did not raise any objections to the data categories, and therefore we consider them reasonable for formulating the data submittal requirements at least for the first year.</w:t>
      </w:r>
      <w:r w:rsidRPr="00573A19" w:rsidR="00750372">
        <w:rPr>
          <w:rFonts w:ascii="Palatino Linotype" w:hAnsi="Palatino Linotype"/>
        </w:rPr>
        <w:t xml:space="preserve">  </w:t>
      </w:r>
    </w:p>
    <w:p w:rsidRPr="00573A19" w:rsidR="00694511" w:rsidP="00DC62DA" w:rsidRDefault="00694511" w14:paraId="7A241519" w14:textId="77777777">
      <w:pPr>
        <w:rPr>
          <w:rFonts w:ascii="Palatino Linotype" w:hAnsi="Palatino Linotype"/>
        </w:rPr>
      </w:pPr>
    </w:p>
    <w:p w:rsidRPr="00573A19" w:rsidR="00CF6141" w:rsidP="00CF6141" w:rsidRDefault="005E11C7" w14:paraId="522B77D4" w14:textId="3CF76C11">
      <w:pPr>
        <w:pStyle w:val="Heading4"/>
        <w:rPr>
          <w:rFonts w:ascii="Palatino Linotype" w:hAnsi="Palatino Linotype"/>
        </w:rPr>
      </w:pPr>
      <w:r w:rsidRPr="00573A19">
        <w:rPr>
          <w:rFonts w:ascii="Palatino Linotype" w:hAnsi="Palatino Linotype"/>
        </w:rPr>
        <w:t>Considerations for Data Requirements</w:t>
      </w:r>
      <w:r w:rsidRPr="00573A19" w:rsidR="00CF6141">
        <w:rPr>
          <w:rFonts w:ascii="Palatino Linotype" w:hAnsi="Palatino Linotype"/>
        </w:rPr>
        <w:t>:</w:t>
      </w:r>
    </w:p>
    <w:p w:rsidRPr="00573A19" w:rsidR="00203ED4" w:rsidP="00203ED4" w:rsidRDefault="00203ED4" w14:paraId="54681F31" w14:textId="3AFAA953">
      <w:pPr>
        <w:rPr>
          <w:rFonts w:ascii="Palatino Linotype" w:hAnsi="Palatino Linotype"/>
        </w:rPr>
      </w:pPr>
      <w:r w:rsidRPr="00573A19">
        <w:rPr>
          <w:rFonts w:ascii="Palatino Linotype" w:hAnsi="Palatino Linotype"/>
        </w:rPr>
        <w:t>Understanding stakeholder needs in conjunction with what is available, or can be made available, by the IOUs is an iterative process. OP 25 of D.20-03-027 allows Energy Division staff to issue the data resolution annually</w:t>
      </w:r>
      <w:r w:rsidRPr="00573A19" w:rsidR="00213654">
        <w:rPr>
          <w:rFonts w:ascii="Palatino Linotype" w:hAnsi="Palatino Linotype"/>
        </w:rPr>
        <w:t>,</w:t>
      </w:r>
      <w:r w:rsidRPr="00573A19">
        <w:rPr>
          <w:rFonts w:ascii="Palatino Linotype" w:hAnsi="Palatino Linotype"/>
        </w:rPr>
        <w:t xml:space="preserve"> </w:t>
      </w:r>
      <w:r w:rsidRPr="00573A19" w:rsidR="00066D30">
        <w:rPr>
          <w:rFonts w:ascii="Palatino Linotype" w:hAnsi="Palatino Linotype"/>
        </w:rPr>
        <w:t>which</w:t>
      </w:r>
      <w:r w:rsidRPr="00573A19">
        <w:rPr>
          <w:rFonts w:ascii="Palatino Linotype" w:hAnsi="Palatino Linotype"/>
        </w:rPr>
        <w:t xml:space="preserve"> enables the opportunity to build upon these initial data requirements.</w:t>
      </w:r>
    </w:p>
    <w:p w:rsidRPr="00573A19" w:rsidR="00213654" w:rsidP="00DC62DA" w:rsidRDefault="00213654" w14:paraId="58BAA3CE" w14:textId="77777777">
      <w:pPr>
        <w:rPr>
          <w:rFonts w:ascii="Palatino Linotype" w:hAnsi="Palatino Linotype"/>
        </w:rPr>
      </w:pPr>
    </w:p>
    <w:p w:rsidRPr="00573A19" w:rsidR="00CF6141" w:rsidP="00DC62DA" w:rsidRDefault="00D25F26" w14:paraId="2BF52958" w14:textId="2DFCDD18">
      <w:pPr>
        <w:rPr>
          <w:rFonts w:ascii="Palatino Linotype" w:hAnsi="Palatino Linotype"/>
        </w:rPr>
      </w:pPr>
      <w:r w:rsidRPr="00573A19">
        <w:rPr>
          <w:rFonts w:ascii="Palatino Linotype" w:hAnsi="Palatino Linotype"/>
        </w:rPr>
        <w:t xml:space="preserve">We limit the extent of </w:t>
      </w:r>
      <w:r w:rsidRPr="00573A19" w:rsidR="00694511">
        <w:rPr>
          <w:rFonts w:ascii="Palatino Linotype" w:hAnsi="Palatino Linotype"/>
        </w:rPr>
        <w:t xml:space="preserve">data </w:t>
      </w:r>
      <w:r w:rsidRPr="00573A19">
        <w:rPr>
          <w:rFonts w:ascii="Palatino Linotype" w:hAnsi="Palatino Linotype"/>
        </w:rPr>
        <w:t xml:space="preserve">requirements for this first </w:t>
      </w:r>
      <w:r w:rsidRPr="00573A19" w:rsidR="00694511">
        <w:rPr>
          <w:rFonts w:ascii="Palatino Linotype" w:hAnsi="Palatino Linotype"/>
        </w:rPr>
        <w:t>data resolution</w:t>
      </w:r>
      <w:r w:rsidRPr="00573A19">
        <w:rPr>
          <w:rFonts w:ascii="Palatino Linotype" w:hAnsi="Palatino Linotype"/>
        </w:rPr>
        <w:t xml:space="preserve"> </w:t>
      </w:r>
      <w:r w:rsidRPr="00573A19" w:rsidR="00E039A6">
        <w:rPr>
          <w:rFonts w:ascii="Palatino Linotype" w:hAnsi="Palatino Linotype"/>
        </w:rPr>
        <w:t>based on</w:t>
      </w:r>
      <w:r w:rsidRPr="00573A19" w:rsidR="00694511">
        <w:rPr>
          <w:rFonts w:ascii="Palatino Linotype" w:hAnsi="Palatino Linotype"/>
        </w:rPr>
        <w:t xml:space="preserve"> our understanding of</w:t>
      </w:r>
      <w:r w:rsidRPr="00573A19" w:rsidR="00E039A6">
        <w:rPr>
          <w:rFonts w:ascii="Palatino Linotype" w:hAnsi="Palatino Linotype"/>
        </w:rPr>
        <w:t xml:space="preserve"> what will immediately </w:t>
      </w:r>
      <w:r w:rsidRPr="00573A19" w:rsidR="00E465F9">
        <w:rPr>
          <w:rFonts w:ascii="Palatino Linotype" w:hAnsi="Palatino Linotype"/>
        </w:rPr>
        <w:t xml:space="preserve">be </w:t>
      </w:r>
      <w:r w:rsidRPr="00573A19" w:rsidR="00E039A6">
        <w:rPr>
          <w:rFonts w:ascii="Palatino Linotype" w:hAnsi="Palatino Linotype"/>
        </w:rPr>
        <w:t xml:space="preserve">helpful for </w:t>
      </w:r>
      <w:r w:rsidRPr="00573A19" w:rsidR="00694511">
        <w:rPr>
          <w:rFonts w:ascii="Palatino Linotype" w:hAnsi="Palatino Linotype"/>
        </w:rPr>
        <w:t xml:space="preserve">enabling </w:t>
      </w:r>
      <w:r w:rsidRPr="00573A19" w:rsidR="0061351C">
        <w:rPr>
          <w:rFonts w:ascii="Palatino Linotype" w:hAnsi="Palatino Linotype"/>
        </w:rPr>
        <w:t xml:space="preserve">market transformation and </w:t>
      </w:r>
      <w:r w:rsidRPr="00573A19" w:rsidR="00E039A6">
        <w:rPr>
          <w:rFonts w:ascii="Palatino Linotype" w:hAnsi="Palatino Linotype"/>
        </w:rPr>
        <w:t>program planning</w:t>
      </w:r>
      <w:r w:rsidRPr="00573A19" w:rsidR="00694511">
        <w:rPr>
          <w:rFonts w:ascii="Palatino Linotype" w:hAnsi="Palatino Linotype"/>
        </w:rPr>
        <w:t>. This will also</w:t>
      </w:r>
      <w:r w:rsidRPr="00573A19" w:rsidR="00E465F9">
        <w:rPr>
          <w:rFonts w:ascii="Palatino Linotype" w:hAnsi="Palatino Linotype"/>
        </w:rPr>
        <w:t xml:space="preserve"> limit the burden and associated costs to the IOUs and</w:t>
      </w:r>
      <w:r w:rsidRPr="00573A19" w:rsidR="0036145D">
        <w:rPr>
          <w:rFonts w:ascii="Palatino Linotype" w:hAnsi="Palatino Linotype"/>
        </w:rPr>
        <w:t>,</w:t>
      </w:r>
      <w:r w:rsidRPr="00573A19" w:rsidR="00E465F9">
        <w:rPr>
          <w:rFonts w:ascii="Palatino Linotype" w:hAnsi="Palatino Linotype"/>
        </w:rPr>
        <w:t xml:space="preserve"> consequently</w:t>
      </w:r>
      <w:r w:rsidRPr="00573A19" w:rsidR="0036145D">
        <w:rPr>
          <w:rFonts w:ascii="Palatino Linotype" w:hAnsi="Palatino Linotype"/>
        </w:rPr>
        <w:t>,</w:t>
      </w:r>
      <w:r w:rsidRPr="00573A19" w:rsidR="00E465F9">
        <w:rPr>
          <w:rFonts w:ascii="Palatino Linotype" w:hAnsi="Palatino Linotype"/>
        </w:rPr>
        <w:t xml:space="preserve"> ratepayers</w:t>
      </w:r>
      <w:r w:rsidRPr="00573A19" w:rsidR="0061351C">
        <w:rPr>
          <w:rFonts w:ascii="Palatino Linotype" w:hAnsi="Palatino Linotype"/>
        </w:rPr>
        <w:t xml:space="preserve">. </w:t>
      </w:r>
      <w:r w:rsidRPr="00573A19" w:rsidR="00CF6141">
        <w:rPr>
          <w:rFonts w:ascii="Palatino Linotype" w:hAnsi="Palatino Linotype"/>
        </w:rPr>
        <w:t xml:space="preserve">For example, we are not requiring map-based data showing age of households (using year of meter installation as a proxy). We are also not requiring any prior program impact or </w:t>
      </w:r>
      <w:r w:rsidRPr="00573A19" w:rsidR="00CF6141">
        <w:rPr>
          <w:rFonts w:ascii="Palatino Linotype" w:hAnsi="Palatino Linotype"/>
        </w:rPr>
        <w:lastRenderedPageBreak/>
        <w:t>participation data such as from energy efficiency, self-generation incentive, solar</w:t>
      </w:r>
      <w:r w:rsidRPr="00573A19" w:rsidR="00203ED4">
        <w:rPr>
          <w:rFonts w:ascii="Palatino Linotype" w:hAnsi="Palatino Linotype"/>
        </w:rPr>
        <w:t>, Electric Vehicle (EV) charging or other DER</w:t>
      </w:r>
      <w:r w:rsidRPr="00573A19" w:rsidR="00CF6141">
        <w:rPr>
          <w:rFonts w:ascii="Palatino Linotype" w:hAnsi="Palatino Linotype"/>
        </w:rPr>
        <w:t xml:space="preserve"> programs. </w:t>
      </w:r>
      <w:r w:rsidRPr="00573A19" w:rsidR="00203ED4">
        <w:rPr>
          <w:rFonts w:ascii="Palatino Linotype" w:hAnsi="Palatino Linotype"/>
        </w:rPr>
        <w:t>Additionally, at this time we are</w:t>
      </w:r>
      <w:r w:rsidRPr="00573A19" w:rsidR="00CF6141">
        <w:rPr>
          <w:rFonts w:ascii="Palatino Linotype" w:hAnsi="Palatino Linotype"/>
        </w:rPr>
        <w:t xml:space="preserve"> not requiring any data related to square footage of households</w:t>
      </w:r>
      <w:r w:rsidRPr="00573A19" w:rsidR="004F46AD">
        <w:rPr>
          <w:rFonts w:ascii="Palatino Linotype" w:hAnsi="Palatino Linotype"/>
        </w:rPr>
        <w:t xml:space="preserve">, although previous proceedings have required IOUs to </w:t>
      </w:r>
      <w:r w:rsidRPr="00573A19" w:rsidR="00203ED4">
        <w:rPr>
          <w:rFonts w:ascii="Palatino Linotype" w:hAnsi="Palatino Linotype"/>
        </w:rPr>
        <w:t>report</w:t>
      </w:r>
      <w:r w:rsidRPr="00573A19" w:rsidR="004F46AD">
        <w:rPr>
          <w:rFonts w:ascii="Palatino Linotype" w:hAnsi="Palatino Linotype"/>
        </w:rPr>
        <w:t xml:space="preserve"> </w:t>
      </w:r>
      <w:r w:rsidRPr="00573A19" w:rsidR="00203ED4">
        <w:rPr>
          <w:rFonts w:ascii="Palatino Linotype" w:hAnsi="Palatino Linotype"/>
        </w:rPr>
        <w:t>metrics based on square footage</w:t>
      </w:r>
      <w:r w:rsidRPr="00573A19" w:rsidR="004F46AD">
        <w:rPr>
          <w:rFonts w:ascii="Palatino Linotype" w:hAnsi="Palatino Linotype"/>
        </w:rPr>
        <w:t>.</w:t>
      </w:r>
      <w:r w:rsidRPr="00573A19" w:rsidR="004F46AD">
        <w:rPr>
          <w:rStyle w:val="FootnoteReference"/>
          <w:rFonts w:ascii="Palatino Linotype" w:hAnsi="Palatino Linotype"/>
        </w:rPr>
        <w:footnoteReference w:id="12"/>
      </w:r>
      <w:r w:rsidRPr="00573A19" w:rsidR="00DB27DA">
        <w:rPr>
          <w:rFonts w:ascii="Palatino Linotype" w:hAnsi="Palatino Linotype"/>
        </w:rPr>
        <w:t xml:space="preserve"> </w:t>
      </w:r>
      <w:r w:rsidRPr="00573A19" w:rsidR="005E11C7">
        <w:rPr>
          <w:rFonts w:ascii="Palatino Linotype" w:hAnsi="Palatino Linotype"/>
        </w:rPr>
        <w:t>F</w:t>
      </w:r>
      <w:r w:rsidRPr="00573A19" w:rsidR="00DB27DA">
        <w:rPr>
          <w:rFonts w:ascii="Palatino Linotype" w:hAnsi="Palatino Linotype"/>
        </w:rPr>
        <w:t>or future requirements we anticipate</w:t>
      </w:r>
      <w:r w:rsidRPr="00573A19" w:rsidR="005E11C7">
        <w:rPr>
          <w:rFonts w:ascii="Palatino Linotype" w:hAnsi="Palatino Linotype"/>
        </w:rPr>
        <w:t>, for instance, that</w:t>
      </w:r>
      <w:r w:rsidRPr="00573A19" w:rsidR="00DB27DA">
        <w:rPr>
          <w:rFonts w:ascii="Palatino Linotype" w:hAnsi="Palatino Linotype"/>
        </w:rPr>
        <w:t xml:space="preserve"> maps showing areas by service line size could be helpful</w:t>
      </w:r>
      <w:r w:rsidRPr="00573A19" w:rsidR="005E11C7">
        <w:rPr>
          <w:rFonts w:ascii="Palatino Linotype" w:hAnsi="Palatino Linotype"/>
        </w:rPr>
        <w:t xml:space="preserve"> (as not all capacities are easily able to support additional electrical loads, and other </w:t>
      </w:r>
      <w:r w:rsidRPr="00573A19" w:rsidR="003E2FE7">
        <w:rPr>
          <w:rFonts w:ascii="Palatino Linotype" w:hAnsi="Palatino Linotype"/>
        </w:rPr>
        <w:t xml:space="preserve">amperage management </w:t>
      </w:r>
      <w:r w:rsidRPr="00573A19" w:rsidR="005E11C7">
        <w:rPr>
          <w:rFonts w:ascii="Palatino Linotype" w:hAnsi="Palatino Linotype"/>
        </w:rPr>
        <w:t>strategies become necessary)</w:t>
      </w:r>
      <w:r w:rsidRPr="00573A19" w:rsidR="00DB27DA">
        <w:rPr>
          <w:rFonts w:ascii="Palatino Linotype" w:hAnsi="Palatino Linotype"/>
        </w:rPr>
        <w:t xml:space="preserve">.  </w:t>
      </w:r>
    </w:p>
    <w:p w:rsidRPr="00573A19" w:rsidR="00CA7DA4" w:rsidP="00DC62DA" w:rsidRDefault="00CA7DA4" w14:paraId="61B7BC07" w14:textId="60B546C3">
      <w:pPr>
        <w:rPr>
          <w:rFonts w:ascii="Palatino Linotype" w:hAnsi="Palatino Linotype"/>
        </w:rPr>
      </w:pPr>
    </w:p>
    <w:p w:rsidRPr="00573A19" w:rsidR="00203ED4" w:rsidP="00DC62DA" w:rsidRDefault="00203ED4" w14:paraId="0B00F943" w14:textId="43C09C8C">
      <w:pPr>
        <w:rPr>
          <w:rFonts w:ascii="Palatino Linotype" w:hAnsi="Palatino Linotype"/>
        </w:rPr>
      </w:pPr>
      <w:r w:rsidRPr="00573A19">
        <w:rPr>
          <w:rFonts w:ascii="Palatino Linotype" w:hAnsi="Palatino Linotype"/>
        </w:rPr>
        <w:t xml:space="preserve">To the extent possible, we have tried to formulate the data submittal requirements </w:t>
      </w:r>
      <w:r w:rsidRPr="00573A19" w:rsidR="00DB27DA">
        <w:rPr>
          <w:rFonts w:ascii="Palatino Linotype" w:hAnsi="Palatino Linotype"/>
        </w:rPr>
        <w:t>for this year</w:t>
      </w:r>
      <w:r w:rsidRPr="00573A19" w:rsidR="00D10A05">
        <w:rPr>
          <w:rFonts w:ascii="Palatino Linotype" w:hAnsi="Palatino Linotype"/>
        </w:rPr>
        <w:t xml:space="preserve"> to be based on</w:t>
      </w:r>
      <w:r w:rsidRPr="00573A19">
        <w:rPr>
          <w:rFonts w:ascii="Palatino Linotype" w:hAnsi="Palatino Linotype"/>
        </w:rPr>
        <w:t xml:space="preserve"> IOU billing databases</w:t>
      </w:r>
      <w:r w:rsidRPr="00573A19" w:rsidR="00CA7DA4">
        <w:rPr>
          <w:rFonts w:ascii="Palatino Linotype" w:hAnsi="Palatino Linotype"/>
        </w:rPr>
        <w:t xml:space="preserve">. </w:t>
      </w:r>
    </w:p>
    <w:p w:rsidRPr="00573A19" w:rsidR="00CF6141" w:rsidP="00DC62DA" w:rsidRDefault="00CF6141" w14:paraId="66DF593A" w14:textId="77777777">
      <w:pPr>
        <w:rPr>
          <w:rFonts w:ascii="Palatino Linotype" w:hAnsi="Palatino Linotype"/>
        </w:rPr>
      </w:pPr>
    </w:p>
    <w:p w:rsidRPr="00573A19" w:rsidR="00CA7DA4" w:rsidP="00DC62DA" w:rsidRDefault="00C14DE3" w14:paraId="22479894" w14:textId="28C65835">
      <w:pPr>
        <w:rPr>
          <w:rFonts w:ascii="Palatino Linotype" w:hAnsi="Palatino Linotype"/>
        </w:rPr>
      </w:pPr>
      <w:r w:rsidRPr="00573A19">
        <w:rPr>
          <w:rFonts w:ascii="Palatino Linotype" w:hAnsi="Palatino Linotype"/>
        </w:rPr>
        <w:t xml:space="preserve">Since </w:t>
      </w:r>
      <w:r w:rsidRPr="00573A19" w:rsidR="004F46AD">
        <w:rPr>
          <w:rFonts w:ascii="Palatino Linotype" w:hAnsi="Palatino Linotype"/>
        </w:rPr>
        <w:t xml:space="preserve">BUILD and TECH </w:t>
      </w:r>
      <w:r w:rsidRPr="00573A19">
        <w:rPr>
          <w:rFonts w:ascii="Palatino Linotype" w:hAnsi="Palatino Linotype"/>
        </w:rPr>
        <w:t>programs have not launched yet, p</w:t>
      </w:r>
      <w:r w:rsidRPr="00573A19" w:rsidR="00E039A6">
        <w:rPr>
          <w:rFonts w:ascii="Palatino Linotype" w:hAnsi="Palatino Linotype"/>
        </w:rPr>
        <w:t>rogram assessment</w:t>
      </w:r>
      <w:r w:rsidRPr="00573A19">
        <w:rPr>
          <w:rFonts w:ascii="Palatino Linotype" w:hAnsi="Palatino Linotype"/>
        </w:rPr>
        <w:t xml:space="preserve"> data </w:t>
      </w:r>
      <w:r w:rsidRPr="00573A19" w:rsidR="004F46AD">
        <w:rPr>
          <w:rFonts w:ascii="Palatino Linotype" w:hAnsi="Palatino Linotype"/>
        </w:rPr>
        <w:t>can</w:t>
      </w:r>
      <w:r w:rsidRPr="00573A19">
        <w:rPr>
          <w:rFonts w:ascii="Palatino Linotype" w:hAnsi="Palatino Linotype"/>
        </w:rPr>
        <w:t xml:space="preserve">not </w:t>
      </w:r>
      <w:r w:rsidRPr="00573A19" w:rsidR="004F46AD">
        <w:rPr>
          <w:rFonts w:ascii="Palatino Linotype" w:hAnsi="Palatino Linotype"/>
        </w:rPr>
        <w:t xml:space="preserve">be </w:t>
      </w:r>
      <w:r w:rsidRPr="00573A19">
        <w:rPr>
          <w:rFonts w:ascii="Palatino Linotype" w:hAnsi="Palatino Linotype"/>
        </w:rPr>
        <w:t>included.</w:t>
      </w:r>
      <w:r w:rsidRPr="00573A19" w:rsidR="00CF6141">
        <w:rPr>
          <w:rFonts w:ascii="Palatino Linotype" w:hAnsi="Palatino Linotype"/>
        </w:rPr>
        <w:t xml:space="preserve"> </w:t>
      </w:r>
      <w:r w:rsidRPr="00573A19" w:rsidR="00CA7DA4">
        <w:rPr>
          <w:rFonts w:ascii="Palatino Linotype" w:hAnsi="Palatino Linotype"/>
        </w:rPr>
        <w:t>Also, individual participant data is most valuable for evaluations. It can generally not be shared due to confidentiality restrictions</w:t>
      </w:r>
      <w:r w:rsidRPr="00573A19" w:rsidR="005F29D2">
        <w:rPr>
          <w:rFonts w:ascii="Palatino Linotype" w:hAnsi="Palatino Linotype"/>
        </w:rPr>
        <w:t xml:space="preserve"> unless the customer has agreed to </w:t>
      </w:r>
      <w:r w:rsidRPr="00573A19" w:rsidR="00213654">
        <w:rPr>
          <w:rFonts w:ascii="Palatino Linotype" w:hAnsi="Palatino Linotype"/>
        </w:rPr>
        <w:t xml:space="preserve">share </w:t>
      </w:r>
      <w:r w:rsidRPr="00573A19" w:rsidR="005F29D2">
        <w:rPr>
          <w:rFonts w:ascii="Palatino Linotype" w:hAnsi="Palatino Linotype"/>
        </w:rPr>
        <w:t>their data for public use</w:t>
      </w:r>
      <w:r w:rsidRPr="00573A19" w:rsidR="00CA7DA4">
        <w:rPr>
          <w:rFonts w:ascii="Palatino Linotype" w:hAnsi="Palatino Linotype"/>
        </w:rPr>
        <w:t xml:space="preserve">. </w:t>
      </w:r>
    </w:p>
    <w:p w:rsidRPr="00573A19" w:rsidR="00CA7DA4" w:rsidP="00DC62DA" w:rsidRDefault="00CA7DA4" w14:paraId="530EC041" w14:textId="77777777">
      <w:pPr>
        <w:rPr>
          <w:rFonts w:ascii="Palatino Linotype" w:hAnsi="Palatino Linotype"/>
        </w:rPr>
      </w:pPr>
    </w:p>
    <w:p w:rsidRPr="00573A19" w:rsidR="00DB27DA" w:rsidP="00DC62DA" w:rsidRDefault="00CF6141" w14:paraId="65505B63" w14:textId="5C32A485">
      <w:pPr>
        <w:rPr>
          <w:rFonts w:ascii="Palatino Linotype" w:hAnsi="Palatino Linotype"/>
        </w:rPr>
      </w:pPr>
      <w:r w:rsidRPr="00573A19">
        <w:rPr>
          <w:rFonts w:ascii="Palatino Linotype" w:hAnsi="Palatino Linotype"/>
        </w:rPr>
        <w:t xml:space="preserve">All required data is for residential sector only, except for natural gas infrastructure data, which is expected to cover all sectors due to its nature.  Unless otherwise specified, </w:t>
      </w:r>
      <w:r w:rsidRPr="00573A19" w:rsidR="00CA7DA4">
        <w:rPr>
          <w:rFonts w:ascii="Palatino Linotype" w:hAnsi="Palatino Linotype"/>
        </w:rPr>
        <w:t xml:space="preserve">data </w:t>
      </w:r>
      <w:r w:rsidRPr="00573A19" w:rsidR="003E2FE7">
        <w:rPr>
          <w:rFonts w:ascii="Palatino Linotype" w:hAnsi="Palatino Linotype"/>
        </w:rPr>
        <w:t>is required to</w:t>
      </w:r>
      <w:r w:rsidRPr="00573A19" w:rsidR="00CA7DA4">
        <w:rPr>
          <w:rFonts w:ascii="Palatino Linotype" w:hAnsi="Palatino Linotype"/>
        </w:rPr>
        <w:t xml:space="preserve"> be</w:t>
      </w:r>
      <w:r w:rsidRPr="00573A19">
        <w:rPr>
          <w:rFonts w:ascii="Palatino Linotype" w:hAnsi="Palatino Linotype"/>
        </w:rPr>
        <w:t xml:space="preserve"> aggregated to CEC climate zones</w:t>
      </w:r>
      <w:r w:rsidRPr="00573A19" w:rsidR="00CA7DA4">
        <w:rPr>
          <w:rFonts w:ascii="Palatino Linotype" w:hAnsi="Palatino Linotype"/>
        </w:rPr>
        <w:t xml:space="preserve"> falling within each IOU territory</w:t>
      </w:r>
      <w:r w:rsidRPr="00573A19" w:rsidR="003E2FE7">
        <w:rPr>
          <w:rFonts w:ascii="Palatino Linotype" w:hAnsi="Palatino Linotype"/>
        </w:rPr>
        <w:t>, so that aggregation thresholds set my previous proceedings are duly met</w:t>
      </w:r>
      <w:r w:rsidRPr="00573A19">
        <w:rPr>
          <w:rFonts w:ascii="Palatino Linotype" w:hAnsi="Palatino Linotype"/>
        </w:rPr>
        <w:t>.</w:t>
      </w:r>
      <w:r w:rsidRPr="00573A19" w:rsidR="003E2FE7">
        <w:rPr>
          <w:rStyle w:val="FootnoteReference"/>
          <w:rFonts w:ascii="Palatino Linotype" w:hAnsi="Palatino Linotype"/>
        </w:rPr>
        <w:footnoteReference w:id="13"/>
      </w:r>
    </w:p>
    <w:p w:rsidRPr="00573A19" w:rsidR="00E039A6" w:rsidP="00DC62DA" w:rsidRDefault="00E039A6" w14:paraId="5C1DB089" w14:textId="77777777">
      <w:pPr>
        <w:rPr>
          <w:rFonts w:ascii="Palatino Linotype" w:hAnsi="Palatino Linotype"/>
        </w:rPr>
      </w:pPr>
    </w:p>
    <w:p w:rsidRPr="00573A19" w:rsidR="004F5340" w:rsidP="00DC62DA" w:rsidRDefault="00D25F26" w14:paraId="5F2F3D51" w14:textId="150165F2">
      <w:pPr>
        <w:rPr>
          <w:rFonts w:ascii="Palatino Linotype" w:hAnsi="Palatino Linotype"/>
        </w:rPr>
      </w:pPr>
      <w:r w:rsidRPr="00573A19">
        <w:rPr>
          <w:rFonts w:ascii="Palatino Linotype" w:hAnsi="Palatino Linotype"/>
        </w:rPr>
        <w:t xml:space="preserve">Appendix A provides the spreadsheet template for submittal of non-confidential data. </w:t>
      </w:r>
    </w:p>
    <w:p w:rsidRPr="00573A19" w:rsidR="004F5340" w:rsidP="00DC62DA" w:rsidRDefault="004F5340" w14:paraId="4BD54277" w14:textId="77777777">
      <w:pPr>
        <w:rPr>
          <w:rFonts w:ascii="Palatino Linotype" w:hAnsi="Palatino Linotype"/>
        </w:rPr>
      </w:pPr>
    </w:p>
    <w:p w:rsidRPr="00573A19" w:rsidR="004F5340" w:rsidP="004F5340" w:rsidRDefault="004F5340" w14:paraId="46A31534" w14:textId="77777777">
      <w:pPr>
        <w:pStyle w:val="Heading4"/>
        <w:rPr>
          <w:rFonts w:ascii="Palatino Linotype" w:hAnsi="Palatino Linotype"/>
        </w:rPr>
      </w:pPr>
      <w:r w:rsidRPr="00573A19">
        <w:rPr>
          <w:rFonts w:ascii="Palatino Linotype" w:hAnsi="Palatino Linotype"/>
        </w:rPr>
        <w:t>Number of Customers by Rate Schedule</w:t>
      </w:r>
    </w:p>
    <w:p w:rsidRPr="00573A19" w:rsidR="00082426" w:rsidP="004F5340" w:rsidRDefault="00082426" w14:paraId="5AC93307" w14:textId="0A101C55">
      <w:pPr>
        <w:rPr>
          <w:rFonts w:ascii="Palatino Linotype" w:hAnsi="Palatino Linotype"/>
        </w:rPr>
      </w:pPr>
      <w:r w:rsidRPr="00573A19">
        <w:rPr>
          <w:rFonts w:ascii="Palatino Linotype" w:hAnsi="Palatino Linotype"/>
        </w:rPr>
        <w:t>T</w:t>
      </w:r>
      <w:r w:rsidRPr="00573A19" w:rsidR="004F5340">
        <w:rPr>
          <w:rFonts w:ascii="Palatino Linotype" w:hAnsi="Palatino Linotype"/>
        </w:rPr>
        <w:t xml:space="preserve">he first tab </w:t>
      </w:r>
      <w:r w:rsidRPr="00573A19">
        <w:rPr>
          <w:rFonts w:ascii="Palatino Linotype" w:hAnsi="Palatino Linotype"/>
        </w:rPr>
        <w:t xml:space="preserve">asks for the number of single family and multifamily customers by rate schedule, and current delivered fuel type. The purpose of this tab is to </w:t>
      </w:r>
      <w:r w:rsidRPr="00573A19">
        <w:rPr>
          <w:rFonts w:ascii="Palatino Linotype" w:hAnsi="Palatino Linotype"/>
        </w:rPr>
        <w:lastRenderedPageBreak/>
        <w:t>understand residential market size, current preferred rate choices, and prevalence of onsite generation</w:t>
      </w:r>
      <w:r w:rsidRPr="00573A19" w:rsidR="008B00D6">
        <w:rPr>
          <w:rFonts w:ascii="Palatino Linotype" w:hAnsi="Palatino Linotype"/>
        </w:rPr>
        <w:t xml:space="preserve"> and storage</w:t>
      </w:r>
      <w:r w:rsidRPr="00573A19">
        <w:rPr>
          <w:rFonts w:ascii="Palatino Linotype" w:hAnsi="Palatino Linotype"/>
        </w:rPr>
        <w:t>. In response to NRDC comments, we also ask for number of master-metered customers to develop a shared understanding of the prevalence of such accounts.</w:t>
      </w:r>
    </w:p>
    <w:p w:rsidRPr="00573A19" w:rsidR="00213654" w:rsidP="004F5340" w:rsidRDefault="00213654" w14:paraId="271B9683" w14:textId="77777777">
      <w:pPr>
        <w:rPr>
          <w:rFonts w:ascii="Palatino Linotype" w:hAnsi="Palatino Linotype"/>
        </w:rPr>
      </w:pPr>
    </w:p>
    <w:p w:rsidRPr="00573A19" w:rsidR="00082426" w:rsidP="004F5340" w:rsidRDefault="00213654" w14:paraId="248D4EA7" w14:textId="1DDE7628">
      <w:pPr>
        <w:rPr>
          <w:rFonts w:ascii="Palatino Linotype" w:hAnsi="Palatino Linotype"/>
        </w:rPr>
      </w:pPr>
      <w:r w:rsidRPr="00573A19">
        <w:rPr>
          <w:rFonts w:ascii="Palatino Linotype" w:hAnsi="Palatino Linotype"/>
        </w:rPr>
        <w:t>The s</w:t>
      </w:r>
      <w:r w:rsidRPr="00573A19" w:rsidR="00082426">
        <w:rPr>
          <w:rFonts w:ascii="Palatino Linotype" w:hAnsi="Palatino Linotype"/>
        </w:rPr>
        <w:t xml:space="preserve">ame information is requested for customers on California Alternative Rates for Energy (CARE) as a means of characterizing low-income customers. We understand that not all </w:t>
      </w:r>
      <w:r w:rsidRPr="00573A19" w:rsidR="008B00D6">
        <w:rPr>
          <w:rFonts w:ascii="Palatino Linotype" w:hAnsi="Palatino Linotype"/>
        </w:rPr>
        <w:t>low-income</w:t>
      </w:r>
      <w:r w:rsidRPr="00573A19" w:rsidR="00082426">
        <w:rPr>
          <w:rFonts w:ascii="Palatino Linotype" w:hAnsi="Palatino Linotype"/>
        </w:rPr>
        <w:t xml:space="preserve"> customers are on CARE, but </w:t>
      </w:r>
      <w:r w:rsidRPr="00573A19" w:rsidR="008B00D6">
        <w:rPr>
          <w:rFonts w:ascii="Palatino Linotype" w:hAnsi="Palatino Linotype"/>
        </w:rPr>
        <w:t xml:space="preserve">this seems to be the most straightforward way to understand this demographic through </w:t>
      </w:r>
      <w:r w:rsidRPr="00573A19" w:rsidR="0045740E">
        <w:rPr>
          <w:rFonts w:ascii="Palatino Linotype" w:hAnsi="Palatino Linotype"/>
        </w:rPr>
        <w:t xml:space="preserve">existing </w:t>
      </w:r>
      <w:r w:rsidRPr="00573A19" w:rsidR="008B00D6">
        <w:rPr>
          <w:rFonts w:ascii="Palatino Linotype" w:hAnsi="Palatino Linotype"/>
        </w:rPr>
        <w:t>IOU billing databases.</w:t>
      </w:r>
    </w:p>
    <w:p w:rsidRPr="00573A19" w:rsidR="00213654" w:rsidP="004F5340" w:rsidRDefault="00213654" w14:paraId="42623BDA" w14:textId="77777777">
      <w:pPr>
        <w:rPr>
          <w:rFonts w:ascii="Palatino Linotype" w:hAnsi="Palatino Linotype"/>
        </w:rPr>
      </w:pPr>
    </w:p>
    <w:p w:rsidRPr="00573A19" w:rsidR="008B00D6" w:rsidP="008B00D6" w:rsidRDefault="008B00D6" w14:paraId="19712F69" w14:textId="67A16866">
      <w:pPr>
        <w:rPr>
          <w:rFonts w:ascii="Palatino Linotype" w:hAnsi="Palatino Linotype"/>
        </w:rPr>
      </w:pPr>
      <w:r w:rsidRPr="00573A19">
        <w:rPr>
          <w:rFonts w:ascii="Palatino Linotype" w:hAnsi="Palatino Linotype"/>
        </w:rPr>
        <w:t xml:space="preserve">Finally, we believe it is important to understand how many customers are in need of medical baseline and are more vulnerable </w:t>
      </w:r>
      <w:r w:rsidRPr="00573A19" w:rsidR="0045740E">
        <w:rPr>
          <w:rFonts w:ascii="Palatino Linotype" w:hAnsi="Palatino Linotype"/>
        </w:rPr>
        <w:t>during times of</w:t>
      </w:r>
      <w:r w:rsidRPr="00573A19">
        <w:rPr>
          <w:rFonts w:ascii="Palatino Linotype" w:hAnsi="Palatino Linotype"/>
        </w:rPr>
        <w:t xml:space="preserve"> power shut-offs. </w:t>
      </w:r>
      <w:r w:rsidRPr="00573A19" w:rsidR="005A1D25">
        <w:rPr>
          <w:rFonts w:ascii="Palatino Linotype" w:hAnsi="Palatino Linotype"/>
        </w:rPr>
        <w:t xml:space="preserve">Even though climate zone level data will not help with targeted customer outreach, it will help us understand the minimum scale at which resiliency efforts are needed. </w:t>
      </w:r>
    </w:p>
    <w:p w:rsidRPr="00573A19" w:rsidR="00D25F26" w:rsidP="00DC62DA" w:rsidRDefault="00D25F26" w14:paraId="5F6EC3FF" w14:textId="681593CF">
      <w:pPr>
        <w:rPr>
          <w:rFonts w:ascii="Palatino Linotype" w:hAnsi="Palatino Linotype"/>
        </w:rPr>
      </w:pPr>
    </w:p>
    <w:p w:rsidRPr="00573A19" w:rsidR="008B00D6" w:rsidP="008B00D6" w:rsidRDefault="008B00D6" w14:paraId="38EC2A83" w14:textId="199475E3">
      <w:pPr>
        <w:pStyle w:val="Heading4"/>
        <w:rPr>
          <w:rFonts w:ascii="Palatino Linotype" w:hAnsi="Palatino Linotype"/>
        </w:rPr>
      </w:pPr>
      <w:r w:rsidRPr="00573A19">
        <w:rPr>
          <w:rFonts w:ascii="Palatino Linotype" w:hAnsi="Palatino Linotype"/>
        </w:rPr>
        <w:t>Customer Bills as a Function of Rate</w:t>
      </w:r>
    </w:p>
    <w:p w:rsidRPr="00573A19" w:rsidR="008B00D6" w:rsidP="0067439D" w:rsidRDefault="0067439D" w14:paraId="6F7B324F" w14:textId="46A9DD6D">
      <w:pPr>
        <w:rPr>
          <w:rFonts w:ascii="Palatino Linotype" w:hAnsi="Palatino Linotype"/>
        </w:rPr>
      </w:pPr>
      <w:r w:rsidRPr="00573A19">
        <w:rPr>
          <w:rFonts w:ascii="Palatino Linotype" w:hAnsi="Palatino Linotype"/>
        </w:rPr>
        <w:t>Customer rates are expected to have a strong impact on the market for electrification. The second tab asks for average customer bills by rate schedule, for single family and multifamily customers and their current delivered fuel type. The purpose of this tab is to understand whether particular rates are especially unfavorable towards electrification, or appear to be so, and warrant further inquiry.</w:t>
      </w:r>
    </w:p>
    <w:p w:rsidRPr="00573A19" w:rsidR="00213654" w:rsidP="0067439D" w:rsidRDefault="00213654" w14:paraId="7DA06819" w14:textId="77777777">
      <w:pPr>
        <w:rPr>
          <w:rFonts w:ascii="Palatino Linotype" w:hAnsi="Palatino Linotype"/>
        </w:rPr>
      </w:pPr>
    </w:p>
    <w:p w:rsidRPr="00573A19" w:rsidR="00013A03" w:rsidP="0067439D" w:rsidRDefault="00013A03" w14:paraId="20A2ADEF" w14:textId="0DC68E8E">
      <w:pPr>
        <w:rPr>
          <w:rFonts w:ascii="Palatino Linotype" w:hAnsi="Palatino Linotype"/>
        </w:rPr>
      </w:pPr>
      <w:r w:rsidRPr="00573A19">
        <w:rPr>
          <w:rFonts w:ascii="Palatino Linotype" w:hAnsi="Palatino Linotype"/>
        </w:rPr>
        <w:t>Average bills and number of customers by climate zone from the previous tab can also be used to compute sum total of bills for a climate zone. This can help understand which climate zones currently bear the highest bills per household. In conjunction with census data (not part of IOU data requirements)</w:t>
      </w:r>
      <w:r w:rsidRPr="00573A19" w:rsidR="00213654">
        <w:rPr>
          <w:rFonts w:ascii="Palatino Linotype" w:hAnsi="Palatino Linotype"/>
        </w:rPr>
        <w:t>,</w:t>
      </w:r>
      <w:r w:rsidRPr="00573A19">
        <w:rPr>
          <w:rFonts w:ascii="Palatino Linotype" w:hAnsi="Palatino Linotype"/>
        </w:rPr>
        <w:t xml:space="preserve"> such as income and household size, this data c</w:t>
      </w:r>
      <w:r w:rsidRPr="00573A19" w:rsidR="00FA21DC">
        <w:rPr>
          <w:rFonts w:ascii="Palatino Linotype" w:hAnsi="Palatino Linotype"/>
        </w:rPr>
        <w:t>ould</w:t>
      </w:r>
      <w:r w:rsidRPr="00573A19">
        <w:rPr>
          <w:rFonts w:ascii="Palatino Linotype" w:hAnsi="Palatino Linotype"/>
        </w:rPr>
        <w:t xml:space="preserve"> shed light on equity needs and energy burden in </w:t>
      </w:r>
      <w:r w:rsidRPr="00573A19" w:rsidR="00FA21DC">
        <w:rPr>
          <w:rFonts w:ascii="Palatino Linotype" w:hAnsi="Palatino Linotype"/>
        </w:rPr>
        <w:t>specific climate zones.</w:t>
      </w:r>
    </w:p>
    <w:p w:rsidRPr="00573A19" w:rsidR="00013A03" w:rsidP="0067439D" w:rsidRDefault="00013A03" w14:paraId="7C80DC1B" w14:textId="5A518EB6">
      <w:pPr>
        <w:rPr>
          <w:rFonts w:ascii="Palatino Linotype" w:hAnsi="Palatino Linotype"/>
        </w:rPr>
      </w:pPr>
    </w:p>
    <w:p w:rsidRPr="00573A19" w:rsidR="00FA21DC" w:rsidP="00FA21DC" w:rsidRDefault="00DB27DA" w14:paraId="05DCBF67" w14:textId="057CAE1D">
      <w:pPr>
        <w:pStyle w:val="Heading4"/>
        <w:rPr>
          <w:rFonts w:ascii="Palatino Linotype" w:hAnsi="Palatino Linotype"/>
        </w:rPr>
      </w:pPr>
      <w:r w:rsidRPr="00573A19">
        <w:rPr>
          <w:rFonts w:ascii="Palatino Linotype" w:hAnsi="Palatino Linotype"/>
        </w:rPr>
        <w:t xml:space="preserve">Customer </w:t>
      </w:r>
      <w:r w:rsidRPr="00573A19" w:rsidR="00FA21DC">
        <w:rPr>
          <w:rFonts w:ascii="Palatino Linotype" w:hAnsi="Palatino Linotype"/>
        </w:rPr>
        <w:t>Energy Use as a Function of Rate</w:t>
      </w:r>
    </w:p>
    <w:p w:rsidRPr="00573A19" w:rsidR="001C51A2" w:rsidP="00FA21DC" w:rsidRDefault="004A0513" w14:paraId="73C8EFCE" w14:textId="1557A0A6">
      <w:pPr>
        <w:rPr>
          <w:rFonts w:ascii="Palatino Linotype" w:hAnsi="Palatino Linotype"/>
        </w:rPr>
      </w:pPr>
      <w:r w:rsidRPr="00573A19">
        <w:rPr>
          <w:rFonts w:ascii="Palatino Linotype" w:hAnsi="Palatino Linotype"/>
        </w:rPr>
        <w:t>C</w:t>
      </w:r>
      <w:r w:rsidRPr="00573A19" w:rsidR="00DB27DA">
        <w:rPr>
          <w:rFonts w:ascii="Palatino Linotype" w:hAnsi="Palatino Linotype"/>
        </w:rPr>
        <w:t xml:space="preserve">ustomer bills </w:t>
      </w:r>
      <w:r w:rsidRPr="00573A19" w:rsidR="0045740E">
        <w:rPr>
          <w:rFonts w:ascii="Palatino Linotype" w:hAnsi="Palatino Linotype"/>
        </w:rPr>
        <w:t>(</w:t>
      </w:r>
      <w:r w:rsidRPr="00573A19" w:rsidR="001C51A2">
        <w:rPr>
          <w:rFonts w:ascii="Palatino Linotype" w:hAnsi="Palatino Linotype"/>
        </w:rPr>
        <w:t>required in the previous tab</w:t>
      </w:r>
      <w:r w:rsidRPr="00573A19" w:rsidR="0045740E">
        <w:rPr>
          <w:rFonts w:ascii="Palatino Linotype" w:hAnsi="Palatino Linotype"/>
        </w:rPr>
        <w:t>)</w:t>
      </w:r>
      <w:r w:rsidRPr="00573A19" w:rsidR="001C51A2">
        <w:rPr>
          <w:rFonts w:ascii="Palatino Linotype" w:hAnsi="Palatino Linotype"/>
        </w:rPr>
        <w:t xml:space="preserve"> </w:t>
      </w:r>
      <w:r w:rsidRPr="00573A19" w:rsidR="00DB27DA">
        <w:rPr>
          <w:rFonts w:ascii="Palatino Linotype" w:hAnsi="Palatino Linotype"/>
        </w:rPr>
        <w:t xml:space="preserve">may or may not be an accurate predictor of </w:t>
      </w:r>
      <w:r w:rsidRPr="00573A19">
        <w:rPr>
          <w:rFonts w:ascii="Palatino Linotype" w:hAnsi="Palatino Linotype"/>
        </w:rPr>
        <w:t xml:space="preserve">customer </w:t>
      </w:r>
      <w:r w:rsidRPr="00573A19" w:rsidR="00DB27DA">
        <w:rPr>
          <w:rFonts w:ascii="Palatino Linotype" w:hAnsi="Palatino Linotype"/>
        </w:rPr>
        <w:t>energy use</w:t>
      </w:r>
      <w:r w:rsidRPr="00573A19">
        <w:rPr>
          <w:rFonts w:ascii="Palatino Linotype" w:hAnsi="Palatino Linotype"/>
        </w:rPr>
        <w:t xml:space="preserve">. </w:t>
      </w:r>
      <w:r w:rsidRPr="00573A19" w:rsidR="005A1D25">
        <w:rPr>
          <w:rFonts w:ascii="Palatino Linotype" w:hAnsi="Palatino Linotype"/>
        </w:rPr>
        <w:t>So,</w:t>
      </w:r>
      <w:r w:rsidRPr="00573A19">
        <w:rPr>
          <w:rFonts w:ascii="Palatino Linotype" w:hAnsi="Palatino Linotype"/>
        </w:rPr>
        <w:t xml:space="preserve"> looking at a</w:t>
      </w:r>
      <w:r w:rsidRPr="00573A19" w:rsidR="0045740E">
        <w:rPr>
          <w:rFonts w:ascii="Palatino Linotype" w:hAnsi="Palatino Linotype"/>
        </w:rPr>
        <w:t xml:space="preserve">verage </w:t>
      </w:r>
      <w:r w:rsidRPr="00573A19">
        <w:rPr>
          <w:rFonts w:ascii="Palatino Linotype" w:hAnsi="Palatino Linotype"/>
        </w:rPr>
        <w:t xml:space="preserve">customer energy use as </w:t>
      </w:r>
      <w:r w:rsidRPr="00573A19">
        <w:rPr>
          <w:rFonts w:ascii="Palatino Linotype" w:hAnsi="Palatino Linotype"/>
        </w:rPr>
        <w:lastRenderedPageBreak/>
        <w:t xml:space="preserve">a function of rates </w:t>
      </w:r>
      <w:r w:rsidRPr="00573A19" w:rsidR="001C51A2">
        <w:rPr>
          <w:rFonts w:ascii="Palatino Linotype" w:hAnsi="Palatino Linotype"/>
        </w:rPr>
        <w:t xml:space="preserve">is </w:t>
      </w:r>
      <w:r w:rsidRPr="00573A19" w:rsidR="0045740E">
        <w:rPr>
          <w:rFonts w:ascii="Palatino Linotype" w:hAnsi="Palatino Linotype"/>
        </w:rPr>
        <w:t xml:space="preserve">also </w:t>
      </w:r>
      <w:r w:rsidRPr="00573A19" w:rsidR="001C51A2">
        <w:rPr>
          <w:rFonts w:ascii="Palatino Linotype" w:hAnsi="Palatino Linotype"/>
        </w:rPr>
        <w:t xml:space="preserve">necessary. </w:t>
      </w:r>
      <w:r w:rsidRPr="00573A19" w:rsidR="0045740E">
        <w:rPr>
          <w:rFonts w:ascii="Palatino Linotype" w:hAnsi="Palatino Linotype"/>
        </w:rPr>
        <w:t>For example, t</w:t>
      </w:r>
      <w:r w:rsidRPr="00573A19" w:rsidR="001C51A2">
        <w:rPr>
          <w:rFonts w:ascii="Palatino Linotype" w:hAnsi="Palatino Linotype"/>
        </w:rPr>
        <w:t>his data could shed light on the overall impact of time of use rates on energy use.</w:t>
      </w:r>
    </w:p>
    <w:p w:rsidRPr="00573A19" w:rsidR="00213654" w:rsidP="00FA21DC" w:rsidRDefault="00213654" w14:paraId="5DBAC995" w14:textId="77777777">
      <w:pPr>
        <w:rPr>
          <w:rFonts w:ascii="Palatino Linotype" w:hAnsi="Palatino Linotype"/>
        </w:rPr>
      </w:pPr>
    </w:p>
    <w:p w:rsidRPr="00573A19" w:rsidR="0045740E" w:rsidP="00FA21DC" w:rsidRDefault="001C51A2" w14:paraId="760466B2" w14:textId="77777777">
      <w:pPr>
        <w:rPr>
          <w:rFonts w:ascii="Palatino Linotype" w:hAnsi="Palatino Linotype"/>
        </w:rPr>
      </w:pPr>
      <w:r w:rsidRPr="00573A19">
        <w:rPr>
          <w:rFonts w:ascii="Palatino Linotype" w:hAnsi="Palatino Linotype"/>
        </w:rPr>
        <w:t xml:space="preserve">Median energy use, as opposed to average, may also be useful, as outliers can skew the mean. We propose to limit it to one </w:t>
      </w:r>
      <w:r w:rsidRPr="00573A19" w:rsidR="0045740E">
        <w:rPr>
          <w:rFonts w:ascii="Palatino Linotype" w:hAnsi="Palatino Linotype"/>
        </w:rPr>
        <w:t>statistic</w:t>
      </w:r>
      <w:r w:rsidRPr="00573A19">
        <w:rPr>
          <w:rFonts w:ascii="Palatino Linotype" w:hAnsi="Palatino Linotype"/>
        </w:rPr>
        <w:t xml:space="preserve"> this year, but </w:t>
      </w:r>
      <w:r w:rsidRPr="00573A19" w:rsidR="0045740E">
        <w:rPr>
          <w:rFonts w:ascii="Palatino Linotype" w:hAnsi="Palatino Linotype"/>
        </w:rPr>
        <w:t>will consider stakeholder comments as to whether other statistics may be better.</w:t>
      </w:r>
    </w:p>
    <w:p w:rsidRPr="00573A19" w:rsidR="00FA21DC" w:rsidP="00FA21DC" w:rsidRDefault="001C51A2" w14:paraId="697EB3C7" w14:textId="67F325F7">
      <w:pPr>
        <w:rPr>
          <w:rFonts w:ascii="Palatino Linotype" w:hAnsi="Palatino Linotype"/>
        </w:rPr>
      </w:pPr>
      <w:r w:rsidRPr="00573A19">
        <w:rPr>
          <w:rFonts w:ascii="Palatino Linotype" w:hAnsi="Palatino Linotype"/>
        </w:rPr>
        <w:t xml:space="preserve">   </w:t>
      </w:r>
    </w:p>
    <w:p w:rsidRPr="00573A19" w:rsidR="00013A03" w:rsidP="00013A03" w:rsidRDefault="00013A03" w14:paraId="6E0AEBD1" w14:textId="478D007D">
      <w:pPr>
        <w:pStyle w:val="Heading4"/>
        <w:rPr>
          <w:rFonts w:ascii="Palatino Linotype" w:hAnsi="Palatino Linotype"/>
        </w:rPr>
      </w:pPr>
      <w:r w:rsidRPr="00573A19">
        <w:rPr>
          <w:rFonts w:ascii="Palatino Linotype" w:hAnsi="Palatino Linotype"/>
        </w:rPr>
        <w:t xml:space="preserve">Energy Use as a Function of </w:t>
      </w:r>
      <w:r w:rsidRPr="00573A19" w:rsidR="002859C5">
        <w:rPr>
          <w:rFonts w:ascii="Palatino Linotype" w:hAnsi="Palatino Linotype"/>
        </w:rPr>
        <w:t>Dwelling</w:t>
      </w:r>
      <w:r w:rsidRPr="00573A19" w:rsidR="00FA21DC">
        <w:rPr>
          <w:rFonts w:ascii="Palatino Linotype" w:hAnsi="Palatino Linotype"/>
        </w:rPr>
        <w:t xml:space="preserve"> Age</w:t>
      </w:r>
      <w:r w:rsidRPr="00573A19">
        <w:rPr>
          <w:rFonts w:ascii="Palatino Linotype" w:hAnsi="Palatino Linotype"/>
        </w:rPr>
        <w:t xml:space="preserve">  </w:t>
      </w:r>
    </w:p>
    <w:p w:rsidRPr="00573A19" w:rsidR="00606AA9" w:rsidP="00DC62DA" w:rsidRDefault="00213654" w14:paraId="236AD68D" w14:textId="7A67AF53">
      <w:pPr>
        <w:rPr>
          <w:rFonts w:ascii="Palatino Linotype" w:hAnsi="Palatino Linotype"/>
        </w:rPr>
      </w:pPr>
      <w:r w:rsidRPr="00573A19">
        <w:rPr>
          <w:rFonts w:ascii="Palatino Linotype" w:hAnsi="Palatino Linotype"/>
        </w:rPr>
        <w:t xml:space="preserve">The energy use </w:t>
      </w:r>
      <w:r w:rsidRPr="00573A19" w:rsidR="00606AA9">
        <w:rPr>
          <w:rFonts w:ascii="Palatino Linotype" w:hAnsi="Palatino Linotype"/>
        </w:rPr>
        <w:t xml:space="preserve">tab asks for number of customers and energy use data as a function of age of </w:t>
      </w:r>
      <w:r w:rsidRPr="00573A19" w:rsidR="002859C5">
        <w:rPr>
          <w:rFonts w:ascii="Palatino Linotype" w:hAnsi="Palatino Linotype"/>
        </w:rPr>
        <w:t>dwelling</w:t>
      </w:r>
      <w:r w:rsidRPr="00573A19" w:rsidR="00606AA9">
        <w:rPr>
          <w:rFonts w:ascii="Palatino Linotype" w:hAnsi="Palatino Linotype"/>
        </w:rPr>
        <w:t xml:space="preserve">. Year of meter installation is assumed to be a proxy </w:t>
      </w:r>
      <w:r w:rsidRPr="00573A19" w:rsidR="008067C1">
        <w:rPr>
          <w:rFonts w:ascii="Palatino Linotype" w:hAnsi="Palatino Linotype"/>
        </w:rPr>
        <w:t>for</w:t>
      </w:r>
      <w:r w:rsidRPr="00573A19" w:rsidR="00606AA9">
        <w:rPr>
          <w:rFonts w:ascii="Palatino Linotype" w:hAnsi="Palatino Linotype"/>
        </w:rPr>
        <w:t xml:space="preserve"> the construction year. </w:t>
      </w:r>
    </w:p>
    <w:p w:rsidRPr="00573A19" w:rsidR="00213654" w:rsidP="00DC62DA" w:rsidRDefault="00213654" w14:paraId="3A34D70E" w14:textId="77777777">
      <w:pPr>
        <w:rPr>
          <w:rFonts w:ascii="Palatino Linotype" w:hAnsi="Palatino Linotype"/>
        </w:rPr>
      </w:pPr>
    </w:p>
    <w:p w:rsidRPr="00573A19" w:rsidR="002859C5" w:rsidP="00DC62DA" w:rsidRDefault="005A1D25" w14:paraId="3CB802B5" w14:textId="182AFFD7">
      <w:pPr>
        <w:rPr>
          <w:rFonts w:ascii="Palatino Linotype" w:hAnsi="Palatino Linotype"/>
        </w:rPr>
      </w:pPr>
      <w:r w:rsidRPr="00573A19">
        <w:rPr>
          <w:rFonts w:ascii="Palatino Linotype" w:hAnsi="Palatino Linotype"/>
        </w:rPr>
        <w:t xml:space="preserve">Older </w:t>
      </w:r>
      <w:r w:rsidRPr="00573A19" w:rsidR="002859C5">
        <w:rPr>
          <w:rFonts w:ascii="Palatino Linotype" w:hAnsi="Palatino Linotype"/>
        </w:rPr>
        <w:t>dwellings</w:t>
      </w:r>
      <w:r w:rsidRPr="00573A19">
        <w:rPr>
          <w:rFonts w:ascii="Palatino Linotype" w:hAnsi="Palatino Linotype"/>
        </w:rPr>
        <w:t xml:space="preserve"> tend to be less energy efficient, as stricter building energy code over time likely means that </w:t>
      </w:r>
      <w:r w:rsidRPr="00573A19" w:rsidR="002859C5">
        <w:rPr>
          <w:rFonts w:ascii="Palatino Linotype" w:hAnsi="Palatino Linotype"/>
        </w:rPr>
        <w:t>dwellings</w:t>
      </w:r>
      <w:r w:rsidRPr="00573A19">
        <w:rPr>
          <w:rFonts w:ascii="Palatino Linotype" w:hAnsi="Palatino Linotype"/>
        </w:rPr>
        <w:t xml:space="preserve"> have better thermal envelope (notwithstanding code compliance</w:t>
      </w:r>
      <w:r w:rsidRPr="00573A19" w:rsidR="007C13B0">
        <w:rPr>
          <w:rFonts w:ascii="Palatino Linotype" w:hAnsi="Palatino Linotype"/>
        </w:rPr>
        <w:t xml:space="preserve"> issues</w:t>
      </w:r>
      <w:r w:rsidRPr="00573A19">
        <w:rPr>
          <w:rFonts w:ascii="Palatino Linotype" w:hAnsi="Palatino Linotype"/>
        </w:rPr>
        <w:t xml:space="preserve">). </w:t>
      </w:r>
    </w:p>
    <w:p w:rsidRPr="00573A19" w:rsidR="00213654" w:rsidP="00DC62DA" w:rsidRDefault="00213654" w14:paraId="44A5A715" w14:textId="77777777">
      <w:pPr>
        <w:rPr>
          <w:rFonts w:ascii="Palatino Linotype" w:hAnsi="Palatino Linotype"/>
        </w:rPr>
      </w:pPr>
    </w:p>
    <w:p w:rsidRPr="00573A19" w:rsidR="005F38DE" w:rsidP="00DC62DA" w:rsidRDefault="002859C5" w14:paraId="6500B6B8" w14:textId="54A76B7B">
      <w:pPr>
        <w:rPr>
          <w:rFonts w:ascii="Palatino Linotype" w:hAnsi="Palatino Linotype"/>
        </w:rPr>
      </w:pPr>
      <w:r w:rsidRPr="00573A19">
        <w:rPr>
          <w:rFonts w:ascii="Palatino Linotype" w:hAnsi="Palatino Linotype"/>
        </w:rPr>
        <w:t xml:space="preserve">There are a number of ways this data would inform policy and stakeholders. </w:t>
      </w:r>
      <w:r w:rsidRPr="00573A19" w:rsidR="008067C1">
        <w:rPr>
          <w:rFonts w:ascii="Palatino Linotype" w:hAnsi="Palatino Linotype"/>
        </w:rPr>
        <w:t xml:space="preserve">For example, electrifying leaky, </w:t>
      </w:r>
      <w:r w:rsidRPr="00573A19" w:rsidR="00606AA9">
        <w:rPr>
          <w:rFonts w:ascii="Palatino Linotype" w:hAnsi="Palatino Linotype"/>
        </w:rPr>
        <w:t xml:space="preserve">higher energy use structures </w:t>
      </w:r>
      <w:r w:rsidRPr="00573A19" w:rsidR="008067C1">
        <w:rPr>
          <w:rFonts w:ascii="Palatino Linotype" w:hAnsi="Palatino Linotype"/>
        </w:rPr>
        <w:t xml:space="preserve">of certain vintages </w:t>
      </w:r>
      <w:r w:rsidRPr="00573A19" w:rsidR="00606AA9">
        <w:rPr>
          <w:rFonts w:ascii="Palatino Linotype" w:hAnsi="Palatino Linotype"/>
        </w:rPr>
        <w:t>in pre-dominantly low</w:t>
      </w:r>
      <w:r w:rsidRPr="00573A19" w:rsidR="008067C1">
        <w:rPr>
          <w:rFonts w:ascii="Palatino Linotype" w:hAnsi="Palatino Linotype"/>
        </w:rPr>
        <w:t>-</w:t>
      </w:r>
      <w:r w:rsidRPr="00573A19" w:rsidR="00606AA9">
        <w:rPr>
          <w:rFonts w:ascii="Palatino Linotype" w:hAnsi="Palatino Linotype"/>
        </w:rPr>
        <w:t xml:space="preserve">income climate zones </w:t>
      </w:r>
      <w:r w:rsidRPr="00573A19" w:rsidR="008067C1">
        <w:rPr>
          <w:rFonts w:ascii="Palatino Linotype" w:hAnsi="Palatino Linotype"/>
        </w:rPr>
        <w:t xml:space="preserve">could increase their energy burden, and energy efficiency upgrades may be needed first. </w:t>
      </w:r>
      <w:r w:rsidRPr="00573A19" w:rsidR="005F38DE">
        <w:rPr>
          <w:rFonts w:ascii="Palatino Linotype" w:hAnsi="Palatino Linotype"/>
        </w:rPr>
        <w:t xml:space="preserve">Understanding how many households have undergone comprehensive upgrades through programs like </w:t>
      </w:r>
      <w:r w:rsidRPr="00573A19" w:rsidR="00B13982">
        <w:rPr>
          <w:rFonts w:ascii="Palatino Linotype" w:hAnsi="Palatino Linotype"/>
        </w:rPr>
        <w:t xml:space="preserve">the </w:t>
      </w:r>
      <w:r w:rsidRPr="00573A19" w:rsidR="005F38DE">
        <w:rPr>
          <w:rFonts w:ascii="Palatino Linotype" w:hAnsi="Palatino Linotype"/>
        </w:rPr>
        <w:t>Energy Savings Assistance</w:t>
      </w:r>
      <w:r w:rsidRPr="00573A19" w:rsidR="00B13982">
        <w:rPr>
          <w:rFonts w:ascii="Palatino Linotype" w:hAnsi="Palatino Linotype"/>
        </w:rPr>
        <w:t xml:space="preserve"> Program</w:t>
      </w:r>
      <w:r w:rsidRPr="00573A19" w:rsidR="005F38DE">
        <w:rPr>
          <w:rFonts w:ascii="Palatino Linotype" w:hAnsi="Palatino Linotype"/>
        </w:rPr>
        <w:t xml:space="preserve"> will provide clues to their readiness for electrification</w:t>
      </w:r>
      <w:r w:rsidRPr="00573A19" w:rsidR="00B13982">
        <w:rPr>
          <w:rFonts w:ascii="Palatino Linotype" w:hAnsi="Palatino Linotype"/>
        </w:rPr>
        <w:t xml:space="preserve"> by distinguishing between energy efficient structures and others </w:t>
      </w:r>
      <w:r w:rsidRPr="00573A19" w:rsidR="007375B7">
        <w:rPr>
          <w:rFonts w:ascii="Palatino Linotype" w:hAnsi="Palatino Linotype"/>
        </w:rPr>
        <w:t xml:space="preserve">that </w:t>
      </w:r>
      <w:r w:rsidRPr="00573A19" w:rsidR="00B13982">
        <w:rPr>
          <w:rFonts w:ascii="Palatino Linotype" w:hAnsi="Palatino Linotype"/>
        </w:rPr>
        <w:t>might be more likely to result in wasted energy</w:t>
      </w:r>
      <w:r w:rsidRPr="00573A19" w:rsidR="005F38DE">
        <w:rPr>
          <w:rFonts w:ascii="Palatino Linotype" w:hAnsi="Palatino Linotype"/>
        </w:rPr>
        <w:t>.</w:t>
      </w:r>
    </w:p>
    <w:p w:rsidRPr="00573A19" w:rsidR="002859C5" w:rsidP="00DC62DA" w:rsidRDefault="002859C5" w14:paraId="6CD1B188" w14:textId="4394B128">
      <w:pPr>
        <w:rPr>
          <w:rFonts w:ascii="Palatino Linotype" w:hAnsi="Palatino Linotype"/>
        </w:rPr>
      </w:pPr>
    </w:p>
    <w:p w:rsidRPr="00573A19" w:rsidR="002859C5" w:rsidP="002859C5" w:rsidRDefault="002859C5" w14:paraId="3A5D2406" w14:textId="0C91236B">
      <w:pPr>
        <w:pStyle w:val="Heading4"/>
        <w:rPr>
          <w:rFonts w:ascii="Palatino Linotype" w:hAnsi="Palatino Linotype"/>
        </w:rPr>
      </w:pPr>
      <w:r w:rsidRPr="00573A19">
        <w:rPr>
          <w:rFonts w:ascii="Palatino Linotype" w:hAnsi="Palatino Linotype"/>
        </w:rPr>
        <w:t>Gas Infrastructure Data</w:t>
      </w:r>
    </w:p>
    <w:p w:rsidRPr="00573A19" w:rsidR="003D6F90" w:rsidP="002859C5" w:rsidRDefault="002859C5" w14:paraId="5111E7EE" w14:textId="17D95B97">
      <w:pPr>
        <w:rPr>
          <w:rFonts w:ascii="Palatino Linotype" w:hAnsi="Palatino Linotype"/>
        </w:rPr>
      </w:pPr>
      <w:r w:rsidRPr="00573A19">
        <w:rPr>
          <w:rFonts w:ascii="Palatino Linotype" w:hAnsi="Palatino Linotype"/>
        </w:rPr>
        <w:t xml:space="preserve">As explained under Policy issues, Section IV, we propose </w:t>
      </w:r>
      <w:r w:rsidRPr="00573A19" w:rsidR="003D6F90">
        <w:rPr>
          <w:rFonts w:ascii="Palatino Linotype" w:hAnsi="Palatino Linotype"/>
        </w:rPr>
        <w:t>collecting only certain limited data related to gas infrastructure. Tab 5 in Appendix A requires IOUs to submit high-level information related to planned infrastructure development, presence of Aldyl-A pipes and number of reported gas leaks. Detailed information by project is not being sought in this proceeding.</w:t>
      </w:r>
    </w:p>
    <w:p w:rsidRPr="00573A19" w:rsidR="00E465F9" w:rsidP="00DC62DA" w:rsidRDefault="003D6F90" w14:paraId="22755446" w14:textId="791E8070">
      <w:pPr>
        <w:rPr>
          <w:rFonts w:ascii="Palatino Linotype" w:hAnsi="Palatino Linotype"/>
        </w:rPr>
      </w:pPr>
      <w:r w:rsidRPr="00573A19">
        <w:rPr>
          <w:rFonts w:ascii="Palatino Linotype" w:hAnsi="Palatino Linotype"/>
        </w:rPr>
        <w:t xml:space="preserve"> </w:t>
      </w:r>
    </w:p>
    <w:p w:rsidRPr="00573A19" w:rsidR="00E465F9" w:rsidP="00E465F9" w:rsidRDefault="00E465F9" w14:paraId="4023E40D" w14:textId="1BE166C5">
      <w:pPr>
        <w:pStyle w:val="Heading3"/>
        <w:rPr>
          <w:rFonts w:ascii="Palatino Linotype" w:hAnsi="Palatino Linotype"/>
        </w:rPr>
      </w:pPr>
      <w:r w:rsidRPr="00573A19">
        <w:rPr>
          <w:rFonts w:ascii="Palatino Linotype" w:hAnsi="Palatino Linotype"/>
        </w:rPr>
        <w:lastRenderedPageBreak/>
        <w:t>Confidential Data</w:t>
      </w:r>
    </w:p>
    <w:p w:rsidRPr="00573A19" w:rsidR="00343CA9" w:rsidP="00DC62DA" w:rsidRDefault="00343CA9" w14:paraId="378E1778" w14:textId="078BCD2D">
      <w:pPr>
        <w:rPr>
          <w:rFonts w:ascii="Palatino Linotype" w:hAnsi="Palatino Linotype"/>
        </w:rPr>
      </w:pPr>
      <w:r w:rsidRPr="00573A19">
        <w:rPr>
          <w:rFonts w:ascii="Palatino Linotype" w:hAnsi="Palatino Linotype"/>
        </w:rPr>
        <w:t xml:space="preserve">This resolution does not provide </w:t>
      </w:r>
      <w:r w:rsidRPr="00573A19" w:rsidR="00845AB6">
        <w:rPr>
          <w:rFonts w:ascii="Palatino Linotype" w:hAnsi="Palatino Linotype"/>
        </w:rPr>
        <w:t xml:space="preserve">requirements for </w:t>
      </w:r>
      <w:r w:rsidRPr="00573A19">
        <w:rPr>
          <w:rFonts w:ascii="Palatino Linotype" w:hAnsi="Palatino Linotype"/>
        </w:rPr>
        <w:t>confidential data</w:t>
      </w:r>
      <w:r w:rsidRPr="00573A19" w:rsidR="00845AB6">
        <w:rPr>
          <w:rFonts w:ascii="Palatino Linotype" w:hAnsi="Palatino Linotype"/>
        </w:rPr>
        <w:t xml:space="preserve">, </w:t>
      </w:r>
      <w:r w:rsidRPr="00573A19" w:rsidR="00F35567">
        <w:rPr>
          <w:rFonts w:ascii="Palatino Linotype" w:hAnsi="Palatino Linotype"/>
        </w:rPr>
        <w:t xml:space="preserve">that </w:t>
      </w:r>
      <w:r w:rsidRPr="00573A19" w:rsidR="00845AB6">
        <w:rPr>
          <w:rFonts w:ascii="Palatino Linotype" w:hAnsi="Palatino Linotype"/>
        </w:rPr>
        <w:t xml:space="preserve">typically contain </w:t>
      </w:r>
      <w:r w:rsidRPr="00573A19" w:rsidR="00284F94">
        <w:rPr>
          <w:rFonts w:ascii="Palatino Linotype" w:hAnsi="Palatino Linotype"/>
        </w:rPr>
        <w:t>specifications for</w:t>
      </w:r>
      <w:r w:rsidRPr="00573A19" w:rsidR="00F35567">
        <w:rPr>
          <w:rFonts w:ascii="Palatino Linotype" w:hAnsi="Palatino Linotype"/>
        </w:rPr>
        <w:t xml:space="preserve"> individual customer</w:t>
      </w:r>
      <w:r w:rsidRPr="00573A19" w:rsidR="00845AB6">
        <w:rPr>
          <w:rFonts w:ascii="Palatino Linotype" w:hAnsi="Palatino Linotype"/>
        </w:rPr>
        <w:t xml:space="preserve"> information</w:t>
      </w:r>
      <w:r w:rsidRPr="00573A19" w:rsidR="00284F94">
        <w:rPr>
          <w:rFonts w:ascii="Palatino Linotype" w:hAnsi="Palatino Linotype"/>
        </w:rPr>
        <w:t>,</w:t>
      </w:r>
      <w:r w:rsidRPr="00573A19" w:rsidR="00845AB6">
        <w:rPr>
          <w:rFonts w:ascii="Palatino Linotype" w:hAnsi="Palatino Linotype"/>
        </w:rPr>
        <w:t xml:space="preserve"> </w:t>
      </w:r>
      <w:r w:rsidRPr="00573A19">
        <w:rPr>
          <w:rFonts w:ascii="Palatino Linotype" w:hAnsi="Palatino Linotype"/>
        </w:rPr>
        <w:t xml:space="preserve"> for the following reasons:</w:t>
      </w:r>
    </w:p>
    <w:p w:rsidRPr="00573A19" w:rsidR="00DC62DA" w:rsidP="00343CA9" w:rsidRDefault="00F35567" w14:paraId="32A474EE" w14:textId="41D108BE">
      <w:pPr>
        <w:pStyle w:val="ListParagraph"/>
        <w:numPr>
          <w:ilvl w:val="0"/>
          <w:numId w:val="28"/>
        </w:numPr>
        <w:rPr>
          <w:rFonts w:ascii="Palatino Linotype" w:hAnsi="Palatino Linotype"/>
        </w:rPr>
      </w:pPr>
      <w:r w:rsidRPr="00573A19">
        <w:rPr>
          <w:rFonts w:ascii="Palatino Linotype" w:hAnsi="Palatino Linotype"/>
        </w:rPr>
        <w:t xml:space="preserve">The obligation to preserve customer privacy means that  such confidential </w:t>
      </w:r>
      <w:r w:rsidRPr="00573A19" w:rsidR="00E039A6">
        <w:rPr>
          <w:rFonts w:ascii="Palatino Linotype" w:hAnsi="Palatino Linotype"/>
        </w:rPr>
        <w:t>data can only be released to</w:t>
      </w:r>
      <w:r w:rsidRPr="00573A19" w:rsidR="00343CA9">
        <w:rPr>
          <w:rFonts w:ascii="Palatino Linotype" w:hAnsi="Palatino Linotype"/>
        </w:rPr>
        <w:t xml:space="preserve"> certain entities under specific situations </w:t>
      </w:r>
      <w:r w:rsidRPr="00573A19" w:rsidR="009224B1">
        <w:rPr>
          <w:rFonts w:ascii="Palatino Linotype" w:hAnsi="Palatino Linotype"/>
        </w:rPr>
        <w:t>(</w:t>
      </w:r>
      <w:r w:rsidRPr="00573A19" w:rsidR="00343CA9">
        <w:rPr>
          <w:rFonts w:ascii="Palatino Linotype" w:hAnsi="Palatino Linotype"/>
        </w:rPr>
        <w:t>e.g.</w:t>
      </w:r>
      <w:r w:rsidRPr="00573A19" w:rsidR="009224B1">
        <w:rPr>
          <w:rFonts w:ascii="Palatino Linotype" w:hAnsi="Palatino Linotype"/>
        </w:rPr>
        <w:t>,</w:t>
      </w:r>
      <w:r w:rsidRPr="00573A19" w:rsidR="00343CA9">
        <w:rPr>
          <w:rFonts w:ascii="Palatino Linotype" w:hAnsi="Palatino Linotype"/>
        </w:rPr>
        <w:t xml:space="preserve"> to</w:t>
      </w:r>
      <w:r w:rsidRPr="00573A19" w:rsidR="00E039A6">
        <w:rPr>
          <w:rFonts w:ascii="Palatino Linotype" w:hAnsi="Palatino Linotype"/>
        </w:rPr>
        <w:t xml:space="preserve"> CPUC </w:t>
      </w:r>
      <w:r w:rsidRPr="00573A19" w:rsidR="00343CA9">
        <w:rPr>
          <w:rFonts w:ascii="Palatino Linotype" w:hAnsi="Palatino Linotype"/>
        </w:rPr>
        <w:t xml:space="preserve">or CEC </w:t>
      </w:r>
      <w:r w:rsidRPr="00573A19" w:rsidR="00E039A6">
        <w:rPr>
          <w:rFonts w:ascii="Palatino Linotype" w:hAnsi="Palatino Linotype"/>
        </w:rPr>
        <w:t>staff</w:t>
      </w:r>
      <w:r w:rsidRPr="00573A19" w:rsidR="00343CA9">
        <w:rPr>
          <w:rFonts w:ascii="Palatino Linotype" w:hAnsi="Palatino Linotype"/>
        </w:rPr>
        <w:t>, or their consultants under specific non-disclosure agreements</w:t>
      </w:r>
      <w:r w:rsidRPr="00573A19" w:rsidR="00FE3579">
        <w:rPr>
          <w:rFonts w:ascii="Palatino Linotype" w:hAnsi="Palatino Linotype"/>
        </w:rPr>
        <w:t>, or to IOU consultants under specific agreements</w:t>
      </w:r>
      <w:r w:rsidRPr="00573A19" w:rsidR="009224B1">
        <w:rPr>
          <w:rFonts w:ascii="Palatino Linotype" w:hAnsi="Palatino Linotype"/>
        </w:rPr>
        <w:t>)</w:t>
      </w:r>
      <w:r w:rsidRPr="00573A19" w:rsidR="00845AB6">
        <w:rPr>
          <w:rFonts w:ascii="Palatino Linotype" w:hAnsi="Palatino Linotype"/>
        </w:rPr>
        <w:t>, and cannot be made part of the public process</w:t>
      </w:r>
      <w:r w:rsidRPr="00573A19" w:rsidR="00343CA9">
        <w:rPr>
          <w:rFonts w:ascii="Palatino Linotype" w:hAnsi="Palatino Linotype"/>
        </w:rPr>
        <w:t xml:space="preserve">. </w:t>
      </w:r>
    </w:p>
    <w:p w:rsidRPr="00573A19" w:rsidR="0061351C" w:rsidP="00343CA9" w:rsidRDefault="00FE3579" w14:paraId="5F057ABA" w14:textId="079BC52B">
      <w:pPr>
        <w:pStyle w:val="ListParagraph"/>
        <w:numPr>
          <w:ilvl w:val="0"/>
          <w:numId w:val="28"/>
        </w:numPr>
        <w:rPr>
          <w:rFonts w:ascii="Palatino Linotype" w:hAnsi="Palatino Linotype"/>
        </w:rPr>
      </w:pPr>
      <w:r w:rsidRPr="00573A19">
        <w:rPr>
          <w:rFonts w:ascii="Palatino Linotype" w:hAnsi="Palatino Linotype"/>
        </w:rPr>
        <w:t xml:space="preserve">Once </w:t>
      </w:r>
      <w:r w:rsidRPr="00573A19" w:rsidR="004E7AAA">
        <w:rPr>
          <w:rFonts w:ascii="Palatino Linotype" w:hAnsi="Palatino Linotype"/>
        </w:rPr>
        <w:t>the</w:t>
      </w:r>
      <w:r w:rsidRPr="00573A19" w:rsidR="007C29D7">
        <w:rPr>
          <w:rFonts w:ascii="Palatino Linotype" w:hAnsi="Palatino Linotype"/>
        </w:rPr>
        <w:t xml:space="preserve"> </w:t>
      </w:r>
      <w:r w:rsidRPr="00573A19" w:rsidR="00343CA9">
        <w:rPr>
          <w:rFonts w:ascii="Palatino Linotype" w:hAnsi="Palatino Linotype"/>
        </w:rPr>
        <w:t>p</w:t>
      </w:r>
      <w:r w:rsidRPr="00573A19" w:rsidR="0061351C">
        <w:rPr>
          <w:rFonts w:ascii="Palatino Linotype" w:hAnsi="Palatino Linotype"/>
        </w:rPr>
        <w:t>rogram evaluator</w:t>
      </w:r>
      <w:r w:rsidRPr="00573A19" w:rsidR="00343CA9">
        <w:rPr>
          <w:rFonts w:ascii="Palatino Linotype" w:hAnsi="Palatino Linotype"/>
        </w:rPr>
        <w:t xml:space="preserve"> </w:t>
      </w:r>
      <w:r w:rsidRPr="00573A19" w:rsidR="007C29D7">
        <w:rPr>
          <w:rFonts w:ascii="Palatino Linotype" w:hAnsi="Palatino Linotype"/>
        </w:rPr>
        <w:t xml:space="preserve">for BUILD and TECH is </w:t>
      </w:r>
      <w:r w:rsidRPr="00573A19" w:rsidR="00343CA9">
        <w:rPr>
          <w:rFonts w:ascii="Palatino Linotype" w:hAnsi="Palatino Linotype"/>
        </w:rPr>
        <w:t xml:space="preserve">under contract, </w:t>
      </w:r>
      <w:r w:rsidRPr="00573A19" w:rsidR="007C29D7">
        <w:rPr>
          <w:rFonts w:ascii="Palatino Linotype" w:hAnsi="Palatino Linotype"/>
        </w:rPr>
        <w:t xml:space="preserve">that entity </w:t>
      </w:r>
      <w:r w:rsidRPr="00573A19" w:rsidR="0061351C">
        <w:rPr>
          <w:rFonts w:ascii="Palatino Linotype" w:hAnsi="Palatino Linotype"/>
        </w:rPr>
        <w:t xml:space="preserve">will likely have </w:t>
      </w:r>
      <w:r w:rsidRPr="00573A19" w:rsidR="007C29D7">
        <w:rPr>
          <w:rFonts w:ascii="Palatino Linotype" w:hAnsi="Palatino Linotype"/>
        </w:rPr>
        <w:t xml:space="preserve">its </w:t>
      </w:r>
      <w:r w:rsidRPr="00573A19" w:rsidR="0061351C">
        <w:rPr>
          <w:rFonts w:ascii="Palatino Linotype" w:hAnsi="Palatino Linotype"/>
        </w:rPr>
        <w:t xml:space="preserve">own data needs based on </w:t>
      </w:r>
      <w:r w:rsidRPr="00573A19" w:rsidR="007C29D7">
        <w:rPr>
          <w:rFonts w:ascii="Palatino Linotype" w:hAnsi="Palatino Linotype"/>
        </w:rPr>
        <w:t xml:space="preserve">its </w:t>
      </w:r>
      <w:r w:rsidRPr="00573A19" w:rsidR="0061351C">
        <w:rPr>
          <w:rFonts w:ascii="Palatino Linotype" w:hAnsi="Palatino Linotype"/>
        </w:rPr>
        <w:t xml:space="preserve">evaluation plan. These </w:t>
      </w:r>
      <w:r w:rsidRPr="00573A19" w:rsidR="00FB013C">
        <w:rPr>
          <w:rFonts w:ascii="Palatino Linotype" w:hAnsi="Palatino Linotype"/>
        </w:rPr>
        <w:t xml:space="preserve">data needs </w:t>
      </w:r>
      <w:r w:rsidRPr="00573A19" w:rsidR="0061351C">
        <w:rPr>
          <w:rFonts w:ascii="Palatino Linotype" w:hAnsi="Palatino Linotype"/>
        </w:rPr>
        <w:t xml:space="preserve">can be facilitated by Energy Division staff </w:t>
      </w:r>
      <w:r w:rsidRPr="00573A19">
        <w:rPr>
          <w:rFonts w:ascii="Palatino Linotype" w:hAnsi="Palatino Linotype"/>
        </w:rPr>
        <w:t xml:space="preserve">through data requests to </w:t>
      </w:r>
      <w:r w:rsidRPr="00573A19" w:rsidR="00FB013C">
        <w:rPr>
          <w:rFonts w:ascii="Palatino Linotype" w:hAnsi="Palatino Linotype"/>
        </w:rPr>
        <w:t xml:space="preserve">the </w:t>
      </w:r>
      <w:r w:rsidRPr="00573A19">
        <w:rPr>
          <w:rFonts w:ascii="Palatino Linotype" w:hAnsi="Palatino Linotype"/>
        </w:rPr>
        <w:t>IOU</w:t>
      </w:r>
      <w:r w:rsidRPr="00573A19" w:rsidR="00FB013C">
        <w:rPr>
          <w:rFonts w:ascii="Palatino Linotype" w:hAnsi="Palatino Linotype"/>
        </w:rPr>
        <w:t>s</w:t>
      </w:r>
      <w:r w:rsidRPr="00573A19">
        <w:rPr>
          <w:rFonts w:ascii="Palatino Linotype" w:hAnsi="Palatino Linotype"/>
        </w:rPr>
        <w:t xml:space="preserve"> </w:t>
      </w:r>
      <w:r w:rsidRPr="00573A19" w:rsidR="00343CA9">
        <w:rPr>
          <w:rFonts w:ascii="Palatino Linotype" w:hAnsi="Palatino Linotype"/>
        </w:rPr>
        <w:t xml:space="preserve">at </w:t>
      </w:r>
      <w:r w:rsidRPr="00573A19" w:rsidR="00FB013C">
        <w:rPr>
          <w:rFonts w:ascii="Palatino Linotype" w:hAnsi="Palatino Linotype"/>
        </w:rPr>
        <w:t xml:space="preserve">the necessary </w:t>
      </w:r>
      <w:r w:rsidRPr="00573A19" w:rsidR="00343CA9">
        <w:rPr>
          <w:rFonts w:ascii="Palatino Linotype" w:hAnsi="Palatino Linotype"/>
        </w:rPr>
        <w:t>time.</w:t>
      </w:r>
    </w:p>
    <w:p w:rsidRPr="00573A19" w:rsidR="00DE4882" w:rsidP="00343CA9" w:rsidRDefault="00FE3579" w14:paraId="490263CB" w14:textId="08FA540D">
      <w:pPr>
        <w:pStyle w:val="ListParagraph"/>
        <w:numPr>
          <w:ilvl w:val="0"/>
          <w:numId w:val="28"/>
        </w:numPr>
        <w:rPr>
          <w:rFonts w:ascii="Palatino Linotype" w:hAnsi="Palatino Linotype"/>
        </w:rPr>
      </w:pPr>
      <w:r w:rsidRPr="00573A19">
        <w:rPr>
          <w:rFonts w:ascii="Palatino Linotype" w:hAnsi="Palatino Linotype"/>
        </w:rPr>
        <w:t xml:space="preserve">Stakeholders have not expressed interest regarding what kind of data </w:t>
      </w:r>
      <w:r w:rsidRPr="00573A19" w:rsidR="00BB781B">
        <w:rPr>
          <w:rFonts w:ascii="Palatino Linotype" w:hAnsi="Palatino Linotype"/>
        </w:rPr>
        <w:t xml:space="preserve">the </w:t>
      </w:r>
      <w:r w:rsidRPr="00573A19">
        <w:rPr>
          <w:rFonts w:ascii="Palatino Linotype" w:hAnsi="Palatino Linotype"/>
        </w:rPr>
        <w:t>CPUC or its consultants routinely request or intend to request.</w:t>
      </w:r>
    </w:p>
    <w:p w:rsidRPr="00573A19" w:rsidR="00FE3579" w:rsidP="00343CA9" w:rsidRDefault="00DE4882" w14:paraId="574BBE17" w14:textId="56DAEFAE">
      <w:pPr>
        <w:pStyle w:val="ListParagraph"/>
        <w:numPr>
          <w:ilvl w:val="0"/>
          <w:numId w:val="28"/>
        </w:numPr>
        <w:rPr>
          <w:rFonts w:ascii="Palatino Linotype" w:hAnsi="Palatino Linotype"/>
        </w:rPr>
      </w:pPr>
      <w:r w:rsidRPr="00573A19">
        <w:rPr>
          <w:rFonts w:ascii="Palatino Linotype" w:hAnsi="Palatino Linotype"/>
        </w:rPr>
        <w:t>As program</w:t>
      </w:r>
      <w:r w:rsidRPr="00573A19" w:rsidR="000F1E6E">
        <w:rPr>
          <w:rFonts w:ascii="Palatino Linotype" w:hAnsi="Palatino Linotype"/>
        </w:rPr>
        <w:t>s launch, program implementers could provide the option of voluntary public donation of energy use data to participating customers, in line with the findings and conclusions of D.20-03-027. For customers who agree to make their data non-confidential, their energy use data can be included in future data requirements.</w:t>
      </w:r>
      <w:r w:rsidRPr="00573A19" w:rsidR="00FE3579">
        <w:rPr>
          <w:rFonts w:ascii="Palatino Linotype" w:hAnsi="Palatino Linotype"/>
        </w:rPr>
        <w:t xml:space="preserve"> </w:t>
      </w:r>
    </w:p>
    <w:p w:rsidRPr="00573A19" w:rsidR="005E11C7" w:rsidP="005E11C7" w:rsidRDefault="005E11C7" w14:paraId="2829BAE2" w14:textId="41AFE163">
      <w:pPr>
        <w:ind w:left="360"/>
        <w:rPr>
          <w:rFonts w:ascii="Palatino Linotype" w:hAnsi="Palatino Linotype"/>
        </w:rPr>
      </w:pPr>
    </w:p>
    <w:p w:rsidRPr="00573A19" w:rsidR="003F03A0" w:rsidP="003F03A0" w:rsidRDefault="003F03A0" w14:paraId="20F3448E" w14:textId="618F861D">
      <w:pPr>
        <w:pStyle w:val="Heading3"/>
        <w:rPr>
          <w:rFonts w:ascii="Palatino Linotype" w:hAnsi="Palatino Linotype"/>
        </w:rPr>
      </w:pPr>
      <w:r w:rsidRPr="00573A19">
        <w:rPr>
          <w:rFonts w:ascii="Palatino Linotype" w:hAnsi="Palatino Linotype"/>
        </w:rPr>
        <w:t>Data Format</w:t>
      </w:r>
    </w:p>
    <w:p w:rsidRPr="00573A19" w:rsidR="00180BB9" w:rsidP="003F03A0" w:rsidRDefault="003F03A0" w14:paraId="5F85C1F7" w14:textId="1FB58180">
      <w:pPr>
        <w:rPr>
          <w:rFonts w:ascii="Palatino Linotype" w:hAnsi="Palatino Linotype"/>
        </w:rPr>
      </w:pPr>
      <w:r w:rsidRPr="00573A19">
        <w:rPr>
          <w:rFonts w:ascii="Palatino Linotype" w:hAnsi="Palatino Linotype"/>
        </w:rPr>
        <w:t xml:space="preserve">IOUs shall provide the required data in a </w:t>
      </w:r>
      <w:r w:rsidRPr="00573A19" w:rsidR="00180BB9">
        <w:rPr>
          <w:rFonts w:ascii="Palatino Linotype" w:hAnsi="Palatino Linotype"/>
        </w:rPr>
        <w:t xml:space="preserve">Comma Separated Value (.csv) format using the template provided with this resolution in Appendix A. </w:t>
      </w:r>
    </w:p>
    <w:p w:rsidRPr="00573A19" w:rsidR="00180BB9" w:rsidP="003F03A0" w:rsidRDefault="00180BB9" w14:paraId="3A4E0EAF" w14:textId="77777777">
      <w:pPr>
        <w:rPr>
          <w:rFonts w:ascii="Palatino Linotype" w:hAnsi="Palatino Linotype"/>
        </w:rPr>
      </w:pPr>
    </w:p>
    <w:p w:rsidRPr="00573A19" w:rsidR="00180BB9" w:rsidP="003F03A0" w:rsidRDefault="00180BB9" w14:paraId="51A07431" w14:textId="5588218A">
      <w:pPr>
        <w:rPr>
          <w:rFonts w:ascii="Palatino Linotype" w:hAnsi="Palatino Linotype"/>
        </w:rPr>
      </w:pPr>
      <w:r w:rsidRPr="00573A19">
        <w:rPr>
          <w:rFonts w:ascii="Palatino Linotype" w:hAnsi="Palatino Linotype"/>
        </w:rPr>
        <w:t>W</w:t>
      </w:r>
      <w:r w:rsidRPr="00573A19" w:rsidR="003F03A0">
        <w:rPr>
          <w:rFonts w:ascii="Palatino Linotype" w:hAnsi="Palatino Linotype"/>
        </w:rPr>
        <w:t xml:space="preserve">e acknowledge that </w:t>
      </w:r>
      <w:r w:rsidRPr="00573A19" w:rsidR="004E7AAA">
        <w:rPr>
          <w:rFonts w:ascii="Palatino Linotype" w:hAnsi="Palatino Linotype"/>
        </w:rPr>
        <w:t>this</w:t>
      </w:r>
      <w:r w:rsidRPr="00573A19" w:rsidR="003F03A0">
        <w:rPr>
          <w:rFonts w:ascii="Palatino Linotype" w:hAnsi="Palatino Linotype"/>
        </w:rPr>
        <w:t xml:space="preserve"> format is not ideal for customizable queries. </w:t>
      </w:r>
      <w:r w:rsidRPr="00573A19">
        <w:rPr>
          <w:rFonts w:ascii="Palatino Linotype" w:hAnsi="Palatino Linotype"/>
        </w:rPr>
        <w:t>Setting p</w:t>
      </w:r>
      <w:r w:rsidRPr="00573A19" w:rsidR="003F03A0">
        <w:rPr>
          <w:rFonts w:ascii="Palatino Linotype" w:hAnsi="Palatino Linotype"/>
        </w:rPr>
        <w:t xml:space="preserve">re-assigned </w:t>
      </w:r>
      <w:r w:rsidRPr="00573A19">
        <w:rPr>
          <w:rFonts w:ascii="Palatino Linotype" w:hAnsi="Palatino Linotype"/>
        </w:rPr>
        <w:t xml:space="preserve">two-dimensional </w:t>
      </w:r>
      <w:r w:rsidRPr="00573A19" w:rsidR="003F03A0">
        <w:rPr>
          <w:rFonts w:ascii="Palatino Linotype" w:hAnsi="Palatino Linotype"/>
        </w:rPr>
        <w:t>parameters</w:t>
      </w:r>
      <w:r w:rsidRPr="00573A19">
        <w:rPr>
          <w:rFonts w:ascii="Palatino Linotype" w:hAnsi="Palatino Linotype"/>
        </w:rPr>
        <w:t xml:space="preserve">, </w:t>
      </w:r>
      <w:r w:rsidRPr="00573A19" w:rsidR="003F03A0">
        <w:rPr>
          <w:rFonts w:ascii="Palatino Linotype" w:hAnsi="Palatino Linotype"/>
        </w:rPr>
        <w:t xml:space="preserve">such as energy use as a function of rates, limit the ways in which market characteristics </w:t>
      </w:r>
      <w:r w:rsidRPr="00573A19">
        <w:rPr>
          <w:rFonts w:ascii="Palatino Linotype" w:hAnsi="Palatino Linotype"/>
        </w:rPr>
        <w:t>can be</w:t>
      </w:r>
      <w:r w:rsidRPr="00573A19" w:rsidR="003F03A0">
        <w:rPr>
          <w:rFonts w:ascii="Palatino Linotype" w:hAnsi="Palatino Linotype"/>
        </w:rPr>
        <w:t xml:space="preserve"> visualized. Ideally, an interactive, user-friendly tool would allow various information sets to be </w:t>
      </w:r>
      <w:r w:rsidRPr="00573A19">
        <w:rPr>
          <w:rFonts w:ascii="Palatino Linotype" w:hAnsi="Palatino Linotype"/>
        </w:rPr>
        <w:t>analyzed against each other, and across time</w:t>
      </w:r>
      <w:r w:rsidRPr="00573A19" w:rsidR="003F03A0">
        <w:rPr>
          <w:rFonts w:ascii="Palatino Linotype" w:hAnsi="Palatino Linotype"/>
        </w:rPr>
        <w:t xml:space="preserve">. </w:t>
      </w:r>
    </w:p>
    <w:p w:rsidRPr="00573A19" w:rsidR="00180BB9" w:rsidP="003F03A0" w:rsidRDefault="00180BB9" w14:paraId="0B9C4C85" w14:textId="77777777">
      <w:pPr>
        <w:rPr>
          <w:rFonts w:ascii="Palatino Linotype" w:hAnsi="Palatino Linotype"/>
        </w:rPr>
      </w:pPr>
    </w:p>
    <w:p w:rsidRPr="00573A19" w:rsidR="003F03A0" w:rsidP="003F03A0" w:rsidRDefault="003F03A0" w14:paraId="735BD12C" w14:textId="4BFC3EC6">
      <w:pPr>
        <w:rPr>
          <w:rFonts w:ascii="Palatino Linotype" w:hAnsi="Palatino Linotype"/>
        </w:rPr>
      </w:pPr>
      <w:r w:rsidRPr="00573A19">
        <w:rPr>
          <w:rFonts w:ascii="Palatino Linotype" w:hAnsi="Palatino Linotype"/>
        </w:rPr>
        <w:t xml:space="preserve">However, as mentioned in </w:t>
      </w:r>
      <w:r w:rsidRPr="00573A19" w:rsidR="00180BB9">
        <w:rPr>
          <w:rFonts w:ascii="Palatino Linotype" w:hAnsi="Palatino Linotype"/>
        </w:rPr>
        <w:t>Section VI</w:t>
      </w:r>
      <w:r w:rsidRPr="00573A19">
        <w:rPr>
          <w:rFonts w:ascii="Palatino Linotype" w:hAnsi="Palatino Linotype"/>
        </w:rPr>
        <w:t xml:space="preserve"> </w:t>
      </w:r>
      <w:r w:rsidRPr="00573A19" w:rsidR="00180BB9">
        <w:rPr>
          <w:rFonts w:ascii="Palatino Linotype" w:hAnsi="Palatino Linotype"/>
        </w:rPr>
        <w:t>under</w:t>
      </w:r>
      <w:r w:rsidRPr="00573A19">
        <w:rPr>
          <w:rFonts w:ascii="Palatino Linotype" w:hAnsi="Palatino Linotype"/>
        </w:rPr>
        <w:t xml:space="preserve"> policy issues, we believe that the </w:t>
      </w:r>
      <w:r w:rsidRPr="00573A19" w:rsidR="00180BB9">
        <w:rPr>
          <w:rFonts w:ascii="Palatino Linotype" w:hAnsi="Palatino Linotype"/>
        </w:rPr>
        <w:t xml:space="preserve">statewide energy data analytics </w:t>
      </w:r>
      <w:r w:rsidRPr="00573A19">
        <w:rPr>
          <w:rFonts w:ascii="Palatino Linotype" w:hAnsi="Palatino Linotype"/>
        </w:rPr>
        <w:t xml:space="preserve">tool required by D.18-05-041 </w:t>
      </w:r>
      <w:r w:rsidRPr="00573A19" w:rsidR="00180BB9">
        <w:rPr>
          <w:rFonts w:ascii="Palatino Linotype" w:hAnsi="Palatino Linotype"/>
        </w:rPr>
        <w:t xml:space="preserve">can be designed to achieve this </w:t>
      </w:r>
      <w:r w:rsidRPr="00573A19">
        <w:rPr>
          <w:rFonts w:ascii="Palatino Linotype" w:hAnsi="Palatino Linotype"/>
        </w:rPr>
        <w:t>functionality when it is operational, and could incorporate future data requirements of this proceeding</w:t>
      </w:r>
      <w:r w:rsidRPr="00573A19" w:rsidR="00180BB9">
        <w:rPr>
          <w:rFonts w:ascii="Palatino Linotype" w:hAnsi="Palatino Linotype"/>
        </w:rPr>
        <w:t xml:space="preserve"> without need for additional funding. </w:t>
      </w:r>
      <w:r w:rsidRPr="00573A19">
        <w:rPr>
          <w:rFonts w:ascii="Palatino Linotype" w:hAnsi="Palatino Linotype"/>
        </w:rPr>
        <w:lastRenderedPageBreak/>
        <w:t>Therefore</w:t>
      </w:r>
      <w:r w:rsidRPr="00573A19" w:rsidR="00180BB9">
        <w:rPr>
          <w:rFonts w:ascii="Palatino Linotype" w:hAnsi="Palatino Linotype"/>
        </w:rPr>
        <w:t>,</w:t>
      </w:r>
      <w:r w:rsidRPr="00573A19">
        <w:rPr>
          <w:rFonts w:ascii="Palatino Linotype" w:hAnsi="Palatino Linotype"/>
        </w:rPr>
        <w:t xml:space="preserve"> </w:t>
      </w:r>
      <w:r w:rsidRPr="00573A19" w:rsidR="0055629E">
        <w:rPr>
          <w:rFonts w:ascii="Palatino Linotype" w:hAnsi="Palatino Linotype"/>
        </w:rPr>
        <w:t>we find it unreasonable, at present,</w:t>
      </w:r>
      <w:r w:rsidRPr="00573A19">
        <w:rPr>
          <w:rFonts w:ascii="Palatino Linotype" w:hAnsi="Palatino Linotype"/>
        </w:rPr>
        <w:t xml:space="preserve"> to require IOUs to spend resources for a more sophisticated data dissemination method</w:t>
      </w:r>
      <w:r w:rsidRPr="00573A19" w:rsidR="00180BB9">
        <w:rPr>
          <w:rFonts w:ascii="Palatino Linotype" w:hAnsi="Palatino Linotype"/>
        </w:rPr>
        <w:t>.</w:t>
      </w:r>
    </w:p>
    <w:p w:rsidRPr="00573A19" w:rsidR="00180BB9" w:rsidP="003F03A0" w:rsidRDefault="00180BB9" w14:paraId="4B11D4AB" w14:textId="77777777">
      <w:pPr>
        <w:rPr>
          <w:rFonts w:ascii="Palatino Linotype" w:hAnsi="Palatino Linotype"/>
        </w:rPr>
      </w:pPr>
    </w:p>
    <w:p w:rsidRPr="00573A19" w:rsidR="005E11C7" w:rsidP="005E11C7" w:rsidRDefault="005E11C7" w14:paraId="751A21A6" w14:textId="77777777">
      <w:pPr>
        <w:pStyle w:val="Heading3"/>
        <w:rPr>
          <w:rFonts w:ascii="Palatino Linotype" w:hAnsi="Palatino Linotype"/>
        </w:rPr>
      </w:pPr>
      <w:r w:rsidRPr="00573A19">
        <w:rPr>
          <w:rFonts w:ascii="Palatino Linotype" w:hAnsi="Palatino Linotype"/>
        </w:rPr>
        <w:t>Data Submittal Procedure</w:t>
      </w:r>
    </w:p>
    <w:p w:rsidRPr="00573A19" w:rsidR="005E11C7" w:rsidP="005E11C7" w:rsidRDefault="005E11C7" w14:paraId="0689E1EE" w14:textId="270103E7">
      <w:pPr>
        <w:rPr>
          <w:rFonts w:ascii="Palatino Linotype" w:hAnsi="Palatino Linotype"/>
        </w:rPr>
      </w:pPr>
      <w:r w:rsidRPr="00573A19">
        <w:rPr>
          <w:rFonts w:ascii="Palatino Linotype" w:hAnsi="Palatino Linotype"/>
        </w:rPr>
        <w:t xml:space="preserve">Each IOU shall publish the required data on a publicly accessible website and share the URL with the R.19-01-011 service list within 60 days from the date this resolution is issued. Energy Division staff </w:t>
      </w:r>
      <w:r w:rsidRPr="00573A19" w:rsidR="0055629E">
        <w:rPr>
          <w:rFonts w:ascii="Palatino Linotype" w:hAnsi="Palatino Linotype"/>
        </w:rPr>
        <w:t>are directed to</w:t>
      </w:r>
      <w:r w:rsidRPr="00573A19" w:rsidR="003A5173">
        <w:rPr>
          <w:rFonts w:ascii="Palatino Linotype" w:hAnsi="Palatino Linotype"/>
        </w:rPr>
        <w:t xml:space="preserve"> </w:t>
      </w:r>
      <w:r w:rsidRPr="00573A19">
        <w:rPr>
          <w:rFonts w:ascii="Palatino Linotype" w:hAnsi="Palatino Linotype"/>
        </w:rPr>
        <w:t>post the URL for each IOU data submittal on the Commission’s building decarbonization webpage.</w:t>
      </w:r>
      <w:r w:rsidRPr="00573A19">
        <w:rPr>
          <w:rStyle w:val="FootnoteReference"/>
          <w:rFonts w:ascii="Palatino Linotype" w:hAnsi="Palatino Linotype"/>
        </w:rPr>
        <w:footnoteReference w:id="14"/>
      </w:r>
      <w:r w:rsidRPr="00573A19">
        <w:rPr>
          <w:rFonts w:ascii="Palatino Linotype" w:hAnsi="Palatino Linotype"/>
        </w:rPr>
        <w:t xml:space="preserve"> </w:t>
      </w:r>
    </w:p>
    <w:p w:rsidRPr="00573A19" w:rsidR="005E11C7" w:rsidP="005E11C7" w:rsidRDefault="005E11C7" w14:paraId="72AD2E6A" w14:textId="77777777">
      <w:pPr>
        <w:rPr>
          <w:rFonts w:ascii="Palatino Linotype" w:hAnsi="Palatino Linotype"/>
        </w:rPr>
      </w:pPr>
    </w:p>
    <w:p w:rsidRPr="00573A19" w:rsidR="005E11C7" w:rsidP="005E11C7" w:rsidRDefault="005E11C7" w14:paraId="78DA993B" w14:textId="77777777">
      <w:pPr>
        <w:rPr>
          <w:rFonts w:ascii="Palatino Linotype" w:hAnsi="Palatino Linotype"/>
        </w:rPr>
      </w:pPr>
      <w:r w:rsidRPr="00573A19">
        <w:rPr>
          <w:rFonts w:ascii="Palatino Linotype" w:hAnsi="Palatino Linotype"/>
        </w:rPr>
        <w:t xml:space="preserve">D.20-03-027 requires annual updates to the dataset if no new data submission requirements are issued. IOUs shall maintain prior year data sets with the updated data, so that historical trends and changes can be studied. In future years, if more sophisticated energy data analysis tools required by other proceedings are developed, IOUs may choose to use them or point to them to fulfil these data submittal requirements, provided that the required data is accessible to the public.  </w:t>
      </w:r>
    </w:p>
    <w:p w:rsidRPr="00573A19" w:rsidR="00E465F9" w:rsidP="00DC62DA" w:rsidRDefault="00E465F9" w14:paraId="14773C1E" w14:textId="77777777">
      <w:pPr>
        <w:rPr>
          <w:rFonts w:ascii="Palatino Linotype" w:hAnsi="Palatino Linotype"/>
        </w:rPr>
      </w:pPr>
    </w:p>
    <w:p w:rsidRPr="00573A19" w:rsidR="00CF17DE" w:rsidRDefault="00CF17DE" w14:paraId="16A82360" w14:textId="4E955D3B">
      <w:pPr>
        <w:pStyle w:val="Heading1"/>
        <w:rPr>
          <w:rFonts w:ascii="Palatino Linotype" w:hAnsi="Palatino Linotype"/>
        </w:rPr>
      </w:pPr>
      <w:r w:rsidRPr="00573A19">
        <w:rPr>
          <w:rFonts w:ascii="Palatino Linotype" w:hAnsi="Palatino Linotype"/>
        </w:rPr>
        <w:t>Comments</w:t>
      </w:r>
    </w:p>
    <w:p w:rsidRPr="00573A19" w:rsidR="0024459D" w:rsidP="0024459D" w:rsidRDefault="0024459D" w14:paraId="61C6517C" w14:textId="7F47E200">
      <w:pPr>
        <w:rPr>
          <w:rFonts w:ascii="Palatino Linotype" w:hAnsi="Palatino Linotype"/>
        </w:rPr>
      </w:pPr>
      <w:r w:rsidRPr="00573A19">
        <w:rPr>
          <w:rFonts w:ascii="Palatino Linotype" w:hAnsi="Palatino Linotype"/>
        </w:rPr>
        <w:t xml:space="preserve">Public Utilities Code section 311(g)(1) provides that this resolution must be served on all parties and subject to at least 30 days public review.  Please note that comments are due 20 days from the mailing date of this resolution. Section 311(g)(2) provides that this 30-day review period and 20-day comment period may be reduced or waived upon the stipulation of all parties in the proceeding. </w:t>
      </w:r>
    </w:p>
    <w:p w:rsidRPr="00573A19" w:rsidR="0024459D" w:rsidP="0024459D" w:rsidRDefault="0024459D" w14:paraId="1030F211" w14:textId="77777777">
      <w:pPr>
        <w:rPr>
          <w:rFonts w:ascii="Palatino Linotype" w:hAnsi="Palatino Linotype"/>
        </w:rPr>
      </w:pPr>
    </w:p>
    <w:p w:rsidRPr="00573A19" w:rsidR="0024459D" w:rsidP="0024459D" w:rsidRDefault="0024459D" w14:paraId="40C33EDB" w14:textId="03B623B9">
      <w:pPr>
        <w:rPr>
          <w:rFonts w:ascii="Palatino Linotype" w:hAnsi="Palatino Linotype"/>
        </w:rPr>
      </w:pPr>
      <w:r w:rsidRPr="00573A19">
        <w:rPr>
          <w:rFonts w:ascii="Palatino Linotype" w:hAnsi="Palatino Linotype"/>
        </w:rPr>
        <w:t>The 30-day review and 20-day comment period for the draft of this resolution was neither waived nor reduced.  Accordingly, this draft resolution was mailed to parties for comments, and will be placed on the Commission's agenda no earlier than 30 days from today.</w:t>
      </w:r>
    </w:p>
    <w:p w:rsidRPr="00573A19" w:rsidR="0009172A" w:rsidP="00E97C3C" w:rsidRDefault="0009172A" w14:paraId="76E7CB8E" w14:textId="77777777">
      <w:pPr>
        <w:rPr>
          <w:rFonts w:ascii="Palatino Linotype" w:hAnsi="Palatino Linotype"/>
        </w:rPr>
      </w:pPr>
    </w:p>
    <w:p w:rsidRPr="00573A19" w:rsidR="00CF17DE" w:rsidRDefault="00CF17DE" w14:paraId="07618DBE" w14:textId="7D851E49">
      <w:pPr>
        <w:pStyle w:val="Heading1"/>
        <w:rPr>
          <w:rFonts w:ascii="Palatino Linotype" w:hAnsi="Palatino Linotype"/>
        </w:rPr>
      </w:pPr>
      <w:r w:rsidRPr="00573A19">
        <w:rPr>
          <w:rFonts w:ascii="Palatino Linotype" w:hAnsi="Palatino Linotype"/>
        </w:rPr>
        <w:t>Findings</w:t>
      </w:r>
    </w:p>
    <w:p w:rsidRPr="00573A19" w:rsidR="00CF17DE" w:rsidRDefault="00840547" w14:paraId="4487620D" w14:textId="3C7840E5">
      <w:pPr>
        <w:numPr>
          <w:ilvl w:val="0"/>
          <w:numId w:val="4"/>
        </w:numPr>
        <w:rPr>
          <w:rFonts w:ascii="Palatino Linotype" w:hAnsi="Palatino Linotype"/>
        </w:rPr>
      </w:pPr>
      <w:r w:rsidRPr="00573A19">
        <w:rPr>
          <w:rFonts w:ascii="Palatino Linotype" w:hAnsi="Palatino Linotype"/>
        </w:rPr>
        <w:t xml:space="preserve">D.20-03-027 directed Energy Division staff to issue data requirements for the California investor-owned utilities to inform program planning and </w:t>
      </w:r>
      <w:r w:rsidRPr="00573A19">
        <w:rPr>
          <w:rFonts w:ascii="Palatino Linotype" w:hAnsi="Palatino Linotype"/>
        </w:rPr>
        <w:lastRenderedPageBreak/>
        <w:t>assessment. A staff workshop was held on June 17, 2020 to gather stakeholder feedback for framing the data requirements.</w:t>
      </w:r>
    </w:p>
    <w:p w:rsidRPr="00573A19" w:rsidR="0009418B" w:rsidRDefault="001B54E1" w14:paraId="23D1F196" w14:textId="7155703F">
      <w:pPr>
        <w:numPr>
          <w:ilvl w:val="0"/>
          <w:numId w:val="4"/>
        </w:numPr>
        <w:rPr>
          <w:rFonts w:ascii="Palatino Linotype" w:hAnsi="Palatino Linotype"/>
        </w:rPr>
      </w:pPr>
      <w:r w:rsidRPr="00573A19">
        <w:rPr>
          <w:rFonts w:ascii="Palatino Linotype" w:hAnsi="Palatino Linotype"/>
        </w:rPr>
        <w:t xml:space="preserve">Alternatives to planned gas investment are comprehensively addressed in General Rate Case proceedings. Certain non-confidential data related to long-term gas planning is appropriate to include in this data resolution. </w:t>
      </w:r>
    </w:p>
    <w:p w:rsidRPr="00573A19" w:rsidR="00947589" w:rsidP="00947589" w:rsidRDefault="00947589" w14:paraId="0B0F60F4" w14:textId="77777777">
      <w:pPr>
        <w:numPr>
          <w:ilvl w:val="0"/>
          <w:numId w:val="4"/>
        </w:numPr>
        <w:rPr>
          <w:rFonts w:ascii="Palatino Linotype" w:hAnsi="Palatino Linotype"/>
        </w:rPr>
      </w:pPr>
      <w:r w:rsidRPr="00573A19">
        <w:rPr>
          <w:rFonts w:ascii="Palatino Linotype" w:hAnsi="Palatino Linotype"/>
        </w:rPr>
        <w:t>CEC climate zones and IOU baseline territories are similar but not fully aligned. Programs in this proceeding will need to use the CEC’s CBECC-Res software for program planning and implementation.</w:t>
      </w:r>
    </w:p>
    <w:p w:rsidRPr="00573A19" w:rsidR="00947589" w:rsidRDefault="0009418B" w14:paraId="55C03701" w14:textId="77777777">
      <w:pPr>
        <w:numPr>
          <w:ilvl w:val="0"/>
          <w:numId w:val="4"/>
        </w:numPr>
        <w:rPr>
          <w:rFonts w:ascii="Palatino Linotype" w:hAnsi="Palatino Linotype"/>
        </w:rPr>
      </w:pPr>
      <w:r w:rsidRPr="00573A19">
        <w:rPr>
          <w:rFonts w:ascii="Palatino Linotype" w:hAnsi="Palatino Linotype"/>
        </w:rPr>
        <w:t xml:space="preserve">Date of meter installation is a reasonable proxy to ascertain the age of a </w:t>
      </w:r>
      <w:r w:rsidRPr="00573A19" w:rsidR="00947589">
        <w:rPr>
          <w:rFonts w:ascii="Palatino Linotype" w:hAnsi="Palatino Linotype"/>
        </w:rPr>
        <w:t>dwelling and</w:t>
      </w:r>
      <w:r w:rsidRPr="00573A19">
        <w:rPr>
          <w:rFonts w:ascii="Palatino Linotype" w:hAnsi="Palatino Linotype"/>
        </w:rPr>
        <w:t xml:space="preserve"> is non-confidential data.</w:t>
      </w:r>
    </w:p>
    <w:p w:rsidRPr="00573A19" w:rsidR="0009418B" w:rsidP="00947589" w:rsidRDefault="00947589" w14:paraId="7E298A57" w14:textId="45A2FC02">
      <w:pPr>
        <w:pStyle w:val="ListParagraph"/>
        <w:numPr>
          <w:ilvl w:val="0"/>
          <w:numId w:val="4"/>
        </w:numPr>
        <w:rPr>
          <w:rFonts w:ascii="Palatino Linotype" w:hAnsi="Palatino Linotype"/>
        </w:rPr>
      </w:pPr>
      <w:r w:rsidRPr="00573A19">
        <w:rPr>
          <w:rFonts w:ascii="Palatino Linotype" w:hAnsi="Palatino Linotype"/>
        </w:rPr>
        <w:t>Current CPUC rules do not allow public disclosure of anonymized or aggregated hourly customer energy use data.</w:t>
      </w:r>
      <w:r w:rsidRPr="00573A19" w:rsidR="0009418B">
        <w:rPr>
          <w:rFonts w:ascii="Palatino Linotype" w:hAnsi="Palatino Linotype"/>
        </w:rPr>
        <w:t xml:space="preserve"> </w:t>
      </w:r>
    </w:p>
    <w:p w:rsidRPr="00573A19" w:rsidR="00840547" w:rsidRDefault="009E28D6" w14:paraId="6C5E6C01" w14:textId="7B7FA2E3">
      <w:pPr>
        <w:numPr>
          <w:ilvl w:val="0"/>
          <w:numId w:val="4"/>
        </w:numPr>
        <w:rPr>
          <w:rFonts w:ascii="Palatino Linotype" w:hAnsi="Palatino Linotype"/>
        </w:rPr>
      </w:pPr>
      <w:r w:rsidRPr="00573A19">
        <w:rPr>
          <w:rFonts w:ascii="Palatino Linotype" w:hAnsi="Palatino Linotype"/>
        </w:rPr>
        <w:t>The data submittal requirements, submittal procedure and format set forth in this resolution are reasonable.</w:t>
      </w:r>
    </w:p>
    <w:p w:rsidRPr="00573A19" w:rsidR="00CF17DE" w:rsidRDefault="00CF17DE" w14:paraId="18C97720" w14:textId="77777777">
      <w:pPr>
        <w:rPr>
          <w:rFonts w:ascii="Palatino Linotype" w:hAnsi="Palatino Linotype"/>
          <w:b/>
        </w:rPr>
      </w:pPr>
    </w:p>
    <w:p w:rsidRPr="00573A19" w:rsidR="00CF17DE" w:rsidRDefault="00CF17DE" w14:paraId="03EBB768" w14:textId="77777777">
      <w:pPr>
        <w:pStyle w:val="Heading1"/>
        <w:rPr>
          <w:rFonts w:ascii="Palatino Linotype" w:hAnsi="Palatino Linotype"/>
        </w:rPr>
      </w:pPr>
      <w:r w:rsidRPr="00573A19">
        <w:rPr>
          <w:rFonts w:ascii="Palatino Linotype" w:hAnsi="Palatino Linotype"/>
        </w:rPr>
        <w:t>Therefore it is ordered that:</w:t>
      </w:r>
    </w:p>
    <w:p w:rsidRPr="00573A19" w:rsidR="00270701" w:rsidP="007A314E" w:rsidRDefault="00FE3579" w14:paraId="68C95628" w14:textId="77777777">
      <w:pPr>
        <w:pStyle w:val="ListParagraph"/>
        <w:numPr>
          <w:ilvl w:val="0"/>
          <w:numId w:val="41"/>
        </w:numPr>
        <w:ind w:left="450" w:hanging="450"/>
        <w:rPr>
          <w:rFonts w:ascii="Palatino Linotype" w:hAnsi="Palatino Linotype"/>
        </w:rPr>
      </w:pPr>
      <w:r w:rsidRPr="00573A19">
        <w:rPr>
          <w:rFonts w:ascii="Palatino Linotype" w:hAnsi="Palatino Linotype"/>
        </w:rPr>
        <w:t xml:space="preserve">Pacific Gas and Electric Company, San Diego Gas &amp; Electric Company, Southern California Edison, Southwest Gas Corporation, and Southern California Gas Company are hereby ordered to provide the </w:t>
      </w:r>
      <w:r w:rsidRPr="00573A19" w:rsidR="00AE0D07">
        <w:rPr>
          <w:rFonts w:ascii="Palatino Linotype" w:hAnsi="Palatino Linotype"/>
        </w:rPr>
        <w:t xml:space="preserve">non-confidential </w:t>
      </w:r>
      <w:r w:rsidRPr="00573A19">
        <w:rPr>
          <w:rFonts w:ascii="Palatino Linotype" w:hAnsi="Palatino Linotype"/>
        </w:rPr>
        <w:t>data required in Appendix A within 60 days of the date that this resolution is issued</w:t>
      </w:r>
      <w:r w:rsidRPr="00573A19" w:rsidR="00DE4882">
        <w:rPr>
          <w:rFonts w:ascii="Palatino Linotype" w:hAnsi="Palatino Linotype"/>
        </w:rPr>
        <w:t>, and annually thereafter by September 1 of each calendar year</w:t>
      </w:r>
      <w:r w:rsidRPr="00573A19">
        <w:rPr>
          <w:rFonts w:ascii="Palatino Linotype" w:hAnsi="Palatino Linotype"/>
        </w:rPr>
        <w:t>.</w:t>
      </w:r>
      <w:r w:rsidRPr="00573A19" w:rsidR="00DE4882">
        <w:rPr>
          <w:rFonts w:ascii="Palatino Linotype" w:hAnsi="Palatino Linotype"/>
        </w:rPr>
        <w:t xml:space="preserve"> </w:t>
      </w:r>
    </w:p>
    <w:p w:rsidRPr="00573A19" w:rsidR="00470E40" w:rsidP="007A314E" w:rsidRDefault="00DE4882" w14:paraId="55F3C350" w14:textId="77777777">
      <w:pPr>
        <w:pStyle w:val="ListParagraph"/>
        <w:numPr>
          <w:ilvl w:val="0"/>
          <w:numId w:val="41"/>
        </w:numPr>
        <w:ind w:left="450" w:hanging="450"/>
        <w:rPr>
          <w:rFonts w:ascii="Palatino Linotype" w:hAnsi="Palatino Linotype"/>
        </w:rPr>
      </w:pPr>
      <w:r w:rsidRPr="00573A19">
        <w:rPr>
          <w:rFonts w:ascii="Palatino Linotype" w:hAnsi="Palatino Linotype"/>
        </w:rPr>
        <w:t xml:space="preserve">Energy Division staff may revise the data requirements through another resolution which </w:t>
      </w:r>
      <w:r w:rsidRPr="00573A19" w:rsidR="00B11A0A">
        <w:rPr>
          <w:rFonts w:ascii="Palatino Linotype" w:hAnsi="Palatino Linotype"/>
        </w:rPr>
        <w:t>shall</w:t>
      </w:r>
      <w:r w:rsidRPr="00573A19">
        <w:rPr>
          <w:rFonts w:ascii="Palatino Linotype" w:hAnsi="Palatino Linotype"/>
        </w:rPr>
        <w:t xml:space="preserve"> be issued no later than July 1 every year. </w:t>
      </w:r>
    </w:p>
    <w:p w:rsidRPr="00573A19" w:rsidR="00873F54" w:rsidP="007D17F3" w:rsidRDefault="00521E3D" w14:paraId="69063699" w14:textId="7F767927">
      <w:pPr>
        <w:pStyle w:val="ListParagraph"/>
        <w:numPr>
          <w:ilvl w:val="0"/>
          <w:numId w:val="41"/>
        </w:numPr>
        <w:ind w:left="450" w:hanging="450"/>
        <w:rPr>
          <w:rFonts w:ascii="Palatino Linotype" w:hAnsi="Palatino Linotype"/>
        </w:rPr>
      </w:pPr>
      <w:r w:rsidRPr="00573A19">
        <w:rPr>
          <w:rFonts w:ascii="Palatino Linotype" w:hAnsi="Palatino Linotype"/>
        </w:rPr>
        <w:t xml:space="preserve">Each IOU </w:t>
      </w:r>
      <w:r w:rsidRPr="00573A19" w:rsidR="003A5173">
        <w:rPr>
          <w:rFonts w:ascii="Palatino Linotype" w:hAnsi="Palatino Linotype"/>
        </w:rPr>
        <w:t>is</w:t>
      </w:r>
      <w:r w:rsidRPr="00573A19" w:rsidR="0055629E">
        <w:rPr>
          <w:rFonts w:ascii="Palatino Linotype" w:hAnsi="Palatino Linotype"/>
        </w:rPr>
        <w:t xml:space="preserve"> directed to </w:t>
      </w:r>
      <w:r w:rsidRPr="00573A19">
        <w:rPr>
          <w:rFonts w:ascii="Palatino Linotype" w:hAnsi="Palatino Linotype"/>
        </w:rPr>
        <w:t>maintain a copy of the non-confidential data</w:t>
      </w:r>
      <w:r w:rsidRPr="00573A19" w:rsidR="003F03A0">
        <w:rPr>
          <w:rFonts w:ascii="Palatino Linotype" w:hAnsi="Palatino Linotype"/>
        </w:rPr>
        <w:t xml:space="preserve"> required by this resolution</w:t>
      </w:r>
      <w:r w:rsidRPr="00573A19">
        <w:rPr>
          <w:rFonts w:ascii="Palatino Linotype" w:hAnsi="Palatino Linotype"/>
        </w:rPr>
        <w:t xml:space="preserve"> on a publicly accessible website and share the URL with the R.19-01-011 service list</w:t>
      </w:r>
      <w:r w:rsidRPr="00573A19" w:rsidR="000645AC">
        <w:rPr>
          <w:rFonts w:ascii="Palatino Linotype" w:hAnsi="Palatino Linotype"/>
        </w:rPr>
        <w:t xml:space="preserve">. </w:t>
      </w:r>
    </w:p>
    <w:p w:rsidRPr="00573A19" w:rsidR="00CF17DE" w:rsidP="007D17F3" w:rsidRDefault="00521E3D" w14:paraId="4BCDF939" w14:textId="7F12D7C8">
      <w:pPr>
        <w:pStyle w:val="ListParagraph"/>
        <w:numPr>
          <w:ilvl w:val="0"/>
          <w:numId w:val="41"/>
        </w:numPr>
        <w:ind w:left="450" w:hanging="450"/>
        <w:rPr>
          <w:rFonts w:ascii="Palatino Linotype" w:hAnsi="Palatino Linotype"/>
        </w:rPr>
      </w:pPr>
      <w:r w:rsidRPr="00573A19">
        <w:rPr>
          <w:rFonts w:ascii="Palatino Linotype" w:hAnsi="Palatino Linotype"/>
        </w:rPr>
        <w:t xml:space="preserve">Energy Division staff </w:t>
      </w:r>
      <w:r w:rsidRPr="00573A19" w:rsidR="0055629E">
        <w:rPr>
          <w:rFonts w:ascii="Palatino Linotype" w:hAnsi="Palatino Linotype"/>
        </w:rPr>
        <w:t xml:space="preserve">are directed to </w:t>
      </w:r>
      <w:r w:rsidRPr="00573A19">
        <w:rPr>
          <w:rFonts w:ascii="Palatino Linotype" w:hAnsi="Palatino Linotype"/>
        </w:rPr>
        <w:t>post the URL for each IOU data submittal on the Commission’s building decarbonization webpage.</w:t>
      </w:r>
      <w:r w:rsidRPr="00573A19">
        <w:rPr>
          <w:rStyle w:val="FootnoteReference"/>
          <w:rFonts w:ascii="Palatino Linotype" w:hAnsi="Palatino Linotype"/>
        </w:rPr>
        <w:footnoteReference w:id="15"/>
      </w:r>
      <w:r w:rsidRPr="00573A19" w:rsidR="003F03A0">
        <w:rPr>
          <w:rFonts w:ascii="Palatino Linotype" w:hAnsi="Palatino Linotype"/>
        </w:rPr>
        <w:t xml:space="preserve"> </w:t>
      </w:r>
      <w:r w:rsidRPr="00573A19" w:rsidR="000645AC">
        <w:rPr>
          <w:rFonts w:ascii="Palatino Linotype" w:hAnsi="Palatino Linotype"/>
        </w:rPr>
        <w:t>IOUs shall publish</w:t>
      </w:r>
      <w:r w:rsidRPr="00573A19">
        <w:rPr>
          <w:rFonts w:ascii="Palatino Linotype" w:hAnsi="Palatino Linotype"/>
        </w:rPr>
        <w:t xml:space="preserve"> annual updates to the dataset if no new data submission requirements are issued. Prior year data sets shall be maintained along with the updated data, so that historical trends and changes can be studied.</w:t>
      </w:r>
    </w:p>
    <w:p w:rsidR="007D12F4" w:rsidRDefault="007D12F4" w14:paraId="12F91E49" w14:textId="47271A21">
      <w:pPr>
        <w:tabs>
          <w:tab w:val="left" w:pos="720"/>
          <w:tab w:val="left" w:pos="1296"/>
          <w:tab w:val="left" w:pos="2016"/>
          <w:tab w:val="left" w:pos="2736"/>
          <w:tab w:val="left" w:pos="3456"/>
          <w:tab w:val="left" w:pos="4176"/>
          <w:tab w:val="left" w:pos="5760"/>
        </w:tabs>
        <w:rPr>
          <w:rFonts w:ascii="Palatino Linotype" w:hAnsi="Palatino Linotype"/>
        </w:rPr>
      </w:pPr>
      <w:r>
        <w:rPr>
          <w:rFonts w:ascii="Palatino Linotype" w:hAnsi="Palatino Linotype"/>
        </w:rPr>
        <w:br/>
      </w:r>
    </w:p>
    <w:p w:rsidR="007D12F4" w:rsidRDefault="007D12F4" w14:paraId="42224FF6" w14:textId="77777777">
      <w:pPr>
        <w:rPr>
          <w:rFonts w:ascii="Palatino Linotype" w:hAnsi="Palatino Linotype"/>
        </w:rPr>
      </w:pPr>
      <w:r>
        <w:rPr>
          <w:rFonts w:ascii="Palatino Linotype" w:hAnsi="Palatino Linotype"/>
        </w:rPr>
        <w:br w:type="page"/>
      </w:r>
    </w:p>
    <w:p w:rsidRPr="00573A19" w:rsidR="00FE3579" w:rsidRDefault="00FE3579" w14:paraId="7100CF8C" w14:textId="77777777">
      <w:pPr>
        <w:tabs>
          <w:tab w:val="left" w:pos="720"/>
          <w:tab w:val="left" w:pos="1296"/>
          <w:tab w:val="left" w:pos="2016"/>
          <w:tab w:val="left" w:pos="2736"/>
          <w:tab w:val="left" w:pos="3456"/>
          <w:tab w:val="left" w:pos="4176"/>
          <w:tab w:val="left" w:pos="5760"/>
        </w:tabs>
        <w:rPr>
          <w:rFonts w:ascii="Palatino Linotype" w:hAnsi="Palatino Linotype"/>
        </w:rPr>
      </w:pPr>
    </w:p>
    <w:p w:rsidRPr="00573A19" w:rsidR="00CF17DE" w:rsidRDefault="00CF17DE" w14:paraId="37DEE6CF" w14:textId="77777777">
      <w:pPr>
        <w:tabs>
          <w:tab w:val="left" w:pos="720"/>
          <w:tab w:val="left" w:pos="1296"/>
          <w:tab w:val="left" w:pos="2016"/>
          <w:tab w:val="left" w:pos="2736"/>
          <w:tab w:val="left" w:pos="3456"/>
          <w:tab w:val="left" w:pos="4176"/>
          <w:tab w:val="left" w:pos="5760"/>
        </w:tabs>
        <w:rPr>
          <w:rFonts w:ascii="Palatino Linotype" w:hAnsi="Palatino Linotype"/>
        </w:rPr>
      </w:pPr>
      <w:r w:rsidRPr="00573A19">
        <w:rPr>
          <w:rFonts w:ascii="Palatino Linotype" w:hAnsi="Palatino Linotype"/>
        </w:rPr>
        <w:t>This Resolution is effective today.</w:t>
      </w:r>
    </w:p>
    <w:p w:rsidRPr="00573A19" w:rsidR="00CB42C3" w:rsidRDefault="00CB42C3" w14:paraId="7D496AA3" w14:textId="77777777">
      <w:pPr>
        <w:tabs>
          <w:tab w:val="left" w:pos="720"/>
          <w:tab w:val="left" w:pos="1296"/>
          <w:tab w:val="left" w:pos="2016"/>
          <w:tab w:val="left" w:pos="2736"/>
          <w:tab w:val="left" w:pos="3456"/>
          <w:tab w:val="left" w:pos="4176"/>
          <w:tab w:val="left" w:pos="5760"/>
        </w:tabs>
        <w:rPr>
          <w:rFonts w:ascii="Palatino Linotype" w:hAnsi="Palatino Linotype"/>
        </w:rPr>
      </w:pPr>
    </w:p>
    <w:p w:rsidRPr="00573A19" w:rsidR="00CF17DE" w:rsidRDefault="00CF17DE" w14:paraId="048CEE72" w14:textId="3B7F4FA4">
      <w:pPr>
        <w:rPr>
          <w:rFonts w:ascii="Palatino Linotype" w:hAnsi="Palatino Linotype"/>
          <w:snapToGrid w:val="0"/>
        </w:rPr>
      </w:pPr>
      <w:r w:rsidRPr="00573A19">
        <w:rPr>
          <w:rFonts w:ascii="Palatino Linotype" w:hAnsi="Palatino Linotype"/>
          <w:snapToGrid w:val="0"/>
        </w:rPr>
        <w:t xml:space="preserve">I certify that the foregoing resolution was duly introduced, passed and adopted at a conference of the Public Utilities Commission of the State of California held on </w:t>
      </w:r>
      <w:r w:rsidR="00030BF5">
        <w:rPr>
          <w:rFonts w:ascii="Palatino Linotype" w:hAnsi="Palatino Linotype"/>
          <w:snapToGrid w:val="0"/>
        </w:rPr>
        <w:t>December 3</w:t>
      </w:r>
      <w:r w:rsidRPr="00573A19" w:rsidR="007301C1">
        <w:rPr>
          <w:rFonts w:ascii="Palatino Linotype" w:hAnsi="Palatino Linotype"/>
          <w:snapToGrid w:val="0"/>
        </w:rPr>
        <w:t>, 2020</w:t>
      </w:r>
      <w:r w:rsidRPr="00573A19" w:rsidR="003F5921">
        <w:rPr>
          <w:rFonts w:ascii="Palatino Linotype" w:hAnsi="Palatino Linotype"/>
          <w:snapToGrid w:val="0"/>
        </w:rPr>
        <w:t>;</w:t>
      </w:r>
      <w:r w:rsidRPr="00573A19">
        <w:rPr>
          <w:rFonts w:ascii="Palatino Linotype" w:hAnsi="Palatino Linotype"/>
          <w:snapToGrid w:val="0"/>
        </w:rPr>
        <w:t xml:space="preserve"> the following Commissioners voting favorably thereon:</w:t>
      </w:r>
    </w:p>
    <w:p w:rsidRPr="00573A19" w:rsidR="00CF17DE" w:rsidRDefault="00CF17DE" w14:paraId="2DA44F60" w14:textId="77777777">
      <w:pPr>
        <w:tabs>
          <w:tab w:val="left" w:pos="720"/>
          <w:tab w:val="left" w:pos="1152"/>
          <w:tab w:val="left" w:pos="1728"/>
          <w:tab w:val="left" w:pos="3168"/>
          <w:tab w:val="left" w:pos="5040"/>
        </w:tabs>
        <w:ind w:right="144"/>
        <w:rPr>
          <w:rFonts w:ascii="Palatino Linotype" w:hAnsi="Palatino Linotype"/>
        </w:rPr>
      </w:pPr>
    </w:p>
    <w:p w:rsidRPr="00573A19" w:rsidR="00CF17DE" w:rsidRDefault="00CF17DE" w14:paraId="1385E60D" w14:textId="77777777">
      <w:pPr>
        <w:tabs>
          <w:tab w:val="left" w:pos="720"/>
          <w:tab w:val="left" w:pos="1152"/>
          <w:tab w:val="left" w:pos="1728"/>
          <w:tab w:val="left" w:pos="3168"/>
          <w:tab w:val="left" w:pos="5040"/>
        </w:tabs>
        <w:ind w:right="144"/>
        <w:rPr>
          <w:rFonts w:ascii="Palatino Linotype" w:hAnsi="Palatino Linotype"/>
        </w:rPr>
      </w:pPr>
    </w:p>
    <w:p w:rsidRPr="00573A19" w:rsidR="00CF17DE" w:rsidRDefault="00CF17DE" w14:paraId="12D741D7" w14:textId="77777777">
      <w:pPr>
        <w:tabs>
          <w:tab w:val="left" w:pos="720"/>
          <w:tab w:val="left" w:pos="1152"/>
          <w:tab w:val="left" w:pos="1728"/>
          <w:tab w:val="left" w:pos="3168"/>
          <w:tab w:val="left" w:pos="5040"/>
        </w:tabs>
        <w:ind w:right="144"/>
        <w:rPr>
          <w:rFonts w:ascii="Palatino Linotype" w:hAnsi="Palatino Linotype"/>
        </w:rPr>
      </w:pPr>
    </w:p>
    <w:p w:rsidRPr="00573A19" w:rsidR="00CF17DE" w:rsidRDefault="00CF17DE" w14:paraId="670582A9" w14:textId="77777777">
      <w:pPr>
        <w:tabs>
          <w:tab w:val="left" w:pos="720"/>
          <w:tab w:val="left" w:pos="1152"/>
          <w:tab w:val="left" w:pos="1728"/>
          <w:tab w:val="left" w:pos="3168"/>
          <w:tab w:val="left" w:pos="5040"/>
        </w:tabs>
        <w:ind w:right="144"/>
        <w:rPr>
          <w:rFonts w:ascii="Palatino Linotype" w:hAnsi="Palatino Linotype"/>
        </w:rPr>
      </w:pPr>
    </w:p>
    <w:p w:rsidRPr="00573A19" w:rsidR="001D4A1F" w:rsidP="00667482" w:rsidRDefault="00CF17DE" w14:paraId="385D4ADF" w14:textId="77777777">
      <w:pPr>
        <w:tabs>
          <w:tab w:val="left" w:pos="720"/>
          <w:tab w:val="left" w:pos="1152"/>
          <w:tab w:val="left" w:pos="1728"/>
          <w:tab w:val="left" w:pos="3168"/>
          <w:tab w:val="left" w:pos="5040"/>
        </w:tabs>
        <w:ind w:right="144"/>
        <w:rPr>
          <w:rFonts w:ascii="Palatino Linotype" w:hAnsi="Palatino Linotype"/>
        </w:rPr>
      </w:pPr>
      <w:r w:rsidRPr="00573A19">
        <w:rPr>
          <w:rFonts w:ascii="Palatino Linotype" w:hAnsi="Palatino Linotype"/>
        </w:rPr>
        <w:tab/>
      </w:r>
      <w:r w:rsidRPr="00573A19">
        <w:rPr>
          <w:rFonts w:ascii="Palatino Linotype" w:hAnsi="Palatino Linotype"/>
        </w:rPr>
        <w:tab/>
      </w:r>
      <w:r w:rsidRPr="00573A19">
        <w:rPr>
          <w:rFonts w:ascii="Palatino Linotype" w:hAnsi="Palatino Linotype"/>
        </w:rPr>
        <w:tab/>
      </w:r>
      <w:r w:rsidRPr="00573A19">
        <w:rPr>
          <w:rFonts w:ascii="Palatino Linotype" w:hAnsi="Palatino Linotype"/>
        </w:rPr>
        <w:tab/>
      </w:r>
      <w:r w:rsidRPr="00573A19">
        <w:rPr>
          <w:rFonts w:ascii="Palatino Linotype" w:hAnsi="Palatino Linotype"/>
        </w:rPr>
        <w:tab/>
      </w:r>
    </w:p>
    <w:p w:rsidRPr="00573A19" w:rsidR="00667482" w:rsidP="00667482" w:rsidRDefault="001D4A1F" w14:paraId="6EDA6C9C" w14:textId="1F136F9B">
      <w:pPr>
        <w:tabs>
          <w:tab w:val="left" w:pos="720"/>
          <w:tab w:val="left" w:pos="1152"/>
          <w:tab w:val="left" w:pos="1728"/>
          <w:tab w:val="left" w:pos="3168"/>
          <w:tab w:val="left" w:pos="5040"/>
        </w:tabs>
        <w:ind w:right="144"/>
        <w:rPr>
          <w:rFonts w:ascii="Palatino Linotype" w:hAnsi="Palatino Linotype"/>
          <w:u w:val="single"/>
        </w:rPr>
      </w:pPr>
      <w:r w:rsidRPr="00573A19">
        <w:rPr>
          <w:rFonts w:ascii="Palatino Linotype" w:hAnsi="Palatino Linotype"/>
        </w:rPr>
        <w:tab/>
      </w:r>
      <w:r w:rsidRPr="00573A19">
        <w:rPr>
          <w:rFonts w:ascii="Palatino Linotype" w:hAnsi="Palatino Linotype"/>
        </w:rPr>
        <w:tab/>
      </w:r>
      <w:r w:rsidRPr="00573A19">
        <w:rPr>
          <w:rFonts w:ascii="Palatino Linotype" w:hAnsi="Palatino Linotype"/>
        </w:rPr>
        <w:tab/>
      </w:r>
      <w:r w:rsidRPr="00573A19">
        <w:rPr>
          <w:rFonts w:ascii="Palatino Linotype" w:hAnsi="Palatino Linotype"/>
        </w:rPr>
        <w:tab/>
      </w:r>
      <w:r w:rsidRPr="00573A19">
        <w:rPr>
          <w:rFonts w:ascii="Palatino Linotype" w:hAnsi="Palatino Linotype"/>
        </w:rPr>
        <w:tab/>
      </w:r>
      <w:r w:rsidRPr="00573A19" w:rsidR="00667482">
        <w:rPr>
          <w:rFonts w:ascii="Palatino Linotype" w:hAnsi="Palatino Linotype"/>
        </w:rPr>
        <w:t>________________________</w:t>
      </w:r>
    </w:p>
    <w:p w:rsidRPr="00573A19" w:rsidR="00667482" w:rsidP="00667482" w:rsidRDefault="00667482" w14:paraId="4C859708" w14:textId="2E6E85A0">
      <w:pPr>
        <w:tabs>
          <w:tab w:val="left" w:pos="720"/>
          <w:tab w:val="left" w:pos="1152"/>
          <w:tab w:val="left" w:pos="1728"/>
          <w:tab w:val="left" w:pos="3168"/>
          <w:tab w:val="left" w:pos="5040"/>
        </w:tabs>
        <w:ind w:left="4320" w:right="144" w:firstLine="720"/>
        <w:rPr>
          <w:rFonts w:ascii="Palatino Linotype" w:hAnsi="Palatino Linotype"/>
        </w:rPr>
      </w:pPr>
      <w:r w:rsidRPr="00573A19">
        <w:rPr>
          <w:rFonts w:ascii="Palatino Linotype" w:hAnsi="Palatino Linotype"/>
        </w:rPr>
        <w:t>Rachel Peterson</w:t>
      </w:r>
      <w:r w:rsidRPr="00573A19">
        <w:rPr>
          <w:rFonts w:ascii="Palatino Linotype" w:hAnsi="Palatino Linotype"/>
        </w:rPr>
        <w:br/>
        <w:t xml:space="preserve">           Acting Executive Director</w:t>
      </w:r>
    </w:p>
    <w:p w:rsidRPr="00573A19" w:rsidR="00667482" w:rsidP="00667482" w:rsidRDefault="00667482" w14:paraId="3BFFD936" w14:textId="77777777">
      <w:pPr>
        <w:tabs>
          <w:tab w:val="left" w:pos="720"/>
          <w:tab w:val="left" w:pos="1152"/>
          <w:tab w:val="left" w:pos="1728"/>
          <w:tab w:val="left" w:pos="3168"/>
          <w:tab w:val="left" w:pos="5040"/>
        </w:tabs>
        <w:ind w:left="4320" w:right="144" w:firstLine="720"/>
        <w:rPr>
          <w:rFonts w:ascii="Palatino Linotype" w:hAnsi="Palatino Linotype"/>
        </w:rPr>
      </w:pPr>
    </w:p>
    <w:p w:rsidRPr="00573A19" w:rsidR="00AB4474" w:rsidRDefault="00BC099E" w14:paraId="1CEB463A" w14:textId="77777777">
      <w:pPr>
        <w:pStyle w:val="Heading1"/>
        <w:jc w:val="center"/>
        <w:rPr>
          <w:rFonts w:ascii="Palatino Linotype" w:hAnsi="Palatino Linotype"/>
        </w:rPr>
        <w:sectPr w:rsidRPr="00573A19" w:rsidR="00AB4474" w:rsidSect="001D4A1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titlePg/>
        </w:sectPr>
      </w:pPr>
      <w:r w:rsidRPr="00573A19">
        <w:rPr>
          <w:rFonts w:ascii="Palatino Linotype" w:hAnsi="Palatino Linotype"/>
        </w:rPr>
        <w:br w:type="page"/>
      </w:r>
    </w:p>
    <w:p w:rsidRPr="00573A19" w:rsidR="00027E61" w:rsidRDefault="00027E61" w14:paraId="3CBBEE86" w14:textId="77777777">
      <w:pPr>
        <w:pStyle w:val="Heading1"/>
        <w:jc w:val="center"/>
        <w:rPr>
          <w:rFonts w:ascii="Palatino Linotype" w:hAnsi="Palatino Linotype"/>
        </w:rPr>
        <w:sectPr w:rsidRPr="00573A19" w:rsidR="00027E61" w:rsidSect="00AB4474">
          <w:headerReference w:type="first" r:id="rId14"/>
          <w:footerReference w:type="first" r:id="rId15"/>
          <w:type w:val="continuous"/>
          <w:pgSz w:w="12240" w:h="15840" w:code="1"/>
          <w:pgMar w:top="1440" w:right="1440" w:bottom="1440" w:left="1440" w:header="720" w:footer="720" w:gutter="0"/>
          <w:pgNumType w:start="0" w:chapStyle="1"/>
          <w:cols w:space="720"/>
          <w:titlePg/>
        </w:sectPr>
      </w:pPr>
    </w:p>
    <w:p w:rsidRPr="00573A19" w:rsidR="00CF17DE" w:rsidRDefault="00BC099E" w14:paraId="2FF2F3DA" w14:textId="65710AE5">
      <w:pPr>
        <w:pStyle w:val="Heading1"/>
        <w:jc w:val="center"/>
        <w:rPr>
          <w:rFonts w:ascii="Palatino Linotype" w:hAnsi="Palatino Linotype"/>
        </w:rPr>
      </w:pPr>
      <w:r w:rsidRPr="00573A19">
        <w:rPr>
          <w:rFonts w:ascii="Palatino Linotype" w:hAnsi="Palatino Linotype"/>
        </w:rPr>
        <w:t>APPENDIX A</w:t>
      </w:r>
    </w:p>
    <w:p w:rsidRPr="00573A19" w:rsidR="006D6383" w:rsidP="003842C0" w:rsidRDefault="00526226" w14:paraId="43E0A8FD" w14:textId="28FEE8A3">
      <w:pPr>
        <w:pStyle w:val="standard"/>
        <w:numPr>
          <w:ilvl w:val="0"/>
          <w:numId w:val="49"/>
        </w:numPr>
        <w:rPr>
          <w:rFonts w:ascii="Palatino Linotype" w:hAnsi="Palatino Linotype"/>
        </w:rPr>
      </w:pPr>
      <w:r w:rsidRPr="00573A19">
        <w:rPr>
          <w:rFonts w:ascii="Palatino Linotype" w:hAnsi="Palatino Linotype"/>
        </w:rPr>
        <w:t>“Instructions”</w:t>
      </w:r>
      <w:r w:rsidRPr="00573A19" w:rsidR="006D6383">
        <w:rPr>
          <w:rFonts w:ascii="Palatino Linotype" w:hAnsi="Palatino Linotype"/>
        </w:rPr>
        <w:t xml:space="preserve">: Provides </w:t>
      </w:r>
      <w:r w:rsidR="002725B4">
        <w:rPr>
          <w:rFonts w:ascii="Palatino Linotype" w:hAnsi="Palatino Linotype"/>
        </w:rPr>
        <w:t>i</w:t>
      </w:r>
      <w:r w:rsidRPr="00573A19" w:rsidR="006D6383">
        <w:rPr>
          <w:rFonts w:ascii="Palatino Linotype" w:hAnsi="Palatino Linotype"/>
        </w:rPr>
        <w:t>nstructions and clarifying d</w:t>
      </w:r>
      <w:r w:rsidRPr="00573A19">
        <w:rPr>
          <w:rFonts w:ascii="Palatino Linotype" w:hAnsi="Palatino Linotype"/>
        </w:rPr>
        <w:t>efinitions</w:t>
      </w:r>
      <w:r w:rsidRPr="00573A19" w:rsidR="006D6383">
        <w:rPr>
          <w:rFonts w:ascii="Palatino Linotype" w:hAnsi="Palatino Linotype"/>
        </w:rPr>
        <w:t xml:space="preserve"> . Also provides staff contact for questions</w:t>
      </w:r>
    </w:p>
    <w:p w:rsidRPr="00573A19" w:rsidR="006D6383" w:rsidP="003842C0" w:rsidRDefault="006D6383" w14:paraId="065426C7" w14:textId="77777777">
      <w:pPr>
        <w:pStyle w:val="standard"/>
        <w:spacing w:line="240" w:lineRule="auto"/>
        <w:ind w:left="720" w:firstLine="0"/>
        <w:rPr>
          <w:rFonts w:ascii="Palatino Linotype" w:hAnsi="Palatino Linotype"/>
        </w:rPr>
      </w:pPr>
    </w:p>
    <w:p w:rsidRPr="00573A19" w:rsidR="006D6383" w:rsidP="006D6383" w:rsidRDefault="006D6383" w14:paraId="21B89F1F" w14:textId="06754C4F">
      <w:pPr>
        <w:pStyle w:val="standard"/>
        <w:numPr>
          <w:ilvl w:val="0"/>
          <w:numId w:val="49"/>
        </w:numPr>
        <w:rPr>
          <w:rFonts w:ascii="Palatino Linotype" w:hAnsi="Palatino Linotype"/>
        </w:rPr>
      </w:pPr>
      <w:r w:rsidRPr="00573A19">
        <w:rPr>
          <w:rFonts w:ascii="Palatino Linotype" w:hAnsi="Palatino Linotype"/>
        </w:rPr>
        <w:t xml:space="preserve">“# of Cust Rates CZ”: </w:t>
      </w:r>
      <w:r w:rsidRPr="00573A19" w:rsidR="006E7F8E">
        <w:rPr>
          <w:rFonts w:ascii="Palatino Linotype" w:hAnsi="Palatino Linotype"/>
        </w:rPr>
        <w:t xml:space="preserve">Total </w:t>
      </w:r>
      <w:r w:rsidRPr="00573A19">
        <w:rPr>
          <w:rFonts w:ascii="Palatino Linotype" w:hAnsi="Palatino Linotype"/>
        </w:rPr>
        <w:t xml:space="preserve">Number of Residential Customers per Climate Zone by Rate Schedule; </w:t>
      </w:r>
      <w:r w:rsidRPr="00573A19" w:rsidR="004E7AAA">
        <w:rPr>
          <w:rFonts w:ascii="Palatino Linotype" w:hAnsi="Palatino Linotype"/>
        </w:rPr>
        <w:t xml:space="preserve">All customers, </w:t>
      </w:r>
      <w:r w:rsidRPr="00573A19">
        <w:rPr>
          <w:rFonts w:ascii="Palatino Linotype" w:hAnsi="Palatino Linotype"/>
        </w:rPr>
        <w:t>CARE Customer</w:t>
      </w:r>
      <w:r w:rsidRPr="00573A19" w:rsidR="006E7F8E">
        <w:rPr>
          <w:rFonts w:ascii="Palatino Linotype" w:hAnsi="Palatino Linotype"/>
        </w:rPr>
        <w:t>s</w:t>
      </w:r>
      <w:r w:rsidRPr="00573A19">
        <w:rPr>
          <w:rFonts w:ascii="Palatino Linotype" w:hAnsi="Palatino Linotype"/>
        </w:rPr>
        <w:t>; Medical Baseline Customer</w:t>
      </w:r>
      <w:r w:rsidRPr="00573A19" w:rsidR="006E7F8E">
        <w:rPr>
          <w:rFonts w:ascii="Palatino Linotype" w:hAnsi="Palatino Linotype"/>
        </w:rPr>
        <w:t>s</w:t>
      </w:r>
    </w:p>
    <w:p w:rsidRPr="00573A19" w:rsidR="006D6383" w:rsidP="006D6383" w:rsidRDefault="006D6383" w14:paraId="42BD3D4E" w14:textId="77777777">
      <w:pPr>
        <w:pStyle w:val="ListParagraph"/>
        <w:rPr>
          <w:rFonts w:ascii="Palatino Linotype" w:hAnsi="Palatino Linotype"/>
        </w:rPr>
      </w:pPr>
    </w:p>
    <w:p w:rsidRPr="00573A19" w:rsidR="006D6383" w:rsidP="006D6383" w:rsidRDefault="006D6383" w14:paraId="06046F59" w14:textId="31569D02">
      <w:pPr>
        <w:pStyle w:val="standard"/>
        <w:numPr>
          <w:ilvl w:val="0"/>
          <w:numId w:val="49"/>
        </w:numPr>
        <w:rPr>
          <w:rFonts w:ascii="Palatino Linotype" w:hAnsi="Palatino Linotype"/>
        </w:rPr>
      </w:pPr>
      <w:r w:rsidRPr="00573A19">
        <w:rPr>
          <w:rFonts w:ascii="Palatino Linotype" w:hAnsi="Palatino Linotype"/>
        </w:rPr>
        <w:t xml:space="preserve">“Bills Rates CZ”: Customer Average Annual Bills per Climate Zone by Rate Schedule; </w:t>
      </w:r>
      <w:r w:rsidRPr="00573A19" w:rsidR="004E7AAA">
        <w:rPr>
          <w:rFonts w:ascii="Palatino Linotype" w:hAnsi="Palatino Linotype"/>
        </w:rPr>
        <w:t xml:space="preserve">All customers, </w:t>
      </w:r>
      <w:r w:rsidRPr="00573A19">
        <w:rPr>
          <w:rFonts w:ascii="Palatino Linotype" w:hAnsi="Palatino Linotype"/>
        </w:rPr>
        <w:t>CARE Customer</w:t>
      </w:r>
      <w:r w:rsidRPr="00573A19" w:rsidR="006E7F8E">
        <w:rPr>
          <w:rFonts w:ascii="Palatino Linotype" w:hAnsi="Palatino Linotype"/>
        </w:rPr>
        <w:t>s</w:t>
      </w:r>
      <w:r w:rsidRPr="00573A19">
        <w:rPr>
          <w:rFonts w:ascii="Palatino Linotype" w:hAnsi="Palatino Linotype"/>
        </w:rPr>
        <w:t>; Medical Baseline Customer</w:t>
      </w:r>
      <w:r w:rsidRPr="00573A19" w:rsidR="006E7F8E">
        <w:rPr>
          <w:rFonts w:ascii="Palatino Linotype" w:hAnsi="Palatino Linotype"/>
        </w:rPr>
        <w:t>s</w:t>
      </w:r>
    </w:p>
    <w:p w:rsidRPr="00573A19" w:rsidR="006D6383" w:rsidP="006D6383" w:rsidRDefault="006D6383" w14:paraId="7FDA71B8" w14:textId="77777777">
      <w:pPr>
        <w:pStyle w:val="ListParagraph"/>
        <w:rPr>
          <w:rFonts w:ascii="Palatino Linotype" w:hAnsi="Palatino Linotype"/>
        </w:rPr>
      </w:pPr>
    </w:p>
    <w:p w:rsidRPr="00573A19" w:rsidR="003842C0" w:rsidP="003842C0" w:rsidRDefault="006D6383" w14:paraId="58473AAE" w14:textId="62D2284C">
      <w:pPr>
        <w:pStyle w:val="standard"/>
        <w:numPr>
          <w:ilvl w:val="0"/>
          <w:numId w:val="49"/>
        </w:numPr>
        <w:rPr>
          <w:rFonts w:ascii="Palatino Linotype" w:hAnsi="Palatino Linotype"/>
        </w:rPr>
      </w:pPr>
      <w:r w:rsidRPr="00573A19">
        <w:rPr>
          <w:rFonts w:ascii="Palatino Linotype" w:hAnsi="Palatino Linotype"/>
        </w:rPr>
        <w:t xml:space="preserve">“Energy Rates CZ”: Customer Average Energy Usage </w:t>
      </w:r>
      <w:r w:rsidRPr="00573A19" w:rsidR="003842C0">
        <w:rPr>
          <w:rFonts w:ascii="Palatino Linotype" w:hAnsi="Palatino Linotype"/>
        </w:rPr>
        <w:t xml:space="preserve">per Climate Zone </w:t>
      </w:r>
      <w:r w:rsidRPr="00573A19">
        <w:rPr>
          <w:rFonts w:ascii="Palatino Linotype" w:hAnsi="Palatino Linotype"/>
        </w:rPr>
        <w:t>by Rate Schedule</w:t>
      </w:r>
      <w:r w:rsidRPr="00573A19" w:rsidR="003842C0">
        <w:rPr>
          <w:rFonts w:ascii="Palatino Linotype" w:hAnsi="Palatino Linotype"/>
        </w:rPr>
        <w:t xml:space="preserve">; </w:t>
      </w:r>
      <w:r w:rsidRPr="00573A19" w:rsidR="004E7AAA">
        <w:rPr>
          <w:rFonts w:ascii="Palatino Linotype" w:hAnsi="Palatino Linotype"/>
        </w:rPr>
        <w:t xml:space="preserve">All customers, </w:t>
      </w:r>
      <w:r w:rsidRPr="00573A19" w:rsidR="003842C0">
        <w:rPr>
          <w:rFonts w:ascii="Palatino Linotype" w:hAnsi="Palatino Linotype"/>
        </w:rPr>
        <w:t>CARE Customer</w:t>
      </w:r>
      <w:r w:rsidRPr="00573A19" w:rsidR="006E7F8E">
        <w:rPr>
          <w:rFonts w:ascii="Palatino Linotype" w:hAnsi="Palatino Linotype"/>
        </w:rPr>
        <w:t>s</w:t>
      </w:r>
      <w:r w:rsidRPr="00573A19" w:rsidR="003842C0">
        <w:rPr>
          <w:rFonts w:ascii="Palatino Linotype" w:hAnsi="Palatino Linotype"/>
        </w:rPr>
        <w:t>; Medical Baseline Customer</w:t>
      </w:r>
      <w:r w:rsidRPr="00573A19" w:rsidR="006E7F8E">
        <w:rPr>
          <w:rFonts w:ascii="Palatino Linotype" w:hAnsi="Palatino Linotype"/>
        </w:rPr>
        <w:t>s</w:t>
      </w:r>
    </w:p>
    <w:p w:rsidRPr="00573A19" w:rsidR="003842C0" w:rsidP="003842C0" w:rsidRDefault="003842C0" w14:paraId="799740A8" w14:textId="77777777">
      <w:pPr>
        <w:pStyle w:val="ListParagraph"/>
        <w:rPr>
          <w:rFonts w:ascii="Palatino Linotype" w:hAnsi="Palatino Linotype"/>
        </w:rPr>
      </w:pPr>
    </w:p>
    <w:p w:rsidRPr="00573A19" w:rsidR="003842C0" w:rsidP="003842C0" w:rsidRDefault="003842C0" w14:paraId="3386D064" w14:textId="3360CBE5">
      <w:pPr>
        <w:pStyle w:val="standard"/>
        <w:numPr>
          <w:ilvl w:val="0"/>
          <w:numId w:val="49"/>
        </w:numPr>
        <w:rPr>
          <w:rFonts w:ascii="Palatino Linotype" w:hAnsi="Palatino Linotype"/>
        </w:rPr>
      </w:pPr>
      <w:r w:rsidRPr="00573A19">
        <w:rPr>
          <w:rFonts w:ascii="Palatino Linotype" w:hAnsi="Palatino Linotype"/>
        </w:rPr>
        <w:t xml:space="preserve">“Energy Age CZ”: Number of Customers per Climate Zone by Age of </w:t>
      </w:r>
      <w:r w:rsidRPr="00573A19" w:rsidR="002E7717">
        <w:rPr>
          <w:rFonts w:ascii="Palatino Linotype" w:hAnsi="Palatino Linotype"/>
        </w:rPr>
        <w:t>Dwelling</w:t>
      </w:r>
      <w:r w:rsidRPr="00573A19" w:rsidR="00BB30AA">
        <w:rPr>
          <w:rFonts w:ascii="Palatino Linotype" w:hAnsi="Palatino Linotype"/>
        </w:rPr>
        <w:t xml:space="preserve">, </w:t>
      </w:r>
      <w:r w:rsidRPr="00573A19">
        <w:rPr>
          <w:rFonts w:ascii="Palatino Linotype" w:hAnsi="Palatino Linotype"/>
        </w:rPr>
        <w:t>Average Energy Usage per Climate Zone by Age of Dwelling</w:t>
      </w:r>
      <w:r w:rsidRPr="00573A19" w:rsidR="006E7F8E">
        <w:rPr>
          <w:rFonts w:ascii="Palatino Linotype" w:hAnsi="Palatino Linotype"/>
        </w:rPr>
        <w:t>;</w:t>
      </w:r>
      <w:r w:rsidRPr="00573A19">
        <w:rPr>
          <w:rFonts w:ascii="Palatino Linotype" w:hAnsi="Palatino Linotype"/>
        </w:rPr>
        <w:t xml:space="preserve"> </w:t>
      </w:r>
      <w:r w:rsidRPr="00573A19" w:rsidR="004E7AAA">
        <w:rPr>
          <w:rFonts w:ascii="Palatino Linotype" w:hAnsi="Palatino Linotype"/>
        </w:rPr>
        <w:t xml:space="preserve">All customers, </w:t>
      </w:r>
      <w:r w:rsidRPr="00573A19">
        <w:rPr>
          <w:rFonts w:ascii="Palatino Linotype" w:hAnsi="Palatino Linotype"/>
        </w:rPr>
        <w:t>CARE Customer</w:t>
      </w:r>
      <w:r w:rsidRPr="00573A19" w:rsidR="006E7F8E">
        <w:rPr>
          <w:rFonts w:ascii="Palatino Linotype" w:hAnsi="Palatino Linotype"/>
        </w:rPr>
        <w:t>s</w:t>
      </w:r>
      <w:r w:rsidRPr="00573A19">
        <w:rPr>
          <w:rFonts w:ascii="Palatino Linotype" w:hAnsi="Palatino Linotype"/>
        </w:rPr>
        <w:t>; Medical Baseline Customer</w:t>
      </w:r>
      <w:r w:rsidRPr="00573A19" w:rsidR="006E7F8E">
        <w:rPr>
          <w:rFonts w:ascii="Palatino Linotype" w:hAnsi="Palatino Linotype"/>
        </w:rPr>
        <w:t>s</w:t>
      </w:r>
    </w:p>
    <w:p w:rsidRPr="00573A19" w:rsidR="00BB30AA" w:rsidP="00BB30AA" w:rsidRDefault="00BB30AA" w14:paraId="6055D632" w14:textId="77777777">
      <w:pPr>
        <w:pStyle w:val="ListParagraph"/>
        <w:rPr>
          <w:rFonts w:ascii="Palatino Linotype" w:hAnsi="Palatino Linotype"/>
        </w:rPr>
      </w:pPr>
    </w:p>
    <w:p w:rsidRPr="00573A19" w:rsidR="006D6383" w:rsidP="00BB30AA" w:rsidRDefault="00BB30AA" w14:paraId="208DED6F" w14:textId="65965F9F">
      <w:pPr>
        <w:pStyle w:val="standard"/>
        <w:numPr>
          <w:ilvl w:val="0"/>
          <w:numId w:val="49"/>
        </w:numPr>
        <w:rPr>
          <w:rFonts w:ascii="Palatino Linotype" w:hAnsi="Palatino Linotype"/>
        </w:rPr>
      </w:pPr>
      <w:r w:rsidRPr="00573A19">
        <w:rPr>
          <w:rFonts w:ascii="Palatino Linotype" w:hAnsi="Palatino Linotype"/>
        </w:rPr>
        <w:t xml:space="preserve">“Gas Infrastructure”: Gas Asset Information per Climate Zone </w:t>
      </w:r>
    </w:p>
    <w:p w:rsidRPr="00573A19" w:rsidR="006D6383" w:rsidP="006D6383" w:rsidRDefault="006D6383" w14:paraId="6C7CF12A" w14:textId="77777777">
      <w:pPr>
        <w:pStyle w:val="standard"/>
        <w:ind w:left="360" w:firstLine="0"/>
        <w:rPr>
          <w:rFonts w:ascii="Palatino Linotype" w:hAnsi="Palatino Linotype"/>
        </w:rPr>
      </w:pPr>
    </w:p>
    <w:p w:rsidRPr="00573A19" w:rsidR="003842C0" w:rsidP="006D6383" w:rsidRDefault="003842C0" w14:paraId="79AD8C91" w14:textId="0C45CAAC">
      <w:pPr>
        <w:pStyle w:val="standard"/>
        <w:ind w:left="360" w:firstLine="0"/>
        <w:rPr>
          <w:rFonts w:ascii="Palatino Linotype" w:hAnsi="Palatino Linotype"/>
        </w:rPr>
        <w:sectPr w:rsidRPr="00573A19" w:rsidR="003842C0" w:rsidSect="00AB4474">
          <w:type w:val="continuous"/>
          <w:pgSz w:w="12240" w:h="15840" w:code="1"/>
          <w:pgMar w:top="1440" w:right="1440" w:bottom="1440" w:left="1440" w:header="720" w:footer="720" w:gutter="0"/>
          <w:pgNumType w:start="0" w:chapStyle="1"/>
          <w:cols w:space="720"/>
          <w:titlePg/>
        </w:sectPr>
      </w:pPr>
    </w:p>
    <w:p w:rsidRPr="00573A19" w:rsidR="00964BFC" w:rsidP="00964BFC" w:rsidRDefault="00964BFC" w14:paraId="46A0916B" w14:textId="4A9DB412">
      <w:pPr>
        <w:pStyle w:val="Heading2"/>
      </w:pPr>
      <w:r w:rsidRPr="00573A19">
        <w:lastRenderedPageBreak/>
        <w:t>“Instructions” Worksheet</w:t>
      </w:r>
    </w:p>
    <w:tbl>
      <w:tblPr>
        <w:tblpPr w:leftFromText="180" w:rightFromText="180" w:vertAnchor="page" w:horzAnchor="margin" w:tblpY="2361"/>
        <w:tblW w:w="17010" w:type="dxa"/>
        <w:tblLook w:val="04A0" w:firstRow="1" w:lastRow="0" w:firstColumn="1" w:lastColumn="0" w:noHBand="0" w:noVBand="1"/>
      </w:tblPr>
      <w:tblGrid>
        <w:gridCol w:w="3865"/>
        <w:gridCol w:w="13145"/>
      </w:tblGrid>
      <w:tr w:rsidRPr="00387AB6" w:rsidR="002725B4" w:rsidTr="00D97136" w14:paraId="52ADCFB2" w14:textId="77777777">
        <w:trPr>
          <w:trHeight w:val="300"/>
        </w:trPr>
        <w:tc>
          <w:tcPr>
            <w:tcW w:w="17010" w:type="dxa"/>
            <w:gridSpan w:val="2"/>
            <w:tcBorders>
              <w:top w:val="single" w:color="auto" w:sz="4" w:space="0"/>
              <w:left w:val="single" w:color="auto" w:sz="4" w:space="0"/>
              <w:bottom w:val="single" w:color="auto" w:sz="4" w:space="0"/>
              <w:right w:val="single" w:color="auto" w:sz="4" w:space="0"/>
            </w:tcBorders>
            <w:shd w:val="clear" w:color="000000" w:fill="BFBFBF"/>
            <w:noWrap/>
            <w:vAlign w:val="bottom"/>
            <w:hideMark/>
          </w:tcPr>
          <w:p w:rsidRPr="002725B4" w:rsidR="002725B4" w:rsidP="00D34E6A" w:rsidRDefault="002725B4" w14:paraId="7E746759" w14:textId="3383F706">
            <w:pPr>
              <w:rPr>
                <w:rFonts w:ascii="Palatino Linotype" w:hAnsi="Palatino Linotype" w:cs="Calibri"/>
                <w:b/>
                <w:bCs/>
                <w:color w:val="000000"/>
                <w:sz w:val="24"/>
                <w:szCs w:val="24"/>
              </w:rPr>
            </w:pPr>
            <w:r w:rsidRPr="00387AB6">
              <w:rPr>
                <w:rFonts w:ascii="Palatino Linotype" w:hAnsi="Palatino Linotype" w:cs="Calibri"/>
                <w:b/>
                <w:bCs/>
                <w:color w:val="000000"/>
                <w:sz w:val="24"/>
                <w:szCs w:val="24"/>
              </w:rPr>
              <w:t>Instructions and Definitions</w:t>
            </w:r>
          </w:p>
        </w:tc>
      </w:tr>
      <w:tr w:rsidRPr="00387AB6" w:rsidR="00D34E6A" w:rsidTr="00D34E6A" w14:paraId="0456D3C8" w14:textId="77777777">
        <w:trPr>
          <w:trHeight w:val="300"/>
        </w:trPr>
        <w:tc>
          <w:tcPr>
            <w:tcW w:w="17010" w:type="dxa"/>
            <w:gridSpan w:val="2"/>
            <w:tcBorders>
              <w:top w:val="single" w:color="auto" w:sz="4" w:space="0"/>
              <w:left w:val="single" w:color="auto" w:sz="4" w:space="0"/>
              <w:bottom w:val="single" w:color="auto" w:sz="4" w:space="0"/>
              <w:right w:val="single" w:color="000000" w:sz="4" w:space="0"/>
            </w:tcBorders>
            <w:shd w:val="clear" w:color="auto" w:fill="auto"/>
            <w:noWrap/>
            <w:vAlign w:val="bottom"/>
            <w:hideMark/>
          </w:tcPr>
          <w:p w:rsidRPr="00387AB6" w:rsidR="00D34E6A" w:rsidP="00D34E6A" w:rsidRDefault="00D34E6A" w14:paraId="7105BDFF"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All required data is for residential customers only, unless otherwise specified.</w:t>
            </w:r>
          </w:p>
        </w:tc>
      </w:tr>
      <w:tr w:rsidRPr="00387AB6" w:rsidR="00D34E6A" w:rsidTr="00D34E6A" w14:paraId="2682F5F0" w14:textId="77777777">
        <w:trPr>
          <w:trHeight w:val="600"/>
        </w:trPr>
        <w:tc>
          <w:tcPr>
            <w:tcW w:w="3865" w:type="dxa"/>
            <w:tcBorders>
              <w:top w:val="nil"/>
              <w:left w:val="single" w:color="auto" w:sz="4" w:space="0"/>
              <w:bottom w:val="single" w:color="auto" w:sz="4" w:space="0"/>
              <w:right w:val="single" w:color="auto" w:sz="4" w:space="0"/>
            </w:tcBorders>
            <w:shd w:val="clear" w:color="auto" w:fill="auto"/>
            <w:noWrap/>
            <w:vAlign w:val="bottom"/>
            <w:hideMark/>
          </w:tcPr>
          <w:p w:rsidRPr="00387AB6" w:rsidR="00D34E6A" w:rsidP="00D34E6A" w:rsidRDefault="00D34E6A" w14:paraId="120741C0"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All-Electric/Gas Only</w:t>
            </w:r>
          </w:p>
        </w:tc>
        <w:tc>
          <w:tcPr>
            <w:tcW w:w="13145" w:type="dxa"/>
            <w:tcBorders>
              <w:top w:val="nil"/>
              <w:left w:val="nil"/>
              <w:bottom w:val="single" w:color="auto" w:sz="4" w:space="0"/>
              <w:right w:val="single" w:color="auto" w:sz="4" w:space="0"/>
            </w:tcBorders>
            <w:shd w:val="clear" w:color="auto" w:fill="auto"/>
            <w:vAlign w:val="bottom"/>
            <w:hideMark/>
          </w:tcPr>
          <w:p w:rsidRPr="00387AB6" w:rsidR="00D34E6A" w:rsidP="00D34E6A" w:rsidRDefault="00D34E6A" w14:paraId="3B722F07"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Single fuel utilities will mark 'NA' in the cells for which they have no information. For e.g. SoCalGas will only report on its (gas) customers and will have no data to report for all-electric customers</w:t>
            </w:r>
          </w:p>
        </w:tc>
      </w:tr>
      <w:tr w:rsidRPr="00387AB6" w:rsidR="00D34E6A" w:rsidTr="00D34E6A" w14:paraId="75A0412F" w14:textId="77777777">
        <w:trPr>
          <w:trHeight w:val="300"/>
        </w:trPr>
        <w:tc>
          <w:tcPr>
            <w:tcW w:w="3865" w:type="dxa"/>
            <w:tcBorders>
              <w:top w:val="nil"/>
              <w:left w:val="single" w:color="auto" w:sz="4" w:space="0"/>
              <w:bottom w:val="single" w:color="auto" w:sz="4" w:space="0"/>
              <w:right w:val="single" w:color="auto" w:sz="4" w:space="0"/>
            </w:tcBorders>
            <w:shd w:val="clear" w:color="auto" w:fill="auto"/>
            <w:noWrap/>
            <w:vAlign w:val="bottom"/>
            <w:hideMark/>
          </w:tcPr>
          <w:p w:rsidRPr="00387AB6" w:rsidR="00D34E6A" w:rsidP="00D34E6A" w:rsidRDefault="00D34E6A" w14:paraId="0921BC3A"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CZ</w:t>
            </w:r>
          </w:p>
        </w:tc>
        <w:tc>
          <w:tcPr>
            <w:tcW w:w="13145" w:type="dxa"/>
            <w:tcBorders>
              <w:top w:val="nil"/>
              <w:left w:val="nil"/>
              <w:bottom w:val="single" w:color="auto" w:sz="4" w:space="0"/>
              <w:right w:val="single" w:color="auto" w:sz="4" w:space="0"/>
            </w:tcBorders>
            <w:shd w:val="clear" w:color="auto" w:fill="auto"/>
            <w:vAlign w:val="bottom"/>
            <w:hideMark/>
          </w:tcPr>
          <w:p w:rsidRPr="00387AB6" w:rsidR="00D34E6A" w:rsidP="00D34E6A" w:rsidRDefault="00D34E6A" w14:paraId="6E3EADD9"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Climate Zone: Each IOU shall report for each CZ within their territory. Please use CEC Climate zones</w:t>
            </w:r>
          </w:p>
        </w:tc>
      </w:tr>
      <w:tr w:rsidRPr="00387AB6" w:rsidR="00D34E6A" w:rsidTr="00D34E6A" w14:paraId="3FFC2F5D" w14:textId="77777777">
        <w:trPr>
          <w:trHeight w:val="300"/>
        </w:trPr>
        <w:tc>
          <w:tcPr>
            <w:tcW w:w="3865" w:type="dxa"/>
            <w:tcBorders>
              <w:top w:val="nil"/>
              <w:left w:val="single" w:color="auto" w:sz="4" w:space="0"/>
              <w:bottom w:val="single" w:color="auto" w:sz="4" w:space="0"/>
              <w:right w:val="single" w:color="auto" w:sz="4" w:space="0"/>
            </w:tcBorders>
            <w:shd w:val="clear" w:color="auto" w:fill="auto"/>
            <w:noWrap/>
            <w:vAlign w:val="bottom"/>
            <w:hideMark/>
          </w:tcPr>
          <w:p w:rsidRPr="00387AB6" w:rsidR="00D34E6A" w:rsidP="00D34E6A" w:rsidRDefault="00D34E6A" w14:paraId="1FF1A2E2"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Dual Fuel</w:t>
            </w:r>
          </w:p>
        </w:tc>
        <w:tc>
          <w:tcPr>
            <w:tcW w:w="13145" w:type="dxa"/>
            <w:tcBorders>
              <w:top w:val="nil"/>
              <w:left w:val="nil"/>
              <w:bottom w:val="single" w:color="auto" w:sz="4" w:space="0"/>
              <w:right w:val="single" w:color="auto" w:sz="4" w:space="0"/>
            </w:tcBorders>
            <w:shd w:val="clear" w:color="auto" w:fill="auto"/>
            <w:vAlign w:val="bottom"/>
            <w:hideMark/>
          </w:tcPr>
          <w:p w:rsidRPr="00387AB6" w:rsidR="00D34E6A" w:rsidP="00D34E6A" w:rsidRDefault="00D34E6A" w14:paraId="140286DB"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xml:space="preserve">Customer account where natural gas is used for both space heating and water heating </w:t>
            </w:r>
          </w:p>
        </w:tc>
      </w:tr>
      <w:tr w:rsidRPr="00387AB6" w:rsidR="00D34E6A" w:rsidTr="00D34E6A" w14:paraId="78C8E8D6" w14:textId="77777777">
        <w:trPr>
          <w:trHeight w:val="300"/>
        </w:trPr>
        <w:tc>
          <w:tcPr>
            <w:tcW w:w="3865" w:type="dxa"/>
            <w:tcBorders>
              <w:top w:val="nil"/>
              <w:left w:val="single" w:color="auto" w:sz="4" w:space="0"/>
              <w:bottom w:val="single" w:color="auto" w:sz="4" w:space="0"/>
              <w:right w:val="single" w:color="auto" w:sz="4" w:space="0"/>
            </w:tcBorders>
            <w:shd w:val="clear" w:color="auto" w:fill="auto"/>
            <w:noWrap/>
            <w:vAlign w:val="bottom"/>
            <w:hideMark/>
          </w:tcPr>
          <w:p w:rsidRPr="00387AB6" w:rsidR="00D34E6A" w:rsidP="00D34E6A" w:rsidRDefault="00D34E6A" w14:paraId="48B1D847"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Electric Space Heating [Customers]</w:t>
            </w:r>
          </w:p>
        </w:tc>
        <w:tc>
          <w:tcPr>
            <w:tcW w:w="13145" w:type="dxa"/>
            <w:tcBorders>
              <w:top w:val="nil"/>
              <w:left w:val="nil"/>
              <w:bottom w:val="single" w:color="auto" w:sz="4" w:space="0"/>
              <w:right w:val="single" w:color="auto" w:sz="4" w:space="0"/>
            </w:tcBorders>
            <w:shd w:val="clear" w:color="auto" w:fill="auto"/>
            <w:vAlign w:val="bottom"/>
            <w:hideMark/>
          </w:tcPr>
          <w:p w:rsidRPr="00387AB6" w:rsidR="00D34E6A" w:rsidP="00D34E6A" w:rsidRDefault="00D34E6A" w14:paraId="69C2FF4C"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Customer account where space heating is electric but gas service is provided for other end uses</w:t>
            </w:r>
          </w:p>
        </w:tc>
      </w:tr>
      <w:tr w:rsidRPr="00387AB6" w:rsidR="00D34E6A" w:rsidTr="00D34E6A" w14:paraId="75A54C4B" w14:textId="77777777">
        <w:trPr>
          <w:trHeight w:val="630"/>
        </w:trPr>
        <w:tc>
          <w:tcPr>
            <w:tcW w:w="3865" w:type="dxa"/>
            <w:tcBorders>
              <w:top w:val="nil"/>
              <w:left w:val="single" w:color="auto" w:sz="4" w:space="0"/>
              <w:bottom w:val="single" w:color="auto" w:sz="4" w:space="0"/>
              <w:right w:val="single" w:color="auto" w:sz="4" w:space="0"/>
            </w:tcBorders>
            <w:shd w:val="clear" w:color="auto" w:fill="auto"/>
            <w:noWrap/>
            <w:vAlign w:val="bottom"/>
            <w:hideMark/>
          </w:tcPr>
          <w:p w:rsidRPr="00387AB6" w:rsidR="00D34E6A" w:rsidP="00D34E6A" w:rsidRDefault="00D34E6A" w14:paraId="4E995EF7"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Multifamily</w:t>
            </w:r>
          </w:p>
        </w:tc>
        <w:tc>
          <w:tcPr>
            <w:tcW w:w="13145" w:type="dxa"/>
            <w:tcBorders>
              <w:top w:val="nil"/>
              <w:left w:val="nil"/>
              <w:bottom w:val="single" w:color="auto" w:sz="4" w:space="0"/>
              <w:right w:val="single" w:color="auto" w:sz="4" w:space="0"/>
            </w:tcBorders>
            <w:shd w:val="clear" w:color="auto" w:fill="auto"/>
            <w:vAlign w:val="bottom"/>
            <w:hideMark/>
          </w:tcPr>
          <w:p w:rsidRPr="00387AB6" w:rsidR="00D34E6A" w:rsidP="00D34E6A" w:rsidRDefault="00D34E6A" w14:paraId="6CDD0212"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Multifamily is defined as at least two residential housing units, consistent with energy efficiency portfolio metrics reporting requirements established under R.13-11-005, Business Plan Decision D.18-05-041</w:t>
            </w:r>
          </w:p>
        </w:tc>
      </w:tr>
      <w:tr w:rsidRPr="00387AB6" w:rsidR="00D34E6A" w:rsidTr="00D34E6A" w14:paraId="3072D72B" w14:textId="77777777">
        <w:trPr>
          <w:trHeight w:val="600"/>
        </w:trPr>
        <w:tc>
          <w:tcPr>
            <w:tcW w:w="3865" w:type="dxa"/>
            <w:tcBorders>
              <w:top w:val="nil"/>
              <w:left w:val="single" w:color="auto" w:sz="4" w:space="0"/>
              <w:bottom w:val="single" w:color="auto" w:sz="4" w:space="0"/>
              <w:right w:val="single" w:color="auto" w:sz="4" w:space="0"/>
            </w:tcBorders>
            <w:shd w:val="clear" w:color="auto" w:fill="auto"/>
            <w:noWrap/>
            <w:vAlign w:val="bottom"/>
            <w:hideMark/>
          </w:tcPr>
          <w:p w:rsidRPr="00387AB6" w:rsidR="00D34E6A" w:rsidP="00D34E6A" w:rsidRDefault="00D34E6A" w14:paraId="616CDED7"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Rate Schedules/tariffs</w:t>
            </w:r>
          </w:p>
        </w:tc>
        <w:tc>
          <w:tcPr>
            <w:tcW w:w="13145" w:type="dxa"/>
            <w:tcBorders>
              <w:top w:val="nil"/>
              <w:left w:val="nil"/>
              <w:bottom w:val="single" w:color="auto" w:sz="4" w:space="0"/>
              <w:right w:val="single" w:color="auto" w:sz="4" w:space="0"/>
            </w:tcBorders>
            <w:shd w:val="clear" w:color="auto" w:fill="auto"/>
            <w:vAlign w:val="bottom"/>
            <w:hideMark/>
          </w:tcPr>
          <w:p w:rsidRPr="00387AB6" w:rsidR="00D34E6A" w:rsidP="00D34E6A" w:rsidRDefault="00D34E6A" w14:paraId="28ADD937"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Please footnote each rate with the weblink for the latest rate schedule. E.g. PG&amp;E E-6: {http://www.pge.com/tariffs/assets/pdf/tariffbook/ELEC_SCHEDS_E-6.pdf}</w:t>
            </w:r>
          </w:p>
        </w:tc>
      </w:tr>
      <w:tr w:rsidRPr="00387AB6" w:rsidR="00D34E6A" w:rsidTr="00D34E6A" w14:paraId="615F611A" w14:textId="77777777">
        <w:trPr>
          <w:trHeight w:val="600"/>
        </w:trPr>
        <w:tc>
          <w:tcPr>
            <w:tcW w:w="3865" w:type="dxa"/>
            <w:tcBorders>
              <w:top w:val="nil"/>
              <w:left w:val="single" w:color="auto" w:sz="4" w:space="0"/>
              <w:bottom w:val="single" w:color="auto" w:sz="4" w:space="0"/>
              <w:right w:val="single" w:color="auto" w:sz="4" w:space="0"/>
            </w:tcBorders>
            <w:shd w:val="clear" w:color="auto" w:fill="auto"/>
            <w:noWrap/>
            <w:vAlign w:val="bottom"/>
            <w:hideMark/>
          </w:tcPr>
          <w:p w:rsidRPr="00387AB6" w:rsidR="00D34E6A" w:rsidP="00D34E6A" w:rsidRDefault="00D34E6A" w14:paraId="40B54B56"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Reporting Year</w:t>
            </w:r>
          </w:p>
        </w:tc>
        <w:tc>
          <w:tcPr>
            <w:tcW w:w="13145" w:type="dxa"/>
            <w:tcBorders>
              <w:top w:val="nil"/>
              <w:left w:val="nil"/>
              <w:bottom w:val="single" w:color="auto" w:sz="4" w:space="0"/>
              <w:right w:val="single" w:color="auto" w:sz="4" w:space="0"/>
            </w:tcBorders>
            <w:shd w:val="clear" w:color="auto" w:fill="auto"/>
            <w:vAlign w:val="bottom"/>
            <w:hideMark/>
          </w:tcPr>
          <w:p w:rsidRPr="00387AB6" w:rsidR="00D34E6A" w:rsidP="00D34E6A" w:rsidRDefault="00D34E6A" w14:paraId="0617FD5C"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Where annual data is required, please use calendar year 2019. For future updates, please use last completed calendar year (Jan 1-Dec 31)</w:t>
            </w:r>
          </w:p>
        </w:tc>
      </w:tr>
      <w:tr w:rsidRPr="00387AB6" w:rsidR="00D34E6A" w:rsidTr="00D34E6A" w14:paraId="3623DC1E" w14:textId="77777777">
        <w:trPr>
          <w:trHeight w:val="990"/>
        </w:trPr>
        <w:tc>
          <w:tcPr>
            <w:tcW w:w="3865" w:type="dxa"/>
            <w:tcBorders>
              <w:top w:val="nil"/>
              <w:left w:val="single" w:color="auto" w:sz="4" w:space="0"/>
              <w:bottom w:val="single" w:color="auto" w:sz="4" w:space="0"/>
              <w:right w:val="single" w:color="auto" w:sz="4" w:space="0"/>
            </w:tcBorders>
            <w:shd w:val="clear" w:color="auto" w:fill="auto"/>
            <w:noWrap/>
            <w:vAlign w:val="bottom"/>
            <w:hideMark/>
          </w:tcPr>
          <w:p w:rsidRPr="00387AB6" w:rsidR="00D34E6A" w:rsidP="00D34E6A" w:rsidRDefault="00D34E6A" w14:paraId="231D0281"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Dwelling Age/ Construction Year</w:t>
            </w:r>
          </w:p>
        </w:tc>
        <w:tc>
          <w:tcPr>
            <w:tcW w:w="13145" w:type="dxa"/>
            <w:tcBorders>
              <w:top w:val="nil"/>
              <w:left w:val="nil"/>
              <w:bottom w:val="single" w:color="auto" w:sz="4" w:space="0"/>
              <w:right w:val="single" w:color="auto" w:sz="4" w:space="0"/>
            </w:tcBorders>
            <w:shd w:val="clear" w:color="auto" w:fill="auto"/>
            <w:vAlign w:val="bottom"/>
            <w:hideMark/>
          </w:tcPr>
          <w:p w:rsidRPr="00387AB6" w:rsidR="00D34E6A" w:rsidP="00D34E6A" w:rsidRDefault="00D34E6A" w14:paraId="2AF5E375"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Year of Meter Installation may be used as a proxy for year of construction. Additions to a service address when no new utility connection was requested can be ignored.  Aggregating service address to a building is not required at this time. For simplicity, service address will be considered synonymous to dwelling</w:t>
            </w:r>
          </w:p>
        </w:tc>
      </w:tr>
      <w:tr w:rsidRPr="00387AB6" w:rsidR="00D34E6A" w:rsidTr="00D34E6A" w14:paraId="243CD1D3" w14:textId="77777777">
        <w:trPr>
          <w:trHeight w:val="600"/>
        </w:trPr>
        <w:tc>
          <w:tcPr>
            <w:tcW w:w="3865" w:type="dxa"/>
            <w:tcBorders>
              <w:top w:val="nil"/>
              <w:left w:val="single" w:color="auto" w:sz="4" w:space="0"/>
              <w:bottom w:val="single" w:color="auto" w:sz="4" w:space="0"/>
              <w:right w:val="single" w:color="auto" w:sz="4" w:space="0"/>
            </w:tcBorders>
            <w:shd w:val="clear" w:color="auto" w:fill="auto"/>
            <w:noWrap/>
            <w:vAlign w:val="bottom"/>
            <w:hideMark/>
          </w:tcPr>
          <w:p w:rsidRPr="00387AB6" w:rsidR="00D34E6A" w:rsidP="00D34E6A" w:rsidRDefault="00D34E6A" w14:paraId="18C031DC" w14:textId="49C9F35F">
            <w:pPr>
              <w:rPr>
                <w:rFonts w:ascii="Palatino Linotype" w:hAnsi="Palatino Linotype" w:cs="Calibri"/>
                <w:b/>
                <w:bCs/>
                <w:color w:val="000000"/>
                <w:sz w:val="24"/>
                <w:szCs w:val="24"/>
              </w:rPr>
            </w:pPr>
            <w:r w:rsidRPr="00387AB6">
              <w:rPr>
                <w:rFonts w:ascii="Palatino Linotype" w:hAnsi="Palatino Linotype" w:cs="Calibri"/>
                <w:b/>
                <w:bCs/>
                <w:color w:val="000000"/>
                <w:sz w:val="24"/>
                <w:szCs w:val="24"/>
              </w:rPr>
              <w:t>Please direct questions to</w:t>
            </w:r>
            <w:r w:rsidR="00437B7D">
              <w:rPr>
                <w:rFonts w:ascii="Palatino Linotype" w:hAnsi="Palatino Linotype" w:cs="Calibri"/>
                <w:b/>
                <w:bCs/>
                <w:color w:val="000000"/>
                <w:sz w:val="24"/>
                <w:szCs w:val="24"/>
              </w:rPr>
              <w:t>:</w:t>
            </w:r>
          </w:p>
        </w:tc>
        <w:tc>
          <w:tcPr>
            <w:tcW w:w="13145" w:type="dxa"/>
            <w:tcBorders>
              <w:top w:val="nil"/>
              <w:left w:val="nil"/>
              <w:bottom w:val="single" w:color="auto" w:sz="4" w:space="0"/>
              <w:right w:val="single" w:color="auto" w:sz="4" w:space="0"/>
            </w:tcBorders>
            <w:shd w:val="clear" w:color="auto" w:fill="auto"/>
            <w:vAlign w:val="bottom"/>
            <w:hideMark/>
          </w:tcPr>
          <w:p w:rsidRPr="00387AB6" w:rsidR="00D34E6A" w:rsidP="00D34E6A" w:rsidRDefault="00D34E6A" w14:paraId="204578ED" w14:textId="77777777">
            <w:pPr>
              <w:rPr>
                <w:rFonts w:ascii="Palatino Linotype" w:hAnsi="Palatino Linotype" w:cs="Calibri"/>
                <w:b/>
                <w:bCs/>
                <w:color w:val="000000"/>
                <w:sz w:val="24"/>
                <w:szCs w:val="24"/>
              </w:rPr>
            </w:pPr>
            <w:r w:rsidRPr="00387AB6">
              <w:rPr>
                <w:rFonts w:ascii="Palatino Linotype" w:hAnsi="Palatino Linotype" w:cs="Calibri"/>
                <w:b/>
                <w:bCs/>
                <w:color w:val="000000"/>
                <w:sz w:val="24"/>
                <w:szCs w:val="24"/>
              </w:rPr>
              <w:t>Abhilasha Wadhwa, Analyst, Building Decarbonization and Alternative Fuels, Energy Division, CPUC</w:t>
            </w:r>
            <w:r w:rsidRPr="00387AB6">
              <w:rPr>
                <w:rFonts w:ascii="Palatino Linotype" w:hAnsi="Palatino Linotype" w:cs="Calibri"/>
                <w:b/>
                <w:bCs/>
                <w:color w:val="000000"/>
                <w:sz w:val="24"/>
                <w:szCs w:val="24"/>
              </w:rPr>
              <w:br/>
              <w:t>abhilasha.wadhwa@cpuc.ca.gov</w:t>
            </w:r>
          </w:p>
        </w:tc>
      </w:tr>
    </w:tbl>
    <w:p w:rsidRPr="00387AB6" w:rsidR="001D4A1F" w:rsidP="00387AB6" w:rsidRDefault="00B74D39" w14:paraId="5452DC4D" w14:textId="6595F491">
      <w:pPr>
        <w:rPr>
          <w:sz w:val="24"/>
          <w:szCs w:val="24"/>
        </w:rPr>
      </w:pPr>
      <w:r w:rsidRPr="00387AB6">
        <w:rPr>
          <w:i/>
          <w:iCs/>
          <w:sz w:val="24"/>
          <w:szCs w:val="24"/>
        </w:rPr>
        <w:br w:type="page"/>
      </w:r>
      <w:r w:rsidRPr="00387AB6" w:rsidR="001D4A1F">
        <w:rPr>
          <w:sz w:val="24"/>
          <w:szCs w:val="24"/>
        </w:rPr>
        <w:lastRenderedPageBreak/>
        <w:t>“# of Cust Rates CZ” Worksheet</w:t>
      </w:r>
    </w:p>
    <w:p w:rsidRPr="00387AB6" w:rsidR="007A2950" w:rsidP="00573A19" w:rsidRDefault="007A2950" w14:paraId="44D450DE" w14:textId="77777777">
      <w:pPr>
        <w:rPr>
          <w:sz w:val="24"/>
          <w:szCs w:val="24"/>
        </w:rPr>
      </w:pPr>
    </w:p>
    <w:tbl>
      <w:tblPr>
        <w:tblW w:w="15942" w:type="dxa"/>
        <w:tblLook w:val="04A0" w:firstRow="1" w:lastRow="0" w:firstColumn="1" w:lastColumn="0" w:noHBand="0" w:noVBand="1"/>
      </w:tblPr>
      <w:tblGrid>
        <w:gridCol w:w="5750"/>
        <w:gridCol w:w="1446"/>
        <w:gridCol w:w="1403"/>
        <w:gridCol w:w="1443"/>
        <w:gridCol w:w="1403"/>
        <w:gridCol w:w="1443"/>
        <w:gridCol w:w="1403"/>
        <w:gridCol w:w="1443"/>
        <w:gridCol w:w="1403"/>
      </w:tblGrid>
      <w:tr w:rsidRPr="00387AB6" w:rsidR="00B74D39" w:rsidTr="007A2950" w14:paraId="6323464A" w14:textId="77777777">
        <w:trPr>
          <w:trHeight w:val="315"/>
        </w:trPr>
        <w:tc>
          <w:tcPr>
            <w:tcW w:w="15942" w:type="dxa"/>
            <w:gridSpan w:val="9"/>
            <w:tcBorders>
              <w:top w:val="single" w:color="auto" w:sz="4" w:space="0"/>
              <w:left w:val="single" w:color="auto" w:sz="4" w:space="0"/>
              <w:bottom w:val="single" w:color="auto" w:sz="4" w:space="0"/>
              <w:right w:val="single" w:color="auto" w:sz="4" w:space="0"/>
            </w:tcBorders>
            <w:shd w:val="clear" w:color="000000" w:fill="8EA9DB"/>
            <w:noWrap/>
            <w:vAlign w:val="bottom"/>
            <w:hideMark/>
          </w:tcPr>
          <w:p w:rsidRPr="00387AB6" w:rsidR="00B74D39" w:rsidP="00573A19" w:rsidRDefault="00B74D39" w14:paraId="377D75F7" w14:textId="64CDE3B3">
            <w:pPr>
              <w:rPr>
                <w:rFonts w:cs="Calibri"/>
                <w:b/>
                <w:bCs/>
                <w:color w:val="000000"/>
                <w:sz w:val="24"/>
                <w:szCs w:val="24"/>
              </w:rPr>
            </w:pPr>
            <w:r w:rsidRPr="00387AB6">
              <w:rPr>
                <w:rFonts w:cs="Calibri"/>
                <w:b/>
                <w:bCs/>
                <w:color w:val="000000"/>
                <w:sz w:val="24"/>
                <w:szCs w:val="24"/>
              </w:rPr>
              <w:t>Total Number of Residential Customers (Including CARE) by Rate Schedule</w:t>
            </w:r>
          </w:p>
        </w:tc>
      </w:tr>
      <w:tr w:rsidRPr="00387AB6" w:rsidR="00B74D39" w:rsidTr="007A2950" w14:paraId="0580A2C2" w14:textId="77777777">
        <w:trPr>
          <w:trHeight w:val="300"/>
        </w:trPr>
        <w:tc>
          <w:tcPr>
            <w:tcW w:w="5750" w:type="dxa"/>
            <w:tcBorders>
              <w:top w:val="single" w:color="auto" w:sz="4" w:space="0"/>
              <w:left w:val="single" w:color="auto" w:sz="8" w:space="0"/>
              <w:bottom w:val="single" w:color="auto" w:sz="4" w:space="0"/>
              <w:right w:val="nil"/>
            </w:tcBorders>
            <w:shd w:val="clear" w:color="auto" w:fill="auto"/>
            <w:noWrap/>
            <w:vAlign w:val="bottom"/>
            <w:hideMark/>
          </w:tcPr>
          <w:p w:rsidRPr="00387AB6" w:rsidR="00B74D39" w:rsidP="00573A19" w:rsidRDefault="00B74D39" w14:paraId="5B4C829C" w14:textId="77777777">
            <w:pPr>
              <w:rPr>
                <w:rFonts w:cs="Calibri"/>
                <w:b/>
                <w:bCs/>
                <w:color w:val="000000"/>
                <w:sz w:val="24"/>
                <w:szCs w:val="24"/>
              </w:rPr>
            </w:pPr>
            <w:r w:rsidRPr="00387AB6">
              <w:rPr>
                <w:rFonts w:cs="Calibri"/>
                <w:b/>
                <w:bCs/>
                <w:color w:val="000000"/>
                <w:sz w:val="24"/>
                <w:szCs w:val="24"/>
              </w:rPr>
              <w:t xml:space="preserve">Climate Zone </w:t>
            </w:r>
            <w:r w:rsidRPr="00387AB6">
              <w:rPr>
                <w:rFonts w:ascii="Times New Roman" w:hAnsi="Times New Roman"/>
                <w:b/>
                <w:bCs/>
                <w:color w:val="000000"/>
                <w:sz w:val="24"/>
                <w:szCs w:val="24"/>
              </w:rPr>
              <w:t>→</w:t>
            </w:r>
          </w:p>
        </w:tc>
        <w:tc>
          <w:tcPr>
            <w:tcW w:w="10192" w:type="dxa"/>
            <w:gridSpan w:val="8"/>
            <w:tcBorders>
              <w:top w:val="single" w:color="auto" w:sz="4" w:space="0"/>
              <w:left w:val="single" w:color="auto" w:sz="8" w:space="0"/>
              <w:bottom w:val="nil"/>
              <w:right w:val="single" w:color="000000" w:sz="8" w:space="0"/>
            </w:tcBorders>
            <w:shd w:val="clear" w:color="auto" w:fill="auto"/>
            <w:noWrap/>
            <w:vAlign w:val="bottom"/>
            <w:hideMark/>
          </w:tcPr>
          <w:p w:rsidRPr="00387AB6" w:rsidR="00B74D39" w:rsidP="00573A19" w:rsidRDefault="00B74D39" w14:paraId="213B92EF" w14:textId="0992A276">
            <w:pPr>
              <w:rPr>
                <w:rFonts w:cs="Calibri"/>
                <w:b/>
                <w:bCs/>
                <w:color w:val="000000"/>
                <w:sz w:val="24"/>
                <w:szCs w:val="24"/>
              </w:rPr>
            </w:pPr>
            <w:r w:rsidRPr="00387AB6">
              <w:rPr>
                <w:rFonts w:cs="Calibri"/>
                <w:b/>
                <w:bCs/>
                <w:color w:val="000000"/>
                <w:sz w:val="24"/>
                <w:szCs w:val="24"/>
              </w:rPr>
              <w:t xml:space="preserve">CZ [-] [Add Columns for CZs in your </w:t>
            </w:r>
            <w:r w:rsidRPr="00387AB6" w:rsidR="0081439C">
              <w:rPr>
                <w:rFonts w:cs="Calibri"/>
                <w:b/>
                <w:bCs/>
                <w:color w:val="000000"/>
                <w:sz w:val="24"/>
                <w:szCs w:val="24"/>
              </w:rPr>
              <w:t xml:space="preserve">service </w:t>
            </w:r>
            <w:r w:rsidRPr="00387AB6">
              <w:rPr>
                <w:rFonts w:cs="Calibri"/>
                <w:b/>
                <w:bCs/>
                <w:color w:val="000000"/>
                <w:sz w:val="24"/>
                <w:szCs w:val="24"/>
              </w:rPr>
              <w:t>territory]</w:t>
            </w:r>
          </w:p>
        </w:tc>
      </w:tr>
      <w:tr w:rsidRPr="00387AB6" w:rsidR="00B74D39" w:rsidTr="007A2950" w14:paraId="342167EF" w14:textId="77777777">
        <w:trPr>
          <w:trHeight w:val="300"/>
        </w:trPr>
        <w:tc>
          <w:tcPr>
            <w:tcW w:w="5750" w:type="dxa"/>
            <w:tcBorders>
              <w:top w:val="nil"/>
              <w:left w:val="single" w:color="auto" w:sz="8" w:space="0"/>
              <w:bottom w:val="single" w:color="auto" w:sz="4" w:space="0"/>
              <w:right w:val="nil"/>
            </w:tcBorders>
            <w:shd w:val="clear" w:color="auto" w:fill="auto"/>
            <w:noWrap/>
            <w:vAlign w:val="bottom"/>
            <w:hideMark/>
          </w:tcPr>
          <w:p w:rsidRPr="00387AB6" w:rsidR="00B74D39" w:rsidP="00573A19" w:rsidRDefault="00B74D39" w14:paraId="32F0AE57" w14:textId="77777777">
            <w:pPr>
              <w:rPr>
                <w:rFonts w:cs="Calibri"/>
                <w:i/>
                <w:iCs/>
                <w:color w:val="000000"/>
                <w:sz w:val="24"/>
                <w:szCs w:val="24"/>
              </w:rPr>
            </w:pPr>
            <w:r w:rsidRPr="00387AB6">
              <w:rPr>
                <w:rFonts w:cs="Calibri"/>
                <w:i/>
                <w:iCs/>
                <w:color w:val="000000"/>
                <w:sz w:val="24"/>
                <w:szCs w:val="24"/>
              </w:rPr>
              <w:t> </w:t>
            </w:r>
          </w:p>
        </w:tc>
        <w:tc>
          <w:tcPr>
            <w:tcW w:w="2548" w:type="dxa"/>
            <w:gridSpan w:val="2"/>
            <w:tcBorders>
              <w:top w:val="single" w:color="auto" w:sz="4" w:space="0"/>
              <w:left w:val="single" w:color="auto" w:sz="8" w:space="0"/>
              <w:bottom w:val="single" w:color="auto" w:sz="4" w:space="0"/>
              <w:right w:val="single" w:color="auto" w:sz="4" w:space="0"/>
            </w:tcBorders>
            <w:shd w:val="clear" w:color="auto" w:fill="auto"/>
            <w:noWrap/>
            <w:vAlign w:val="bottom"/>
            <w:hideMark/>
          </w:tcPr>
          <w:p w:rsidRPr="00387AB6" w:rsidR="00B74D39" w:rsidP="00573A19" w:rsidRDefault="00B74D39" w14:paraId="565D0C7B" w14:textId="77777777">
            <w:pPr>
              <w:rPr>
                <w:rFonts w:cs="Calibri"/>
                <w:i/>
                <w:iCs/>
                <w:color w:val="000000"/>
                <w:sz w:val="24"/>
                <w:szCs w:val="24"/>
              </w:rPr>
            </w:pPr>
            <w:r w:rsidRPr="00387AB6">
              <w:rPr>
                <w:rFonts w:cs="Calibri"/>
                <w:i/>
                <w:iCs/>
                <w:color w:val="000000"/>
                <w:sz w:val="24"/>
                <w:szCs w:val="24"/>
              </w:rPr>
              <w:t>All-Electric</w:t>
            </w:r>
          </w:p>
        </w:tc>
        <w:tc>
          <w:tcPr>
            <w:tcW w:w="2548" w:type="dxa"/>
            <w:gridSpan w:val="2"/>
            <w:tcBorders>
              <w:top w:val="single" w:color="auto" w:sz="4" w:space="0"/>
              <w:left w:val="nil"/>
              <w:bottom w:val="single" w:color="auto" w:sz="4" w:space="0"/>
              <w:right w:val="single" w:color="000000" w:sz="4" w:space="0"/>
            </w:tcBorders>
            <w:shd w:val="clear" w:color="auto" w:fill="auto"/>
            <w:noWrap/>
            <w:vAlign w:val="bottom"/>
            <w:hideMark/>
          </w:tcPr>
          <w:p w:rsidRPr="00387AB6" w:rsidR="00B74D39" w:rsidP="00573A19" w:rsidRDefault="00B74D39" w14:paraId="4AB4B275" w14:textId="77777777">
            <w:pPr>
              <w:rPr>
                <w:rFonts w:cs="Calibri"/>
                <w:i/>
                <w:iCs/>
                <w:color w:val="000000"/>
                <w:sz w:val="24"/>
                <w:szCs w:val="24"/>
              </w:rPr>
            </w:pPr>
            <w:r w:rsidRPr="00387AB6">
              <w:rPr>
                <w:rFonts w:cs="Calibri"/>
                <w:i/>
                <w:iCs/>
                <w:color w:val="000000"/>
                <w:sz w:val="24"/>
                <w:szCs w:val="24"/>
              </w:rPr>
              <w:t>Electric Space Heating</w:t>
            </w:r>
          </w:p>
        </w:tc>
        <w:tc>
          <w:tcPr>
            <w:tcW w:w="2548" w:type="dxa"/>
            <w:gridSpan w:val="2"/>
            <w:tcBorders>
              <w:top w:val="single" w:color="auto" w:sz="4" w:space="0"/>
              <w:left w:val="nil"/>
              <w:bottom w:val="single" w:color="auto" w:sz="4" w:space="0"/>
              <w:right w:val="single" w:color="auto" w:sz="4" w:space="0"/>
            </w:tcBorders>
            <w:shd w:val="clear" w:color="auto" w:fill="auto"/>
            <w:noWrap/>
            <w:vAlign w:val="bottom"/>
            <w:hideMark/>
          </w:tcPr>
          <w:p w:rsidRPr="00387AB6" w:rsidR="00B74D39" w:rsidP="00573A19" w:rsidRDefault="00B74D39" w14:paraId="112F224D" w14:textId="77777777">
            <w:pPr>
              <w:rPr>
                <w:rFonts w:cs="Calibri"/>
                <w:i/>
                <w:iCs/>
                <w:color w:val="000000"/>
                <w:sz w:val="24"/>
                <w:szCs w:val="24"/>
              </w:rPr>
            </w:pPr>
            <w:r w:rsidRPr="00387AB6">
              <w:rPr>
                <w:rFonts w:cs="Calibri"/>
                <w:i/>
                <w:iCs/>
                <w:color w:val="000000"/>
                <w:sz w:val="24"/>
                <w:szCs w:val="24"/>
              </w:rPr>
              <w:t>Dual Fuel</w:t>
            </w:r>
          </w:p>
        </w:tc>
        <w:tc>
          <w:tcPr>
            <w:tcW w:w="2548" w:type="dxa"/>
            <w:gridSpan w:val="2"/>
            <w:tcBorders>
              <w:top w:val="single" w:color="auto" w:sz="4" w:space="0"/>
              <w:left w:val="nil"/>
              <w:bottom w:val="single" w:color="auto" w:sz="4" w:space="0"/>
              <w:right w:val="single" w:color="000000" w:sz="8" w:space="0"/>
            </w:tcBorders>
            <w:shd w:val="clear" w:color="auto" w:fill="auto"/>
            <w:noWrap/>
            <w:vAlign w:val="bottom"/>
            <w:hideMark/>
          </w:tcPr>
          <w:p w:rsidRPr="00387AB6" w:rsidR="00B74D39" w:rsidP="00573A19" w:rsidRDefault="00B74D39" w14:paraId="584397BF" w14:textId="77777777">
            <w:pPr>
              <w:rPr>
                <w:rFonts w:cs="Calibri"/>
                <w:i/>
                <w:iCs/>
                <w:color w:val="000000"/>
                <w:sz w:val="24"/>
                <w:szCs w:val="24"/>
              </w:rPr>
            </w:pPr>
            <w:r w:rsidRPr="00387AB6">
              <w:rPr>
                <w:rFonts w:cs="Calibri"/>
                <w:i/>
                <w:iCs/>
                <w:color w:val="000000"/>
                <w:sz w:val="24"/>
                <w:szCs w:val="24"/>
              </w:rPr>
              <w:t>Gas Only</w:t>
            </w:r>
          </w:p>
        </w:tc>
      </w:tr>
      <w:tr w:rsidRPr="00387AB6" w:rsidR="00B74D39" w:rsidTr="007A2950" w14:paraId="1A83D5FA" w14:textId="77777777">
        <w:trPr>
          <w:trHeight w:val="300"/>
        </w:trPr>
        <w:tc>
          <w:tcPr>
            <w:tcW w:w="5750" w:type="dxa"/>
            <w:tcBorders>
              <w:top w:val="nil"/>
              <w:left w:val="single" w:color="auto" w:sz="8" w:space="0"/>
              <w:bottom w:val="nil"/>
              <w:right w:val="nil"/>
            </w:tcBorders>
            <w:shd w:val="clear" w:color="auto" w:fill="auto"/>
            <w:noWrap/>
            <w:vAlign w:val="bottom"/>
            <w:hideMark/>
          </w:tcPr>
          <w:p w:rsidRPr="00387AB6" w:rsidR="00B74D39" w:rsidP="00573A19" w:rsidRDefault="00B74D39" w14:paraId="009D04BC" w14:textId="77777777">
            <w:pPr>
              <w:rPr>
                <w:rFonts w:cs="Calibri"/>
                <w:b/>
                <w:bCs/>
                <w:color w:val="000000"/>
                <w:sz w:val="24"/>
                <w:szCs w:val="24"/>
              </w:rPr>
            </w:pPr>
            <w:r w:rsidRPr="00387AB6">
              <w:rPr>
                <w:rFonts w:cs="Calibri"/>
                <w:b/>
                <w:bCs/>
                <w:color w:val="000000"/>
                <w:sz w:val="24"/>
                <w:szCs w:val="24"/>
              </w:rPr>
              <w:t xml:space="preserve">Rate Schedule </w:t>
            </w:r>
            <w:r w:rsidRPr="00387AB6">
              <w:rPr>
                <w:rFonts w:ascii="Times New Roman" w:hAnsi="Times New Roman"/>
                <w:b/>
                <w:bCs/>
                <w:color w:val="000000"/>
                <w:sz w:val="24"/>
                <w:szCs w:val="24"/>
              </w:rPr>
              <w:t>↓</w:t>
            </w:r>
          </w:p>
        </w:tc>
        <w:tc>
          <w:tcPr>
            <w:tcW w:w="1302" w:type="dxa"/>
            <w:tcBorders>
              <w:top w:val="nil"/>
              <w:left w:val="single" w:color="auto" w:sz="8" w:space="0"/>
              <w:bottom w:val="nil"/>
              <w:right w:val="single" w:color="auto" w:sz="4" w:space="0"/>
            </w:tcBorders>
            <w:shd w:val="clear" w:color="auto" w:fill="auto"/>
            <w:noWrap/>
            <w:vAlign w:val="bottom"/>
            <w:hideMark/>
          </w:tcPr>
          <w:p w:rsidRPr="00387AB6" w:rsidR="00B74D39" w:rsidP="00573A19" w:rsidRDefault="00B74D39" w14:paraId="22CB49A9" w14:textId="77777777">
            <w:pPr>
              <w:rPr>
                <w:rFonts w:cs="Calibri"/>
                <w:i/>
                <w:iCs/>
                <w:color w:val="000000"/>
                <w:sz w:val="24"/>
                <w:szCs w:val="24"/>
              </w:rPr>
            </w:pPr>
            <w:r w:rsidRPr="00387AB6">
              <w:rPr>
                <w:rFonts w:cs="Calibri"/>
                <w:i/>
                <w:iCs/>
                <w:color w:val="000000"/>
                <w:sz w:val="24"/>
                <w:szCs w:val="24"/>
              </w:rPr>
              <w:t>Singlefamily</w:t>
            </w:r>
          </w:p>
        </w:tc>
        <w:tc>
          <w:tcPr>
            <w:tcW w:w="1246" w:type="dxa"/>
            <w:tcBorders>
              <w:top w:val="nil"/>
              <w:left w:val="nil"/>
              <w:bottom w:val="single" w:color="auto" w:sz="4" w:space="0"/>
              <w:right w:val="nil"/>
            </w:tcBorders>
            <w:shd w:val="clear" w:color="auto" w:fill="auto"/>
            <w:noWrap/>
            <w:vAlign w:val="bottom"/>
            <w:hideMark/>
          </w:tcPr>
          <w:p w:rsidRPr="00387AB6" w:rsidR="00B74D39" w:rsidP="00573A19" w:rsidRDefault="00B74D39" w14:paraId="6BD5960F" w14:textId="77777777">
            <w:pPr>
              <w:rPr>
                <w:rFonts w:cs="Calibri"/>
                <w:i/>
                <w:iCs/>
                <w:color w:val="000000"/>
                <w:sz w:val="24"/>
                <w:szCs w:val="24"/>
              </w:rPr>
            </w:pPr>
            <w:r w:rsidRPr="00387AB6">
              <w:rPr>
                <w:rFonts w:cs="Calibri"/>
                <w:i/>
                <w:iCs/>
                <w:color w:val="000000"/>
                <w:sz w:val="24"/>
                <w:szCs w:val="24"/>
              </w:rPr>
              <w:t>Multifamily</w:t>
            </w:r>
          </w:p>
        </w:tc>
        <w:tc>
          <w:tcPr>
            <w:tcW w:w="1302" w:type="dxa"/>
            <w:tcBorders>
              <w:top w:val="nil"/>
              <w:left w:val="single" w:color="auto" w:sz="4" w:space="0"/>
              <w:bottom w:val="single" w:color="auto" w:sz="4" w:space="0"/>
              <w:right w:val="single" w:color="auto" w:sz="4" w:space="0"/>
            </w:tcBorders>
            <w:shd w:val="clear" w:color="auto" w:fill="auto"/>
            <w:noWrap/>
            <w:vAlign w:val="bottom"/>
            <w:hideMark/>
          </w:tcPr>
          <w:p w:rsidRPr="00387AB6" w:rsidR="00B74D39" w:rsidP="00573A19" w:rsidRDefault="00B74D39" w14:paraId="7BEAB598" w14:textId="77777777">
            <w:pPr>
              <w:rPr>
                <w:rFonts w:cs="Calibri"/>
                <w:i/>
                <w:iCs/>
                <w:color w:val="000000"/>
                <w:sz w:val="24"/>
                <w:szCs w:val="24"/>
              </w:rPr>
            </w:pPr>
            <w:r w:rsidRPr="00387AB6">
              <w:rPr>
                <w:rFonts w:cs="Calibri"/>
                <w:i/>
                <w:iCs/>
                <w:color w:val="000000"/>
                <w:sz w:val="24"/>
                <w:szCs w:val="24"/>
              </w:rPr>
              <w:t>Singlefamily</w:t>
            </w:r>
          </w:p>
        </w:tc>
        <w:tc>
          <w:tcPr>
            <w:tcW w:w="1246" w:type="dxa"/>
            <w:tcBorders>
              <w:top w:val="nil"/>
              <w:left w:val="nil"/>
              <w:bottom w:val="single" w:color="auto" w:sz="4" w:space="0"/>
              <w:right w:val="single" w:color="auto" w:sz="4" w:space="0"/>
            </w:tcBorders>
            <w:shd w:val="clear" w:color="auto" w:fill="auto"/>
            <w:noWrap/>
            <w:vAlign w:val="bottom"/>
            <w:hideMark/>
          </w:tcPr>
          <w:p w:rsidRPr="00387AB6" w:rsidR="00B74D39" w:rsidP="00573A19" w:rsidRDefault="00B74D39" w14:paraId="76457F47" w14:textId="77777777">
            <w:pPr>
              <w:rPr>
                <w:rFonts w:cs="Calibri"/>
                <w:i/>
                <w:iCs/>
                <w:color w:val="000000"/>
                <w:sz w:val="24"/>
                <w:szCs w:val="24"/>
              </w:rPr>
            </w:pPr>
            <w:r w:rsidRPr="00387AB6">
              <w:rPr>
                <w:rFonts w:cs="Calibri"/>
                <w:i/>
                <w:iCs/>
                <w:color w:val="000000"/>
                <w:sz w:val="24"/>
                <w:szCs w:val="24"/>
              </w:rPr>
              <w:t>Multifamily</w:t>
            </w:r>
          </w:p>
        </w:tc>
        <w:tc>
          <w:tcPr>
            <w:tcW w:w="1302" w:type="dxa"/>
            <w:tcBorders>
              <w:top w:val="nil"/>
              <w:left w:val="nil"/>
              <w:bottom w:val="nil"/>
              <w:right w:val="single" w:color="auto" w:sz="4" w:space="0"/>
            </w:tcBorders>
            <w:shd w:val="clear" w:color="auto" w:fill="auto"/>
            <w:noWrap/>
            <w:vAlign w:val="bottom"/>
            <w:hideMark/>
          </w:tcPr>
          <w:p w:rsidRPr="00387AB6" w:rsidR="00B74D39" w:rsidP="00573A19" w:rsidRDefault="00B74D39" w14:paraId="6330B8C2" w14:textId="77777777">
            <w:pPr>
              <w:rPr>
                <w:rFonts w:cs="Calibri"/>
                <w:i/>
                <w:iCs/>
                <w:color w:val="000000"/>
                <w:sz w:val="24"/>
                <w:szCs w:val="24"/>
              </w:rPr>
            </w:pPr>
            <w:r w:rsidRPr="00387AB6">
              <w:rPr>
                <w:rFonts w:cs="Calibri"/>
                <w:i/>
                <w:iCs/>
                <w:color w:val="000000"/>
                <w:sz w:val="24"/>
                <w:szCs w:val="24"/>
              </w:rPr>
              <w:t>Singlefamily</w:t>
            </w:r>
          </w:p>
        </w:tc>
        <w:tc>
          <w:tcPr>
            <w:tcW w:w="1246" w:type="dxa"/>
            <w:tcBorders>
              <w:top w:val="nil"/>
              <w:left w:val="nil"/>
              <w:bottom w:val="nil"/>
              <w:right w:val="double" w:color="auto" w:sz="6" w:space="0"/>
            </w:tcBorders>
            <w:shd w:val="clear" w:color="auto" w:fill="auto"/>
            <w:noWrap/>
            <w:vAlign w:val="bottom"/>
            <w:hideMark/>
          </w:tcPr>
          <w:p w:rsidRPr="00387AB6" w:rsidR="00B74D39" w:rsidP="00573A19" w:rsidRDefault="00B74D39" w14:paraId="5F2CCEF4" w14:textId="77777777">
            <w:pPr>
              <w:rPr>
                <w:rFonts w:cs="Calibri"/>
                <w:i/>
                <w:iCs/>
                <w:color w:val="000000"/>
                <w:sz w:val="24"/>
                <w:szCs w:val="24"/>
              </w:rPr>
            </w:pPr>
            <w:r w:rsidRPr="00387AB6">
              <w:rPr>
                <w:rFonts w:cs="Calibri"/>
                <w:i/>
                <w:iCs/>
                <w:color w:val="000000"/>
                <w:sz w:val="24"/>
                <w:szCs w:val="24"/>
              </w:rPr>
              <w:t>Multifamily</w:t>
            </w:r>
          </w:p>
        </w:tc>
        <w:tc>
          <w:tcPr>
            <w:tcW w:w="1302" w:type="dxa"/>
            <w:tcBorders>
              <w:top w:val="nil"/>
              <w:left w:val="nil"/>
              <w:bottom w:val="single" w:color="auto" w:sz="4" w:space="0"/>
              <w:right w:val="single" w:color="auto" w:sz="4" w:space="0"/>
            </w:tcBorders>
            <w:shd w:val="clear" w:color="auto" w:fill="auto"/>
            <w:noWrap/>
            <w:vAlign w:val="bottom"/>
            <w:hideMark/>
          </w:tcPr>
          <w:p w:rsidRPr="00387AB6" w:rsidR="00B74D39" w:rsidP="00573A19" w:rsidRDefault="00B74D39" w14:paraId="550C56BB" w14:textId="77777777">
            <w:pPr>
              <w:rPr>
                <w:rFonts w:cs="Calibri"/>
                <w:i/>
                <w:iCs/>
                <w:color w:val="000000"/>
                <w:sz w:val="24"/>
                <w:szCs w:val="24"/>
              </w:rPr>
            </w:pPr>
            <w:r w:rsidRPr="00387AB6">
              <w:rPr>
                <w:rFonts w:cs="Calibri"/>
                <w:i/>
                <w:iCs/>
                <w:color w:val="000000"/>
                <w:sz w:val="24"/>
                <w:szCs w:val="24"/>
              </w:rPr>
              <w:t>Singlefamily</w:t>
            </w:r>
          </w:p>
        </w:tc>
        <w:tc>
          <w:tcPr>
            <w:tcW w:w="1246" w:type="dxa"/>
            <w:tcBorders>
              <w:top w:val="nil"/>
              <w:left w:val="nil"/>
              <w:bottom w:val="single" w:color="auto" w:sz="4" w:space="0"/>
              <w:right w:val="single" w:color="auto" w:sz="8" w:space="0"/>
            </w:tcBorders>
            <w:shd w:val="clear" w:color="auto" w:fill="auto"/>
            <w:noWrap/>
            <w:vAlign w:val="bottom"/>
            <w:hideMark/>
          </w:tcPr>
          <w:p w:rsidRPr="00387AB6" w:rsidR="00B74D39" w:rsidP="00573A19" w:rsidRDefault="00B74D39" w14:paraId="556839F2" w14:textId="77777777">
            <w:pPr>
              <w:rPr>
                <w:rFonts w:cs="Calibri"/>
                <w:i/>
                <w:iCs/>
                <w:color w:val="000000"/>
                <w:sz w:val="24"/>
                <w:szCs w:val="24"/>
              </w:rPr>
            </w:pPr>
            <w:r w:rsidRPr="00387AB6">
              <w:rPr>
                <w:rFonts w:cs="Calibri"/>
                <w:i/>
                <w:iCs/>
                <w:color w:val="000000"/>
                <w:sz w:val="24"/>
                <w:szCs w:val="24"/>
              </w:rPr>
              <w:t>Multifamily</w:t>
            </w:r>
          </w:p>
        </w:tc>
      </w:tr>
      <w:tr w:rsidRPr="00387AB6" w:rsidR="00B74D39" w:rsidTr="007A2950" w14:paraId="5F9C1E89" w14:textId="77777777">
        <w:trPr>
          <w:trHeight w:val="300"/>
        </w:trPr>
        <w:tc>
          <w:tcPr>
            <w:tcW w:w="5750" w:type="dxa"/>
            <w:tcBorders>
              <w:top w:val="single" w:color="auto" w:sz="4" w:space="0"/>
              <w:left w:val="single" w:color="auto" w:sz="8" w:space="0"/>
              <w:bottom w:val="single" w:color="auto" w:sz="4" w:space="0"/>
              <w:right w:val="nil"/>
            </w:tcBorders>
            <w:shd w:val="clear" w:color="000000" w:fill="D0CECE"/>
            <w:noWrap/>
            <w:vAlign w:val="bottom"/>
            <w:hideMark/>
          </w:tcPr>
          <w:p w:rsidRPr="00387AB6" w:rsidR="00B74D39" w:rsidP="00573A19" w:rsidRDefault="00B74D39" w14:paraId="4EB4A239" w14:textId="77777777">
            <w:pPr>
              <w:rPr>
                <w:rFonts w:cs="Calibri"/>
                <w:i/>
                <w:iCs/>
                <w:color w:val="000000"/>
                <w:sz w:val="24"/>
                <w:szCs w:val="24"/>
              </w:rPr>
            </w:pPr>
            <w:r w:rsidRPr="00387AB6">
              <w:rPr>
                <w:rFonts w:cs="Calibri"/>
                <w:i/>
                <w:iCs/>
                <w:color w:val="000000"/>
                <w:sz w:val="24"/>
                <w:szCs w:val="24"/>
              </w:rPr>
              <w:t>Non-TOU rates</w:t>
            </w:r>
          </w:p>
        </w:tc>
        <w:tc>
          <w:tcPr>
            <w:tcW w:w="1302" w:type="dxa"/>
            <w:tcBorders>
              <w:top w:val="single" w:color="auto" w:sz="4" w:space="0"/>
              <w:left w:val="single" w:color="auto" w:sz="8" w:space="0"/>
              <w:bottom w:val="single" w:color="auto" w:sz="4" w:space="0"/>
              <w:right w:val="nil"/>
            </w:tcBorders>
            <w:shd w:val="clear" w:color="000000" w:fill="D0CECE"/>
            <w:noWrap/>
            <w:vAlign w:val="bottom"/>
            <w:hideMark/>
          </w:tcPr>
          <w:p w:rsidRPr="00387AB6" w:rsidR="00B74D39" w:rsidP="00573A19" w:rsidRDefault="00B74D39" w14:paraId="02C04CB6" w14:textId="77777777">
            <w:pPr>
              <w:rPr>
                <w:rFonts w:cs="Calibri"/>
                <w:i/>
                <w:iCs/>
                <w:color w:val="000000"/>
                <w:sz w:val="24"/>
                <w:szCs w:val="24"/>
              </w:rPr>
            </w:pPr>
            <w:r w:rsidRPr="00387AB6">
              <w:rPr>
                <w:rFonts w:cs="Calibri"/>
                <w:i/>
                <w:iCs/>
                <w:color w:val="000000"/>
                <w:sz w:val="24"/>
                <w:szCs w:val="24"/>
              </w:rPr>
              <w:t> </w:t>
            </w:r>
          </w:p>
        </w:tc>
        <w:tc>
          <w:tcPr>
            <w:tcW w:w="1246" w:type="dxa"/>
            <w:tcBorders>
              <w:top w:val="nil"/>
              <w:left w:val="nil"/>
              <w:bottom w:val="single" w:color="auto" w:sz="4" w:space="0"/>
              <w:right w:val="nil"/>
            </w:tcBorders>
            <w:shd w:val="clear" w:color="000000" w:fill="D0CECE"/>
            <w:noWrap/>
            <w:vAlign w:val="bottom"/>
            <w:hideMark/>
          </w:tcPr>
          <w:p w:rsidRPr="00387AB6" w:rsidR="00B74D39" w:rsidP="00573A19" w:rsidRDefault="00B74D39" w14:paraId="264B9A17" w14:textId="77777777">
            <w:pPr>
              <w:rPr>
                <w:rFonts w:cs="Calibri"/>
                <w:i/>
                <w:iCs/>
                <w:color w:val="000000"/>
                <w:sz w:val="24"/>
                <w:szCs w:val="24"/>
              </w:rPr>
            </w:pPr>
            <w:r w:rsidRPr="00387AB6">
              <w:rPr>
                <w:rFonts w:cs="Calibri"/>
                <w:i/>
                <w:iCs/>
                <w:color w:val="000000"/>
                <w:sz w:val="24"/>
                <w:szCs w:val="24"/>
              </w:rPr>
              <w:t> </w:t>
            </w:r>
          </w:p>
        </w:tc>
        <w:tc>
          <w:tcPr>
            <w:tcW w:w="1302" w:type="dxa"/>
            <w:tcBorders>
              <w:top w:val="nil"/>
              <w:left w:val="nil"/>
              <w:bottom w:val="single" w:color="auto" w:sz="4" w:space="0"/>
              <w:right w:val="nil"/>
            </w:tcBorders>
            <w:shd w:val="clear" w:color="000000" w:fill="D0CECE"/>
            <w:noWrap/>
            <w:vAlign w:val="bottom"/>
            <w:hideMark/>
          </w:tcPr>
          <w:p w:rsidRPr="00387AB6" w:rsidR="00B74D39" w:rsidP="00573A19" w:rsidRDefault="00B74D39" w14:paraId="3D633222" w14:textId="77777777">
            <w:pPr>
              <w:rPr>
                <w:rFonts w:cs="Calibri"/>
                <w:i/>
                <w:iCs/>
                <w:color w:val="000000"/>
                <w:sz w:val="24"/>
                <w:szCs w:val="24"/>
              </w:rPr>
            </w:pPr>
            <w:r w:rsidRPr="00387AB6">
              <w:rPr>
                <w:rFonts w:cs="Calibri"/>
                <w:i/>
                <w:iCs/>
                <w:color w:val="000000"/>
                <w:sz w:val="24"/>
                <w:szCs w:val="24"/>
              </w:rPr>
              <w:t> </w:t>
            </w:r>
          </w:p>
        </w:tc>
        <w:tc>
          <w:tcPr>
            <w:tcW w:w="1246" w:type="dxa"/>
            <w:tcBorders>
              <w:top w:val="nil"/>
              <w:left w:val="nil"/>
              <w:bottom w:val="single" w:color="auto" w:sz="4" w:space="0"/>
              <w:right w:val="nil"/>
            </w:tcBorders>
            <w:shd w:val="clear" w:color="000000" w:fill="D0CECE"/>
            <w:noWrap/>
            <w:vAlign w:val="bottom"/>
            <w:hideMark/>
          </w:tcPr>
          <w:p w:rsidRPr="00387AB6" w:rsidR="00B74D39" w:rsidP="00573A19" w:rsidRDefault="00B74D39" w14:paraId="218721AA" w14:textId="77777777">
            <w:pPr>
              <w:rPr>
                <w:rFonts w:cs="Calibri"/>
                <w:i/>
                <w:iCs/>
                <w:color w:val="000000"/>
                <w:sz w:val="24"/>
                <w:szCs w:val="24"/>
              </w:rPr>
            </w:pPr>
            <w:r w:rsidRPr="00387AB6">
              <w:rPr>
                <w:rFonts w:cs="Calibri"/>
                <w:i/>
                <w:iCs/>
                <w:color w:val="000000"/>
                <w:sz w:val="24"/>
                <w:szCs w:val="24"/>
              </w:rPr>
              <w:t> </w:t>
            </w:r>
          </w:p>
        </w:tc>
        <w:tc>
          <w:tcPr>
            <w:tcW w:w="1302" w:type="dxa"/>
            <w:tcBorders>
              <w:top w:val="single" w:color="auto" w:sz="4" w:space="0"/>
              <w:left w:val="nil"/>
              <w:bottom w:val="single" w:color="auto" w:sz="4" w:space="0"/>
              <w:right w:val="nil"/>
            </w:tcBorders>
            <w:shd w:val="clear" w:color="000000" w:fill="D0CECE"/>
            <w:noWrap/>
            <w:vAlign w:val="bottom"/>
            <w:hideMark/>
          </w:tcPr>
          <w:p w:rsidRPr="00387AB6" w:rsidR="00B74D39" w:rsidP="00573A19" w:rsidRDefault="00B74D39" w14:paraId="58232C08" w14:textId="77777777">
            <w:pPr>
              <w:rPr>
                <w:rFonts w:cs="Calibri"/>
                <w:i/>
                <w:iCs/>
                <w:color w:val="000000"/>
                <w:sz w:val="24"/>
                <w:szCs w:val="24"/>
              </w:rPr>
            </w:pPr>
            <w:r w:rsidRPr="00387AB6">
              <w:rPr>
                <w:rFonts w:cs="Calibri"/>
                <w:i/>
                <w:iCs/>
                <w:color w:val="000000"/>
                <w:sz w:val="24"/>
                <w:szCs w:val="24"/>
              </w:rPr>
              <w:t> </w:t>
            </w:r>
          </w:p>
        </w:tc>
        <w:tc>
          <w:tcPr>
            <w:tcW w:w="1246" w:type="dxa"/>
            <w:tcBorders>
              <w:top w:val="single" w:color="auto" w:sz="4" w:space="0"/>
              <w:left w:val="nil"/>
              <w:bottom w:val="single" w:color="auto" w:sz="4" w:space="0"/>
              <w:right w:val="nil"/>
            </w:tcBorders>
            <w:shd w:val="clear" w:color="000000" w:fill="D0CECE"/>
            <w:noWrap/>
            <w:vAlign w:val="bottom"/>
            <w:hideMark/>
          </w:tcPr>
          <w:p w:rsidRPr="00387AB6" w:rsidR="00B74D39" w:rsidP="00573A19" w:rsidRDefault="00B74D39" w14:paraId="585D0E5D" w14:textId="77777777">
            <w:pPr>
              <w:rPr>
                <w:rFonts w:cs="Calibri"/>
                <w:i/>
                <w:iCs/>
                <w:color w:val="000000"/>
                <w:sz w:val="24"/>
                <w:szCs w:val="24"/>
              </w:rPr>
            </w:pPr>
            <w:r w:rsidRPr="00387AB6">
              <w:rPr>
                <w:rFonts w:cs="Calibri"/>
                <w:i/>
                <w:iCs/>
                <w:color w:val="000000"/>
                <w:sz w:val="24"/>
                <w:szCs w:val="24"/>
              </w:rPr>
              <w:t> </w:t>
            </w:r>
          </w:p>
        </w:tc>
        <w:tc>
          <w:tcPr>
            <w:tcW w:w="1302" w:type="dxa"/>
            <w:tcBorders>
              <w:top w:val="nil"/>
              <w:left w:val="nil"/>
              <w:bottom w:val="single" w:color="auto" w:sz="4" w:space="0"/>
              <w:right w:val="nil"/>
            </w:tcBorders>
            <w:shd w:val="clear" w:color="000000" w:fill="D0CECE"/>
            <w:noWrap/>
            <w:vAlign w:val="bottom"/>
            <w:hideMark/>
          </w:tcPr>
          <w:p w:rsidRPr="00387AB6" w:rsidR="00B74D39" w:rsidP="00573A19" w:rsidRDefault="00B74D39" w14:paraId="04FCEF5D" w14:textId="77777777">
            <w:pPr>
              <w:rPr>
                <w:rFonts w:cs="Calibri"/>
                <w:i/>
                <w:iCs/>
                <w:color w:val="000000"/>
                <w:sz w:val="24"/>
                <w:szCs w:val="24"/>
              </w:rPr>
            </w:pPr>
            <w:r w:rsidRPr="00387AB6">
              <w:rPr>
                <w:rFonts w:cs="Calibri"/>
                <w:i/>
                <w:iCs/>
                <w:color w:val="000000"/>
                <w:sz w:val="24"/>
                <w:szCs w:val="24"/>
              </w:rPr>
              <w:t> </w:t>
            </w:r>
          </w:p>
        </w:tc>
        <w:tc>
          <w:tcPr>
            <w:tcW w:w="1246" w:type="dxa"/>
            <w:tcBorders>
              <w:top w:val="nil"/>
              <w:left w:val="nil"/>
              <w:bottom w:val="single" w:color="auto" w:sz="4" w:space="0"/>
              <w:right w:val="single" w:color="auto" w:sz="8" w:space="0"/>
            </w:tcBorders>
            <w:shd w:val="clear" w:color="000000" w:fill="D0CECE"/>
            <w:noWrap/>
            <w:vAlign w:val="bottom"/>
            <w:hideMark/>
          </w:tcPr>
          <w:p w:rsidRPr="00387AB6" w:rsidR="00B74D39" w:rsidP="00573A19" w:rsidRDefault="00B74D39" w14:paraId="767773A3" w14:textId="77777777">
            <w:pPr>
              <w:rPr>
                <w:rFonts w:cs="Calibri"/>
                <w:i/>
                <w:iCs/>
                <w:color w:val="000000"/>
                <w:sz w:val="24"/>
                <w:szCs w:val="24"/>
              </w:rPr>
            </w:pPr>
            <w:r w:rsidRPr="00387AB6">
              <w:rPr>
                <w:rFonts w:cs="Calibri"/>
                <w:i/>
                <w:iCs/>
                <w:color w:val="000000"/>
                <w:sz w:val="24"/>
                <w:szCs w:val="24"/>
              </w:rPr>
              <w:t> </w:t>
            </w:r>
          </w:p>
        </w:tc>
      </w:tr>
      <w:tr w:rsidRPr="00387AB6" w:rsidR="00B74D39" w:rsidTr="007A2950" w14:paraId="7D2B11F8" w14:textId="77777777">
        <w:trPr>
          <w:trHeight w:val="600"/>
        </w:trPr>
        <w:tc>
          <w:tcPr>
            <w:tcW w:w="5750" w:type="dxa"/>
            <w:tcBorders>
              <w:top w:val="nil"/>
              <w:left w:val="single" w:color="auto" w:sz="8" w:space="0"/>
              <w:bottom w:val="single" w:color="auto" w:sz="4" w:space="0"/>
              <w:right w:val="nil"/>
            </w:tcBorders>
            <w:shd w:val="clear" w:color="auto" w:fill="auto"/>
            <w:noWrap/>
            <w:vAlign w:val="bottom"/>
            <w:hideMark/>
          </w:tcPr>
          <w:p w:rsidRPr="00387AB6" w:rsidR="00B74D39" w:rsidP="00573A19" w:rsidRDefault="00B74D39" w14:paraId="034C6463" w14:textId="77777777">
            <w:pPr>
              <w:rPr>
                <w:rFonts w:cs="Calibri"/>
                <w:color w:val="000000"/>
                <w:sz w:val="24"/>
                <w:szCs w:val="24"/>
              </w:rPr>
            </w:pPr>
            <w:r w:rsidRPr="00387AB6">
              <w:rPr>
                <w:rFonts w:cs="Calibri"/>
                <w:color w:val="000000"/>
                <w:sz w:val="24"/>
                <w:szCs w:val="24"/>
              </w:rPr>
              <w:t>E.g. E-1</w:t>
            </w:r>
          </w:p>
        </w:tc>
        <w:tc>
          <w:tcPr>
            <w:tcW w:w="1302" w:type="dxa"/>
            <w:tcBorders>
              <w:top w:val="nil"/>
              <w:left w:val="single" w:color="auto" w:sz="8" w:space="0"/>
              <w:bottom w:val="single" w:color="auto" w:sz="4" w:space="0"/>
              <w:right w:val="single" w:color="auto" w:sz="4" w:space="0"/>
            </w:tcBorders>
            <w:shd w:val="clear" w:color="auto" w:fill="auto"/>
            <w:vAlign w:val="bottom"/>
            <w:hideMark/>
          </w:tcPr>
          <w:p w:rsidRPr="00387AB6" w:rsidR="00B74D39" w:rsidP="00573A19" w:rsidRDefault="00B74D39" w14:paraId="24B3CBAF" w14:textId="77777777">
            <w:pPr>
              <w:rPr>
                <w:rFonts w:cs="Calibri"/>
                <w:color w:val="000000"/>
                <w:sz w:val="24"/>
                <w:szCs w:val="24"/>
              </w:rPr>
            </w:pPr>
            <w:r w:rsidRPr="00387AB6">
              <w:rPr>
                <w:rFonts w:cs="Calibri"/>
                <w:color w:val="000000"/>
                <w:sz w:val="24"/>
                <w:szCs w:val="24"/>
              </w:rPr>
              <w:t>[# of Customers]</w:t>
            </w:r>
          </w:p>
        </w:tc>
        <w:tc>
          <w:tcPr>
            <w:tcW w:w="1246" w:type="dxa"/>
            <w:tcBorders>
              <w:top w:val="nil"/>
              <w:left w:val="nil"/>
              <w:bottom w:val="single" w:color="auto" w:sz="4" w:space="0"/>
              <w:right w:val="double" w:color="auto" w:sz="6" w:space="0"/>
            </w:tcBorders>
            <w:shd w:val="clear" w:color="auto" w:fill="auto"/>
            <w:noWrap/>
            <w:vAlign w:val="bottom"/>
            <w:hideMark/>
          </w:tcPr>
          <w:p w:rsidRPr="00387AB6" w:rsidR="00B74D39" w:rsidP="00573A19" w:rsidRDefault="00B74D39" w14:paraId="2099C861" w14:textId="77777777">
            <w:pPr>
              <w:rPr>
                <w:rFonts w:cs="Calibri"/>
                <w:color w:val="000000"/>
                <w:sz w:val="24"/>
                <w:szCs w:val="24"/>
              </w:rPr>
            </w:pPr>
            <w:r w:rsidRPr="00387AB6">
              <w:rPr>
                <w:rFonts w:cs="Calibri"/>
                <w:color w:val="000000"/>
                <w:sz w:val="24"/>
                <w:szCs w:val="24"/>
              </w:rPr>
              <w:t> </w:t>
            </w:r>
          </w:p>
        </w:tc>
        <w:tc>
          <w:tcPr>
            <w:tcW w:w="1302" w:type="dxa"/>
            <w:tcBorders>
              <w:top w:val="nil"/>
              <w:left w:val="nil"/>
              <w:bottom w:val="single" w:color="auto" w:sz="4" w:space="0"/>
              <w:right w:val="nil"/>
            </w:tcBorders>
            <w:shd w:val="clear" w:color="auto" w:fill="auto"/>
            <w:noWrap/>
            <w:vAlign w:val="bottom"/>
            <w:hideMark/>
          </w:tcPr>
          <w:p w:rsidRPr="00387AB6" w:rsidR="00B74D39" w:rsidP="00573A19" w:rsidRDefault="00B74D39" w14:paraId="46A8E683"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4" w:space="0"/>
              <w:right w:val="nil"/>
            </w:tcBorders>
            <w:shd w:val="clear" w:color="auto" w:fill="auto"/>
            <w:noWrap/>
            <w:vAlign w:val="bottom"/>
            <w:hideMark/>
          </w:tcPr>
          <w:p w:rsidRPr="00387AB6" w:rsidR="00B74D39" w:rsidP="00573A19" w:rsidRDefault="00B74D39" w14:paraId="58A00F0C" w14:textId="77777777">
            <w:pPr>
              <w:rPr>
                <w:rFonts w:cs="Calibri"/>
                <w:color w:val="000000"/>
                <w:sz w:val="24"/>
                <w:szCs w:val="24"/>
              </w:rPr>
            </w:pPr>
            <w:r w:rsidRPr="00387AB6">
              <w:rPr>
                <w:rFonts w:cs="Calibri"/>
                <w:color w:val="000000"/>
                <w:sz w:val="24"/>
                <w:szCs w:val="24"/>
              </w:rPr>
              <w:t> </w:t>
            </w:r>
          </w:p>
        </w:tc>
        <w:tc>
          <w:tcPr>
            <w:tcW w:w="1302" w:type="dxa"/>
            <w:tcBorders>
              <w:top w:val="nil"/>
              <w:left w:val="double" w:color="auto" w:sz="6" w:space="0"/>
              <w:bottom w:val="single" w:color="auto" w:sz="4" w:space="0"/>
              <w:right w:val="single" w:color="auto" w:sz="4" w:space="0"/>
            </w:tcBorders>
            <w:shd w:val="clear" w:color="auto" w:fill="auto"/>
            <w:noWrap/>
            <w:vAlign w:val="bottom"/>
            <w:hideMark/>
          </w:tcPr>
          <w:p w:rsidRPr="00387AB6" w:rsidR="00B74D39" w:rsidP="00573A19" w:rsidRDefault="00B74D39" w14:paraId="0F6E28F0"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4" w:space="0"/>
              <w:right w:val="double" w:color="auto" w:sz="6" w:space="0"/>
            </w:tcBorders>
            <w:shd w:val="clear" w:color="auto" w:fill="auto"/>
            <w:noWrap/>
            <w:vAlign w:val="bottom"/>
            <w:hideMark/>
          </w:tcPr>
          <w:p w:rsidRPr="00387AB6" w:rsidR="00B74D39" w:rsidP="00573A19" w:rsidRDefault="00B74D39" w14:paraId="1025300B" w14:textId="77777777">
            <w:pPr>
              <w:rPr>
                <w:rFonts w:cs="Calibri"/>
                <w:color w:val="000000"/>
                <w:sz w:val="24"/>
                <w:szCs w:val="24"/>
              </w:rPr>
            </w:pPr>
            <w:r w:rsidRPr="00387AB6">
              <w:rPr>
                <w:rFonts w:cs="Calibri"/>
                <w:color w:val="000000"/>
                <w:sz w:val="24"/>
                <w:szCs w:val="24"/>
              </w:rPr>
              <w:t> </w:t>
            </w:r>
          </w:p>
        </w:tc>
        <w:tc>
          <w:tcPr>
            <w:tcW w:w="1302" w:type="dxa"/>
            <w:tcBorders>
              <w:top w:val="nil"/>
              <w:left w:val="nil"/>
              <w:bottom w:val="single" w:color="auto" w:sz="4" w:space="0"/>
              <w:right w:val="single" w:color="auto" w:sz="4" w:space="0"/>
            </w:tcBorders>
            <w:shd w:val="clear" w:color="auto" w:fill="auto"/>
            <w:noWrap/>
            <w:vAlign w:val="bottom"/>
            <w:hideMark/>
          </w:tcPr>
          <w:p w:rsidRPr="00387AB6" w:rsidR="00B74D39" w:rsidP="00573A19" w:rsidRDefault="00B74D39" w14:paraId="7DB0D9F4"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4" w:space="0"/>
              <w:right w:val="single" w:color="auto" w:sz="8" w:space="0"/>
            </w:tcBorders>
            <w:shd w:val="clear" w:color="auto" w:fill="auto"/>
            <w:noWrap/>
            <w:vAlign w:val="bottom"/>
            <w:hideMark/>
          </w:tcPr>
          <w:p w:rsidRPr="00387AB6" w:rsidR="00B74D39" w:rsidP="00573A19" w:rsidRDefault="00B74D39" w14:paraId="04A65C2E" w14:textId="77777777">
            <w:pPr>
              <w:rPr>
                <w:rFonts w:cs="Calibri"/>
                <w:color w:val="000000"/>
                <w:sz w:val="24"/>
                <w:szCs w:val="24"/>
              </w:rPr>
            </w:pPr>
            <w:r w:rsidRPr="00387AB6">
              <w:rPr>
                <w:rFonts w:cs="Calibri"/>
                <w:color w:val="000000"/>
                <w:sz w:val="24"/>
                <w:szCs w:val="24"/>
              </w:rPr>
              <w:t> </w:t>
            </w:r>
          </w:p>
        </w:tc>
      </w:tr>
      <w:tr w:rsidRPr="00387AB6" w:rsidR="00B74D39" w:rsidTr="007A2950" w14:paraId="0E3F8A10" w14:textId="77777777">
        <w:trPr>
          <w:trHeight w:val="300"/>
        </w:trPr>
        <w:tc>
          <w:tcPr>
            <w:tcW w:w="5750" w:type="dxa"/>
            <w:tcBorders>
              <w:top w:val="nil"/>
              <w:left w:val="single" w:color="auto" w:sz="8" w:space="0"/>
              <w:bottom w:val="single" w:color="auto" w:sz="4" w:space="0"/>
              <w:right w:val="nil"/>
            </w:tcBorders>
            <w:shd w:val="clear" w:color="auto" w:fill="auto"/>
            <w:noWrap/>
            <w:vAlign w:val="bottom"/>
            <w:hideMark/>
          </w:tcPr>
          <w:p w:rsidRPr="00387AB6" w:rsidR="00B74D39" w:rsidP="00573A19" w:rsidRDefault="00B74D39" w14:paraId="785D5F4F" w14:textId="77777777">
            <w:pPr>
              <w:rPr>
                <w:rFonts w:cs="Calibri"/>
                <w:color w:val="000000"/>
                <w:sz w:val="24"/>
                <w:szCs w:val="24"/>
              </w:rPr>
            </w:pPr>
            <w:r w:rsidRPr="00387AB6">
              <w:rPr>
                <w:rFonts w:cs="Calibri"/>
                <w:color w:val="000000"/>
                <w:sz w:val="24"/>
                <w:szCs w:val="24"/>
              </w:rPr>
              <w:t>[Add rows as needed]</w:t>
            </w:r>
          </w:p>
        </w:tc>
        <w:tc>
          <w:tcPr>
            <w:tcW w:w="1302" w:type="dxa"/>
            <w:tcBorders>
              <w:top w:val="nil"/>
              <w:left w:val="single" w:color="auto" w:sz="8" w:space="0"/>
              <w:bottom w:val="single" w:color="auto" w:sz="4" w:space="0"/>
              <w:right w:val="single" w:color="auto" w:sz="4" w:space="0"/>
            </w:tcBorders>
            <w:shd w:val="clear" w:color="auto" w:fill="auto"/>
            <w:vAlign w:val="bottom"/>
            <w:hideMark/>
          </w:tcPr>
          <w:p w:rsidRPr="00387AB6" w:rsidR="00B74D39" w:rsidP="00573A19" w:rsidRDefault="00B74D39" w14:paraId="311E6298"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4" w:space="0"/>
              <w:right w:val="double" w:color="auto" w:sz="6" w:space="0"/>
            </w:tcBorders>
            <w:shd w:val="clear" w:color="auto" w:fill="auto"/>
            <w:noWrap/>
            <w:vAlign w:val="bottom"/>
            <w:hideMark/>
          </w:tcPr>
          <w:p w:rsidRPr="00387AB6" w:rsidR="00B74D39" w:rsidP="00573A19" w:rsidRDefault="00B74D39" w14:paraId="75B935A9" w14:textId="77777777">
            <w:pPr>
              <w:rPr>
                <w:rFonts w:cs="Calibri"/>
                <w:color w:val="000000"/>
                <w:sz w:val="24"/>
                <w:szCs w:val="24"/>
              </w:rPr>
            </w:pPr>
            <w:r w:rsidRPr="00387AB6">
              <w:rPr>
                <w:rFonts w:cs="Calibri"/>
                <w:color w:val="000000"/>
                <w:sz w:val="24"/>
                <w:szCs w:val="24"/>
              </w:rPr>
              <w:t> </w:t>
            </w:r>
          </w:p>
        </w:tc>
        <w:tc>
          <w:tcPr>
            <w:tcW w:w="1302" w:type="dxa"/>
            <w:tcBorders>
              <w:top w:val="nil"/>
              <w:left w:val="nil"/>
              <w:bottom w:val="single" w:color="auto" w:sz="4" w:space="0"/>
              <w:right w:val="nil"/>
            </w:tcBorders>
            <w:shd w:val="clear" w:color="auto" w:fill="auto"/>
            <w:noWrap/>
            <w:vAlign w:val="bottom"/>
            <w:hideMark/>
          </w:tcPr>
          <w:p w:rsidRPr="00387AB6" w:rsidR="00B74D39" w:rsidP="00573A19" w:rsidRDefault="00B74D39" w14:paraId="5D4C896E"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4" w:space="0"/>
              <w:right w:val="nil"/>
            </w:tcBorders>
            <w:shd w:val="clear" w:color="auto" w:fill="auto"/>
            <w:noWrap/>
            <w:vAlign w:val="bottom"/>
            <w:hideMark/>
          </w:tcPr>
          <w:p w:rsidRPr="00387AB6" w:rsidR="00B74D39" w:rsidP="00573A19" w:rsidRDefault="00B74D39" w14:paraId="5C4136AC" w14:textId="77777777">
            <w:pPr>
              <w:rPr>
                <w:rFonts w:cs="Calibri"/>
                <w:color w:val="000000"/>
                <w:sz w:val="24"/>
                <w:szCs w:val="24"/>
              </w:rPr>
            </w:pPr>
            <w:r w:rsidRPr="00387AB6">
              <w:rPr>
                <w:rFonts w:cs="Calibri"/>
                <w:color w:val="000000"/>
                <w:sz w:val="24"/>
                <w:szCs w:val="24"/>
              </w:rPr>
              <w:t> </w:t>
            </w:r>
          </w:p>
        </w:tc>
        <w:tc>
          <w:tcPr>
            <w:tcW w:w="1302" w:type="dxa"/>
            <w:tcBorders>
              <w:top w:val="nil"/>
              <w:left w:val="double" w:color="auto" w:sz="6" w:space="0"/>
              <w:bottom w:val="single" w:color="auto" w:sz="4" w:space="0"/>
              <w:right w:val="single" w:color="auto" w:sz="4" w:space="0"/>
            </w:tcBorders>
            <w:shd w:val="clear" w:color="auto" w:fill="auto"/>
            <w:noWrap/>
            <w:vAlign w:val="bottom"/>
            <w:hideMark/>
          </w:tcPr>
          <w:p w:rsidRPr="00387AB6" w:rsidR="00B74D39" w:rsidP="00573A19" w:rsidRDefault="00B74D39" w14:paraId="4CDB4C09"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4" w:space="0"/>
              <w:right w:val="double" w:color="auto" w:sz="6" w:space="0"/>
            </w:tcBorders>
            <w:shd w:val="clear" w:color="auto" w:fill="auto"/>
            <w:noWrap/>
            <w:vAlign w:val="bottom"/>
            <w:hideMark/>
          </w:tcPr>
          <w:p w:rsidRPr="00387AB6" w:rsidR="00B74D39" w:rsidP="00573A19" w:rsidRDefault="00B74D39" w14:paraId="1400D029" w14:textId="77777777">
            <w:pPr>
              <w:rPr>
                <w:rFonts w:cs="Calibri"/>
                <w:color w:val="000000"/>
                <w:sz w:val="24"/>
                <w:szCs w:val="24"/>
              </w:rPr>
            </w:pPr>
            <w:r w:rsidRPr="00387AB6">
              <w:rPr>
                <w:rFonts w:cs="Calibri"/>
                <w:color w:val="000000"/>
                <w:sz w:val="24"/>
                <w:szCs w:val="24"/>
              </w:rPr>
              <w:t> </w:t>
            </w:r>
          </w:p>
        </w:tc>
        <w:tc>
          <w:tcPr>
            <w:tcW w:w="1302" w:type="dxa"/>
            <w:tcBorders>
              <w:top w:val="nil"/>
              <w:left w:val="nil"/>
              <w:bottom w:val="single" w:color="auto" w:sz="4" w:space="0"/>
              <w:right w:val="single" w:color="auto" w:sz="4" w:space="0"/>
            </w:tcBorders>
            <w:shd w:val="clear" w:color="auto" w:fill="auto"/>
            <w:noWrap/>
            <w:vAlign w:val="bottom"/>
            <w:hideMark/>
          </w:tcPr>
          <w:p w:rsidRPr="00387AB6" w:rsidR="00B74D39" w:rsidP="00573A19" w:rsidRDefault="00B74D39" w14:paraId="7E3E7508"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4" w:space="0"/>
              <w:right w:val="single" w:color="auto" w:sz="8" w:space="0"/>
            </w:tcBorders>
            <w:shd w:val="clear" w:color="auto" w:fill="auto"/>
            <w:noWrap/>
            <w:vAlign w:val="bottom"/>
            <w:hideMark/>
          </w:tcPr>
          <w:p w:rsidRPr="00387AB6" w:rsidR="00B74D39" w:rsidP="00573A19" w:rsidRDefault="00B74D39" w14:paraId="3D1CA054" w14:textId="77777777">
            <w:pPr>
              <w:rPr>
                <w:rFonts w:cs="Calibri"/>
                <w:color w:val="000000"/>
                <w:sz w:val="24"/>
                <w:szCs w:val="24"/>
              </w:rPr>
            </w:pPr>
            <w:r w:rsidRPr="00387AB6">
              <w:rPr>
                <w:rFonts w:cs="Calibri"/>
                <w:color w:val="000000"/>
                <w:sz w:val="24"/>
                <w:szCs w:val="24"/>
              </w:rPr>
              <w:t> </w:t>
            </w:r>
          </w:p>
        </w:tc>
      </w:tr>
      <w:tr w:rsidRPr="00387AB6" w:rsidR="00B74D39" w:rsidTr="007A2950" w14:paraId="3950EF8D" w14:textId="77777777">
        <w:trPr>
          <w:trHeight w:val="600"/>
        </w:trPr>
        <w:tc>
          <w:tcPr>
            <w:tcW w:w="5750" w:type="dxa"/>
            <w:tcBorders>
              <w:top w:val="nil"/>
              <w:left w:val="single" w:color="auto" w:sz="8" w:space="0"/>
              <w:bottom w:val="single" w:color="auto" w:sz="4" w:space="0"/>
              <w:right w:val="nil"/>
            </w:tcBorders>
            <w:shd w:val="clear" w:color="auto" w:fill="auto"/>
            <w:vAlign w:val="bottom"/>
            <w:hideMark/>
          </w:tcPr>
          <w:p w:rsidRPr="00387AB6" w:rsidR="00B74D39" w:rsidP="00573A19" w:rsidRDefault="00B74D39" w14:paraId="36A04F98" w14:textId="77777777">
            <w:pPr>
              <w:rPr>
                <w:rFonts w:cs="Calibri"/>
                <w:color w:val="000000"/>
                <w:sz w:val="24"/>
                <w:szCs w:val="24"/>
              </w:rPr>
            </w:pPr>
            <w:r w:rsidRPr="00387AB6">
              <w:rPr>
                <w:rFonts w:cs="Calibri"/>
                <w:b/>
                <w:bCs/>
                <w:color w:val="000000"/>
                <w:sz w:val="24"/>
                <w:szCs w:val="24"/>
              </w:rPr>
              <w:t>Total</w:t>
            </w:r>
            <w:r w:rsidRPr="00387AB6">
              <w:rPr>
                <w:rFonts w:cs="Calibri"/>
                <w:color w:val="000000"/>
                <w:sz w:val="24"/>
                <w:szCs w:val="24"/>
              </w:rPr>
              <w:t xml:space="preserve"> [footnote any caveats when summation differs from total]</w:t>
            </w:r>
          </w:p>
        </w:tc>
        <w:tc>
          <w:tcPr>
            <w:tcW w:w="1302" w:type="dxa"/>
            <w:tcBorders>
              <w:top w:val="nil"/>
              <w:left w:val="single" w:color="auto" w:sz="8" w:space="0"/>
              <w:bottom w:val="single" w:color="auto" w:sz="4" w:space="0"/>
              <w:right w:val="single" w:color="auto" w:sz="4" w:space="0"/>
            </w:tcBorders>
            <w:shd w:val="clear" w:color="auto" w:fill="auto"/>
            <w:vAlign w:val="bottom"/>
            <w:hideMark/>
          </w:tcPr>
          <w:p w:rsidRPr="00387AB6" w:rsidR="00B74D39" w:rsidP="00573A19" w:rsidRDefault="00B74D39" w14:paraId="3F1A5482"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4" w:space="0"/>
              <w:right w:val="double" w:color="auto" w:sz="6" w:space="0"/>
            </w:tcBorders>
            <w:shd w:val="clear" w:color="auto" w:fill="auto"/>
            <w:noWrap/>
            <w:vAlign w:val="bottom"/>
            <w:hideMark/>
          </w:tcPr>
          <w:p w:rsidRPr="00387AB6" w:rsidR="00B74D39" w:rsidP="00573A19" w:rsidRDefault="00B74D39" w14:paraId="7028D458" w14:textId="77777777">
            <w:pPr>
              <w:rPr>
                <w:rFonts w:cs="Calibri"/>
                <w:color w:val="000000"/>
                <w:sz w:val="24"/>
                <w:szCs w:val="24"/>
              </w:rPr>
            </w:pPr>
            <w:r w:rsidRPr="00387AB6">
              <w:rPr>
                <w:rFonts w:cs="Calibri"/>
                <w:color w:val="000000"/>
                <w:sz w:val="24"/>
                <w:szCs w:val="24"/>
              </w:rPr>
              <w:t> </w:t>
            </w:r>
          </w:p>
        </w:tc>
        <w:tc>
          <w:tcPr>
            <w:tcW w:w="1302" w:type="dxa"/>
            <w:tcBorders>
              <w:top w:val="nil"/>
              <w:left w:val="nil"/>
              <w:bottom w:val="single" w:color="auto" w:sz="4" w:space="0"/>
              <w:right w:val="nil"/>
            </w:tcBorders>
            <w:shd w:val="clear" w:color="auto" w:fill="auto"/>
            <w:noWrap/>
            <w:vAlign w:val="bottom"/>
            <w:hideMark/>
          </w:tcPr>
          <w:p w:rsidRPr="00387AB6" w:rsidR="00B74D39" w:rsidP="00573A19" w:rsidRDefault="00B74D39" w14:paraId="69671AFE"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4" w:space="0"/>
              <w:right w:val="nil"/>
            </w:tcBorders>
            <w:shd w:val="clear" w:color="auto" w:fill="auto"/>
            <w:noWrap/>
            <w:vAlign w:val="bottom"/>
            <w:hideMark/>
          </w:tcPr>
          <w:p w:rsidRPr="00387AB6" w:rsidR="00B74D39" w:rsidP="00573A19" w:rsidRDefault="00B74D39" w14:paraId="33837930" w14:textId="77777777">
            <w:pPr>
              <w:rPr>
                <w:rFonts w:cs="Calibri"/>
                <w:color w:val="000000"/>
                <w:sz w:val="24"/>
                <w:szCs w:val="24"/>
              </w:rPr>
            </w:pPr>
            <w:r w:rsidRPr="00387AB6">
              <w:rPr>
                <w:rFonts w:cs="Calibri"/>
                <w:color w:val="000000"/>
                <w:sz w:val="24"/>
                <w:szCs w:val="24"/>
              </w:rPr>
              <w:t> </w:t>
            </w:r>
          </w:p>
        </w:tc>
        <w:tc>
          <w:tcPr>
            <w:tcW w:w="1302" w:type="dxa"/>
            <w:tcBorders>
              <w:top w:val="nil"/>
              <w:left w:val="double" w:color="auto" w:sz="6" w:space="0"/>
              <w:bottom w:val="single" w:color="auto" w:sz="4" w:space="0"/>
              <w:right w:val="single" w:color="auto" w:sz="4" w:space="0"/>
            </w:tcBorders>
            <w:shd w:val="clear" w:color="auto" w:fill="auto"/>
            <w:noWrap/>
            <w:vAlign w:val="bottom"/>
            <w:hideMark/>
          </w:tcPr>
          <w:p w:rsidRPr="00387AB6" w:rsidR="00B74D39" w:rsidP="00573A19" w:rsidRDefault="00B74D39" w14:paraId="55CCE407"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4" w:space="0"/>
              <w:right w:val="double" w:color="auto" w:sz="6" w:space="0"/>
            </w:tcBorders>
            <w:shd w:val="clear" w:color="auto" w:fill="auto"/>
            <w:noWrap/>
            <w:vAlign w:val="bottom"/>
            <w:hideMark/>
          </w:tcPr>
          <w:p w:rsidRPr="00387AB6" w:rsidR="00B74D39" w:rsidP="00573A19" w:rsidRDefault="00B74D39" w14:paraId="3054C639" w14:textId="77777777">
            <w:pPr>
              <w:rPr>
                <w:rFonts w:cs="Calibri"/>
                <w:color w:val="000000"/>
                <w:sz w:val="24"/>
                <w:szCs w:val="24"/>
              </w:rPr>
            </w:pPr>
            <w:r w:rsidRPr="00387AB6">
              <w:rPr>
                <w:rFonts w:cs="Calibri"/>
                <w:color w:val="000000"/>
                <w:sz w:val="24"/>
                <w:szCs w:val="24"/>
              </w:rPr>
              <w:t> </w:t>
            </w:r>
          </w:p>
        </w:tc>
        <w:tc>
          <w:tcPr>
            <w:tcW w:w="1302" w:type="dxa"/>
            <w:tcBorders>
              <w:top w:val="nil"/>
              <w:left w:val="nil"/>
              <w:bottom w:val="single" w:color="auto" w:sz="4" w:space="0"/>
              <w:right w:val="single" w:color="auto" w:sz="4" w:space="0"/>
            </w:tcBorders>
            <w:shd w:val="clear" w:color="auto" w:fill="auto"/>
            <w:noWrap/>
            <w:vAlign w:val="bottom"/>
            <w:hideMark/>
          </w:tcPr>
          <w:p w:rsidRPr="00387AB6" w:rsidR="00B74D39" w:rsidP="00573A19" w:rsidRDefault="00B74D39" w14:paraId="3F453ED7"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4" w:space="0"/>
              <w:right w:val="single" w:color="auto" w:sz="8" w:space="0"/>
            </w:tcBorders>
            <w:shd w:val="clear" w:color="auto" w:fill="auto"/>
            <w:noWrap/>
            <w:vAlign w:val="bottom"/>
            <w:hideMark/>
          </w:tcPr>
          <w:p w:rsidRPr="00387AB6" w:rsidR="00B74D39" w:rsidP="00573A19" w:rsidRDefault="00B74D39" w14:paraId="5E88988B" w14:textId="77777777">
            <w:pPr>
              <w:rPr>
                <w:rFonts w:cs="Calibri"/>
                <w:color w:val="000000"/>
                <w:sz w:val="24"/>
                <w:szCs w:val="24"/>
              </w:rPr>
            </w:pPr>
            <w:r w:rsidRPr="00387AB6">
              <w:rPr>
                <w:rFonts w:cs="Calibri"/>
                <w:color w:val="000000"/>
                <w:sz w:val="24"/>
                <w:szCs w:val="24"/>
              </w:rPr>
              <w:t> </w:t>
            </w:r>
          </w:p>
        </w:tc>
      </w:tr>
      <w:tr w:rsidRPr="00387AB6" w:rsidR="00B74D39" w:rsidTr="007A2950" w14:paraId="3C3129F1" w14:textId="77777777">
        <w:trPr>
          <w:trHeight w:val="300"/>
        </w:trPr>
        <w:tc>
          <w:tcPr>
            <w:tcW w:w="5750" w:type="dxa"/>
            <w:tcBorders>
              <w:top w:val="nil"/>
              <w:left w:val="single" w:color="auto" w:sz="8" w:space="0"/>
              <w:bottom w:val="single" w:color="auto" w:sz="4" w:space="0"/>
              <w:right w:val="nil"/>
            </w:tcBorders>
            <w:shd w:val="clear" w:color="000000" w:fill="D0CECE"/>
            <w:noWrap/>
            <w:vAlign w:val="bottom"/>
            <w:hideMark/>
          </w:tcPr>
          <w:p w:rsidRPr="00387AB6" w:rsidR="00B74D39" w:rsidP="00573A19" w:rsidRDefault="00B74D39" w14:paraId="7102D301" w14:textId="77777777">
            <w:pPr>
              <w:rPr>
                <w:rFonts w:cs="Calibri"/>
                <w:i/>
                <w:iCs/>
                <w:color w:val="000000"/>
                <w:sz w:val="24"/>
                <w:szCs w:val="24"/>
              </w:rPr>
            </w:pPr>
            <w:r w:rsidRPr="00387AB6">
              <w:rPr>
                <w:rFonts w:cs="Calibri"/>
                <w:i/>
                <w:iCs/>
                <w:color w:val="000000"/>
                <w:sz w:val="24"/>
                <w:szCs w:val="24"/>
              </w:rPr>
              <w:t>TOU Rates</w:t>
            </w:r>
          </w:p>
        </w:tc>
        <w:tc>
          <w:tcPr>
            <w:tcW w:w="1302" w:type="dxa"/>
            <w:tcBorders>
              <w:top w:val="nil"/>
              <w:left w:val="single" w:color="auto" w:sz="8" w:space="0"/>
              <w:bottom w:val="single" w:color="auto" w:sz="4" w:space="0"/>
              <w:right w:val="nil"/>
            </w:tcBorders>
            <w:shd w:val="clear" w:color="000000" w:fill="D0CECE"/>
            <w:noWrap/>
            <w:vAlign w:val="bottom"/>
            <w:hideMark/>
          </w:tcPr>
          <w:p w:rsidRPr="00387AB6" w:rsidR="00B74D39" w:rsidP="00573A19" w:rsidRDefault="00B74D39" w14:paraId="1465C4F4" w14:textId="77777777">
            <w:pPr>
              <w:rPr>
                <w:rFonts w:cs="Calibri"/>
                <w:i/>
                <w:iCs/>
                <w:color w:val="000000"/>
                <w:sz w:val="24"/>
                <w:szCs w:val="24"/>
              </w:rPr>
            </w:pPr>
            <w:r w:rsidRPr="00387AB6">
              <w:rPr>
                <w:rFonts w:cs="Calibri"/>
                <w:i/>
                <w:iCs/>
                <w:color w:val="000000"/>
                <w:sz w:val="24"/>
                <w:szCs w:val="24"/>
              </w:rPr>
              <w:t> </w:t>
            </w:r>
          </w:p>
        </w:tc>
        <w:tc>
          <w:tcPr>
            <w:tcW w:w="1246" w:type="dxa"/>
            <w:tcBorders>
              <w:top w:val="nil"/>
              <w:left w:val="nil"/>
              <w:bottom w:val="single" w:color="auto" w:sz="4" w:space="0"/>
              <w:right w:val="nil"/>
            </w:tcBorders>
            <w:shd w:val="clear" w:color="000000" w:fill="D0CECE"/>
            <w:noWrap/>
            <w:vAlign w:val="bottom"/>
            <w:hideMark/>
          </w:tcPr>
          <w:p w:rsidRPr="00387AB6" w:rsidR="00B74D39" w:rsidP="00573A19" w:rsidRDefault="00B74D39" w14:paraId="1F417439" w14:textId="77777777">
            <w:pPr>
              <w:rPr>
                <w:rFonts w:cs="Calibri"/>
                <w:i/>
                <w:iCs/>
                <w:color w:val="000000"/>
                <w:sz w:val="24"/>
                <w:szCs w:val="24"/>
              </w:rPr>
            </w:pPr>
            <w:r w:rsidRPr="00387AB6">
              <w:rPr>
                <w:rFonts w:cs="Calibri"/>
                <w:i/>
                <w:iCs/>
                <w:color w:val="000000"/>
                <w:sz w:val="24"/>
                <w:szCs w:val="24"/>
              </w:rPr>
              <w:t> </w:t>
            </w:r>
          </w:p>
        </w:tc>
        <w:tc>
          <w:tcPr>
            <w:tcW w:w="1302" w:type="dxa"/>
            <w:tcBorders>
              <w:top w:val="nil"/>
              <w:left w:val="nil"/>
              <w:bottom w:val="single" w:color="auto" w:sz="4" w:space="0"/>
              <w:right w:val="nil"/>
            </w:tcBorders>
            <w:shd w:val="clear" w:color="000000" w:fill="D0CECE"/>
            <w:noWrap/>
            <w:vAlign w:val="bottom"/>
            <w:hideMark/>
          </w:tcPr>
          <w:p w:rsidRPr="00387AB6" w:rsidR="00B74D39" w:rsidP="00573A19" w:rsidRDefault="00B74D39" w14:paraId="2D146F4C" w14:textId="77777777">
            <w:pPr>
              <w:rPr>
                <w:rFonts w:cs="Calibri"/>
                <w:i/>
                <w:iCs/>
                <w:color w:val="000000"/>
                <w:sz w:val="24"/>
                <w:szCs w:val="24"/>
              </w:rPr>
            </w:pPr>
            <w:r w:rsidRPr="00387AB6">
              <w:rPr>
                <w:rFonts w:cs="Calibri"/>
                <w:i/>
                <w:iCs/>
                <w:color w:val="000000"/>
                <w:sz w:val="24"/>
                <w:szCs w:val="24"/>
              </w:rPr>
              <w:t> </w:t>
            </w:r>
          </w:p>
        </w:tc>
        <w:tc>
          <w:tcPr>
            <w:tcW w:w="1246" w:type="dxa"/>
            <w:tcBorders>
              <w:top w:val="nil"/>
              <w:left w:val="nil"/>
              <w:bottom w:val="single" w:color="auto" w:sz="4" w:space="0"/>
              <w:right w:val="nil"/>
            </w:tcBorders>
            <w:shd w:val="clear" w:color="000000" w:fill="D0CECE"/>
            <w:noWrap/>
            <w:vAlign w:val="bottom"/>
            <w:hideMark/>
          </w:tcPr>
          <w:p w:rsidRPr="00387AB6" w:rsidR="00B74D39" w:rsidP="00573A19" w:rsidRDefault="00B74D39" w14:paraId="03FE801E" w14:textId="77777777">
            <w:pPr>
              <w:rPr>
                <w:rFonts w:cs="Calibri"/>
                <w:i/>
                <w:iCs/>
                <w:color w:val="000000"/>
                <w:sz w:val="24"/>
                <w:szCs w:val="24"/>
              </w:rPr>
            </w:pPr>
            <w:r w:rsidRPr="00387AB6">
              <w:rPr>
                <w:rFonts w:cs="Calibri"/>
                <w:i/>
                <w:iCs/>
                <w:color w:val="000000"/>
                <w:sz w:val="24"/>
                <w:szCs w:val="24"/>
              </w:rPr>
              <w:t> </w:t>
            </w:r>
          </w:p>
        </w:tc>
        <w:tc>
          <w:tcPr>
            <w:tcW w:w="1302" w:type="dxa"/>
            <w:tcBorders>
              <w:top w:val="nil"/>
              <w:left w:val="nil"/>
              <w:bottom w:val="single" w:color="auto" w:sz="4" w:space="0"/>
              <w:right w:val="nil"/>
            </w:tcBorders>
            <w:shd w:val="clear" w:color="000000" w:fill="D0CECE"/>
            <w:noWrap/>
            <w:vAlign w:val="bottom"/>
            <w:hideMark/>
          </w:tcPr>
          <w:p w:rsidRPr="00387AB6" w:rsidR="00B74D39" w:rsidP="00573A19" w:rsidRDefault="00B74D39" w14:paraId="5585B9A4" w14:textId="77777777">
            <w:pPr>
              <w:rPr>
                <w:rFonts w:cs="Calibri"/>
                <w:i/>
                <w:iCs/>
                <w:color w:val="000000"/>
                <w:sz w:val="24"/>
                <w:szCs w:val="24"/>
              </w:rPr>
            </w:pPr>
            <w:r w:rsidRPr="00387AB6">
              <w:rPr>
                <w:rFonts w:cs="Calibri"/>
                <w:i/>
                <w:iCs/>
                <w:color w:val="000000"/>
                <w:sz w:val="24"/>
                <w:szCs w:val="24"/>
              </w:rPr>
              <w:t> </w:t>
            </w:r>
          </w:p>
        </w:tc>
        <w:tc>
          <w:tcPr>
            <w:tcW w:w="1246" w:type="dxa"/>
            <w:tcBorders>
              <w:top w:val="nil"/>
              <w:left w:val="nil"/>
              <w:bottom w:val="single" w:color="auto" w:sz="4" w:space="0"/>
              <w:right w:val="nil"/>
            </w:tcBorders>
            <w:shd w:val="clear" w:color="000000" w:fill="D0CECE"/>
            <w:noWrap/>
            <w:vAlign w:val="bottom"/>
            <w:hideMark/>
          </w:tcPr>
          <w:p w:rsidRPr="00387AB6" w:rsidR="00B74D39" w:rsidP="00573A19" w:rsidRDefault="00B74D39" w14:paraId="062FB202" w14:textId="77777777">
            <w:pPr>
              <w:rPr>
                <w:rFonts w:cs="Calibri"/>
                <w:i/>
                <w:iCs/>
                <w:color w:val="000000"/>
                <w:sz w:val="24"/>
                <w:szCs w:val="24"/>
              </w:rPr>
            </w:pPr>
            <w:r w:rsidRPr="00387AB6">
              <w:rPr>
                <w:rFonts w:cs="Calibri"/>
                <w:i/>
                <w:iCs/>
                <w:color w:val="000000"/>
                <w:sz w:val="24"/>
                <w:szCs w:val="24"/>
              </w:rPr>
              <w:t> </w:t>
            </w:r>
          </w:p>
        </w:tc>
        <w:tc>
          <w:tcPr>
            <w:tcW w:w="1302" w:type="dxa"/>
            <w:tcBorders>
              <w:top w:val="nil"/>
              <w:left w:val="nil"/>
              <w:bottom w:val="single" w:color="auto" w:sz="4" w:space="0"/>
              <w:right w:val="nil"/>
            </w:tcBorders>
            <w:shd w:val="clear" w:color="000000" w:fill="D0CECE"/>
            <w:noWrap/>
            <w:vAlign w:val="bottom"/>
            <w:hideMark/>
          </w:tcPr>
          <w:p w:rsidRPr="00387AB6" w:rsidR="00B74D39" w:rsidP="00573A19" w:rsidRDefault="00B74D39" w14:paraId="6ECC99A4" w14:textId="77777777">
            <w:pPr>
              <w:rPr>
                <w:rFonts w:cs="Calibri"/>
                <w:i/>
                <w:iCs/>
                <w:color w:val="000000"/>
                <w:sz w:val="24"/>
                <w:szCs w:val="24"/>
              </w:rPr>
            </w:pPr>
            <w:r w:rsidRPr="00387AB6">
              <w:rPr>
                <w:rFonts w:cs="Calibri"/>
                <w:i/>
                <w:iCs/>
                <w:color w:val="000000"/>
                <w:sz w:val="24"/>
                <w:szCs w:val="24"/>
              </w:rPr>
              <w:t> </w:t>
            </w:r>
          </w:p>
        </w:tc>
        <w:tc>
          <w:tcPr>
            <w:tcW w:w="1246" w:type="dxa"/>
            <w:tcBorders>
              <w:top w:val="nil"/>
              <w:left w:val="nil"/>
              <w:bottom w:val="single" w:color="auto" w:sz="4" w:space="0"/>
              <w:right w:val="single" w:color="auto" w:sz="8" w:space="0"/>
            </w:tcBorders>
            <w:shd w:val="clear" w:color="000000" w:fill="D0CECE"/>
            <w:noWrap/>
            <w:vAlign w:val="bottom"/>
            <w:hideMark/>
          </w:tcPr>
          <w:p w:rsidRPr="00387AB6" w:rsidR="00B74D39" w:rsidP="00573A19" w:rsidRDefault="00B74D39" w14:paraId="3A2F1B25" w14:textId="77777777">
            <w:pPr>
              <w:rPr>
                <w:rFonts w:cs="Calibri"/>
                <w:i/>
                <w:iCs/>
                <w:color w:val="000000"/>
                <w:sz w:val="24"/>
                <w:szCs w:val="24"/>
              </w:rPr>
            </w:pPr>
            <w:r w:rsidRPr="00387AB6">
              <w:rPr>
                <w:rFonts w:cs="Calibri"/>
                <w:i/>
                <w:iCs/>
                <w:color w:val="000000"/>
                <w:sz w:val="24"/>
                <w:szCs w:val="24"/>
              </w:rPr>
              <w:t> </w:t>
            </w:r>
          </w:p>
        </w:tc>
      </w:tr>
      <w:tr w:rsidRPr="00387AB6" w:rsidR="00B74D39" w:rsidTr="007A2950" w14:paraId="60F515F4" w14:textId="77777777">
        <w:trPr>
          <w:trHeight w:val="300"/>
        </w:trPr>
        <w:tc>
          <w:tcPr>
            <w:tcW w:w="5750" w:type="dxa"/>
            <w:tcBorders>
              <w:top w:val="nil"/>
              <w:left w:val="single" w:color="auto" w:sz="8" w:space="0"/>
              <w:bottom w:val="single" w:color="auto" w:sz="4" w:space="0"/>
              <w:right w:val="nil"/>
            </w:tcBorders>
            <w:shd w:val="clear" w:color="auto" w:fill="auto"/>
            <w:noWrap/>
            <w:vAlign w:val="bottom"/>
            <w:hideMark/>
          </w:tcPr>
          <w:p w:rsidRPr="00387AB6" w:rsidR="00B74D39" w:rsidP="00573A19" w:rsidRDefault="00B74D39" w14:paraId="4522D1AD" w14:textId="77777777">
            <w:pPr>
              <w:rPr>
                <w:rFonts w:cs="Calibri"/>
                <w:color w:val="000000"/>
                <w:sz w:val="24"/>
                <w:szCs w:val="24"/>
              </w:rPr>
            </w:pPr>
            <w:r w:rsidRPr="00387AB6">
              <w:rPr>
                <w:rFonts w:cs="Calibri"/>
                <w:color w:val="000000"/>
                <w:sz w:val="24"/>
                <w:szCs w:val="24"/>
              </w:rPr>
              <w:t>E.g. E-6</w:t>
            </w:r>
          </w:p>
        </w:tc>
        <w:tc>
          <w:tcPr>
            <w:tcW w:w="1302" w:type="dxa"/>
            <w:tcBorders>
              <w:top w:val="nil"/>
              <w:left w:val="single" w:color="auto" w:sz="8" w:space="0"/>
              <w:bottom w:val="single" w:color="auto" w:sz="4" w:space="0"/>
              <w:right w:val="single" w:color="auto" w:sz="4" w:space="0"/>
            </w:tcBorders>
            <w:shd w:val="clear" w:color="auto" w:fill="auto"/>
            <w:noWrap/>
            <w:vAlign w:val="bottom"/>
            <w:hideMark/>
          </w:tcPr>
          <w:p w:rsidRPr="00387AB6" w:rsidR="00B74D39" w:rsidP="00573A19" w:rsidRDefault="00B74D39" w14:paraId="63D2AC7E"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4" w:space="0"/>
              <w:right w:val="double" w:color="auto" w:sz="6" w:space="0"/>
            </w:tcBorders>
            <w:shd w:val="clear" w:color="auto" w:fill="auto"/>
            <w:noWrap/>
            <w:vAlign w:val="bottom"/>
            <w:hideMark/>
          </w:tcPr>
          <w:p w:rsidRPr="00387AB6" w:rsidR="00B74D39" w:rsidP="00573A19" w:rsidRDefault="00B74D39" w14:paraId="24304507" w14:textId="77777777">
            <w:pPr>
              <w:rPr>
                <w:rFonts w:cs="Calibri"/>
                <w:color w:val="000000"/>
                <w:sz w:val="24"/>
                <w:szCs w:val="24"/>
              </w:rPr>
            </w:pPr>
            <w:r w:rsidRPr="00387AB6">
              <w:rPr>
                <w:rFonts w:cs="Calibri"/>
                <w:color w:val="000000"/>
                <w:sz w:val="24"/>
                <w:szCs w:val="24"/>
              </w:rPr>
              <w:t> </w:t>
            </w:r>
          </w:p>
        </w:tc>
        <w:tc>
          <w:tcPr>
            <w:tcW w:w="1302" w:type="dxa"/>
            <w:tcBorders>
              <w:top w:val="nil"/>
              <w:left w:val="nil"/>
              <w:bottom w:val="single" w:color="auto" w:sz="4" w:space="0"/>
              <w:right w:val="nil"/>
            </w:tcBorders>
            <w:shd w:val="clear" w:color="auto" w:fill="auto"/>
            <w:noWrap/>
            <w:vAlign w:val="bottom"/>
            <w:hideMark/>
          </w:tcPr>
          <w:p w:rsidRPr="00387AB6" w:rsidR="00B74D39" w:rsidP="00573A19" w:rsidRDefault="00B74D39" w14:paraId="6AD4DC8E"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4" w:space="0"/>
              <w:right w:val="nil"/>
            </w:tcBorders>
            <w:shd w:val="clear" w:color="auto" w:fill="auto"/>
            <w:noWrap/>
            <w:vAlign w:val="bottom"/>
            <w:hideMark/>
          </w:tcPr>
          <w:p w:rsidRPr="00387AB6" w:rsidR="00B74D39" w:rsidP="00573A19" w:rsidRDefault="00B74D39" w14:paraId="031E2A93" w14:textId="77777777">
            <w:pPr>
              <w:rPr>
                <w:rFonts w:cs="Calibri"/>
                <w:color w:val="000000"/>
                <w:sz w:val="24"/>
                <w:szCs w:val="24"/>
              </w:rPr>
            </w:pPr>
            <w:r w:rsidRPr="00387AB6">
              <w:rPr>
                <w:rFonts w:cs="Calibri"/>
                <w:color w:val="000000"/>
                <w:sz w:val="24"/>
                <w:szCs w:val="24"/>
              </w:rPr>
              <w:t> </w:t>
            </w:r>
          </w:p>
        </w:tc>
        <w:tc>
          <w:tcPr>
            <w:tcW w:w="1302" w:type="dxa"/>
            <w:tcBorders>
              <w:top w:val="nil"/>
              <w:left w:val="double" w:color="auto" w:sz="6" w:space="0"/>
              <w:bottom w:val="single" w:color="auto" w:sz="4" w:space="0"/>
              <w:right w:val="single" w:color="auto" w:sz="4" w:space="0"/>
            </w:tcBorders>
            <w:shd w:val="clear" w:color="auto" w:fill="auto"/>
            <w:noWrap/>
            <w:vAlign w:val="bottom"/>
            <w:hideMark/>
          </w:tcPr>
          <w:p w:rsidRPr="00387AB6" w:rsidR="00B74D39" w:rsidP="00573A19" w:rsidRDefault="00B74D39" w14:paraId="37540DF6"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4" w:space="0"/>
              <w:right w:val="double" w:color="auto" w:sz="6" w:space="0"/>
            </w:tcBorders>
            <w:shd w:val="clear" w:color="auto" w:fill="auto"/>
            <w:noWrap/>
            <w:vAlign w:val="bottom"/>
            <w:hideMark/>
          </w:tcPr>
          <w:p w:rsidRPr="00387AB6" w:rsidR="00B74D39" w:rsidP="00573A19" w:rsidRDefault="00B74D39" w14:paraId="2EA877ED" w14:textId="77777777">
            <w:pPr>
              <w:rPr>
                <w:rFonts w:cs="Calibri"/>
                <w:color w:val="000000"/>
                <w:sz w:val="24"/>
                <w:szCs w:val="24"/>
              </w:rPr>
            </w:pPr>
            <w:r w:rsidRPr="00387AB6">
              <w:rPr>
                <w:rFonts w:cs="Calibri"/>
                <w:color w:val="000000"/>
                <w:sz w:val="24"/>
                <w:szCs w:val="24"/>
              </w:rPr>
              <w:t> </w:t>
            </w:r>
          </w:p>
        </w:tc>
        <w:tc>
          <w:tcPr>
            <w:tcW w:w="1302" w:type="dxa"/>
            <w:tcBorders>
              <w:top w:val="nil"/>
              <w:left w:val="nil"/>
              <w:bottom w:val="single" w:color="auto" w:sz="4" w:space="0"/>
              <w:right w:val="single" w:color="auto" w:sz="4" w:space="0"/>
            </w:tcBorders>
            <w:shd w:val="clear" w:color="auto" w:fill="auto"/>
            <w:noWrap/>
            <w:vAlign w:val="bottom"/>
            <w:hideMark/>
          </w:tcPr>
          <w:p w:rsidRPr="00387AB6" w:rsidR="00B74D39" w:rsidP="00573A19" w:rsidRDefault="00B74D39" w14:paraId="100D9C9D"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4" w:space="0"/>
              <w:right w:val="single" w:color="auto" w:sz="8" w:space="0"/>
            </w:tcBorders>
            <w:shd w:val="clear" w:color="auto" w:fill="auto"/>
            <w:noWrap/>
            <w:vAlign w:val="bottom"/>
            <w:hideMark/>
          </w:tcPr>
          <w:p w:rsidRPr="00387AB6" w:rsidR="00B74D39" w:rsidP="00573A19" w:rsidRDefault="00B74D39" w14:paraId="753DDA85" w14:textId="77777777">
            <w:pPr>
              <w:rPr>
                <w:rFonts w:cs="Calibri"/>
                <w:color w:val="000000"/>
                <w:sz w:val="24"/>
                <w:szCs w:val="24"/>
              </w:rPr>
            </w:pPr>
            <w:r w:rsidRPr="00387AB6">
              <w:rPr>
                <w:rFonts w:cs="Calibri"/>
                <w:color w:val="000000"/>
                <w:sz w:val="24"/>
                <w:szCs w:val="24"/>
              </w:rPr>
              <w:t> </w:t>
            </w:r>
          </w:p>
        </w:tc>
      </w:tr>
      <w:tr w:rsidRPr="00387AB6" w:rsidR="00B74D39" w:rsidTr="007A2950" w14:paraId="4FB9DD5D" w14:textId="77777777">
        <w:trPr>
          <w:trHeight w:val="300"/>
        </w:trPr>
        <w:tc>
          <w:tcPr>
            <w:tcW w:w="5750" w:type="dxa"/>
            <w:tcBorders>
              <w:top w:val="nil"/>
              <w:left w:val="single" w:color="auto" w:sz="8" w:space="0"/>
              <w:bottom w:val="single" w:color="auto" w:sz="4" w:space="0"/>
              <w:right w:val="nil"/>
            </w:tcBorders>
            <w:shd w:val="clear" w:color="auto" w:fill="auto"/>
            <w:noWrap/>
            <w:vAlign w:val="bottom"/>
            <w:hideMark/>
          </w:tcPr>
          <w:p w:rsidRPr="00387AB6" w:rsidR="00B74D39" w:rsidP="00573A19" w:rsidRDefault="00B74D39" w14:paraId="35581260" w14:textId="77777777">
            <w:pPr>
              <w:rPr>
                <w:rFonts w:cs="Calibri"/>
                <w:color w:val="000000"/>
                <w:sz w:val="24"/>
                <w:szCs w:val="24"/>
              </w:rPr>
            </w:pPr>
            <w:r w:rsidRPr="00387AB6">
              <w:rPr>
                <w:rFonts w:cs="Calibri"/>
                <w:color w:val="000000"/>
                <w:sz w:val="24"/>
                <w:szCs w:val="24"/>
              </w:rPr>
              <w:t>E-TOU-A</w:t>
            </w:r>
          </w:p>
        </w:tc>
        <w:tc>
          <w:tcPr>
            <w:tcW w:w="1302" w:type="dxa"/>
            <w:tcBorders>
              <w:top w:val="nil"/>
              <w:left w:val="single" w:color="auto" w:sz="8" w:space="0"/>
              <w:bottom w:val="single" w:color="auto" w:sz="4" w:space="0"/>
              <w:right w:val="single" w:color="auto" w:sz="4" w:space="0"/>
            </w:tcBorders>
            <w:shd w:val="clear" w:color="auto" w:fill="auto"/>
            <w:noWrap/>
            <w:vAlign w:val="bottom"/>
            <w:hideMark/>
          </w:tcPr>
          <w:p w:rsidRPr="00387AB6" w:rsidR="00B74D39" w:rsidP="00573A19" w:rsidRDefault="00B74D39" w14:paraId="0EC5B376"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4" w:space="0"/>
              <w:right w:val="double" w:color="auto" w:sz="6" w:space="0"/>
            </w:tcBorders>
            <w:shd w:val="clear" w:color="auto" w:fill="auto"/>
            <w:noWrap/>
            <w:vAlign w:val="bottom"/>
            <w:hideMark/>
          </w:tcPr>
          <w:p w:rsidRPr="00387AB6" w:rsidR="00B74D39" w:rsidP="00573A19" w:rsidRDefault="00B74D39" w14:paraId="51826D63" w14:textId="77777777">
            <w:pPr>
              <w:rPr>
                <w:rFonts w:cs="Calibri"/>
                <w:color w:val="000000"/>
                <w:sz w:val="24"/>
                <w:szCs w:val="24"/>
              </w:rPr>
            </w:pPr>
            <w:r w:rsidRPr="00387AB6">
              <w:rPr>
                <w:rFonts w:cs="Calibri"/>
                <w:color w:val="000000"/>
                <w:sz w:val="24"/>
                <w:szCs w:val="24"/>
              </w:rPr>
              <w:t> </w:t>
            </w:r>
          </w:p>
        </w:tc>
        <w:tc>
          <w:tcPr>
            <w:tcW w:w="1302" w:type="dxa"/>
            <w:tcBorders>
              <w:top w:val="nil"/>
              <w:left w:val="nil"/>
              <w:bottom w:val="single" w:color="auto" w:sz="4" w:space="0"/>
              <w:right w:val="nil"/>
            </w:tcBorders>
            <w:shd w:val="clear" w:color="auto" w:fill="auto"/>
            <w:noWrap/>
            <w:vAlign w:val="bottom"/>
            <w:hideMark/>
          </w:tcPr>
          <w:p w:rsidRPr="00387AB6" w:rsidR="00B74D39" w:rsidP="00573A19" w:rsidRDefault="00B74D39" w14:paraId="13AB5FA9"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4" w:space="0"/>
              <w:right w:val="nil"/>
            </w:tcBorders>
            <w:shd w:val="clear" w:color="auto" w:fill="auto"/>
            <w:noWrap/>
            <w:vAlign w:val="bottom"/>
            <w:hideMark/>
          </w:tcPr>
          <w:p w:rsidRPr="00387AB6" w:rsidR="00B74D39" w:rsidP="00573A19" w:rsidRDefault="00B74D39" w14:paraId="30819111" w14:textId="77777777">
            <w:pPr>
              <w:rPr>
                <w:rFonts w:cs="Calibri"/>
                <w:color w:val="000000"/>
                <w:sz w:val="24"/>
                <w:szCs w:val="24"/>
              </w:rPr>
            </w:pPr>
            <w:r w:rsidRPr="00387AB6">
              <w:rPr>
                <w:rFonts w:cs="Calibri"/>
                <w:color w:val="000000"/>
                <w:sz w:val="24"/>
                <w:szCs w:val="24"/>
              </w:rPr>
              <w:t> </w:t>
            </w:r>
          </w:p>
        </w:tc>
        <w:tc>
          <w:tcPr>
            <w:tcW w:w="1302" w:type="dxa"/>
            <w:tcBorders>
              <w:top w:val="nil"/>
              <w:left w:val="double" w:color="auto" w:sz="6" w:space="0"/>
              <w:bottom w:val="single" w:color="auto" w:sz="4" w:space="0"/>
              <w:right w:val="single" w:color="auto" w:sz="4" w:space="0"/>
            </w:tcBorders>
            <w:shd w:val="clear" w:color="auto" w:fill="auto"/>
            <w:noWrap/>
            <w:vAlign w:val="bottom"/>
            <w:hideMark/>
          </w:tcPr>
          <w:p w:rsidRPr="00387AB6" w:rsidR="00B74D39" w:rsidP="00573A19" w:rsidRDefault="00B74D39" w14:paraId="75A6F544"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4" w:space="0"/>
              <w:right w:val="double" w:color="auto" w:sz="6" w:space="0"/>
            </w:tcBorders>
            <w:shd w:val="clear" w:color="auto" w:fill="auto"/>
            <w:noWrap/>
            <w:vAlign w:val="bottom"/>
            <w:hideMark/>
          </w:tcPr>
          <w:p w:rsidRPr="00387AB6" w:rsidR="00B74D39" w:rsidP="00573A19" w:rsidRDefault="00B74D39" w14:paraId="211C2578" w14:textId="77777777">
            <w:pPr>
              <w:rPr>
                <w:rFonts w:cs="Calibri"/>
                <w:color w:val="000000"/>
                <w:sz w:val="24"/>
                <w:szCs w:val="24"/>
              </w:rPr>
            </w:pPr>
            <w:r w:rsidRPr="00387AB6">
              <w:rPr>
                <w:rFonts w:cs="Calibri"/>
                <w:color w:val="000000"/>
                <w:sz w:val="24"/>
                <w:szCs w:val="24"/>
              </w:rPr>
              <w:t> </w:t>
            </w:r>
          </w:p>
        </w:tc>
        <w:tc>
          <w:tcPr>
            <w:tcW w:w="1302" w:type="dxa"/>
            <w:tcBorders>
              <w:top w:val="nil"/>
              <w:left w:val="nil"/>
              <w:bottom w:val="single" w:color="auto" w:sz="4" w:space="0"/>
              <w:right w:val="single" w:color="auto" w:sz="4" w:space="0"/>
            </w:tcBorders>
            <w:shd w:val="clear" w:color="auto" w:fill="auto"/>
            <w:noWrap/>
            <w:vAlign w:val="bottom"/>
            <w:hideMark/>
          </w:tcPr>
          <w:p w:rsidRPr="00387AB6" w:rsidR="00B74D39" w:rsidP="00573A19" w:rsidRDefault="00B74D39" w14:paraId="4FD6387F"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4" w:space="0"/>
              <w:right w:val="single" w:color="auto" w:sz="8" w:space="0"/>
            </w:tcBorders>
            <w:shd w:val="clear" w:color="auto" w:fill="auto"/>
            <w:noWrap/>
            <w:vAlign w:val="bottom"/>
            <w:hideMark/>
          </w:tcPr>
          <w:p w:rsidRPr="00387AB6" w:rsidR="00B74D39" w:rsidP="00573A19" w:rsidRDefault="00B74D39" w14:paraId="68423A0C" w14:textId="77777777">
            <w:pPr>
              <w:rPr>
                <w:rFonts w:cs="Calibri"/>
                <w:color w:val="000000"/>
                <w:sz w:val="24"/>
                <w:szCs w:val="24"/>
              </w:rPr>
            </w:pPr>
            <w:r w:rsidRPr="00387AB6">
              <w:rPr>
                <w:rFonts w:cs="Calibri"/>
                <w:color w:val="000000"/>
                <w:sz w:val="24"/>
                <w:szCs w:val="24"/>
              </w:rPr>
              <w:t> </w:t>
            </w:r>
          </w:p>
        </w:tc>
      </w:tr>
      <w:tr w:rsidRPr="00387AB6" w:rsidR="00B74D39" w:rsidTr="007A2950" w14:paraId="23B90401" w14:textId="77777777">
        <w:trPr>
          <w:trHeight w:val="300"/>
        </w:trPr>
        <w:tc>
          <w:tcPr>
            <w:tcW w:w="5750" w:type="dxa"/>
            <w:tcBorders>
              <w:top w:val="nil"/>
              <w:left w:val="single" w:color="auto" w:sz="8" w:space="0"/>
              <w:bottom w:val="single" w:color="auto" w:sz="4" w:space="0"/>
              <w:right w:val="nil"/>
            </w:tcBorders>
            <w:shd w:val="clear" w:color="auto" w:fill="auto"/>
            <w:noWrap/>
            <w:vAlign w:val="bottom"/>
            <w:hideMark/>
          </w:tcPr>
          <w:p w:rsidRPr="00387AB6" w:rsidR="00B74D39" w:rsidP="00573A19" w:rsidRDefault="00B74D39" w14:paraId="286E0E0E" w14:textId="77777777">
            <w:pPr>
              <w:rPr>
                <w:rFonts w:cs="Calibri"/>
                <w:color w:val="000000"/>
                <w:sz w:val="24"/>
                <w:szCs w:val="24"/>
              </w:rPr>
            </w:pPr>
            <w:r w:rsidRPr="00387AB6">
              <w:rPr>
                <w:rFonts w:cs="Calibri"/>
                <w:color w:val="000000"/>
                <w:sz w:val="24"/>
                <w:szCs w:val="24"/>
              </w:rPr>
              <w:t>TOU Prime</w:t>
            </w:r>
          </w:p>
        </w:tc>
        <w:tc>
          <w:tcPr>
            <w:tcW w:w="1302" w:type="dxa"/>
            <w:tcBorders>
              <w:top w:val="nil"/>
              <w:left w:val="single" w:color="auto" w:sz="8" w:space="0"/>
              <w:bottom w:val="single" w:color="auto" w:sz="4" w:space="0"/>
              <w:right w:val="single" w:color="auto" w:sz="4" w:space="0"/>
            </w:tcBorders>
            <w:shd w:val="clear" w:color="auto" w:fill="auto"/>
            <w:noWrap/>
            <w:vAlign w:val="bottom"/>
            <w:hideMark/>
          </w:tcPr>
          <w:p w:rsidRPr="00387AB6" w:rsidR="00B74D39" w:rsidP="00573A19" w:rsidRDefault="00B74D39" w14:paraId="211DFDB0"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4" w:space="0"/>
              <w:right w:val="double" w:color="auto" w:sz="6" w:space="0"/>
            </w:tcBorders>
            <w:shd w:val="clear" w:color="auto" w:fill="auto"/>
            <w:noWrap/>
            <w:vAlign w:val="bottom"/>
            <w:hideMark/>
          </w:tcPr>
          <w:p w:rsidRPr="00387AB6" w:rsidR="00B74D39" w:rsidP="00573A19" w:rsidRDefault="00B74D39" w14:paraId="169A112C" w14:textId="77777777">
            <w:pPr>
              <w:rPr>
                <w:rFonts w:cs="Calibri"/>
                <w:color w:val="000000"/>
                <w:sz w:val="24"/>
                <w:szCs w:val="24"/>
              </w:rPr>
            </w:pPr>
            <w:r w:rsidRPr="00387AB6">
              <w:rPr>
                <w:rFonts w:cs="Calibri"/>
                <w:color w:val="000000"/>
                <w:sz w:val="24"/>
                <w:szCs w:val="24"/>
              </w:rPr>
              <w:t> </w:t>
            </w:r>
          </w:p>
        </w:tc>
        <w:tc>
          <w:tcPr>
            <w:tcW w:w="1302" w:type="dxa"/>
            <w:tcBorders>
              <w:top w:val="nil"/>
              <w:left w:val="nil"/>
              <w:bottom w:val="single" w:color="auto" w:sz="4" w:space="0"/>
              <w:right w:val="nil"/>
            </w:tcBorders>
            <w:shd w:val="clear" w:color="auto" w:fill="auto"/>
            <w:noWrap/>
            <w:vAlign w:val="bottom"/>
            <w:hideMark/>
          </w:tcPr>
          <w:p w:rsidRPr="00387AB6" w:rsidR="00B74D39" w:rsidP="00573A19" w:rsidRDefault="00B74D39" w14:paraId="2F917C5C"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4" w:space="0"/>
              <w:right w:val="nil"/>
            </w:tcBorders>
            <w:shd w:val="clear" w:color="auto" w:fill="auto"/>
            <w:noWrap/>
            <w:vAlign w:val="bottom"/>
            <w:hideMark/>
          </w:tcPr>
          <w:p w:rsidRPr="00387AB6" w:rsidR="00B74D39" w:rsidP="00573A19" w:rsidRDefault="00B74D39" w14:paraId="7B5C91D0" w14:textId="77777777">
            <w:pPr>
              <w:rPr>
                <w:rFonts w:cs="Calibri"/>
                <w:color w:val="000000"/>
                <w:sz w:val="24"/>
                <w:szCs w:val="24"/>
              </w:rPr>
            </w:pPr>
            <w:r w:rsidRPr="00387AB6">
              <w:rPr>
                <w:rFonts w:cs="Calibri"/>
                <w:color w:val="000000"/>
                <w:sz w:val="24"/>
                <w:szCs w:val="24"/>
              </w:rPr>
              <w:t> </w:t>
            </w:r>
          </w:p>
        </w:tc>
        <w:tc>
          <w:tcPr>
            <w:tcW w:w="1302" w:type="dxa"/>
            <w:tcBorders>
              <w:top w:val="nil"/>
              <w:left w:val="double" w:color="auto" w:sz="6" w:space="0"/>
              <w:bottom w:val="single" w:color="auto" w:sz="4" w:space="0"/>
              <w:right w:val="single" w:color="auto" w:sz="4" w:space="0"/>
            </w:tcBorders>
            <w:shd w:val="clear" w:color="auto" w:fill="auto"/>
            <w:noWrap/>
            <w:vAlign w:val="bottom"/>
            <w:hideMark/>
          </w:tcPr>
          <w:p w:rsidRPr="00387AB6" w:rsidR="00B74D39" w:rsidP="00573A19" w:rsidRDefault="00B74D39" w14:paraId="2952C1D7"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4" w:space="0"/>
              <w:right w:val="double" w:color="auto" w:sz="6" w:space="0"/>
            </w:tcBorders>
            <w:shd w:val="clear" w:color="auto" w:fill="auto"/>
            <w:noWrap/>
            <w:vAlign w:val="bottom"/>
            <w:hideMark/>
          </w:tcPr>
          <w:p w:rsidRPr="00387AB6" w:rsidR="00B74D39" w:rsidP="00573A19" w:rsidRDefault="00B74D39" w14:paraId="66E31086" w14:textId="77777777">
            <w:pPr>
              <w:rPr>
                <w:rFonts w:cs="Calibri"/>
                <w:color w:val="000000"/>
                <w:sz w:val="24"/>
                <w:szCs w:val="24"/>
              </w:rPr>
            </w:pPr>
            <w:r w:rsidRPr="00387AB6">
              <w:rPr>
                <w:rFonts w:cs="Calibri"/>
                <w:color w:val="000000"/>
                <w:sz w:val="24"/>
                <w:szCs w:val="24"/>
              </w:rPr>
              <w:t> </w:t>
            </w:r>
          </w:p>
        </w:tc>
        <w:tc>
          <w:tcPr>
            <w:tcW w:w="1302" w:type="dxa"/>
            <w:tcBorders>
              <w:top w:val="nil"/>
              <w:left w:val="nil"/>
              <w:bottom w:val="single" w:color="auto" w:sz="4" w:space="0"/>
              <w:right w:val="single" w:color="auto" w:sz="4" w:space="0"/>
            </w:tcBorders>
            <w:shd w:val="clear" w:color="auto" w:fill="auto"/>
            <w:noWrap/>
            <w:vAlign w:val="bottom"/>
            <w:hideMark/>
          </w:tcPr>
          <w:p w:rsidRPr="00387AB6" w:rsidR="00B74D39" w:rsidP="00573A19" w:rsidRDefault="00B74D39" w14:paraId="2FFDC018"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4" w:space="0"/>
              <w:right w:val="single" w:color="auto" w:sz="8" w:space="0"/>
            </w:tcBorders>
            <w:shd w:val="clear" w:color="auto" w:fill="auto"/>
            <w:noWrap/>
            <w:vAlign w:val="bottom"/>
            <w:hideMark/>
          </w:tcPr>
          <w:p w:rsidRPr="00387AB6" w:rsidR="00B74D39" w:rsidP="00573A19" w:rsidRDefault="00B74D39" w14:paraId="34BF2346" w14:textId="77777777">
            <w:pPr>
              <w:rPr>
                <w:rFonts w:cs="Calibri"/>
                <w:color w:val="000000"/>
                <w:sz w:val="24"/>
                <w:szCs w:val="24"/>
              </w:rPr>
            </w:pPr>
            <w:r w:rsidRPr="00387AB6">
              <w:rPr>
                <w:rFonts w:cs="Calibri"/>
                <w:color w:val="000000"/>
                <w:sz w:val="24"/>
                <w:szCs w:val="24"/>
              </w:rPr>
              <w:t> </w:t>
            </w:r>
          </w:p>
        </w:tc>
      </w:tr>
      <w:tr w:rsidRPr="00387AB6" w:rsidR="00B74D39" w:rsidTr="007A2950" w14:paraId="78AAA251" w14:textId="77777777">
        <w:trPr>
          <w:trHeight w:val="300"/>
        </w:trPr>
        <w:tc>
          <w:tcPr>
            <w:tcW w:w="5750" w:type="dxa"/>
            <w:tcBorders>
              <w:top w:val="nil"/>
              <w:left w:val="single" w:color="auto" w:sz="8" w:space="0"/>
              <w:bottom w:val="single" w:color="auto" w:sz="4" w:space="0"/>
              <w:right w:val="nil"/>
            </w:tcBorders>
            <w:shd w:val="clear" w:color="auto" w:fill="auto"/>
            <w:noWrap/>
            <w:vAlign w:val="bottom"/>
            <w:hideMark/>
          </w:tcPr>
          <w:p w:rsidRPr="00387AB6" w:rsidR="00B74D39" w:rsidP="00573A19" w:rsidRDefault="00B74D39" w14:paraId="0BDB7076" w14:textId="77777777">
            <w:pPr>
              <w:rPr>
                <w:rFonts w:cs="Calibri"/>
                <w:color w:val="000000"/>
                <w:sz w:val="24"/>
                <w:szCs w:val="24"/>
              </w:rPr>
            </w:pPr>
            <w:r w:rsidRPr="00387AB6">
              <w:rPr>
                <w:rFonts w:cs="Calibri"/>
                <w:color w:val="000000"/>
                <w:sz w:val="24"/>
                <w:szCs w:val="24"/>
              </w:rPr>
              <w:t>[Add Rows as needed]</w:t>
            </w:r>
          </w:p>
        </w:tc>
        <w:tc>
          <w:tcPr>
            <w:tcW w:w="1302" w:type="dxa"/>
            <w:tcBorders>
              <w:top w:val="nil"/>
              <w:left w:val="single" w:color="auto" w:sz="8" w:space="0"/>
              <w:bottom w:val="single" w:color="auto" w:sz="4" w:space="0"/>
              <w:right w:val="single" w:color="auto" w:sz="4" w:space="0"/>
            </w:tcBorders>
            <w:shd w:val="clear" w:color="auto" w:fill="auto"/>
            <w:noWrap/>
            <w:vAlign w:val="bottom"/>
            <w:hideMark/>
          </w:tcPr>
          <w:p w:rsidRPr="00387AB6" w:rsidR="00B74D39" w:rsidP="00573A19" w:rsidRDefault="00B74D39" w14:paraId="7C760707"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4" w:space="0"/>
              <w:right w:val="double" w:color="auto" w:sz="6" w:space="0"/>
            </w:tcBorders>
            <w:shd w:val="clear" w:color="auto" w:fill="auto"/>
            <w:noWrap/>
            <w:vAlign w:val="bottom"/>
            <w:hideMark/>
          </w:tcPr>
          <w:p w:rsidRPr="00387AB6" w:rsidR="00B74D39" w:rsidP="00573A19" w:rsidRDefault="00B74D39" w14:paraId="56F87F2B" w14:textId="77777777">
            <w:pPr>
              <w:rPr>
                <w:rFonts w:cs="Calibri"/>
                <w:color w:val="000000"/>
                <w:sz w:val="24"/>
                <w:szCs w:val="24"/>
              </w:rPr>
            </w:pPr>
            <w:r w:rsidRPr="00387AB6">
              <w:rPr>
                <w:rFonts w:cs="Calibri"/>
                <w:color w:val="000000"/>
                <w:sz w:val="24"/>
                <w:szCs w:val="24"/>
              </w:rPr>
              <w:t> </w:t>
            </w:r>
          </w:p>
        </w:tc>
        <w:tc>
          <w:tcPr>
            <w:tcW w:w="1302" w:type="dxa"/>
            <w:tcBorders>
              <w:top w:val="nil"/>
              <w:left w:val="nil"/>
              <w:bottom w:val="single" w:color="auto" w:sz="4" w:space="0"/>
              <w:right w:val="nil"/>
            </w:tcBorders>
            <w:shd w:val="clear" w:color="auto" w:fill="auto"/>
            <w:noWrap/>
            <w:vAlign w:val="bottom"/>
            <w:hideMark/>
          </w:tcPr>
          <w:p w:rsidRPr="00387AB6" w:rsidR="00B74D39" w:rsidP="00573A19" w:rsidRDefault="00B74D39" w14:paraId="1633768E"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4" w:space="0"/>
              <w:right w:val="nil"/>
            </w:tcBorders>
            <w:shd w:val="clear" w:color="auto" w:fill="auto"/>
            <w:noWrap/>
            <w:vAlign w:val="bottom"/>
            <w:hideMark/>
          </w:tcPr>
          <w:p w:rsidRPr="00387AB6" w:rsidR="00B74D39" w:rsidP="00573A19" w:rsidRDefault="00B74D39" w14:paraId="4F57E892" w14:textId="77777777">
            <w:pPr>
              <w:rPr>
                <w:rFonts w:cs="Calibri"/>
                <w:color w:val="000000"/>
                <w:sz w:val="24"/>
                <w:szCs w:val="24"/>
              </w:rPr>
            </w:pPr>
            <w:r w:rsidRPr="00387AB6">
              <w:rPr>
                <w:rFonts w:cs="Calibri"/>
                <w:color w:val="000000"/>
                <w:sz w:val="24"/>
                <w:szCs w:val="24"/>
              </w:rPr>
              <w:t> </w:t>
            </w:r>
          </w:p>
        </w:tc>
        <w:tc>
          <w:tcPr>
            <w:tcW w:w="1302" w:type="dxa"/>
            <w:tcBorders>
              <w:top w:val="nil"/>
              <w:left w:val="double" w:color="auto" w:sz="6" w:space="0"/>
              <w:bottom w:val="single" w:color="auto" w:sz="4" w:space="0"/>
              <w:right w:val="single" w:color="auto" w:sz="4" w:space="0"/>
            </w:tcBorders>
            <w:shd w:val="clear" w:color="auto" w:fill="auto"/>
            <w:noWrap/>
            <w:vAlign w:val="bottom"/>
            <w:hideMark/>
          </w:tcPr>
          <w:p w:rsidRPr="00387AB6" w:rsidR="00B74D39" w:rsidP="00573A19" w:rsidRDefault="00B74D39" w14:paraId="7A8211B6"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4" w:space="0"/>
              <w:right w:val="double" w:color="auto" w:sz="6" w:space="0"/>
            </w:tcBorders>
            <w:shd w:val="clear" w:color="auto" w:fill="auto"/>
            <w:noWrap/>
            <w:vAlign w:val="bottom"/>
            <w:hideMark/>
          </w:tcPr>
          <w:p w:rsidRPr="00387AB6" w:rsidR="00B74D39" w:rsidP="00573A19" w:rsidRDefault="00B74D39" w14:paraId="6AEE69CD" w14:textId="77777777">
            <w:pPr>
              <w:rPr>
                <w:rFonts w:cs="Calibri"/>
                <w:color w:val="000000"/>
                <w:sz w:val="24"/>
                <w:szCs w:val="24"/>
              </w:rPr>
            </w:pPr>
            <w:r w:rsidRPr="00387AB6">
              <w:rPr>
                <w:rFonts w:cs="Calibri"/>
                <w:color w:val="000000"/>
                <w:sz w:val="24"/>
                <w:szCs w:val="24"/>
              </w:rPr>
              <w:t> </w:t>
            </w:r>
          </w:p>
        </w:tc>
        <w:tc>
          <w:tcPr>
            <w:tcW w:w="1302" w:type="dxa"/>
            <w:tcBorders>
              <w:top w:val="nil"/>
              <w:left w:val="nil"/>
              <w:bottom w:val="single" w:color="auto" w:sz="4" w:space="0"/>
              <w:right w:val="single" w:color="auto" w:sz="4" w:space="0"/>
            </w:tcBorders>
            <w:shd w:val="clear" w:color="auto" w:fill="auto"/>
            <w:noWrap/>
            <w:vAlign w:val="bottom"/>
            <w:hideMark/>
          </w:tcPr>
          <w:p w:rsidRPr="00387AB6" w:rsidR="00B74D39" w:rsidP="00573A19" w:rsidRDefault="00B74D39" w14:paraId="575DD2E2"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4" w:space="0"/>
              <w:right w:val="single" w:color="auto" w:sz="8" w:space="0"/>
            </w:tcBorders>
            <w:shd w:val="clear" w:color="auto" w:fill="auto"/>
            <w:noWrap/>
            <w:vAlign w:val="bottom"/>
            <w:hideMark/>
          </w:tcPr>
          <w:p w:rsidRPr="00387AB6" w:rsidR="00B74D39" w:rsidP="00573A19" w:rsidRDefault="00B74D39" w14:paraId="45701A38" w14:textId="77777777">
            <w:pPr>
              <w:rPr>
                <w:rFonts w:cs="Calibri"/>
                <w:color w:val="000000"/>
                <w:sz w:val="24"/>
                <w:szCs w:val="24"/>
              </w:rPr>
            </w:pPr>
            <w:r w:rsidRPr="00387AB6">
              <w:rPr>
                <w:rFonts w:cs="Calibri"/>
                <w:color w:val="000000"/>
                <w:sz w:val="24"/>
                <w:szCs w:val="24"/>
              </w:rPr>
              <w:t> </w:t>
            </w:r>
          </w:p>
        </w:tc>
      </w:tr>
      <w:tr w:rsidRPr="00387AB6" w:rsidR="00B74D39" w:rsidTr="007A2950" w14:paraId="664D6D83" w14:textId="77777777">
        <w:trPr>
          <w:trHeight w:val="300"/>
        </w:trPr>
        <w:tc>
          <w:tcPr>
            <w:tcW w:w="5750" w:type="dxa"/>
            <w:tcBorders>
              <w:top w:val="nil"/>
              <w:left w:val="single" w:color="auto" w:sz="8" w:space="0"/>
              <w:bottom w:val="nil"/>
              <w:right w:val="nil"/>
            </w:tcBorders>
            <w:shd w:val="clear" w:color="auto" w:fill="auto"/>
            <w:noWrap/>
            <w:vAlign w:val="bottom"/>
            <w:hideMark/>
          </w:tcPr>
          <w:p w:rsidRPr="00387AB6" w:rsidR="00B74D39" w:rsidP="00573A19" w:rsidRDefault="00B74D39" w14:paraId="452204AC" w14:textId="77777777">
            <w:pPr>
              <w:rPr>
                <w:rFonts w:cs="Calibri"/>
                <w:color w:val="000000"/>
                <w:sz w:val="24"/>
                <w:szCs w:val="24"/>
              </w:rPr>
            </w:pPr>
            <w:r w:rsidRPr="00387AB6">
              <w:rPr>
                <w:rFonts w:cs="Calibri"/>
                <w:b/>
                <w:bCs/>
                <w:color w:val="000000"/>
                <w:sz w:val="24"/>
                <w:szCs w:val="24"/>
              </w:rPr>
              <w:t>Total</w:t>
            </w:r>
            <w:r w:rsidRPr="00387AB6">
              <w:rPr>
                <w:rFonts w:cs="Calibri"/>
                <w:color w:val="000000"/>
                <w:sz w:val="24"/>
                <w:szCs w:val="24"/>
              </w:rPr>
              <w:t xml:space="preserve"> [footnote any caveats when summation differs from total]</w:t>
            </w:r>
          </w:p>
        </w:tc>
        <w:tc>
          <w:tcPr>
            <w:tcW w:w="1302" w:type="dxa"/>
            <w:tcBorders>
              <w:top w:val="nil"/>
              <w:left w:val="single" w:color="auto" w:sz="8" w:space="0"/>
              <w:bottom w:val="nil"/>
              <w:right w:val="single" w:color="auto" w:sz="4" w:space="0"/>
            </w:tcBorders>
            <w:shd w:val="clear" w:color="auto" w:fill="auto"/>
            <w:noWrap/>
            <w:vAlign w:val="bottom"/>
            <w:hideMark/>
          </w:tcPr>
          <w:p w:rsidRPr="00387AB6" w:rsidR="00B74D39" w:rsidP="00573A19" w:rsidRDefault="00B74D39" w14:paraId="451A0F14"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nil"/>
              <w:right w:val="double" w:color="auto" w:sz="6" w:space="0"/>
            </w:tcBorders>
            <w:shd w:val="clear" w:color="auto" w:fill="auto"/>
            <w:noWrap/>
            <w:vAlign w:val="bottom"/>
            <w:hideMark/>
          </w:tcPr>
          <w:p w:rsidRPr="00387AB6" w:rsidR="00B74D39" w:rsidP="00573A19" w:rsidRDefault="00B74D39" w14:paraId="13C14EE1" w14:textId="77777777">
            <w:pPr>
              <w:rPr>
                <w:rFonts w:cs="Calibri"/>
                <w:color w:val="000000"/>
                <w:sz w:val="24"/>
                <w:szCs w:val="24"/>
              </w:rPr>
            </w:pPr>
            <w:r w:rsidRPr="00387AB6">
              <w:rPr>
                <w:rFonts w:cs="Calibri"/>
                <w:color w:val="000000"/>
                <w:sz w:val="24"/>
                <w:szCs w:val="24"/>
              </w:rPr>
              <w:t> </w:t>
            </w:r>
          </w:p>
        </w:tc>
        <w:tc>
          <w:tcPr>
            <w:tcW w:w="1302" w:type="dxa"/>
            <w:tcBorders>
              <w:top w:val="nil"/>
              <w:left w:val="nil"/>
              <w:bottom w:val="nil"/>
              <w:right w:val="nil"/>
            </w:tcBorders>
            <w:shd w:val="clear" w:color="auto" w:fill="auto"/>
            <w:noWrap/>
            <w:vAlign w:val="bottom"/>
            <w:hideMark/>
          </w:tcPr>
          <w:p w:rsidRPr="00387AB6" w:rsidR="00B74D39" w:rsidP="00573A19" w:rsidRDefault="00B74D39" w14:paraId="79FBD4B1"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nil"/>
              <w:right w:val="nil"/>
            </w:tcBorders>
            <w:shd w:val="clear" w:color="auto" w:fill="auto"/>
            <w:noWrap/>
            <w:vAlign w:val="bottom"/>
            <w:hideMark/>
          </w:tcPr>
          <w:p w:rsidRPr="00387AB6" w:rsidR="00B74D39" w:rsidP="00573A19" w:rsidRDefault="00B74D39" w14:paraId="4D1B8B07" w14:textId="77777777">
            <w:pPr>
              <w:rPr>
                <w:rFonts w:cs="Calibri"/>
                <w:color w:val="000000"/>
                <w:sz w:val="24"/>
                <w:szCs w:val="24"/>
              </w:rPr>
            </w:pPr>
            <w:r w:rsidRPr="00387AB6">
              <w:rPr>
                <w:rFonts w:cs="Calibri"/>
                <w:color w:val="000000"/>
                <w:sz w:val="24"/>
                <w:szCs w:val="24"/>
              </w:rPr>
              <w:t> </w:t>
            </w:r>
          </w:p>
        </w:tc>
        <w:tc>
          <w:tcPr>
            <w:tcW w:w="1302" w:type="dxa"/>
            <w:tcBorders>
              <w:top w:val="nil"/>
              <w:left w:val="double" w:color="auto" w:sz="6" w:space="0"/>
              <w:bottom w:val="nil"/>
              <w:right w:val="single" w:color="auto" w:sz="4" w:space="0"/>
            </w:tcBorders>
            <w:shd w:val="clear" w:color="auto" w:fill="auto"/>
            <w:noWrap/>
            <w:vAlign w:val="bottom"/>
            <w:hideMark/>
          </w:tcPr>
          <w:p w:rsidRPr="00387AB6" w:rsidR="00B74D39" w:rsidP="00573A19" w:rsidRDefault="00B74D39" w14:paraId="34B167C8"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nil"/>
              <w:right w:val="double" w:color="auto" w:sz="6" w:space="0"/>
            </w:tcBorders>
            <w:shd w:val="clear" w:color="auto" w:fill="auto"/>
            <w:noWrap/>
            <w:vAlign w:val="bottom"/>
            <w:hideMark/>
          </w:tcPr>
          <w:p w:rsidRPr="00387AB6" w:rsidR="00B74D39" w:rsidP="00573A19" w:rsidRDefault="00B74D39" w14:paraId="14E72E23" w14:textId="77777777">
            <w:pPr>
              <w:rPr>
                <w:rFonts w:cs="Calibri"/>
                <w:color w:val="000000"/>
                <w:sz w:val="24"/>
                <w:szCs w:val="24"/>
              </w:rPr>
            </w:pPr>
            <w:r w:rsidRPr="00387AB6">
              <w:rPr>
                <w:rFonts w:cs="Calibri"/>
                <w:color w:val="000000"/>
                <w:sz w:val="24"/>
                <w:szCs w:val="24"/>
              </w:rPr>
              <w:t> </w:t>
            </w:r>
          </w:p>
        </w:tc>
        <w:tc>
          <w:tcPr>
            <w:tcW w:w="1302" w:type="dxa"/>
            <w:tcBorders>
              <w:top w:val="nil"/>
              <w:left w:val="nil"/>
              <w:bottom w:val="nil"/>
              <w:right w:val="single" w:color="auto" w:sz="4" w:space="0"/>
            </w:tcBorders>
            <w:shd w:val="clear" w:color="auto" w:fill="auto"/>
            <w:noWrap/>
            <w:vAlign w:val="bottom"/>
            <w:hideMark/>
          </w:tcPr>
          <w:p w:rsidRPr="00387AB6" w:rsidR="00B74D39" w:rsidP="00573A19" w:rsidRDefault="00B74D39" w14:paraId="03E1BD53"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nil"/>
              <w:right w:val="single" w:color="auto" w:sz="8" w:space="0"/>
            </w:tcBorders>
            <w:shd w:val="clear" w:color="auto" w:fill="auto"/>
            <w:noWrap/>
            <w:vAlign w:val="bottom"/>
            <w:hideMark/>
          </w:tcPr>
          <w:p w:rsidRPr="00387AB6" w:rsidR="00B74D39" w:rsidP="00573A19" w:rsidRDefault="00B74D39" w14:paraId="0628CD02" w14:textId="77777777">
            <w:pPr>
              <w:rPr>
                <w:rFonts w:cs="Calibri"/>
                <w:color w:val="000000"/>
                <w:sz w:val="24"/>
                <w:szCs w:val="24"/>
              </w:rPr>
            </w:pPr>
            <w:r w:rsidRPr="00387AB6">
              <w:rPr>
                <w:rFonts w:cs="Calibri"/>
                <w:color w:val="000000"/>
                <w:sz w:val="24"/>
                <w:szCs w:val="24"/>
              </w:rPr>
              <w:t> </w:t>
            </w:r>
          </w:p>
        </w:tc>
      </w:tr>
      <w:tr w:rsidRPr="00387AB6" w:rsidR="00B74D39" w:rsidTr="007A2950" w14:paraId="22CAE8B5" w14:textId="77777777">
        <w:trPr>
          <w:trHeight w:val="300"/>
        </w:trPr>
        <w:tc>
          <w:tcPr>
            <w:tcW w:w="5750" w:type="dxa"/>
            <w:tcBorders>
              <w:top w:val="single" w:color="auto" w:sz="4" w:space="0"/>
              <w:left w:val="single" w:color="auto" w:sz="8" w:space="0"/>
              <w:bottom w:val="single" w:color="auto" w:sz="4" w:space="0"/>
              <w:right w:val="nil"/>
            </w:tcBorders>
            <w:shd w:val="clear" w:color="000000" w:fill="BFBFBF"/>
            <w:noWrap/>
            <w:vAlign w:val="bottom"/>
            <w:hideMark/>
          </w:tcPr>
          <w:p w:rsidRPr="00387AB6" w:rsidR="00B74D39" w:rsidP="00573A19" w:rsidRDefault="00B74D39" w14:paraId="436F25BD" w14:textId="77777777">
            <w:pPr>
              <w:rPr>
                <w:rFonts w:cs="Calibri"/>
                <w:i/>
                <w:iCs/>
                <w:color w:val="000000"/>
                <w:sz w:val="24"/>
                <w:szCs w:val="24"/>
              </w:rPr>
            </w:pPr>
            <w:r w:rsidRPr="00387AB6">
              <w:rPr>
                <w:rFonts w:cs="Calibri"/>
                <w:i/>
                <w:iCs/>
                <w:color w:val="000000"/>
                <w:sz w:val="24"/>
                <w:szCs w:val="24"/>
              </w:rPr>
              <w:t>Solar PV Customers</w:t>
            </w:r>
          </w:p>
        </w:tc>
        <w:tc>
          <w:tcPr>
            <w:tcW w:w="1302" w:type="dxa"/>
            <w:tcBorders>
              <w:top w:val="single" w:color="auto" w:sz="4" w:space="0"/>
              <w:left w:val="nil"/>
              <w:bottom w:val="single" w:color="auto" w:sz="4" w:space="0"/>
              <w:right w:val="nil"/>
            </w:tcBorders>
            <w:shd w:val="clear" w:color="000000" w:fill="BFBFBF"/>
            <w:noWrap/>
            <w:vAlign w:val="bottom"/>
            <w:hideMark/>
          </w:tcPr>
          <w:p w:rsidRPr="00387AB6" w:rsidR="00B74D39" w:rsidP="00573A19" w:rsidRDefault="00B74D39" w14:paraId="1A0793C3" w14:textId="77777777">
            <w:pPr>
              <w:rPr>
                <w:rFonts w:cs="Calibri"/>
                <w:i/>
                <w:iCs/>
                <w:color w:val="000000"/>
                <w:sz w:val="24"/>
                <w:szCs w:val="24"/>
              </w:rPr>
            </w:pPr>
            <w:r w:rsidRPr="00387AB6">
              <w:rPr>
                <w:rFonts w:cs="Calibri"/>
                <w:i/>
                <w:iCs/>
                <w:color w:val="000000"/>
                <w:sz w:val="24"/>
                <w:szCs w:val="24"/>
              </w:rPr>
              <w:t> </w:t>
            </w:r>
          </w:p>
        </w:tc>
        <w:tc>
          <w:tcPr>
            <w:tcW w:w="1246" w:type="dxa"/>
            <w:tcBorders>
              <w:top w:val="single" w:color="auto" w:sz="4" w:space="0"/>
              <w:left w:val="nil"/>
              <w:bottom w:val="single" w:color="auto" w:sz="4" w:space="0"/>
              <w:right w:val="nil"/>
            </w:tcBorders>
            <w:shd w:val="clear" w:color="000000" w:fill="BFBFBF"/>
            <w:noWrap/>
            <w:vAlign w:val="bottom"/>
            <w:hideMark/>
          </w:tcPr>
          <w:p w:rsidRPr="00387AB6" w:rsidR="00B74D39" w:rsidP="00573A19" w:rsidRDefault="00B74D39" w14:paraId="2FBC59FC" w14:textId="77777777">
            <w:pPr>
              <w:rPr>
                <w:rFonts w:cs="Calibri"/>
                <w:i/>
                <w:iCs/>
                <w:color w:val="000000"/>
                <w:sz w:val="24"/>
                <w:szCs w:val="24"/>
              </w:rPr>
            </w:pPr>
            <w:r w:rsidRPr="00387AB6">
              <w:rPr>
                <w:rFonts w:cs="Calibri"/>
                <w:i/>
                <w:iCs/>
                <w:color w:val="000000"/>
                <w:sz w:val="24"/>
                <w:szCs w:val="24"/>
              </w:rPr>
              <w:t> </w:t>
            </w:r>
          </w:p>
        </w:tc>
        <w:tc>
          <w:tcPr>
            <w:tcW w:w="1302" w:type="dxa"/>
            <w:tcBorders>
              <w:top w:val="single" w:color="auto" w:sz="4" w:space="0"/>
              <w:left w:val="nil"/>
              <w:bottom w:val="single" w:color="auto" w:sz="4" w:space="0"/>
              <w:right w:val="nil"/>
            </w:tcBorders>
            <w:shd w:val="clear" w:color="000000" w:fill="BFBFBF"/>
            <w:noWrap/>
            <w:vAlign w:val="bottom"/>
            <w:hideMark/>
          </w:tcPr>
          <w:p w:rsidRPr="00387AB6" w:rsidR="00B74D39" w:rsidP="00573A19" w:rsidRDefault="00B74D39" w14:paraId="67D4F096" w14:textId="77777777">
            <w:pPr>
              <w:rPr>
                <w:rFonts w:cs="Calibri"/>
                <w:i/>
                <w:iCs/>
                <w:color w:val="000000"/>
                <w:sz w:val="24"/>
                <w:szCs w:val="24"/>
              </w:rPr>
            </w:pPr>
            <w:r w:rsidRPr="00387AB6">
              <w:rPr>
                <w:rFonts w:cs="Calibri"/>
                <w:i/>
                <w:iCs/>
                <w:color w:val="000000"/>
                <w:sz w:val="24"/>
                <w:szCs w:val="24"/>
              </w:rPr>
              <w:t> </w:t>
            </w:r>
          </w:p>
        </w:tc>
        <w:tc>
          <w:tcPr>
            <w:tcW w:w="1246" w:type="dxa"/>
            <w:tcBorders>
              <w:top w:val="single" w:color="auto" w:sz="4" w:space="0"/>
              <w:left w:val="nil"/>
              <w:bottom w:val="single" w:color="auto" w:sz="4" w:space="0"/>
              <w:right w:val="nil"/>
            </w:tcBorders>
            <w:shd w:val="clear" w:color="000000" w:fill="BFBFBF"/>
            <w:noWrap/>
            <w:vAlign w:val="bottom"/>
            <w:hideMark/>
          </w:tcPr>
          <w:p w:rsidRPr="00387AB6" w:rsidR="00B74D39" w:rsidP="00573A19" w:rsidRDefault="00B74D39" w14:paraId="6F1E94BD" w14:textId="77777777">
            <w:pPr>
              <w:rPr>
                <w:rFonts w:cs="Calibri"/>
                <w:i/>
                <w:iCs/>
                <w:color w:val="000000"/>
                <w:sz w:val="24"/>
                <w:szCs w:val="24"/>
              </w:rPr>
            </w:pPr>
            <w:r w:rsidRPr="00387AB6">
              <w:rPr>
                <w:rFonts w:cs="Calibri"/>
                <w:i/>
                <w:iCs/>
                <w:color w:val="000000"/>
                <w:sz w:val="24"/>
                <w:szCs w:val="24"/>
              </w:rPr>
              <w:t> </w:t>
            </w:r>
          </w:p>
        </w:tc>
        <w:tc>
          <w:tcPr>
            <w:tcW w:w="1302" w:type="dxa"/>
            <w:tcBorders>
              <w:top w:val="single" w:color="auto" w:sz="4" w:space="0"/>
              <w:left w:val="nil"/>
              <w:bottom w:val="single" w:color="auto" w:sz="4" w:space="0"/>
              <w:right w:val="nil"/>
            </w:tcBorders>
            <w:shd w:val="clear" w:color="000000" w:fill="BFBFBF"/>
            <w:noWrap/>
            <w:vAlign w:val="bottom"/>
            <w:hideMark/>
          </w:tcPr>
          <w:p w:rsidRPr="00387AB6" w:rsidR="00B74D39" w:rsidP="00573A19" w:rsidRDefault="00B74D39" w14:paraId="033D063C" w14:textId="77777777">
            <w:pPr>
              <w:rPr>
                <w:rFonts w:cs="Calibri"/>
                <w:i/>
                <w:iCs/>
                <w:color w:val="000000"/>
                <w:sz w:val="24"/>
                <w:szCs w:val="24"/>
              </w:rPr>
            </w:pPr>
            <w:r w:rsidRPr="00387AB6">
              <w:rPr>
                <w:rFonts w:cs="Calibri"/>
                <w:i/>
                <w:iCs/>
                <w:color w:val="000000"/>
                <w:sz w:val="24"/>
                <w:szCs w:val="24"/>
              </w:rPr>
              <w:t> </w:t>
            </w:r>
          </w:p>
        </w:tc>
        <w:tc>
          <w:tcPr>
            <w:tcW w:w="1246" w:type="dxa"/>
            <w:tcBorders>
              <w:top w:val="single" w:color="auto" w:sz="4" w:space="0"/>
              <w:left w:val="nil"/>
              <w:bottom w:val="single" w:color="auto" w:sz="4" w:space="0"/>
              <w:right w:val="nil"/>
            </w:tcBorders>
            <w:shd w:val="clear" w:color="000000" w:fill="BFBFBF"/>
            <w:noWrap/>
            <w:vAlign w:val="bottom"/>
            <w:hideMark/>
          </w:tcPr>
          <w:p w:rsidRPr="00387AB6" w:rsidR="00B74D39" w:rsidP="00573A19" w:rsidRDefault="00B74D39" w14:paraId="5724CABE" w14:textId="77777777">
            <w:pPr>
              <w:rPr>
                <w:rFonts w:cs="Calibri"/>
                <w:i/>
                <w:iCs/>
                <w:color w:val="000000"/>
                <w:sz w:val="24"/>
                <w:szCs w:val="24"/>
              </w:rPr>
            </w:pPr>
            <w:r w:rsidRPr="00387AB6">
              <w:rPr>
                <w:rFonts w:cs="Calibri"/>
                <w:i/>
                <w:iCs/>
                <w:color w:val="000000"/>
                <w:sz w:val="24"/>
                <w:szCs w:val="24"/>
              </w:rPr>
              <w:t> </w:t>
            </w:r>
          </w:p>
        </w:tc>
        <w:tc>
          <w:tcPr>
            <w:tcW w:w="1302" w:type="dxa"/>
            <w:tcBorders>
              <w:top w:val="single" w:color="auto" w:sz="4" w:space="0"/>
              <w:left w:val="nil"/>
              <w:bottom w:val="single" w:color="auto" w:sz="4" w:space="0"/>
              <w:right w:val="nil"/>
            </w:tcBorders>
            <w:shd w:val="clear" w:color="000000" w:fill="BFBFBF"/>
            <w:noWrap/>
            <w:vAlign w:val="bottom"/>
            <w:hideMark/>
          </w:tcPr>
          <w:p w:rsidRPr="00387AB6" w:rsidR="00B74D39" w:rsidP="00573A19" w:rsidRDefault="00B74D39" w14:paraId="3982B58A" w14:textId="77777777">
            <w:pPr>
              <w:rPr>
                <w:rFonts w:cs="Calibri"/>
                <w:i/>
                <w:iCs/>
                <w:color w:val="000000"/>
                <w:sz w:val="24"/>
                <w:szCs w:val="24"/>
              </w:rPr>
            </w:pPr>
            <w:r w:rsidRPr="00387AB6">
              <w:rPr>
                <w:rFonts w:cs="Calibri"/>
                <w:i/>
                <w:iCs/>
                <w:color w:val="000000"/>
                <w:sz w:val="24"/>
                <w:szCs w:val="24"/>
              </w:rPr>
              <w:t> </w:t>
            </w:r>
          </w:p>
        </w:tc>
        <w:tc>
          <w:tcPr>
            <w:tcW w:w="1246" w:type="dxa"/>
            <w:tcBorders>
              <w:top w:val="single" w:color="auto" w:sz="4" w:space="0"/>
              <w:left w:val="nil"/>
              <w:bottom w:val="single" w:color="auto" w:sz="4" w:space="0"/>
              <w:right w:val="nil"/>
            </w:tcBorders>
            <w:shd w:val="clear" w:color="000000" w:fill="BFBFBF"/>
            <w:noWrap/>
            <w:vAlign w:val="bottom"/>
            <w:hideMark/>
          </w:tcPr>
          <w:p w:rsidRPr="00387AB6" w:rsidR="00B74D39" w:rsidP="00573A19" w:rsidRDefault="00B74D39" w14:paraId="667B49CB" w14:textId="77777777">
            <w:pPr>
              <w:rPr>
                <w:rFonts w:cs="Calibri"/>
                <w:i/>
                <w:iCs/>
                <w:color w:val="000000"/>
                <w:sz w:val="24"/>
                <w:szCs w:val="24"/>
              </w:rPr>
            </w:pPr>
            <w:r w:rsidRPr="00387AB6">
              <w:rPr>
                <w:rFonts w:cs="Calibri"/>
                <w:i/>
                <w:iCs/>
                <w:color w:val="000000"/>
                <w:sz w:val="24"/>
                <w:szCs w:val="24"/>
              </w:rPr>
              <w:t> </w:t>
            </w:r>
          </w:p>
        </w:tc>
      </w:tr>
      <w:tr w:rsidRPr="00387AB6" w:rsidR="00B74D39" w:rsidTr="007A2950" w14:paraId="352098C6" w14:textId="77777777">
        <w:trPr>
          <w:trHeight w:val="368"/>
        </w:trPr>
        <w:tc>
          <w:tcPr>
            <w:tcW w:w="575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387AB6" w:rsidR="00B74D39" w:rsidP="00573A19" w:rsidRDefault="00B74D39" w14:paraId="5D4E3A2C" w14:textId="77777777">
            <w:pPr>
              <w:rPr>
                <w:rFonts w:cs="Calibri"/>
                <w:color w:val="000000"/>
                <w:sz w:val="24"/>
                <w:szCs w:val="24"/>
              </w:rPr>
            </w:pPr>
            <w:r w:rsidRPr="00387AB6">
              <w:rPr>
                <w:rFonts w:cs="Calibri"/>
                <w:color w:val="000000"/>
                <w:sz w:val="24"/>
                <w:szCs w:val="24"/>
              </w:rPr>
              <w:t>Number of Customers with Onsite Solar Generation</w:t>
            </w:r>
          </w:p>
        </w:tc>
        <w:tc>
          <w:tcPr>
            <w:tcW w:w="1302" w:type="dxa"/>
            <w:tcBorders>
              <w:top w:val="nil"/>
              <w:left w:val="single" w:color="auto" w:sz="4" w:space="0"/>
              <w:bottom w:val="single" w:color="auto" w:sz="4" w:space="0"/>
              <w:right w:val="single" w:color="auto" w:sz="4" w:space="0"/>
            </w:tcBorders>
            <w:shd w:val="clear" w:color="auto" w:fill="auto"/>
            <w:noWrap/>
            <w:vAlign w:val="bottom"/>
            <w:hideMark/>
          </w:tcPr>
          <w:p w:rsidRPr="00387AB6" w:rsidR="00B74D39" w:rsidP="00573A19" w:rsidRDefault="00B74D39" w14:paraId="1D1AA2B2"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4" w:space="0"/>
              <w:right w:val="double" w:color="auto" w:sz="6" w:space="0"/>
            </w:tcBorders>
            <w:shd w:val="clear" w:color="auto" w:fill="auto"/>
            <w:noWrap/>
            <w:vAlign w:val="bottom"/>
            <w:hideMark/>
          </w:tcPr>
          <w:p w:rsidRPr="00387AB6" w:rsidR="00B74D39" w:rsidP="00573A19" w:rsidRDefault="00B74D39" w14:paraId="21E0520B" w14:textId="77777777">
            <w:pPr>
              <w:rPr>
                <w:rFonts w:cs="Calibri"/>
                <w:color w:val="000000"/>
                <w:sz w:val="24"/>
                <w:szCs w:val="24"/>
              </w:rPr>
            </w:pPr>
            <w:r w:rsidRPr="00387AB6">
              <w:rPr>
                <w:rFonts w:cs="Calibri"/>
                <w:color w:val="000000"/>
                <w:sz w:val="24"/>
                <w:szCs w:val="24"/>
              </w:rPr>
              <w:t> </w:t>
            </w:r>
          </w:p>
        </w:tc>
        <w:tc>
          <w:tcPr>
            <w:tcW w:w="1302" w:type="dxa"/>
            <w:tcBorders>
              <w:top w:val="nil"/>
              <w:left w:val="nil"/>
              <w:bottom w:val="single" w:color="auto" w:sz="4" w:space="0"/>
              <w:right w:val="nil"/>
            </w:tcBorders>
            <w:shd w:val="clear" w:color="auto" w:fill="auto"/>
            <w:noWrap/>
            <w:vAlign w:val="bottom"/>
            <w:hideMark/>
          </w:tcPr>
          <w:p w:rsidRPr="00387AB6" w:rsidR="00B74D39" w:rsidP="00573A19" w:rsidRDefault="00B74D39" w14:paraId="35B83F7F"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4" w:space="0"/>
              <w:right w:val="nil"/>
            </w:tcBorders>
            <w:shd w:val="clear" w:color="auto" w:fill="auto"/>
            <w:noWrap/>
            <w:vAlign w:val="bottom"/>
            <w:hideMark/>
          </w:tcPr>
          <w:p w:rsidRPr="00387AB6" w:rsidR="00B74D39" w:rsidP="00573A19" w:rsidRDefault="00B74D39" w14:paraId="7868BA42" w14:textId="77777777">
            <w:pPr>
              <w:rPr>
                <w:rFonts w:cs="Calibri"/>
                <w:color w:val="000000"/>
                <w:sz w:val="24"/>
                <w:szCs w:val="24"/>
              </w:rPr>
            </w:pPr>
            <w:r w:rsidRPr="00387AB6">
              <w:rPr>
                <w:rFonts w:cs="Calibri"/>
                <w:color w:val="000000"/>
                <w:sz w:val="24"/>
                <w:szCs w:val="24"/>
              </w:rPr>
              <w:t> </w:t>
            </w:r>
          </w:p>
        </w:tc>
        <w:tc>
          <w:tcPr>
            <w:tcW w:w="1302" w:type="dxa"/>
            <w:tcBorders>
              <w:top w:val="nil"/>
              <w:left w:val="double" w:color="auto" w:sz="6" w:space="0"/>
              <w:bottom w:val="single" w:color="auto" w:sz="4" w:space="0"/>
              <w:right w:val="single" w:color="auto" w:sz="4" w:space="0"/>
            </w:tcBorders>
            <w:shd w:val="clear" w:color="auto" w:fill="auto"/>
            <w:noWrap/>
            <w:vAlign w:val="bottom"/>
            <w:hideMark/>
          </w:tcPr>
          <w:p w:rsidRPr="00387AB6" w:rsidR="00B74D39" w:rsidP="00573A19" w:rsidRDefault="00B74D39" w14:paraId="64BE6EFC"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4" w:space="0"/>
              <w:right w:val="double" w:color="auto" w:sz="6" w:space="0"/>
            </w:tcBorders>
            <w:shd w:val="clear" w:color="auto" w:fill="auto"/>
            <w:noWrap/>
            <w:vAlign w:val="bottom"/>
            <w:hideMark/>
          </w:tcPr>
          <w:p w:rsidRPr="00387AB6" w:rsidR="00B74D39" w:rsidP="00573A19" w:rsidRDefault="00B74D39" w14:paraId="78B4A0DF" w14:textId="77777777">
            <w:pPr>
              <w:rPr>
                <w:rFonts w:cs="Calibri"/>
                <w:color w:val="000000"/>
                <w:sz w:val="24"/>
                <w:szCs w:val="24"/>
              </w:rPr>
            </w:pPr>
            <w:r w:rsidRPr="00387AB6">
              <w:rPr>
                <w:rFonts w:cs="Calibri"/>
                <w:color w:val="000000"/>
                <w:sz w:val="24"/>
                <w:szCs w:val="24"/>
              </w:rPr>
              <w:t> </w:t>
            </w:r>
          </w:p>
        </w:tc>
        <w:tc>
          <w:tcPr>
            <w:tcW w:w="1302" w:type="dxa"/>
            <w:tcBorders>
              <w:top w:val="nil"/>
              <w:left w:val="nil"/>
              <w:bottom w:val="single" w:color="auto" w:sz="4" w:space="0"/>
              <w:right w:val="single" w:color="auto" w:sz="4" w:space="0"/>
            </w:tcBorders>
            <w:shd w:val="clear" w:color="auto" w:fill="auto"/>
            <w:noWrap/>
            <w:vAlign w:val="bottom"/>
            <w:hideMark/>
          </w:tcPr>
          <w:p w:rsidRPr="00387AB6" w:rsidR="00B74D39" w:rsidP="00573A19" w:rsidRDefault="00B74D39" w14:paraId="448C775C"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4" w:space="0"/>
              <w:right w:val="single" w:color="auto" w:sz="8" w:space="0"/>
            </w:tcBorders>
            <w:shd w:val="clear" w:color="auto" w:fill="auto"/>
            <w:noWrap/>
            <w:vAlign w:val="bottom"/>
            <w:hideMark/>
          </w:tcPr>
          <w:p w:rsidRPr="00387AB6" w:rsidR="00B74D39" w:rsidP="00573A19" w:rsidRDefault="00B74D39" w14:paraId="5BCBD112" w14:textId="77777777">
            <w:pPr>
              <w:rPr>
                <w:rFonts w:cs="Calibri"/>
                <w:color w:val="000000"/>
                <w:sz w:val="24"/>
                <w:szCs w:val="24"/>
              </w:rPr>
            </w:pPr>
            <w:r w:rsidRPr="00387AB6">
              <w:rPr>
                <w:rFonts w:cs="Calibri"/>
                <w:color w:val="000000"/>
                <w:sz w:val="24"/>
                <w:szCs w:val="24"/>
              </w:rPr>
              <w:t> </w:t>
            </w:r>
          </w:p>
        </w:tc>
      </w:tr>
      <w:tr w:rsidRPr="00387AB6" w:rsidR="00B74D39" w:rsidTr="007A2950" w14:paraId="06E3945A" w14:textId="77777777">
        <w:trPr>
          <w:trHeight w:val="305"/>
        </w:trPr>
        <w:tc>
          <w:tcPr>
            <w:tcW w:w="575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387AB6" w:rsidR="00B74D39" w:rsidP="00573A19" w:rsidRDefault="00B74D39" w14:paraId="3E91B9B9" w14:textId="77777777">
            <w:pPr>
              <w:rPr>
                <w:rFonts w:cs="Calibri"/>
                <w:color w:val="000000"/>
                <w:sz w:val="24"/>
                <w:szCs w:val="24"/>
              </w:rPr>
            </w:pPr>
            <w:r w:rsidRPr="00387AB6">
              <w:rPr>
                <w:rFonts w:cs="Calibri"/>
                <w:color w:val="000000"/>
                <w:sz w:val="24"/>
                <w:szCs w:val="24"/>
              </w:rPr>
              <w:t>Number of Customers with Onsite Solar +Battery storage</w:t>
            </w:r>
          </w:p>
        </w:tc>
        <w:tc>
          <w:tcPr>
            <w:tcW w:w="1302" w:type="dxa"/>
            <w:tcBorders>
              <w:top w:val="nil"/>
              <w:left w:val="single" w:color="auto" w:sz="4" w:space="0"/>
              <w:bottom w:val="nil"/>
              <w:right w:val="single" w:color="auto" w:sz="4" w:space="0"/>
            </w:tcBorders>
            <w:shd w:val="clear" w:color="auto" w:fill="auto"/>
            <w:noWrap/>
            <w:vAlign w:val="bottom"/>
            <w:hideMark/>
          </w:tcPr>
          <w:p w:rsidRPr="00387AB6" w:rsidR="00B74D39" w:rsidP="00573A19" w:rsidRDefault="00B74D39" w14:paraId="778EC738"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nil"/>
              <w:right w:val="double" w:color="auto" w:sz="6" w:space="0"/>
            </w:tcBorders>
            <w:shd w:val="clear" w:color="auto" w:fill="auto"/>
            <w:noWrap/>
            <w:vAlign w:val="bottom"/>
            <w:hideMark/>
          </w:tcPr>
          <w:p w:rsidRPr="00387AB6" w:rsidR="00B74D39" w:rsidP="00573A19" w:rsidRDefault="00B74D39" w14:paraId="3B7DA774" w14:textId="77777777">
            <w:pPr>
              <w:rPr>
                <w:rFonts w:cs="Calibri"/>
                <w:color w:val="000000"/>
                <w:sz w:val="24"/>
                <w:szCs w:val="24"/>
              </w:rPr>
            </w:pPr>
            <w:r w:rsidRPr="00387AB6">
              <w:rPr>
                <w:rFonts w:cs="Calibri"/>
                <w:color w:val="000000"/>
                <w:sz w:val="24"/>
                <w:szCs w:val="24"/>
              </w:rPr>
              <w:t> </w:t>
            </w:r>
          </w:p>
        </w:tc>
        <w:tc>
          <w:tcPr>
            <w:tcW w:w="1302" w:type="dxa"/>
            <w:tcBorders>
              <w:top w:val="nil"/>
              <w:left w:val="nil"/>
              <w:bottom w:val="nil"/>
              <w:right w:val="nil"/>
            </w:tcBorders>
            <w:shd w:val="clear" w:color="auto" w:fill="auto"/>
            <w:noWrap/>
            <w:vAlign w:val="bottom"/>
            <w:hideMark/>
          </w:tcPr>
          <w:p w:rsidRPr="00387AB6" w:rsidR="00B74D39" w:rsidP="00573A19" w:rsidRDefault="00B74D39" w14:paraId="5E8DED92" w14:textId="77777777">
            <w:pPr>
              <w:rPr>
                <w:rFonts w:cs="Calibri"/>
                <w:color w:val="000000"/>
                <w:sz w:val="24"/>
                <w:szCs w:val="24"/>
              </w:rPr>
            </w:pPr>
          </w:p>
        </w:tc>
        <w:tc>
          <w:tcPr>
            <w:tcW w:w="1246" w:type="dxa"/>
            <w:tcBorders>
              <w:top w:val="nil"/>
              <w:left w:val="nil"/>
              <w:bottom w:val="nil"/>
              <w:right w:val="nil"/>
            </w:tcBorders>
            <w:shd w:val="clear" w:color="auto" w:fill="auto"/>
            <w:noWrap/>
            <w:vAlign w:val="bottom"/>
            <w:hideMark/>
          </w:tcPr>
          <w:p w:rsidRPr="00387AB6" w:rsidR="00B74D39" w:rsidP="00573A19" w:rsidRDefault="00B74D39" w14:paraId="05DFF17B" w14:textId="77777777">
            <w:pPr>
              <w:rPr>
                <w:sz w:val="24"/>
                <w:szCs w:val="24"/>
              </w:rPr>
            </w:pPr>
          </w:p>
        </w:tc>
        <w:tc>
          <w:tcPr>
            <w:tcW w:w="1302" w:type="dxa"/>
            <w:tcBorders>
              <w:top w:val="nil"/>
              <w:left w:val="double" w:color="auto" w:sz="6" w:space="0"/>
              <w:bottom w:val="nil"/>
              <w:right w:val="single" w:color="auto" w:sz="4" w:space="0"/>
            </w:tcBorders>
            <w:shd w:val="clear" w:color="auto" w:fill="auto"/>
            <w:noWrap/>
            <w:vAlign w:val="bottom"/>
            <w:hideMark/>
          </w:tcPr>
          <w:p w:rsidRPr="00387AB6" w:rsidR="00B74D39" w:rsidP="00573A19" w:rsidRDefault="00B74D39" w14:paraId="7B3F9D53"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nil"/>
              <w:right w:val="double" w:color="auto" w:sz="6" w:space="0"/>
            </w:tcBorders>
            <w:shd w:val="clear" w:color="auto" w:fill="auto"/>
            <w:noWrap/>
            <w:vAlign w:val="bottom"/>
            <w:hideMark/>
          </w:tcPr>
          <w:p w:rsidRPr="00387AB6" w:rsidR="00B74D39" w:rsidP="00573A19" w:rsidRDefault="00B74D39" w14:paraId="52836858" w14:textId="77777777">
            <w:pPr>
              <w:rPr>
                <w:rFonts w:cs="Calibri"/>
                <w:color w:val="000000"/>
                <w:sz w:val="24"/>
                <w:szCs w:val="24"/>
              </w:rPr>
            </w:pPr>
            <w:r w:rsidRPr="00387AB6">
              <w:rPr>
                <w:rFonts w:cs="Calibri"/>
                <w:color w:val="000000"/>
                <w:sz w:val="24"/>
                <w:szCs w:val="24"/>
              </w:rPr>
              <w:t> </w:t>
            </w:r>
          </w:p>
        </w:tc>
        <w:tc>
          <w:tcPr>
            <w:tcW w:w="1302" w:type="dxa"/>
            <w:tcBorders>
              <w:top w:val="nil"/>
              <w:left w:val="nil"/>
              <w:bottom w:val="nil"/>
              <w:right w:val="single" w:color="auto" w:sz="4" w:space="0"/>
            </w:tcBorders>
            <w:shd w:val="clear" w:color="auto" w:fill="auto"/>
            <w:noWrap/>
            <w:vAlign w:val="bottom"/>
            <w:hideMark/>
          </w:tcPr>
          <w:p w:rsidRPr="00387AB6" w:rsidR="00B74D39" w:rsidP="00573A19" w:rsidRDefault="00B74D39" w14:paraId="1646E717"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nil"/>
              <w:right w:val="single" w:color="auto" w:sz="8" w:space="0"/>
            </w:tcBorders>
            <w:shd w:val="clear" w:color="auto" w:fill="auto"/>
            <w:noWrap/>
            <w:vAlign w:val="bottom"/>
            <w:hideMark/>
          </w:tcPr>
          <w:p w:rsidRPr="00387AB6" w:rsidR="00B74D39" w:rsidP="00573A19" w:rsidRDefault="00B74D39" w14:paraId="391C1F25" w14:textId="77777777">
            <w:pPr>
              <w:rPr>
                <w:rFonts w:cs="Calibri"/>
                <w:color w:val="000000"/>
                <w:sz w:val="24"/>
                <w:szCs w:val="24"/>
              </w:rPr>
            </w:pPr>
            <w:r w:rsidRPr="00387AB6">
              <w:rPr>
                <w:rFonts w:cs="Calibri"/>
                <w:color w:val="000000"/>
                <w:sz w:val="24"/>
                <w:szCs w:val="24"/>
              </w:rPr>
              <w:t> </w:t>
            </w:r>
          </w:p>
        </w:tc>
      </w:tr>
      <w:tr w:rsidRPr="00387AB6" w:rsidR="00B74D39" w:rsidTr="007A2950" w14:paraId="388B6FA4" w14:textId="77777777">
        <w:trPr>
          <w:trHeight w:val="602"/>
        </w:trPr>
        <w:tc>
          <w:tcPr>
            <w:tcW w:w="575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387AB6" w:rsidR="00B74D39" w:rsidP="00573A19" w:rsidRDefault="00B74D39" w14:paraId="63BF063A" w14:textId="77777777">
            <w:pPr>
              <w:rPr>
                <w:rFonts w:cs="Calibri"/>
                <w:color w:val="000000"/>
                <w:sz w:val="24"/>
                <w:szCs w:val="24"/>
              </w:rPr>
            </w:pPr>
            <w:r w:rsidRPr="00387AB6">
              <w:rPr>
                <w:rFonts w:cs="Calibri"/>
                <w:color w:val="000000"/>
                <w:sz w:val="24"/>
                <w:szCs w:val="24"/>
              </w:rPr>
              <w:t>Number of Customers who have participated in ESA program in the past 7 years</w:t>
            </w:r>
          </w:p>
        </w:tc>
        <w:tc>
          <w:tcPr>
            <w:tcW w:w="1302" w:type="dxa"/>
            <w:tcBorders>
              <w:top w:val="single" w:color="auto" w:sz="4" w:space="0"/>
              <w:left w:val="single" w:color="auto" w:sz="4" w:space="0"/>
              <w:bottom w:val="nil"/>
              <w:right w:val="single" w:color="auto" w:sz="4" w:space="0"/>
            </w:tcBorders>
            <w:shd w:val="clear" w:color="auto" w:fill="auto"/>
            <w:noWrap/>
            <w:vAlign w:val="bottom"/>
            <w:hideMark/>
          </w:tcPr>
          <w:p w:rsidRPr="00387AB6" w:rsidR="00B74D39" w:rsidP="00573A19" w:rsidRDefault="00B74D39" w14:paraId="325ECE7D" w14:textId="77777777">
            <w:pPr>
              <w:rPr>
                <w:rFonts w:cs="Calibri"/>
                <w:color w:val="000000"/>
                <w:sz w:val="24"/>
                <w:szCs w:val="24"/>
              </w:rPr>
            </w:pPr>
            <w:r w:rsidRPr="00387AB6">
              <w:rPr>
                <w:rFonts w:cs="Calibri"/>
                <w:color w:val="000000"/>
                <w:sz w:val="24"/>
                <w:szCs w:val="24"/>
              </w:rPr>
              <w:t> </w:t>
            </w:r>
          </w:p>
        </w:tc>
        <w:tc>
          <w:tcPr>
            <w:tcW w:w="1246" w:type="dxa"/>
            <w:tcBorders>
              <w:top w:val="single" w:color="auto" w:sz="4" w:space="0"/>
              <w:left w:val="nil"/>
              <w:bottom w:val="nil"/>
              <w:right w:val="double" w:color="auto" w:sz="6" w:space="0"/>
            </w:tcBorders>
            <w:shd w:val="clear" w:color="auto" w:fill="auto"/>
            <w:noWrap/>
            <w:vAlign w:val="bottom"/>
            <w:hideMark/>
          </w:tcPr>
          <w:p w:rsidRPr="00387AB6" w:rsidR="00B74D39" w:rsidP="00573A19" w:rsidRDefault="00B74D39" w14:paraId="7A246F11" w14:textId="77777777">
            <w:pPr>
              <w:rPr>
                <w:rFonts w:cs="Calibri"/>
                <w:color w:val="000000"/>
                <w:sz w:val="24"/>
                <w:szCs w:val="24"/>
              </w:rPr>
            </w:pPr>
            <w:r w:rsidRPr="00387AB6">
              <w:rPr>
                <w:rFonts w:cs="Calibri"/>
                <w:color w:val="000000"/>
                <w:sz w:val="24"/>
                <w:szCs w:val="24"/>
              </w:rPr>
              <w:t> </w:t>
            </w:r>
          </w:p>
        </w:tc>
        <w:tc>
          <w:tcPr>
            <w:tcW w:w="1302" w:type="dxa"/>
            <w:tcBorders>
              <w:top w:val="single" w:color="auto" w:sz="4" w:space="0"/>
              <w:left w:val="nil"/>
              <w:bottom w:val="nil"/>
              <w:right w:val="nil"/>
            </w:tcBorders>
            <w:shd w:val="clear" w:color="auto" w:fill="auto"/>
            <w:noWrap/>
            <w:vAlign w:val="bottom"/>
            <w:hideMark/>
          </w:tcPr>
          <w:p w:rsidRPr="00387AB6" w:rsidR="00B74D39" w:rsidP="00573A19" w:rsidRDefault="00B74D39" w14:paraId="62C5E153" w14:textId="77777777">
            <w:pPr>
              <w:rPr>
                <w:rFonts w:cs="Calibri"/>
                <w:color w:val="000000"/>
                <w:sz w:val="24"/>
                <w:szCs w:val="24"/>
              </w:rPr>
            </w:pPr>
            <w:r w:rsidRPr="00387AB6">
              <w:rPr>
                <w:rFonts w:cs="Calibri"/>
                <w:color w:val="000000"/>
                <w:sz w:val="24"/>
                <w:szCs w:val="24"/>
              </w:rPr>
              <w:t> </w:t>
            </w:r>
          </w:p>
        </w:tc>
        <w:tc>
          <w:tcPr>
            <w:tcW w:w="1246" w:type="dxa"/>
            <w:tcBorders>
              <w:top w:val="single" w:color="auto" w:sz="4" w:space="0"/>
              <w:left w:val="nil"/>
              <w:bottom w:val="nil"/>
              <w:right w:val="nil"/>
            </w:tcBorders>
            <w:shd w:val="clear" w:color="auto" w:fill="auto"/>
            <w:noWrap/>
            <w:vAlign w:val="bottom"/>
            <w:hideMark/>
          </w:tcPr>
          <w:p w:rsidRPr="00387AB6" w:rsidR="00B74D39" w:rsidP="00573A19" w:rsidRDefault="00B74D39" w14:paraId="5C621A9F" w14:textId="77777777">
            <w:pPr>
              <w:rPr>
                <w:rFonts w:cs="Calibri"/>
                <w:color w:val="000000"/>
                <w:sz w:val="24"/>
                <w:szCs w:val="24"/>
              </w:rPr>
            </w:pPr>
            <w:r w:rsidRPr="00387AB6">
              <w:rPr>
                <w:rFonts w:cs="Calibri"/>
                <w:color w:val="000000"/>
                <w:sz w:val="24"/>
                <w:szCs w:val="24"/>
              </w:rPr>
              <w:t> </w:t>
            </w:r>
          </w:p>
        </w:tc>
        <w:tc>
          <w:tcPr>
            <w:tcW w:w="1302" w:type="dxa"/>
            <w:tcBorders>
              <w:top w:val="single" w:color="auto" w:sz="4" w:space="0"/>
              <w:left w:val="double" w:color="auto" w:sz="6" w:space="0"/>
              <w:bottom w:val="nil"/>
              <w:right w:val="single" w:color="auto" w:sz="4" w:space="0"/>
            </w:tcBorders>
            <w:shd w:val="clear" w:color="auto" w:fill="auto"/>
            <w:noWrap/>
            <w:vAlign w:val="bottom"/>
            <w:hideMark/>
          </w:tcPr>
          <w:p w:rsidRPr="00387AB6" w:rsidR="00B74D39" w:rsidP="00573A19" w:rsidRDefault="00B74D39" w14:paraId="3AA42E10" w14:textId="77777777">
            <w:pPr>
              <w:rPr>
                <w:rFonts w:cs="Calibri"/>
                <w:color w:val="000000"/>
                <w:sz w:val="24"/>
                <w:szCs w:val="24"/>
              </w:rPr>
            </w:pPr>
            <w:r w:rsidRPr="00387AB6">
              <w:rPr>
                <w:rFonts w:cs="Calibri"/>
                <w:color w:val="000000"/>
                <w:sz w:val="24"/>
                <w:szCs w:val="24"/>
              </w:rPr>
              <w:t> </w:t>
            </w:r>
          </w:p>
        </w:tc>
        <w:tc>
          <w:tcPr>
            <w:tcW w:w="1246" w:type="dxa"/>
            <w:tcBorders>
              <w:top w:val="single" w:color="auto" w:sz="4" w:space="0"/>
              <w:left w:val="nil"/>
              <w:bottom w:val="nil"/>
              <w:right w:val="double" w:color="auto" w:sz="6" w:space="0"/>
            </w:tcBorders>
            <w:shd w:val="clear" w:color="auto" w:fill="auto"/>
            <w:noWrap/>
            <w:vAlign w:val="bottom"/>
            <w:hideMark/>
          </w:tcPr>
          <w:p w:rsidRPr="00387AB6" w:rsidR="00B74D39" w:rsidP="00573A19" w:rsidRDefault="00B74D39" w14:paraId="4787EFA8" w14:textId="77777777">
            <w:pPr>
              <w:rPr>
                <w:rFonts w:cs="Calibri"/>
                <w:color w:val="000000"/>
                <w:sz w:val="24"/>
                <w:szCs w:val="24"/>
              </w:rPr>
            </w:pPr>
            <w:r w:rsidRPr="00387AB6">
              <w:rPr>
                <w:rFonts w:cs="Calibri"/>
                <w:color w:val="000000"/>
                <w:sz w:val="24"/>
                <w:szCs w:val="24"/>
              </w:rPr>
              <w:t> </w:t>
            </w:r>
          </w:p>
        </w:tc>
        <w:tc>
          <w:tcPr>
            <w:tcW w:w="1302" w:type="dxa"/>
            <w:tcBorders>
              <w:top w:val="single" w:color="auto" w:sz="4" w:space="0"/>
              <w:left w:val="nil"/>
              <w:bottom w:val="nil"/>
              <w:right w:val="single" w:color="auto" w:sz="4" w:space="0"/>
            </w:tcBorders>
            <w:shd w:val="clear" w:color="auto" w:fill="auto"/>
            <w:noWrap/>
            <w:vAlign w:val="bottom"/>
            <w:hideMark/>
          </w:tcPr>
          <w:p w:rsidRPr="00387AB6" w:rsidR="00B74D39" w:rsidP="00573A19" w:rsidRDefault="00B74D39" w14:paraId="4501E3B0" w14:textId="77777777">
            <w:pPr>
              <w:rPr>
                <w:rFonts w:cs="Calibri"/>
                <w:color w:val="000000"/>
                <w:sz w:val="24"/>
                <w:szCs w:val="24"/>
              </w:rPr>
            </w:pPr>
            <w:r w:rsidRPr="00387AB6">
              <w:rPr>
                <w:rFonts w:cs="Calibri"/>
                <w:color w:val="000000"/>
                <w:sz w:val="24"/>
                <w:szCs w:val="24"/>
              </w:rPr>
              <w:t> </w:t>
            </w:r>
          </w:p>
        </w:tc>
        <w:tc>
          <w:tcPr>
            <w:tcW w:w="1246" w:type="dxa"/>
            <w:tcBorders>
              <w:top w:val="single" w:color="auto" w:sz="4" w:space="0"/>
              <w:left w:val="nil"/>
              <w:bottom w:val="nil"/>
              <w:right w:val="single" w:color="auto" w:sz="8" w:space="0"/>
            </w:tcBorders>
            <w:shd w:val="clear" w:color="auto" w:fill="auto"/>
            <w:noWrap/>
            <w:vAlign w:val="bottom"/>
            <w:hideMark/>
          </w:tcPr>
          <w:p w:rsidRPr="00387AB6" w:rsidR="00B74D39" w:rsidP="00573A19" w:rsidRDefault="00B74D39" w14:paraId="7488A0BD" w14:textId="77777777">
            <w:pPr>
              <w:rPr>
                <w:rFonts w:cs="Calibri"/>
                <w:color w:val="000000"/>
                <w:sz w:val="24"/>
                <w:szCs w:val="24"/>
              </w:rPr>
            </w:pPr>
            <w:r w:rsidRPr="00387AB6">
              <w:rPr>
                <w:rFonts w:cs="Calibri"/>
                <w:color w:val="000000"/>
                <w:sz w:val="24"/>
                <w:szCs w:val="24"/>
              </w:rPr>
              <w:t> </w:t>
            </w:r>
          </w:p>
        </w:tc>
      </w:tr>
      <w:tr w:rsidRPr="00387AB6" w:rsidR="00B74D39" w:rsidTr="007A2950" w14:paraId="04753B39" w14:textId="77777777">
        <w:trPr>
          <w:trHeight w:val="300"/>
        </w:trPr>
        <w:tc>
          <w:tcPr>
            <w:tcW w:w="5750" w:type="dxa"/>
            <w:tcBorders>
              <w:top w:val="single" w:color="auto" w:sz="4" w:space="0"/>
              <w:left w:val="single" w:color="auto" w:sz="8" w:space="0"/>
              <w:bottom w:val="single" w:color="auto" w:sz="4" w:space="0"/>
              <w:right w:val="nil"/>
            </w:tcBorders>
            <w:shd w:val="clear" w:color="000000" w:fill="BFBFBF"/>
            <w:vAlign w:val="bottom"/>
            <w:hideMark/>
          </w:tcPr>
          <w:p w:rsidRPr="00387AB6" w:rsidR="00B74D39" w:rsidP="00573A19" w:rsidRDefault="00B74D39" w14:paraId="5846BF84" w14:textId="77777777">
            <w:pPr>
              <w:rPr>
                <w:rFonts w:cs="Calibri"/>
                <w:i/>
                <w:iCs/>
                <w:color w:val="000000"/>
                <w:sz w:val="24"/>
                <w:szCs w:val="24"/>
              </w:rPr>
            </w:pPr>
            <w:r w:rsidRPr="00387AB6">
              <w:rPr>
                <w:rFonts w:cs="Calibri"/>
                <w:i/>
                <w:iCs/>
                <w:color w:val="000000"/>
                <w:sz w:val="24"/>
                <w:szCs w:val="24"/>
              </w:rPr>
              <w:t>Master-metered Customers</w:t>
            </w:r>
          </w:p>
        </w:tc>
        <w:tc>
          <w:tcPr>
            <w:tcW w:w="1302" w:type="dxa"/>
            <w:tcBorders>
              <w:top w:val="single" w:color="auto" w:sz="4" w:space="0"/>
              <w:left w:val="single" w:color="auto" w:sz="8" w:space="0"/>
              <w:bottom w:val="single" w:color="auto" w:sz="4" w:space="0"/>
              <w:right w:val="single" w:color="auto" w:sz="4" w:space="0"/>
            </w:tcBorders>
            <w:shd w:val="clear" w:color="000000" w:fill="BFBFBF"/>
            <w:noWrap/>
            <w:vAlign w:val="bottom"/>
            <w:hideMark/>
          </w:tcPr>
          <w:p w:rsidRPr="00387AB6" w:rsidR="00B74D39" w:rsidP="00573A19" w:rsidRDefault="00B74D39" w14:paraId="2D2E1C19" w14:textId="77777777">
            <w:pPr>
              <w:rPr>
                <w:rFonts w:cs="Calibri"/>
                <w:color w:val="000000"/>
                <w:sz w:val="24"/>
                <w:szCs w:val="24"/>
              </w:rPr>
            </w:pPr>
            <w:r w:rsidRPr="00387AB6">
              <w:rPr>
                <w:rFonts w:cs="Calibri"/>
                <w:color w:val="000000"/>
                <w:sz w:val="24"/>
                <w:szCs w:val="24"/>
              </w:rPr>
              <w:t> </w:t>
            </w:r>
          </w:p>
        </w:tc>
        <w:tc>
          <w:tcPr>
            <w:tcW w:w="1246" w:type="dxa"/>
            <w:tcBorders>
              <w:top w:val="single" w:color="auto" w:sz="4" w:space="0"/>
              <w:left w:val="nil"/>
              <w:bottom w:val="single" w:color="auto" w:sz="4" w:space="0"/>
              <w:right w:val="double" w:color="auto" w:sz="6" w:space="0"/>
            </w:tcBorders>
            <w:shd w:val="clear" w:color="000000" w:fill="BFBFBF"/>
            <w:noWrap/>
            <w:vAlign w:val="bottom"/>
            <w:hideMark/>
          </w:tcPr>
          <w:p w:rsidRPr="00387AB6" w:rsidR="00B74D39" w:rsidP="00573A19" w:rsidRDefault="00B74D39" w14:paraId="5CF8A932" w14:textId="77777777">
            <w:pPr>
              <w:rPr>
                <w:rFonts w:cs="Calibri"/>
                <w:color w:val="000000"/>
                <w:sz w:val="24"/>
                <w:szCs w:val="24"/>
              </w:rPr>
            </w:pPr>
            <w:r w:rsidRPr="00387AB6">
              <w:rPr>
                <w:rFonts w:cs="Calibri"/>
                <w:color w:val="000000"/>
                <w:sz w:val="24"/>
                <w:szCs w:val="24"/>
              </w:rPr>
              <w:t> </w:t>
            </w:r>
          </w:p>
        </w:tc>
        <w:tc>
          <w:tcPr>
            <w:tcW w:w="1302" w:type="dxa"/>
            <w:tcBorders>
              <w:top w:val="single" w:color="auto" w:sz="4" w:space="0"/>
              <w:left w:val="nil"/>
              <w:bottom w:val="single" w:color="auto" w:sz="4" w:space="0"/>
              <w:right w:val="nil"/>
            </w:tcBorders>
            <w:shd w:val="clear" w:color="000000" w:fill="BFBFBF"/>
            <w:noWrap/>
            <w:vAlign w:val="bottom"/>
            <w:hideMark/>
          </w:tcPr>
          <w:p w:rsidRPr="00387AB6" w:rsidR="00B74D39" w:rsidP="00573A19" w:rsidRDefault="00B74D39" w14:paraId="4A7FD342" w14:textId="77777777">
            <w:pPr>
              <w:rPr>
                <w:rFonts w:cs="Calibri"/>
                <w:color w:val="000000"/>
                <w:sz w:val="24"/>
                <w:szCs w:val="24"/>
              </w:rPr>
            </w:pPr>
            <w:r w:rsidRPr="00387AB6">
              <w:rPr>
                <w:rFonts w:cs="Calibri"/>
                <w:color w:val="000000"/>
                <w:sz w:val="24"/>
                <w:szCs w:val="24"/>
              </w:rPr>
              <w:t> </w:t>
            </w:r>
          </w:p>
        </w:tc>
        <w:tc>
          <w:tcPr>
            <w:tcW w:w="1246" w:type="dxa"/>
            <w:tcBorders>
              <w:top w:val="single" w:color="auto" w:sz="4" w:space="0"/>
              <w:left w:val="nil"/>
              <w:bottom w:val="single" w:color="auto" w:sz="4" w:space="0"/>
              <w:right w:val="nil"/>
            </w:tcBorders>
            <w:shd w:val="clear" w:color="000000" w:fill="BFBFBF"/>
            <w:noWrap/>
            <w:vAlign w:val="bottom"/>
            <w:hideMark/>
          </w:tcPr>
          <w:p w:rsidRPr="00387AB6" w:rsidR="00B74D39" w:rsidP="00573A19" w:rsidRDefault="00B74D39" w14:paraId="24D85AA1" w14:textId="77777777">
            <w:pPr>
              <w:rPr>
                <w:rFonts w:cs="Calibri"/>
                <w:color w:val="000000"/>
                <w:sz w:val="24"/>
                <w:szCs w:val="24"/>
              </w:rPr>
            </w:pPr>
            <w:r w:rsidRPr="00387AB6">
              <w:rPr>
                <w:rFonts w:cs="Calibri"/>
                <w:color w:val="000000"/>
                <w:sz w:val="24"/>
                <w:szCs w:val="24"/>
              </w:rPr>
              <w:t> </w:t>
            </w:r>
          </w:p>
        </w:tc>
        <w:tc>
          <w:tcPr>
            <w:tcW w:w="1302" w:type="dxa"/>
            <w:tcBorders>
              <w:top w:val="single" w:color="auto" w:sz="4" w:space="0"/>
              <w:left w:val="double" w:color="auto" w:sz="6" w:space="0"/>
              <w:bottom w:val="single" w:color="auto" w:sz="4" w:space="0"/>
              <w:right w:val="single" w:color="auto" w:sz="4" w:space="0"/>
            </w:tcBorders>
            <w:shd w:val="clear" w:color="000000" w:fill="BFBFBF"/>
            <w:noWrap/>
            <w:vAlign w:val="bottom"/>
            <w:hideMark/>
          </w:tcPr>
          <w:p w:rsidRPr="00387AB6" w:rsidR="00B74D39" w:rsidP="00573A19" w:rsidRDefault="00B74D39" w14:paraId="1B198930" w14:textId="77777777">
            <w:pPr>
              <w:rPr>
                <w:rFonts w:cs="Calibri"/>
                <w:color w:val="000000"/>
                <w:sz w:val="24"/>
                <w:szCs w:val="24"/>
              </w:rPr>
            </w:pPr>
            <w:r w:rsidRPr="00387AB6">
              <w:rPr>
                <w:rFonts w:cs="Calibri"/>
                <w:color w:val="000000"/>
                <w:sz w:val="24"/>
                <w:szCs w:val="24"/>
              </w:rPr>
              <w:t> </w:t>
            </w:r>
          </w:p>
        </w:tc>
        <w:tc>
          <w:tcPr>
            <w:tcW w:w="1246" w:type="dxa"/>
            <w:tcBorders>
              <w:top w:val="single" w:color="auto" w:sz="4" w:space="0"/>
              <w:left w:val="nil"/>
              <w:bottom w:val="single" w:color="auto" w:sz="4" w:space="0"/>
              <w:right w:val="double" w:color="auto" w:sz="6" w:space="0"/>
            </w:tcBorders>
            <w:shd w:val="clear" w:color="000000" w:fill="BFBFBF"/>
            <w:noWrap/>
            <w:vAlign w:val="bottom"/>
            <w:hideMark/>
          </w:tcPr>
          <w:p w:rsidRPr="00387AB6" w:rsidR="00B74D39" w:rsidP="00573A19" w:rsidRDefault="00B74D39" w14:paraId="3DB0C0D7" w14:textId="77777777">
            <w:pPr>
              <w:rPr>
                <w:rFonts w:cs="Calibri"/>
                <w:color w:val="000000"/>
                <w:sz w:val="24"/>
                <w:szCs w:val="24"/>
              </w:rPr>
            </w:pPr>
            <w:r w:rsidRPr="00387AB6">
              <w:rPr>
                <w:rFonts w:cs="Calibri"/>
                <w:color w:val="000000"/>
                <w:sz w:val="24"/>
                <w:szCs w:val="24"/>
              </w:rPr>
              <w:t> </w:t>
            </w:r>
          </w:p>
        </w:tc>
        <w:tc>
          <w:tcPr>
            <w:tcW w:w="1302" w:type="dxa"/>
            <w:tcBorders>
              <w:top w:val="single" w:color="auto" w:sz="4" w:space="0"/>
              <w:left w:val="nil"/>
              <w:bottom w:val="single" w:color="auto" w:sz="4" w:space="0"/>
              <w:right w:val="single" w:color="auto" w:sz="4" w:space="0"/>
            </w:tcBorders>
            <w:shd w:val="clear" w:color="000000" w:fill="BFBFBF"/>
            <w:noWrap/>
            <w:vAlign w:val="bottom"/>
            <w:hideMark/>
          </w:tcPr>
          <w:p w:rsidRPr="00387AB6" w:rsidR="00B74D39" w:rsidP="00573A19" w:rsidRDefault="00B74D39" w14:paraId="40E2E01B" w14:textId="77777777">
            <w:pPr>
              <w:rPr>
                <w:rFonts w:cs="Calibri"/>
                <w:color w:val="000000"/>
                <w:sz w:val="24"/>
                <w:szCs w:val="24"/>
              </w:rPr>
            </w:pPr>
            <w:r w:rsidRPr="00387AB6">
              <w:rPr>
                <w:rFonts w:cs="Calibri"/>
                <w:color w:val="000000"/>
                <w:sz w:val="24"/>
                <w:szCs w:val="24"/>
              </w:rPr>
              <w:t> </w:t>
            </w:r>
          </w:p>
        </w:tc>
        <w:tc>
          <w:tcPr>
            <w:tcW w:w="1246" w:type="dxa"/>
            <w:tcBorders>
              <w:top w:val="single" w:color="auto" w:sz="4" w:space="0"/>
              <w:left w:val="nil"/>
              <w:bottom w:val="single" w:color="auto" w:sz="4" w:space="0"/>
              <w:right w:val="single" w:color="auto" w:sz="8" w:space="0"/>
            </w:tcBorders>
            <w:shd w:val="clear" w:color="000000" w:fill="BFBFBF"/>
            <w:noWrap/>
            <w:vAlign w:val="bottom"/>
            <w:hideMark/>
          </w:tcPr>
          <w:p w:rsidRPr="00387AB6" w:rsidR="00B74D39" w:rsidP="00573A19" w:rsidRDefault="00B74D39" w14:paraId="5ABC4A24" w14:textId="77777777">
            <w:pPr>
              <w:rPr>
                <w:rFonts w:cs="Calibri"/>
                <w:color w:val="000000"/>
                <w:sz w:val="24"/>
                <w:szCs w:val="24"/>
              </w:rPr>
            </w:pPr>
            <w:r w:rsidRPr="00387AB6">
              <w:rPr>
                <w:rFonts w:cs="Calibri"/>
                <w:color w:val="000000"/>
                <w:sz w:val="24"/>
                <w:szCs w:val="24"/>
              </w:rPr>
              <w:t> </w:t>
            </w:r>
          </w:p>
        </w:tc>
      </w:tr>
      <w:tr w:rsidRPr="00387AB6" w:rsidR="00B74D39" w:rsidTr="007A2950" w14:paraId="26DBE561" w14:textId="77777777">
        <w:trPr>
          <w:trHeight w:val="287"/>
        </w:trPr>
        <w:tc>
          <w:tcPr>
            <w:tcW w:w="5750" w:type="dxa"/>
            <w:tcBorders>
              <w:top w:val="nil"/>
              <w:left w:val="single" w:color="auto" w:sz="8" w:space="0"/>
              <w:bottom w:val="single" w:color="auto" w:sz="8" w:space="0"/>
              <w:right w:val="nil"/>
            </w:tcBorders>
            <w:shd w:val="clear" w:color="auto" w:fill="auto"/>
            <w:vAlign w:val="bottom"/>
            <w:hideMark/>
          </w:tcPr>
          <w:p w:rsidRPr="00387AB6" w:rsidR="00B74D39" w:rsidP="00573A19" w:rsidRDefault="00B74D39" w14:paraId="206D9BA7" w14:textId="77777777">
            <w:pPr>
              <w:rPr>
                <w:rFonts w:cs="Calibri"/>
                <w:color w:val="000000"/>
                <w:sz w:val="24"/>
                <w:szCs w:val="24"/>
              </w:rPr>
            </w:pPr>
            <w:r w:rsidRPr="00387AB6">
              <w:rPr>
                <w:rFonts w:cs="Calibri"/>
                <w:color w:val="000000"/>
                <w:sz w:val="24"/>
                <w:szCs w:val="24"/>
              </w:rPr>
              <w:t>Number of Master-metered customers</w:t>
            </w:r>
          </w:p>
        </w:tc>
        <w:tc>
          <w:tcPr>
            <w:tcW w:w="1302" w:type="dxa"/>
            <w:tcBorders>
              <w:top w:val="nil"/>
              <w:left w:val="single" w:color="auto" w:sz="8" w:space="0"/>
              <w:bottom w:val="single" w:color="auto" w:sz="8" w:space="0"/>
              <w:right w:val="single" w:color="auto" w:sz="4" w:space="0"/>
            </w:tcBorders>
            <w:shd w:val="clear" w:color="auto" w:fill="auto"/>
            <w:noWrap/>
            <w:vAlign w:val="bottom"/>
            <w:hideMark/>
          </w:tcPr>
          <w:p w:rsidRPr="00387AB6" w:rsidR="00B74D39" w:rsidP="00573A19" w:rsidRDefault="00B74D39" w14:paraId="27F91403"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8" w:space="0"/>
              <w:right w:val="double" w:color="auto" w:sz="6" w:space="0"/>
            </w:tcBorders>
            <w:shd w:val="clear" w:color="auto" w:fill="auto"/>
            <w:noWrap/>
            <w:vAlign w:val="bottom"/>
            <w:hideMark/>
          </w:tcPr>
          <w:p w:rsidRPr="00387AB6" w:rsidR="00B74D39" w:rsidP="00573A19" w:rsidRDefault="00B74D39" w14:paraId="19816F5D" w14:textId="77777777">
            <w:pPr>
              <w:rPr>
                <w:rFonts w:cs="Calibri"/>
                <w:color w:val="000000"/>
                <w:sz w:val="24"/>
                <w:szCs w:val="24"/>
              </w:rPr>
            </w:pPr>
            <w:r w:rsidRPr="00387AB6">
              <w:rPr>
                <w:rFonts w:cs="Calibri"/>
                <w:color w:val="000000"/>
                <w:sz w:val="24"/>
                <w:szCs w:val="24"/>
              </w:rPr>
              <w:t> </w:t>
            </w:r>
          </w:p>
        </w:tc>
        <w:tc>
          <w:tcPr>
            <w:tcW w:w="1302" w:type="dxa"/>
            <w:tcBorders>
              <w:top w:val="nil"/>
              <w:left w:val="nil"/>
              <w:bottom w:val="single" w:color="auto" w:sz="8" w:space="0"/>
              <w:right w:val="nil"/>
            </w:tcBorders>
            <w:shd w:val="clear" w:color="auto" w:fill="auto"/>
            <w:noWrap/>
            <w:vAlign w:val="bottom"/>
            <w:hideMark/>
          </w:tcPr>
          <w:p w:rsidRPr="00387AB6" w:rsidR="00B74D39" w:rsidP="00573A19" w:rsidRDefault="00B74D39" w14:paraId="159A0613"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8" w:space="0"/>
              <w:right w:val="nil"/>
            </w:tcBorders>
            <w:shd w:val="clear" w:color="auto" w:fill="auto"/>
            <w:noWrap/>
            <w:vAlign w:val="bottom"/>
            <w:hideMark/>
          </w:tcPr>
          <w:p w:rsidRPr="00387AB6" w:rsidR="00B74D39" w:rsidP="00573A19" w:rsidRDefault="00B74D39" w14:paraId="50E7BEB9" w14:textId="77777777">
            <w:pPr>
              <w:rPr>
                <w:rFonts w:cs="Calibri"/>
                <w:color w:val="000000"/>
                <w:sz w:val="24"/>
                <w:szCs w:val="24"/>
              </w:rPr>
            </w:pPr>
            <w:r w:rsidRPr="00387AB6">
              <w:rPr>
                <w:rFonts w:cs="Calibri"/>
                <w:color w:val="000000"/>
                <w:sz w:val="24"/>
                <w:szCs w:val="24"/>
              </w:rPr>
              <w:t> </w:t>
            </w:r>
          </w:p>
        </w:tc>
        <w:tc>
          <w:tcPr>
            <w:tcW w:w="1302" w:type="dxa"/>
            <w:tcBorders>
              <w:top w:val="nil"/>
              <w:left w:val="double" w:color="auto" w:sz="6" w:space="0"/>
              <w:bottom w:val="single" w:color="auto" w:sz="8" w:space="0"/>
              <w:right w:val="single" w:color="auto" w:sz="4" w:space="0"/>
            </w:tcBorders>
            <w:shd w:val="clear" w:color="auto" w:fill="auto"/>
            <w:noWrap/>
            <w:vAlign w:val="bottom"/>
            <w:hideMark/>
          </w:tcPr>
          <w:p w:rsidRPr="00387AB6" w:rsidR="00B74D39" w:rsidP="00573A19" w:rsidRDefault="00B74D39" w14:paraId="658CA568"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8" w:space="0"/>
              <w:right w:val="double" w:color="auto" w:sz="6" w:space="0"/>
            </w:tcBorders>
            <w:shd w:val="clear" w:color="auto" w:fill="auto"/>
            <w:noWrap/>
            <w:vAlign w:val="bottom"/>
            <w:hideMark/>
          </w:tcPr>
          <w:p w:rsidRPr="00387AB6" w:rsidR="00B74D39" w:rsidP="00573A19" w:rsidRDefault="00B74D39" w14:paraId="5FB27DB1" w14:textId="77777777">
            <w:pPr>
              <w:rPr>
                <w:rFonts w:cs="Calibri"/>
                <w:color w:val="000000"/>
                <w:sz w:val="24"/>
                <w:szCs w:val="24"/>
              </w:rPr>
            </w:pPr>
            <w:r w:rsidRPr="00387AB6">
              <w:rPr>
                <w:rFonts w:cs="Calibri"/>
                <w:color w:val="000000"/>
                <w:sz w:val="24"/>
                <w:szCs w:val="24"/>
              </w:rPr>
              <w:t> </w:t>
            </w:r>
          </w:p>
        </w:tc>
        <w:tc>
          <w:tcPr>
            <w:tcW w:w="1302" w:type="dxa"/>
            <w:tcBorders>
              <w:top w:val="nil"/>
              <w:left w:val="nil"/>
              <w:bottom w:val="single" w:color="auto" w:sz="8" w:space="0"/>
              <w:right w:val="single" w:color="auto" w:sz="4" w:space="0"/>
            </w:tcBorders>
            <w:shd w:val="clear" w:color="auto" w:fill="auto"/>
            <w:noWrap/>
            <w:vAlign w:val="bottom"/>
            <w:hideMark/>
          </w:tcPr>
          <w:p w:rsidRPr="00387AB6" w:rsidR="00B74D39" w:rsidP="00573A19" w:rsidRDefault="00B74D39" w14:paraId="5D8CD341"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8" w:space="0"/>
              <w:right w:val="single" w:color="auto" w:sz="8" w:space="0"/>
            </w:tcBorders>
            <w:shd w:val="clear" w:color="auto" w:fill="auto"/>
            <w:noWrap/>
            <w:vAlign w:val="bottom"/>
            <w:hideMark/>
          </w:tcPr>
          <w:p w:rsidRPr="00387AB6" w:rsidR="00B74D39" w:rsidP="00573A19" w:rsidRDefault="00B74D39" w14:paraId="7E914A4A" w14:textId="77777777">
            <w:pPr>
              <w:rPr>
                <w:rFonts w:cs="Calibri"/>
                <w:color w:val="000000"/>
                <w:sz w:val="24"/>
                <w:szCs w:val="24"/>
              </w:rPr>
            </w:pPr>
            <w:r w:rsidRPr="00387AB6">
              <w:rPr>
                <w:rFonts w:cs="Calibri"/>
                <w:color w:val="000000"/>
                <w:sz w:val="24"/>
                <w:szCs w:val="24"/>
              </w:rPr>
              <w:t> </w:t>
            </w:r>
          </w:p>
        </w:tc>
      </w:tr>
    </w:tbl>
    <w:p w:rsidRPr="00387AB6" w:rsidR="001D4A1F" w:rsidP="00573A19" w:rsidRDefault="001D4A1F" w14:paraId="4FEDB885" w14:textId="6A073072">
      <w:pPr>
        <w:rPr>
          <w:sz w:val="24"/>
          <w:szCs w:val="24"/>
        </w:rPr>
      </w:pPr>
    </w:p>
    <w:p w:rsidRPr="00387AB6" w:rsidR="0081439C" w:rsidP="00573A19" w:rsidRDefault="0081439C" w14:paraId="30DA6A45" w14:textId="462B9F46">
      <w:pPr>
        <w:rPr>
          <w:sz w:val="24"/>
          <w:szCs w:val="24"/>
        </w:rPr>
      </w:pPr>
    </w:p>
    <w:p w:rsidRPr="00387AB6" w:rsidR="0081439C" w:rsidP="00573A19" w:rsidRDefault="0081439C" w14:paraId="62BF586F" w14:textId="77777777">
      <w:pPr>
        <w:rPr>
          <w:i/>
          <w:iCs/>
          <w:sz w:val="24"/>
          <w:szCs w:val="24"/>
        </w:rPr>
      </w:pPr>
    </w:p>
    <w:tbl>
      <w:tblPr>
        <w:tblW w:w="15942" w:type="dxa"/>
        <w:tblLook w:val="04A0" w:firstRow="1" w:lastRow="0" w:firstColumn="1" w:lastColumn="0" w:noHBand="0" w:noVBand="1"/>
      </w:tblPr>
      <w:tblGrid>
        <w:gridCol w:w="5750"/>
        <w:gridCol w:w="1446"/>
        <w:gridCol w:w="1403"/>
        <w:gridCol w:w="1443"/>
        <w:gridCol w:w="1403"/>
        <w:gridCol w:w="1443"/>
        <w:gridCol w:w="1403"/>
        <w:gridCol w:w="1443"/>
        <w:gridCol w:w="1403"/>
      </w:tblGrid>
      <w:tr w:rsidRPr="00387AB6" w:rsidR="00964BFC" w:rsidTr="00964BFC" w14:paraId="4E26134B" w14:textId="77777777">
        <w:trPr>
          <w:trHeight w:val="315"/>
        </w:trPr>
        <w:tc>
          <w:tcPr>
            <w:tcW w:w="8298" w:type="dxa"/>
            <w:gridSpan w:val="3"/>
            <w:tcBorders>
              <w:top w:val="single" w:color="auto" w:sz="4" w:space="0"/>
              <w:left w:val="single" w:color="auto" w:sz="4" w:space="0"/>
              <w:bottom w:val="single" w:color="auto" w:sz="4" w:space="0"/>
              <w:right w:val="single" w:color="auto" w:sz="4" w:space="0"/>
            </w:tcBorders>
            <w:shd w:val="clear" w:color="000000" w:fill="A9D08E"/>
            <w:noWrap/>
            <w:vAlign w:val="bottom"/>
            <w:hideMark/>
          </w:tcPr>
          <w:p w:rsidRPr="00387AB6" w:rsidR="0081439C" w:rsidP="00573A19" w:rsidRDefault="0081439C" w14:paraId="0B5E9FA3" w14:textId="77777777">
            <w:pPr>
              <w:rPr>
                <w:rFonts w:cs="Calibri"/>
                <w:b/>
                <w:bCs/>
                <w:color w:val="000000"/>
                <w:sz w:val="24"/>
                <w:szCs w:val="24"/>
              </w:rPr>
            </w:pPr>
            <w:r w:rsidRPr="00387AB6">
              <w:rPr>
                <w:rFonts w:cs="Calibri"/>
                <w:b/>
                <w:bCs/>
                <w:color w:val="000000"/>
                <w:sz w:val="24"/>
                <w:szCs w:val="24"/>
              </w:rPr>
              <w:lastRenderedPageBreak/>
              <w:t>Number of CARE Customers by Rate Schedule</w:t>
            </w:r>
          </w:p>
        </w:tc>
        <w:tc>
          <w:tcPr>
            <w:tcW w:w="1302" w:type="dxa"/>
            <w:tcBorders>
              <w:top w:val="single" w:color="auto" w:sz="4" w:space="0"/>
              <w:left w:val="single" w:color="auto" w:sz="4" w:space="0"/>
              <w:bottom w:val="single" w:color="auto" w:sz="4" w:space="0"/>
              <w:right w:val="single" w:color="auto" w:sz="4" w:space="0"/>
            </w:tcBorders>
            <w:shd w:val="clear" w:color="000000" w:fill="A9D08E"/>
            <w:noWrap/>
            <w:vAlign w:val="bottom"/>
            <w:hideMark/>
          </w:tcPr>
          <w:p w:rsidRPr="00387AB6" w:rsidR="0081439C" w:rsidP="00573A19" w:rsidRDefault="0081439C" w14:paraId="481EE317" w14:textId="77777777">
            <w:pPr>
              <w:rPr>
                <w:rFonts w:cs="Calibri"/>
                <w:b/>
                <w:bCs/>
                <w:color w:val="000000"/>
                <w:sz w:val="24"/>
                <w:szCs w:val="24"/>
              </w:rPr>
            </w:pPr>
            <w:r w:rsidRPr="00387AB6">
              <w:rPr>
                <w:rFonts w:cs="Calibri"/>
                <w:b/>
                <w:bCs/>
                <w:color w:val="000000"/>
                <w:sz w:val="24"/>
                <w:szCs w:val="24"/>
              </w:rPr>
              <w:t> </w:t>
            </w:r>
          </w:p>
        </w:tc>
        <w:tc>
          <w:tcPr>
            <w:tcW w:w="1246" w:type="dxa"/>
            <w:tcBorders>
              <w:top w:val="single" w:color="auto" w:sz="4" w:space="0"/>
              <w:left w:val="single" w:color="auto" w:sz="4" w:space="0"/>
              <w:bottom w:val="single" w:color="auto" w:sz="4" w:space="0"/>
              <w:right w:val="single" w:color="auto" w:sz="4" w:space="0"/>
            </w:tcBorders>
            <w:shd w:val="clear" w:color="000000" w:fill="A9D08E"/>
            <w:noWrap/>
            <w:vAlign w:val="bottom"/>
            <w:hideMark/>
          </w:tcPr>
          <w:p w:rsidRPr="00387AB6" w:rsidR="0081439C" w:rsidP="00573A19" w:rsidRDefault="0081439C" w14:paraId="63FAD001" w14:textId="77777777">
            <w:pPr>
              <w:rPr>
                <w:rFonts w:cs="Calibri"/>
                <w:b/>
                <w:bCs/>
                <w:color w:val="000000"/>
                <w:sz w:val="24"/>
                <w:szCs w:val="24"/>
              </w:rPr>
            </w:pPr>
            <w:r w:rsidRPr="00387AB6">
              <w:rPr>
                <w:rFonts w:cs="Calibri"/>
                <w:b/>
                <w:bCs/>
                <w:color w:val="000000"/>
                <w:sz w:val="24"/>
                <w:szCs w:val="24"/>
              </w:rPr>
              <w:t> </w:t>
            </w:r>
          </w:p>
        </w:tc>
        <w:tc>
          <w:tcPr>
            <w:tcW w:w="1302" w:type="dxa"/>
            <w:tcBorders>
              <w:top w:val="single" w:color="auto" w:sz="4" w:space="0"/>
              <w:left w:val="single" w:color="auto" w:sz="4" w:space="0"/>
              <w:bottom w:val="single" w:color="auto" w:sz="4" w:space="0"/>
              <w:right w:val="single" w:color="auto" w:sz="4" w:space="0"/>
            </w:tcBorders>
            <w:shd w:val="clear" w:color="000000" w:fill="A9D08E"/>
            <w:noWrap/>
            <w:vAlign w:val="bottom"/>
            <w:hideMark/>
          </w:tcPr>
          <w:p w:rsidRPr="00387AB6" w:rsidR="0081439C" w:rsidP="00573A19" w:rsidRDefault="0081439C" w14:paraId="280AB0B9" w14:textId="77777777">
            <w:pPr>
              <w:rPr>
                <w:rFonts w:cs="Calibri"/>
                <w:b/>
                <w:bCs/>
                <w:color w:val="000000"/>
                <w:sz w:val="24"/>
                <w:szCs w:val="24"/>
              </w:rPr>
            </w:pPr>
            <w:r w:rsidRPr="00387AB6">
              <w:rPr>
                <w:rFonts w:cs="Calibri"/>
                <w:b/>
                <w:bCs/>
                <w:color w:val="000000"/>
                <w:sz w:val="24"/>
                <w:szCs w:val="24"/>
              </w:rPr>
              <w:t> </w:t>
            </w:r>
          </w:p>
        </w:tc>
        <w:tc>
          <w:tcPr>
            <w:tcW w:w="1246" w:type="dxa"/>
            <w:tcBorders>
              <w:top w:val="single" w:color="auto" w:sz="4" w:space="0"/>
              <w:left w:val="single" w:color="auto" w:sz="4" w:space="0"/>
              <w:bottom w:val="single" w:color="auto" w:sz="4" w:space="0"/>
              <w:right w:val="single" w:color="auto" w:sz="4" w:space="0"/>
            </w:tcBorders>
            <w:shd w:val="clear" w:color="000000" w:fill="A9D08E"/>
            <w:noWrap/>
            <w:vAlign w:val="bottom"/>
            <w:hideMark/>
          </w:tcPr>
          <w:p w:rsidRPr="00387AB6" w:rsidR="0081439C" w:rsidP="00573A19" w:rsidRDefault="0081439C" w14:paraId="3D2A746F" w14:textId="77777777">
            <w:pPr>
              <w:rPr>
                <w:rFonts w:cs="Calibri"/>
                <w:b/>
                <w:bCs/>
                <w:color w:val="000000"/>
                <w:sz w:val="24"/>
                <w:szCs w:val="24"/>
              </w:rPr>
            </w:pPr>
            <w:r w:rsidRPr="00387AB6">
              <w:rPr>
                <w:rFonts w:cs="Calibri"/>
                <w:b/>
                <w:bCs/>
                <w:color w:val="000000"/>
                <w:sz w:val="24"/>
                <w:szCs w:val="24"/>
              </w:rPr>
              <w:t> </w:t>
            </w:r>
          </w:p>
        </w:tc>
        <w:tc>
          <w:tcPr>
            <w:tcW w:w="1302" w:type="dxa"/>
            <w:tcBorders>
              <w:top w:val="single" w:color="auto" w:sz="4" w:space="0"/>
              <w:left w:val="single" w:color="auto" w:sz="4" w:space="0"/>
              <w:bottom w:val="single" w:color="auto" w:sz="4" w:space="0"/>
              <w:right w:val="single" w:color="auto" w:sz="4" w:space="0"/>
            </w:tcBorders>
            <w:shd w:val="clear" w:color="000000" w:fill="A9D08E"/>
            <w:noWrap/>
            <w:vAlign w:val="bottom"/>
            <w:hideMark/>
          </w:tcPr>
          <w:p w:rsidRPr="00387AB6" w:rsidR="0081439C" w:rsidP="00573A19" w:rsidRDefault="0081439C" w14:paraId="20C1AE41" w14:textId="77777777">
            <w:pPr>
              <w:rPr>
                <w:rFonts w:cs="Calibri"/>
                <w:b/>
                <w:bCs/>
                <w:color w:val="000000"/>
                <w:sz w:val="24"/>
                <w:szCs w:val="24"/>
              </w:rPr>
            </w:pPr>
            <w:r w:rsidRPr="00387AB6">
              <w:rPr>
                <w:rFonts w:cs="Calibri"/>
                <w:b/>
                <w:bCs/>
                <w:color w:val="000000"/>
                <w:sz w:val="24"/>
                <w:szCs w:val="24"/>
              </w:rPr>
              <w:t> </w:t>
            </w:r>
          </w:p>
        </w:tc>
        <w:tc>
          <w:tcPr>
            <w:tcW w:w="1246" w:type="dxa"/>
            <w:tcBorders>
              <w:top w:val="single" w:color="auto" w:sz="4" w:space="0"/>
              <w:left w:val="single" w:color="auto" w:sz="4" w:space="0"/>
              <w:bottom w:val="single" w:color="auto" w:sz="4" w:space="0"/>
              <w:right w:val="single" w:color="auto" w:sz="4" w:space="0"/>
            </w:tcBorders>
            <w:shd w:val="clear" w:color="000000" w:fill="A9D08E"/>
            <w:noWrap/>
            <w:vAlign w:val="bottom"/>
            <w:hideMark/>
          </w:tcPr>
          <w:p w:rsidRPr="00387AB6" w:rsidR="0081439C" w:rsidP="00573A19" w:rsidRDefault="0081439C" w14:paraId="4146A49E" w14:textId="77777777">
            <w:pPr>
              <w:rPr>
                <w:rFonts w:cs="Calibri"/>
                <w:b/>
                <w:bCs/>
                <w:color w:val="000000"/>
                <w:sz w:val="24"/>
                <w:szCs w:val="24"/>
              </w:rPr>
            </w:pPr>
            <w:r w:rsidRPr="00387AB6">
              <w:rPr>
                <w:rFonts w:cs="Calibri"/>
                <w:b/>
                <w:bCs/>
                <w:color w:val="000000"/>
                <w:sz w:val="24"/>
                <w:szCs w:val="24"/>
              </w:rPr>
              <w:t> </w:t>
            </w:r>
          </w:p>
        </w:tc>
      </w:tr>
      <w:tr w:rsidRPr="00387AB6" w:rsidR="0081439C" w:rsidTr="00964BFC" w14:paraId="13E1364D" w14:textId="77777777">
        <w:trPr>
          <w:trHeight w:val="300"/>
        </w:trPr>
        <w:tc>
          <w:tcPr>
            <w:tcW w:w="5750" w:type="dxa"/>
            <w:tcBorders>
              <w:top w:val="single" w:color="auto" w:sz="4" w:space="0"/>
              <w:left w:val="single" w:color="auto" w:sz="8" w:space="0"/>
              <w:bottom w:val="single" w:color="auto" w:sz="4" w:space="0"/>
              <w:right w:val="nil"/>
            </w:tcBorders>
            <w:shd w:val="clear" w:color="auto" w:fill="auto"/>
            <w:noWrap/>
            <w:vAlign w:val="bottom"/>
            <w:hideMark/>
          </w:tcPr>
          <w:p w:rsidRPr="00387AB6" w:rsidR="0081439C" w:rsidP="00573A19" w:rsidRDefault="0081439C" w14:paraId="25BF128B" w14:textId="77777777">
            <w:pPr>
              <w:rPr>
                <w:rFonts w:cs="Calibri"/>
                <w:b/>
                <w:bCs/>
                <w:color w:val="000000"/>
                <w:sz w:val="24"/>
                <w:szCs w:val="24"/>
              </w:rPr>
            </w:pPr>
            <w:r w:rsidRPr="00387AB6">
              <w:rPr>
                <w:rFonts w:cs="Calibri"/>
                <w:b/>
                <w:bCs/>
                <w:color w:val="000000"/>
                <w:sz w:val="24"/>
                <w:szCs w:val="24"/>
              </w:rPr>
              <w:t xml:space="preserve">Climate Zone </w:t>
            </w:r>
            <w:r w:rsidRPr="00387AB6">
              <w:rPr>
                <w:rFonts w:ascii="Times New Roman" w:hAnsi="Times New Roman"/>
                <w:b/>
                <w:bCs/>
                <w:color w:val="000000"/>
                <w:sz w:val="24"/>
                <w:szCs w:val="24"/>
              </w:rPr>
              <w:t>→</w:t>
            </w:r>
          </w:p>
        </w:tc>
        <w:tc>
          <w:tcPr>
            <w:tcW w:w="10192" w:type="dxa"/>
            <w:gridSpan w:val="8"/>
            <w:tcBorders>
              <w:top w:val="single" w:color="auto" w:sz="4" w:space="0"/>
              <w:left w:val="single" w:color="auto" w:sz="8" w:space="0"/>
              <w:bottom w:val="nil"/>
              <w:right w:val="single" w:color="000000" w:sz="8" w:space="0"/>
            </w:tcBorders>
            <w:shd w:val="clear" w:color="auto" w:fill="auto"/>
            <w:noWrap/>
            <w:vAlign w:val="bottom"/>
            <w:hideMark/>
          </w:tcPr>
          <w:p w:rsidRPr="00387AB6" w:rsidR="0081439C" w:rsidP="00573A19" w:rsidRDefault="00964BFC" w14:paraId="2E37205C" w14:textId="452BB1DB">
            <w:pPr>
              <w:rPr>
                <w:rFonts w:cs="Calibri"/>
                <w:b/>
                <w:bCs/>
                <w:color w:val="000000"/>
                <w:sz w:val="24"/>
                <w:szCs w:val="24"/>
              </w:rPr>
            </w:pPr>
            <w:r w:rsidRPr="00387AB6">
              <w:rPr>
                <w:rFonts w:cs="Calibri"/>
                <w:b/>
                <w:bCs/>
                <w:color w:val="000000"/>
                <w:sz w:val="24"/>
                <w:szCs w:val="24"/>
              </w:rPr>
              <w:t>CZ [-] [Add Columns for CZs in your service territory]</w:t>
            </w:r>
          </w:p>
        </w:tc>
      </w:tr>
      <w:tr w:rsidRPr="00387AB6" w:rsidR="0081439C" w:rsidTr="00964BFC" w14:paraId="4C422F11" w14:textId="77777777">
        <w:trPr>
          <w:trHeight w:val="300"/>
        </w:trPr>
        <w:tc>
          <w:tcPr>
            <w:tcW w:w="5750" w:type="dxa"/>
            <w:tcBorders>
              <w:top w:val="nil"/>
              <w:left w:val="single" w:color="auto" w:sz="8" w:space="0"/>
              <w:bottom w:val="single" w:color="auto" w:sz="4" w:space="0"/>
              <w:right w:val="nil"/>
            </w:tcBorders>
            <w:shd w:val="clear" w:color="auto" w:fill="auto"/>
            <w:noWrap/>
            <w:vAlign w:val="bottom"/>
            <w:hideMark/>
          </w:tcPr>
          <w:p w:rsidRPr="00387AB6" w:rsidR="0081439C" w:rsidP="00573A19" w:rsidRDefault="0081439C" w14:paraId="41ECE963" w14:textId="77777777">
            <w:pPr>
              <w:rPr>
                <w:rFonts w:cs="Calibri"/>
                <w:i/>
                <w:iCs/>
                <w:color w:val="000000"/>
                <w:sz w:val="24"/>
                <w:szCs w:val="24"/>
              </w:rPr>
            </w:pPr>
            <w:r w:rsidRPr="00387AB6">
              <w:rPr>
                <w:rFonts w:cs="Calibri"/>
                <w:i/>
                <w:iCs/>
                <w:color w:val="000000"/>
                <w:sz w:val="24"/>
                <w:szCs w:val="24"/>
              </w:rPr>
              <w:t> </w:t>
            </w:r>
          </w:p>
        </w:tc>
        <w:tc>
          <w:tcPr>
            <w:tcW w:w="2548" w:type="dxa"/>
            <w:gridSpan w:val="2"/>
            <w:tcBorders>
              <w:top w:val="single" w:color="auto" w:sz="4" w:space="0"/>
              <w:left w:val="single" w:color="auto" w:sz="8" w:space="0"/>
              <w:bottom w:val="single" w:color="auto" w:sz="4" w:space="0"/>
              <w:right w:val="single" w:color="auto" w:sz="4" w:space="0"/>
            </w:tcBorders>
            <w:shd w:val="clear" w:color="auto" w:fill="auto"/>
            <w:noWrap/>
            <w:vAlign w:val="bottom"/>
            <w:hideMark/>
          </w:tcPr>
          <w:p w:rsidRPr="00387AB6" w:rsidR="0081439C" w:rsidP="00573A19" w:rsidRDefault="0081439C" w14:paraId="38C24465" w14:textId="77777777">
            <w:pPr>
              <w:rPr>
                <w:rFonts w:cs="Calibri"/>
                <w:i/>
                <w:iCs/>
                <w:color w:val="000000"/>
                <w:sz w:val="24"/>
                <w:szCs w:val="24"/>
              </w:rPr>
            </w:pPr>
            <w:r w:rsidRPr="00387AB6">
              <w:rPr>
                <w:rFonts w:cs="Calibri"/>
                <w:i/>
                <w:iCs/>
                <w:color w:val="000000"/>
                <w:sz w:val="24"/>
                <w:szCs w:val="24"/>
              </w:rPr>
              <w:t>All-Electric</w:t>
            </w:r>
          </w:p>
        </w:tc>
        <w:tc>
          <w:tcPr>
            <w:tcW w:w="2548" w:type="dxa"/>
            <w:gridSpan w:val="2"/>
            <w:tcBorders>
              <w:top w:val="single" w:color="auto" w:sz="4" w:space="0"/>
              <w:left w:val="nil"/>
              <w:bottom w:val="single" w:color="auto" w:sz="4" w:space="0"/>
              <w:right w:val="single" w:color="000000" w:sz="4" w:space="0"/>
            </w:tcBorders>
            <w:shd w:val="clear" w:color="auto" w:fill="auto"/>
            <w:noWrap/>
            <w:vAlign w:val="bottom"/>
            <w:hideMark/>
          </w:tcPr>
          <w:p w:rsidRPr="00387AB6" w:rsidR="0081439C" w:rsidP="00573A19" w:rsidRDefault="0081439C" w14:paraId="0FC6B0D5" w14:textId="77777777">
            <w:pPr>
              <w:rPr>
                <w:rFonts w:cs="Calibri"/>
                <w:i/>
                <w:iCs/>
                <w:color w:val="000000"/>
                <w:sz w:val="24"/>
                <w:szCs w:val="24"/>
              </w:rPr>
            </w:pPr>
            <w:r w:rsidRPr="00387AB6">
              <w:rPr>
                <w:rFonts w:cs="Calibri"/>
                <w:i/>
                <w:iCs/>
                <w:color w:val="000000"/>
                <w:sz w:val="24"/>
                <w:szCs w:val="24"/>
              </w:rPr>
              <w:t>Electric Space Heating</w:t>
            </w:r>
          </w:p>
        </w:tc>
        <w:tc>
          <w:tcPr>
            <w:tcW w:w="2548" w:type="dxa"/>
            <w:gridSpan w:val="2"/>
            <w:tcBorders>
              <w:top w:val="single" w:color="auto" w:sz="4" w:space="0"/>
              <w:left w:val="nil"/>
              <w:bottom w:val="single" w:color="auto" w:sz="4" w:space="0"/>
              <w:right w:val="single" w:color="auto" w:sz="4" w:space="0"/>
            </w:tcBorders>
            <w:shd w:val="clear" w:color="auto" w:fill="auto"/>
            <w:noWrap/>
            <w:vAlign w:val="bottom"/>
            <w:hideMark/>
          </w:tcPr>
          <w:p w:rsidRPr="00387AB6" w:rsidR="0081439C" w:rsidP="00573A19" w:rsidRDefault="0081439C" w14:paraId="547AA28F" w14:textId="77777777">
            <w:pPr>
              <w:rPr>
                <w:rFonts w:cs="Calibri"/>
                <w:i/>
                <w:iCs/>
                <w:color w:val="000000"/>
                <w:sz w:val="24"/>
                <w:szCs w:val="24"/>
              </w:rPr>
            </w:pPr>
            <w:r w:rsidRPr="00387AB6">
              <w:rPr>
                <w:rFonts w:cs="Calibri"/>
                <w:i/>
                <w:iCs/>
                <w:color w:val="000000"/>
                <w:sz w:val="24"/>
                <w:szCs w:val="24"/>
              </w:rPr>
              <w:t>Dual Fuel</w:t>
            </w:r>
          </w:p>
        </w:tc>
        <w:tc>
          <w:tcPr>
            <w:tcW w:w="2548" w:type="dxa"/>
            <w:gridSpan w:val="2"/>
            <w:tcBorders>
              <w:top w:val="single" w:color="auto" w:sz="4" w:space="0"/>
              <w:left w:val="nil"/>
              <w:bottom w:val="single" w:color="auto" w:sz="4" w:space="0"/>
              <w:right w:val="single" w:color="000000" w:sz="8" w:space="0"/>
            </w:tcBorders>
            <w:shd w:val="clear" w:color="auto" w:fill="auto"/>
            <w:noWrap/>
            <w:vAlign w:val="bottom"/>
            <w:hideMark/>
          </w:tcPr>
          <w:p w:rsidRPr="00387AB6" w:rsidR="0081439C" w:rsidP="00573A19" w:rsidRDefault="0081439C" w14:paraId="7FBB3737" w14:textId="77777777">
            <w:pPr>
              <w:rPr>
                <w:rFonts w:cs="Calibri"/>
                <w:i/>
                <w:iCs/>
                <w:color w:val="000000"/>
                <w:sz w:val="24"/>
                <w:szCs w:val="24"/>
              </w:rPr>
            </w:pPr>
            <w:r w:rsidRPr="00387AB6">
              <w:rPr>
                <w:rFonts w:cs="Calibri"/>
                <w:i/>
                <w:iCs/>
                <w:color w:val="000000"/>
                <w:sz w:val="24"/>
                <w:szCs w:val="24"/>
              </w:rPr>
              <w:t>Gas Only</w:t>
            </w:r>
          </w:p>
        </w:tc>
      </w:tr>
      <w:tr w:rsidRPr="00387AB6" w:rsidR="0081439C" w:rsidTr="00964BFC" w14:paraId="60E86C5C" w14:textId="77777777">
        <w:trPr>
          <w:trHeight w:val="300"/>
        </w:trPr>
        <w:tc>
          <w:tcPr>
            <w:tcW w:w="5750" w:type="dxa"/>
            <w:tcBorders>
              <w:top w:val="nil"/>
              <w:left w:val="single" w:color="auto" w:sz="8" w:space="0"/>
              <w:bottom w:val="nil"/>
              <w:right w:val="nil"/>
            </w:tcBorders>
            <w:shd w:val="clear" w:color="auto" w:fill="auto"/>
            <w:noWrap/>
            <w:vAlign w:val="bottom"/>
            <w:hideMark/>
          </w:tcPr>
          <w:p w:rsidRPr="00387AB6" w:rsidR="0081439C" w:rsidP="00573A19" w:rsidRDefault="0081439C" w14:paraId="22148335" w14:textId="77777777">
            <w:pPr>
              <w:rPr>
                <w:rFonts w:cs="Calibri"/>
                <w:b/>
                <w:bCs/>
                <w:color w:val="000000"/>
                <w:sz w:val="24"/>
                <w:szCs w:val="24"/>
              </w:rPr>
            </w:pPr>
            <w:r w:rsidRPr="00387AB6">
              <w:rPr>
                <w:rFonts w:cs="Calibri"/>
                <w:b/>
                <w:bCs/>
                <w:color w:val="000000"/>
                <w:sz w:val="24"/>
                <w:szCs w:val="24"/>
              </w:rPr>
              <w:t xml:space="preserve">Rate Schedule </w:t>
            </w:r>
            <w:r w:rsidRPr="00387AB6">
              <w:rPr>
                <w:rFonts w:ascii="Times New Roman" w:hAnsi="Times New Roman"/>
                <w:b/>
                <w:bCs/>
                <w:color w:val="000000"/>
                <w:sz w:val="24"/>
                <w:szCs w:val="24"/>
              </w:rPr>
              <w:t>↓</w:t>
            </w:r>
          </w:p>
        </w:tc>
        <w:tc>
          <w:tcPr>
            <w:tcW w:w="1302" w:type="dxa"/>
            <w:tcBorders>
              <w:top w:val="nil"/>
              <w:left w:val="single" w:color="auto" w:sz="8" w:space="0"/>
              <w:bottom w:val="nil"/>
              <w:right w:val="single" w:color="auto" w:sz="4" w:space="0"/>
            </w:tcBorders>
            <w:shd w:val="clear" w:color="auto" w:fill="auto"/>
            <w:noWrap/>
            <w:vAlign w:val="bottom"/>
            <w:hideMark/>
          </w:tcPr>
          <w:p w:rsidRPr="00387AB6" w:rsidR="0081439C" w:rsidP="00573A19" w:rsidRDefault="0081439C" w14:paraId="07FA4E8A" w14:textId="77777777">
            <w:pPr>
              <w:rPr>
                <w:rFonts w:cs="Calibri"/>
                <w:i/>
                <w:iCs/>
                <w:color w:val="000000"/>
                <w:sz w:val="24"/>
                <w:szCs w:val="24"/>
              </w:rPr>
            </w:pPr>
            <w:r w:rsidRPr="00387AB6">
              <w:rPr>
                <w:rFonts w:cs="Calibri"/>
                <w:i/>
                <w:iCs/>
                <w:color w:val="000000"/>
                <w:sz w:val="24"/>
                <w:szCs w:val="24"/>
              </w:rPr>
              <w:t>Singlefamily</w:t>
            </w:r>
          </w:p>
        </w:tc>
        <w:tc>
          <w:tcPr>
            <w:tcW w:w="1246" w:type="dxa"/>
            <w:tcBorders>
              <w:top w:val="nil"/>
              <w:left w:val="nil"/>
              <w:bottom w:val="single" w:color="auto" w:sz="4" w:space="0"/>
              <w:right w:val="nil"/>
            </w:tcBorders>
            <w:shd w:val="clear" w:color="auto" w:fill="auto"/>
            <w:noWrap/>
            <w:vAlign w:val="bottom"/>
            <w:hideMark/>
          </w:tcPr>
          <w:p w:rsidRPr="00387AB6" w:rsidR="0081439C" w:rsidP="00573A19" w:rsidRDefault="0081439C" w14:paraId="28A3C625" w14:textId="77777777">
            <w:pPr>
              <w:rPr>
                <w:rFonts w:cs="Calibri"/>
                <w:i/>
                <w:iCs/>
                <w:color w:val="000000"/>
                <w:sz w:val="24"/>
                <w:szCs w:val="24"/>
              </w:rPr>
            </w:pPr>
            <w:r w:rsidRPr="00387AB6">
              <w:rPr>
                <w:rFonts w:cs="Calibri"/>
                <w:i/>
                <w:iCs/>
                <w:color w:val="000000"/>
                <w:sz w:val="24"/>
                <w:szCs w:val="24"/>
              </w:rPr>
              <w:t>Multifamily</w:t>
            </w:r>
          </w:p>
        </w:tc>
        <w:tc>
          <w:tcPr>
            <w:tcW w:w="1302" w:type="dxa"/>
            <w:tcBorders>
              <w:top w:val="nil"/>
              <w:left w:val="single" w:color="auto" w:sz="4" w:space="0"/>
              <w:bottom w:val="single" w:color="auto" w:sz="4" w:space="0"/>
              <w:right w:val="single" w:color="auto" w:sz="4" w:space="0"/>
            </w:tcBorders>
            <w:shd w:val="clear" w:color="auto" w:fill="auto"/>
            <w:noWrap/>
            <w:vAlign w:val="bottom"/>
            <w:hideMark/>
          </w:tcPr>
          <w:p w:rsidRPr="00387AB6" w:rsidR="0081439C" w:rsidP="00573A19" w:rsidRDefault="0081439C" w14:paraId="2DF55442" w14:textId="77777777">
            <w:pPr>
              <w:rPr>
                <w:rFonts w:cs="Calibri"/>
                <w:i/>
                <w:iCs/>
                <w:color w:val="000000"/>
                <w:sz w:val="24"/>
                <w:szCs w:val="24"/>
              </w:rPr>
            </w:pPr>
            <w:r w:rsidRPr="00387AB6">
              <w:rPr>
                <w:rFonts w:cs="Calibri"/>
                <w:i/>
                <w:iCs/>
                <w:color w:val="000000"/>
                <w:sz w:val="24"/>
                <w:szCs w:val="24"/>
              </w:rPr>
              <w:t>Singlefamily</w:t>
            </w:r>
          </w:p>
        </w:tc>
        <w:tc>
          <w:tcPr>
            <w:tcW w:w="1246" w:type="dxa"/>
            <w:tcBorders>
              <w:top w:val="nil"/>
              <w:left w:val="nil"/>
              <w:bottom w:val="single" w:color="auto" w:sz="4" w:space="0"/>
              <w:right w:val="single" w:color="auto" w:sz="4" w:space="0"/>
            </w:tcBorders>
            <w:shd w:val="clear" w:color="auto" w:fill="auto"/>
            <w:noWrap/>
            <w:vAlign w:val="bottom"/>
            <w:hideMark/>
          </w:tcPr>
          <w:p w:rsidRPr="00387AB6" w:rsidR="0081439C" w:rsidP="00573A19" w:rsidRDefault="0081439C" w14:paraId="37AE2126" w14:textId="77777777">
            <w:pPr>
              <w:rPr>
                <w:rFonts w:cs="Calibri"/>
                <w:i/>
                <w:iCs/>
                <w:color w:val="000000"/>
                <w:sz w:val="24"/>
                <w:szCs w:val="24"/>
              </w:rPr>
            </w:pPr>
            <w:r w:rsidRPr="00387AB6">
              <w:rPr>
                <w:rFonts w:cs="Calibri"/>
                <w:i/>
                <w:iCs/>
                <w:color w:val="000000"/>
                <w:sz w:val="24"/>
                <w:szCs w:val="24"/>
              </w:rPr>
              <w:t>Multifamily</w:t>
            </w:r>
          </w:p>
        </w:tc>
        <w:tc>
          <w:tcPr>
            <w:tcW w:w="1302" w:type="dxa"/>
            <w:tcBorders>
              <w:top w:val="nil"/>
              <w:left w:val="nil"/>
              <w:bottom w:val="nil"/>
              <w:right w:val="single" w:color="auto" w:sz="4" w:space="0"/>
            </w:tcBorders>
            <w:shd w:val="clear" w:color="auto" w:fill="auto"/>
            <w:noWrap/>
            <w:vAlign w:val="bottom"/>
            <w:hideMark/>
          </w:tcPr>
          <w:p w:rsidRPr="00387AB6" w:rsidR="0081439C" w:rsidP="00573A19" w:rsidRDefault="0081439C" w14:paraId="2E3A78FC" w14:textId="77777777">
            <w:pPr>
              <w:rPr>
                <w:rFonts w:cs="Calibri"/>
                <w:i/>
                <w:iCs/>
                <w:color w:val="000000"/>
                <w:sz w:val="24"/>
                <w:szCs w:val="24"/>
              </w:rPr>
            </w:pPr>
            <w:r w:rsidRPr="00387AB6">
              <w:rPr>
                <w:rFonts w:cs="Calibri"/>
                <w:i/>
                <w:iCs/>
                <w:color w:val="000000"/>
                <w:sz w:val="24"/>
                <w:szCs w:val="24"/>
              </w:rPr>
              <w:t>Singlefamily</w:t>
            </w:r>
          </w:p>
        </w:tc>
        <w:tc>
          <w:tcPr>
            <w:tcW w:w="1246" w:type="dxa"/>
            <w:tcBorders>
              <w:top w:val="nil"/>
              <w:left w:val="nil"/>
              <w:bottom w:val="nil"/>
              <w:right w:val="double" w:color="auto" w:sz="6" w:space="0"/>
            </w:tcBorders>
            <w:shd w:val="clear" w:color="auto" w:fill="auto"/>
            <w:noWrap/>
            <w:vAlign w:val="bottom"/>
            <w:hideMark/>
          </w:tcPr>
          <w:p w:rsidRPr="00387AB6" w:rsidR="0081439C" w:rsidP="00573A19" w:rsidRDefault="0081439C" w14:paraId="14402EA5" w14:textId="77777777">
            <w:pPr>
              <w:rPr>
                <w:rFonts w:cs="Calibri"/>
                <w:i/>
                <w:iCs/>
                <w:color w:val="000000"/>
                <w:sz w:val="24"/>
                <w:szCs w:val="24"/>
              </w:rPr>
            </w:pPr>
            <w:r w:rsidRPr="00387AB6">
              <w:rPr>
                <w:rFonts w:cs="Calibri"/>
                <w:i/>
                <w:iCs/>
                <w:color w:val="000000"/>
                <w:sz w:val="24"/>
                <w:szCs w:val="24"/>
              </w:rPr>
              <w:t>Multifamily</w:t>
            </w:r>
          </w:p>
        </w:tc>
        <w:tc>
          <w:tcPr>
            <w:tcW w:w="1302" w:type="dxa"/>
            <w:tcBorders>
              <w:top w:val="nil"/>
              <w:left w:val="nil"/>
              <w:bottom w:val="single" w:color="auto" w:sz="4" w:space="0"/>
              <w:right w:val="single" w:color="auto" w:sz="4" w:space="0"/>
            </w:tcBorders>
            <w:shd w:val="clear" w:color="auto" w:fill="auto"/>
            <w:noWrap/>
            <w:vAlign w:val="bottom"/>
            <w:hideMark/>
          </w:tcPr>
          <w:p w:rsidRPr="00387AB6" w:rsidR="0081439C" w:rsidP="00573A19" w:rsidRDefault="0081439C" w14:paraId="7D4A3446" w14:textId="77777777">
            <w:pPr>
              <w:rPr>
                <w:rFonts w:cs="Calibri"/>
                <w:i/>
                <w:iCs/>
                <w:color w:val="000000"/>
                <w:sz w:val="24"/>
                <w:szCs w:val="24"/>
              </w:rPr>
            </w:pPr>
            <w:r w:rsidRPr="00387AB6">
              <w:rPr>
                <w:rFonts w:cs="Calibri"/>
                <w:i/>
                <w:iCs/>
                <w:color w:val="000000"/>
                <w:sz w:val="24"/>
                <w:szCs w:val="24"/>
              </w:rPr>
              <w:t>Singlefamily</w:t>
            </w:r>
          </w:p>
        </w:tc>
        <w:tc>
          <w:tcPr>
            <w:tcW w:w="1246" w:type="dxa"/>
            <w:tcBorders>
              <w:top w:val="nil"/>
              <w:left w:val="nil"/>
              <w:bottom w:val="single" w:color="auto" w:sz="4" w:space="0"/>
              <w:right w:val="single" w:color="auto" w:sz="8" w:space="0"/>
            </w:tcBorders>
            <w:shd w:val="clear" w:color="auto" w:fill="auto"/>
            <w:noWrap/>
            <w:vAlign w:val="bottom"/>
            <w:hideMark/>
          </w:tcPr>
          <w:p w:rsidRPr="00387AB6" w:rsidR="0081439C" w:rsidP="00573A19" w:rsidRDefault="0081439C" w14:paraId="22C45472" w14:textId="77777777">
            <w:pPr>
              <w:rPr>
                <w:rFonts w:cs="Calibri"/>
                <w:i/>
                <w:iCs/>
                <w:color w:val="000000"/>
                <w:sz w:val="24"/>
                <w:szCs w:val="24"/>
              </w:rPr>
            </w:pPr>
            <w:r w:rsidRPr="00387AB6">
              <w:rPr>
                <w:rFonts w:cs="Calibri"/>
                <w:i/>
                <w:iCs/>
                <w:color w:val="000000"/>
                <w:sz w:val="24"/>
                <w:szCs w:val="24"/>
              </w:rPr>
              <w:t>Multifamily</w:t>
            </w:r>
          </w:p>
        </w:tc>
      </w:tr>
      <w:tr w:rsidRPr="00387AB6" w:rsidR="00964BFC" w:rsidTr="00964BFC" w14:paraId="734FDF12" w14:textId="77777777">
        <w:trPr>
          <w:trHeight w:val="300"/>
        </w:trPr>
        <w:tc>
          <w:tcPr>
            <w:tcW w:w="5750" w:type="dxa"/>
            <w:tcBorders>
              <w:top w:val="single" w:color="auto" w:sz="4" w:space="0"/>
              <w:left w:val="single" w:color="auto" w:sz="8" w:space="0"/>
              <w:bottom w:val="single" w:color="auto" w:sz="4" w:space="0"/>
              <w:right w:val="nil"/>
            </w:tcBorders>
            <w:shd w:val="clear" w:color="000000" w:fill="D0CECE"/>
            <w:noWrap/>
            <w:vAlign w:val="bottom"/>
            <w:hideMark/>
          </w:tcPr>
          <w:p w:rsidRPr="00387AB6" w:rsidR="0081439C" w:rsidP="00573A19" w:rsidRDefault="0081439C" w14:paraId="4F91E22F" w14:textId="77777777">
            <w:pPr>
              <w:rPr>
                <w:rFonts w:cs="Calibri"/>
                <w:i/>
                <w:iCs/>
                <w:color w:val="000000"/>
                <w:sz w:val="24"/>
                <w:szCs w:val="24"/>
              </w:rPr>
            </w:pPr>
            <w:r w:rsidRPr="00387AB6">
              <w:rPr>
                <w:rFonts w:cs="Calibri"/>
                <w:i/>
                <w:iCs/>
                <w:color w:val="000000"/>
                <w:sz w:val="24"/>
                <w:szCs w:val="24"/>
              </w:rPr>
              <w:t>Non-TOU rates</w:t>
            </w:r>
          </w:p>
        </w:tc>
        <w:tc>
          <w:tcPr>
            <w:tcW w:w="1302" w:type="dxa"/>
            <w:tcBorders>
              <w:top w:val="single" w:color="auto" w:sz="4" w:space="0"/>
              <w:left w:val="single" w:color="auto" w:sz="8" w:space="0"/>
              <w:bottom w:val="single" w:color="auto" w:sz="4" w:space="0"/>
              <w:right w:val="nil"/>
            </w:tcBorders>
            <w:shd w:val="clear" w:color="000000" w:fill="D0CECE"/>
            <w:noWrap/>
            <w:vAlign w:val="bottom"/>
            <w:hideMark/>
          </w:tcPr>
          <w:p w:rsidRPr="00387AB6" w:rsidR="0081439C" w:rsidP="00573A19" w:rsidRDefault="0081439C" w14:paraId="2A9EF9F8" w14:textId="77777777">
            <w:pPr>
              <w:rPr>
                <w:rFonts w:cs="Calibri"/>
                <w:i/>
                <w:iCs/>
                <w:color w:val="000000"/>
                <w:sz w:val="24"/>
                <w:szCs w:val="24"/>
              </w:rPr>
            </w:pPr>
            <w:r w:rsidRPr="00387AB6">
              <w:rPr>
                <w:rFonts w:cs="Calibri"/>
                <w:i/>
                <w:iCs/>
                <w:color w:val="000000"/>
                <w:sz w:val="24"/>
                <w:szCs w:val="24"/>
              </w:rPr>
              <w:t> </w:t>
            </w:r>
          </w:p>
        </w:tc>
        <w:tc>
          <w:tcPr>
            <w:tcW w:w="1246" w:type="dxa"/>
            <w:tcBorders>
              <w:top w:val="nil"/>
              <w:left w:val="nil"/>
              <w:bottom w:val="single" w:color="auto" w:sz="4" w:space="0"/>
              <w:right w:val="nil"/>
            </w:tcBorders>
            <w:shd w:val="clear" w:color="000000" w:fill="D0CECE"/>
            <w:noWrap/>
            <w:vAlign w:val="bottom"/>
            <w:hideMark/>
          </w:tcPr>
          <w:p w:rsidRPr="00387AB6" w:rsidR="0081439C" w:rsidP="00573A19" w:rsidRDefault="0081439C" w14:paraId="2FE87137" w14:textId="77777777">
            <w:pPr>
              <w:rPr>
                <w:rFonts w:cs="Calibri"/>
                <w:i/>
                <w:iCs/>
                <w:color w:val="000000"/>
                <w:sz w:val="24"/>
                <w:szCs w:val="24"/>
              </w:rPr>
            </w:pPr>
            <w:r w:rsidRPr="00387AB6">
              <w:rPr>
                <w:rFonts w:cs="Calibri"/>
                <w:i/>
                <w:iCs/>
                <w:color w:val="000000"/>
                <w:sz w:val="24"/>
                <w:szCs w:val="24"/>
              </w:rPr>
              <w:t> </w:t>
            </w:r>
          </w:p>
        </w:tc>
        <w:tc>
          <w:tcPr>
            <w:tcW w:w="1302" w:type="dxa"/>
            <w:tcBorders>
              <w:top w:val="nil"/>
              <w:left w:val="nil"/>
              <w:bottom w:val="single" w:color="auto" w:sz="4" w:space="0"/>
              <w:right w:val="nil"/>
            </w:tcBorders>
            <w:shd w:val="clear" w:color="000000" w:fill="D0CECE"/>
            <w:noWrap/>
            <w:vAlign w:val="bottom"/>
            <w:hideMark/>
          </w:tcPr>
          <w:p w:rsidRPr="00387AB6" w:rsidR="0081439C" w:rsidP="00573A19" w:rsidRDefault="0081439C" w14:paraId="034C27D2" w14:textId="77777777">
            <w:pPr>
              <w:rPr>
                <w:rFonts w:cs="Calibri"/>
                <w:i/>
                <w:iCs/>
                <w:color w:val="000000"/>
                <w:sz w:val="24"/>
                <w:szCs w:val="24"/>
              </w:rPr>
            </w:pPr>
            <w:r w:rsidRPr="00387AB6">
              <w:rPr>
                <w:rFonts w:cs="Calibri"/>
                <w:i/>
                <w:iCs/>
                <w:color w:val="000000"/>
                <w:sz w:val="24"/>
                <w:szCs w:val="24"/>
              </w:rPr>
              <w:t> </w:t>
            </w:r>
          </w:p>
        </w:tc>
        <w:tc>
          <w:tcPr>
            <w:tcW w:w="1246" w:type="dxa"/>
            <w:tcBorders>
              <w:top w:val="nil"/>
              <w:left w:val="nil"/>
              <w:bottom w:val="single" w:color="auto" w:sz="4" w:space="0"/>
              <w:right w:val="nil"/>
            </w:tcBorders>
            <w:shd w:val="clear" w:color="000000" w:fill="D0CECE"/>
            <w:noWrap/>
            <w:vAlign w:val="bottom"/>
            <w:hideMark/>
          </w:tcPr>
          <w:p w:rsidRPr="00387AB6" w:rsidR="0081439C" w:rsidP="00573A19" w:rsidRDefault="0081439C" w14:paraId="1BA058CA" w14:textId="77777777">
            <w:pPr>
              <w:rPr>
                <w:rFonts w:cs="Calibri"/>
                <w:i/>
                <w:iCs/>
                <w:color w:val="000000"/>
                <w:sz w:val="24"/>
                <w:szCs w:val="24"/>
              </w:rPr>
            </w:pPr>
            <w:r w:rsidRPr="00387AB6">
              <w:rPr>
                <w:rFonts w:cs="Calibri"/>
                <w:i/>
                <w:iCs/>
                <w:color w:val="000000"/>
                <w:sz w:val="24"/>
                <w:szCs w:val="24"/>
              </w:rPr>
              <w:t> </w:t>
            </w:r>
          </w:p>
        </w:tc>
        <w:tc>
          <w:tcPr>
            <w:tcW w:w="1302" w:type="dxa"/>
            <w:tcBorders>
              <w:top w:val="single" w:color="auto" w:sz="4" w:space="0"/>
              <w:left w:val="nil"/>
              <w:bottom w:val="single" w:color="auto" w:sz="4" w:space="0"/>
              <w:right w:val="nil"/>
            </w:tcBorders>
            <w:shd w:val="clear" w:color="000000" w:fill="D0CECE"/>
            <w:noWrap/>
            <w:vAlign w:val="bottom"/>
            <w:hideMark/>
          </w:tcPr>
          <w:p w:rsidRPr="00387AB6" w:rsidR="0081439C" w:rsidP="00573A19" w:rsidRDefault="0081439C" w14:paraId="717B0B62" w14:textId="77777777">
            <w:pPr>
              <w:rPr>
                <w:rFonts w:cs="Calibri"/>
                <w:i/>
                <w:iCs/>
                <w:color w:val="000000"/>
                <w:sz w:val="24"/>
                <w:szCs w:val="24"/>
              </w:rPr>
            </w:pPr>
            <w:r w:rsidRPr="00387AB6">
              <w:rPr>
                <w:rFonts w:cs="Calibri"/>
                <w:i/>
                <w:iCs/>
                <w:color w:val="000000"/>
                <w:sz w:val="24"/>
                <w:szCs w:val="24"/>
              </w:rPr>
              <w:t> </w:t>
            </w:r>
          </w:p>
        </w:tc>
        <w:tc>
          <w:tcPr>
            <w:tcW w:w="1246" w:type="dxa"/>
            <w:tcBorders>
              <w:top w:val="single" w:color="auto" w:sz="4" w:space="0"/>
              <w:left w:val="nil"/>
              <w:bottom w:val="single" w:color="auto" w:sz="4" w:space="0"/>
              <w:right w:val="nil"/>
            </w:tcBorders>
            <w:shd w:val="clear" w:color="000000" w:fill="D0CECE"/>
            <w:noWrap/>
            <w:vAlign w:val="bottom"/>
            <w:hideMark/>
          </w:tcPr>
          <w:p w:rsidRPr="00387AB6" w:rsidR="0081439C" w:rsidP="00573A19" w:rsidRDefault="0081439C" w14:paraId="1870A2D1" w14:textId="77777777">
            <w:pPr>
              <w:rPr>
                <w:rFonts w:cs="Calibri"/>
                <w:i/>
                <w:iCs/>
                <w:color w:val="000000"/>
                <w:sz w:val="24"/>
                <w:szCs w:val="24"/>
              </w:rPr>
            </w:pPr>
            <w:r w:rsidRPr="00387AB6">
              <w:rPr>
                <w:rFonts w:cs="Calibri"/>
                <w:i/>
                <w:iCs/>
                <w:color w:val="000000"/>
                <w:sz w:val="24"/>
                <w:szCs w:val="24"/>
              </w:rPr>
              <w:t> </w:t>
            </w:r>
          </w:p>
        </w:tc>
        <w:tc>
          <w:tcPr>
            <w:tcW w:w="1302" w:type="dxa"/>
            <w:tcBorders>
              <w:top w:val="nil"/>
              <w:left w:val="nil"/>
              <w:bottom w:val="single" w:color="auto" w:sz="4" w:space="0"/>
              <w:right w:val="nil"/>
            </w:tcBorders>
            <w:shd w:val="clear" w:color="000000" w:fill="D0CECE"/>
            <w:noWrap/>
            <w:vAlign w:val="bottom"/>
            <w:hideMark/>
          </w:tcPr>
          <w:p w:rsidRPr="00387AB6" w:rsidR="0081439C" w:rsidP="00573A19" w:rsidRDefault="0081439C" w14:paraId="3422FB47" w14:textId="77777777">
            <w:pPr>
              <w:rPr>
                <w:rFonts w:cs="Calibri"/>
                <w:i/>
                <w:iCs/>
                <w:color w:val="000000"/>
                <w:sz w:val="24"/>
                <w:szCs w:val="24"/>
              </w:rPr>
            </w:pPr>
            <w:r w:rsidRPr="00387AB6">
              <w:rPr>
                <w:rFonts w:cs="Calibri"/>
                <w:i/>
                <w:iCs/>
                <w:color w:val="000000"/>
                <w:sz w:val="24"/>
                <w:szCs w:val="24"/>
              </w:rPr>
              <w:t> </w:t>
            </w:r>
          </w:p>
        </w:tc>
        <w:tc>
          <w:tcPr>
            <w:tcW w:w="1246" w:type="dxa"/>
            <w:tcBorders>
              <w:top w:val="nil"/>
              <w:left w:val="nil"/>
              <w:bottom w:val="single" w:color="auto" w:sz="4" w:space="0"/>
              <w:right w:val="single" w:color="auto" w:sz="8" w:space="0"/>
            </w:tcBorders>
            <w:shd w:val="clear" w:color="000000" w:fill="D0CECE"/>
            <w:noWrap/>
            <w:vAlign w:val="bottom"/>
            <w:hideMark/>
          </w:tcPr>
          <w:p w:rsidRPr="00387AB6" w:rsidR="0081439C" w:rsidP="00573A19" w:rsidRDefault="0081439C" w14:paraId="3D0E93FB" w14:textId="77777777">
            <w:pPr>
              <w:rPr>
                <w:rFonts w:cs="Calibri"/>
                <w:i/>
                <w:iCs/>
                <w:color w:val="000000"/>
                <w:sz w:val="24"/>
                <w:szCs w:val="24"/>
              </w:rPr>
            </w:pPr>
            <w:r w:rsidRPr="00387AB6">
              <w:rPr>
                <w:rFonts w:cs="Calibri"/>
                <w:i/>
                <w:iCs/>
                <w:color w:val="000000"/>
                <w:sz w:val="24"/>
                <w:szCs w:val="24"/>
              </w:rPr>
              <w:t> </w:t>
            </w:r>
          </w:p>
        </w:tc>
      </w:tr>
      <w:tr w:rsidRPr="00387AB6" w:rsidR="0081439C" w:rsidTr="00964BFC" w14:paraId="02EFEE09" w14:textId="77777777">
        <w:trPr>
          <w:trHeight w:val="600"/>
        </w:trPr>
        <w:tc>
          <w:tcPr>
            <w:tcW w:w="5750" w:type="dxa"/>
            <w:tcBorders>
              <w:top w:val="nil"/>
              <w:left w:val="single" w:color="auto" w:sz="8" w:space="0"/>
              <w:bottom w:val="single" w:color="auto" w:sz="4" w:space="0"/>
              <w:right w:val="nil"/>
            </w:tcBorders>
            <w:shd w:val="clear" w:color="auto" w:fill="auto"/>
            <w:noWrap/>
            <w:vAlign w:val="bottom"/>
            <w:hideMark/>
          </w:tcPr>
          <w:p w:rsidRPr="00387AB6" w:rsidR="0081439C" w:rsidP="00573A19" w:rsidRDefault="0081439C" w14:paraId="5A2D9C0A" w14:textId="77777777">
            <w:pPr>
              <w:rPr>
                <w:rFonts w:cs="Calibri"/>
                <w:color w:val="000000"/>
                <w:sz w:val="24"/>
                <w:szCs w:val="24"/>
              </w:rPr>
            </w:pPr>
            <w:r w:rsidRPr="00387AB6">
              <w:rPr>
                <w:rFonts w:cs="Calibri"/>
                <w:color w:val="000000"/>
                <w:sz w:val="24"/>
                <w:szCs w:val="24"/>
              </w:rPr>
              <w:t>E.g. E-1</w:t>
            </w:r>
          </w:p>
        </w:tc>
        <w:tc>
          <w:tcPr>
            <w:tcW w:w="1302" w:type="dxa"/>
            <w:tcBorders>
              <w:top w:val="nil"/>
              <w:left w:val="single" w:color="auto" w:sz="8" w:space="0"/>
              <w:bottom w:val="single" w:color="auto" w:sz="4" w:space="0"/>
              <w:right w:val="single" w:color="auto" w:sz="4" w:space="0"/>
            </w:tcBorders>
            <w:shd w:val="clear" w:color="auto" w:fill="auto"/>
            <w:vAlign w:val="bottom"/>
            <w:hideMark/>
          </w:tcPr>
          <w:p w:rsidRPr="00387AB6" w:rsidR="0081439C" w:rsidP="00573A19" w:rsidRDefault="0081439C" w14:paraId="22C8180E" w14:textId="77777777">
            <w:pPr>
              <w:rPr>
                <w:rFonts w:cs="Calibri"/>
                <w:color w:val="000000"/>
                <w:sz w:val="24"/>
                <w:szCs w:val="24"/>
              </w:rPr>
            </w:pPr>
            <w:r w:rsidRPr="00387AB6">
              <w:rPr>
                <w:rFonts w:cs="Calibri"/>
                <w:color w:val="000000"/>
                <w:sz w:val="24"/>
                <w:szCs w:val="24"/>
              </w:rPr>
              <w:t>[# of Customers]</w:t>
            </w:r>
          </w:p>
        </w:tc>
        <w:tc>
          <w:tcPr>
            <w:tcW w:w="1246" w:type="dxa"/>
            <w:tcBorders>
              <w:top w:val="nil"/>
              <w:left w:val="nil"/>
              <w:bottom w:val="single" w:color="auto" w:sz="4" w:space="0"/>
              <w:right w:val="double" w:color="auto" w:sz="6" w:space="0"/>
            </w:tcBorders>
            <w:shd w:val="clear" w:color="auto" w:fill="auto"/>
            <w:noWrap/>
            <w:vAlign w:val="bottom"/>
            <w:hideMark/>
          </w:tcPr>
          <w:p w:rsidRPr="00387AB6" w:rsidR="0081439C" w:rsidP="00573A19" w:rsidRDefault="0081439C" w14:paraId="714FA48E" w14:textId="77777777">
            <w:pPr>
              <w:rPr>
                <w:rFonts w:cs="Calibri"/>
                <w:color w:val="000000"/>
                <w:sz w:val="24"/>
                <w:szCs w:val="24"/>
              </w:rPr>
            </w:pPr>
            <w:r w:rsidRPr="00387AB6">
              <w:rPr>
                <w:rFonts w:cs="Calibri"/>
                <w:color w:val="000000"/>
                <w:sz w:val="24"/>
                <w:szCs w:val="24"/>
              </w:rPr>
              <w:t> </w:t>
            </w:r>
          </w:p>
        </w:tc>
        <w:tc>
          <w:tcPr>
            <w:tcW w:w="1302" w:type="dxa"/>
            <w:tcBorders>
              <w:top w:val="nil"/>
              <w:left w:val="nil"/>
              <w:bottom w:val="single" w:color="auto" w:sz="4" w:space="0"/>
              <w:right w:val="nil"/>
            </w:tcBorders>
            <w:shd w:val="clear" w:color="auto" w:fill="auto"/>
            <w:noWrap/>
            <w:vAlign w:val="bottom"/>
            <w:hideMark/>
          </w:tcPr>
          <w:p w:rsidRPr="00387AB6" w:rsidR="0081439C" w:rsidP="00573A19" w:rsidRDefault="0081439C" w14:paraId="1768C2C4"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4" w:space="0"/>
              <w:right w:val="nil"/>
            </w:tcBorders>
            <w:shd w:val="clear" w:color="auto" w:fill="auto"/>
            <w:noWrap/>
            <w:vAlign w:val="bottom"/>
            <w:hideMark/>
          </w:tcPr>
          <w:p w:rsidRPr="00387AB6" w:rsidR="0081439C" w:rsidP="00573A19" w:rsidRDefault="0081439C" w14:paraId="29049153" w14:textId="77777777">
            <w:pPr>
              <w:rPr>
                <w:rFonts w:cs="Calibri"/>
                <w:color w:val="000000"/>
                <w:sz w:val="24"/>
                <w:szCs w:val="24"/>
              </w:rPr>
            </w:pPr>
            <w:r w:rsidRPr="00387AB6">
              <w:rPr>
                <w:rFonts w:cs="Calibri"/>
                <w:color w:val="000000"/>
                <w:sz w:val="24"/>
                <w:szCs w:val="24"/>
              </w:rPr>
              <w:t> </w:t>
            </w:r>
          </w:p>
        </w:tc>
        <w:tc>
          <w:tcPr>
            <w:tcW w:w="1302" w:type="dxa"/>
            <w:tcBorders>
              <w:top w:val="nil"/>
              <w:left w:val="double" w:color="auto" w:sz="6" w:space="0"/>
              <w:bottom w:val="single" w:color="auto" w:sz="4" w:space="0"/>
              <w:right w:val="single" w:color="auto" w:sz="4" w:space="0"/>
            </w:tcBorders>
            <w:shd w:val="clear" w:color="auto" w:fill="auto"/>
            <w:noWrap/>
            <w:vAlign w:val="bottom"/>
            <w:hideMark/>
          </w:tcPr>
          <w:p w:rsidRPr="00387AB6" w:rsidR="0081439C" w:rsidP="00573A19" w:rsidRDefault="0081439C" w14:paraId="2F47F8DE"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4" w:space="0"/>
              <w:right w:val="double" w:color="auto" w:sz="6" w:space="0"/>
            </w:tcBorders>
            <w:shd w:val="clear" w:color="auto" w:fill="auto"/>
            <w:noWrap/>
            <w:vAlign w:val="bottom"/>
            <w:hideMark/>
          </w:tcPr>
          <w:p w:rsidRPr="00387AB6" w:rsidR="0081439C" w:rsidP="00573A19" w:rsidRDefault="0081439C" w14:paraId="77231CB6" w14:textId="77777777">
            <w:pPr>
              <w:rPr>
                <w:rFonts w:cs="Calibri"/>
                <w:color w:val="000000"/>
                <w:sz w:val="24"/>
                <w:szCs w:val="24"/>
              </w:rPr>
            </w:pPr>
            <w:r w:rsidRPr="00387AB6">
              <w:rPr>
                <w:rFonts w:cs="Calibri"/>
                <w:color w:val="000000"/>
                <w:sz w:val="24"/>
                <w:szCs w:val="24"/>
              </w:rPr>
              <w:t> </w:t>
            </w:r>
          </w:p>
        </w:tc>
        <w:tc>
          <w:tcPr>
            <w:tcW w:w="1302" w:type="dxa"/>
            <w:tcBorders>
              <w:top w:val="nil"/>
              <w:left w:val="nil"/>
              <w:bottom w:val="single" w:color="auto" w:sz="4" w:space="0"/>
              <w:right w:val="single" w:color="auto" w:sz="4" w:space="0"/>
            </w:tcBorders>
            <w:shd w:val="clear" w:color="auto" w:fill="auto"/>
            <w:noWrap/>
            <w:vAlign w:val="bottom"/>
            <w:hideMark/>
          </w:tcPr>
          <w:p w:rsidRPr="00387AB6" w:rsidR="0081439C" w:rsidP="00573A19" w:rsidRDefault="0081439C" w14:paraId="19115793"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4" w:space="0"/>
              <w:right w:val="single" w:color="auto" w:sz="8" w:space="0"/>
            </w:tcBorders>
            <w:shd w:val="clear" w:color="auto" w:fill="auto"/>
            <w:noWrap/>
            <w:vAlign w:val="bottom"/>
            <w:hideMark/>
          </w:tcPr>
          <w:p w:rsidRPr="00387AB6" w:rsidR="0081439C" w:rsidP="00573A19" w:rsidRDefault="0081439C" w14:paraId="495953C8" w14:textId="77777777">
            <w:pPr>
              <w:rPr>
                <w:rFonts w:cs="Calibri"/>
                <w:color w:val="000000"/>
                <w:sz w:val="24"/>
                <w:szCs w:val="24"/>
              </w:rPr>
            </w:pPr>
            <w:r w:rsidRPr="00387AB6">
              <w:rPr>
                <w:rFonts w:cs="Calibri"/>
                <w:color w:val="000000"/>
                <w:sz w:val="24"/>
                <w:szCs w:val="24"/>
              </w:rPr>
              <w:t> </w:t>
            </w:r>
          </w:p>
        </w:tc>
      </w:tr>
      <w:tr w:rsidRPr="00387AB6" w:rsidR="0081439C" w:rsidTr="00964BFC" w14:paraId="2C6F74A8" w14:textId="77777777">
        <w:trPr>
          <w:trHeight w:val="300"/>
        </w:trPr>
        <w:tc>
          <w:tcPr>
            <w:tcW w:w="5750" w:type="dxa"/>
            <w:tcBorders>
              <w:top w:val="nil"/>
              <w:left w:val="single" w:color="auto" w:sz="8" w:space="0"/>
              <w:bottom w:val="single" w:color="auto" w:sz="4" w:space="0"/>
              <w:right w:val="nil"/>
            </w:tcBorders>
            <w:shd w:val="clear" w:color="auto" w:fill="auto"/>
            <w:noWrap/>
            <w:vAlign w:val="bottom"/>
            <w:hideMark/>
          </w:tcPr>
          <w:p w:rsidRPr="00387AB6" w:rsidR="0081439C" w:rsidP="00573A19" w:rsidRDefault="0081439C" w14:paraId="498B8298" w14:textId="77777777">
            <w:pPr>
              <w:rPr>
                <w:rFonts w:cs="Calibri"/>
                <w:color w:val="000000"/>
                <w:sz w:val="24"/>
                <w:szCs w:val="24"/>
              </w:rPr>
            </w:pPr>
            <w:r w:rsidRPr="00387AB6">
              <w:rPr>
                <w:rFonts w:cs="Calibri"/>
                <w:color w:val="000000"/>
                <w:sz w:val="24"/>
                <w:szCs w:val="24"/>
              </w:rPr>
              <w:t>[Add rows as needed]</w:t>
            </w:r>
          </w:p>
        </w:tc>
        <w:tc>
          <w:tcPr>
            <w:tcW w:w="1302" w:type="dxa"/>
            <w:tcBorders>
              <w:top w:val="nil"/>
              <w:left w:val="single" w:color="auto" w:sz="8" w:space="0"/>
              <w:bottom w:val="single" w:color="auto" w:sz="4" w:space="0"/>
              <w:right w:val="single" w:color="auto" w:sz="4" w:space="0"/>
            </w:tcBorders>
            <w:shd w:val="clear" w:color="auto" w:fill="auto"/>
            <w:vAlign w:val="bottom"/>
            <w:hideMark/>
          </w:tcPr>
          <w:p w:rsidRPr="00387AB6" w:rsidR="0081439C" w:rsidP="00573A19" w:rsidRDefault="0081439C" w14:paraId="081DEB53"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4" w:space="0"/>
              <w:right w:val="double" w:color="auto" w:sz="6" w:space="0"/>
            </w:tcBorders>
            <w:shd w:val="clear" w:color="auto" w:fill="auto"/>
            <w:noWrap/>
            <w:vAlign w:val="bottom"/>
            <w:hideMark/>
          </w:tcPr>
          <w:p w:rsidRPr="00387AB6" w:rsidR="0081439C" w:rsidP="00573A19" w:rsidRDefault="0081439C" w14:paraId="7ED97B0F" w14:textId="77777777">
            <w:pPr>
              <w:rPr>
                <w:rFonts w:cs="Calibri"/>
                <w:color w:val="000000"/>
                <w:sz w:val="24"/>
                <w:szCs w:val="24"/>
              </w:rPr>
            </w:pPr>
            <w:r w:rsidRPr="00387AB6">
              <w:rPr>
                <w:rFonts w:cs="Calibri"/>
                <w:color w:val="000000"/>
                <w:sz w:val="24"/>
                <w:szCs w:val="24"/>
              </w:rPr>
              <w:t> </w:t>
            </w:r>
          </w:p>
        </w:tc>
        <w:tc>
          <w:tcPr>
            <w:tcW w:w="1302" w:type="dxa"/>
            <w:tcBorders>
              <w:top w:val="nil"/>
              <w:left w:val="nil"/>
              <w:bottom w:val="single" w:color="auto" w:sz="4" w:space="0"/>
              <w:right w:val="nil"/>
            </w:tcBorders>
            <w:shd w:val="clear" w:color="auto" w:fill="auto"/>
            <w:noWrap/>
            <w:vAlign w:val="bottom"/>
            <w:hideMark/>
          </w:tcPr>
          <w:p w:rsidRPr="00387AB6" w:rsidR="0081439C" w:rsidP="00573A19" w:rsidRDefault="0081439C" w14:paraId="7852D938"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4" w:space="0"/>
              <w:right w:val="nil"/>
            </w:tcBorders>
            <w:shd w:val="clear" w:color="auto" w:fill="auto"/>
            <w:noWrap/>
            <w:vAlign w:val="bottom"/>
            <w:hideMark/>
          </w:tcPr>
          <w:p w:rsidRPr="00387AB6" w:rsidR="0081439C" w:rsidP="00573A19" w:rsidRDefault="0081439C" w14:paraId="1D643368" w14:textId="77777777">
            <w:pPr>
              <w:rPr>
                <w:rFonts w:cs="Calibri"/>
                <w:color w:val="000000"/>
                <w:sz w:val="24"/>
                <w:szCs w:val="24"/>
              </w:rPr>
            </w:pPr>
            <w:r w:rsidRPr="00387AB6">
              <w:rPr>
                <w:rFonts w:cs="Calibri"/>
                <w:color w:val="000000"/>
                <w:sz w:val="24"/>
                <w:szCs w:val="24"/>
              </w:rPr>
              <w:t> </w:t>
            </w:r>
          </w:p>
        </w:tc>
        <w:tc>
          <w:tcPr>
            <w:tcW w:w="1302" w:type="dxa"/>
            <w:tcBorders>
              <w:top w:val="nil"/>
              <w:left w:val="double" w:color="auto" w:sz="6" w:space="0"/>
              <w:bottom w:val="single" w:color="auto" w:sz="4" w:space="0"/>
              <w:right w:val="single" w:color="auto" w:sz="4" w:space="0"/>
            </w:tcBorders>
            <w:shd w:val="clear" w:color="auto" w:fill="auto"/>
            <w:noWrap/>
            <w:vAlign w:val="bottom"/>
            <w:hideMark/>
          </w:tcPr>
          <w:p w:rsidRPr="00387AB6" w:rsidR="0081439C" w:rsidP="00573A19" w:rsidRDefault="0081439C" w14:paraId="2814CC36"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4" w:space="0"/>
              <w:right w:val="double" w:color="auto" w:sz="6" w:space="0"/>
            </w:tcBorders>
            <w:shd w:val="clear" w:color="auto" w:fill="auto"/>
            <w:noWrap/>
            <w:vAlign w:val="bottom"/>
            <w:hideMark/>
          </w:tcPr>
          <w:p w:rsidRPr="00387AB6" w:rsidR="0081439C" w:rsidP="00573A19" w:rsidRDefault="0081439C" w14:paraId="40EB0CA2" w14:textId="77777777">
            <w:pPr>
              <w:rPr>
                <w:rFonts w:cs="Calibri"/>
                <w:color w:val="000000"/>
                <w:sz w:val="24"/>
                <w:szCs w:val="24"/>
              </w:rPr>
            </w:pPr>
            <w:r w:rsidRPr="00387AB6">
              <w:rPr>
                <w:rFonts w:cs="Calibri"/>
                <w:color w:val="000000"/>
                <w:sz w:val="24"/>
                <w:szCs w:val="24"/>
              </w:rPr>
              <w:t> </w:t>
            </w:r>
          </w:p>
        </w:tc>
        <w:tc>
          <w:tcPr>
            <w:tcW w:w="1302" w:type="dxa"/>
            <w:tcBorders>
              <w:top w:val="nil"/>
              <w:left w:val="nil"/>
              <w:bottom w:val="single" w:color="auto" w:sz="4" w:space="0"/>
              <w:right w:val="single" w:color="auto" w:sz="4" w:space="0"/>
            </w:tcBorders>
            <w:shd w:val="clear" w:color="auto" w:fill="auto"/>
            <w:noWrap/>
            <w:vAlign w:val="bottom"/>
            <w:hideMark/>
          </w:tcPr>
          <w:p w:rsidRPr="00387AB6" w:rsidR="0081439C" w:rsidP="00573A19" w:rsidRDefault="0081439C" w14:paraId="1450749A"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4" w:space="0"/>
              <w:right w:val="single" w:color="auto" w:sz="8" w:space="0"/>
            </w:tcBorders>
            <w:shd w:val="clear" w:color="auto" w:fill="auto"/>
            <w:noWrap/>
            <w:vAlign w:val="bottom"/>
            <w:hideMark/>
          </w:tcPr>
          <w:p w:rsidRPr="00387AB6" w:rsidR="0081439C" w:rsidP="00573A19" w:rsidRDefault="0081439C" w14:paraId="6D95F1F0" w14:textId="77777777">
            <w:pPr>
              <w:rPr>
                <w:rFonts w:cs="Calibri"/>
                <w:color w:val="000000"/>
                <w:sz w:val="24"/>
                <w:szCs w:val="24"/>
              </w:rPr>
            </w:pPr>
            <w:r w:rsidRPr="00387AB6">
              <w:rPr>
                <w:rFonts w:cs="Calibri"/>
                <w:color w:val="000000"/>
                <w:sz w:val="24"/>
                <w:szCs w:val="24"/>
              </w:rPr>
              <w:t> </w:t>
            </w:r>
          </w:p>
        </w:tc>
      </w:tr>
      <w:tr w:rsidRPr="00387AB6" w:rsidR="0081439C" w:rsidTr="00964BFC" w14:paraId="0AC92469" w14:textId="77777777">
        <w:trPr>
          <w:trHeight w:val="600"/>
        </w:trPr>
        <w:tc>
          <w:tcPr>
            <w:tcW w:w="5750" w:type="dxa"/>
            <w:tcBorders>
              <w:top w:val="nil"/>
              <w:left w:val="single" w:color="auto" w:sz="8" w:space="0"/>
              <w:bottom w:val="single" w:color="auto" w:sz="4" w:space="0"/>
              <w:right w:val="nil"/>
            </w:tcBorders>
            <w:shd w:val="clear" w:color="auto" w:fill="auto"/>
            <w:vAlign w:val="bottom"/>
            <w:hideMark/>
          </w:tcPr>
          <w:p w:rsidRPr="00387AB6" w:rsidR="0081439C" w:rsidP="00573A19" w:rsidRDefault="0081439C" w14:paraId="4ADB1D3C" w14:textId="77777777">
            <w:pPr>
              <w:rPr>
                <w:rFonts w:cs="Calibri"/>
                <w:color w:val="000000"/>
                <w:sz w:val="24"/>
                <w:szCs w:val="24"/>
              </w:rPr>
            </w:pPr>
            <w:r w:rsidRPr="00387AB6">
              <w:rPr>
                <w:rFonts w:cs="Calibri"/>
                <w:b/>
                <w:bCs/>
                <w:color w:val="000000"/>
                <w:sz w:val="24"/>
                <w:szCs w:val="24"/>
              </w:rPr>
              <w:t>Total</w:t>
            </w:r>
            <w:r w:rsidRPr="00387AB6">
              <w:rPr>
                <w:rFonts w:cs="Calibri"/>
                <w:color w:val="000000"/>
                <w:sz w:val="24"/>
                <w:szCs w:val="24"/>
              </w:rPr>
              <w:t xml:space="preserve"> [footnote any caveats when summation differs from total]</w:t>
            </w:r>
          </w:p>
        </w:tc>
        <w:tc>
          <w:tcPr>
            <w:tcW w:w="1302" w:type="dxa"/>
            <w:tcBorders>
              <w:top w:val="nil"/>
              <w:left w:val="single" w:color="auto" w:sz="8" w:space="0"/>
              <w:bottom w:val="single" w:color="auto" w:sz="4" w:space="0"/>
              <w:right w:val="single" w:color="auto" w:sz="4" w:space="0"/>
            </w:tcBorders>
            <w:shd w:val="clear" w:color="auto" w:fill="auto"/>
            <w:vAlign w:val="bottom"/>
            <w:hideMark/>
          </w:tcPr>
          <w:p w:rsidRPr="00387AB6" w:rsidR="0081439C" w:rsidP="00573A19" w:rsidRDefault="0081439C" w14:paraId="52FD5638"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4" w:space="0"/>
              <w:right w:val="double" w:color="auto" w:sz="6" w:space="0"/>
            </w:tcBorders>
            <w:shd w:val="clear" w:color="auto" w:fill="auto"/>
            <w:noWrap/>
            <w:vAlign w:val="bottom"/>
            <w:hideMark/>
          </w:tcPr>
          <w:p w:rsidRPr="00387AB6" w:rsidR="0081439C" w:rsidP="00573A19" w:rsidRDefault="0081439C" w14:paraId="5BE190DD" w14:textId="77777777">
            <w:pPr>
              <w:rPr>
                <w:rFonts w:cs="Calibri"/>
                <w:color w:val="000000"/>
                <w:sz w:val="24"/>
                <w:szCs w:val="24"/>
              </w:rPr>
            </w:pPr>
            <w:r w:rsidRPr="00387AB6">
              <w:rPr>
                <w:rFonts w:cs="Calibri"/>
                <w:color w:val="000000"/>
                <w:sz w:val="24"/>
                <w:szCs w:val="24"/>
              </w:rPr>
              <w:t> </w:t>
            </w:r>
          </w:p>
        </w:tc>
        <w:tc>
          <w:tcPr>
            <w:tcW w:w="1302" w:type="dxa"/>
            <w:tcBorders>
              <w:top w:val="nil"/>
              <w:left w:val="nil"/>
              <w:bottom w:val="single" w:color="auto" w:sz="4" w:space="0"/>
              <w:right w:val="nil"/>
            </w:tcBorders>
            <w:shd w:val="clear" w:color="auto" w:fill="auto"/>
            <w:noWrap/>
            <w:vAlign w:val="bottom"/>
            <w:hideMark/>
          </w:tcPr>
          <w:p w:rsidRPr="00387AB6" w:rsidR="0081439C" w:rsidP="00573A19" w:rsidRDefault="0081439C" w14:paraId="777F450D"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4" w:space="0"/>
              <w:right w:val="nil"/>
            </w:tcBorders>
            <w:shd w:val="clear" w:color="auto" w:fill="auto"/>
            <w:noWrap/>
            <w:vAlign w:val="bottom"/>
            <w:hideMark/>
          </w:tcPr>
          <w:p w:rsidRPr="00387AB6" w:rsidR="0081439C" w:rsidP="00573A19" w:rsidRDefault="0081439C" w14:paraId="6888EA99" w14:textId="77777777">
            <w:pPr>
              <w:rPr>
                <w:rFonts w:cs="Calibri"/>
                <w:color w:val="000000"/>
                <w:sz w:val="24"/>
                <w:szCs w:val="24"/>
              </w:rPr>
            </w:pPr>
            <w:r w:rsidRPr="00387AB6">
              <w:rPr>
                <w:rFonts w:cs="Calibri"/>
                <w:color w:val="000000"/>
                <w:sz w:val="24"/>
                <w:szCs w:val="24"/>
              </w:rPr>
              <w:t> </w:t>
            </w:r>
          </w:p>
        </w:tc>
        <w:tc>
          <w:tcPr>
            <w:tcW w:w="1302" w:type="dxa"/>
            <w:tcBorders>
              <w:top w:val="nil"/>
              <w:left w:val="double" w:color="auto" w:sz="6" w:space="0"/>
              <w:bottom w:val="single" w:color="auto" w:sz="4" w:space="0"/>
              <w:right w:val="single" w:color="auto" w:sz="4" w:space="0"/>
            </w:tcBorders>
            <w:shd w:val="clear" w:color="auto" w:fill="auto"/>
            <w:noWrap/>
            <w:vAlign w:val="bottom"/>
            <w:hideMark/>
          </w:tcPr>
          <w:p w:rsidRPr="00387AB6" w:rsidR="0081439C" w:rsidP="00573A19" w:rsidRDefault="0081439C" w14:paraId="679CD88E"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4" w:space="0"/>
              <w:right w:val="double" w:color="auto" w:sz="6" w:space="0"/>
            </w:tcBorders>
            <w:shd w:val="clear" w:color="auto" w:fill="auto"/>
            <w:noWrap/>
            <w:vAlign w:val="bottom"/>
            <w:hideMark/>
          </w:tcPr>
          <w:p w:rsidRPr="00387AB6" w:rsidR="0081439C" w:rsidP="00573A19" w:rsidRDefault="0081439C" w14:paraId="072CABC9" w14:textId="77777777">
            <w:pPr>
              <w:rPr>
                <w:rFonts w:cs="Calibri"/>
                <w:color w:val="000000"/>
                <w:sz w:val="24"/>
                <w:szCs w:val="24"/>
              </w:rPr>
            </w:pPr>
            <w:r w:rsidRPr="00387AB6">
              <w:rPr>
                <w:rFonts w:cs="Calibri"/>
                <w:color w:val="000000"/>
                <w:sz w:val="24"/>
                <w:szCs w:val="24"/>
              </w:rPr>
              <w:t> </w:t>
            </w:r>
          </w:p>
        </w:tc>
        <w:tc>
          <w:tcPr>
            <w:tcW w:w="1302" w:type="dxa"/>
            <w:tcBorders>
              <w:top w:val="nil"/>
              <w:left w:val="nil"/>
              <w:bottom w:val="single" w:color="auto" w:sz="4" w:space="0"/>
              <w:right w:val="single" w:color="auto" w:sz="4" w:space="0"/>
            </w:tcBorders>
            <w:shd w:val="clear" w:color="auto" w:fill="auto"/>
            <w:noWrap/>
            <w:vAlign w:val="bottom"/>
            <w:hideMark/>
          </w:tcPr>
          <w:p w:rsidRPr="00387AB6" w:rsidR="0081439C" w:rsidP="00573A19" w:rsidRDefault="0081439C" w14:paraId="57C6FC95"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4" w:space="0"/>
              <w:right w:val="single" w:color="auto" w:sz="8" w:space="0"/>
            </w:tcBorders>
            <w:shd w:val="clear" w:color="auto" w:fill="auto"/>
            <w:noWrap/>
            <w:vAlign w:val="bottom"/>
            <w:hideMark/>
          </w:tcPr>
          <w:p w:rsidRPr="00387AB6" w:rsidR="0081439C" w:rsidP="00573A19" w:rsidRDefault="0081439C" w14:paraId="07D4D3AC" w14:textId="77777777">
            <w:pPr>
              <w:rPr>
                <w:rFonts w:cs="Calibri"/>
                <w:color w:val="000000"/>
                <w:sz w:val="24"/>
                <w:szCs w:val="24"/>
              </w:rPr>
            </w:pPr>
            <w:r w:rsidRPr="00387AB6">
              <w:rPr>
                <w:rFonts w:cs="Calibri"/>
                <w:color w:val="000000"/>
                <w:sz w:val="24"/>
                <w:szCs w:val="24"/>
              </w:rPr>
              <w:t> </w:t>
            </w:r>
          </w:p>
        </w:tc>
      </w:tr>
      <w:tr w:rsidRPr="00387AB6" w:rsidR="00964BFC" w:rsidTr="00964BFC" w14:paraId="7581BCAE" w14:textId="77777777">
        <w:trPr>
          <w:trHeight w:val="300"/>
        </w:trPr>
        <w:tc>
          <w:tcPr>
            <w:tcW w:w="5750" w:type="dxa"/>
            <w:tcBorders>
              <w:top w:val="nil"/>
              <w:left w:val="single" w:color="auto" w:sz="8" w:space="0"/>
              <w:bottom w:val="single" w:color="auto" w:sz="4" w:space="0"/>
              <w:right w:val="nil"/>
            </w:tcBorders>
            <w:shd w:val="clear" w:color="000000" w:fill="D0CECE"/>
            <w:noWrap/>
            <w:vAlign w:val="bottom"/>
            <w:hideMark/>
          </w:tcPr>
          <w:p w:rsidRPr="00387AB6" w:rsidR="0081439C" w:rsidP="00573A19" w:rsidRDefault="0081439C" w14:paraId="61868917" w14:textId="77777777">
            <w:pPr>
              <w:rPr>
                <w:rFonts w:cs="Calibri"/>
                <w:i/>
                <w:iCs/>
                <w:color w:val="000000"/>
                <w:sz w:val="24"/>
                <w:szCs w:val="24"/>
              </w:rPr>
            </w:pPr>
            <w:r w:rsidRPr="00387AB6">
              <w:rPr>
                <w:rFonts w:cs="Calibri"/>
                <w:i/>
                <w:iCs/>
                <w:color w:val="000000"/>
                <w:sz w:val="24"/>
                <w:szCs w:val="24"/>
              </w:rPr>
              <w:t>TOU Rates</w:t>
            </w:r>
          </w:p>
        </w:tc>
        <w:tc>
          <w:tcPr>
            <w:tcW w:w="1302" w:type="dxa"/>
            <w:tcBorders>
              <w:top w:val="nil"/>
              <w:left w:val="single" w:color="auto" w:sz="8" w:space="0"/>
              <w:bottom w:val="single" w:color="auto" w:sz="4" w:space="0"/>
              <w:right w:val="nil"/>
            </w:tcBorders>
            <w:shd w:val="clear" w:color="000000" w:fill="D0CECE"/>
            <w:noWrap/>
            <w:vAlign w:val="bottom"/>
            <w:hideMark/>
          </w:tcPr>
          <w:p w:rsidRPr="00387AB6" w:rsidR="0081439C" w:rsidP="00573A19" w:rsidRDefault="0081439C" w14:paraId="014612FF" w14:textId="77777777">
            <w:pPr>
              <w:rPr>
                <w:rFonts w:cs="Calibri"/>
                <w:i/>
                <w:iCs/>
                <w:color w:val="000000"/>
                <w:sz w:val="24"/>
                <w:szCs w:val="24"/>
              </w:rPr>
            </w:pPr>
            <w:r w:rsidRPr="00387AB6">
              <w:rPr>
                <w:rFonts w:cs="Calibri"/>
                <w:i/>
                <w:iCs/>
                <w:color w:val="000000"/>
                <w:sz w:val="24"/>
                <w:szCs w:val="24"/>
              </w:rPr>
              <w:t> </w:t>
            </w:r>
          </w:p>
        </w:tc>
        <w:tc>
          <w:tcPr>
            <w:tcW w:w="1246" w:type="dxa"/>
            <w:tcBorders>
              <w:top w:val="nil"/>
              <w:left w:val="nil"/>
              <w:bottom w:val="single" w:color="auto" w:sz="4" w:space="0"/>
              <w:right w:val="nil"/>
            </w:tcBorders>
            <w:shd w:val="clear" w:color="000000" w:fill="D0CECE"/>
            <w:noWrap/>
            <w:vAlign w:val="bottom"/>
            <w:hideMark/>
          </w:tcPr>
          <w:p w:rsidRPr="00387AB6" w:rsidR="0081439C" w:rsidP="00573A19" w:rsidRDefault="0081439C" w14:paraId="785379BB" w14:textId="77777777">
            <w:pPr>
              <w:rPr>
                <w:rFonts w:cs="Calibri"/>
                <w:i/>
                <w:iCs/>
                <w:color w:val="000000"/>
                <w:sz w:val="24"/>
                <w:szCs w:val="24"/>
              </w:rPr>
            </w:pPr>
            <w:r w:rsidRPr="00387AB6">
              <w:rPr>
                <w:rFonts w:cs="Calibri"/>
                <w:i/>
                <w:iCs/>
                <w:color w:val="000000"/>
                <w:sz w:val="24"/>
                <w:szCs w:val="24"/>
              </w:rPr>
              <w:t> </w:t>
            </w:r>
          </w:p>
        </w:tc>
        <w:tc>
          <w:tcPr>
            <w:tcW w:w="1302" w:type="dxa"/>
            <w:tcBorders>
              <w:top w:val="nil"/>
              <w:left w:val="nil"/>
              <w:bottom w:val="single" w:color="auto" w:sz="4" w:space="0"/>
              <w:right w:val="nil"/>
            </w:tcBorders>
            <w:shd w:val="clear" w:color="000000" w:fill="D0CECE"/>
            <w:noWrap/>
            <w:vAlign w:val="bottom"/>
            <w:hideMark/>
          </w:tcPr>
          <w:p w:rsidRPr="00387AB6" w:rsidR="0081439C" w:rsidP="00573A19" w:rsidRDefault="0081439C" w14:paraId="3571E482" w14:textId="77777777">
            <w:pPr>
              <w:rPr>
                <w:rFonts w:cs="Calibri"/>
                <w:i/>
                <w:iCs/>
                <w:color w:val="000000"/>
                <w:sz w:val="24"/>
                <w:szCs w:val="24"/>
              </w:rPr>
            </w:pPr>
            <w:r w:rsidRPr="00387AB6">
              <w:rPr>
                <w:rFonts w:cs="Calibri"/>
                <w:i/>
                <w:iCs/>
                <w:color w:val="000000"/>
                <w:sz w:val="24"/>
                <w:szCs w:val="24"/>
              </w:rPr>
              <w:t> </w:t>
            </w:r>
          </w:p>
        </w:tc>
        <w:tc>
          <w:tcPr>
            <w:tcW w:w="1246" w:type="dxa"/>
            <w:tcBorders>
              <w:top w:val="nil"/>
              <w:left w:val="nil"/>
              <w:bottom w:val="single" w:color="auto" w:sz="4" w:space="0"/>
              <w:right w:val="nil"/>
            </w:tcBorders>
            <w:shd w:val="clear" w:color="000000" w:fill="D0CECE"/>
            <w:noWrap/>
            <w:vAlign w:val="bottom"/>
            <w:hideMark/>
          </w:tcPr>
          <w:p w:rsidRPr="00387AB6" w:rsidR="0081439C" w:rsidP="00573A19" w:rsidRDefault="0081439C" w14:paraId="6D58320E" w14:textId="77777777">
            <w:pPr>
              <w:rPr>
                <w:rFonts w:cs="Calibri"/>
                <w:i/>
                <w:iCs/>
                <w:color w:val="000000"/>
                <w:sz w:val="24"/>
                <w:szCs w:val="24"/>
              </w:rPr>
            </w:pPr>
            <w:r w:rsidRPr="00387AB6">
              <w:rPr>
                <w:rFonts w:cs="Calibri"/>
                <w:i/>
                <w:iCs/>
                <w:color w:val="000000"/>
                <w:sz w:val="24"/>
                <w:szCs w:val="24"/>
              </w:rPr>
              <w:t> </w:t>
            </w:r>
          </w:p>
        </w:tc>
        <w:tc>
          <w:tcPr>
            <w:tcW w:w="1302" w:type="dxa"/>
            <w:tcBorders>
              <w:top w:val="nil"/>
              <w:left w:val="nil"/>
              <w:bottom w:val="single" w:color="auto" w:sz="4" w:space="0"/>
              <w:right w:val="nil"/>
            </w:tcBorders>
            <w:shd w:val="clear" w:color="000000" w:fill="D0CECE"/>
            <w:noWrap/>
            <w:vAlign w:val="bottom"/>
            <w:hideMark/>
          </w:tcPr>
          <w:p w:rsidRPr="00387AB6" w:rsidR="0081439C" w:rsidP="00573A19" w:rsidRDefault="0081439C" w14:paraId="6B853354" w14:textId="77777777">
            <w:pPr>
              <w:rPr>
                <w:rFonts w:cs="Calibri"/>
                <w:i/>
                <w:iCs/>
                <w:color w:val="000000"/>
                <w:sz w:val="24"/>
                <w:szCs w:val="24"/>
              </w:rPr>
            </w:pPr>
            <w:r w:rsidRPr="00387AB6">
              <w:rPr>
                <w:rFonts w:cs="Calibri"/>
                <w:i/>
                <w:iCs/>
                <w:color w:val="000000"/>
                <w:sz w:val="24"/>
                <w:szCs w:val="24"/>
              </w:rPr>
              <w:t> </w:t>
            </w:r>
          </w:p>
        </w:tc>
        <w:tc>
          <w:tcPr>
            <w:tcW w:w="1246" w:type="dxa"/>
            <w:tcBorders>
              <w:top w:val="nil"/>
              <w:left w:val="nil"/>
              <w:bottom w:val="single" w:color="auto" w:sz="4" w:space="0"/>
              <w:right w:val="nil"/>
            </w:tcBorders>
            <w:shd w:val="clear" w:color="000000" w:fill="D0CECE"/>
            <w:noWrap/>
            <w:vAlign w:val="bottom"/>
            <w:hideMark/>
          </w:tcPr>
          <w:p w:rsidRPr="00387AB6" w:rsidR="0081439C" w:rsidP="00573A19" w:rsidRDefault="0081439C" w14:paraId="700EFB40" w14:textId="77777777">
            <w:pPr>
              <w:rPr>
                <w:rFonts w:cs="Calibri"/>
                <w:i/>
                <w:iCs/>
                <w:color w:val="000000"/>
                <w:sz w:val="24"/>
                <w:szCs w:val="24"/>
              </w:rPr>
            </w:pPr>
            <w:r w:rsidRPr="00387AB6">
              <w:rPr>
                <w:rFonts w:cs="Calibri"/>
                <w:i/>
                <w:iCs/>
                <w:color w:val="000000"/>
                <w:sz w:val="24"/>
                <w:szCs w:val="24"/>
              </w:rPr>
              <w:t> </w:t>
            </w:r>
          </w:p>
        </w:tc>
        <w:tc>
          <w:tcPr>
            <w:tcW w:w="1302" w:type="dxa"/>
            <w:tcBorders>
              <w:top w:val="nil"/>
              <w:left w:val="nil"/>
              <w:bottom w:val="single" w:color="auto" w:sz="4" w:space="0"/>
              <w:right w:val="nil"/>
            </w:tcBorders>
            <w:shd w:val="clear" w:color="000000" w:fill="D0CECE"/>
            <w:noWrap/>
            <w:vAlign w:val="bottom"/>
            <w:hideMark/>
          </w:tcPr>
          <w:p w:rsidRPr="00387AB6" w:rsidR="0081439C" w:rsidP="00573A19" w:rsidRDefault="0081439C" w14:paraId="09C9A916" w14:textId="77777777">
            <w:pPr>
              <w:rPr>
                <w:rFonts w:cs="Calibri"/>
                <w:i/>
                <w:iCs/>
                <w:color w:val="000000"/>
                <w:sz w:val="24"/>
                <w:szCs w:val="24"/>
              </w:rPr>
            </w:pPr>
            <w:r w:rsidRPr="00387AB6">
              <w:rPr>
                <w:rFonts w:cs="Calibri"/>
                <w:i/>
                <w:iCs/>
                <w:color w:val="000000"/>
                <w:sz w:val="24"/>
                <w:szCs w:val="24"/>
              </w:rPr>
              <w:t> </w:t>
            </w:r>
          </w:p>
        </w:tc>
        <w:tc>
          <w:tcPr>
            <w:tcW w:w="1246" w:type="dxa"/>
            <w:tcBorders>
              <w:top w:val="nil"/>
              <w:left w:val="nil"/>
              <w:bottom w:val="single" w:color="auto" w:sz="4" w:space="0"/>
              <w:right w:val="single" w:color="auto" w:sz="8" w:space="0"/>
            </w:tcBorders>
            <w:shd w:val="clear" w:color="000000" w:fill="D0CECE"/>
            <w:noWrap/>
            <w:vAlign w:val="bottom"/>
            <w:hideMark/>
          </w:tcPr>
          <w:p w:rsidRPr="00387AB6" w:rsidR="0081439C" w:rsidP="00573A19" w:rsidRDefault="0081439C" w14:paraId="18685496" w14:textId="77777777">
            <w:pPr>
              <w:rPr>
                <w:rFonts w:cs="Calibri"/>
                <w:i/>
                <w:iCs/>
                <w:color w:val="000000"/>
                <w:sz w:val="24"/>
                <w:szCs w:val="24"/>
              </w:rPr>
            </w:pPr>
            <w:r w:rsidRPr="00387AB6">
              <w:rPr>
                <w:rFonts w:cs="Calibri"/>
                <w:i/>
                <w:iCs/>
                <w:color w:val="000000"/>
                <w:sz w:val="24"/>
                <w:szCs w:val="24"/>
              </w:rPr>
              <w:t> </w:t>
            </w:r>
          </w:p>
        </w:tc>
      </w:tr>
      <w:tr w:rsidRPr="00387AB6" w:rsidR="0081439C" w:rsidTr="00964BFC" w14:paraId="1C122F1B" w14:textId="77777777">
        <w:trPr>
          <w:trHeight w:val="300"/>
        </w:trPr>
        <w:tc>
          <w:tcPr>
            <w:tcW w:w="5750" w:type="dxa"/>
            <w:tcBorders>
              <w:top w:val="nil"/>
              <w:left w:val="single" w:color="auto" w:sz="8" w:space="0"/>
              <w:bottom w:val="single" w:color="auto" w:sz="4" w:space="0"/>
              <w:right w:val="nil"/>
            </w:tcBorders>
            <w:shd w:val="clear" w:color="auto" w:fill="auto"/>
            <w:noWrap/>
            <w:vAlign w:val="bottom"/>
            <w:hideMark/>
          </w:tcPr>
          <w:p w:rsidRPr="00387AB6" w:rsidR="0081439C" w:rsidP="00573A19" w:rsidRDefault="0081439C" w14:paraId="0D305647" w14:textId="77777777">
            <w:pPr>
              <w:rPr>
                <w:rFonts w:cs="Calibri"/>
                <w:color w:val="000000"/>
                <w:sz w:val="24"/>
                <w:szCs w:val="24"/>
              </w:rPr>
            </w:pPr>
            <w:r w:rsidRPr="00387AB6">
              <w:rPr>
                <w:rFonts w:cs="Calibri"/>
                <w:color w:val="000000"/>
                <w:sz w:val="24"/>
                <w:szCs w:val="24"/>
              </w:rPr>
              <w:t>E.g. E-6</w:t>
            </w:r>
          </w:p>
        </w:tc>
        <w:tc>
          <w:tcPr>
            <w:tcW w:w="1302" w:type="dxa"/>
            <w:tcBorders>
              <w:top w:val="nil"/>
              <w:left w:val="single" w:color="auto" w:sz="8" w:space="0"/>
              <w:bottom w:val="single" w:color="auto" w:sz="4" w:space="0"/>
              <w:right w:val="single" w:color="auto" w:sz="4" w:space="0"/>
            </w:tcBorders>
            <w:shd w:val="clear" w:color="auto" w:fill="auto"/>
            <w:noWrap/>
            <w:vAlign w:val="bottom"/>
            <w:hideMark/>
          </w:tcPr>
          <w:p w:rsidRPr="00387AB6" w:rsidR="0081439C" w:rsidP="00573A19" w:rsidRDefault="0081439C" w14:paraId="126A8709"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4" w:space="0"/>
              <w:right w:val="double" w:color="auto" w:sz="6" w:space="0"/>
            </w:tcBorders>
            <w:shd w:val="clear" w:color="auto" w:fill="auto"/>
            <w:noWrap/>
            <w:vAlign w:val="bottom"/>
            <w:hideMark/>
          </w:tcPr>
          <w:p w:rsidRPr="00387AB6" w:rsidR="0081439C" w:rsidP="00573A19" w:rsidRDefault="0081439C" w14:paraId="1BCB2250" w14:textId="77777777">
            <w:pPr>
              <w:rPr>
                <w:rFonts w:cs="Calibri"/>
                <w:color w:val="000000"/>
                <w:sz w:val="24"/>
                <w:szCs w:val="24"/>
              </w:rPr>
            </w:pPr>
            <w:r w:rsidRPr="00387AB6">
              <w:rPr>
                <w:rFonts w:cs="Calibri"/>
                <w:color w:val="000000"/>
                <w:sz w:val="24"/>
                <w:szCs w:val="24"/>
              </w:rPr>
              <w:t> </w:t>
            </w:r>
          </w:p>
        </w:tc>
        <w:tc>
          <w:tcPr>
            <w:tcW w:w="1302" w:type="dxa"/>
            <w:tcBorders>
              <w:top w:val="nil"/>
              <w:left w:val="nil"/>
              <w:bottom w:val="single" w:color="auto" w:sz="4" w:space="0"/>
              <w:right w:val="nil"/>
            </w:tcBorders>
            <w:shd w:val="clear" w:color="auto" w:fill="auto"/>
            <w:noWrap/>
            <w:vAlign w:val="bottom"/>
            <w:hideMark/>
          </w:tcPr>
          <w:p w:rsidRPr="00387AB6" w:rsidR="0081439C" w:rsidP="00573A19" w:rsidRDefault="0081439C" w14:paraId="5AF019D3"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4" w:space="0"/>
              <w:right w:val="nil"/>
            </w:tcBorders>
            <w:shd w:val="clear" w:color="auto" w:fill="auto"/>
            <w:noWrap/>
            <w:vAlign w:val="bottom"/>
            <w:hideMark/>
          </w:tcPr>
          <w:p w:rsidRPr="00387AB6" w:rsidR="0081439C" w:rsidP="00573A19" w:rsidRDefault="0081439C" w14:paraId="481B876C" w14:textId="77777777">
            <w:pPr>
              <w:rPr>
                <w:rFonts w:cs="Calibri"/>
                <w:color w:val="000000"/>
                <w:sz w:val="24"/>
                <w:szCs w:val="24"/>
              </w:rPr>
            </w:pPr>
            <w:r w:rsidRPr="00387AB6">
              <w:rPr>
                <w:rFonts w:cs="Calibri"/>
                <w:color w:val="000000"/>
                <w:sz w:val="24"/>
                <w:szCs w:val="24"/>
              </w:rPr>
              <w:t> </w:t>
            </w:r>
          </w:p>
        </w:tc>
        <w:tc>
          <w:tcPr>
            <w:tcW w:w="1302" w:type="dxa"/>
            <w:tcBorders>
              <w:top w:val="nil"/>
              <w:left w:val="double" w:color="auto" w:sz="6" w:space="0"/>
              <w:bottom w:val="single" w:color="auto" w:sz="4" w:space="0"/>
              <w:right w:val="single" w:color="auto" w:sz="4" w:space="0"/>
            </w:tcBorders>
            <w:shd w:val="clear" w:color="auto" w:fill="auto"/>
            <w:noWrap/>
            <w:vAlign w:val="bottom"/>
            <w:hideMark/>
          </w:tcPr>
          <w:p w:rsidRPr="00387AB6" w:rsidR="0081439C" w:rsidP="00573A19" w:rsidRDefault="0081439C" w14:paraId="632716EB"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4" w:space="0"/>
              <w:right w:val="double" w:color="auto" w:sz="6" w:space="0"/>
            </w:tcBorders>
            <w:shd w:val="clear" w:color="auto" w:fill="auto"/>
            <w:noWrap/>
            <w:vAlign w:val="bottom"/>
            <w:hideMark/>
          </w:tcPr>
          <w:p w:rsidRPr="00387AB6" w:rsidR="0081439C" w:rsidP="00573A19" w:rsidRDefault="0081439C" w14:paraId="6DA729A8" w14:textId="77777777">
            <w:pPr>
              <w:rPr>
                <w:rFonts w:cs="Calibri"/>
                <w:color w:val="000000"/>
                <w:sz w:val="24"/>
                <w:szCs w:val="24"/>
              </w:rPr>
            </w:pPr>
            <w:r w:rsidRPr="00387AB6">
              <w:rPr>
                <w:rFonts w:cs="Calibri"/>
                <w:color w:val="000000"/>
                <w:sz w:val="24"/>
                <w:szCs w:val="24"/>
              </w:rPr>
              <w:t> </w:t>
            </w:r>
          </w:p>
        </w:tc>
        <w:tc>
          <w:tcPr>
            <w:tcW w:w="1302" w:type="dxa"/>
            <w:tcBorders>
              <w:top w:val="nil"/>
              <w:left w:val="nil"/>
              <w:bottom w:val="single" w:color="auto" w:sz="4" w:space="0"/>
              <w:right w:val="single" w:color="auto" w:sz="4" w:space="0"/>
            </w:tcBorders>
            <w:shd w:val="clear" w:color="auto" w:fill="auto"/>
            <w:noWrap/>
            <w:vAlign w:val="bottom"/>
            <w:hideMark/>
          </w:tcPr>
          <w:p w:rsidRPr="00387AB6" w:rsidR="0081439C" w:rsidP="00573A19" w:rsidRDefault="0081439C" w14:paraId="40F60EA3"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4" w:space="0"/>
              <w:right w:val="single" w:color="auto" w:sz="8" w:space="0"/>
            </w:tcBorders>
            <w:shd w:val="clear" w:color="auto" w:fill="auto"/>
            <w:noWrap/>
            <w:vAlign w:val="bottom"/>
            <w:hideMark/>
          </w:tcPr>
          <w:p w:rsidRPr="00387AB6" w:rsidR="0081439C" w:rsidP="00573A19" w:rsidRDefault="0081439C" w14:paraId="3A9C5FC0" w14:textId="77777777">
            <w:pPr>
              <w:rPr>
                <w:rFonts w:cs="Calibri"/>
                <w:color w:val="000000"/>
                <w:sz w:val="24"/>
                <w:szCs w:val="24"/>
              </w:rPr>
            </w:pPr>
            <w:r w:rsidRPr="00387AB6">
              <w:rPr>
                <w:rFonts w:cs="Calibri"/>
                <w:color w:val="000000"/>
                <w:sz w:val="24"/>
                <w:szCs w:val="24"/>
              </w:rPr>
              <w:t> </w:t>
            </w:r>
          </w:p>
        </w:tc>
      </w:tr>
      <w:tr w:rsidRPr="00387AB6" w:rsidR="0081439C" w:rsidTr="00964BFC" w14:paraId="2B5973E3" w14:textId="77777777">
        <w:trPr>
          <w:trHeight w:val="300"/>
        </w:trPr>
        <w:tc>
          <w:tcPr>
            <w:tcW w:w="575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87AB6" w:rsidR="0081439C" w:rsidP="00573A19" w:rsidRDefault="0081439C" w14:paraId="00A5D6EF" w14:textId="77777777">
            <w:pPr>
              <w:rPr>
                <w:rFonts w:cs="Calibri"/>
                <w:color w:val="000000"/>
                <w:sz w:val="24"/>
                <w:szCs w:val="24"/>
              </w:rPr>
            </w:pPr>
            <w:r w:rsidRPr="00387AB6">
              <w:rPr>
                <w:rFonts w:cs="Calibri"/>
                <w:color w:val="000000"/>
                <w:sz w:val="24"/>
                <w:szCs w:val="24"/>
              </w:rPr>
              <w:t>E-TOU-A</w:t>
            </w:r>
          </w:p>
        </w:tc>
        <w:tc>
          <w:tcPr>
            <w:tcW w:w="1302" w:type="dxa"/>
            <w:tcBorders>
              <w:top w:val="nil"/>
              <w:left w:val="single" w:color="auto" w:sz="4" w:space="0"/>
              <w:bottom w:val="single" w:color="auto" w:sz="4" w:space="0"/>
              <w:right w:val="single" w:color="auto" w:sz="4" w:space="0"/>
            </w:tcBorders>
            <w:shd w:val="clear" w:color="auto" w:fill="auto"/>
            <w:noWrap/>
            <w:vAlign w:val="bottom"/>
            <w:hideMark/>
          </w:tcPr>
          <w:p w:rsidRPr="00387AB6" w:rsidR="0081439C" w:rsidP="00573A19" w:rsidRDefault="0081439C" w14:paraId="7533442C"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4" w:space="0"/>
              <w:right w:val="double" w:color="auto" w:sz="6" w:space="0"/>
            </w:tcBorders>
            <w:shd w:val="clear" w:color="auto" w:fill="auto"/>
            <w:noWrap/>
            <w:vAlign w:val="bottom"/>
            <w:hideMark/>
          </w:tcPr>
          <w:p w:rsidRPr="00387AB6" w:rsidR="0081439C" w:rsidP="00573A19" w:rsidRDefault="0081439C" w14:paraId="4ACB326A" w14:textId="77777777">
            <w:pPr>
              <w:rPr>
                <w:rFonts w:cs="Calibri"/>
                <w:color w:val="000000"/>
                <w:sz w:val="24"/>
                <w:szCs w:val="24"/>
              </w:rPr>
            </w:pPr>
            <w:r w:rsidRPr="00387AB6">
              <w:rPr>
                <w:rFonts w:cs="Calibri"/>
                <w:color w:val="000000"/>
                <w:sz w:val="24"/>
                <w:szCs w:val="24"/>
              </w:rPr>
              <w:t> </w:t>
            </w:r>
          </w:p>
        </w:tc>
        <w:tc>
          <w:tcPr>
            <w:tcW w:w="1302" w:type="dxa"/>
            <w:tcBorders>
              <w:top w:val="nil"/>
              <w:left w:val="nil"/>
              <w:bottom w:val="single" w:color="auto" w:sz="4" w:space="0"/>
              <w:right w:val="nil"/>
            </w:tcBorders>
            <w:shd w:val="clear" w:color="auto" w:fill="auto"/>
            <w:noWrap/>
            <w:vAlign w:val="bottom"/>
            <w:hideMark/>
          </w:tcPr>
          <w:p w:rsidRPr="00387AB6" w:rsidR="0081439C" w:rsidP="00573A19" w:rsidRDefault="0081439C" w14:paraId="7059D735"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4" w:space="0"/>
              <w:right w:val="nil"/>
            </w:tcBorders>
            <w:shd w:val="clear" w:color="auto" w:fill="auto"/>
            <w:noWrap/>
            <w:vAlign w:val="bottom"/>
            <w:hideMark/>
          </w:tcPr>
          <w:p w:rsidRPr="00387AB6" w:rsidR="0081439C" w:rsidP="00573A19" w:rsidRDefault="0081439C" w14:paraId="41A21021" w14:textId="77777777">
            <w:pPr>
              <w:rPr>
                <w:rFonts w:cs="Calibri"/>
                <w:color w:val="000000"/>
                <w:sz w:val="24"/>
                <w:szCs w:val="24"/>
              </w:rPr>
            </w:pPr>
            <w:r w:rsidRPr="00387AB6">
              <w:rPr>
                <w:rFonts w:cs="Calibri"/>
                <w:color w:val="000000"/>
                <w:sz w:val="24"/>
                <w:szCs w:val="24"/>
              </w:rPr>
              <w:t> </w:t>
            </w:r>
          </w:p>
        </w:tc>
        <w:tc>
          <w:tcPr>
            <w:tcW w:w="1302" w:type="dxa"/>
            <w:tcBorders>
              <w:top w:val="nil"/>
              <w:left w:val="double" w:color="auto" w:sz="6" w:space="0"/>
              <w:bottom w:val="single" w:color="auto" w:sz="4" w:space="0"/>
              <w:right w:val="single" w:color="auto" w:sz="4" w:space="0"/>
            </w:tcBorders>
            <w:shd w:val="clear" w:color="auto" w:fill="auto"/>
            <w:noWrap/>
            <w:vAlign w:val="bottom"/>
            <w:hideMark/>
          </w:tcPr>
          <w:p w:rsidRPr="00387AB6" w:rsidR="0081439C" w:rsidP="00573A19" w:rsidRDefault="0081439C" w14:paraId="01518FD8"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4" w:space="0"/>
              <w:right w:val="double" w:color="auto" w:sz="6" w:space="0"/>
            </w:tcBorders>
            <w:shd w:val="clear" w:color="auto" w:fill="auto"/>
            <w:noWrap/>
            <w:vAlign w:val="bottom"/>
            <w:hideMark/>
          </w:tcPr>
          <w:p w:rsidRPr="00387AB6" w:rsidR="0081439C" w:rsidP="00573A19" w:rsidRDefault="0081439C" w14:paraId="3107FA61" w14:textId="77777777">
            <w:pPr>
              <w:rPr>
                <w:rFonts w:cs="Calibri"/>
                <w:color w:val="000000"/>
                <w:sz w:val="24"/>
                <w:szCs w:val="24"/>
              </w:rPr>
            </w:pPr>
            <w:r w:rsidRPr="00387AB6">
              <w:rPr>
                <w:rFonts w:cs="Calibri"/>
                <w:color w:val="000000"/>
                <w:sz w:val="24"/>
                <w:szCs w:val="24"/>
              </w:rPr>
              <w:t> </w:t>
            </w:r>
          </w:p>
        </w:tc>
        <w:tc>
          <w:tcPr>
            <w:tcW w:w="1302" w:type="dxa"/>
            <w:tcBorders>
              <w:top w:val="nil"/>
              <w:left w:val="nil"/>
              <w:bottom w:val="single" w:color="auto" w:sz="4" w:space="0"/>
              <w:right w:val="single" w:color="auto" w:sz="4" w:space="0"/>
            </w:tcBorders>
            <w:shd w:val="clear" w:color="auto" w:fill="auto"/>
            <w:noWrap/>
            <w:vAlign w:val="bottom"/>
            <w:hideMark/>
          </w:tcPr>
          <w:p w:rsidRPr="00387AB6" w:rsidR="0081439C" w:rsidP="00573A19" w:rsidRDefault="0081439C" w14:paraId="1A1D3BD3"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4" w:space="0"/>
              <w:right w:val="single" w:color="auto" w:sz="8" w:space="0"/>
            </w:tcBorders>
            <w:shd w:val="clear" w:color="auto" w:fill="auto"/>
            <w:noWrap/>
            <w:vAlign w:val="bottom"/>
            <w:hideMark/>
          </w:tcPr>
          <w:p w:rsidRPr="00387AB6" w:rsidR="0081439C" w:rsidP="00573A19" w:rsidRDefault="0081439C" w14:paraId="6E8CD1CC" w14:textId="77777777">
            <w:pPr>
              <w:rPr>
                <w:rFonts w:cs="Calibri"/>
                <w:color w:val="000000"/>
                <w:sz w:val="24"/>
                <w:szCs w:val="24"/>
              </w:rPr>
            </w:pPr>
            <w:r w:rsidRPr="00387AB6">
              <w:rPr>
                <w:rFonts w:cs="Calibri"/>
                <w:color w:val="000000"/>
                <w:sz w:val="24"/>
                <w:szCs w:val="24"/>
              </w:rPr>
              <w:t> </w:t>
            </w:r>
          </w:p>
        </w:tc>
      </w:tr>
      <w:tr w:rsidRPr="00387AB6" w:rsidR="0081439C" w:rsidTr="00964BFC" w14:paraId="7B649FEC" w14:textId="77777777">
        <w:trPr>
          <w:trHeight w:val="300"/>
        </w:trPr>
        <w:tc>
          <w:tcPr>
            <w:tcW w:w="575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87AB6" w:rsidR="0081439C" w:rsidP="00573A19" w:rsidRDefault="0081439C" w14:paraId="21BF9592" w14:textId="77777777">
            <w:pPr>
              <w:rPr>
                <w:rFonts w:cs="Calibri"/>
                <w:color w:val="000000"/>
                <w:sz w:val="24"/>
                <w:szCs w:val="24"/>
              </w:rPr>
            </w:pPr>
            <w:r w:rsidRPr="00387AB6">
              <w:rPr>
                <w:rFonts w:cs="Calibri"/>
                <w:color w:val="000000"/>
                <w:sz w:val="24"/>
                <w:szCs w:val="24"/>
              </w:rPr>
              <w:t>TOU Prime</w:t>
            </w:r>
          </w:p>
        </w:tc>
        <w:tc>
          <w:tcPr>
            <w:tcW w:w="1302" w:type="dxa"/>
            <w:tcBorders>
              <w:top w:val="nil"/>
              <w:left w:val="single" w:color="auto" w:sz="4" w:space="0"/>
              <w:bottom w:val="single" w:color="auto" w:sz="4" w:space="0"/>
              <w:right w:val="single" w:color="auto" w:sz="4" w:space="0"/>
            </w:tcBorders>
            <w:shd w:val="clear" w:color="auto" w:fill="auto"/>
            <w:noWrap/>
            <w:vAlign w:val="bottom"/>
            <w:hideMark/>
          </w:tcPr>
          <w:p w:rsidRPr="00387AB6" w:rsidR="0081439C" w:rsidP="00573A19" w:rsidRDefault="0081439C" w14:paraId="4DD9CE2A"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4" w:space="0"/>
              <w:right w:val="double" w:color="auto" w:sz="6" w:space="0"/>
            </w:tcBorders>
            <w:shd w:val="clear" w:color="auto" w:fill="auto"/>
            <w:noWrap/>
            <w:vAlign w:val="bottom"/>
            <w:hideMark/>
          </w:tcPr>
          <w:p w:rsidRPr="00387AB6" w:rsidR="0081439C" w:rsidP="00573A19" w:rsidRDefault="0081439C" w14:paraId="37C71014" w14:textId="77777777">
            <w:pPr>
              <w:rPr>
                <w:rFonts w:cs="Calibri"/>
                <w:color w:val="000000"/>
                <w:sz w:val="24"/>
                <w:szCs w:val="24"/>
              </w:rPr>
            </w:pPr>
            <w:r w:rsidRPr="00387AB6">
              <w:rPr>
                <w:rFonts w:cs="Calibri"/>
                <w:color w:val="000000"/>
                <w:sz w:val="24"/>
                <w:szCs w:val="24"/>
              </w:rPr>
              <w:t> </w:t>
            </w:r>
          </w:p>
        </w:tc>
        <w:tc>
          <w:tcPr>
            <w:tcW w:w="1302" w:type="dxa"/>
            <w:tcBorders>
              <w:top w:val="nil"/>
              <w:left w:val="nil"/>
              <w:bottom w:val="single" w:color="auto" w:sz="4" w:space="0"/>
              <w:right w:val="nil"/>
            </w:tcBorders>
            <w:shd w:val="clear" w:color="auto" w:fill="auto"/>
            <w:noWrap/>
            <w:vAlign w:val="bottom"/>
            <w:hideMark/>
          </w:tcPr>
          <w:p w:rsidRPr="00387AB6" w:rsidR="0081439C" w:rsidP="00573A19" w:rsidRDefault="0081439C" w14:paraId="6AC09B8A"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4" w:space="0"/>
              <w:right w:val="nil"/>
            </w:tcBorders>
            <w:shd w:val="clear" w:color="auto" w:fill="auto"/>
            <w:noWrap/>
            <w:vAlign w:val="bottom"/>
            <w:hideMark/>
          </w:tcPr>
          <w:p w:rsidRPr="00387AB6" w:rsidR="0081439C" w:rsidP="00573A19" w:rsidRDefault="0081439C" w14:paraId="7A1BF9E3" w14:textId="77777777">
            <w:pPr>
              <w:rPr>
                <w:rFonts w:cs="Calibri"/>
                <w:color w:val="000000"/>
                <w:sz w:val="24"/>
                <w:szCs w:val="24"/>
              </w:rPr>
            </w:pPr>
            <w:r w:rsidRPr="00387AB6">
              <w:rPr>
                <w:rFonts w:cs="Calibri"/>
                <w:color w:val="000000"/>
                <w:sz w:val="24"/>
                <w:szCs w:val="24"/>
              </w:rPr>
              <w:t> </w:t>
            </w:r>
          </w:p>
        </w:tc>
        <w:tc>
          <w:tcPr>
            <w:tcW w:w="1302" w:type="dxa"/>
            <w:tcBorders>
              <w:top w:val="nil"/>
              <w:left w:val="double" w:color="auto" w:sz="6" w:space="0"/>
              <w:bottom w:val="single" w:color="auto" w:sz="4" w:space="0"/>
              <w:right w:val="single" w:color="auto" w:sz="4" w:space="0"/>
            </w:tcBorders>
            <w:shd w:val="clear" w:color="auto" w:fill="auto"/>
            <w:noWrap/>
            <w:vAlign w:val="bottom"/>
            <w:hideMark/>
          </w:tcPr>
          <w:p w:rsidRPr="00387AB6" w:rsidR="0081439C" w:rsidP="00573A19" w:rsidRDefault="0081439C" w14:paraId="1E4E63DE"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4" w:space="0"/>
              <w:right w:val="double" w:color="auto" w:sz="6" w:space="0"/>
            </w:tcBorders>
            <w:shd w:val="clear" w:color="auto" w:fill="auto"/>
            <w:noWrap/>
            <w:vAlign w:val="bottom"/>
            <w:hideMark/>
          </w:tcPr>
          <w:p w:rsidRPr="00387AB6" w:rsidR="0081439C" w:rsidP="00573A19" w:rsidRDefault="0081439C" w14:paraId="4059EC6D" w14:textId="77777777">
            <w:pPr>
              <w:rPr>
                <w:rFonts w:cs="Calibri"/>
                <w:color w:val="000000"/>
                <w:sz w:val="24"/>
                <w:szCs w:val="24"/>
              </w:rPr>
            </w:pPr>
            <w:r w:rsidRPr="00387AB6">
              <w:rPr>
                <w:rFonts w:cs="Calibri"/>
                <w:color w:val="000000"/>
                <w:sz w:val="24"/>
                <w:szCs w:val="24"/>
              </w:rPr>
              <w:t> </w:t>
            </w:r>
          </w:p>
        </w:tc>
        <w:tc>
          <w:tcPr>
            <w:tcW w:w="1302" w:type="dxa"/>
            <w:tcBorders>
              <w:top w:val="nil"/>
              <w:left w:val="nil"/>
              <w:bottom w:val="single" w:color="auto" w:sz="4" w:space="0"/>
              <w:right w:val="single" w:color="auto" w:sz="4" w:space="0"/>
            </w:tcBorders>
            <w:shd w:val="clear" w:color="auto" w:fill="auto"/>
            <w:noWrap/>
            <w:vAlign w:val="bottom"/>
            <w:hideMark/>
          </w:tcPr>
          <w:p w:rsidRPr="00387AB6" w:rsidR="0081439C" w:rsidP="00573A19" w:rsidRDefault="0081439C" w14:paraId="54CFF4F4"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4" w:space="0"/>
              <w:right w:val="single" w:color="auto" w:sz="8" w:space="0"/>
            </w:tcBorders>
            <w:shd w:val="clear" w:color="auto" w:fill="auto"/>
            <w:noWrap/>
            <w:vAlign w:val="bottom"/>
            <w:hideMark/>
          </w:tcPr>
          <w:p w:rsidRPr="00387AB6" w:rsidR="0081439C" w:rsidP="00573A19" w:rsidRDefault="0081439C" w14:paraId="48F508EF" w14:textId="77777777">
            <w:pPr>
              <w:rPr>
                <w:rFonts w:cs="Calibri"/>
                <w:color w:val="000000"/>
                <w:sz w:val="24"/>
                <w:szCs w:val="24"/>
              </w:rPr>
            </w:pPr>
            <w:r w:rsidRPr="00387AB6">
              <w:rPr>
                <w:rFonts w:cs="Calibri"/>
                <w:color w:val="000000"/>
                <w:sz w:val="24"/>
                <w:szCs w:val="24"/>
              </w:rPr>
              <w:t> </w:t>
            </w:r>
          </w:p>
        </w:tc>
      </w:tr>
      <w:tr w:rsidRPr="00387AB6" w:rsidR="0081439C" w:rsidTr="00964BFC" w14:paraId="0318DB09" w14:textId="77777777">
        <w:trPr>
          <w:trHeight w:val="300"/>
        </w:trPr>
        <w:tc>
          <w:tcPr>
            <w:tcW w:w="575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87AB6" w:rsidR="0081439C" w:rsidP="00573A19" w:rsidRDefault="0081439C" w14:paraId="5E581E8A" w14:textId="77777777">
            <w:pPr>
              <w:rPr>
                <w:rFonts w:cs="Calibri"/>
                <w:color w:val="000000"/>
                <w:sz w:val="24"/>
                <w:szCs w:val="24"/>
              </w:rPr>
            </w:pPr>
            <w:r w:rsidRPr="00387AB6">
              <w:rPr>
                <w:rFonts w:cs="Calibri"/>
                <w:color w:val="000000"/>
                <w:sz w:val="24"/>
                <w:szCs w:val="24"/>
              </w:rPr>
              <w:t>[Add Rows as needed]</w:t>
            </w:r>
          </w:p>
        </w:tc>
        <w:tc>
          <w:tcPr>
            <w:tcW w:w="1302" w:type="dxa"/>
            <w:tcBorders>
              <w:top w:val="nil"/>
              <w:left w:val="single" w:color="auto" w:sz="4" w:space="0"/>
              <w:bottom w:val="single" w:color="auto" w:sz="4" w:space="0"/>
              <w:right w:val="single" w:color="auto" w:sz="4" w:space="0"/>
            </w:tcBorders>
            <w:shd w:val="clear" w:color="auto" w:fill="auto"/>
            <w:noWrap/>
            <w:vAlign w:val="bottom"/>
            <w:hideMark/>
          </w:tcPr>
          <w:p w:rsidRPr="00387AB6" w:rsidR="0081439C" w:rsidP="00573A19" w:rsidRDefault="0081439C" w14:paraId="75986D12"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4" w:space="0"/>
              <w:right w:val="double" w:color="auto" w:sz="6" w:space="0"/>
            </w:tcBorders>
            <w:shd w:val="clear" w:color="auto" w:fill="auto"/>
            <w:noWrap/>
            <w:vAlign w:val="bottom"/>
            <w:hideMark/>
          </w:tcPr>
          <w:p w:rsidRPr="00387AB6" w:rsidR="0081439C" w:rsidP="00573A19" w:rsidRDefault="0081439C" w14:paraId="739D3CAE" w14:textId="77777777">
            <w:pPr>
              <w:rPr>
                <w:rFonts w:cs="Calibri"/>
                <w:color w:val="000000"/>
                <w:sz w:val="24"/>
                <w:szCs w:val="24"/>
              </w:rPr>
            </w:pPr>
            <w:r w:rsidRPr="00387AB6">
              <w:rPr>
                <w:rFonts w:cs="Calibri"/>
                <w:color w:val="000000"/>
                <w:sz w:val="24"/>
                <w:szCs w:val="24"/>
              </w:rPr>
              <w:t> </w:t>
            </w:r>
          </w:p>
        </w:tc>
        <w:tc>
          <w:tcPr>
            <w:tcW w:w="1302" w:type="dxa"/>
            <w:tcBorders>
              <w:top w:val="nil"/>
              <w:left w:val="nil"/>
              <w:bottom w:val="single" w:color="auto" w:sz="4" w:space="0"/>
              <w:right w:val="nil"/>
            </w:tcBorders>
            <w:shd w:val="clear" w:color="auto" w:fill="auto"/>
            <w:noWrap/>
            <w:vAlign w:val="bottom"/>
            <w:hideMark/>
          </w:tcPr>
          <w:p w:rsidRPr="00387AB6" w:rsidR="0081439C" w:rsidP="00573A19" w:rsidRDefault="0081439C" w14:paraId="722DC3D6"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4" w:space="0"/>
              <w:right w:val="nil"/>
            </w:tcBorders>
            <w:shd w:val="clear" w:color="auto" w:fill="auto"/>
            <w:noWrap/>
            <w:vAlign w:val="bottom"/>
            <w:hideMark/>
          </w:tcPr>
          <w:p w:rsidRPr="00387AB6" w:rsidR="0081439C" w:rsidP="00573A19" w:rsidRDefault="0081439C" w14:paraId="60BEE6D8" w14:textId="77777777">
            <w:pPr>
              <w:rPr>
                <w:rFonts w:cs="Calibri"/>
                <w:color w:val="000000"/>
                <w:sz w:val="24"/>
                <w:szCs w:val="24"/>
              </w:rPr>
            </w:pPr>
            <w:r w:rsidRPr="00387AB6">
              <w:rPr>
                <w:rFonts w:cs="Calibri"/>
                <w:color w:val="000000"/>
                <w:sz w:val="24"/>
                <w:szCs w:val="24"/>
              </w:rPr>
              <w:t> </w:t>
            </w:r>
          </w:p>
        </w:tc>
        <w:tc>
          <w:tcPr>
            <w:tcW w:w="1302" w:type="dxa"/>
            <w:tcBorders>
              <w:top w:val="nil"/>
              <w:left w:val="double" w:color="auto" w:sz="6" w:space="0"/>
              <w:bottom w:val="single" w:color="auto" w:sz="4" w:space="0"/>
              <w:right w:val="single" w:color="auto" w:sz="4" w:space="0"/>
            </w:tcBorders>
            <w:shd w:val="clear" w:color="auto" w:fill="auto"/>
            <w:noWrap/>
            <w:vAlign w:val="bottom"/>
            <w:hideMark/>
          </w:tcPr>
          <w:p w:rsidRPr="00387AB6" w:rsidR="0081439C" w:rsidP="00573A19" w:rsidRDefault="0081439C" w14:paraId="16AAE149"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4" w:space="0"/>
              <w:right w:val="double" w:color="auto" w:sz="6" w:space="0"/>
            </w:tcBorders>
            <w:shd w:val="clear" w:color="auto" w:fill="auto"/>
            <w:noWrap/>
            <w:vAlign w:val="bottom"/>
            <w:hideMark/>
          </w:tcPr>
          <w:p w:rsidRPr="00387AB6" w:rsidR="0081439C" w:rsidP="00573A19" w:rsidRDefault="0081439C" w14:paraId="349167D1" w14:textId="77777777">
            <w:pPr>
              <w:rPr>
                <w:rFonts w:cs="Calibri"/>
                <w:color w:val="000000"/>
                <w:sz w:val="24"/>
                <w:szCs w:val="24"/>
              </w:rPr>
            </w:pPr>
            <w:r w:rsidRPr="00387AB6">
              <w:rPr>
                <w:rFonts w:cs="Calibri"/>
                <w:color w:val="000000"/>
                <w:sz w:val="24"/>
                <w:szCs w:val="24"/>
              </w:rPr>
              <w:t> </w:t>
            </w:r>
          </w:p>
        </w:tc>
        <w:tc>
          <w:tcPr>
            <w:tcW w:w="1302" w:type="dxa"/>
            <w:tcBorders>
              <w:top w:val="nil"/>
              <w:left w:val="nil"/>
              <w:bottom w:val="single" w:color="auto" w:sz="4" w:space="0"/>
              <w:right w:val="single" w:color="auto" w:sz="4" w:space="0"/>
            </w:tcBorders>
            <w:shd w:val="clear" w:color="auto" w:fill="auto"/>
            <w:noWrap/>
            <w:vAlign w:val="bottom"/>
            <w:hideMark/>
          </w:tcPr>
          <w:p w:rsidRPr="00387AB6" w:rsidR="0081439C" w:rsidP="00573A19" w:rsidRDefault="0081439C" w14:paraId="49487C8A"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4" w:space="0"/>
              <w:right w:val="single" w:color="auto" w:sz="8" w:space="0"/>
            </w:tcBorders>
            <w:shd w:val="clear" w:color="auto" w:fill="auto"/>
            <w:noWrap/>
            <w:vAlign w:val="bottom"/>
            <w:hideMark/>
          </w:tcPr>
          <w:p w:rsidRPr="00387AB6" w:rsidR="0081439C" w:rsidP="00573A19" w:rsidRDefault="0081439C" w14:paraId="7CDE9C23" w14:textId="77777777">
            <w:pPr>
              <w:rPr>
                <w:rFonts w:cs="Calibri"/>
                <w:color w:val="000000"/>
                <w:sz w:val="24"/>
                <w:szCs w:val="24"/>
              </w:rPr>
            </w:pPr>
            <w:r w:rsidRPr="00387AB6">
              <w:rPr>
                <w:rFonts w:cs="Calibri"/>
                <w:color w:val="000000"/>
                <w:sz w:val="24"/>
                <w:szCs w:val="24"/>
              </w:rPr>
              <w:t> </w:t>
            </w:r>
          </w:p>
        </w:tc>
      </w:tr>
      <w:tr w:rsidRPr="00387AB6" w:rsidR="0081439C" w:rsidTr="00964BFC" w14:paraId="3D92D9B7" w14:textId="77777777">
        <w:trPr>
          <w:trHeight w:val="300"/>
        </w:trPr>
        <w:tc>
          <w:tcPr>
            <w:tcW w:w="575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87AB6" w:rsidR="0081439C" w:rsidP="00573A19" w:rsidRDefault="0081439C" w14:paraId="6B97A688" w14:textId="77777777">
            <w:pPr>
              <w:rPr>
                <w:rFonts w:cs="Calibri"/>
                <w:color w:val="000000"/>
                <w:sz w:val="24"/>
                <w:szCs w:val="24"/>
              </w:rPr>
            </w:pPr>
            <w:r w:rsidRPr="00387AB6">
              <w:rPr>
                <w:rFonts w:cs="Calibri"/>
                <w:b/>
                <w:bCs/>
                <w:color w:val="000000"/>
                <w:sz w:val="24"/>
                <w:szCs w:val="24"/>
              </w:rPr>
              <w:t>Total</w:t>
            </w:r>
            <w:r w:rsidRPr="00387AB6">
              <w:rPr>
                <w:rFonts w:cs="Calibri"/>
                <w:color w:val="000000"/>
                <w:sz w:val="24"/>
                <w:szCs w:val="24"/>
              </w:rPr>
              <w:t xml:space="preserve"> [footnote any caveats when summation differs from total]</w:t>
            </w:r>
          </w:p>
        </w:tc>
        <w:tc>
          <w:tcPr>
            <w:tcW w:w="1302" w:type="dxa"/>
            <w:tcBorders>
              <w:top w:val="nil"/>
              <w:left w:val="single" w:color="auto" w:sz="4" w:space="0"/>
              <w:bottom w:val="nil"/>
              <w:right w:val="single" w:color="auto" w:sz="4" w:space="0"/>
            </w:tcBorders>
            <w:shd w:val="clear" w:color="auto" w:fill="auto"/>
            <w:noWrap/>
            <w:vAlign w:val="bottom"/>
            <w:hideMark/>
          </w:tcPr>
          <w:p w:rsidRPr="00387AB6" w:rsidR="0081439C" w:rsidP="00573A19" w:rsidRDefault="0081439C" w14:paraId="33DCAD70"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nil"/>
              <w:right w:val="double" w:color="auto" w:sz="6" w:space="0"/>
            </w:tcBorders>
            <w:shd w:val="clear" w:color="auto" w:fill="auto"/>
            <w:noWrap/>
            <w:vAlign w:val="bottom"/>
            <w:hideMark/>
          </w:tcPr>
          <w:p w:rsidRPr="00387AB6" w:rsidR="0081439C" w:rsidP="00573A19" w:rsidRDefault="0081439C" w14:paraId="33F6802C" w14:textId="77777777">
            <w:pPr>
              <w:rPr>
                <w:rFonts w:cs="Calibri"/>
                <w:color w:val="000000"/>
                <w:sz w:val="24"/>
                <w:szCs w:val="24"/>
              </w:rPr>
            </w:pPr>
            <w:r w:rsidRPr="00387AB6">
              <w:rPr>
                <w:rFonts w:cs="Calibri"/>
                <w:color w:val="000000"/>
                <w:sz w:val="24"/>
                <w:szCs w:val="24"/>
              </w:rPr>
              <w:t> </w:t>
            </w:r>
          </w:p>
        </w:tc>
        <w:tc>
          <w:tcPr>
            <w:tcW w:w="1302" w:type="dxa"/>
            <w:tcBorders>
              <w:top w:val="nil"/>
              <w:left w:val="nil"/>
              <w:bottom w:val="nil"/>
              <w:right w:val="nil"/>
            </w:tcBorders>
            <w:shd w:val="clear" w:color="auto" w:fill="auto"/>
            <w:noWrap/>
            <w:vAlign w:val="bottom"/>
            <w:hideMark/>
          </w:tcPr>
          <w:p w:rsidRPr="00387AB6" w:rsidR="0081439C" w:rsidP="00573A19" w:rsidRDefault="0081439C" w14:paraId="129FF3B3"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nil"/>
              <w:right w:val="nil"/>
            </w:tcBorders>
            <w:shd w:val="clear" w:color="auto" w:fill="auto"/>
            <w:noWrap/>
            <w:vAlign w:val="bottom"/>
            <w:hideMark/>
          </w:tcPr>
          <w:p w:rsidRPr="00387AB6" w:rsidR="0081439C" w:rsidP="00573A19" w:rsidRDefault="0081439C" w14:paraId="1D54DA18" w14:textId="77777777">
            <w:pPr>
              <w:rPr>
                <w:rFonts w:cs="Calibri"/>
                <w:color w:val="000000"/>
                <w:sz w:val="24"/>
                <w:szCs w:val="24"/>
              </w:rPr>
            </w:pPr>
            <w:r w:rsidRPr="00387AB6">
              <w:rPr>
                <w:rFonts w:cs="Calibri"/>
                <w:color w:val="000000"/>
                <w:sz w:val="24"/>
                <w:szCs w:val="24"/>
              </w:rPr>
              <w:t> </w:t>
            </w:r>
          </w:p>
        </w:tc>
        <w:tc>
          <w:tcPr>
            <w:tcW w:w="1302" w:type="dxa"/>
            <w:tcBorders>
              <w:top w:val="nil"/>
              <w:left w:val="double" w:color="auto" w:sz="6" w:space="0"/>
              <w:bottom w:val="nil"/>
              <w:right w:val="single" w:color="auto" w:sz="4" w:space="0"/>
            </w:tcBorders>
            <w:shd w:val="clear" w:color="auto" w:fill="auto"/>
            <w:noWrap/>
            <w:vAlign w:val="bottom"/>
            <w:hideMark/>
          </w:tcPr>
          <w:p w:rsidRPr="00387AB6" w:rsidR="0081439C" w:rsidP="00573A19" w:rsidRDefault="0081439C" w14:paraId="5B3F89CF"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nil"/>
              <w:right w:val="double" w:color="auto" w:sz="6" w:space="0"/>
            </w:tcBorders>
            <w:shd w:val="clear" w:color="auto" w:fill="auto"/>
            <w:noWrap/>
            <w:vAlign w:val="bottom"/>
            <w:hideMark/>
          </w:tcPr>
          <w:p w:rsidRPr="00387AB6" w:rsidR="0081439C" w:rsidP="00573A19" w:rsidRDefault="0081439C" w14:paraId="2F96A1CB" w14:textId="77777777">
            <w:pPr>
              <w:rPr>
                <w:rFonts w:cs="Calibri"/>
                <w:color w:val="000000"/>
                <w:sz w:val="24"/>
                <w:szCs w:val="24"/>
              </w:rPr>
            </w:pPr>
            <w:r w:rsidRPr="00387AB6">
              <w:rPr>
                <w:rFonts w:cs="Calibri"/>
                <w:color w:val="000000"/>
                <w:sz w:val="24"/>
                <w:szCs w:val="24"/>
              </w:rPr>
              <w:t> </w:t>
            </w:r>
          </w:p>
        </w:tc>
        <w:tc>
          <w:tcPr>
            <w:tcW w:w="1302" w:type="dxa"/>
            <w:tcBorders>
              <w:top w:val="nil"/>
              <w:left w:val="nil"/>
              <w:bottom w:val="nil"/>
              <w:right w:val="single" w:color="auto" w:sz="4" w:space="0"/>
            </w:tcBorders>
            <w:shd w:val="clear" w:color="auto" w:fill="auto"/>
            <w:noWrap/>
            <w:vAlign w:val="bottom"/>
            <w:hideMark/>
          </w:tcPr>
          <w:p w:rsidRPr="00387AB6" w:rsidR="0081439C" w:rsidP="00573A19" w:rsidRDefault="0081439C" w14:paraId="40C9A92F"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nil"/>
              <w:right w:val="single" w:color="auto" w:sz="8" w:space="0"/>
            </w:tcBorders>
            <w:shd w:val="clear" w:color="auto" w:fill="auto"/>
            <w:noWrap/>
            <w:vAlign w:val="bottom"/>
            <w:hideMark/>
          </w:tcPr>
          <w:p w:rsidRPr="00387AB6" w:rsidR="0081439C" w:rsidP="00573A19" w:rsidRDefault="0081439C" w14:paraId="136C5202" w14:textId="77777777">
            <w:pPr>
              <w:rPr>
                <w:rFonts w:cs="Calibri"/>
                <w:color w:val="000000"/>
                <w:sz w:val="24"/>
                <w:szCs w:val="24"/>
              </w:rPr>
            </w:pPr>
            <w:r w:rsidRPr="00387AB6">
              <w:rPr>
                <w:rFonts w:cs="Calibri"/>
                <w:color w:val="000000"/>
                <w:sz w:val="24"/>
                <w:szCs w:val="24"/>
              </w:rPr>
              <w:t> </w:t>
            </w:r>
          </w:p>
        </w:tc>
      </w:tr>
      <w:tr w:rsidRPr="00387AB6" w:rsidR="00964BFC" w:rsidTr="00964BFC" w14:paraId="603F7E23" w14:textId="77777777">
        <w:trPr>
          <w:trHeight w:val="300"/>
        </w:trPr>
        <w:tc>
          <w:tcPr>
            <w:tcW w:w="5750" w:type="dxa"/>
            <w:tcBorders>
              <w:top w:val="single" w:color="auto" w:sz="4" w:space="0"/>
              <w:left w:val="single" w:color="auto" w:sz="4" w:space="0"/>
              <w:bottom w:val="single" w:color="auto" w:sz="4" w:space="0"/>
              <w:right w:val="single" w:color="auto" w:sz="4" w:space="0"/>
            </w:tcBorders>
            <w:shd w:val="clear" w:color="000000" w:fill="BFBFBF"/>
            <w:noWrap/>
            <w:vAlign w:val="bottom"/>
            <w:hideMark/>
          </w:tcPr>
          <w:p w:rsidRPr="00387AB6" w:rsidR="0081439C" w:rsidP="00573A19" w:rsidRDefault="0081439C" w14:paraId="45B703CB" w14:textId="77777777">
            <w:pPr>
              <w:rPr>
                <w:rFonts w:cs="Calibri"/>
                <w:i/>
                <w:iCs/>
                <w:color w:val="000000"/>
                <w:sz w:val="24"/>
                <w:szCs w:val="24"/>
              </w:rPr>
            </w:pPr>
            <w:r w:rsidRPr="00387AB6">
              <w:rPr>
                <w:rFonts w:cs="Calibri"/>
                <w:i/>
                <w:iCs/>
                <w:color w:val="000000"/>
                <w:sz w:val="24"/>
                <w:szCs w:val="24"/>
              </w:rPr>
              <w:t>Solar PV Customers</w:t>
            </w:r>
          </w:p>
        </w:tc>
        <w:tc>
          <w:tcPr>
            <w:tcW w:w="1302" w:type="dxa"/>
            <w:tcBorders>
              <w:top w:val="single" w:color="auto" w:sz="4" w:space="0"/>
              <w:left w:val="single" w:color="auto" w:sz="4" w:space="0"/>
              <w:bottom w:val="single" w:color="auto" w:sz="4" w:space="0"/>
              <w:right w:val="nil"/>
            </w:tcBorders>
            <w:shd w:val="clear" w:color="000000" w:fill="BFBFBF"/>
            <w:noWrap/>
            <w:vAlign w:val="bottom"/>
            <w:hideMark/>
          </w:tcPr>
          <w:p w:rsidRPr="00387AB6" w:rsidR="0081439C" w:rsidP="00573A19" w:rsidRDefault="0081439C" w14:paraId="19195312" w14:textId="77777777">
            <w:pPr>
              <w:rPr>
                <w:rFonts w:cs="Calibri"/>
                <w:i/>
                <w:iCs/>
                <w:color w:val="000000"/>
                <w:sz w:val="24"/>
                <w:szCs w:val="24"/>
              </w:rPr>
            </w:pPr>
            <w:r w:rsidRPr="00387AB6">
              <w:rPr>
                <w:rFonts w:cs="Calibri"/>
                <w:i/>
                <w:iCs/>
                <w:color w:val="000000"/>
                <w:sz w:val="24"/>
                <w:szCs w:val="24"/>
              </w:rPr>
              <w:t> </w:t>
            </w:r>
          </w:p>
        </w:tc>
        <w:tc>
          <w:tcPr>
            <w:tcW w:w="1246" w:type="dxa"/>
            <w:tcBorders>
              <w:top w:val="single" w:color="auto" w:sz="4" w:space="0"/>
              <w:left w:val="nil"/>
              <w:bottom w:val="single" w:color="auto" w:sz="4" w:space="0"/>
              <w:right w:val="nil"/>
            </w:tcBorders>
            <w:shd w:val="clear" w:color="000000" w:fill="BFBFBF"/>
            <w:noWrap/>
            <w:vAlign w:val="bottom"/>
            <w:hideMark/>
          </w:tcPr>
          <w:p w:rsidRPr="00387AB6" w:rsidR="0081439C" w:rsidP="00573A19" w:rsidRDefault="0081439C" w14:paraId="7B94A896" w14:textId="77777777">
            <w:pPr>
              <w:rPr>
                <w:rFonts w:cs="Calibri"/>
                <w:i/>
                <w:iCs/>
                <w:color w:val="000000"/>
                <w:sz w:val="24"/>
                <w:szCs w:val="24"/>
              </w:rPr>
            </w:pPr>
            <w:r w:rsidRPr="00387AB6">
              <w:rPr>
                <w:rFonts w:cs="Calibri"/>
                <w:i/>
                <w:iCs/>
                <w:color w:val="000000"/>
                <w:sz w:val="24"/>
                <w:szCs w:val="24"/>
              </w:rPr>
              <w:t> </w:t>
            </w:r>
          </w:p>
        </w:tc>
        <w:tc>
          <w:tcPr>
            <w:tcW w:w="1302" w:type="dxa"/>
            <w:tcBorders>
              <w:top w:val="single" w:color="auto" w:sz="4" w:space="0"/>
              <w:left w:val="nil"/>
              <w:bottom w:val="single" w:color="auto" w:sz="4" w:space="0"/>
              <w:right w:val="nil"/>
            </w:tcBorders>
            <w:shd w:val="clear" w:color="000000" w:fill="BFBFBF"/>
            <w:noWrap/>
            <w:vAlign w:val="bottom"/>
            <w:hideMark/>
          </w:tcPr>
          <w:p w:rsidRPr="00387AB6" w:rsidR="0081439C" w:rsidP="00573A19" w:rsidRDefault="0081439C" w14:paraId="11147489" w14:textId="77777777">
            <w:pPr>
              <w:rPr>
                <w:rFonts w:cs="Calibri"/>
                <w:i/>
                <w:iCs/>
                <w:color w:val="000000"/>
                <w:sz w:val="24"/>
                <w:szCs w:val="24"/>
              </w:rPr>
            </w:pPr>
            <w:r w:rsidRPr="00387AB6">
              <w:rPr>
                <w:rFonts w:cs="Calibri"/>
                <w:i/>
                <w:iCs/>
                <w:color w:val="000000"/>
                <w:sz w:val="24"/>
                <w:szCs w:val="24"/>
              </w:rPr>
              <w:t> </w:t>
            </w:r>
          </w:p>
        </w:tc>
        <w:tc>
          <w:tcPr>
            <w:tcW w:w="1246" w:type="dxa"/>
            <w:tcBorders>
              <w:top w:val="single" w:color="auto" w:sz="4" w:space="0"/>
              <w:left w:val="nil"/>
              <w:bottom w:val="single" w:color="auto" w:sz="4" w:space="0"/>
              <w:right w:val="nil"/>
            </w:tcBorders>
            <w:shd w:val="clear" w:color="000000" w:fill="BFBFBF"/>
            <w:noWrap/>
            <w:vAlign w:val="bottom"/>
            <w:hideMark/>
          </w:tcPr>
          <w:p w:rsidRPr="00387AB6" w:rsidR="0081439C" w:rsidP="00573A19" w:rsidRDefault="0081439C" w14:paraId="58C770ED" w14:textId="77777777">
            <w:pPr>
              <w:rPr>
                <w:rFonts w:cs="Calibri"/>
                <w:i/>
                <w:iCs/>
                <w:color w:val="000000"/>
                <w:sz w:val="24"/>
                <w:szCs w:val="24"/>
              </w:rPr>
            </w:pPr>
            <w:r w:rsidRPr="00387AB6">
              <w:rPr>
                <w:rFonts w:cs="Calibri"/>
                <w:i/>
                <w:iCs/>
                <w:color w:val="000000"/>
                <w:sz w:val="24"/>
                <w:szCs w:val="24"/>
              </w:rPr>
              <w:t> </w:t>
            </w:r>
          </w:p>
        </w:tc>
        <w:tc>
          <w:tcPr>
            <w:tcW w:w="1302" w:type="dxa"/>
            <w:tcBorders>
              <w:top w:val="single" w:color="auto" w:sz="4" w:space="0"/>
              <w:left w:val="nil"/>
              <w:bottom w:val="single" w:color="auto" w:sz="4" w:space="0"/>
              <w:right w:val="nil"/>
            </w:tcBorders>
            <w:shd w:val="clear" w:color="000000" w:fill="BFBFBF"/>
            <w:noWrap/>
            <w:vAlign w:val="bottom"/>
            <w:hideMark/>
          </w:tcPr>
          <w:p w:rsidRPr="00387AB6" w:rsidR="0081439C" w:rsidP="00573A19" w:rsidRDefault="0081439C" w14:paraId="76442709" w14:textId="77777777">
            <w:pPr>
              <w:rPr>
                <w:rFonts w:cs="Calibri"/>
                <w:i/>
                <w:iCs/>
                <w:color w:val="000000"/>
                <w:sz w:val="24"/>
                <w:szCs w:val="24"/>
              </w:rPr>
            </w:pPr>
            <w:r w:rsidRPr="00387AB6">
              <w:rPr>
                <w:rFonts w:cs="Calibri"/>
                <w:i/>
                <w:iCs/>
                <w:color w:val="000000"/>
                <w:sz w:val="24"/>
                <w:szCs w:val="24"/>
              </w:rPr>
              <w:t> </w:t>
            </w:r>
          </w:p>
        </w:tc>
        <w:tc>
          <w:tcPr>
            <w:tcW w:w="1246" w:type="dxa"/>
            <w:tcBorders>
              <w:top w:val="single" w:color="auto" w:sz="4" w:space="0"/>
              <w:left w:val="nil"/>
              <w:bottom w:val="single" w:color="auto" w:sz="4" w:space="0"/>
              <w:right w:val="nil"/>
            </w:tcBorders>
            <w:shd w:val="clear" w:color="000000" w:fill="BFBFBF"/>
            <w:noWrap/>
            <w:vAlign w:val="bottom"/>
            <w:hideMark/>
          </w:tcPr>
          <w:p w:rsidRPr="00387AB6" w:rsidR="0081439C" w:rsidP="00573A19" w:rsidRDefault="0081439C" w14:paraId="2F9A7689" w14:textId="77777777">
            <w:pPr>
              <w:rPr>
                <w:rFonts w:cs="Calibri"/>
                <w:i/>
                <w:iCs/>
                <w:color w:val="000000"/>
                <w:sz w:val="24"/>
                <w:szCs w:val="24"/>
              </w:rPr>
            </w:pPr>
            <w:r w:rsidRPr="00387AB6">
              <w:rPr>
                <w:rFonts w:cs="Calibri"/>
                <w:i/>
                <w:iCs/>
                <w:color w:val="000000"/>
                <w:sz w:val="24"/>
                <w:szCs w:val="24"/>
              </w:rPr>
              <w:t> </w:t>
            </w:r>
          </w:p>
        </w:tc>
        <w:tc>
          <w:tcPr>
            <w:tcW w:w="1302" w:type="dxa"/>
            <w:tcBorders>
              <w:top w:val="single" w:color="auto" w:sz="4" w:space="0"/>
              <w:left w:val="nil"/>
              <w:bottom w:val="single" w:color="auto" w:sz="4" w:space="0"/>
              <w:right w:val="nil"/>
            </w:tcBorders>
            <w:shd w:val="clear" w:color="000000" w:fill="BFBFBF"/>
            <w:noWrap/>
            <w:vAlign w:val="bottom"/>
            <w:hideMark/>
          </w:tcPr>
          <w:p w:rsidRPr="00387AB6" w:rsidR="0081439C" w:rsidP="00573A19" w:rsidRDefault="0081439C" w14:paraId="53C23FC2" w14:textId="77777777">
            <w:pPr>
              <w:rPr>
                <w:rFonts w:cs="Calibri"/>
                <w:i/>
                <w:iCs/>
                <w:color w:val="000000"/>
                <w:sz w:val="24"/>
                <w:szCs w:val="24"/>
              </w:rPr>
            </w:pPr>
            <w:r w:rsidRPr="00387AB6">
              <w:rPr>
                <w:rFonts w:cs="Calibri"/>
                <w:i/>
                <w:iCs/>
                <w:color w:val="000000"/>
                <w:sz w:val="24"/>
                <w:szCs w:val="24"/>
              </w:rPr>
              <w:t> </w:t>
            </w:r>
          </w:p>
        </w:tc>
        <w:tc>
          <w:tcPr>
            <w:tcW w:w="1246" w:type="dxa"/>
            <w:tcBorders>
              <w:top w:val="single" w:color="auto" w:sz="4" w:space="0"/>
              <w:left w:val="nil"/>
              <w:bottom w:val="single" w:color="auto" w:sz="4" w:space="0"/>
              <w:right w:val="nil"/>
            </w:tcBorders>
            <w:shd w:val="clear" w:color="000000" w:fill="BFBFBF"/>
            <w:noWrap/>
            <w:vAlign w:val="bottom"/>
            <w:hideMark/>
          </w:tcPr>
          <w:p w:rsidRPr="00387AB6" w:rsidR="0081439C" w:rsidP="00573A19" w:rsidRDefault="0081439C" w14:paraId="5E14D515" w14:textId="77777777">
            <w:pPr>
              <w:rPr>
                <w:rFonts w:cs="Calibri"/>
                <w:i/>
                <w:iCs/>
                <w:color w:val="000000"/>
                <w:sz w:val="24"/>
                <w:szCs w:val="24"/>
              </w:rPr>
            </w:pPr>
            <w:r w:rsidRPr="00387AB6">
              <w:rPr>
                <w:rFonts w:cs="Calibri"/>
                <w:i/>
                <w:iCs/>
                <w:color w:val="000000"/>
                <w:sz w:val="24"/>
                <w:szCs w:val="24"/>
              </w:rPr>
              <w:t> </w:t>
            </w:r>
          </w:p>
        </w:tc>
      </w:tr>
      <w:tr w:rsidRPr="00387AB6" w:rsidR="0081439C" w:rsidTr="00964BFC" w14:paraId="06DE46FC" w14:textId="77777777">
        <w:trPr>
          <w:trHeight w:val="278"/>
        </w:trPr>
        <w:tc>
          <w:tcPr>
            <w:tcW w:w="575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387AB6" w:rsidR="0081439C" w:rsidP="00573A19" w:rsidRDefault="0081439C" w14:paraId="7ED6FA0D" w14:textId="77777777">
            <w:pPr>
              <w:rPr>
                <w:rFonts w:cs="Calibri"/>
                <w:color w:val="000000"/>
                <w:sz w:val="24"/>
                <w:szCs w:val="24"/>
              </w:rPr>
            </w:pPr>
            <w:r w:rsidRPr="00387AB6">
              <w:rPr>
                <w:rFonts w:cs="Calibri"/>
                <w:color w:val="000000"/>
                <w:sz w:val="24"/>
                <w:szCs w:val="24"/>
              </w:rPr>
              <w:t>Number of Customers with Onsite Solar Generation</w:t>
            </w:r>
          </w:p>
        </w:tc>
        <w:tc>
          <w:tcPr>
            <w:tcW w:w="1302" w:type="dxa"/>
            <w:tcBorders>
              <w:top w:val="nil"/>
              <w:left w:val="single" w:color="auto" w:sz="4" w:space="0"/>
              <w:bottom w:val="single" w:color="auto" w:sz="4" w:space="0"/>
              <w:right w:val="single" w:color="auto" w:sz="4" w:space="0"/>
            </w:tcBorders>
            <w:shd w:val="clear" w:color="auto" w:fill="auto"/>
            <w:noWrap/>
            <w:vAlign w:val="bottom"/>
            <w:hideMark/>
          </w:tcPr>
          <w:p w:rsidRPr="00387AB6" w:rsidR="0081439C" w:rsidP="00573A19" w:rsidRDefault="0081439C" w14:paraId="1843AFCC"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4" w:space="0"/>
              <w:right w:val="double" w:color="auto" w:sz="6" w:space="0"/>
            </w:tcBorders>
            <w:shd w:val="clear" w:color="auto" w:fill="auto"/>
            <w:noWrap/>
            <w:vAlign w:val="bottom"/>
            <w:hideMark/>
          </w:tcPr>
          <w:p w:rsidRPr="00387AB6" w:rsidR="0081439C" w:rsidP="00573A19" w:rsidRDefault="0081439C" w14:paraId="77BBEE50" w14:textId="77777777">
            <w:pPr>
              <w:rPr>
                <w:rFonts w:cs="Calibri"/>
                <w:color w:val="000000"/>
                <w:sz w:val="24"/>
                <w:szCs w:val="24"/>
              </w:rPr>
            </w:pPr>
            <w:r w:rsidRPr="00387AB6">
              <w:rPr>
                <w:rFonts w:cs="Calibri"/>
                <w:color w:val="000000"/>
                <w:sz w:val="24"/>
                <w:szCs w:val="24"/>
              </w:rPr>
              <w:t> </w:t>
            </w:r>
          </w:p>
        </w:tc>
        <w:tc>
          <w:tcPr>
            <w:tcW w:w="1302" w:type="dxa"/>
            <w:tcBorders>
              <w:top w:val="nil"/>
              <w:left w:val="nil"/>
              <w:bottom w:val="single" w:color="auto" w:sz="4" w:space="0"/>
              <w:right w:val="nil"/>
            </w:tcBorders>
            <w:shd w:val="clear" w:color="auto" w:fill="auto"/>
            <w:noWrap/>
            <w:vAlign w:val="bottom"/>
            <w:hideMark/>
          </w:tcPr>
          <w:p w:rsidRPr="00387AB6" w:rsidR="0081439C" w:rsidP="00573A19" w:rsidRDefault="0081439C" w14:paraId="7FB25EA8"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4" w:space="0"/>
              <w:right w:val="nil"/>
            </w:tcBorders>
            <w:shd w:val="clear" w:color="auto" w:fill="auto"/>
            <w:noWrap/>
            <w:vAlign w:val="bottom"/>
            <w:hideMark/>
          </w:tcPr>
          <w:p w:rsidRPr="00387AB6" w:rsidR="0081439C" w:rsidP="00573A19" w:rsidRDefault="0081439C" w14:paraId="78E64CF0" w14:textId="77777777">
            <w:pPr>
              <w:rPr>
                <w:rFonts w:cs="Calibri"/>
                <w:color w:val="000000"/>
                <w:sz w:val="24"/>
                <w:szCs w:val="24"/>
              </w:rPr>
            </w:pPr>
            <w:r w:rsidRPr="00387AB6">
              <w:rPr>
                <w:rFonts w:cs="Calibri"/>
                <w:color w:val="000000"/>
                <w:sz w:val="24"/>
                <w:szCs w:val="24"/>
              </w:rPr>
              <w:t> </w:t>
            </w:r>
          </w:p>
        </w:tc>
        <w:tc>
          <w:tcPr>
            <w:tcW w:w="1302" w:type="dxa"/>
            <w:tcBorders>
              <w:top w:val="nil"/>
              <w:left w:val="double" w:color="auto" w:sz="6" w:space="0"/>
              <w:bottom w:val="single" w:color="auto" w:sz="4" w:space="0"/>
              <w:right w:val="single" w:color="auto" w:sz="4" w:space="0"/>
            </w:tcBorders>
            <w:shd w:val="clear" w:color="auto" w:fill="auto"/>
            <w:noWrap/>
            <w:vAlign w:val="bottom"/>
            <w:hideMark/>
          </w:tcPr>
          <w:p w:rsidRPr="00387AB6" w:rsidR="0081439C" w:rsidP="00573A19" w:rsidRDefault="0081439C" w14:paraId="36228168"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4" w:space="0"/>
              <w:right w:val="double" w:color="auto" w:sz="6" w:space="0"/>
            </w:tcBorders>
            <w:shd w:val="clear" w:color="auto" w:fill="auto"/>
            <w:noWrap/>
            <w:vAlign w:val="bottom"/>
            <w:hideMark/>
          </w:tcPr>
          <w:p w:rsidRPr="00387AB6" w:rsidR="0081439C" w:rsidP="00573A19" w:rsidRDefault="0081439C" w14:paraId="64CB541C" w14:textId="77777777">
            <w:pPr>
              <w:rPr>
                <w:rFonts w:cs="Calibri"/>
                <w:color w:val="000000"/>
                <w:sz w:val="24"/>
                <w:szCs w:val="24"/>
              </w:rPr>
            </w:pPr>
            <w:r w:rsidRPr="00387AB6">
              <w:rPr>
                <w:rFonts w:cs="Calibri"/>
                <w:color w:val="000000"/>
                <w:sz w:val="24"/>
                <w:szCs w:val="24"/>
              </w:rPr>
              <w:t> </w:t>
            </w:r>
          </w:p>
        </w:tc>
        <w:tc>
          <w:tcPr>
            <w:tcW w:w="1302" w:type="dxa"/>
            <w:tcBorders>
              <w:top w:val="nil"/>
              <w:left w:val="nil"/>
              <w:bottom w:val="single" w:color="auto" w:sz="4" w:space="0"/>
              <w:right w:val="single" w:color="auto" w:sz="4" w:space="0"/>
            </w:tcBorders>
            <w:shd w:val="clear" w:color="auto" w:fill="auto"/>
            <w:noWrap/>
            <w:vAlign w:val="bottom"/>
            <w:hideMark/>
          </w:tcPr>
          <w:p w:rsidRPr="00387AB6" w:rsidR="0081439C" w:rsidP="00573A19" w:rsidRDefault="0081439C" w14:paraId="6766B480"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4" w:space="0"/>
              <w:right w:val="single" w:color="auto" w:sz="8" w:space="0"/>
            </w:tcBorders>
            <w:shd w:val="clear" w:color="auto" w:fill="auto"/>
            <w:noWrap/>
            <w:vAlign w:val="bottom"/>
            <w:hideMark/>
          </w:tcPr>
          <w:p w:rsidRPr="00387AB6" w:rsidR="0081439C" w:rsidP="00573A19" w:rsidRDefault="0081439C" w14:paraId="6A2775C7" w14:textId="77777777">
            <w:pPr>
              <w:rPr>
                <w:rFonts w:cs="Calibri"/>
                <w:color w:val="000000"/>
                <w:sz w:val="24"/>
                <w:szCs w:val="24"/>
              </w:rPr>
            </w:pPr>
            <w:r w:rsidRPr="00387AB6">
              <w:rPr>
                <w:rFonts w:cs="Calibri"/>
                <w:color w:val="000000"/>
                <w:sz w:val="24"/>
                <w:szCs w:val="24"/>
              </w:rPr>
              <w:t> </w:t>
            </w:r>
          </w:p>
        </w:tc>
      </w:tr>
      <w:tr w:rsidRPr="00387AB6" w:rsidR="0081439C" w:rsidTr="00964BFC" w14:paraId="079EDE46" w14:textId="77777777">
        <w:trPr>
          <w:trHeight w:val="260"/>
        </w:trPr>
        <w:tc>
          <w:tcPr>
            <w:tcW w:w="575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387AB6" w:rsidR="0081439C" w:rsidP="00573A19" w:rsidRDefault="0081439C" w14:paraId="1855F669" w14:textId="77777777">
            <w:pPr>
              <w:rPr>
                <w:rFonts w:cs="Calibri"/>
                <w:color w:val="000000"/>
                <w:sz w:val="24"/>
                <w:szCs w:val="24"/>
              </w:rPr>
            </w:pPr>
            <w:r w:rsidRPr="00387AB6">
              <w:rPr>
                <w:rFonts w:cs="Calibri"/>
                <w:color w:val="000000"/>
                <w:sz w:val="24"/>
                <w:szCs w:val="24"/>
              </w:rPr>
              <w:t>Number of Customers with Onsite Solar +Battery storage</w:t>
            </w:r>
          </w:p>
        </w:tc>
        <w:tc>
          <w:tcPr>
            <w:tcW w:w="1302" w:type="dxa"/>
            <w:tcBorders>
              <w:top w:val="nil"/>
              <w:left w:val="single" w:color="auto" w:sz="4" w:space="0"/>
              <w:bottom w:val="nil"/>
              <w:right w:val="single" w:color="auto" w:sz="4" w:space="0"/>
            </w:tcBorders>
            <w:shd w:val="clear" w:color="auto" w:fill="auto"/>
            <w:noWrap/>
            <w:vAlign w:val="bottom"/>
            <w:hideMark/>
          </w:tcPr>
          <w:p w:rsidRPr="00387AB6" w:rsidR="0081439C" w:rsidP="00573A19" w:rsidRDefault="0081439C" w14:paraId="34DACAD9"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nil"/>
              <w:right w:val="double" w:color="auto" w:sz="6" w:space="0"/>
            </w:tcBorders>
            <w:shd w:val="clear" w:color="auto" w:fill="auto"/>
            <w:noWrap/>
            <w:vAlign w:val="bottom"/>
            <w:hideMark/>
          </w:tcPr>
          <w:p w:rsidRPr="00387AB6" w:rsidR="0081439C" w:rsidP="00573A19" w:rsidRDefault="0081439C" w14:paraId="48A4C338" w14:textId="77777777">
            <w:pPr>
              <w:rPr>
                <w:rFonts w:cs="Calibri"/>
                <w:color w:val="000000"/>
                <w:sz w:val="24"/>
                <w:szCs w:val="24"/>
              </w:rPr>
            </w:pPr>
            <w:r w:rsidRPr="00387AB6">
              <w:rPr>
                <w:rFonts w:cs="Calibri"/>
                <w:color w:val="000000"/>
                <w:sz w:val="24"/>
                <w:szCs w:val="24"/>
              </w:rPr>
              <w:t> </w:t>
            </w:r>
          </w:p>
        </w:tc>
        <w:tc>
          <w:tcPr>
            <w:tcW w:w="1302" w:type="dxa"/>
            <w:tcBorders>
              <w:top w:val="nil"/>
              <w:left w:val="nil"/>
              <w:bottom w:val="nil"/>
              <w:right w:val="nil"/>
            </w:tcBorders>
            <w:shd w:val="clear" w:color="auto" w:fill="auto"/>
            <w:noWrap/>
            <w:vAlign w:val="bottom"/>
            <w:hideMark/>
          </w:tcPr>
          <w:p w:rsidRPr="00387AB6" w:rsidR="0081439C" w:rsidP="00573A19" w:rsidRDefault="0081439C" w14:paraId="73E213C2"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nil"/>
              <w:right w:val="nil"/>
            </w:tcBorders>
            <w:shd w:val="clear" w:color="auto" w:fill="auto"/>
            <w:noWrap/>
            <w:vAlign w:val="bottom"/>
            <w:hideMark/>
          </w:tcPr>
          <w:p w:rsidRPr="00387AB6" w:rsidR="0081439C" w:rsidP="00573A19" w:rsidRDefault="0081439C" w14:paraId="431CE034" w14:textId="77777777">
            <w:pPr>
              <w:rPr>
                <w:rFonts w:cs="Calibri"/>
                <w:color w:val="000000"/>
                <w:sz w:val="24"/>
                <w:szCs w:val="24"/>
              </w:rPr>
            </w:pPr>
            <w:r w:rsidRPr="00387AB6">
              <w:rPr>
                <w:rFonts w:cs="Calibri"/>
                <w:color w:val="000000"/>
                <w:sz w:val="24"/>
                <w:szCs w:val="24"/>
              </w:rPr>
              <w:t> </w:t>
            </w:r>
          </w:p>
        </w:tc>
        <w:tc>
          <w:tcPr>
            <w:tcW w:w="1302" w:type="dxa"/>
            <w:tcBorders>
              <w:top w:val="nil"/>
              <w:left w:val="double" w:color="auto" w:sz="6" w:space="0"/>
              <w:bottom w:val="nil"/>
              <w:right w:val="single" w:color="auto" w:sz="4" w:space="0"/>
            </w:tcBorders>
            <w:shd w:val="clear" w:color="auto" w:fill="auto"/>
            <w:noWrap/>
            <w:vAlign w:val="bottom"/>
            <w:hideMark/>
          </w:tcPr>
          <w:p w:rsidRPr="00387AB6" w:rsidR="0081439C" w:rsidP="00573A19" w:rsidRDefault="0081439C" w14:paraId="45D205EE"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nil"/>
              <w:right w:val="double" w:color="auto" w:sz="6" w:space="0"/>
            </w:tcBorders>
            <w:shd w:val="clear" w:color="auto" w:fill="auto"/>
            <w:noWrap/>
            <w:vAlign w:val="bottom"/>
            <w:hideMark/>
          </w:tcPr>
          <w:p w:rsidRPr="00387AB6" w:rsidR="0081439C" w:rsidP="00573A19" w:rsidRDefault="0081439C" w14:paraId="253A498A" w14:textId="77777777">
            <w:pPr>
              <w:rPr>
                <w:rFonts w:cs="Calibri"/>
                <w:color w:val="000000"/>
                <w:sz w:val="24"/>
                <w:szCs w:val="24"/>
              </w:rPr>
            </w:pPr>
            <w:r w:rsidRPr="00387AB6">
              <w:rPr>
                <w:rFonts w:cs="Calibri"/>
                <w:color w:val="000000"/>
                <w:sz w:val="24"/>
                <w:szCs w:val="24"/>
              </w:rPr>
              <w:t> </w:t>
            </w:r>
          </w:p>
        </w:tc>
        <w:tc>
          <w:tcPr>
            <w:tcW w:w="1302" w:type="dxa"/>
            <w:tcBorders>
              <w:top w:val="nil"/>
              <w:left w:val="nil"/>
              <w:bottom w:val="nil"/>
              <w:right w:val="single" w:color="auto" w:sz="4" w:space="0"/>
            </w:tcBorders>
            <w:shd w:val="clear" w:color="auto" w:fill="auto"/>
            <w:noWrap/>
            <w:vAlign w:val="bottom"/>
            <w:hideMark/>
          </w:tcPr>
          <w:p w:rsidRPr="00387AB6" w:rsidR="0081439C" w:rsidP="00573A19" w:rsidRDefault="0081439C" w14:paraId="4823F0F3"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nil"/>
              <w:right w:val="single" w:color="auto" w:sz="8" w:space="0"/>
            </w:tcBorders>
            <w:shd w:val="clear" w:color="auto" w:fill="auto"/>
            <w:noWrap/>
            <w:vAlign w:val="bottom"/>
            <w:hideMark/>
          </w:tcPr>
          <w:p w:rsidRPr="00387AB6" w:rsidR="0081439C" w:rsidP="00573A19" w:rsidRDefault="0081439C" w14:paraId="25DF6E80" w14:textId="77777777">
            <w:pPr>
              <w:rPr>
                <w:rFonts w:cs="Calibri"/>
                <w:color w:val="000000"/>
                <w:sz w:val="24"/>
                <w:szCs w:val="24"/>
              </w:rPr>
            </w:pPr>
            <w:r w:rsidRPr="00387AB6">
              <w:rPr>
                <w:rFonts w:cs="Calibri"/>
                <w:color w:val="000000"/>
                <w:sz w:val="24"/>
                <w:szCs w:val="24"/>
              </w:rPr>
              <w:t> </w:t>
            </w:r>
          </w:p>
        </w:tc>
      </w:tr>
      <w:tr w:rsidRPr="00387AB6" w:rsidR="0081439C" w:rsidTr="00964BFC" w14:paraId="5E250FD0" w14:textId="77777777">
        <w:trPr>
          <w:trHeight w:val="300"/>
        </w:trPr>
        <w:tc>
          <w:tcPr>
            <w:tcW w:w="5750" w:type="dxa"/>
            <w:tcBorders>
              <w:top w:val="single" w:color="auto" w:sz="4" w:space="0"/>
              <w:left w:val="single" w:color="auto" w:sz="4" w:space="0"/>
              <w:bottom w:val="single" w:color="auto" w:sz="4" w:space="0"/>
              <w:right w:val="single" w:color="auto" w:sz="4" w:space="0"/>
            </w:tcBorders>
            <w:shd w:val="clear" w:color="000000" w:fill="BFBFBF"/>
            <w:vAlign w:val="bottom"/>
            <w:hideMark/>
          </w:tcPr>
          <w:p w:rsidRPr="00387AB6" w:rsidR="0081439C" w:rsidP="00573A19" w:rsidRDefault="0081439C" w14:paraId="74C1D8A0" w14:textId="77777777">
            <w:pPr>
              <w:rPr>
                <w:rFonts w:cs="Calibri"/>
                <w:i/>
                <w:iCs/>
                <w:color w:val="000000"/>
                <w:sz w:val="24"/>
                <w:szCs w:val="24"/>
              </w:rPr>
            </w:pPr>
            <w:r w:rsidRPr="00387AB6">
              <w:rPr>
                <w:rFonts w:cs="Calibri"/>
                <w:i/>
                <w:iCs/>
                <w:color w:val="000000"/>
                <w:sz w:val="24"/>
                <w:szCs w:val="24"/>
              </w:rPr>
              <w:t>Master-metered Customers</w:t>
            </w:r>
          </w:p>
        </w:tc>
        <w:tc>
          <w:tcPr>
            <w:tcW w:w="1302" w:type="dxa"/>
            <w:tcBorders>
              <w:top w:val="single" w:color="auto" w:sz="4" w:space="0"/>
              <w:left w:val="single" w:color="auto" w:sz="4" w:space="0"/>
              <w:bottom w:val="single" w:color="auto" w:sz="4" w:space="0"/>
              <w:right w:val="single" w:color="auto" w:sz="4" w:space="0"/>
            </w:tcBorders>
            <w:shd w:val="clear" w:color="000000" w:fill="BFBFBF"/>
            <w:noWrap/>
            <w:vAlign w:val="bottom"/>
            <w:hideMark/>
          </w:tcPr>
          <w:p w:rsidRPr="00387AB6" w:rsidR="0081439C" w:rsidP="00573A19" w:rsidRDefault="0081439C" w14:paraId="4BA070FA" w14:textId="77777777">
            <w:pPr>
              <w:rPr>
                <w:rFonts w:cs="Calibri"/>
                <w:color w:val="000000"/>
                <w:sz w:val="24"/>
                <w:szCs w:val="24"/>
              </w:rPr>
            </w:pPr>
            <w:r w:rsidRPr="00387AB6">
              <w:rPr>
                <w:rFonts w:cs="Calibri"/>
                <w:color w:val="000000"/>
                <w:sz w:val="24"/>
                <w:szCs w:val="24"/>
              </w:rPr>
              <w:t> </w:t>
            </w:r>
          </w:p>
        </w:tc>
        <w:tc>
          <w:tcPr>
            <w:tcW w:w="1246" w:type="dxa"/>
            <w:tcBorders>
              <w:top w:val="single" w:color="auto" w:sz="4" w:space="0"/>
              <w:left w:val="nil"/>
              <w:bottom w:val="single" w:color="auto" w:sz="4" w:space="0"/>
              <w:right w:val="double" w:color="auto" w:sz="6" w:space="0"/>
            </w:tcBorders>
            <w:shd w:val="clear" w:color="000000" w:fill="BFBFBF"/>
            <w:noWrap/>
            <w:vAlign w:val="bottom"/>
            <w:hideMark/>
          </w:tcPr>
          <w:p w:rsidRPr="00387AB6" w:rsidR="0081439C" w:rsidP="00573A19" w:rsidRDefault="0081439C" w14:paraId="651B1497" w14:textId="77777777">
            <w:pPr>
              <w:rPr>
                <w:rFonts w:cs="Calibri"/>
                <w:color w:val="000000"/>
                <w:sz w:val="24"/>
                <w:szCs w:val="24"/>
              </w:rPr>
            </w:pPr>
            <w:r w:rsidRPr="00387AB6">
              <w:rPr>
                <w:rFonts w:cs="Calibri"/>
                <w:color w:val="000000"/>
                <w:sz w:val="24"/>
                <w:szCs w:val="24"/>
              </w:rPr>
              <w:t> </w:t>
            </w:r>
          </w:p>
        </w:tc>
        <w:tc>
          <w:tcPr>
            <w:tcW w:w="1302" w:type="dxa"/>
            <w:tcBorders>
              <w:top w:val="single" w:color="auto" w:sz="4" w:space="0"/>
              <w:left w:val="nil"/>
              <w:bottom w:val="single" w:color="auto" w:sz="4" w:space="0"/>
              <w:right w:val="nil"/>
            </w:tcBorders>
            <w:shd w:val="clear" w:color="000000" w:fill="BFBFBF"/>
            <w:noWrap/>
            <w:vAlign w:val="bottom"/>
            <w:hideMark/>
          </w:tcPr>
          <w:p w:rsidRPr="00387AB6" w:rsidR="0081439C" w:rsidP="00573A19" w:rsidRDefault="0081439C" w14:paraId="5AF1C2AA" w14:textId="77777777">
            <w:pPr>
              <w:rPr>
                <w:rFonts w:cs="Calibri"/>
                <w:color w:val="000000"/>
                <w:sz w:val="24"/>
                <w:szCs w:val="24"/>
              </w:rPr>
            </w:pPr>
            <w:r w:rsidRPr="00387AB6">
              <w:rPr>
                <w:rFonts w:cs="Calibri"/>
                <w:color w:val="000000"/>
                <w:sz w:val="24"/>
                <w:szCs w:val="24"/>
              </w:rPr>
              <w:t> </w:t>
            </w:r>
          </w:p>
        </w:tc>
        <w:tc>
          <w:tcPr>
            <w:tcW w:w="1246" w:type="dxa"/>
            <w:tcBorders>
              <w:top w:val="single" w:color="auto" w:sz="4" w:space="0"/>
              <w:left w:val="nil"/>
              <w:bottom w:val="single" w:color="auto" w:sz="4" w:space="0"/>
              <w:right w:val="nil"/>
            </w:tcBorders>
            <w:shd w:val="clear" w:color="000000" w:fill="BFBFBF"/>
            <w:noWrap/>
            <w:vAlign w:val="bottom"/>
            <w:hideMark/>
          </w:tcPr>
          <w:p w:rsidRPr="00387AB6" w:rsidR="0081439C" w:rsidP="00573A19" w:rsidRDefault="0081439C" w14:paraId="07C5DD7C" w14:textId="77777777">
            <w:pPr>
              <w:rPr>
                <w:rFonts w:cs="Calibri"/>
                <w:color w:val="000000"/>
                <w:sz w:val="24"/>
                <w:szCs w:val="24"/>
              </w:rPr>
            </w:pPr>
            <w:r w:rsidRPr="00387AB6">
              <w:rPr>
                <w:rFonts w:cs="Calibri"/>
                <w:color w:val="000000"/>
                <w:sz w:val="24"/>
                <w:szCs w:val="24"/>
              </w:rPr>
              <w:t> </w:t>
            </w:r>
          </w:p>
        </w:tc>
        <w:tc>
          <w:tcPr>
            <w:tcW w:w="1302" w:type="dxa"/>
            <w:tcBorders>
              <w:top w:val="single" w:color="auto" w:sz="4" w:space="0"/>
              <w:left w:val="double" w:color="auto" w:sz="6" w:space="0"/>
              <w:bottom w:val="single" w:color="auto" w:sz="4" w:space="0"/>
              <w:right w:val="single" w:color="auto" w:sz="4" w:space="0"/>
            </w:tcBorders>
            <w:shd w:val="clear" w:color="000000" w:fill="BFBFBF"/>
            <w:noWrap/>
            <w:vAlign w:val="bottom"/>
            <w:hideMark/>
          </w:tcPr>
          <w:p w:rsidRPr="00387AB6" w:rsidR="0081439C" w:rsidP="00573A19" w:rsidRDefault="0081439C" w14:paraId="4CCE9CD6" w14:textId="77777777">
            <w:pPr>
              <w:rPr>
                <w:rFonts w:cs="Calibri"/>
                <w:color w:val="000000"/>
                <w:sz w:val="24"/>
                <w:szCs w:val="24"/>
              </w:rPr>
            </w:pPr>
            <w:r w:rsidRPr="00387AB6">
              <w:rPr>
                <w:rFonts w:cs="Calibri"/>
                <w:color w:val="000000"/>
                <w:sz w:val="24"/>
                <w:szCs w:val="24"/>
              </w:rPr>
              <w:t> </w:t>
            </w:r>
          </w:p>
        </w:tc>
        <w:tc>
          <w:tcPr>
            <w:tcW w:w="1246" w:type="dxa"/>
            <w:tcBorders>
              <w:top w:val="single" w:color="auto" w:sz="4" w:space="0"/>
              <w:left w:val="nil"/>
              <w:bottom w:val="single" w:color="auto" w:sz="4" w:space="0"/>
              <w:right w:val="double" w:color="auto" w:sz="6" w:space="0"/>
            </w:tcBorders>
            <w:shd w:val="clear" w:color="000000" w:fill="BFBFBF"/>
            <w:noWrap/>
            <w:vAlign w:val="bottom"/>
            <w:hideMark/>
          </w:tcPr>
          <w:p w:rsidRPr="00387AB6" w:rsidR="0081439C" w:rsidP="00573A19" w:rsidRDefault="0081439C" w14:paraId="2D639FD3" w14:textId="77777777">
            <w:pPr>
              <w:rPr>
                <w:rFonts w:cs="Calibri"/>
                <w:color w:val="000000"/>
                <w:sz w:val="24"/>
                <w:szCs w:val="24"/>
              </w:rPr>
            </w:pPr>
            <w:r w:rsidRPr="00387AB6">
              <w:rPr>
                <w:rFonts w:cs="Calibri"/>
                <w:color w:val="000000"/>
                <w:sz w:val="24"/>
                <w:szCs w:val="24"/>
              </w:rPr>
              <w:t> </w:t>
            </w:r>
          </w:p>
        </w:tc>
        <w:tc>
          <w:tcPr>
            <w:tcW w:w="1302" w:type="dxa"/>
            <w:tcBorders>
              <w:top w:val="single" w:color="auto" w:sz="4" w:space="0"/>
              <w:left w:val="nil"/>
              <w:bottom w:val="single" w:color="auto" w:sz="4" w:space="0"/>
              <w:right w:val="single" w:color="auto" w:sz="4" w:space="0"/>
            </w:tcBorders>
            <w:shd w:val="clear" w:color="000000" w:fill="BFBFBF"/>
            <w:noWrap/>
            <w:vAlign w:val="bottom"/>
            <w:hideMark/>
          </w:tcPr>
          <w:p w:rsidRPr="00387AB6" w:rsidR="0081439C" w:rsidP="00573A19" w:rsidRDefault="0081439C" w14:paraId="61F73293" w14:textId="77777777">
            <w:pPr>
              <w:rPr>
                <w:rFonts w:cs="Calibri"/>
                <w:color w:val="000000"/>
                <w:sz w:val="24"/>
                <w:szCs w:val="24"/>
              </w:rPr>
            </w:pPr>
            <w:r w:rsidRPr="00387AB6">
              <w:rPr>
                <w:rFonts w:cs="Calibri"/>
                <w:color w:val="000000"/>
                <w:sz w:val="24"/>
                <w:szCs w:val="24"/>
              </w:rPr>
              <w:t> </w:t>
            </w:r>
          </w:p>
        </w:tc>
        <w:tc>
          <w:tcPr>
            <w:tcW w:w="1246" w:type="dxa"/>
            <w:tcBorders>
              <w:top w:val="single" w:color="auto" w:sz="4" w:space="0"/>
              <w:left w:val="nil"/>
              <w:bottom w:val="single" w:color="auto" w:sz="4" w:space="0"/>
              <w:right w:val="single" w:color="auto" w:sz="8" w:space="0"/>
            </w:tcBorders>
            <w:shd w:val="clear" w:color="000000" w:fill="BFBFBF"/>
            <w:noWrap/>
            <w:vAlign w:val="bottom"/>
            <w:hideMark/>
          </w:tcPr>
          <w:p w:rsidRPr="00387AB6" w:rsidR="0081439C" w:rsidP="00573A19" w:rsidRDefault="0081439C" w14:paraId="635C11D5" w14:textId="77777777">
            <w:pPr>
              <w:rPr>
                <w:rFonts w:cs="Calibri"/>
                <w:color w:val="000000"/>
                <w:sz w:val="24"/>
                <w:szCs w:val="24"/>
              </w:rPr>
            </w:pPr>
            <w:r w:rsidRPr="00387AB6">
              <w:rPr>
                <w:rFonts w:cs="Calibri"/>
                <w:color w:val="000000"/>
                <w:sz w:val="24"/>
                <w:szCs w:val="24"/>
              </w:rPr>
              <w:t> </w:t>
            </w:r>
          </w:p>
        </w:tc>
      </w:tr>
      <w:tr w:rsidRPr="00387AB6" w:rsidR="0081439C" w:rsidTr="00964BFC" w14:paraId="5C44E189" w14:textId="77777777">
        <w:trPr>
          <w:trHeight w:val="305"/>
        </w:trPr>
        <w:tc>
          <w:tcPr>
            <w:tcW w:w="575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387AB6" w:rsidR="0081439C" w:rsidP="00573A19" w:rsidRDefault="0081439C" w14:paraId="4EDC8CEE" w14:textId="77777777">
            <w:pPr>
              <w:rPr>
                <w:rFonts w:cs="Calibri"/>
                <w:color w:val="000000"/>
                <w:sz w:val="24"/>
                <w:szCs w:val="24"/>
              </w:rPr>
            </w:pPr>
            <w:r w:rsidRPr="00387AB6">
              <w:rPr>
                <w:rFonts w:cs="Calibri"/>
                <w:color w:val="000000"/>
                <w:sz w:val="24"/>
                <w:szCs w:val="24"/>
              </w:rPr>
              <w:t>Number of Master-metered customers</w:t>
            </w:r>
          </w:p>
        </w:tc>
        <w:tc>
          <w:tcPr>
            <w:tcW w:w="1302" w:type="dxa"/>
            <w:tcBorders>
              <w:top w:val="nil"/>
              <w:left w:val="single" w:color="auto" w:sz="4" w:space="0"/>
              <w:bottom w:val="single" w:color="auto" w:sz="4" w:space="0"/>
              <w:right w:val="single" w:color="auto" w:sz="4" w:space="0"/>
            </w:tcBorders>
            <w:shd w:val="clear" w:color="auto" w:fill="auto"/>
            <w:noWrap/>
            <w:vAlign w:val="bottom"/>
            <w:hideMark/>
          </w:tcPr>
          <w:p w:rsidRPr="00387AB6" w:rsidR="0081439C" w:rsidP="00573A19" w:rsidRDefault="0081439C" w14:paraId="7E1775A7"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4" w:space="0"/>
              <w:right w:val="double" w:color="auto" w:sz="6" w:space="0"/>
            </w:tcBorders>
            <w:shd w:val="clear" w:color="auto" w:fill="auto"/>
            <w:noWrap/>
            <w:vAlign w:val="bottom"/>
            <w:hideMark/>
          </w:tcPr>
          <w:p w:rsidRPr="00387AB6" w:rsidR="0081439C" w:rsidP="00573A19" w:rsidRDefault="0081439C" w14:paraId="650976C9" w14:textId="77777777">
            <w:pPr>
              <w:rPr>
                <w:rFonts w:cs="Calibri"/>
                <w:color w:val="000000"/>
                <w:sz w:val="24"/>
                <w:szCs w:val="24"/>
              </w:rPr>
            </w:pPr>
            <w:r w:rsidRPr="00387AB6">
              <w:rPr>
                <w:rFonts w:cs="Calibri"/>
                <w:color w:val="000000"/>
                <w:sz w:val="24"/>
                <w:szCs w:val="24"/>
              </w:rPr>
              <w:t> </w:t>
            </w:r>
          </w:p>
        </w:tc>
        <w:tc>
          <w:tcPr>
            <w:tcW w:w="1302" w:type="dxa"/>
            <w:tcBorders>
              <w:top w:val="nil"/>
              <w:left w:val="nil"/>
              <w:bottom w:val="single" w:color="auto" w:sz="4" w:space="0"/>
              <w:right w:val="nil"/>
            </w:tcBorders>
            <w:shd w:val="clear" w:color="auto" w:fill="auto"/>
            <w:noWrap/>
            <w:vAlign w:val="bottom"/>
            <w:hideMark/>
          </w:tcPr>
          <w:p w:rsidRPr="00387AB6" w:rsidR="0081439C" w:rsidP="00573A19" w:rsidRDefault="0081439C" w14:paraId="371EE53F"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4" w:space="0"/>
              <w:right w:val="nil"/>
            </w:tcBorders>
            <w:shd w:val="clear" w:color="auto" w:fill="auto"/>
            <w:noWrap/>
            <w:vAlign w:val="bottom"/>
            <w:hideMark/>
          </w:tcPr>
          <w:p w:rsidRPr="00387AB6" w:rsidR="0081439C" w:rsidP="00573A19" w:rsidRDefault="0081439C" w14:paraId="374D6EC4" w14:textId="77777777">
            <w:pPr>
              <w:rPr>
                <w:rFonts w:cs="Calibri"/>
                <w:color w:val="000000"/>
                <w:sz w:val="24"/>
                <w:szCs w:val="24"/>
              </w:rPr>
            </w:pPr>
            <w:r w:rsidRPr="00387AB6">
              <w:rPr>
                <w:rFonts w:cs="Calibri"/>
                <w:color w:val="000000"/>
                <w:sz w:val="24"/>
                <w:szCs w:val="24"/>
              </w:rPr>
              <w:t> </w:t>
            </w:r>
          </w:p>
        </w:tc>
        <w:tc>
          <w:tcPr>
            <w:tcW w:w="1302" w:type="dxa"/>
            <w:tcBorders>
              <w:top w:val="nil"/>
              <w:left w:val="double" w:color="auto" w:sz="6" w:space="0"/>
              <w:bottom w:val="single" w:color="auto" w:sz="4" w:space="0"/>
              <w:right w:val="single" w:color="auto" w:sz="4" w:space="0"/>
            </w:tcBorders>
            <w:shd w:val="clear" w:color="auto" w:fill="auto"/>
            <w:noWrap/>
            <w:vAlign w:val="bottom"/>
            <w:hideMark/>
          </w:tcPr>
          <w:p w:rsidRPr="00387AB6" w:rsidR="0081439C" w:rsidP="00573A19" w:rsidRDefault="0081439C" w14:paraId="309F169E"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4" w:space="0"/>
              <w:right w:val="double" w:color="auto" w:sz="6" w:space="0"/>
            </w:tcBorders>
            <w:shd w:val="clear" w:color="auto" w:fill="auto"/>
            <w:noWrap/>
            <w:vAlign w:val="bottom"/>
            <w:hideMark/>
          </w:tcPr>
          <w:p w:rsidRPr="00387AB6" w:rsidR="0081439C" w:rsidP="00573A19" w:rsidRDefault="0081439C" w14:paraId="623374D4" w14:textId="77777777">
            <w:pPr>
              <w:rPr>
                <w:rFonts w:cs="Calibri"/>
                <w:color w:val="000000"/>
                <w:sz w:val="24"/>
                <w:szCs w:val="24"/>
              </w:rPr>
            </w:pPr>
            <w:r w:rsidRPr="00387AB6">
              <w:rPr>
                <w:rFonts w:cs="Calibri"/>
                <w:color w:val="000000"/>
                <w:sz w:val="24"/>
                <w:szCs w:val="24"/>
              </w:rPr>
              <w:t> </w:t>
            </w:r>
          </w:p>
        </w:tc>
        <w:tc>
          <w:tcPr>
            <w:tcW w:w="1302" w:type="dxa"/>
            <w:tcBorders>
              <w:top w:val="nil"/>
              <w:left w:val="nil"/>
              <w:bottom w:val="single" w:color="auto" w:sz="4" w:space="0"/>
              <w:right w:val="single" w:color="auto" w:sz="4" w:space="0"/>
            </w:tcBorders>
            <w:shd w:val="clear" w:color="auto" w:fill="auto"/>
            <w:noWrap/>
            <w:vAlign w:val="bottom"/>
            <w:hideMark/>
          </w:tcPr>
          <w:p w:rsidRPr="00387AB6" w:rsidR="0081439C" w:rsidP="00573A19" w:rsidRDefault="0081439C" w14:paraId="6B15C327"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4" w:space="0"/>
              <w:right w:val="single" w:color="auto" w:sz="8" w:space="0"/>
            </w:tcBorders>
            <w:shd w:val="clear" w:color="auto" w:fill="auto"/>
            <w:noWrap/>
            <w:vAlign w:val="bottom"/>
            <w:hideMark/>
          </w:tcPr>
          <w:p w:rsidRPr="00387AB6" w:rsidR="0081439C" w:rsidP="00573A19" w:rsidRDefault="0081439C" w14:paraId="3CEC9CB7" w14:textId="77777777">
            <w:pPr>
              <w:rPr>
                <w:rFonts w:cs="Calibri"/>
                <w:color w:val="000000"/>
                <w:sz w:val="24"/>
                <w:szCs w:val="24"/>
              </w:rPr>
            </w:pPr>
            <w:r w:rsidRPr="00387AB6">
              <w:rPr>
                <w:rFonts w:cs="Calibri"/>
                <w:color w:val="000000"/>
                <w:sz w:val="24"/>
                <w:szCs w:val="24"/>
              </w:rPr>
              <w:t> </w:t>
            </w:r>
          </w:p>
        </w:tc>
      </w:tr>
    </w:tbl>
    <w:p w:rsidRPr="00387AB6" w:rsidR="00964BFC" w:rsidP="00573A19" w:rsidRDefault="00964BFC" w14:paraId="3762AD51" w14:textId="77777777">
      <w:pPr>
        <w:rPr>
          <w:sz w:val="24"/>
          <w:szCs w:val="24"/>
        </w:rPr>
      </w:pPr>
    </w:p>
    <w:p w:rsidRPr="00387AB6" w:rsidR="00573A19" w:rsidRDefault="00573A19" w14:paraId="33607B3A" w14:textId="77777777">
      <w:pPr>
        <w:rPr>
          <w:sz w:val="24"/>
          <w:szCs w:val="24"/>
        </w:rPr>
      </w:pPr>
      <w:r w:rsidRPr="00387AB6">
        <w:rPr>
          <w:sz w:val="24"/>
          <w:szCs w:val="24"/>
        </w:rPr>
        <w:br w:type="page"/>
      </w:r>
    </w:p>
    <w:tbl>
      <w:tblPr>
        <w:tblW w:w="17137" w:type="dxa"/>
        <w:tblLook w:val="04A0" w:firstRow="1" w:lastRow="0" w:firstColumn="1" w:lastColumn="0" w:noHBand="0" w:noVBand="1"/>
      </w:tblPr>
      <w:tblGrid>
        <w:gridCol w:w="5750"/>
        <w:gridCol w:w="1446"/>
        <w:gridCol w:w="1403"/>
        <w:gridCol w:w="1443"/>
        <w:gridCol w:w="1403"/>
        <w:gridCol w:w="1443"/>
        <w:gridCol w:w="1403"/>
        <w:gridCol w:w="1443"/>
        <w:gridCol w:w="1403"/>
      </w:tblGrid>
      <w:tr w:rsidRPr="00387AB6" w:rsidR="00964BFC" w:rsidTr="00573A19" w14:paraId="5996C0BD" w14:textId="77777777">
        <w:trPr>
          <w:trHeight w:val="134"/>
        </w:trPr>
        <w:tc>
          <w:tcPr>
            <w:tcW w:w="17137" w:type="dxa"/>
            <w:gridSpan w:val="9"/>
            <w:tcBorders>
              <w:top w:val="single" w:color="auto" w:sz="4" w:space="0"/>
              <w:left w:val="single" w:color="auto" w:sz="4" w:space="0"/>
              <w:bottom w:val="single" w:color="auto" w:sz="4" w:space="0"/>
              <w:right w:val="single" w:color="auto" w:sz="4" w:space="0"/>
            </w:tcBorders>
            <w:shd w:val="clear" w:color="auto" w:fill="FBD4B4" w:themeFill="accent6" w:themeFillTint="66"/>
            <w:noWrap/>
            <w:vAlign w:val="bottom"/>
            <w:hideMark/>
          </w:tcPr>
          <w:p w:rsidRPr="00387AB6" w:rsidR="00964BFC" w:rsidP="00573A19" w:rsidRDefault="00964BFC" w14:paraId="300C0E8B" w14:textId="1595EAE1">
            <w:pPr>
              <w:rPr>
                <w:rFonts w:cs="Calibri"/>
                <w:b/>
                <w:bCs/>
                <w:color w:val="000000"/>
                <w:sz w:val="24"/>
                <w:szCs w:val="24"/>
              </w:rPr>
            </w:pPr>
            <w:r w:rsidRPr="00387AB6">
              <w:rPr>
                <w:rFonts w:cs="Calibri"/>
                <w:b/>
                <w:bCs/>
                <w:color w:val="000000"/>
                <w:sz w:val="24"/>
                <w:szCs w:val="24"/>
              </w:rPr>
              <w:lastRenderedPageBreak/>
              <w:t>Number of Medical Baseline Customers by Rate Schedule </w:t>
            </w:r>
          </w:p>
        </w:tc>
      </w:tr>
      <w:tr w:rsidRPr="00387AB6" w:rsidR="00964BFC" w:rsidTr="00573A19" w14:paraId="1C15378D" w14:textId="77777777">
        <w:trPr>
          <w:trHeight w:val="300"/>
        </w:trPr>
        <w:tc>
          <w:tcPr>
            <w:tcW w:w="5750" w:type="dxa"/>
            <w:tcBorders>
              <w:top w:val="single" w:color="auto" w:sz="4" w:space="0"/>
              <w:left w:val="single" w:color="auto" w:sz="8" w:space="0"/>
              <w:bottom w:val="single" w:color="auto" w:sz="4" w:space="0"/>
              <w:right w:val="nil"/>
            </w:tcBorders>
            <w:shd w:val="clear" w:color="auto" w:fill="auto"/>
            <w:noWrap/>
            <w:vAlign w:val="bottom"/>
            <w:hideMark/>
          </w:tcPr>
          <w:p w:rsidRPr="00387AB6" w:rsidR="00964BFC" w:rsidP="00573A19" w:rsidRDefault="00964BFC" w14:paraId="076CEF20" w14:textId="77777777">
            <w:pPr>
              <w:rPr>
                <w:rFonts w:cs="Calibri"/>
                <w:b/>
                <w:bCs/>
                <w:color w:val="000000"/>
                <w:sz w:val="24"/>
                <w:szCs w:val="24"/>
              </w:rPr>
            </w:pPr>
            <w:r w:rsidRPr="00387AB6">
              <w:rPr>
                <w:rFonts w:cs="Calibri"/>
                <w:b/>
                <w:bCs/>
                <w:color w:val="000000"/>
                <w:sz w:val="24"/>
                <w:szCs w:val="24"/>
              </w:rPr>
              <w:t xml:space="preserve">Climate Zone </w:t>
            </w:r>
            <w:r w:rsidRPr="00387AB6">
              <w:rPr>
                <w:rFonts w:ascii="Times New Roman" w:hAnsi="Times New Roman"/>
                <w:b/>
                <w:bCs/>
                <w:color w:val="000000"/>
                <w:sz w:val="24"/>
                <w:szCs w:val="24"/>
              </w:rPr>
              <w:t>→</w:t>
            </w:r>
          </w:p>
        </w:tc>
        <w:tc>
          <w:tcPr>
            <w:tcW w:w="11387" w:type="dxa"/>
            <w:gridSpan w:val="8"/>
            <w:tcBorders>
              <w:top w:val="single" w:color="auto" w:sz="4" w:space="0"/>
              <w:left w:val="single" w:color="auto" w:sz="8" w:space="0"/>
              <w:bottom w:val="nil"/>
              <w:right w:val="single" w:color="000000" w:sz="8" w:space="0"/>
            </w:tcBorders>
            <w:shd w:val="clear" w:color="auto" w:fill="auto"/>
            <w:noWrap/>
            <w:vAlign w:val="bottom"/>
            <w:hideMark/>
          </w:tcPr>
          <w:p w:rsidRPr="00387AB6" w:rsidR="00964BFC" w:rsidP="00573A19" w:rsidRDefault="00964BFC" w14:paraId="791E57A4" w14:textId="77777777">
            <w:pPr>
              <w:rPr>
                <w:rFonts w:cs="Calibri"/>
                <w:b/>
                <w:bCs/>
                <w:color w:val="000000"/>
                <w:sz w:val="24"/>
                <w:szCs w:val="24"/>
              </w:rPr>
            </w:pPr>
            <w:r w:rsidRPr="00387AB6">
              <w:rPr>
                <w:rFonts w:cs="Calibri"/>
                <w:b/>
                <w:bCs/>
                <w:color w:val="000000"/>
                <w:sz w:val="24"/>
                <w:szCs w:val="24"/>
              </w:rPr>
              <w:t>CZ [-] [Add Columns for CZs in your service territory]</w:t>
            </w:r>
          </w:p>
        </w:tc>
      </w:tr>
      <w:tr w:rsidRPr="00387AB6" w:rsidR="00964BFC" w:rsidTr="00573A19" w14:paraId="14E38C42" w14:textId="77777777">
        <w:trPr>
          <w:trHeight w:val="300"/>
        </w:trPr>
        <w:tc>
          <w:tcPr>
            <w:tcW w:w="5750" w:type="dxa"/>
            <w:tcBorders>
              <w:top w:val="nil"/>
              <w:left w:val="single" w:color="auto" w:sz="8" w:space="0"/>
              <w:bottom w:val="single" w:color="auto" w:sz="4" w:space="0"/>
              <w:right w:val="nil"/>
            </w:tcBorders>
            <w:shd w:val="clear" w:color="auto" w:fill="auto"/>
            <w:noWrap/>
            <w:vAlign w:val="bottom"/>
            <w:hideMark/>
          </w:tcPr>
          <w:p w:rsidRPr="00387AB6" w:rsidR="00964BFC" w:rsidP="00573A19" w:rsidRDefault="00964BFC" w14:paraId="7500D132" w14:textId="77777777">
            <w:pPr>
              <w:rPr>
                <w:rFonts w:cs="Calibri"/>
                <w:i/>
                <w:iCs/>
                <w:color w:val="000000"/>
                <w:sz w:val="24"/>
                <w:szCs w:val="24"/>
              </w:rPr>
            </w:pPr>
            <w:r w:rsidRPr="00387AB6">
              <w:rPr>
                <w:rFonts w:cs="Calibri"/>
                <w:i/>
                <w:iCs/>
                <w:color w:val="000000"/>
                <w:sz w:val="24"/>
                <w:szCs w:val="24"/>
              </w:rPr>
              <w:t> </w:t>
            </w:r>
          </w:p>
        </w:tc>
        <w:tc>
          <w:tcPr>
            <w:tcW w:w="2849" w:type="dxa"/>
            <w:gridSpan w:val="2"/>
            <w:tcBorders>
              <w:top w:val="single" w:color="auto" w:sz="4" w:space="0"/>
              <w:left w:val="single" w:color="auto" w:sz="8" w:space="0"/>
              <w:bottom w:val="single" w:color="auto" w:sz="4" w:space="0"/>
              <w:right w:val="single" w:color="auto" w:sz="4" w:space="0"/>
            </w:tcBorders>
            <w:shd w:val="clear" w:color="auto" w:fill="auto"/>
            <w:noWrap/>
            <w:vAlign w:val="bottom"/>
            <w:hideMark/>
          </w:tcPr>
          <w:p w:rsidRPr="00387AB6" w:rsidR="00964BFC" w:rsidP="00573A19" w:rsidRDefault="00964BFC" w14:paraId="3B66551D" w14:textId="77777777">
            <w:pPr>
              <w:rPr>
                <w:rFonts w:cs="Calibri"/>
                <w:i/>
                <w:iCs/>
                <w:color w:val="000000"/>
                <w:sz w:val="24"/>
                <w:szCs w:val="24"/>
              </w:rPr>
            </w:pPr>
            <w:r w:rsidRPr="00387AB6">
              <w:rPr>
                <w:rFonts w:cs="Calibri"/>
                <w:i/>
                <w:iCs/>
                <w:color w:val="000000"/>
                <w:sz w:val="24"/>
                <w:szCs w:val="24"/>
              </w:rPr>
              <w:t>All-Electric</w:t>
            </w:r>
          </w:p>
        </w:tc>
        <w:tc>
          <w:tcPr>
            <w:tcW w:w="2846" w:type="dxa"/>
            <w:gridSpan w:val="2"/>
            <w:tcBorders>
              <w:top w:val="single" w:color="auto" w:sz="4" w:space="0"/>
              <w:left w:val="nil"/>
              <w:bottom w:val="single" w:color="auto" w:sz="4" w:space="0"/>
              <w:right w:val="single" w:color="000000" w:sz="4" w:space="0"/>
            </w:tcBorders>
            <w:shd w:val="clear" w:color="auto" w:fill="auto"/>
            <w:noWrap/>
            <w:vAlign w:val="bottom"/>
            <w:hideMark/>
          </w:tcPr>
          <w:p w:rsidRPr="00387AB6" w:rsidR="00964BFC" w:rsidP="00573A19" w:rsidRDefault="00964BFC" w14:paraId="5FDC0D61" w14:textId="77777777">
            <w:pPr>
              <w:rPr>
                <w:rFonts w:cs="Calibri"/>
                <w:i/>
                <w:iCs/>
                <w:color w:val="000000"/>
                <w:sz w:val="24"/>
                <w:szCs w:val="24"/>
              </w:rPr>
            </w:pPr>
            <w:r w:rsidRPr="00387AB6">
              <w:rPr>
                <w:rFonts w:cs="Calibri"/>
                <w:i/>
                <w:iCs/>
                <w:color w:val="000000"/>
                <w:sz w:val="24"/>
                <w:szCs w:val="24"/>
              </w:rPr>
              <w:t>Electric Space Heating</w:t>
            </w:r>
          </w:p>
        </w:tc>
        <w:tc>
          <w:tcPr>
            <w:tcW w:w="2846" w:type="dxa"/>
            <w:gridSpan w:val="2"/>
            <w:tcBorders>
              <w:top w:val="single" w:color="auto" w:sz="4" w:space="0"/>
              <w:left w:val="nil"/>
              <w:bottom w:val="single" w:color="auto" w:sz="4" w:space="0"/>
              <w:right w:val="single" w:color="auto" w:sz="4" w:space="0"/>
            </w:tcBorders>
            <w:shd w:val="clear" w:color="auto" w:fill="auto"/>
            <w:noWrap/>
            <w:vAlign w:val="bottom"/>
            <w:hideMark/>
          </w:tcPr>
          <w:p w:rsidRPr="00387AB6" w:rsidR="00964BFC" w:rsidP="00573A19" w:rsidRDefault="00964BFC" w14:paraId="17FA25E5" w14:textId="77777777">
            <w:pPr>
              <w:rPr>
                <w:rFonts w:cs="Calibri"/>
                <w:i/>
                <w:iCs/>
                <w:color w:val="000000"/>
                <w:sz w:val="24"/>
                <w:szCs w:val="24"/>
              </w:rPr>
            </w:pPr>
            <w:r w:rsidRPr="00387AB6">
              <w:rPr>
                <w:rFonts w:cs="Calibri"/>
                <w:i/>
                <w:iCs/>
                <w:color w:val="000000"/>
                <w:sz w:val="24"/>
                <w:szCs w:val="24"/>
              </w:rPr>
              <w:t>Dual Fuel</w:t>
            </w:r>
          </w:p>
        </w:tc>
        <w:tc>
          <w:tcPr>
            <w:tcW w:w="2846" w:type="dxa"/>
            <w:gridSpan w:val="2"/>
            <w:tcBorders>
              <w:top w:val="single" w:color="auto" w:sz="4" w:space="0"/>
              <w:left w:val="nil"/>
              <w:bottom w:val="single" w:color="auto" w:sz="4" w:space="0"/>
              <w:right w:val="single" w:color="000000" w:sz="8" w:space="0"/>
            </w:tcBorders>
            <w:shd w:val="clear" w:color="auto" w:fill="auto"/>
            <w:noWrap/>
            <w:vAlign w:val="bottom"/>
            <w:hideMark/>
          </w:tcPr>
          <w:p w:rsidRPr="00387AB6" w:rsidR="00964BFC" w:rsidP="00573A19" w:rsidRDefault="00964BFC" w14:paraId="728C8BFE" w14:textId="77777777">
            <w:pPr>
              <w:rPr>
                <w:rFonts w:cs="Calibri"/>
                <w:i/>
                <w:iCs/>
                <w:color w:val="000000"/>
                <w:sz w:val="24"/>
                <w:szCs w:val="24"/>
              </w:rPr>
            </w:pPr>
            <w:r w:rsidRPr="00387AB6">
              <w:rPr>
                <w:rFonts w:cs="Calibri"/>
                <w:i/>
                <w:iCs/>
                <w:color w:val="000000"/>
                <w:sz w:val="24"/>
                <w:szCs w:val="24"/>
              </w:rPr>
              <w:t>Gas Only</w:t>
            </w:r>
          </w:p>
        </w:tc>
      </w:tr>
      <w:tr w:rsidRPr="00387AB6" w:rsidR="00964BFC" w:rsidTr="00573A19" w14:paraId="66E5DE45" w14:textId="77777777">
        <w:trPr>
          <w:trHeight w:val="300"/>
        </w:trPr>
        <w:tc>
          <w:tcPr>
            <w:tcW w:w="5750" w:type="dxa"/>
            <w:tcBorders>
              <w:top w:val="nil"/>
              <w:left w:val="single" w:color="auto" w:sz="8" w:space="0"/>
              <w:bottom w:val="nil"/>
              <w:right w:val="nil"/>
            </w:tcBorders>
            <w:shd w:val="clear" w:color="auto" w:fill="auto"/>
            <w:noWrap/>
            <w:vAlign w:val="bottom"/>
            <w:hideMark/>
          </w:tcPr>
          <w:p w:rsidRPr="00387AB6" w:rsidR="00964BFC" w:rsidP="00573A19" w:rsidRDefault="00964BFC" w14:paraId="7888728D" w14:textId="77777777">
            <w:pPr>
              <w:rPr>
                <w:rFonts w:cs="Calibri"/>
                <w:b/>
                <w:bCs/>
                <w:color w:val="000000"/>
                <w:sz w:val="24"/>
                <w:szCs w:val="24"/>
              </w:rPr>
            </w:pPr>
            <w:r w:rsidRPr="00387AB6">
              <w:rPr>
                <w:rFonts w:cs="Calibri"/>
                <w:b/>
                <w:bCs/>
                <w:color w:val="000000"/>
                <w:sz w:val="24"/>
                <w:szCs w:val="24"/>
              </w:rPr>
              <w:t xml:space="preserve">Rate Schedule </w:t>
            </w:r>
            <w:r w:rsidRPr="00387AB6">
              <w:rPr>
                <w:rFonts w:ascii="Times New Roman" w:hAnsi="Times New Roman"/>
                <w:b/>
                <w:bCs/>
                <w:color w:val="000000"/>
                <w:sz w:val="24"/>
                <w:szCs w:val="24"/>
              </w:rPr>
              <w:t>↓</w:t>
            </w:r>
          </w:p>
        </w:tc>
        <w:tc>
          <w:tcPr>
            <w:tcW w:w="1446" w:type="dxa"/>
            <w:tcBorders>
              <w:top w:val="nil"/>
              <w:left w:val="single" w:color="auto" w:sz="8" w:space="0"/>
              <w:bottom w:val="nil"/>
              <w:right w:val="single" w:color="auto" w:sz="4" w:space="0"/>
            </w:tcBorders>
            <w:shd w:val="clear" w:color="auto" w:fill="auto"/>
            <w:noWrap/>
            <w:vAlign w:val="bottom"/>
            <w:hideMark/>
          </w:tcPr>
          <w:p w:rsidRPr="00387AB6" w:rsidR="00964BFC" w:rsidP="00573A19" w:rsidRDefault="00964BFC" w14:paraId="259F7C5E" w14:textId="77777777">
            <w:pPr>
              <w:rPr>
                <w:rFonts w:cs="Calibri"/>
                <w:i/>
                <w:iCs/>
                <w:color w:val="000000"/>
                <w:sz w:val="24"/>
                <w:szCs w:val="24"/>
              </w:rPr>
            </w:pPr>
            <w:r w:rsidRPr="00387AB6">
              <w:rPr>
                <w:rFonts w:cs="Calibri"/>
                <w:i/>
                <w:iCs/>
                <w:color w:val="000000"/>
                <w:sz w:val="24"/>
                <w:szCs w:val="24"/>
              </w:rPr>
              <w:t>Singlefamily</w:t>
            </w:r>
          </w:p>
        </w:tc>
        <w:tc>
          <w:tcPr>
            <w:tcW w:w="1403" w:type="dxa"/>
            <w:tcBorders>
              <w:top w:val="nil"/>
              <w:left w:val="nil"/>
              <w:bottom w:val="single" w:color="auto" w:sz="4" w:space="0"/>
              <w:right w:val="nil"/>
            </w:tcBorders>
            <w:shd w:val="clear" w:color="auto" w:fill="auto"/>
            <w:noWrap/>
            <w:vAlign w:val="bottom"/>
            <w:hideMark/>
          </w:tcPr>
          <w:p w:rsidRPr="00387AB6" w:rsidR="00964BFC" w:rsidP="00573A19" w:rsidRDefault="00964BFC" w14:paraId="7272E069" w14:textId="77777777">
            <w:pPr>
              <w:rPr>
                <w:rFonts w:cs="Calibri"/>
                <w:i/>
                <w:iCs/>
                <w:color w:val="000000"/>
                <w:sz w:val="24"/>
                <w:szCs w:val="24"/>
              </w:rPr>
            </w:pPr>
            <w:r w:rsidRPr="00387AB6">
              <w:rPr>
                <w:rFonts w:cs="Calibri"/>
                <w:i/>
                <w:iCs/>
                <w:color w:val="000000"/>
                <w:sz w:val="24"/>
                <w:szCs w:val="24"/>
              </w:rPr>
              <w:t>Multifamily</w:t>
            </w:r>
          </w:p>
        </w:tc>
        <w:tc>
          <w:tcPr>
            <w:tcW w:w="1443" w:type="dxa"/>
            <w:tcBorders>
              <w:top w:val="nil"/>
              <w:left w:val="single" w:color="auto" w:sz="4" w:space="0"/>
              <w:bottom w:val="single" w:color="auto" w:sz="4" w:space="0"/>
              <w:right w:val="single" w:color="auto" w:sz="4" w:space="0"/>
            </w:tcBorders>
            <w:shd w:val="clear" w:color="auto" w:fill="auto"/>
            <w:noWrap/>
            <w:vAlign w:val="bottom"/>
            <w:hideMark/>
          </w:tcPr>
          <w:p w:rsidRPr="00387AB6" w:rsidR="00964BFC" w:rsidP="00573A19" w:rsidRDefault="00964BFC" w14:paraId="3C181A2D" w14:textId="77777777">
            <w:pPr>
              <w:rPr>
                <w:rFonts w:cs="Calibri"/>
                <w:i/>
                <w:iCs/>
                <w:color w:val="000000"/>
                <w:sz w:val="24"/>
                <w:szCs w:val="24"/>
              </w:rPr>
            </w:pPr>
            <w:r w:rsidRPr="00387AB6">
              <w:rPr>
                <w:rFonts w:cs="Calibri"/>
                <w:i/>
                <w:iCs/>
                <w:color w:val="000000"/>
                <w:sz w:val="24"/>
                <w:szCs w:val="24"/>
              </w:rPr>
              <w:t>Singlefamily</w:t>
            </w:r>
          </w:p>
        </w:tc>
        <w:tc>
          <w:tcPr>
            <w:tcW w:w="1403" w:type="dxa"/>
            <w:tcBorders>
              <w:top w:val="nil"/>
              <w:left w:val="nil"/>
              <w:bottom w:val="single" w:color="auto" w:sz="4" w:space="0"/>
              <w:right w:val="single" w:color="auto" w:sz="4" w:space="0"/>
            </w:tcBorders>
            <w:shd w:val="clear" w:color="auto" w:fill="auto"/>
            <w:noWrap/>
            <w:vAlign w:val="bottom"/>
            <w:hideMark/>
          </w:tcPr>
          <w:p w:rsidRPr="00387AB6" w:rsidR="00964BFC" w:rsidP="00573A19" w:rsidRDefault="00964BFC" w14:paraId="03B0F7E8" w14:textId="77777777">
            <w:pPr>
              <w:rPr>
                <w:rFonts w:cs="Calibri"/>
                <w:i/>
                <w:iCs/>
                <w:color w:val="000000"/>
                <w:sz w:val="24"/>
                <w:szCs w:val="24"/>
              </w:rPr>
            </w:pPr>
            <w:r w:rsidRPr="00387AB6">
              <w:rPr>
                <w:rFonts w:cs="Calibri"/>
                <w:i/>
                <w:iCs/>
                <w:color w:val="000000"/>
                <w:sz w:val="24"/>
                <w:szCs w:val="24"/>
              </w:rPr>
              <w:t>Multifamily</w:t>
            </w:r>
          </w:p>
        </w:tc>
        <w:tc>
          <w:tcPr>
            <w:tcW w:w="1443" w:type="dxa"/>
            <w:tcBorders>
              <w:top w:val="nil"/>
              <w:left w:val="nil"/>
              <w:bottom w:val="nil"/>
              <w:right w:val="single" w:color="auto" w:sz="4" w:space="0"/>
            </w:tcBorders>
            <w:shd w:val="clear" w:color="auto" w:fill="auto"/>
            <w:noWrap/>
            <w:vAlign w:val="bottom"/>
            <w:hideMark/>
          </w:tcPr>
          <w:p w:rsidRPr="00387AB6" w:rsidR="00964BFC" w:rsidP="00573A19" w:rsidRDefault="00964BFC" w14:paraId="372344AA" w14:textId="77777777">
            <w:pPr>
              <w:rPr>
                <w:rFonts w:cs="Calibri"/>
                <w:i/>
                <w:iCs/>
                <w:color w:val="000000"/>
                <w:sz w:val="24"/>
                <w:szCs w:val="24"/>
              </w:rPr>
            </w:pPr>
            <w:r w:rsidRPr="00387AB6">
              <w:rPr>
                <w:rFonts w:cs="Calibri"/>
                <w:i/>
                <w:iCs/>
                <w:color w:val="000000"/>
                <w:sz w:val="24"/>
                <w:szCs w:val="24"/>
              </w:rPr>
              <w:t>Singlefamily</w:t>
            </w:r>
          </w:p>
        </w:tc>
        <w:tc>
          <w:tcPr>
            <w:tcW w:w="1403" w:type="dxa"/>
            <w:tcBorders>
              <w:top w:val="nil"/>
              <w:left w:val="nil"/>
              <w:bottom w:val="nil"/>
              <w:right w:val="double" w:color="auto" w:sz="6" w:space="0"/>
            </w:tcBorders>
            <w:shd w:val="clear" w:color="auto" w:fill="auto"/>
            <w:noWrap/>
            <w:vAlign w:val="bottom"/>
            <w:hideMark/>
          </w:tcPr>
          <w:p w:rsidRPr="00387AB6" w:rsidR="00964BFC" w:rsidP="00573A19" w:rsidRDefault="00964BFC" w14:paraId="5F0E0F3D" w14:textId="77777777">
            <w:pPr>
              <w:rPr>
                <w:rFonts w:cs="Calibri"/>
                <w:i/>
                <w:iCs/>
                <w:color w:val="000000"/>
                <w:sz w:val="24"/>
                <w:szCs w:val="24"/>
              </w:rPr>
            </w:pPr>
            <w:r w:rsidRPr="00387AB6">
              <w:rPr>
                <w:rFonts w:cs="Calibri"/>
                <w:i/>
                <w:iCs/>
                <w:color w:val="000000"/>
                <w:sz w:val="24"/>
                <w:szCs w:val="24"/>
              </w:rPr>
              <w:t>Multifamily</w:t>
            </w:r>
          </w:p>
        </w:tc>
        <w:tc>
          <w:tcPr>
            <w:tcW w:w="1443" w:type="dxa"/>
            <w:tcBorders>
              <w:top w:val="nil"/>
              <w:left w:val="nil"/>
              <w:bottom w:val="single" w:color="auto" w:sz="4" w:space="0"/>
              <w:right w:val="single" w:color="auto" w:sz="4" w:space="0"/>
            </w:tcBorders>
            <w:shd w:val="clear" w:color="auto" w:fill="auto"/>
            <w:noWrap/>
            <w:vAlign w:val="bottom"/>
            <w:hideMark/>
          </w:tcPr>
          <w:p w:rsidRPr="00387AB6" w:rsidR="00964BFC" w:rsidP="00573A19" w:rsidRDefault="00964BFC" w14:paraId="396B7D10" w14:textId="77777777">
            <w:pPr>
              <w:rPr>
                <w:rFonts w:cs="Calibri"/>
                <w:i/>
                <w:iCs/>
                <w:color w:val="000000"/>
                <w:sz w:val="24"/>
                <w:szCs w:val="24"/>
              </w:rPr>
            </w:pPr>
            <w:r w:rsidRPr="00387AB6">
              <w:rPr>
                <w:rFonts w:cs="Calibri"/>
                <w:i/>
                <w:iCs/>
                <w:color w:val="000000"/>
                <w:sz w:val="24"/>
                <w:szCs w:val="24"/>
              </w:rPr>
              <w:t>Singlefamily</w:t>
            </w:r>
          </w:p>
        </w:tc>
        <w:tc>
          <w:tcPr>
            <w:tcW w:w="1403" w:type="dxa"/>
            <w:tcBorders>
              <w:top w:val="nil"/>
              <w:left w:val="nil"/>
              <w:bottom w:val="single" w:color="auto" w:sz="4" w:space="0"/>
              <w:right w:val="single" w:color="auto" w:sz="8" w:space="0"/>
            </w:tcBorders>
            <w:shd w:val="clear" w:color="auto" w:fill="auto"/>
            <w:noWrap/>
            <w:vAlign w:val="bottom"/>
            <w:hideMark/>
          </w:tcPr>
          <w:p w:rsidRPr="00387AB6" w:rsidR="00964BFC" w:rsidP="00573A19" w:rsidRDefault="00964BFC" w14:paraId="6BA9A9D9" w14:textId="77777777">
            <w:pPr>
              <w:rPr>
                <w:rFonts w:cs="Calibri"/>
                <w:i/>
                <w:iCs/>
                <w:color w:val="000000"/>
                <w:sz w:val="24"/>
                <w:szCs w:val="24"/>
              </w:rPr>
            </w:pPr>
            <w:r w:rsidRPr="00387AB6">
              <w:rPr>
                <w:rFonts w:cs="Calibri"/>
                <w:i/>
                <w:iCs/>
                <w:color w:val="000000"/>
                <w:sz w:val="24"/>
                <w:szCs w:val="24"/>
              </w:rPr>
              <w:t>Multifamily</w:t>
            </w:r>
          </w:p>
        </w:tc>
      </w:tr>
      <w:tr w:rsidRPr="00387AB6" w:rsidR="00964BFC" w:rsidTr="00573A19" w14:paraId="764176EB" w14:textId="77777777">
        <w:trPr>
          <w:trHeight w:val="300"/>
        </w:trPr>
        <w:tc>
          <w:tcPr>
            <w:tcW w:w="5750" w:type="dxa"/>
            <w:tcBorders>
              <w:top w:val="single" w:color="auto" w:sz="4" w:space="0"/>
              <w:left w:val="single" w:color="auto" w:sz="8" w:space="0"/>
              <w:bottom w:val="single" w:color="auto" w:sz="4" w:space="0"/>
              <w:right w:val="nil"/>
            </w:tcBorders>
            <w:shd w:val="clear" w:color="000000" w:fill="D0CECE"/>
            <w:noWrap/>
            <w:vAlign w:val="bottom"/>
            <w:hideMark/>
          </w:tcPr>
          <w:p w:rsidRPr="00387AB6" w:rsidR="00964BFC" w:rsidP="00573A19" w:rsidRDefault="00964BFC" w14:paraId="1B8CE166" w14:textId="77777777">
            <w:pPr>
              <w:rPr>
                <w:rFonts w:cs="Calibri"/>
                <w:i/>
                <w:iCs/>
                <w:color w:val="000000"/>
                <w:sz w:val="24"/>
                <w:szCs w:val="24"/>
              </w:rPr>
            </w:pPr>
            <w:r w:rsidRPr="00387AB6">
              <w:rPr>
                <w:rFonts w:cs="Calibri"/>
                <w:i/>
                <w:iCs/>
                <w:color w:val="000000"/>
                <w:sz w:val="24"/>
                <w:szCs w:val="24"/>
              </w:rPr>
              <w:t>Non-TOU rates</w:t>
            </w:r>
          </w:p>
        </w:tc>
        <w:tc>
          <w:tcPr>
            <w:tcW w:w="1446" w:type="dxa"/>
            <w:tcBorders>
              <w:top w:val="single" w:color="auto" w:sz="4" w:space="0"/>
              <w:left w:val="single" w:color="auto" w:sz="8" w:space="0"/>
              <w:bottom w:val="single" w:color="auto" w:sz="4" w:space="0"/>
              <w:right w:val="nil"/>
            </w:tcBorders>
            <w:shd w:val="clear" w:color="000000" w:fill="D0CECE"/>
            <w:noWrap/>
            <w:vAlign w:val="bottom"/>
            <w:hideMark/>
          </w:tcPr>
          <w:p w:rsidRPr="00387AB6" w:rsidR="00964BFC" w:rsidP="00573A19" w:rsidRDefault="00964BFC" w14:paraId="06AFC1DA" w14:textId="77777777">
            <w:pPr>
              <w:rPr>
                <w:rFonts w:cs="Calibri"/>
                <w:i/>
                <w:iCs/>
                <w:color w:val="000000"/>
                <w:sz w:val="24"/>
                <w:szCs w:val="24"/>
              </w:rPr>
            </w:pPr>
            <w:r w:rsidRPr="00387AB6">
              <w:rPr>
                <w:rFonts w:cs="Calibri"/>
                <w:i/>
                <w:iCs/>
                <w:color w:val="000000"/>
                <w:sz w:val="24"/>
                <w:szCs w:val="24"/>
              </w:rPr>
              <w:t> </w:t>
            </w:r>
          </w:p>
        </w:tc>
        <w:tc>
          <w:tcPr>
            <w:tcW w:w="1403" w:type="dxa"/>
            <w:tcBorders>
              <w:top w:val="nil"/>
              <w:left w:val="nil"/>
              <w:bottom w:val="single" w:color="auto" w:sz="4" w:space="0"/>
              <w:right w:val="nil"/>
            </w:tcBorders>
            <w:shd w:val="clear" w:color="000000" w:fill="D0CECE"/>
            <w:noWrap/>
            <w:vAlign w:val="bottom"/>
            <w:hideMark/>
          </w:tcPr>
          <w:p w:rsidRPr="00387AB6" w:rsidR="00964BFC" w:rsidP="00573A19" w:rsidRDefault="00964BFC" w14:paraId="1FAC79BA" w14:textId="77777777">
            <w:pPr>
              <w:rPr>
                <w:rFonts w:cs="Calibri"/>
                <w:i/>
                <w:iCs/>
                <w:color w:val="000000"/>
                <w:sz w:val="24"/>
                <w:szCs w:val="24"/>
              </w:rPr>
            </w:pPr>
            <w:r w:rsidRPr="00387AB6">
              <w:rPr>
                <w:rFonts w:cs="Calibri"/>
                <w:i/>
                <w:iCs/>
                <w:color w:val="000000"/>
                <w:sz w:val="24"/>
                <w:szCs w:val="24"/>
              </w:rPr>
              <w:t> </w:t>
            </w:r>
          </w:p>
        </w:tc>
        <w:tc>
          <w:tcPr>
            <w:tcW w:w="1443" w:type="dxa"/>
            <w:tcBorders>
              <w:top w:val="nil"/>
              <w:left w:val="nil"/>
              <w:bottom w:val="single" w:color="auto" w:sz="4" w:space="0"/>
              <w:right w:val="nil"/>
            </w:tcBorders>
            <w:shd w:val="clear" w:color="000000" w:fill="D0CECE"/>
            <w:noWrap/>
            <w:vAlign w:val="bottom"/>
            <w:hideMark/>
          </w:tcPr>
          <w:p w:rsidRPr="00387AB6" w:rsidR="00964BFC" w:rsidP="00573A19" w:rsidRDefault="00964BFC" w14:paraId="36C68A85" w14:textId="77777777">
            <w:pPr>
              <w:rPr>
                <w:rFonts w:cs="Calibri"/>
                <w:i/>
                <w:iCs/>
                <w:color w:val="000000"/>
                <w:sz w:val="24"/>
                <w:szCs w:val="24"/>
              </w:rPr>
            </w:pPr>
            <w:r w:rsidRPr="00387AB6">
              <w:rPr>
                <w:rFonts w:cs="Calibri"/>
                <w:i/>
                <w:iCs/>
                <w:color w:val="000000"/>
                <w:sz w:val="24"/>
                <w:szCs w:val="24"/>
              </w:rPr>
              <w:t> </w:t>
            </w:r>
          </w:p>
        </w:tc>
        <w:tc>
          <w:tcPr>
            <w:tcW w:w="1403" w:type="dxa"/>
            <w:tcBorders>
              <w:top w:val="nil"/>
              <w:left w:val="nil"/>
              <w:bottom w:val="single" w:color="auto" w:sz="4" w:space="0"/>
              <w:right w:val="nil"/>
            </w:tcBorders>
            <w:shd w:val="clear" w:color="000000" w:fill="D0CECE"/>
            <w:noWrap/>
            <w:vAlign w:val="bottom"/>
            <w:hideMark/>
          </w:tcPr>
          <w:p w:rsidRPr="00387AB6" w:rsidR="00964BFC" w:rsidP="00573A19" w:rsidRDefault="00964BFC" w14:paraId="79BCE1C3" w14:textId="77777777">
            <w:pPr>
              <w:rPr>
                <w:rFonts w:cs="Calibri"/>
                <w:i/>
                <w:iCs/>
                <w:color w:val="000000"/>
                <w:sz w:val="24"/>
                <w:szCs w:val="24"/>
              </w:rPr>
            </w:pPr>
            <w:r w:rsidRPr="00387AB6">
              <w:rPr>
                <w:rFonts w:cs="Calibri"/>
                <w:i/>
                <w:iCs/>
                <w:color w:val="000000"/>
                <w:sz w:val="24"/>
                <w:szCs w:val="24"/>
              </w:rPr>
              <w:t> </w:t>
            </w:r>
          </w:p>
        </w:tc>
        <w:tc>
          <w:tcPr>
            <w:tcW w:w="1443" w:type="dxa"/>
            <w:tcBorders>
              <w:top w:val="single" w:color="auto" w:sz="4" w:space="0"/>
              <w:left w:val="nil"/>
              <w:bottom w:val="single" w:color="auto" w:sz="4" w:space="0"/>
              <w:right w:val="nil"/>
            </w:tcBorders>
            <w:shd w:val="clear" w:color="000000" w:fill="D0CECE"/>
            <w:noWrap/>
            <w:vAlign w:val="bottom"/>
            <w:hideMark/>
          </w:tcPr>
          <w:p w:rsidRPr="00387AB6" w:rsidR="00964BFC" w:rsidP="00573A19" w:rsidRDefault="00964BFC" w14:paraId="5E2DE0B0" w14:textId="77777777">
            <w:pPr>
              <w:rPr>
                <w:rFonts w:cs="Calibri"/>
                <w:i/>
                <w:iCs/>
                <w:color w:val="000000"/>
                <w:sz w:val="24"/>
                <w:szCs w:val="24"/>
              </w:rPr>
            </w:pPr>
            <w:r w:rsidRPr="00387AB6">
              <w:rPr>
                <w:rFonts w:cs="Calibri"/>
                <w:i/>
                <w:iCs/>
                <w:color w:val="000000"/>
                <w:sz w:val="24"/>
                <w:szCs w:val="24"/>
              </w:rPr>
              <w:t> </w:t>
            </w:r>
          </w:p>
        </w:tc>
        <w:tc>
          <w:tcPr>
            <w:tcW w:w="1403" w:type="dxa"/>
            <w:tcBorders>
              <w:top w:val="single" w:color="auto" w:sz="4" w:space="0"/>
              <w:left w:val="nil"/>
              <w:bottom w:val="single" w:color="auto" w:sz="4" w:space="0"/>
              <w:right w:val="nil"/>
            </w:tcBorders>
            <w:shd w:val="clear" w:color="000000" w:fill="D0CECE"/>
            <w:noWrap/>
            <w:vAlign w:val="bottom"/>
            <w:hideMark/>
          </w:tcPr>
          <w:p w:rsidRPr="00387AB6" w:rsidR="00964BFC" w:rsidP="00573A19" w:rsidRDefault="00964BFC" w14:paraId="21119AAE" w14:textId="77777777">
            <w:pPr>
              <w:rPr>
                <w:rFonts w:cs="Calibri"/>
                <w:i/>
                <w:iCs/>
                <w:color w:val="000000"/>
                <w:sz w:val="24"/>
                <w:szCs w:val="24"/>
              </w:rPr>
            </w:pPr>
            <w:r w:rsidRPr="00387AB6">
              <w:rPr>
                <w:rFonts w:cs="Calibri"/>
                <w:i/>
                <w:iCs/>
                <w:color w:val="000000"/>
                <w:sz w:val="24"/>
                <w:szCs w:val="24"/>
              </w:rPr>
              <w:t> </w:t>
            </w:r>
          </w:p>
        </w:tc>
        <w:tc>
          <w:tcPr>
            <w:tcW w:w="1443" w:type="dxa"/>
            <w:tcBorders>
              <w:top w:val="nil"/>
              <w:left w:val="nil"/>
              <w:bottom w:val="single" w:color="auto" w:sz="4" w:space="0"/>
              <w:right w:val="nil"/>
            </w:tcBorders>
            <w:shd w:val="clear" w:color="000000" w:fill="D0CECE"/>
            <w:noWrap/>
            <w:vAlign w:val="bottom"/>
            <w:hideMark/>
          </w:tcPr>
          <w:p w:rsidRPr="00387AB6" w:rsidR="00964BFC" w:rsidP="00573A19" w:rsidRDefault="00964BFC" w14:paraId="3B67B76A" w14:textId="77777777">
            <w:pPr>
              <w:rPr>
                <w:rFonts w:cs="Calibri"/>
                <w:i/>
                <w:iCs/>
                <w:color w:val="000000"/>
                <w:sz w:val="24"/>
                <w:szCs w:val="24"/>
              </w:rPr>
            </w:pPr>
            <w:r w:rsidRPr="00387AB6">
              <w:rPr>
                <w:rFonts w:cs="Calibri"/>
                <w:i/>
                <w:iCs/>
                <w:color w:val="000000"/>
                <w:sz w:val="24"/>
                <w:szCs w:val="24"/>
              </w:rPr>
              <w:t> </w:t>
            </w:r>
          </w:p>
        </w:tc>
        <w:tc>
          <w:tcPr>
            <w:tcW w:w="1403" w:type="dxa"/>
            <w:tcBorders>
              <w:top w:val="nil"/>
              <w:left w:val="nil"/>
              <w:bottom w:val="single" w:color="auto" w:sz="4" w:space="0"/>
              <w:right w:val="single" w:color="auto" w:sz="8" w:space="0"/>
            </w:tcBorders>
            <w:shd w:val="clear" w:color="000000" w:fill="D0CECE"/>
            <w:noWrap/>
            <w:vAlign w:val="bottom"/>
            <w:hideMark/>
          </w:tcPr>
          <w:p w:rsidRPr="00387AB6" w:rsidR="00964BFC" w:rsidP="00573A19" w:rsidRDefault="00964BFC" w14:paraId="14F42BD0" w14:textId="77777777">
            <w:pPr>
              <w:rPr>
                <w:rFonts w:cs="Calibri"/>
                <w:i/>
                <w:iCs/>
                <w:color w:val="000000"/>
                <w:sz w:val="24"/>
                <w:szCs w:val="24"/>
              </w:rPr>
            </w:pPr>
            <w:r w:rsidRPr="00387AB6">
              <w:rPr>
                <w:rFonts w:cs="Calibri"/>
                <w:i/>
                <w:iCs/>
                <w:color w:val="000000"/>
                <w:sz w:val="24"/>
                <w:szCs w:val="24"/>
              </w:rPr>
              <w:t> </w:t>
            </w:r>
          </w:p>
        </w:tc>
      </w:tr>
      <w:tr w:rsidRPr="00387AB6" w:rsidR="00964BFC" w:rsidTr="00573A19" w14:paraId="58C89C0F" w14:textId="77777777">
        <w:trPr>
          <w:trHeight w:val="600"/>
        </w:trPr>
        <w:tc>
          <w:tcPr>
            <w:tcW w:w="5750" w:type="dxa"/>
            <w:tcBorders>
              <w:top w:val="nil"/>
              <w:left w:val="single" w:color="auto" w:sz="8" w:space="0"/>
              <w:bottom w:val="single" w:color="auto" w:sz="4" w:space="0"/>
              <w:right w:val="nil"/>
            </w:tcBorders>
            <w:shd w:val="clear" w:color="auto" w:fill="auto"/>
            <w:noWrap/>
            <w:vAlign w:val="bottom"/>
            <w:hideMark/>
          </w:tcPr>
          <w:p w:rsidRPr="00387AB6" w:rsidR="00964BFC" w:rsidP="00573A19" w:rsidRDefault="00964BFC" w14:paraId="487C0397" w14:textId="77777777">
            <w:pPr>
              <w:rPr>
                <w:rFonts w:cs="Calibri"/>
                <w:color w:val="000000"/>
                <w:sz w:val="24"/>
                <w:szCs w:val="24"/>
              </w:rPr>
            </w:pPr>
            <w:r w:rsidRPr="00387AB6">
              <w:rPr>
                <w:rFonts w:cs="Calibri"/>
                <w:color w:val="000000"/>
                <w:sz w:val="24"/>
                <w:szCs w:val="24"/>
              </w:rPr>
              <w:t>E.g. E-1</w:t>
            </w:r>
          </w:p>
        </w:tc>
        <w:tc>
          <w:tcPr>
            <w:tcW w:w="1446" w:type="dxa"/>
            <w:tcBorders>
              <w:top w:val="nil"/>
              <w:left w:val="single" w:color="auto" w:sz="8" w:space="0"/>
              <w:bottom w:val="single" w:color="auto" w:sz="4" w:space="0"/>
              <w:right w:val="single" w:color="auto" w:sz="4" w:space="0"/>
            </w:tcBorders>
            <w:shd w:val="clear" w:color="auto" w:fill="auto"/>
            <w:vAlign w:val="bottom"/>
            <w:hideMark/>
          </w:tcPr>
          <w:p w:rsidRPr="00387AB6" w:rsidR="00964BFC" w:rsidP="00573A19" w:rsidRDefault="00964BFC" w14:paraId="58A29930" w14:textId="77777777">
            <w:pPr>
              <w:rPr>
                <w:rFonts w:cs="Calibri"/>
                <w:color w:val="000000"/>
                <w:sz w:val="24"/>
                <w:szCs w:val="24"/>
              </w:rPr>
            </w:pPr>
            <w:r w:rsidRPr="00387AB6">
              <w:rPr>
                <w:rFonts w:cs="Calibri"/>
                <w:color w:val="000000"/>
                <w:sz w:val="24"/>
                <w:szCs w:val="24"/>
              </w:rPr>
              <w:t>[# of Customers]</w:t>
            </w:r>
          </w:p>
        </w:tc>
        <w:tc>
          <w:tcPr>
            <w:tcW w:w="1403" w:type="dxa"/>
            <w:tcBorders>
              <w:top w:val="nil"/>
              <w:left w:val="nil"/>
              <w:bottom w:val="single" w:color="auto" w:sz="4" w:space="0"/>
              <w:right w:val="double" w:color="auto" w:sz="6" w:space="0"/>
            </w:tcBorders>
            <w:shd w:val="clear" w:color="auto" w:fill="auto"/>
            <w:noWrap/>
            <w:vAlign w:val="bottom"/>
            <w:hideMark/>
          </w:tcPr>
          <w:p w:rsidRPr="00387AB6" w:rsidR="00964BFC" w:rsidP="00573A19" w:rsidRDefault="00964BFC" w14:paraId="70DB9E67" w14:textId="77777777">
            <w:pPr>
              <w:rPr>
                <w:rFonts w:cs="Calibri"/>
                <w:color w:val="000000"/>
                <w:sz w:val="24"/>
                <w:szCs w:val="24"/>
              </w:rPr>
            </w:pPr>
            <w:r w:rsidRPr="00387AB6">
              <w:rPr>
                <w:rFonts w:cs="Calibri"/>
                <w:color w:val="000000"/>
                <w:sz w:val="24"/>
                <w:szCs w:val="24"/>
              </w:rPr>
              <w:t> </w:t>
            </w:r>
          </w:p>
        </w:tc>
        <w:tc>
          <w:tcPr>
            <w:tcW w:w="1443" w:type="dxa"/>
            <w:tcBorders>
              <w:top w:val="nil"/>
              <w:left w:val="nil"/>
              <w:bottom w:val="single" w:color="auto" w:sz="4" w:space="0"/>
              <w:right w:val="nil"/>
            </w:tcBorders>
            <w:shd w:val="clear" w:color="auto" w:fill="auto"/>
            <w:noWrap/>
            <w:vAlign w:val="bottom"/>
            <w:hideMark/>
          </w:tcPr>
          <w:p w:rsidRPr="00387AB6" w:rsidR="00964BFC" w:rsidP="00573A19" w:rsidRDefault="00964BFC" w14:paraId="3458B8B3" w14:textId="77777777">
            <w:pPr>
              <w:rPr>
                <w:rFonts w:cs="Calibri"/>
                <w:color w:val="000000"/>
                <w:sz w:val="24"/>
                <w:szCs w:val="24"/>
              </w:rPr>
            </w:pPr>
            <w:r w:rsidRPr="00387AB6">
              <w:rPr>
                <w:rFonts w:cs="Calibri"/>
                <w:color w:val="000000"/>
                <w:sz w:val="24"/>
                <w:szCs w:val="24"/>
              </w:rPr>
              <w:t> </w:t>
            </w:r>
          </w:p>
        </w:tc>
        <w:tc>
          <w:tcPr>
            <w:tcW w:w="1403" w:type="dxa"/>
            <w:tcBorders>
              <w:top w:val="nil"/>
              <w:left w:val="nil"/>
              <w:bottom w:val="single" w:color="auto" w:sz="4" w:space="0"/>
              <w:right w:val="nil"/>
            </w:tcBorders>
            <w:shd w:val="clear" w:color="auto" w:fill="auto"/>
            <w:noWrap/>
            <w:vAlign w:val="bottom"/>
            <w:hideMark/>
          </w:tcPr>
          <w:p w:rsidRPr="00387AB6" w:rsidR="00964BFC" w:rsidP="00573A19" w:rsidRDefault="00964BFC" w14:paraId="4AB2786E" w14:textId="77777777">
            <w:pPr>
              <w:rPr>
                <w:rFonts w:cs="Calibri"/>
                <w:color w:val="000000"/>
                <w:sz w:val="24"/>
                <w:szCs w:val="24"/>
              </w:rPr>
            </w:pPr>
            <w:r w:rsidRPr="00387AB6">
              <w:rPr>
                <w:rFonts w:cs="Calibri"/>
                <w:color w:val="000000"/>
                <w:sz w:val="24"/>
                <w:szCs w:val="24"/>
              </w:rPr>
              <w:t> </w:t>
            </w:r>
          </w:p>
        </w:tc>
        <w:tc>
          <w:tcPr>
            <w:tcW w:w="1443" w:type="dxa"/>
            <w:tcBorders>
              <w:top w:val="nil"/>
              <w:left w:val="double" w:color="auto" w:sz="6" w:space="0"/>
              <w:bottom w:val="single" w:color="auto" w:sz="4" w:space="0"/>
              <w:right w:val="single" w:color="auto" w:sz="4" w:space="0"/>
            </w:tcBorders>
            <w:shd w:val="clear" w:color="auto" w:fill="auto"/>
            <w:noWrap/>
            <w:vAlign w:val="bottom"/>
            <w:hideMark/>
          </w:tcPr>
          <w:p w:rsidRPr="00387AB6" w:rsidR="00964BFC" w:rsidP="00573A19" w:rsidRDefault="00964BFC" w14:paraId="3BC2DFCA" w14:textId="77777777">
            <w:pPr>
              <w:rPr>
                <w:rFonts w:cs="Calibri"/>
                <w:color w:val="000000"/>
                <w:sz w:val="24"/>
                <w:szCs w:val="24"/>
              </w:rPr>
            </w:pPr>
            <w:r w:rsidRPr="00387AB6">
              <w:rPr>
                <w:rFonts w:cs="Calibri"/>
                <w:color w:val="000000"/>
                <w:sz w:val="24"/>
                <w:szCs w:val="24"/>
              </w:rPr>
              <w:t> </w:t>
            </w:r>
          </w:p>
        </w:tc>
        <w:tc>
          <w:tcPr>
            <w:tcW w:w="1403" w:type="dxa"/>
            <w:tcBorders>
              <w:top w:val="nil"/>
              <w:left w:val="nil"/>
              <w:bottom w:val="single" w:color="auto" w:sz="4" w:space="0"/>
              <w:right w:val="double" w:color="auto" w:sz="6" w:space="0"/>
            </w:tcBorders>
            <w:shd w:val="clear" w:color="auto" w:fill="auto"/>
            <w:noWrap/>
            <w:vAlign w:val="bottom"/>
            <w:hideMark/>
          </w:tcPr>
          <w:p w:rsidRPr="00387AB6" w:rsidR="00964BFC" w:rsidP="00573A19" w:rsidRDefault="00964BFC" w14:paraId="3E101B54" w14:textId="77777777">
            <w:pPr>
              <w:rPr>
                <w:rFonts w:cs="Calibri"/>
                <w:color w:val="000000"/>
                <w:sz w:val="24"/>
                <w:szCs w:val="24"/>
              </w:rPr>
            </w:pPr>
            <w:r w:rsidRPr="00387AB6">
              <w:rPr>
                <w:rFonts w:cs="Calibri"/>
                <w:color w:val="000000"/>
                <w:sz w:val="24"/>
                <w:szCs w:val="24"/>
              </w:rPr>
              <w:t> </w:t>
            </w:r>
          </w:p>
        </w:tc>
        <w:tc>
          <w:tcPr>
            <w:tcW w:w="1443" w:type="dxa"/>
            <w:tcBorders>
              <w:top w:val="nil"/>
              <w:left w:val="nil"/>
              <w:bottom w:val="single" w:color="auto" w:sz="4" w:space="0"/>
              <w:right w:val="single" w:color="auto" w:sz="4" w:space="0"/>
            </w:tcBorders>
            <w:shd w:val="clear" w:color="auto" w:fill="auto"/>
            <w:noWrap/>
            <w:vAlign w:val="bottom"/>
            <w:hideMark/>
          </w:tcPr>
          <w:p w:rsidRPr="00387AB6" w:rsidR="00964BFC" w:rsidP="00573A19" w:rsidRDefault="00964BFC" w14:paraId="0AF54248" w14:textId="77777777">
            <w:pPr>
              <w:rPr>
                <w:rFonts w:cs="Calibri"/>
                <w:color w:val="000000"/>
                <w:sz w:val="24"/>
                <w:szCs w:val="24"/>
              </w:rPr>
            </w:pPr>
            <w:r w:rsidRPr="00387AB6">
              <w:rPr>
                <w:rFonts w:cs="Calibri"/>
                <w:color w:val="000000"/>
                <w:sz w:val="24"/>
                <w:szCs w:val="24"/>
              </w:rPr>
              <w:t> </w:t>
            </w:r>
          </w:p>
        </w:tc>
        <w:tc>
          <w:tcPr>
            <w:tcW w:w="1403" w:type="dxa"/>
            <w:tcBorders>
              <w:top w:val="nil"/>
              <w:left w:val="nil"/>
              <w:bottom w:val="single" w:color="auto" w:sz="4" w:space="0"/>
              <w:right w:val="single" w:color="auto" w:sz="8" w:space="0"/>
            </w:tcBorders>
            <w:shd w:val="clear" w:color="auto" w:fill="auto"/>
            <w:noWrap/>
            <w:vAlign w:val="bottom"/>
            <w:hideMark/>
          </w:tcPr>
          <w:p w:rsidRPr="00387AB6" w:rsidR="00964BFC" w:rsidP="00573A19" w:rsidRDefault="00964BFC" w14:paraId="7DFC72AF" w14:textId="77777777">
            <w:pPr>
              <w:rPr>
                <w:rFonts w:cs="Calibri"/>
                <w:color w:val="000000"/>
                <w:sz w:val="24"/>
                <w:szCs w:val="24"/>
              </w:rPr>
            </w:pPr>
            <w:r w:rsidRPr="00387AB6">
              <w:rPr>
                <w:rFonts w:cs="Calibri"/>
                <w:color w:val="000000"/>
                <w:sz w:val="24"/>
                <w:szCs w:val="24"/>
              </w:rPr>
              <w:t> </w:t>
            </w:r>
          </w:p>
        </w:tc>
      </w:tr>
      <w:tr w:rsidRPr="00387AB6" w:rsidR="00964BFC" w:rsidTr="00573A19" w14:paraId="759CC902" w14:textId="77777777">
        <w:trPr>
          <w:trHeight w:val="300"/>
        </w:trPr>
        <w:tc>
          <w:tcPr>
            <w:tcW w:w="5750" w:type="dxa"/>
            <w:tcBorders>
              <w:top w:val="nil"/>
              <w:left w:val="single" w:color="auto" w:sz="8" w:space="0"/>
              <w:bottom w:val="single" w:color="auto" w:sz="4" w:space="0"/>
              <w:right w:val="nil"/>
            </w:tcBorders>
            <w:shd w:val="clear" w:color="auto" w:fill="auto"/>
            <w:noWrap/>
            <w:vAlign w:val="bottom"/>
            <w:hideMark/>
          </w:tcPr>
          <w:p w:rsidRPr="00387AB6" w:rsidR="00964BFC" w:rsidP="00573A19" w:rsidRDefault="00964BFC" w14:paraId="2317C84A" w14:textId="77777777">
            <w:pPr>
              <w:rPr>
                <w:rFonts w:cs="Calibri"/>
                <w:color w:val="000000"/>
                <w:sz w:val="24"/>
                <w:szCs w:val="24"/>
              </w:rPr>
            </w:pPr>
            <w:r w:rsidRPr="00387AB6">
              <w:rPr>
                <w:rFonts w:cs="Calibri"/>
                <w:color w:val="000000"/>
                <w:sz w:val="24"/>
                <w:szCs w:val="24"/>
              </w:rPr>
              <w:t>[Add rows as needed]</w:t>
            </w:r>
          </w:p>
        </w:tc>
        <w:tc>
          <w:tcPr>
            <w:tcW w:w="1446" w:type="dxa"/>
            <w:tcBorders>
              <w:top w:val="nil"/>
              <w:left w:val="single" w:color="auto" w:sz="8" w:space="0"/>
              <w:bottom w:val="single" w:color="auto" w:sz="4" w:space="0"/>
              <w:right w:val="single" w:color="auto" w:sz="4" w:space="0"/>
            </w:tcBorders>
            <w:shd w:val="clear" w:color="auto" w:fill="auto"/>
            <w:vAlign w:val="bottom"/>
            <w:hideMark/>
          </w:tcPr>
          <w:p w:rsidRPr="00387AB6" w:rsidR="00964BFC" w:rsidP="00573A19" w:rsidRDefault="00964BFC" w14:paraId="626B7461" w14:textId="77777777">
            <w:pPr>
              <w:rPr>
                <w:rFonts w:cs="Calibri"/>
                <w:color w:val="000000"/>
                <w:sz w:val="24"/>
                <w:szCs w:val="24"/>
              </w:rPr>
            </w:pPr>
            <w:r w:rsidRPr="00387AB6">
              <w:rPr>
                <w:rFonts w:cs="Calibri"/>
                <w:color w:val="000000"/>
                <w:sz w:val="24"/>
                <w:szCs w:val="24"/>
              </w:rPr>
              <w:t> </w:t>
            </w:r>
          </w:p>
        </w:tc>
        <w:tc>
          <w:tcPr>
            <w:tcW w:w="1403" w:type="dxa"/>
            <w:tcBorders>
              <w:top w:val="nil"/>
              <w:left w:val="nil"/>
              <w:bottom w:val="single" w:color="auto" w:sz="4" w:space="0"/>
              <w:right w:val="double" w:color="auto" w:sz="6" w:space="0"/>
            </w:tcBorders>
            <w:shd w:val="clear" w:color="auto" w:fill="auto"/>
            <w:noWrap/>
            <w:vAlign w:val="bottom"/>
            <w:hideMark/>
          </w:tcPr>
          <w:p w:rsidRPr="00387AB6" w:rsidR="00964BFC" w:rsidP="00573A19" w:rsidRDefault="00964BFC" w14:paraId="4F5CA19A" w14:textId="77777777">
            <w:pPr>
              <w:rPr>
                <w:rFonts w:cs="Calibri"/>
                <w:color w:val="000000"/>
                <w:sz w:val="24"/>
                <w:szCs w:val="24"/>
              </w:rPr>
            </w:pPr>
            <w:r w:rsidRPr="00387AB6">
              <w:rPr>
                <w:rFonts w:cs="Calibri"/>
                <w:color w:val="000000"/>
                <w:sz w:val="24"/>
                <w:szCs w:val="24"/>
              </w:rPr>
              <w:t> </w:t>
            </w:r>
          </w:p>
        </w:tc>
        <w:tc>
          <w:tcPr>
            <w:tcW w:w="1443" w:type="dxa"/>
            <w:tcBorders>
              <w:top w:val="nil"/>
              <w:left w:val="nil"/>
              <w:bottom w:val="single" w:color="auto" w:sz="4" w:space="0"/>
              <w:right w:val="nil"/>
            </w:tcBorders>
            <w:shd w:val="clear" w:color="auto" w:fill="auto"/>
            <w:noWrap/>
            <w:vAlign w:val="bottom"/>
            <w:hideMark/>
          </w:tcPr>
          <w:p w:rsidRPr="00387AB6" w:rsidR="00964BFC" w:rsidP="00573A19" w:rsidRDefault="00964BFC" w14:paraId="2FB06E28" w14:textId="77777777">
            <w:pPr>
              <w:rPr>
                <w:rFonts w:cs="Calibri"/>
                <w:color w:val="000000"/>
                <w:sz w:val="24"/>
                <w:szCs w:val="24"/>
              </w:rPr>
            </w:pPr>
            <w:r w:rsidRPr="00387AB6">
              <w:rPr>
                <w:rFonts w:cs="Calibri"/>
                <w:color w:val="000000"/>
                <w:sz w:val="24"/>
                <w:szCs w:val="24"/>
              </w:rPr>
              <w:t> </w:t>
            </w:r>
          </w:p>
        </w:tc>
        <w:tc>
          <w:tcPr>
            <w:tcW w:w="1403" w:type="dxa"/>
            <w:tcBorders>
              <w:top w:val="nil"/>
              <w:left w:val="nil"/>
              <w:bottom w:val="single" w:color="auto" w:sz="4" w:space="0"/>
              <w:right w:val="nil"/>
            </w:tcBorders>
            <w:shd w:val="clear" w:color="auto" w:fill="auto"/>
            <w:noWrap/>
            <w:vAlign w:val="bottom"/>
            <w:hideMark/>
          </w:tcPr>
          <w:p w:rsidRPr="00387AB6" w:rsidR="00964BFC" w:rsidP="00573A19" w:rsidRDefault="00964BFC" w14:paraId="1E7ECCE0" w14:textId="77777777">
            <w:pPr>
              <w:rPr>
                <w:rFonts w:cs="Calibri"/>
                <w:color w:val="000000"/>
                <w:sz w:val="24"/>
                <w:szCs w:val="24"/>
              </w:rPr>
            </w:pPr>
            <w:r w:rsidRPr="00387AB6">
              <w:rPr>
                <w:rFonts w:cs="Calibri"/>
                <w:color w:val="000000"/>
                <w:sz w:val="24"/>
                <w:szCs w:val="24"/>
              </w:rPr>
              <w:t> </w:t>
            </w:r>
          </w:p>
        </w:tc>
        <w:tc>
          <w:tcPr>
            <w:tcW w:w="1443" w:type="dxa"/>
            <w:tcBorders>
              <w:top w:val="nil"/>
              <w:left w:val="double" w:color="auto" w:sz="6" w:space="0"/>
              <w:bottom w:val="single" w:color="auto" w:sz="4" w:space="0"/>
              <w:right w:val="single" w:color="auto" w:sz="4" w:space="0"/>
            </w:tcBorders>
            <w:shd w:val="clear" w:color="auto" w:fill="auto"/>
            <w:noWrap/>
            <w:vAlign w:val="bottom"/>
            <w:hideMark/>
          </w:tcPr>
          <w:p w:rsidRPr="00387AB6" w:rsidR="00964BFC" w:rsidP="00573A19" w:rsidRDefault="00964BFC" w14:paraId="018666C6" w14:textId="77777777">
            <w:pPr>
              <w:rPr>
                <w:rFonts w:cs="Calibri"/>
                <w:color w:val="000000"/>
                <w:sz w:val="24"/>
                <w:szCs w:val="24"/>
              </w:rPr>
            </w:pPr>
            <w:r w:rsidRPr="00387AB6">
              <w:rPr>
                <w:rFonts w:cs="Calibri"/>
                <w:color w:val="000000"/>
                <w:sz w:val="24"/>
                <w:szCs w:val="24"/>
              </w:rPr>
              <w:t> </w:t>
            </w:r>
          </w:p>
        </w:tc>
        <w:tc>
          <w:tcPr>
            <w:tcW w:w="1403" w:type="dxa"/>
            <w:tcBorders>
              <w:top w:val="nil"/>
              <w:left w:val="nil"/>
              <w:bottom w:val="single" w:color="auto" w:sz="4" w:space="0"/>
              <w:right w:val="double" w:color="auto" w:sz="6" w:space="0"/>
            </w:tcBorders>
            <w:shd w:val="clear" w:color="auto" w:fill="auto"/>
            <w:noWrap/>
            <w:vAlign w:val="bottom"/>
            <w:hideMark/>
          </w:tcPr>
          <w:p w:rsidRPr="00387AB6" w:rsidR="00964BFC" w:rsidP="00573A19" w:rsidRDefault="00964BFC" w14:paraId="1C2172A7" w14:textId="77777777">
            <w:pPr>
              <w:rPr>
                <w:rFonts w:cs="Calibri"/>
                <w:color w:val="000000"/>
                <w:sz w:val="24"/>
                <w:szCs w:val="24"/>
              </w:rPr>
            </w:pPr>
            <w:r w:rsidRPr="00387AB6">
              <w:rPr>
                <w:rFonts w:cs="Calibri"/>
                <w:color w:val="000000"/>
                <w:sz w:val="24"/>
                <w:szCs w:val="24"/>
              </w:rPr>
              <w:t> </w:t>
            </w:r>
          </w:p>
        </w:tc>
        <w:tc>
          <w:tcPr>
            <w:tcW w:w="1443" w:type="dxa"/>
            <w:tcBorders>
              <w:top w:val="nil"/>
              <w:left w:val="nil"/>
              <w:bottom w:val="single" w:color="auto" w:sz="4" w:space="0"/>
              <w:right w:val="single" w:color="auto" w:sz="4" w:space="0"/>
            </w:tcBorders>
            <w:shd w:val="clear" w:color="auto" w:fill="auto"/>
            <w:noWrap/>
            <w:vAlign w:val="bottom"/>
            <w:hideMark/>
          </w:tcPr>
          <w:p w:rsidRPr="00387AB6" w:rsidR="00964BFC" w:rsidP="00573A19" w:rsidRDefault="00964BFC" w14:paraId="4A383767" w14:textId="77777777">
            <w:pPr>
              <w:rPr>
                <w:rFonts w:cs="Calibri"/>
                <w:color w:val="000000"/>
                <w:sz w:val="24"/>
                <w:szCs w:val="24"/>
              </w:rPr>
            </w:pPr>
            <w:r w:rsidRPr="00387AB6">
              <w:rPr>
                <w:rFonts w:cs="Calibri"/>
                <w:color w:val="000000"/>
                <w:sz w:val="24"/>
                <w:szCs w:val="24"/>
              </w:rPr>
              <w:t> </w:t>
            </w:r>
          </w:p>
        </w:tc>
        <w:tc>
          <w:tcPr>
            <w:tcW w:w="1403" w:type="dxa"/>
            <w:tcBorders>
              <w:top w:val="nil"/>
              <w:left w:val="nil"/>
              <w:bottom w:val="single" w:color="auto" w:sz="4" w:space="0"/>
              <w:right w:val="single" w:color="auto" w:sz="8" w:space="0"/>
            </w:tcBorders>
            <w:shd w:val="clear" w:color="auto" w:fill="auto"/>
            <w:noWrap/>
            <w:vAlign w:val="bottom"/>
            <w:hideMark/>
          </w:tcPr>
          <w:p w:rsidRPr="00387AB6" w:rsidR="00964BFC" w:rsidP="00573A19" w:rsidRDefault="00964BFC" w14:paraId="69B23B60" w14:textId="77777777">
            <w:pPr>
              <w:rPr>
                <w:rFonts w:cs="Calibri"/>
                <w:color w:val="000000"/>
                <w:sz w:val="24"/>
                <w:szCs w:val="24"/>
              </w:rPr>
            </w:pPr>
            <w:r w:rsidRPr="00387AB6">
              <w:rPr>
                <w:rFonts w:cs="Calibri"/>
                <w:color w:val="000000"/>
                <w:sz w:val="24"/>
                <w:szCs w:val="24"/>
              </w:rPr>
              <w:t> </w:t>
            </w:r>
          </w:p>
        </w:tc>
      </w:tr>
      <w:tr w:rsidRPr="00387AB6" w:rsidR="00964BFC" w:rsidTr="00573A19" w14:paraId="1013D10D" w14:textId="77777777">
        <w:trPr>
          <w:trHeight w:val="600"/>
        </w:trPr>
        <w:tc>
          <w:tcPr>
            <w:tcW w:w="5750" w:type="dxa"/>
            <w:tcBorders>
              <w:top w:val="nil"/>
              <w:left w:val="single" w:color="auto" w:sz="8" w:space="0"/>
              <w:bottom w:val="single" w:color="auto" w:sz="4" w:space="0"/>
              <w:right w:val="nil"/>
            </w:tcBorders>
            <w:shd w:val="clear" w:color="auto" w:fill="auto"/>
            <w:vAlign w:val="bottom"/>
            <w:hideMark/>
          </w:tcPr>
          <w:p w:rsidRPr="00387AB6" w:rsidR="00964BFC" w:rsidP="00573A19" w:rsidRDefault="00964BFC" w14:paraId="1AD84A97" w14:textId="77777777">
            <w:pPr>
              <w:rPr>
                <w:rFonts w:cs="Calibri"/>
                <w:color w:val="000000"/>
                <w:sz w:val="24"/>
                <w:szCs w:val="24"/>
              </w:rPr>
            </w:pPr>
            <w:r w:rsidRPr="00387AB6">
              <w:rPr>
                <w:rFonts w:cs="Calibri"/>
                <w:b/>
                <w:bCs/>
                <w:color w:val="000000"/>
                <w:sz w:val="24"/>
                <w:szCs w:val="24"/>
              </w:rPr>
              <w:t>Total</w:t>
            </w:r>
            <w:r w:rsidRPr="00387AB6">
              <w:rPr>
                <w:rFonts w:cs="Calibri"/>
                <w:color w:val="000000"/>
                <w:sz w:val="24"/>
                <w:szCs w:val="24"/>
              </w:rPr>
              <w:t xml:space="preserve"> [footnote any caveats when summation differs from total]</w:t>
            </w:r>
          </w:p>
        </w:tc>
        <w:tc>
          <w:tcPr>
            <w:tcW w:w="1446" w:type="dxa"/>
            <w:tcBorders>
              <w:top w:val="nil"/>
              <w:left w:val="single" w:color="auto" w:sz="8" w:space="0"/>
              <w:bottom w:val="single" w:color="auto" w:sz="4" w:space="0"/>
              <w:right w:val="single" w:color="auto" w:sz="4" w:space="0"/>
            </w:tcBorders>
            <w:shd w:val="clear" w:color="auto" w:fill="auto"/>
            <w:vAlign w:val="bottom"/>
            <w:hideMark/>
          </w:tcPr>
          <w:p w:rsidRPr="00387AB6" w:rsidR="00964BFC" w:rsidP="00573A19" w:rsidRDefault="00964BFC" w14:paraId="76B235E1" w14:textId="77777777">
            <w:pPr>
              <w:rPr>
                <w:rFonts w:cs="Calibri"/>
                <w:color w:val="000000"/>
                <w:sz w:val="24"/>
                <w:szCs w:val="24"/>
              </w:rPr>
            </w:pPr>
            <w:r w:rsidRPr="00387AB6">
              <w:rPr>
                <w:rFonts w:cs="Calibri"/>
                <w:color w:val="000000"/>
                <w:sz w:val="24"/>
                <w:szCs w:val="24"/>
              </w:rPr>
              <w:t> </w:t>
            </w:r>
          </w:p>
        </w:tc>
        <w:tc>
          <w:tcPr>
            <w:tcW w:w="1403" w:type="dxa"/>
            <w:tcBorders>
              <w:top w:val="nil"/>
              <w:left w:val="nil"/>
              <w:bottom w:val="single" w:color="auto" w:sz="4" w:space="0"/>
              <w:right w:val="double" w:color="auto" w:sz="6" w:space="0"/>
            </w:tcBorders>
            <w:shd w:val="clear" w:color="auto" w:fill="auto"/>
            <w:noWrap/>
            <w:vAlign w:val="bottom"/>
            <w:hideMark/>
          </w:tcPr>
          <w:p w:rsidRPr="00387AB6" w:rsidR="00964BFC" w:rsidP="00573A19" w:rsidRDefault="00964BFC" w14:paraId="2DC9ED54" w14:textId="77777777">
            <w:pPr>
              <w:rPr>
                <w:rFonts w:cs="Calibri"/>
                <w:color w:val="000000"/>
                <w:sz w:val="24"/>
                <w:szCs w:val="24"/>
              </w:rPr>
            </w:pPr>
            <w:r w:rsidRPr="00387AB6">
              <w:rPr>
                <w:rFonts w:cs="Calibri"/>
                <w:color w:val="000000"/>
                <w:sz w:val="24"/>
                <w:szCs w:val="24"/>
              </w:rPr>
              <w:t> </w:t>
            </w:r>
          </w:p>
        </w:tc>
        <w:tc>
          <w:tcPr>
            <w:tcW w:w="1443" w:type="dxa"/>
            <w:tcBorders>
              <w:top w:val="nil"/>
              <w:left w:val="nil"/>
              <w:bottom w:val="single" w:color="auto" w:sz="4" w:space="0"/>
              <w:right w:val="nil"/>
            </w:tcBorders>
            <w:shd w:val="clear" w:color="auto" w:fill="auto"/>
            <w:noWrap/>
            <w:vAlign w:val="bottom"/>
            <w:hideMark/>
          </w:tcPr>
          <w:p w:rsidRPr="00387AB6" w:rsidR="00964BFC" w:rsidP="00573A19" w:rsidRDefault="00964BFC" w14:paraId="36A27B45" w14:textId="77777777">
            <w:pPr>
              <w:rPr>
                <w:rFonts w:cs="Calibri"/>
                <w:color w:val="000000"/>
                <w:sz w:val="24"/>
                <w:szCs w:val="24"/>
              </w:rPr>
            </w:pPr>
            <w:r w:rsidRPr="00387AB6">
              <w:rPr>
                <w:rFonts w:cs="Calibri"/>
                <w:color w:val="000000"/>
                <w:sz w:val="24"/>
                <w:szCs w:val="24"/>
              </w:rPr>
              <w:t> </w:t>
            </w:r>
          </w:p>
        </w:tc>
        <w:tc>
          <w:tcPr>
            <w:tcW w:w="1403" w:type="dxa"/>
            <w:tcBorders>
              <w:top w:val="nil"/>
              <w:left w:val="nil"/>
              <w:bottom w:val="single" w:color="auto" w:sz="4" w:space="0"/>
              <w:right w:val="nil"/>
            </w:tcBorders>
            <w:shd w:val="clear" w:color="auto" w:fill="auto"/>
            <w:noWrap/>
            <w:vAlign w:val="bottom"/>
            <w:hideMark/>
          </w:tcPr>
          <w:p w:rsidRPr="00387AB6" w:rsidR="00964BFC" w:rsidP="00573A19" w:rsidRDefault="00964BFC" w14:paraId="125FD20C" w14:textId="77777777">
            <w:pPr>
              <w:rPr>
                <w:rFonts w:cs="Calibri"/>
                <w:color w:val="000000"/>
                <w:sz w:val="24"/>
                <w:szCs w:val="24"/>
              </w:rPr>
            </w:pPr>
            <w:r w:rsidRPr="00387AB6">
              <w:rPr>
                <w:rFonts w:cs="Calibri"/>
                <w:color w:val="000000"/>
                <w:sz w:val="24"/>
                <w:szCs w:val="24"/>
              </w:rPr>
              <w:t> </w:t>
            </w:r>
          </w:p>
        </w:tc>
        <w:tc>
          <w:tcPr>
            <w:tcW w:w="1443" w:type="dxa"/>
            <w:tcBorders>
              <w:top w:val="nil"/>
              <w:left w:val="double" w:color="auto" w:sz="6" w:space="0"/>
              <w:bottom w:val="single" w:color="auto" w:sz="4" w:space="0"/>
              <w:right w:val="single" w:color="auto" w:sz="4" w:space="0"/>
            </w:tcBorders>
            <w:shd w:val="clear" w:color="auto" w:fill="auto"/>
            <w:noWrap/>
            <w:vAlign w:val="bottom"/>
            <w:hideMark/>
          </w:tcPr>
          <w:p w:rsidRPr="00387AB6" w:rsidR="00964BFC" w:rsidP="00573A19" w:rsidRDefault="00964BFC" w14:paraId="0109D0E2" w14:textId="77777777">
            <w:pPr>
              <w:rPr>
                <w:rFonts w:cs="Calibri"/>
                <w:color w:val="000000"/>
                <w:sz w:val="24"/>
                <w:szCs w:val="24"/>
              </w:rPr>
            </w:pPr>
            <w:r w:rsidRPr="00387AB6">
              <w:rPr>
                <w:rFonts w:cs="Calibri"/>
                <w:color w:val="000000"/>
                <w:sz w:val="24"/>
                <w:szCs w:val="24"/>
              </w:rPr>
              <w:t> </w:t>
            </w:r>
          </w:p>
        </w:tc>
        <w:tc>
          <w:tcPr>
            <w:tcW w:w="1403" w:type="dxa"/>
            <w:tcBorders>
              <w:top w:val="nil"/>
              <w:left w:val="nil"/>
              <w:bottom w:val="single" w:color="auto" w:sz="4" w:space="0"/>
              <w:right w:val="double" w:color="auto" w:sz="6" w:space="0"/>
            </w:tcBorders>
            <w:shd w:val="clear" w:color="auto" w:fill="auto"/>
            <w:noWrap/>
            <w:vAlign w:val="bottom"/>
            <w:hideMark/>
          </w:tcPr>
          <w:p w:rsidRPr="00387AB6" w:rsidR="00964BFC" w:rsidP="00573A19" w:rsidRDefault="00964BFC" w14:paraId="709F1C41" w14:textId="77777777">
            <w:pPr>
              <w:rPr>
                <w:rFonts w:cs="Calibri"/>
                <w:color w:val="000000"/>
                <w:sz w:val="24"/>
                <w:szCs w:val="24"/>
              </w:rPr>
            </w:pPr>
            <w:r w:rsidRPr="00387AB6">
              <w:rPr>
                <w:rFonts w:cs="Calibri"/>
                <w:color w:val="000000"/>
                <w:sz w:val="24"/>
                <w:szCs w:val="24"/>
              </w:rPr>
              <w:t> </w:t>
            </w:r>
          </w:p>
        </w:tc>
        <w:tc>
          <w:tcPr>
            <w:tcW w:w="1443" w:type="dxa"/>
            <w:tcBorders>
              <w:top w:val="nil"/>
              <w:left w:val="nil"/>
              <w:bottom w:val="single" w:color="auto" w:sz="4" w:space="0"/>
              <w:right w:val="single" w:color="auto" w:sz="4" w:space="0"/>
            </w:tcBorders>
            <w:shd w:val="clear" w:color="auto" w:fill="auto"/>
            <w:noWrap/>
            <w:vAlign w:val="bottom"/>
            <w:hideMark/>
          </w:tcPr>
          <w:p w:rsidRPr="00387AB6" w:rsidR="00964BFC" w:rsidP="00573A19" w:rsidRDefault="00964BFC" w14:paraId="230BE59F" w14:textId="77777777">
            <w:pPr>
              <w:rPr>
                <w:rFonts w:cs="Calibri"/>
                <w:color w:val="000000"/>
                <w:sz w:val="24"/>
                <w:szCs w:val="24"/>
              </w:rPr>
            </w:pPr>
            <w:r w:rsidRPr="00387AB6">
              <w:rPr>
                <w:rFonts w:cs="Calibri"/>
                <w:color w:val="000000"/>
                <w:sz w:val="24"/>
                <w:szCs w:val="24"/>
              </w:rPr>
              <w:t> </w:t>
            </w:r>
          </w:p>
        </w:tc>
        <w:tc>
          <w:tcPr>
            <w:tcW w:w="1403" w:type="dxa"/>
            <w:tcBorders>
              <w:top w:val="nil"/>
              <w:left w:val="nil"/>
              <w:bottom w:val="single" w:color="auto" w:sz="4" w:space="0"/>
              <w:right w:val="single" w:color="auto" w:sz="8" w:space="0"/>
            </w:tcBorders>
            <w:shd w:val="clear" w:color="auto" w:fill="auto"/>
            <w:noWrap/>
            <w:vAlign w:val="bottom"/>
            <w:hideMark/>
          </w:tcPr>
          <w:p w:rsidRPr="00387AB6" w:rsidR="00964BFC" w:rsidP="00573A19" w:rsidRDefault="00964BFC" w14:paraId="1A74DB75" w14:textId="77777777">
            <w:pPr>
              <w:rPr>
                <w:rFonts w:cs="Calibri"/>
                <w:color w:val="000000"/>
                <w:sz w:val="24"/>
                <w:szCs w:val="24"/>
              </w:rPr>
            </w:pPr>
            <w:r w:rsidRPr="00387AB6">
              <w:rPr>
                <w:rFonts w:cs="Calibri"/>
                <w:color w:val="000000"/>
                <w:sz w:val="24"/>
                <w:szCs w:val="24"/>
              </w:rPr>
              <w:t> </w:t>
            </w:r>
          </w:p>
        </w:tc>
      </w:tr>
      <w:tr w:rsidRPr="00387AB6" w:rsidR="00964BFC" w:rsidTr="00573A19" w14:paraId="17B4F649" w14:textId="77777777">
        <w:trPr>
          <w:trHeight w:val="300"/>
        </w:trPr>
        <w:tc>
          <w:tcPr>
            <w:tcW w:w="5750" w:type="dxa"/>
            <w:tcBorders>
              <w:top w:val="nil"/>
              <w:left w:val="single" w:color="auto" w:sz="8" w:space="0"/>
              <w:bottom w:val="single" w:color="auto" w:sz="4" w:space="0"/>
              <w:right w:val="nil"/>
            </w:tcBorders>
            <w:shd w:val="clear" w:color="000000" w:fill="D0CECE"/>
            <w:noWrap/>
            <w:vAlign w:val="bottom"/>
            <w:hideMark/>
          </w:tcPr>
          <w:p w:rsidRPr="00387AB6" w:rsidR="00964BFC" w:rsidP="00573A19" w:rsidRDefault="00964BFC" w14:paraId="6347A661" w14:textId="77777777">
            <w:pPr>
              <w:rPr>
                <w:rFonts w:cs="Calibri"/>
                <w:i/>
                <w:iCs/>
                <w:color w:val="000000"/>
                <w:sz w:val="24"/>
                <w:szCs w:val="24"/>
              </w:rPr>
            </w:pPr>
            <w:r w:rsidRPr="00387AB6">
              <w:rPr>
                <w:rFonts w:cs="Calibri"/>
                <w:i/>
                <w:iCs/>
                <w:color w:val="000000"/>
                <w:sz w:val="24"/>
                <w:szCs w:val="24"/>
              </w:rPr>
              <w:t>TOU Rates</w:t>
            </w:r>
          </w:p>
        </w:tc>
        <w:tc>
          <w:tcPr>
            <w:tcW w:w="1446" w:type="dxa"/>
            <w:tcBorders>
              <w:top w:val="nil"/>
              <w:left w:val="single" w:color="auto" w:sz="8" w:space="0"/>
              <w:bottom w:val="single" w:color="auto" w:sz="4" w:space="0"/>
              <w:right w:val="nil"/>
            </w:tcBorders>
            <w:shd w:val="clear" w:color="000000" w:fill="D0CECE"/>
            <w:noWrap/>
            <w:vAlign w:val="bottom"/>
            <w:hideMark/>
          </w:tcPr>
          <w:p w:rsidRPr="00387AB6" w:rsidR="00964BFC" w:rsidP="00573A19" w:rsidRDefault="00964BFC" w14:paraId="4EC6BC17" w14:textId="77777777">
            <w:pPr>
              <w:rPr>
                <w:rFonts w:cs="Calibri"/>
                <w:i/>
                <w:iCs/>
                <w:color w:val="000000"/>
                <w:sz w:val="24"/>
                <w:szCs w:val="24"/>
              </w:rPr>
            </w:pPr>
            <w:r w:rsidRPr="00387AB6">
              <w:rPr>
                <w:rFonts w:cs="Calibri"/>
                <w:i/>
                <w:iCs/>
                <w:color w:val="000000"/>
                <w:sz w:val="24"/>
                <w:szCs w:val="24"/>
              </w:rPr>
              <w:t> </w:t>
            </w:r>
          </w:p>
        </w:tc>
        <w:tc>
          <w:tcPr>
            <w:tcW w:w="1403" w:type="dxa"/>
            <w:tcBorders>
              <w:top w:val="nil"/>
              <w:left w:val="nil"/>
              <w:bottom w:val="single" w:color="auto" w:sz="4" w:space="0"/>
              <w:right w:val="nil"/>
            </w:tcBorders>
            <w:shd w:val="clear" w:color="000000" w:fill="D0CECE"/>
            <w:noWrap/>
            <w:vAlign w:val="bottom"/>
            <w:hideMark/>
          </w:tcPr>
          <w:p w:rsidRPr="00387AB6" w:rsidR="00964BFC" w:rsidP="00573A19" w:rsidRDefault="00964BFC" w14:paraId="392AAAED" w14:textId="77777777">
            <w:pPr>
              <w:rPr>
                <w:rFonts w:cs="Calibri"/>
                <w:i/>
                <w:iCs/>
                <w:color w:val="000000"/>
                <w:sz w:val="24"/>
                <w:szCs w:val="24"/>
              </w:rPr>
            </w:pPr>
            <w:r w:rsidRPr="00387AB6">
              <w:rPr>
                <w:rFonts w:cs="Calibri"/>
                <w:i/>
                <w:iCs/>
                <w:color w:val="000000"/>
                <w:sz w:val="24"/>
                <w:szCs w:val="24"/>
              </w:rPr>
              <w:t> </w:t>
            </w:r>
          </w:p>
        </w:tc>
        <w:tc>
          <w:tcPr>
            <w:tcW w:w="1443" w:type="dxa"/>
            <w:tcBorders>
              <w:top w:val="nil"/>
              <w:left w:val="nil"/>
              <w:bottom w:val="single" w:color="auto" w:sz="4" w:space="0"/>
              <w:right w:val="nil"/>
            </w:tcBorders>
            <w:shd w:val="clear" w:color="000000" w:fill="D0CECE"/>
            <w:noWrap/>
            <w:vAlign w:val="bottom"/>
            <w:hideMark/>
          </w:tcPr>
          <w:p w:rsidRPr="00387AB6" w:rsidR="00964BFC" w:rsidP="00573A19" w:rsidRDefault="00964BFC" w14:paraId="34EC2781" w14:textId="77777777">
            <w:pPr>
              <w:rPr>
                <w:rFonts w:cs="Calibri"/>
                <w:i/>
                <w:iCs/>
                <w:color w:val="000000"/>
                <w:sz w:val="24"/>
                <w:szCs w:val="24"/>
              </w:rPr>
            </w:pPr>
            <w:r w:rsidRPr="00387AB6">
              <w:rPr>
                <w:rFonts w:cs="Calibri"/>
                <w:i/>
                <w:iCs/>
                <w:color w:val="000000"/>
                <w:sz w:val="24"/>
                <w:szCs w:val="24"/>
              </w:rPr>
              <w:t> </w:t>
            </w:r>
          </w:p>
        </w:tc>
        <w:tc>
          <w:tcPr>
            <w:tcW w:w="1403" w:type="dxa"/>
            <w:tcBorders>
              <w:top w:val="nil"/>
              <w:left w:val="nil"/>
              <w:bottom w:val="single" w:color="auto" w:sz="4" w:space="0"/>
              <w:right w:val="nil"/>
            </w:tcBorders>
            <w:shd w:val="clear" w:color="000000" w:fill="D0CECE"/>
            <w:noWrap/>
            <w:vAlign w:val="bottom"/>
            <w:hideMark/>
          </w:tcPr>
          <w:p w:rsidRPr="00387AB6" w:rsidR="00964BFC" w:rsidP="00573A19" w:rsidRDefault="00964BFC" w14:paraId="62B45ECC" w14:textId="77777777">
            <w:pPr>
              <w:rPr>
                <w:rFonts w:cs="Calibri"/>
                <w:i/>
                <w:iCs/>
                <w:color w:val="000000"/>
                <w:sz w:val="24"/>
                <w:szCs w:val="24"/>
              </w:rPr>
            </w:pPr>
            <w:r w:rsidRPr="00387AB6">
              <w:rPr>
                <w:rFonts w:cs="Calibri"/>
                <w:i/>
                <w:iCs/>
                <w:color w:val="000000"/>
                <w:sz w:val="24"/>
                <w:szCs w:val="24"/>
              </w:rPr>
              <w:t> </w:t>
            </w:r>
          </w:p>
        </w:tc>
        <w:tc>
          <w:tcPr>
            <w:tcW w:w="1443" w:type="dxa"/>
            <w:tcBorders>
              <w:top w:val="nil"/>
              <w:left w:val="nil"/>
              <w:bottom w:val="single" w:color="auto" w:sz="4" w:space="0"/>
              <w:right w:val="nil"/>
            </w:tcBorders>
            <w:shd w:val="clear" w:color="000000" w:fill="D0CECE"/>
            <w:noWrap/>
            <w:vAlign w:val="bottom"/>
            <w:hideMark/>
          </w:tcPr>
          <w:p w:rsidRPr="00387AB6" w:rsidR="00964BFC" w:rsidP="00573A19" w:rsidRDefault="00964BFC" w14:paraId="3CA59745" w14:textId="77777777">
            <w:pPr>
              <w:rPr>
                <w:rFonts w:cs="Calibri"/>
                <w:i/>
                <w:iCs/>
                <w:color w:val="000000"/>
                <w:sz w:val="24"/>
                <w:szCs w:val="24"/>
              </w:rPr>
            </w:pPr>
            <w:r w:rsidRPr="00387AB6">
              <w:rPr>
                <w:rFonts w:cs="Calibri"/>
                <w:i/>
                <w:iCs/>
                <w:color w:val="000000"/>
                <w:sz w:val="24"/>
                <w:szCs w:val="24"/>
              </w:rPr>
              <w:t> </w:t>
            </w:r>
          </w:p>
        </w:tc>
        <w:tc>
          <w:tcPr>
            <w:tcW w:w="1403" w:type="dxa"/>
            <w:tcBorders>
              <w:top w:val="nil"/>
              <w:left w:val="nil"/>
              <w:bottom w:val="single" w:color="auto" w:sz="4" w:space="0"/>
              <w:right w:val="nil"/>
            </w:tcBorders>
            <w:shd w:val="clear" w:color="000000" w:fill="D0CECE"/>
            <w:noWrap/>
            <w:vAlign w:val="bottom"/>
            <w:hideMark/>
          </w:tcPr>
          <w:p w:rsidRPr="00387AB6" w:rsidR="00964BFC" w:rsidP="00573A19" w:rsidRDefault="00964BFC" w14:paraId="37A8FFC5" w14:textId="77777777">
            <w:pPr>
              <w:rPr>
                <w:rFonts w:cs="Calibri"/>
                <w:i/>
                <w:iCs/>
                <w:color w:val="000000"/>
                <w:sz w:val="24"/>
                <w:szCs w:val="24"/>
              </w:rPr>
            </w:pPr>
            <w:r w:rsidRPr="00387AB6">
              <w:rPr>
                <w:rFonts w:cs="Calibri"/>
                <w:i/>
                <w:iCs/>
                <w:color w:val="000000"/>
                <w:sz w:val="24"/>
                <w:szCs w:val="24"/>
              </w:rPr>
              <w:t> </w:t>
            </w:r>
          </w:p>
        </w:tc>
        <w:tc>
          <w:tcPr>
            <w:tcW w:w="1443" w:type="dxa"/>
            <w:tcBorders>
              <w:top w:val="nil"/>
              <w:left w:val="nil"/>
              <w:bottom w:val="single" w:color="auto" w:sz="4" w:space="0"/>
              <w:right w:val="nil"/>
            </w:tcBorders>
            <w:shd w:val="clear" w:color="000000" w:fill="D0CECE"/>
            <w:noWrap/>
            <w:vAlign w:val="bottom"/>
            <w:hideMark/>
          </w:tcPr>
          <w:p w:rsidRPr="00387AB6" w:rsidR="00964BFC" w:rsidP="00573A19" w:rsidRDefault="00964BFC" w14:paraId="6968E9E7" w14:textId="77777777">
            <w:pPr>
              <w:rPr>
                <w:rFonts w:cs="Calibri"/>
                <w:i/>
                <w:iCs/>
                <w:color w:val="000000"/>
                <w:sz w:val="24"/>
                <w:szCs w:val="24"/>
              </w:rPr>
            </w:pPr>
            <w:r w:rsidRPr="00387AB6">
              <w:rPr>
                <w:rFonts w:cs="Calibri"/>
                <w:i/>
                <w:iCs/>
                <w:color w:val="000000"/>
                <w:sz w:val="24"/>
                <w:szCs w:val="24"/>
              </w:rPr>
              <w:t> </w:t>
            </w:r>
          </w:p>
        </w:tc>
        <w:tc>
          <w:tcPr>
            <w:tcW w:w="1403" w:type="dxa"/>
            <w:tcBorders>
              <w:top w:val="nil"/>
              <w:left w:val="nil"/>
              <w:bottom w:val="single" w:color="auto" w:sz="4" w:space="0"/>
              <w:right w:val="single" w:color="auto" w:sz="8" w:space="0"/>
            </w:tcBorders>
            <w:shd w:val="clear" w:color="000000" w:fill="D0CECE"/>
            <w:noWrap/>
            <w:vAlign w:val="bottom"/>
            <w:hideMark/>
          </w:tcPr>
          <w:p w:rsidRPr="00387AB6" w:rsidR="00964BFC" w:rsidP="00573A19" w:rsidRDefault="00964BFC" w14:paraId="78E22BBD" w14:textId="77777777">
            <w:pPr>
              <w:rPr>
                <w:rFonts w:cs="Calibri"/>
                <w:i/>
                <w:iCs/>
                <w:color w:val="000000"/>
                <w:sz w:val="24"/>
                <w:szCs w:val="24"/>
              </w:rPr>
            </w:pPr>
            <w:r w:rsidRPr="00387AB6">
              <w:rPr>
                <w:rFonts w:cs="Calibri"/>
                <w:i/>
                <w:iCs/>
                <w:color w:val="000000"/>
                <w:sz w:val="24"/>
                <w:szCs w:val="24"/>
              </w:rPr>
              <w:t> </w:t>
            </w:r>
          </w:p>
        </w:tc>
      </w:tr>
      <w:tr w:rsidRPr="00387AB6" w:rsidR="00964BFC" w:rsidTr="00573A19" w14:paraId="44CD0233" w14:textId="77777777">
        <w:trPr>
          <w:trHeight w:val="300"/>
        </w:trPr>
        <w:tc>
          <w:tcPr>
            <w:tcW w:w="5750" w:type="dxa"/>
            <w:tcBorders>
              <w:top w:val="nil"/>
              <w:left w:val="single" w:color="auto" w:sz="8" w:space="0"/>
              <w:bottom w:val="single" w:color="auto" w:sz="4" w:space="0"/>
              <w:right w:val="nil"/>
            </w:tcBorders>
            <w:shd w:val="clear" w:color="auto" w:fill="auto"/>
            <w:noWrap/>
            <w:vAlign w:val="bottom"/>
            <w:hideMark/>
          </w:tcPr>
          <w:p w:rsidRPr="00387AB6" w:rsidR="00964BFC" w:rsidP="00573A19" w:rsidRDefault="00964BFC" w14:paraId="1459157B" w14:textId="77777777">
            <w:pPr>
              <w:rPr>
                <w:rFonts w:cs="Calibri"/>
                <w:color w:val="000000"/>
                <w:sz w:val="24"/>
                <w:szCs w:val="24"/>
              </w:rPr>
            </w:pPr>
            <w:r w:rsidRPr="00387AB6">
              <w:rPr>
                <w:rFonts w:cs="Calibri"/>
                <w:color w:val="000000"/>
                <w:sz w:val="24"/>
                <w:szCs w:val="24"/>
              </w:rPr>
              <w:t>E.g. E-6</w:t>
            </w:r>
          </w:p>
        </w:tc>
        <w:tc>
          <w:tcPr>
            <w:tcW w:w="1446" w:type="dxa"/>
            <w:tcBorders>
              <w:top w:val="nil"/>
              <w:left w:val="single" w:color="auto" w:sz="8" w:space="0"/>
              <w:bottom w:val="single" w:color="auto" w:sz="4" w:space="0"/>
              <w:right w:val="single" w:color="auto" w:sz="4" w:space="0"/>
            </w:tcBorders>
            <w:shd w:val="clear" w:color="auto" w:fill="auto"/>
            <w:noWrap/>
            <w:vAlign w:val="bottom"/>
            <w:hideMark/>
          </w:tcPr>
          <w:p w:rsidRPr="00387AB6" w:rsidR="00964BFC" w:rsidP="00573A19" w:rsidRDefault="00964BFC" w14:paraId="3899C3AF" w14:textId="77777777">
            <w:pPr>
              <w:rPr>
                <w:rFonts w:cs="Calibri"/>
                <w:color w:val="000000"/>
                <w:sz w:val="24"/>
                <w:szCs w:val="24"/>
              </w:rPr>
            </w:pPr>
            <w:r w:rsidRPr="00387AB6">
              <w:rPr>
                <w:rFonts w:cs="Calibri"/>
                <w:color w:val="000000"/>
                <w:sz w:val="24"/>
                <w:szCs w:val="24"/>
              </w:rPr>
              <w:t> </w:t>
            </w:r>
          </w:p>
        </w:tc>
        <w:tc>
          <w:tcPr>
            <w:tcW w:w="1403" w:type="dxa"/>
            <w:tcBorders>
              <w:top w:val="nil"/>
              <w:left w:val="nil"/>
              <w:bottom w:val="single" w:color="auto" w:sz="4" w:space="0"/>
              <w:right w:val="double" w:color="auto" w:sz="6" w:space="0"/>
            </w:tcBorders>
            <w:shd w:val="clear" w:color="auto" w:fill="auto"/>
            <w:noWrap/>
            <w:vAlign w:val="bottom"/>
            <w:hideMark/>
          </w:tcPr>
          <w:p w:rsidRPr="00387AB6" w:rsidR="00964BFC" w:rsidP="00573A19" w:rsidRDefault="00964BFC" w14:paraId="7DF4ECA8" w14:textId="77777777">
            <w:pPr>
              <w:rPr>
                <w:rFonts w:cs="Calibri"/>
                <w:color w:val="000000"/>
                <w:sz w:val="24"/>
                <w:szCs w:val="24"/>
              </w:rPr>
            </w:pPr>
            <w:r w:rsidRPr="00387AB6">
              <w:rPr>
                <w:rFonts w:cs="Calibri"/>
                <w:color w:val="000000"/>
                <w:sz w:val="24"/>
                <w:szCs w:val="24"/>
              </w:rPr>
              <w:t> </w:t>
            </w:r>
          </w:p>
        </w:tc>
        <w:tc>
          <w:tcPr>
            <w:tcW w:w="1443" w:type="dxa"/>
            <w:tcBorders>
              <w:top w:val="nil"/>
              <w:left w:val="nil"/>
              <w:bottom w:val="single" w:color="auto" w:sz="4" w:space="0"/>
              <w:right w:val="nil"/>
            </w:tcBorders>
            <w:shd w:val="clear" w:color="auto" w:fill="auto"/>
            <w:noWrap/>
            <w:vAlign w:val="bottom"/>
            <w:hideMark/>
          </w:tcPr>
          <w:p w:rsidRPr="00387AB6" w:rsidR="00964BFC" w:rsidP="00573A19" w:rsidRDefault="00964BFC" w14:paraId="3827F24D" w14:textId="77777777">
            <w:pPr>
              <w:rPr>
                <w:rFonts w:cs="Calibri"/>
                <w:color w:val="000000"/>
                <w:sz w:val="24"/>
                <w:szCs w:val="24"/>
              </w:rPr>
            </w:pPr>
            <w:r w:rsidRPr="00387AB6">
              <w:rPr>
                <w:rFonts w:cs="Calibri"/>
                <w:color w:val="000000"/>
                <w:sz w:val="24"/>
                <w:szCs w:val="24"/>
              </w:rPr>
              <w:t> </w:t>
            </w:r>
          </w:p>
        </w:tc>
        <w:tc>
          <w:tcPr>
            <w:tcW w:w="1403" w:type="dxa"/>
            <w:tcBorders>
              <w:top w:val="nil"/>
              <w:left w:val="nil"/>
              <w:bottom w:val="single" w:color="auto" w:sz="4" w:space="0"/>
              <w:right w:val="nil"/>
            </w:tcBorders>
            <w:shd w:val="clear" w:color="auto" w:fill="auto"/>
            <w:noWrap/>
            <w:vAlign w:val="bottom"/>
            <w:hideMark/>
          </w:tcPr>
          <w:p w:rsidRPr="00387AB6" w:rsidR="00964BFC" w:rsidP="00573A19" w:rsidRDefault="00964BFC" w14:paraId="6F8744D1" w14:textId="77777777">
            <w:pPr>
              <w:rPr>
                <w:rFonts w:cs="Calibri"/>
                <w:color w:val="000000"/>
                <w:sz w:val="24"/>
                <w:szCs w:val="24"/>
              </w:rPr>
            </w:pPr>
            <w:r w:rsidRPr="00387AB6">
              <w:rPr>
                <w:rFonts w:cs="Calibri"/>
                <w:color w:val="000000"/>
                <w:sz w:val="24"/>
                <w:szCs w:val="24"/>
              </w:rPr>
              <w:t> </w:t>
            </w:r>
          </w:p>
        </w:tc>
        <w:tc>
          <w:tcPr>
            <w:tcW w:w="1443" w:type="dxa"/>
            <w:tcBorders>
              <w:top w:val="nil"/>
              <w:left w:val="double" w:color="auto" w:sz="6" w:space="0"/>
              <w:bottom w:val="single" w:color="auto" w:sz="4" w:space="0"/>
              <w:right w:val="single" w:color="auto" w:sz="4" w:space="0"/>
            </w:tcBorders>
            <w:shd w:val="clear" w:color="auto" w:fill="auto"/>
            <w:noWrap/>
            <w:vAlign w:val="bottom"/>
            <w:hideMark/>
          </w:tcPr>
          <w:p w:rsidRPr="00387AB6" w:rsidR="00964BFC" w:rsidP="00573A19" w:rsidRDefault="00964BFC" w14:paraId="336805C1" w14:textId="77777777">
            <w:pPr>
              <w:rPr>
                <w:rFonts w:cs="Calibri"/>
                <w:color w:val="000000"/>
                <w:sz w:val="24"/>
                <w:szCs w:val="24"/>
              </w:rPr>
            </w:pPr>
            <w:r w:rsidRPr="00387AB6">
              <w:rPr>
                <w:rFonts w:cs="Calibri"/>
                <w:color w:val="000000"/>
                <w:sz w:val="24"/>
                <w:szCs w:val="24"/>
              </w:rPr>
              <w:t> </w:t>
            </w:r>
          </w:p>
        </w:tc>
        <w:tc>
          <w:tcPr>
            <w:tcW w:w="1403" w:type="dxa"/>
            <w:tcBorders>
              <w:top w:val="nil"/>
              <w:left w:val="nil"/>
              <w:bottom w:val="single" w:color="auto" w:sz="4" w:space="0"/>
              <w:right w:val="double" w:color="auto" w:sz="6" w:space="0"/>
            </w:tcBorders>
            <w:shd w:val="clear" w:color="auto" w:fill="auto"/>
            <w:noWrap/>
            <w:vAlign w:val="bottom"/>
            <w:hideMark/>
          </w:tcPr>
          <w:p w:rsidRPr="00387AB6" w:rsidR="00964BFC" w:rsidP="00573A19" w:rsidRDefault="00964BFC" w14:paraId="38B19275" w14:textId="77777777">
            <w:pPr>
              <w:rPr>
                <w:rFonts w:cs="Calibri"/>
                <w:color w:val="000000"/>
                <w:sz w:val="24"/>
                <w:szCs w:val="24"/>
              </w:rPr>
            </w:pPr>
            <w:r w:rsidRPr="00387AB6">
              <w:rPr>
                <w:rFonts w:cs="Calibri"/>
                <w:color w:val="000000"/>
                <w:sz w:val="24"/>
                <w:szCs w:val="24"/>
              </w:rPr>
              <w:t> </w:t>
            </w:r>
          </w:p>
        </w:tc>
        <w:tc>
          <w:tcPr>
            <w:tcW w:w="1443" w:type="dxa"/>
            <w:tcBorders>
              <w:top w:val="nil"/>
              <w:left w:val="nil"/>
              <w:bottom w:val="single" w:color="auto" w:sz="4" w:space="0"/>
              <w:right w:val="single" w:color="auto" w:sz="4" w:space="0"/>
            </w:tcBorders>
            <w:shd w:val="clear" w:color="auto" w:fill="auto"/>
            <w:noWrap/>
            <w:vAlign w:val="bottom"/>
            <w:hideMark/>
          </w:tcPr>
          <w:p w:rsidRPr="00387AB6" w:rsidR="00964BFC" w:rsidP="00573A19" w:rsidRDefault="00964BFC" w14:paraId="0F4C6813" w14:textId="77777777">
            <w:pPr>
              <w:rPr>
                <w:rFonts w:cs="Calibri"/>
                <w:color w:val="000000"/>
                <w:sz w:val="24"/>
                <w:szCs w:val="24"/>
              </w:rPr>
            </w:pPr>
            <w:r w:rsidRPr="00387AB6">
              <w:rPr>
                <w:rFonts w:cs="Calibri"/>
                <w:color w:val="000000"/>
                <w:sz w:val="24"/>
                <w:szCs w:val="24"/>
              </w:rPr>
              <w:t> </w:t>
            </w:r>
          </w:p>
        </w:tc>
        <w:tc>
          <w:tcPr>
            <w:tcW w:w="1403" w:type="dxa"/>
            <w:tcBorders>
              <w:top w:val="nil"/>
              <w:left w:val="nil"/>
              <w:bottom w:val="single" w:color="auto" w:sz="4" w:space="0"/>
              <w:right w:val="single" w:color="auto" w:sz="8" w:space="0"/>
            </w:tcBorders>
            <w:shd w:val="clear" w:color="auto" w:fill="auto"/>
            <w:noWrap/>
            <w:vAlign w:val="bottom"/>
            <w:hideMark/>
          </w:tcPr>
          <w:p w:rsidRPr="00387AB6" w:rsidR="00964BFC" w:rsidP="00573A19" w:rsidRDefault="00964BFC" w14:paraId="01416504" w14:textId="77777777">
            <w:pPr>
              <w:rPr>
                <w:rFonts w:cs="Calibri"/>
                <w:color w:val="000000"/>
                <w:sz w:val="24"/>
                <w:szCs w:val="24"/>
              </w:rPr>
            </w:pPr>
            <w:r w:rsidRPr="00387AB6">
              <w:rPr>
                <w:rFonts w:cs="Calibri"/>
                <w:color w:val="000000"/>
                <w:sz w:val="24"/>
                <w:szCs w:val="24"/>
              </w:rPr>
              <w:t> </w:t>
            </w:r>
          </w:p>
        </w:tc>
      </w:tr>
      <w:tr w:rsidRPr="00387AB6" w:rsidR="00964BFC" w:rsidTr="00573A19" w14:paraId="5B0483DF" w14:textId="77777777">
        <w:trPr>
          <w:trHeight w:val="300"/>
        </w:trPr>
        <w:tc>
          <w:tcPr>
            <w:tcW w:w="575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87AB6" w:rsidR="00964BFC" w:rsidP="00573A19" w:rsidRDefault="00964BFC" w14:paraId="07DA3DC4" w14:textId="77777777">
            <w:pPr>
              <w:rPr>
                <w:rFonts w:cs="Calibri"/>
                <w:color w:val="000000"/>
                <w:sz w:val="24"/>
                <w:szCs w:val="24"/>
              </w:rPr>
            </w:pPr>
            <w:r w:rsidRPr="00387AB6">
              <w:rPr>
                <w:rFonts w:cs="Calibri"/>
                <w:color w:val="000000"/>
                <w:sz w:val="24"/>
                <w:szCs w:val="24"/>
              </w:rPr>
              <w:t>E-TOU-A</w:t>
            </w:r>
          </w:p>
        </w:tc>
        <w:tc>
          <w:tcPr>
            <w:tcW w:w="1446" w:type="dxa"/>
            <w:tcBorders>
              <w:top w:val="nil"/>
              <w:left w:val="single" w:color="auto" w:sz="4" w:space="0"/>
              <w:bottom w:val="single" w:color="auto" w:sz="4" w:space="0"/>
              <w:right w:val="single" w:color="auto" w:sz="4" w:space="0"/>
            </w:tcBorders>
            <w:shd w:val="clear" w:color="auto" w:fill="auto"/>
            <w:noWrap/>
            <w:vAlign w:val="bottom"/>
            <w:hideMark/>
          </w:tcPr>
          <w:p w:rsidRPr="00387AB6" w:rsidR="00964BFC" w:rsidP="00573A19" w:rsidRDefault="00964BFC" w14:paraId="5A8041F9" w14:textId="77777777">
            <w:pPr>
              <w:rPr>
                <w:rFonts w:cs="Calibri"/>
                <w:color w:val="000000"/>
                <w:sz w:val="24"/>
                <w:szCs w:val="24"/>
              </w:rPr>
            </w:pPr>
            <w:r w:rsidRPr="00387AB6">
              <w:rPr>
                <w:rFonts w:cs="Calibri"/>
                <w:color w:val="000000"/>
                <w:sz w:val="24"/>
                <w:szCs w:val="24"/>
              </w:rPr>
              <w:t> </w:t>
            </w:r>
          </w:p>
        </w:tc>
        <w:tc>
          <w:tcPr>
            <w:tcW w:w="1403" w:type="dxa"/>
            <w:tcBorders>
              <w:top w:val="nil"/>
              <w:left w:val="nil"/>
              <w:bottom w:val="single" w:color="auto" w:sz="4" w:space="0"/>
              <w:right w:val="double" w:color="auto" w:sz="6" w:space="0"/>
            </w:tcBorders>
            <w:shd w:val="clear" w:color="auto" w:fill="auto"/>
            <w:noWrap/>
            <w:vAlign w:val="bottom"/>
            <w:hideMark/>
          </w:tcPr>
          <w:p w:rsidRPr="00387AB6" w:rsidR="00964BFC" w:rsidP="00573A19" w:rsidRDefault="00964BFC" w14:paraId="056FC906" w14:textId="77777777">
            <w:pPr>
              <w:rPr>
                <w:rFonts w:cs="Calibri"/>
                <w:color w:val="000000"/>
                <w:sz w:val="24"/>
                <w:szCs w:val="24"/>
              </w:rPr>
            </w:pPr>
            <w:r w:rsidRPr="00387AB6">
              <w:rPr>
                <w:rFonts w:cs="Calibri"/>
                <w:color w:val="000000"/>
                <w:sz w:val="24"/>
                <w:szCs w:val="24"/>
              </w:rPr>
              <w:t> </w:t>
            </w:r>
          </w:p>
        </w:tc>
        <w:tc>
          <w:tcPr>
            <w:tcW w:w="1443" w:type="dxa"/>
            <w:tcBorders>
              <w:top w:val="nil"/>
              <w:left w:val="nil"/>
              <w:bottom w:val="single" w:color="auto" w:sz="4" w:space="0"/>
              <w:right w:val="nil"/>
            </w:tcBorders>
            <w:shd w:val="clear" w:color="auto" w:fill="auto"/>
            <w:noWrap/>
            <w:vAlign w:val="bottom"/>
            <w:hideMark/>
          </w:tcPr>
          <w:p w:rsidRPr="00387AB6" w:rsidR="00964BFC" w:rsidP="00573A19" w:rsidRDefault="00964BFC" w14:paraId="2C7F9D4F" w14:textId="77777777">
            <w:pPr>
              <w:rPr>
                <w:rFonts w:cs="Calibri"/>
                <w:color w:val="000000"/>
                <w:sz w:val="24"/>
                <w:szCs w:val="24"/>
              </w:rPr>
            </w:pPr>
            <w:r w:rsidRPr="00387AB6">
              <w:rPr>
                <w:rFonts w:cs="Calibri"/>
                <w:color w:val="000000"/>
                <w:sz w:val="24"/>
                <w:szCs w:val="24"/>
              </w:rPr>
              <w:t> </w:t>
            </w:r>
          </w:p>
        </w:tc>
        <w:tc>
          <w:tcPr>
            <w:tcW w:w="1403" w:type="dxa"/>
            <w:tcBorders>
              <w:top w:val="nil"/>
              <w:left w:val="nil"/>
              <w:bottom w:val="single" w:color="auto" w:sz="4" w:space="0"/>
              <w:right w:val="nil"/>
            </w:tcBorders>
            <w:shd w:val="clear" w:color="auto" w:fill="auto"/>
            <w:noWrap/>
            <w:vAlign w:val="bottom"/>
            <w:hideMark/>
          </w:tcPr>
          <w:p w:rsidRPr="00387AB6" w:rsidR="00964BFC" w:rsidP="00573A19" w:rsidRDefault="00964BFC" w14:paraId="36C2A708" w14:textId="77777777">
            <w:pPr>
              <w:rPr>
                <w:rFonts w:cs="Calibri"/>
                <w:color w:val="000000"/>
                <w:sz w:val="24"/>
                <w:szCs w:val="24"/>
              </w:rPr>
            </w:pPr>
            <w:r w:rsidRPr="00387AB6">
              <w:rPr>
                <w:rFonts w:cs="Calibri"/>
                <w:color w:val="000000"/>
                <w:sz w:val="24"/>
                <w:szCs w:val="24"/>
              </w:rPr>
              <w:t> </w:t>
            </w:r>
          </w:p>
        </w:tc>
        <w:tc>
          <w:tcPr>
            <w:tcW w:w="1443" w:type="dxa"/>
            <w:tcBorders>
              <w:top w:val="nil"/>
              <w:left w:val="double" w:color="auto" w:sz="6" w:space="0"/>
              <w:bottom w:val="single" w:color="auto" w:sz="4" w:space="0"/>
              <w:right w:val="single" w:color="auto" w:sz="4" w:space="0"/>
            </w:tcBorders>
            <w:shd w:val="clear" w:color="auto" w:fill="auto"/>
            <w:noWrap/>
            <w:vAlign w:val="bottom"/>
            <w:hideMark/>
          </w:tcPr>
          <w:p w:rsidRPr="00387AB6" w:rsidR="00964BFC" w:rsidP="00573A19" w:rsidRDefault="00964BFC" w14:paraId="648EB4BF" w14:textId="77777777">
            <w:pPr>
              <w:rPr>
                <w:rFonts w:cs="Calibri"/>
                <w:color w:val="000000"/>
                <w:sz w:val="24"/>
                <w:szCs w:val="24"/>
              </w:rPr>
            </w:pPr>
            <w:r w:rsidRPr="00387AB6">
              <w:rPr>
                <w:rFonts w:cs="Calibri"/>
                <w:color w:val="000000"/>
                <w:sz w:val="24"/>
                <w:szCs w:val="24"/>
              </w:rPr>
              <w:t> </w:t>
            </w:r>
          </w:p>
        </w:tc>
        <w:tc>
          <w:tcPr>
            <w:tcW w:w="1403" w:type="dxa"/>
            <w:tcBorders>
              <w:top w:val="nil"/>
              <w:left w:val="nil"/>
              <w:bottom w:val="single" w:color="auto" w:sz="4" w:space="0"/>
              <w:right w:val="double" w:color="auto" w:sz="6" w:space="0"/>
            </w:tcBorders>
            <w:shd w:val="clear" w:color="auto" w:fill="auto"/>
            <w:noWrap/>
            <w:vAlign w:val="bottom"/>
            <w:hideMark/>
          </w:tcPr>
          <w:p w:rsidRPr="00387AB6" w:rsidR="00964BFC" w:rsidP="00573A19" w:rsidRDefault="00964BFC" w14:paraId="51B8F13B" w14:textId="77777777">
            <w:pPr>
              <w:rPr>
                <w:rFonts w:cs="Calibri"/>
                <w:color w:val="000000"/>
                <w:sz w:val="24"/>
                <w:szCs w:val="24"/>
              </w:rPr>
            </w:pPr>
            <w:r w:rsidRPr="00387AB6">
              <w:rPr>
                <w:rFonts w:cs="Calibri"/>
                <w:color w:val="000000"/>
                <w:sz w:val="24"/>
                <w:szCs w:val="24"/>
              </w:rPr>
              <w:t> </w:t>
            </w:r>
          </w:p>
        </w:tc>
        <w:tc>
          <w:tcPr>
            <w:tcW w:w="1443" w:type="dxa"/>
            <w:tcBorders>
              <w:top w:val="nil"/>
              <w:left w:val="nil"/>
              <w:bottom w:val="single" w:color="auto" w:sz="4" w:space="0"/>
              <w:right w:val="single" w:color="auto" w:sz="4" w:space="0"/>
            </w:tcBorders>
            <w:shd w:val="clear" w:color="auto" w:fill="auto"/>
            <w:noWrap/>
            <w:vAlign w:val="bottom"/>
            <w:hideMark/>
          </w:tcPr>
          <w:p w:rsidRPr="00387AB6" w:rsidR="00964BFC" w:rsidP="00573A19" w:rsidRDefault="00964BFC" w14:paraId="3F0B4936" w14:textId="77777777">
            <w:pPr>
              <w:rPr>
                <w:rFonts w:cs="Calibri"/>
                <w:color w:val="000000"/>
                <w:sz w:val="24"/>
                <w:szCs w:val="24"/>
              </w:rPr>
            </w:pPr>
            <w:r w:rsidRPr="00387AB6">
              <w:rPr>
                <w:rFonts w:cs="Calibri"/>
                <w:color w:val="000000"/>
                <w:sz w:val="24"/>
                <w:szCs w:val="24"/>
              </w:rPr>
              <w:t> </w:t>
            </w:r>
          </w:p>
        </w:tc>
        <w:tc>
          <w:tcPr>
            <w:tcW w:w="1403" w:type="dxa"/>
            <w:tcBorders>
              <w:top w:val="nil"/>
              <w:left w:val="nil"/>
              <w:bottom w:val="single" w:color="auto" w:sz="4" w:space="0"/>
              <w:right w:val="single" w:color="auto" w:sz="8" w:space="0"/>
            </w:tcBorders>
            <w:shd w:val="clear" w:color="auto" w:fill="auto"/>
            <w:noWrap/>
            <w:vAlign w:val="bottom"/>
            <w:hideMark/>
          </w:tcPr>
          <w:p w:rsidRPr="00387AB6" w:rsidR="00964BFC" w:rsidP="00573A19" w:rsidRDefault="00964BFC" w14:paraId="2F048239" w14:textId="77777777">
            <w:pPr>
              <w:rPr>
                <w:rFonts w:cs="Calibri"/>
                <w:color w:val="000000"/>
                <w:sz w:val="24"/>
                <w:szCs w:val="24"/>
              </w:rPr>
            </w:pPr>
            <w:r w:rsidRPr="00387AB6">
              <w:rPr>
                <w:rFonts w:cs="Calibri"/>
                <w:color w:val="000000"/>
                <w:sz w:val="24"/>
                <w:szCs w:val="24"/>
              </w:rPr>
              <w:t> </w:t>
            </w:r>
          </w:p>
        </w:tc>
      </w:tr>
      <w:tr w:rsidRPr="00387AB6" w:rsidR="00964BFC" w:rsidTr="00573A19" w14:paraId="47BF7012" w14:textId="77777777">
        <w:trPr>
          <w:trHeight w:val="300"/>
        </w:trPr>
        <w:tc>
          <w:tcPr>
            <w:tcW w:w="575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87AB6" w:rsidR="00964BFC" w:rsidP="00573A19" w:rsidRDefault="00964BFC" w14:paraId="5743E092" w14:textId="77777777">
            <w:pPr>
              <w:rPr>
                <w:rFonts w:cs="Calibri"/>
                <w:color w:val="000000"/>
                <w:sz w:val="24"/>
                <w:szCs w:val="24"/>
              </w:rPr>
            </w:pPr>
            <w:r w:rsidRPr="00387AB6">
              <w:rPr>
                <w:rFonts w:cs="Calibri"/>
                <w:color w:val="000000"/>
                <w:sz w:val="24"/>
                <w:szCs w:val="24"/>
              </w:rPr>
              <w:t>TOU Prime</w:t>
            </w:r>
          </w:p>
        </w:tc>
        <w:tc>
          <w:tcPr>
            <w:tcW w:w="1446" w:type="dxa"/>
            <w:tcBorders>
              <w:top w:val="nil"/>
              <w:left w:val="single" w:color="auto" w:sz="4" w:space="0"/>
              <w:bottom w:val="single" w:color="auto" w:sz="4" w:space="0"/>
              <w:right w:val="single" w:color="auto" w:sz="4" w:space="0"/>
            </w:tcBorders>
            <w:shd w:val="clear" w:color="auto" w:fill="auto"/>
            <w:noWrap/>
            <w:vAlign w:val="bottom"/>
            <w:hideMark/>
          </w:tcPr>
          <w:p w:rsidRPr="00387AB6" w:rsidR="00964BFC" w:rsidP="00573A19" w:rsidRDefault="00964BFC" w14:paraId="620B23B8" w14:textId="77777777">
            <w:pPr>
              <w:rPr>
                <w:rFonts w:cs="Calibri"/>
                <w:color w:val="000000"/>
                <w:sz w:val="24"/>
                <w:szCs w:val="24"/>
              </w:rPr>
            </w:pPr>
            <w:r w:rsidRPr="00387AB6">
              <w:rPr>
                <w:rFonts w:cs="Calibri"/>
                <w:color w:val="000000"/>
                <w:sz w:val="24"/>
                <w:szCs w:val="24"/>
              </w:rPr>
              <w:t> </w:t>
            </w:r>
          </w:p>
        </w:tc>
        <w:tc>
          <w:tcPr>
            <w:tcW w:w="1403" w:type="dxa"/>
            <w:tcBorders>
              <w:top w:val="nil"/>
              <w:left w:val="nil"/>
              <w:bottom w:val="single" w:color="auto" w:sz="4" w:space="0"/>
              <w:right w:val="double" w:color="auto" w:sz="6" w:space="0"/>
            </w:tcBorders>
            <w:shd w:val="clear" w:color="auto" w:fill="auto"/>
            <w:noWrap/>
            <w:vAlign w:val="bottom"/>
            <w:hideMark/>
          </w:tcPr>
          <w:p w:rsidRPr="00387AB6" w:rsidR="00964BFC" w:rsidP="00573A19" w:rsidRDefault="00964BFC" w14:paraId="60662C26" w14:textId="77777777">
            <w:pPr>
              <w:rPr>
                <w:rFonts w:cs="Calibri"/>
                <w:color w:val="000000"/>
                <w:sz w:val="24"/>
                <w:szCs w:val="24"/>
              </w:rPr>
            </w:pPr>
            <w:r w:rsidRPr="00387AB6">
              <w:rPr>
                <w:rFonts w:cs="Calibri"/>
                <w:color w:val="000000"/>
                <w:sz w:val="24"/>
                <w:szCs w:val="24"/>
              </w:rPr>
              <w:t> </w:t>
            </w:r>
          </w:p>
        </w:tc>
        <w:tc>
          <w:tcPr>
            <w:tcW w:w="1443" w:type="dxa"/>
            <w:tcBorders>
              <w:top w:val="nil"/>
              <w:left w:val="nil"/>
              <w:bottom w:val="single" w:color="auto" w:sz="4" w:space="0"/>
              <w:right w:val="nil"/>
            </w:tcBorders>
            <w:shd w:val="clear" w:color="auto" w:fill="auto"/>
            <w:noWrap/>
            <w:vAlign w:val="bottom"/>
            <w:hideMark/>
          </w:tcPr>
          <w:p w:rsidRPr="00387AB6" w:rsidR="00964BFC" w:rsidP="00573A19" w:rsidRDefault="00964BFC" w14:paraId="4AB893A2" w14:textId="77777777">
            <w:pPr>
              <w:rPr>
                <w:rFonts w:cs="Calibri"/>
                <w:color w:val="000000"/>
                <w:sz w:val="24"/>
                <w:szCs w:val="24"/>
              </w:rPr>
            </w:pPr>
            <w:r w:rsidRPr="00387AB6">
              <w:rPr>
                <w:rFonts w:cs="Calibri"/>
                <w:color w:val="000000"/>
                <w:sz w:val="24"/>
                <w:szCs w:val="24"/>
              </w:rPr>
              <w:t> </w:t>
            </w:r>
          </w:p>
        </w:tc>
        <w:tc>
          <w:tcPr>
            <w:tcW w:w="1403" w:type="dxa"/>
            <w:tcBorders>
              <w:top w:val="nil"/>
              <w:left w:val="nil"/>
              <w:bottom w:val="single" w:color="auto" w:sz="4" w:space="0"/>
              <w:right w:val="nil"/>
            </w:tcBorders>
            <w:shd w:val="clear" w:color="auto" w:fill="auto"/>
            <w:noWrap/>
            <w:vAlign w:val="bottom"/>
            <w:hideMark/>
          </w:tcPr>
          <w:p w:rsidRPr="00387AB6" w:rsidR="00964BFC" w:rsidP="00573A19" w:rsidRDefault="00964BFC" w14:paraId="260481EC" w14:textId="77777777">
            <w:pPr>
              <w:rPr>
                <w:rFonts w:cs="Calibri"/>
                <w:color w:val="000000"/>
                <w:sz w:val="24"/>
                <w:szCs w:val="24"/>
              </w:rPr>
            </w:pPr>
            <w:r w:rsidRPr="00387AB6">
              <w:rPr>
                <w:rFonts w:cs="Calibri"/>
                <w:color w:val="000000"/>
                <w:sz w:val="24"/>
                <w:szCs w:val="24"/>
              </w:rPr>
              <w:t> </w:t>
            </w:r>
          </w:p>
        </w:tc>
        <w:tc>
          <w:tcPr>
            <w:tcW w:w="1443" w:type="dxa"/>
            <w:tcBorders>
              <w:top w:val="nil"/>
              <w:left w:val="double" w:color="auto" w:sz="6" w:space="0"/>
              <w:bottom w:val="single" w:color="auto" w:sz="4" w:space="0"/>
              <w:right w:val="single" w:color="auto" w:sz="4" w:space="0"/>
            </w:tcBorders>
            <w:shd w:val="clear" w:color="auto" w:fill="auto"/>
            <w:noWrap/>
            <w:vAlign w:val="bottom"/>
            <w:hideMark/>
          </w:tcPr>
          <w:p w:rsidRPr="00387AB6" w:rsidR="00964BFC" w:rsidP="00573A19" w:rsidRDefault="00964BFC" w14:paraId="15F90CEF" w14:textId="77777777">
            <w:pPr>
              <w:rPr>
                <w:rFonts w:cs="Calibri"/>
                <w:color w:val="000000"/>
                <w:sz w:val="24"/>
                <w:szCs w:val="24"/>
              </w:rPr>
            </w:pPr>
            <w:r w:rsidRPr="00387AB6">
              <w:rPr>
                <w:rFonts w:cs="Calibri"/>
                <w:color w:val="000000"/>
                <w:sz w:val="24"/>
                <w:szCs w:val="24"/>
              </w:rPr>
              <w:t> </w:t>
            </w:r>
          </w:p>
        </w:tc>
        <w:tc>
          <w:tcPr>
            <w:tcW w:w="1403" w:type="dxa"/>
            <w:tcBorders>
              <w:top w:val="nil"/>
              <w:left w:val="nil"/>
              <w:bottom w:val="single" w:color="auto" w:sz="4" w:space="0"/>
              <w:right w:val="double" w:color="auto" w:sz="6" w:space="0"/>
            </w:tcBorders>
            <w:shd w:val="clear" w:color="auto" w:fill="auto"/>
            <w:noWrap/>
            <w:vAlign w:val="bottom"/>
            <w:hideMark/>
          </w:tcPr>
          <w:p w:rsidRPr="00387AB6" w:rsidR="00964BFC" w:rsidP="00573A19" w:rsidRDefault="00964BFC" w14:paraId="0E71EA45" w14:textId="77777777">
            <w:pPr>
              <w:rPr>
                <w:rFonts w:cs="Calibri"/>
                <w:color w:val="000000"/>
                <w:sz w:val="24"/>
                <w:szCs w:val="24"/>
              </w:rPr>
            </w:pPr>
            <w:r w:rsidRPr="00387AB6">
              <w:rPr>
                <w:rFonts w:cs="Calibri"/>
                <w:color w:val="000000"/>
                <w:sz w:val="24"/>
                <w:szCs w:val="24"/>
              </w:rPr>
              <w:t> </w:t>
            </w:r>
          </w:p>
        </w:tc>
        <w:tc>
          <w:tcPr>
            <w:tcW w:w="1443" w:type="dxa"/>
            <w:tcBorders>
              <w:top w:val="nil"/>
              <w:left w:val="nil"/>
              <w:bottom w:val="single" w:color="auto" w:sz="4" w:space="0"/>
              <w:right w:val="single" w:color="auto" w:sz="4" w:space="0"/>
            </w:tcBorders>
            <w:shd w:val="clear" w:color="auto" w:fill="auto"/>
            <w:noWrap/>
            <w:vAlign w:val="bottom"/>
            <w:hideMark/>
          </w:tcPr>
          <w:p w:rsidRPr="00387AB6" w:rsidR="00964BFC" w:rsidP="00573A19" w:rsidRDefault="00964BFC" w14:paraId="43350A72" w14:textId="77777777">
            <w:pPr>
              <w:rPr>
                <w:rFonts w:cs="Calibri"/>
                <w:color w:val="000000"/>
                <w:sz w:val="24"/>
                <w:szCs w:val="24"/>
              </w:rPr>
            </w:pPr>
            <w:r w:rsidRPr="00387AB6">
              <w:rPr>
                <w:rFonts w:cs="Calibri"/>
                <w:color w:val="000000"/>
                <w:sz w:val="24"/>
                <w:szCs w:val="24"/>
              </w:rPr>
              <w:t> </w:t>
            </w:r>
          </w:p>
        </w:tc>
        <w:tc>
          <w:tcPr>
            <w:tcW w:w="1403" w:type="dxa"/>
            <w:tcBorders>
              <w:top w:val="nil"/>
              <w:left w:val="nil"/>
              <w:bottom w:val="single" w:color="auto" w:sz="4" w:space="0"/>
              <w:right w:val="single" w:color="auto" w:sz="8" w:space="0"/>
            </w:tcBorders>
            <w:shd w:val="clear" w:color="auto" w:fill="auto"/>
            <w:noWrap/>
            <w:vAlign w:val="bottom"/>
            <w:hideMark/>
          </w:tcPr>
          <w:p w:rsidRPr="00387AB6" w:rsidR="00964BFC" w:rsidP="00573A19" w:rsidRDefault="00964BFC" w14:paraId="64DE85CA" w14:textId="77777777">
            <w:pPr>
              <w:rPr>
                <w:rFonts w:cs="Calibri"/>
                <w:color w:val="000000"/>
                <w:sz w:val="24"/>
                <w:szCs w:val="24"/>
              </w:rPr>
            </w:pPr>
            <w:r w:rsidRPr="00387AB6">
              <w:rPr>
                <w:rFonts w:cs="Calibri"/>
                <w:color w:val="000000"/>
                <w:sz w:val="24"/>
                <w:szCs w:val="24"/>
              </w:rPr>
              <w:t> </w:t>
            </w:r>
          </w:p>
        </w:tc>
      </w:tr>
      <w:tr w:rsidRPr="00387AB6" w:rsidR="00964BFC" w:rsidTr="00573A19" w14:paraId="52AF7E6B" w14:textId="77777777">
        <w:trPr>
          <w:trHeight w:val="300"/>
        </w:trPr>
        <w:tc>
          <w:tcPr>
            <w:tcW w:w="575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87AB6" w:rsidR="00964BFC" w:rsidP="00573A19" w:rsidRDefault="00964BFC" w14:paraId="163B4CA4" w14:textId="77777777">
            <w:pPr>
              <w:rPr>
                <w:rFonts w:cs="Calibri"/>
                <w:color w:val="000000"/>
                <w:sz w:val="24"/>
                <w:szCs w:val="24"/>
              </w:rPr>
            </w:pPr>
            <w:r w:rsidRPr="00387AB6">
              <w:rPr>
                <w:rFonts w:cs="Calibri"/>
                <w:color w:val="000000"/>
                <w:sz w:val="24"/>
                <w:szCs w:val="24"/>
              </w:rPr>
              <w:t>[Add Rows as needed]</w:t>
            </w:r>
          </w:p>
        </w:tc>
        <w:tc>
          <w:tcPr>
            <w:tcW w:w="1446" w:type="dxa"/>
            <w:tcBorders>
              <w:top w:val="nil"/>
              <w:left w:val="single" w:color="auto" w:sz="4" w:space="0"/>
              <w:bottom w:val="single" w:color="auto" w:sz="4" w:space="0"/>
              <w:right w:val="single" w:color="auto" w:sz="4" w:space="0"/>
            </w:tcBorders>
            <w:shd w:val="clear" w:color="auto" w:fill="auto"/>
            <w:noWrap/>
            <w:vAlign w:val="bottom"/>
            <w:hideMark/>
          </w:tcPr>
          <w:p w:rsidRPr="00387AB6" w:rsidR="00964BFC" w:rsidP="00573A19" w:rsidRDefault="00964BFC" w14:paraId="7BF7EAD8" w14:textId="77777777">
            <w:pPr>
              <w:rPr>
                <w:rFonts w:cs="Calibri"/>
                <w:color w:val="000000"/>
                <w:sz w:val="24"/>
                <w:szCs w:val="24"/>
              </w:rPr>
            </w:pPr>
            <w:r w:rsidRPr="00387AB6">
              <w:rPr>
                <w:rFonts w:cs="Calibri"/>
                <w:color w:val="000000"/>
                <w:sz w:val="24"/>
                <w:szCs w:val="24"/>
              </w:rPr>
              <w:t> </w:t>
            </w:r>
          </w:p>
        </w:tc>
        <w:tc>
          <w:tcPr>
            <w:tcW w:w="1403" w:type="dxa"/>
            <w:tcBorders>
              <w:top w:val="nil"/>
              <w:left w:val="nil"/>
              <w:bottom w:val="single" w:color="auto" w:sz="4" w:space="0"/>
              <w:right w:val="double" w:color="auto" w:sz="6" w:space="0"/>
            </w:tcBorders>
            <w:shd w:val="clear" w:color="auto" w:fill="auto"/>
            <w:noWrap/>
            <w:vAlign w:val="bottom"/>
            <w:hideMark/>
          </w:tcPr>
          <w:p w:rsidRPr="00387AB6" w:rsidR="00964BFC" w:rsidP="00573A19" w:rsidRDefault="00964BFC" w14:paraId="70F9544E" w14:textId="77777777">
            <w:pPr>
              <w:rPr>
                <w:rFonts w:cs="Calibri"/>
                <w:color w:val="000000"/>
                <w:sz w:val="24"/>
                <w:szCs w:val="24"/>
              </w:rPr>
            </w:pPr>
            <w:r w:rsidRPr="00387AB6">
              <w:rPr>
                <w:rFonts w:cs="Calibri"/>
                <w:color w:val="000000"/>
                <w:sz w:val="24"/>
                <w:szCs w:val="24"/>
              </w:rPr>
              <w:t> </w:t>
            </w:r>
          </w:p>
        </w:tc>
        <w:tc>
          <w:tcPr>
            <w:tcW w:w="1443" w:type="dxa"/>
            <w:tcBorders>
              <w:top w:val="nil"/>
              <w:left w:val="nil"/>
              <w:bottom w:val="single" w:color="auto" w:sz="4" w:space="0"/>
              <w:right w:val="nil"/>
            </w:tcBorders>
            <w:shd w:val="clear" w:color="auto" w:fill="auto"/>
            <w:noWrap/>
            <w:vAlign w:val="bottom"/>
            <w:hideMark/>
          </w:tcPr>
          <w:p w:rsidRPr="00387AB6" w:rsidR="00964BFC" w:rsidP="00573A19" w:rsidRDefault="00964BFC" w14:paraId="28242DA6" w14:textId="77777777">
            <w:pPr>
              <w:rPr>
                <w:rFonts w:cs="Calibri"/>
                <w:color w:val="000000"/>
                <w:sz w:val="24"/>
                <w:szCs w:val="24"/>
              </w:rPr>
            </w:pPr>
            <w:r w:rsidRPr="00387AB6">
              <w:rPr>
                <w:rFonts w:cs="Calibri"/>
                <w:color w:val="000000"/>
                <w:sz w:val="24"/>
                <w:szCs w:val="24"/>
              </w:rPr>
              <w:t> </w:t>
            </w:r>
          </w:p>
        </w:tc>
        <w:tc>
          <w:tcPr>
            <w:tcW w:w="1403" w:type="dxa"/>
            <w:tcBorders>
              <w:top w:val="nil"/>
              <w:left w:val="nil"/>
              <w:bottom w:val="single" w:color="auto" w:sz="4" w:space="0"/>
              <w:right w:val="nil"/>
            </w:tcBorders>
            <w:shd w:val="clear" w:color="auto" w:fill="auto"/>
            <w:noWrap/>
            <w:vAlign w:val="bottom"/>
            <w:hideMark/>
          </w:tcPr>
          <w:p w:rsidRPr="00387AB6" w:rsidR="00964BFC" w:rsidP="00573A19" w:rsidRDefault="00964BFC" w14:paraId="0EF7EFC8" w14:textId="77777777">
            <w:pPr>
              <w:rPr>
                <w:rFonts w:cs="Calibri"/>
                <w:color w:val="000000"/>
                <w:sz w:val="24"/>
                <w:szCs w:val="24"/>
              </w:rPr>
            </w:pPr>
            <w:r w:rsidRPr="00387AB6">
              <w:rPr>
                <w:rFonts w:cs="Calibri"/>
                <w:color w:val="000000"/>
                <w:sz w:val="24"/>
                <w:szCs w:val="24"/>
              </w:rPr>
              <w:t> </w:t>
            </w:r>
          </w:p>
        </w:tc>
        <w:tc>
          <w:tcPr>
            <w:tcW w:w="1443" w:type="dxa"/>
            <w:tcBorders>
              <w:top w:val="nil"/>
              <w:left w:val="double" w:color="auto" w:sz="6" w:space="0"/>
              <w:bottom w:val="single" w:color="auto" w:sz="4" w:space="0"/>
              <w:right w:val="single" w:color="auto" w:sz="4" w:space="0"/>
            </w:tcBorders>
            <w:shd w:val="clear" w:color="auto" w:fill="auto"/>
            <w:noWrap/>
            <w:vAlign w:val="bottom"/>
            <w:hideMark/>
          </w:tcPr>
          <w:p w:rsidRPr="00387AB6" w:rsidR="00964BFC" w:rsidP="00573A19" w:rsidRDefault="00964BFC" w14:paraId="58B68127" w14:textId="77777777">
            <w:pPr>
              <w:rPr>
                <w:rFonts w:cs="Calibri"/>
                <w:color w:val="000000"/>
                <w:sz w:val="24"/>
                <w:szCs w:val="24"/>
              </w:rPr>
            </w:pPr>
            <w:r w:rsidRPr="00387AB6">
              <w:rPr>
                <w:rFonts w:cs="Calibri"/>
                <w:color w:val="000000"/>
                <w:sz w:val="24"/>
                <w:szCs w:val="24"/>
              </w:rPr>
              <w:t> </w:t>
            </w:r>
          </w:p>
        </w:tc>
        <w:tc>
          <w:tcPr>
            <w:tcW w:w="1403" w:type="dxa"/>
            <w:tcBorders>
              <w:top w:val="nil"/>
              <w:left w:val="nil"/>
              <w:bottom w:val="single" w:color="auto" w:sz="4" w:space="0"/>
              <w:right w:val="double" w:color="auto" w:sz="6" w:space="0"/>
            </w:tcBorders>
            <w:shd w:val="clear" w:color="auto" w:fill="auto"/>
            <w:noWrap/>
            <w:vAlign w:val="bottom"/>
            <w:hideMark/>
          </w:tcPr>
          <w:p w:rsidRPr="00387AB6" w:rsidR="00964BFC" w:rsidP="00573A19" w:rsidRDefault="00964BFC" w14:paraId="6C85A987" w14:textId="77777777">
            <w:pPr>
              <w:rPr>
                <w:rFonts w:cs="Calibri"/>
                <w:color w:val="000000"/>
                <w:sz w:val="24"/>
                <w:szCs w:val="24"/>
              </w:rPr>
            </w:pPr>
            <w:r w:rsidRPr="00387AB6">
              <w:rPr>
                <w:rFonts w:cs="Calibri"/>
                <w:color w:val="000000"/>
                <w:sz w:val="24"/>
                <w:szCs w:val="24"/>
              </w:rPr>
              <w:t> </w:t>
            </w:r>
          </w:p>
        </w:tc>
        <w:tc>
          <w:tcPr>
            <w:tcW w:w="1443" w:type="dxa"/>
            <w:tcBorders>
              <w:top w:val="nil"/>
              <w:left w:val="nil"/>
              <w:bottom w:val="single" w:color="auto" w:sz="4" w:space="0"/>
              <w:right w:val="single" w:color="auto" w:sz="4" w:space="0"/>
            </w:tcBorders>
            <w:shd w:val="clear" w:color="auto" w:fill="auto"/>
            <w:noWrap/>
            <w:vAlign w:val="bottom"/>
            <w:hideMark/>
          </w:tcPr>
          <w:p w:rsidRPr="00387AB6" w:rsidR="00964BFC" w:rsidP="00573A19" w:rsidRDefault="00964BFC" w14:paraId="5EC5A39E" w14:textId="77777777">
            <w:pPr>
              <w:rPr>
                <w:rFonts w:cs="Calibri"/>
                <w:color w:val="000000"/>
                <w:sz w:val="24"/>
                <w:szCs w:val="24"/>
              </w:rPr>
            </w:pPr>
            <w:r w:rsidRPr="00387AB6">
              <w:rPr>
                <w:rFonts w:cs="Calibri"/>
                <w:color w:val="000000"/>
                <w:sz w:val="24"/>
                <w:szCs w:val="24"/>
              </w:rPr>
              <w:t> </w:t>
            </w:r>
          </w:p>
        </w:tc>
        <w:tc>
          <w:tcPr>
            <w:tcW w:w="1403" w:type="dxa"/>
            <w:tcBorders>
              <w:top w:val="nil"/>
              <w:left w:val="nil"/>
              <w:bottom w:val="single" w:color="auto" w:sz="4" w:space="0"/>
              <w:right w:val="single" w:color="auto" w:sz="8" w:space="0"/>
            </w:tcBorders>
            <w:shd w:val="clear" w:color="auto" w:fill="auto"/>
            <w:noWrap/>
            <w:vAlign w:val="bottom"/>
            <w:hideMark/>
          </w:tcPr>
          <w:p w:rsidRPr="00387AB6" w:rsidR="00964BFC" w:rsidP="00573A19" w:rsidRDefault="00964BFC" w14:paraId="5F22BCBD" w14:textId="77777777">
            <w:pPr>
              <w:rPr>
                <w:rFonts w:cs="Calibri"/>
                <w:color w:val="000000"/>
                <w:sz w:val="24"/>
                <w:szCs w:val="24"/>
              </w:rPr>
            </w:pPr>
            <w:r w:rsidRPr="00387AB6">
              <w:rPr>
                <w:rFonts w:cs="Calibri"/>
                <w:color w:val="000000"/>
                <w:sz w:val="24"/>
                <w:szCs w:val="24"/>
              </w:rPr>
              <w:t> </w:t>
            </w:r>
          </w:p>
        </w:tc>
      </w:tr>
      <w:tr w:rsidRPr="00387AB6" w:rsidR="00964BFC" w:rsidTr="00573A19" w14:paraId="7AD5AED2" w14:textId="77777777">
        <w:trPr>
          <w:trHeight w:val="300"/>
        </w:trPr>
        <w:tc>
          <w:tcPr>
            <w:tcW w:w="575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87AB6" w:rsidR="00964BFC" w:rsidP="00573A19" w:rsidRDefault="00964BFC" w14:paraId="3191ADF5" w14:textId="77777777">
            <w:pPr>
              <w:rPr>
                <w:rFonts w:cs="Calibri"/>
                <w:color w:val="000000"/>
                <w:sz w:val="24"/>
                <w:szCs w:val="24"/>
              </w:rPr>
            </w:pPr>
            <w:r w:rsidRPr="00387AB6">
              <w:rPr>
                <w:rFonts w:cs="Calibri"/>
                <w:b/>
                <w:bCs/>
                <w:color w:val="000000"/>
                <w:sz w:val="24"/>
                <w:szCs w:val="24"/>
              </w:rPr>
              <w:t>Total</w:t>
            </w:r>
            <w:r w:rsidRPr="00387AB6">
              <w:rPr>
                <w:rFonts w:cs="Calibri"/>
                <w:color w:val="000000"/>
                <w:sz w:val="24"/>
                <w:szCs w:val="24"/>
              </w:rPr>
              <w:t xml:space="preserve"> [footnote any caveats when summation differs from total]</w:t>
            </w:r>
          </w:p>
        </w:tc>
        <w:tc>
          <w:tcPr>
            <w:tcW w:w="1446" w:type="dxa"/>
            <w:tcBorders>
              <w:top w:val="nil"/>
              <w:left w:val="single" w:color="auto" w:sz="4" w:space="0"/>
              <w:bottom w:val="nil"/>
              <w:right w:val="single" w:color="auto" w:sz="4" w:space="0"/>
            </w:tcBorders>
            <w:shd w:val="clear" w:color="auto" w:fill="auto"/>
            <w:noWrap/>
            <w:vAlign w:val="bottom"/>
            <w:hideMark/>
          </w:tcPr>
          <w:p w:rsidRPr="00387AB6" w:rsidR="00964BFC" w:rsidP="00573A19" w:rsidRDefault="00964BFC" w14:paraId="3CCB56BD" w14:textId="77777777">
            <w:pPr>
              <w:rPr>
                <w:rFonts w:cs="Calibri"/>
                <w:color w:val="000000"/>
                <w:sz w:val="24"/>
                <w:szCs w:val="24"/>
              </w:rPr>
            </w:pPr>
            <w:r w:rsidRPr="00387AB6">
              <w:rPr>
                <w:rFonts w:cs="Calibri"/>
                <w:color w:val="000000"/>
                <w:sz w:val="24"/>
                <w:szCs w:val="24"/>
              </w:rPr>
              <w:t> </w:t>
            </w:r>
          </w:p>
        </w:tc>
        <w:tc>
          <w:tcPr>
            <w:tcW w:w="1403" w:type="dxa"/>
            <w:tcBorders>
              <w:top w:val="nil"/>
              <w:left w:val="nil"/>
              <w:bottom w:val="nil"/>
              <w:right w:val="double" w:color="auto" w:sz="6" w:space="0"/>
            </w:tcBorders>
            <w:shd w:val="clear" w:color="auto" w:fill="auto"/>
            <w:noWrap/>
            <w:vAlign w:val="bottom"/>
            <w:hideMark/>
          </w:tcPr>
          <w:p w:rsidRPr="00387AB6" w:rsidR="00964BFC" w:rsidP="00573A19" w:rsidRDefault="00964BFC" w14:paraId="5FCB561E" w14:textId="77777777">
            <w:pPr>
              <w:rPr>
                <w:rFonts w:cs="Calibri"/>
                <w:color w:val="000000"/>
                <w:sz w:val="24"/>
                <w:szCs w:val="24"/>
              </w:rPr>
            </w:pPr>
            <w:r w:rsidRPr="00387AB6">
              <w:rPr>
                <w:rFonts w:cs="Calibri"/>
                <w:color w:val="000000"/>
                <w:sz w:val="24"/>
                <w:szCs w:val="24"/>
              </w:rPr>
              <w:t> </w:t>
            </w:r>
          </w:p>
        </w:tc>
        <w:tc>
          <w:tcPr>
            <w:tcW w:w="1443" w:type="dxa"/>
            <w:tcBorders>
              <w:top w:val="nil"/>
              <w:left w:val="nil"/>
              <w:bottom w:val="nil"/>
              <w:right w:val="nil"/>
            </w:tcBorders>
            <w:shd w:val="clear" w:color="auto" w:fill="auto"/>
            <w:noWrap/>
            <w:vAlign w:val="bottom"/>
            <w:hideMark/>
          </w:tcPr>
          <w:p w:rsidRPr="00387AB6" w:rsidR="00964BFC" w:rsidP="00573A19" w:rsidRDefault="00964BFC" w14:paraId="16B3A55A" w14:textId="77777777">
            <w:pPr>
              <w:rPr>
                <w:rFonts w:cs="Calibri"/>
                <w:color w:val="000000"/>
                <w:sz w:val="24"/>
                <w:szCs w:val="24"/>
              </w:rPr>
            </w:pPr>
            <w:r w:rsidRPr="00387AB6">
              <w:rPr>
                <w:rFonts w:cs="Calibri"/>
                <w:color w:val="000000"/>
                <w:sz w:val="24"/>
                <w:szCs w:val="24"/>
              </w:rPr>
              <w:t> </w:t>
            </w:r>
          </w:p>
        </w:tc>
        <w:tc>
          <w:tcPr>
            <w:tcW w:w="1403" w:type="dxa"/>
            <w:tcBorders>
              <w:top w:val="nil"/>
              <w:left w:val="nil"/>
              <w:bottom w:val="nil"/>
              <w:right w:val="nil"/>
            </w:tcBorders>
            <w:shd w:val="clear" w:color="auto" w:fill="auto"/>
            <w:noWrap/>
            <w:vAlign w:val="bottom"/>
            <w:hideMark/>
          </w:tcPr>
          <w:p w:rsidRPr="00387AB6" w:rsidR="00964BFC" w:rsidP="00573A19" w:rsidRDefault="00964BFC" w14:paraId="04DB291E" w14:textId="77777777">
            <w:pPr>
              <w:rPr>
                <w:rFonts w:cs="Calibri"/>
                <w:color w:val="000000"/>
                <w:sz w:val="24"/>
                <w:szCs w:val="24"/>
              </w:rPr>
            </w:pPr>
            <w:r w:rsidRPr="00387AB6">
              <w:rPr>
                <w:rFonts w:cs="Calibri"/>
                <w:color w:val="000000"/>
                <w:sz w:val="24"/>
                <w:szCs w:val="24"/>
              </w:rPr>
              <w:t> </w:t>
            </w:r>
          </w:p>
        </w:tc>
        <w:tc>
          <w:tcPr>
            <w:tcW w:w="1443" w:type="dxa"/>
            <w:tcBorders>
              <w:top w:val="nil"/>
              <w:left w:val="double" w:color="auto" w:sz="6" w:space="0"/>
              <w:bottom w:val="nil"/>
              <w:right w:val="single" w:color="auto" w:sz="4" w:space="0"/>
            </w:tcBorders>
            <w:shd w:val="clear" w:color="auto" w:fill="auto"/>
            <w:noWrap/>
            <w:vAlign w:val="bottom"/>
            <w:hideMark/>
          </w:tcPr>
          <w:p w:rsidRPr="00387AB6" w:rsidR="00964BFC" w:rsidP="00573A19" w:rsidRDefault="00964BFC" w14:paraId="66C518F2" w14:textId="77777777">
            <w:pPr>
              <w:rPr>
                <w:rFonts w:cs="Calibri"/>
                <w:color w:val="000000"/>
                <w:sz w:val="24"/>
                <w:szCs w:val="24"/>
              </w:rPr>
            </w:pPr>
            <w:r w:rsidRPr="00387AB6">
              <w:rPr>
                <w:rFonts w:cs="Calibri"/>
                <w:color w:val="000000"/>
                <w:sz w:val="24"/>
                <w:szCs w:val="24"/>
              </w:rPr>
              <w:t> </w:t>
            </w:r>
          </w:p>
        </w:tc>
        <w:tc>
          <w:tcPr>
            <w:tcW w:w="1403" w:type="dxa"/>
            <w:tcBorders>
              <w:top w:val="nil"/>
              <w:left w:val="nil"/>
              <w:bottom w:val="nil"/>
              <w:right w:val="double" w:color="auto" w:sz="6" w:space="0"/>
            </w:tcBorders>
            <w:shd w:val="clear" w:color="auto" w:fill="auto"/>
            <w:noWrap/>
            <w:vAlign w:val="bottom"/>
            <w:hideMark/>
          </w:tcPr>
          <w:p w:rsidRPr="00387AB6" w:rsidR="00964BFC" w:rsidP="00573A19" w:rsidRDefault="00964BFC" w14:paraId="325AECD5" w14:textId="77777777">
            <w:pPr>
              <w:rPr>
                <w:rFonts w:cs="Calibri"/>
                <w:color w:val="000000"/>
                <w:sz w:val="24"/>
                <w:szCs w:val="24"/>
              </w:rPr>
            </w:pPr>
            <w:r w:rsidRPr="00387AB6">
              <w:rPr>
                <w:rFonts w:cs="Calibri"/>
                <w:color w:val="000000"/>
                <w:sz w:val="24"/>
                <w:szCs w:val="24"/>
              </w:rPr>
              <w:t> </w:t>
            </w:r>
          </w:p>
        </w:tc>
        <w:tc>
          <w:tcPr>
            <w:tcW w:w="1443" w:type="dxa"/>
            <w:tcBorders>
              <w:top w:val="nil"/>
              <w:left w:val="nil"/>
              <w:bottom w:val="nil"/>
              <w:right w:val="single" w:color="auto" w:sz="4" w:space="0"/>
            </w:tcBorders>
            <w:shd w:val="clear" w:color="auto" w:fill="auto"/>
            <w:noWrap/>
            <w:vAlign w:val="bottom"/>
            <w:hideMark/>
          </w:tcPr>
          <w:p w:rsidRPr="00387AB6" w:rsidR="00964BFC" w:rsidP="00573A19" w:rsidRDefault="00964BFC" w14:paraId="653C76F3" w14:textId="77777777">
            <w:pPr>
              <w:rPr>
                <w:rFonts w:cs="Calibri"/>
                <w:color w:val="000000"/>
                <w:sz w:val="24"/>
                <w:szCs w:val="24"/>
              </w:rPr>
            </w:pPr>
            <w:r w:rsidRPr="00387AB6">
              <w:rPr>
                <w:rFonts w:cs="Calibri"/>
                <w:color w:val="000000"/>
                <w:sz w:val="24"/>
                <w:szCs w:val="24"/>
              </w:rPr>
              <w:t> </w:t>
            </w:r>
          </w:p>
        </w:tc>
        <w:tc>
          <w:tcPr>
            <w:tcW w:w="1403" w:type="dxa"/>
            <w:tcBorders>
              <w:top w:val="nil"/>
              <w:left w:val="nil"/>
              <w:bottom w:val="nil"/>
              <w:right w:val="single" w:color="auto" w:sz="8" w:space="0"/>
            </w:tcBorders>
            <w:shd w:val="clear" w:color="auto" w:fill="auto"/>
            <w:noWrap/>
            <w:vAlign w:val="bottom"/>
            <w:hideMark/>
          </w:tcPr>
          <w:p w:rsidRPr="00387AB6" w:rsidR="00964BFC" w:rsidP="00573A19" w:rsidRDefault="00964BFC" w14:paraId="5BAC44BB" w14:textId="77777777">
            <w:pPr>
              <w:rPr>
                <w:rFonts w:cs="Calibri"/>
                <w:color w:val="000000"/>
                <w:sz w:val="24"/>
                <w:szCs w:val="24"/>
              </w:rPr>
            </w:pPr>
            <w:r w:rsidRPr="00387AB6">
              <w:rPr>
                <w:rFonts w:cs="Calibri"/>
                <w:color w:val="000000"/>
                <w:sz w:val="24"/>
                <w:szCs w:val="24"/>
              </w:rPr>
              <w:t> </w:t>
            </w:r>
          </w:p>
        </w:tc>
      </w:tr>
      <w:tr w:rsidRPr="00387AB6" w:rsidR="00964BFC" w:rsidTr="00573A19" w14:paraId="6BE6EEFC" w14:textId="77777777">
        <w:trPr>
          <w:trHeight w:val="300"/>
        </w:trPr>
        <w:tc>
          <w:tcPr>
            <w:tcW w:w="5750" w:type="dxa"/>
            <w:tcBorders>
              <w:top w:val="single" w:color="auto" w:sz="4" w:space="0"/>
              <w:left w:val="single" w:color="auto" w:sz="4" w:space="0"/>
              <w:bottom w:val="single" w:color="auto" w:sz="4" w:space="0"/>
              <w:right w:val="single" w:color="auto" w:sz="4" w:space="0"/>
            </w:tcBorders>
            <w:shd w:val="clear" w:color="000000" w:fill="BFBFBF"/>
            <w:noWrap/>
            <w:vAlign w:val="bottom"/>
            <w:hideMark/>
          </w:tcPr>
          <w:p w:rsidRPr="00387AB6" w:rsidR="00964BFC" w:rsidP="00573A19" w:rsidRDefault="00964BFC" w14:paraId="72A095EA" w14:textId="77777777">
            <w:pPr>
              <w:rPr>
                <w:rFonts w:cs="Calibri"/>
                <w:i/>
                <w:iCs/>
                <w:color w:val="000000"/>
                <w:sz w:val="24"/>
                <w:szCs w:val="24"/>
              </w:rPr>
            </w:pPr>
            <w:r w:rsidRPr="00387AB6">
              <w:rPr>
                <w:rFonts w:cs="Calibri"/>
                <w:i/>
                <w:iCs/>
                <w:color w:val="000000"/>
                <w:sz w:val="24"/>
                <w:szCs w:val="24"/>
              </w:rPr>
              <w:t>Solar PV Customers</w:t>
            </w:r>
          </w:p>
        </w:tc>
        <w:tc>
          <w:tcPr>
            <w:tcW w:w="1446" w:type="dxa"/>
            <w:tcBorders>
              <w:top w:val="single" w:color="auto" w:sz="4" w:space="0"/>
              <w:left w:val="single" w:color="auto" w:sz="4" w:space="0"/>
              <w:bottom w:val="single" w:color="auto" w:sz="4" w:space="0"/>
              <w:right w:val="nil"/>
            </w:tcBorders>
            <w:shd w:val="clear" w:color="000000" w:fill="BFBFBF"/>
            <w:noWrap/>
            <w:vAlign w:val="bottom"/>
            <w:hideMark/>
          </w:tcPr>
          <w:p w:rsidRPr="00387AB6" w:rsidR="00964BFC" w:rsidP="00573A19" w:rsidRDefault="00964BFC" w14:paraId="15A413F1" w14:textId="77777777">
            <w:pPr>
              <w:rPr>
                <w:rFonts w:cs="Calibri"/>
                <w:i/>
                <w:iCs/>
                <w:color w:val="000000"/>
                <w:sz w:val="24"/>
                <w:szCs w:val="24"/>
              </w:rPr>
            </w:pPr>
            <w:r w:rsidRPr="00387AB6">
              <w:rPr>
                <w:rFonts w:cs="Calibri"/>
                <w:i/>
                <w:iCs/>
                <w:color w:val="000000"/>
                <w:sz w:val="24"/>
                <w:szCs w:val="24"/>
              </w:rPr>
              <w:t> </w:t>
            </w:r>
          </w:p>
        </w:tc>
        <w:tc>
          <w:tcPr>
            <w:tcW w:w="1403" w:type="dxa"/>
            <w:tcBorders>
              <w:top w:val="single" w:color="auto" w:sz="4" w:space="0"/>
              <w:left w:val="nil"/>
              <w:bottom w:val="single" w:color="auto" w:sz="4" w:space="0"/>
              <w:right w:val="nil"/>
            </w:tcBorders>
            <w:shd w:val="clear" w:color="000000" w:fill="BFBFBF"/>
            <w:noWrap/>
            <w:vAlign w:val="bottom"/>
            <w:hideMark/>
          </w:tcPr>
          <w:p w:rsidRPr="00387AB6" w:rsidR="00964BFC" w:rsidP="00573A19" w:rsidRDefault="00964BFC" w14:paraId="529DC79C" w14:textId="77777777">
            <w:pPr>
              <w:rPr>
                <w:rFonts w:cs="Calibri"/>
                <w:i/>
                <w:iCs/>
                <w:color w:val="000000"/>
                <w:sz w:val="24"/>
                <w:szCs w:val="24"/>
              </w:rPr>
            </w:pPr>
            <w:r w:rsidRPr="00387AB6">
              <w:rPr>
                <w:rFonts w:cs="Calibri"/>
                <w:i/>
                <w:iCs/>
                <w:color w:val="000000"/>
                <w:sz w:val="24"/>
                <w:szCs w:val="24"/>
              </w:rPr>
              <w:t> </w:t>
            </w:r>
          </w:p>
        </w:tc>
        <w:tc>
          <w:tcPr>
            <w:tcW w:w="1443" w:type="dxa"/>
            <w:tcBorders>
              <w:top w:val="single" w:color="auto" w:sz="4" w:space="0"/>
              <w:left w:val="nil"/>
              <w:bottom w:val="single" w:color="auto" w:sz="4" w:space="0"/>
              <w:right w:val="nil"/>
            </w:tcBorders>
            <w:shd w:val="clear" w:color="000000" w:fill="BFBFBF"/>
            <w:noWrap/>
            <w:vAlign w:val="bottom"/>
            <w:hideMark/>
          </w:tcPr>
          <w:p w:rsidRPr="00387AB6" w:rsidR="00964BFC" w:rsidP="00573A19" w:rsidRDefault="00964BFC" w14:paraId="09FF9B52" w14:textId="77777777">
            <w:pPr>
              <w:rPr>
                <w:rFonts w:cs="Calibri"/>
                <w:i/>
                <w:iCs/>
                <w:color w:val="000000"/>
                <w:sz w:val="24"/>
                <w:szCs w:val="24"/>
              </w:rPr>
            </w:pPr>
            <w:r w:rsidRPr="00387AB6">
              <w:rPr>
                <w:rFonts w:cs="Calibri"/>
                <w:i/>
                <w:iCs/>
                <w:color w:val="000000"/>
                <w:sz w:val="24"/>
                <w:szCs w:val="24"/>
              </w:rPr>
              <w:t> </w:t>
            </w:r>
          </w:p>
        </w:tc>
        <w:tc>
          <w:tcPr>
            <w:tcW w:w="1403" w:type="dxa"/>
            <w:tcBorders>
              <w:top w:val="single" w:color="auto" w:sz="4" w:space="0"/>
              <w:left w:val="nil"/>
              <w:bottom w:val="single" w:color="auto" w:sz="4" w:space="0"/>
              <w:right w:val="nil"/>
            </w:tcBorders>
            <w:shd w:val="clear" w:color="000000" w:fill="BFBFBF"/>
            <w:noWrap/>
            <w:vAlign w:val="bottom"/>
            <w:hideMark/>
          </w:tcPr>
          <w:p w:rsidRPr="00387AB6" w:rsidR="00964BFC" w:rsidP="00573A19" w:rsidRDefault="00964BFC" w14:paraId="2DF63EA1" w14:textId="77777777">
            <w:pPr>
              <w:rPr>
                <w:rFonts w:cs="Calibri"/>
                <w:i/>
                <w:iCs/>
                <w:color w:val="000000"/>
                <w:sz w:val="24"/>
                <w:szCs w:val="24"/>
              </w:rPr>
            </w:pPr>
            <w:r w:rsidRPr="00387AB6">
              <w:rPr>
                <w:rFonts w:cs="Calibri"/>
                <w:i/>
                <w:iCs/>
                <w:color w:val="000000"/>
                <w:sz w:val="24"/>
                <w:szCs w:val="24"/>
              </w:rPr>
              <w:t> </w:t>
            </w:r>
          </w:p>
        </w:tc>
        <w:tc>
          <w:tcPr>
            <w:tcW w:w="1443" w:type="dxa"/>
            <w:tcBorders>
              <w:top w:val="single" w:color="auto" w:sz="4" w:space="0"/>
              <w:left w:val="nil"/>
              <w:bottom w:val="single" w:color="auto" w:sz="4" w:space="0"/>
              <w:right w:val="nil"/>
            </w:tcBorders>
            <w:shd w:val="clear" w:color="000000" w:fill="BFBFBF"/>
            <w:noWrap/>
            <w:vAlign w:val="bottom"/>
            <w:hideMark/>
          </w:tcPr>
          <w:p w:rsidRPr="00387AB6" w:rsidR="00964BFC" w:rsidP="00573A19" w:rsidRDefault="00964BFC" w14:paraId="5ACD75E9" w14:textId="77777777">
            <w:pPr>
              <w:rPr>
                <w:rFonts w:cs="Calibri"/>
                <w:i/>
                <w:iCs/>
                <w:color w:val="000000"/>
                <w:sz w:val="24"/>
                <w:szCs w:val="24"/>
              </w:rPr>
            </w:pPr>
            <w:r w:rsidRPr="00387AB6">
              <w:rPr>
                <w:rFonts w:cs="Calibri"/>
                <w:i/>
                <w:iCs/>
                <w:color w:val="000000"/>
                <w:sz w:val="24"/>
                <w:szCs w:val="24"/>
              </w:rPr>
              <w:t> </w:t>
            </w:r>
          </w:p>
        </w:tc>
        <w:tc>
          <w:tcPr>
            <w:tcW w:w="1403" w:type="dxa"/>
            <w:tcBorders>
              <w:top w:val="single" w:color="auto" w:sz="4" w:space="0"/>
              <w:left w:val="nil"/>
              <w:bottom w:val="single" w:color="auto" w:sz="4" w:space="0"/>
              <w:right w:val="nil"/>
            </w:tcBorders>
            <w:shd w:val="clear" w:color="000000" w:fill="BFBFBF"/>
            <w:noWrap/>
            <w:vAlign w:val="bottom"/>
            <w:hideMark/>
          </w:tcPr>
          <w:p w:rsidRPr="00387AB6" w:rsidR="00964BFC" w:rsidP="00573A19" w:rsidRDefault="00964BFC" w14:paraId="17315A2B" w14:textId="77777777">
            <w:pPr>
              <w:rPr>
                <w:rFonts w:cs="Calibri"/>
                <w:i/>
                <w:iCs/>
                <w:color w:val="000000"/>
                <w:sz w:val="24"/>
                <w:szCs w:val="24"/>
              </w:rPr>
            </w:pPr>
            <w:r w:rsidRPr="00387AB6">
              <w:rPr>
                <w:rFonts w:cs="Calibri"/>
                <w:i/>
                <w:iCs/>
                <w:color w:val="000000"/>
                <w:sz w:val="24"/>
                <w:szCs w:val="24"/>
              </w:rPr>
              <w:t> </w:t>
            </w:r>
          </w:p>
        </w:tc>
        <w:tc>
          <w:tcPr>
            <w:tcW w:w="1443" w:type="dxa"/>
            <w:tcBorders>
              <w:top w:val="single" w:color="auto" w:sz="4" w:space="0"/>
              <w:left w:val="nil"/>
              <w:bottom w:val="single" w:color="auto" w:sz="4" w:space="0"/>
              <w:right w:val="nil"/>
            </w:tcBorders>
            <w:shd w:val="clear" w:color="000000" w:fill="BFBFBF"/>
            <w:noWrap/>
            <w:vAlign w:val="bottom"/>
            <w:hideMark/>
          </w:tcPr>
          <w:p w:rsidRPr="00387AB6" w:rsidR="00964BFC" w:rsidP="00573A19" w:rsidRDefault="00964BFC" w14:paraId="5B5CD406" w14:textId="77777777">
            <w:pPr>
              <w:rPr>
                <w:rFonts w:cs="Calibri"/>
                <w:i/>
                <w:iCs/>
                <w:color w:val="000000"/>
                <w:sz w:val="24"/>
                <w:szCs w:val="24"/>
              </w:rPr>
            </w:pPr>
            <w:r w:rsidRPr="00387AB6">
              <w:rPr>
                <w:rFonts w:cs="Calibri"/>
                <w:i/>
                <w:iCs/>
                <w:color w:val="000000"/>
                <w:sz w:val="24"/>
                <w:szCs w:val="24"/>
              </w:rPr>
              <w:t> </w:t>
            </w:r>
          </w:p>
        </w:tc>
        <w:tc>
          <w:tcPr>
            <w:tcW w:w="1403" w:type="dxa"/>
            <w:tcBorders>
              <w:top w:val="single" w:color="auto" w:sz="4" w:space="0"/>
              <w:left w:val="nil"/>
              <w:bottom w:val="single" w:color="auto" w:sz="4" w:space="0"/>
              <w:right w:val="nil"/>
            </w:tcBorders>
            <w:shd w:val="clear" w:color="000000" w:fill="BFBFBF"/>
            <w:noWrap/>
            <w:vAlign w:val="bottom"/>
            <w:hideMark/>
          </w:tcPr>
          <w:p w:rsidRPr="00387AB6" w:rsidR="00964BFC" w:rsidP="00573A19" w:rsidRDefault="00964BFC" w14:paraId="133ED10F" w14:textId="77777777">
            <w:pPr>
              <w:rPr>
                <w:rFonts w:cs="Calibri"/>
                <w:i/>
                <w:iCs/>
                <w:color w:val="000000"/>
                <w:sz w:val="24"/>
                <w:szCs w:val="24"/>
              </w:rPr>
            </w:pPr>
            <w:r w:rsidRPr="00387AB6">
              <w:rPr>
                <w:rFonts w:cs="Calibri"/>
                <w:i/>
                <w:iCs/>
                <w:color w:val="000000"/>
                <w:sz w:val="24"/>
                <w:szCs w:val="24"/>
              </w:rPr>
              <w:t> </w:t>
            </w:r>
          </w:p>
        </w:tc>
      </w:tr>
      <w:tr w:rsidRPr="00387AB6" w:rsidR="00964BFC" w:rsidTr="00573A19" w14:paraId="0448E214" w14:textId="77777777">
        <w:trPr>
          <w:trHeight w:val="278"/>
        </w:trPr>
        <w:tc>
          <w:tcPr>
            <w:tcW w:w="575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387AB6" w:rsidR="00964BFC" w:rsidP="00573A19" w:rsidRDefault="00964BFC" w14:paraId="156B1EC7" w14:textId="77777777">
            <w:pPr>
              <w:rPr>
                <w:rFonts w:cs="Calibri"/>
                <w:color w:val="000000"/>
                <w:sz w:val="24"/>
                <w:szCs w:val="24"/>
              </w:rPr>
            </w:pPr>
            <w:r w:rsidRPr="00387AB6">
              <w:rPr>
                <w:rFonts w:cs="Calibri"/>
                <w:color w:val="000000"/>
                <w:sz w:val="24"/>
                <w:szCs w:val="24"/>
              </w:rPr>
              <w:t>Number of Customers with Onsite Solar Generation</w:t>
            </w:r>
          </w:p>
        </w:tc>
        <w:tc>
          <w:tcPr>
            <w:tcW w:w="1446" w:type="dxa"/>
            <w:tcBorders>
              <w:top w:val="nil"/>
              <w:left w:val="single" w:color="auto" w:sz="4" w:space="0"/>
              <w:bottom w:val="single" w:color="auto" w:sz="4" w:space="0"/>
              <w:right w:val="single" w:color="auto" w:sz="4" w:space="0"/>
            </w:tcBorders>
            <w:shd w:val="clear" w:color="auto" w:fill="auto"/>
            <w:noWrap/>
            <w:vAlign w:val="bottom"/>
            <w:hideMark/>
          </w:tcPr>
          <w:p w:rsidRPr="00387AB6" w:rsidR="00964BFC" w:rsidP="00573A19" w:rsidRDefault="00964BFC" w14:paraId="49887B0E" w14:textId="77777777">
            <w:pPr>
              <w:rPr>
                <w:rFonts w:cs="Calibri"/>
                <w:color w:val="000000"/>
                <w:sz w:val="24"/>
                <w:szCs w:val="24"/>
              </w:rPr>
            </w:pPr>
            <w:r w:rsidRPr="00387AB6">
              <w:rPr>
                <w:rFonts w:cs="Calibri"/>
                <w:color w:val="000000"/>
                <w:sz w:val="24"/>
                <w:szCs w:val="24"/>
              </w:rPr>
              <w:t> </w:t>
            </w:r>
          </w:p>
        </w:tc>
        <w:tc>
          <w:tcPr>
            <w:tcW w:w="1403" w:type="dxa"/>
            <w:tcBorders>
              <w:top w:val="nil"/>
              <w:left w:val="nil"/>
              <w:bottom w:val="single" w:color="auto" w:sz="4" w:space="0"/>
              <w:right w:val="double" w:color="auto" w:sz="6" w:space="0"/>
            </w:tcBorders>
            <w:shd w:val="clear" w:color="auto" w:fill="auto"/>
            <w:noWrap/>
            <w:vAlign w:val="bottom"/>
            <w:hideMark/>
          </w:tcPr>
          <w:p w:rsidRPr="00387AB6" w:rsidR="00964BFC" w:rsidP="00573A19" w:rsidRDefault="00964BFC" w14:paraId="13E59BDC" w14:textId="77777777">
            <w:pPr>
              <w:rPr>
                <w:rFonts w:cs="Calibri"/>
                <w:color w:val="000000"/>
                <w:sz w:val="24"/>
                <w:szCs w:val="24"/>
              </w:rPr>
            </w:pPr>
            <w:r w:rsidRPr="00387AB6">
              <w:rPr>
                <w:rFonts w:cs="Calibri"/>
                <w:color w:val="000000"/>
                <w:sz w:val="24"/>
                <w:szCs w:val="24"/>
              </w:rPr>
              <w:t> </w:t>
            </w:r>
          </w:p>
        </w:tc>
        <w:tc>
          <w:tcPr>
            <w:tcW w:w="1443" w:type="dxa"/>
            <w:tcBorders>
              <w:top w:val="nil"/>
              <w:left w:val="nil"/>
              <w:bottom w:val="single" w:color="auto" w:sz="4" w:space="0"/>
              <w:right w:val="nil"/>
            </w:tcBorders>
            <w:shd w:val="clear" w:color="auto" w:fill="auto"/>
            <w:noWrap/>
            <w:vAlign w:val="bottom"/>
            <w:hideMark/>
          </w:tcPr>
          <w:p w:rsidRPr="00387AB6" w:rsidR="00964BFC" w:rsidP="00573A19" w:rsidRDefault="00964BFC" w14:paraId="6A98FD3E" w14:textId="77777777">
            <w:pPr>
              <w:rPr>
                <w:rFonts w:cs="Calibri"/>
                <w:color w:val="000000"/>
                <w:sz w:val="24"/>
                <w:szCs w:val="24"/>
              </w:rPr>
            </w:pPr>
            <w:r w:rsidRPr="00387AB6">
              <w:rPr>
                <w:rFonts w:cs="Calibri"/>
                <w:color w:val="000000"/>
                <w:sz w:val="24"/>
                <w:szCs w:val="24"/>
              </w:rPr>
              <w:t> </w:t>
            </w:r>
          </w:p>
        </w:tc>
        <w:tc>
          <w:tcPr>
            <w:tcW w:w="1403" w:type="dxa"/>
            <w:tcBorders>
              <w:top w:val="nil"/>
              <w:left w:val="nil"/>
              <w:bottom w:val="single" w:color="auto" w:sz="4" w:space="0"/>
              <w:right w:val="nil"/>
            </w:tcBorders>
            <w:shd w:val="clear" w:color="auto" w:fill="auto"/>
            <w:noWrap/>
            <w:vAlign w:val="bottom"/>
            <w:hideMark/>
          </w:tcPr>
          <w:p w:rsidRPr="00387AB6" w:rsidR="00964BFC" w:rsidP="00573A19" w:rsidRDefault="00964BFC" w14:paraId="0A3827D1" w14:textId="77777777">
            <w:pPr>
              <w:rPr>
                <w:rFonts w:cs="Calibri"/>
                <w:color w:val="000000"/>
                <w:sz w:val="24"/>
                <w:szCs w:val="24"/>
              </w:rPr>
            </w:pPr>
            <w:r w:rsidRPr="00387AB6">
              <w:rPr>
                <w:rFonts w:cs="Calibri"/>
                <w:color w:val="000000"/>
                <w:sz w:val="24"/>
                <w:szCs w:val="24"/>
              </w:rPr>
              <w:t> </w:t>
            </w:r>
          </w:p>
        </w:tc>
        <w:tc>
          <w:tcPr>
            <w:tcW w:w="1443" w:type="dxa"/>
            <w:tcBorders>
              <w:top w:val="nil"/>
              <w:left w:val="double" w:color="auto" w:sz="6" w:space="0"/>
              <w:bottom w:val="single" w:color="auto" w:sz="4" w:space="0"/>
              <w:right w:val="single" w:color="auto" w:sz="4" w:space="0"/>
            </w:tcBorders>
            <w:shd w:val="clear" w:color="auto" w:fill="auto"/>
            <w:noWrap/>
            <w:vAlign w:val="bottom"/>
            <w:hideMark/>
          </w:tcPr>
          <w:p w:rsidRPr="00387AB6" w:rsidR="00964BFC" w:rsidP="00573A19" w:rsidRDefault="00964BFC" w14:paraId="275C2CCF" w14:textId="77777777">
            <w:pPr>
              <w:rPr>
                <w:rFonts w:cs="Calibri"/>
                <w:color w:val="000000"/>
                <w:sz w:val="24"/>
                <w:szCs w:val="24"/>
              </w:rPr>
            </w:pPr>
            <w:r w:rsidRPr="00387AB6">
              <w:rPr>
                <w:rFonts w:cs="Calibri"/>
                <w:color w:val="000000"/>
                <w:sz w:val="24"/>
                <w:szCs w:val="24"/>
              </w:rPr>
              <w:t> </w:t>
            </w:r>
          </w:p>
        </w:tc>
        <w:tc>
          <w:tcPr>
            <w:tcW w:w="1403" w:type="dxa"/>
            <w:tcBorders>
              <w:top w:val="nil"/>
              <w:left w:val="nil"/>
              <w:bottom w:val="single" w:color="auto" w:sz="4" w:space="0"/>
              <w:right w:val="double" w:color="auto" w:sz="6" w:space="0"/>
            </w:tcBorders>
            <w:shd w:val="clear" w:color="auto" w:fill="auto"/>
            <w:noWrap/>
            <w:vAlign w:val="bottom"/>
            <w:hideMark/>
          </w:tcPr>
          <w:p w:rsidRPr="00387AB6" w:rsidR="00964BFC" w:rsidP="00573A19" w:rsidRDefault="00964BFC" w14:paraId="162FB74D" w14:textId="77777777">
            <w:pPr>
              <w:rPr>
                <w:rFonts w:cs="Calibri"/>
                <w:color w:val="000000"/>
                <w:sz w:val="24"/>
                <w:szCs w:val="24"/>
              </w:rPr>
            </w:pPr>
            <w:r w:rsidRPr="00387AB6">
              <w:rPr>
                <w:rFonts w:cs="Calibri"/>
                <w:color w:val="000000"/>
                <w:sz w:val="24"/>
                <w:szCs w:val="24"/>
              </w:rPr>
              <w:t> </w:t>
            </w:r>
          </w:p>
        </w:tc>
        <w:tc>
          <w:tcPr>
            <w:tcW w:w="1443" w:type="dxa"/>
            <w:tcBorders>
              <w:top w:val="nil"/>
              <w:left w:val="nil"/>
              <w:bottom w:val="single" w:color="auto" w:sz="4" w:space="0"/>
              <w:right w:val="single" w:color="auto" w:sz="4" w:space="0"/>
            </w:tcBorders>
            <w:shd w:val="clear" w:color="auto" w:fill="auto"/>
            <w:noWrap/>
            <w:vAlign w:val="bottom"/>
            <w:hideMark/>
          </w:tcPr>
          <w:p w:rsidRPr="00387AB6" w:rsidR="00964BFC" w:rsidP="00573A19" w:rsidRDefault="00964BFC" w14:paraId="3F97BDFE" w14:textId="77777777">
            <w:pPr>
              <w:rPr>
                <w:rFonts w:cs="Calibri"/>
                <w:color w:val="000000"/>
                <w:sz w:val="24"/>
                <w:szCs w:val="24"/>
              </w:rPr>
            </w:pPr>
            <w:r w:rsidRPr="00387AB6">
              <w:rPr>
                <w:rFonts w:cs="Calibri"/>
                <w:color w:val="000000"/>
                <w:sz w:val="24"/>
                <w:szCs w:val="24"/>
              </w:rPr>
              <w:t> </w:t>
            </w:r>
          </w:p>
        </w:tc>
        <w:tc>
          <w:tcPr>
            <w:tcW w:w="1403" w:type="dxa"/>
            <w:tcBorders>
              <w:top w:val="nil"/>
              <w:left w:val="nil"/>
              <w:bottom w:val="single" w:color="auto" w:sz="4" w:space="0"/>
              <w:right w:val="single" w:color="auto" w:sz="8" w:space="0"/>
            </w:tcBorders>
            <w:shd w:val="clear" w:color="auto" w:fill="auto"/>
            <w:noWrap/>
            <w:vAlign w:val="bottom"/>
            <w:hideMark/>
          </w:tcPr>
          <w:p w:rsidRPr="00387AB6" w:rsidR="00964BFC" w:rsidP="00573A19" w:rsidRDefault="00964BFC" w14:paraId="3B609BE1" w14:textId="77777777">
            <w:pPr>
              <w:rPr>
                <w:rFonts w:cs="Calibri"/>
                <w:color w:val="000000"/>
                <w:sz w:val="24"/>
                <w:szCs w:val="24"/>
              </w:rPr>
            </w:pPr>
            <w:r w:rsidRPr="00387AB6">
              <w:rPr>
                <w:rFonts w:cs="Calibri"/>
                <w:color w:val="000000"/>
                <w:sz w:val="24"/>
                <w:szCs w:val="24"/>
              </w:rPr>
              <w:t> </w:t>
            </w:r>
          </w:p>
        </w:tc>
      </w:tr>
      <w:tr w:rsidRPr="00387AB6" w:rsidR="00964BFC" w:rsidTr="00573A19" w14:paraId="4AA68496" w14:textId="77777777">
        <w:trPr>
          <w:trHeight w:val="260"/>
        </w:trPr>
        <w:tc>
          <w:tcPr>
            <w:tcW w:w="575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387AB6" w:rsidR="00964BFC" w:rsidP="00573A19" w:rsidRDefault="00964BFC" w14:paraId="7B15DCD9" w14:textId="77777777">
            <w:pPr>
              <w:rPr>
                <w:rFonts w:cs="Calibri"/>
                <w:color w:val="000000"/>
                <w:sz w:val="24"/>
                <w:szCs w:val="24"/>
              </w:rPr>
            </w:pPr>
            <w:r w:rsidRPr="00387AB6">
              <w:rPr>
                <w:rFonts w:cs="Calibri"/>
                <w:color w:val="000000"/>
                <w:sz w:val="24"/>
                <w:szCs w:val="24"/>
              </w:rPr>
              <w:t>Number of Customers with Onsite Solar +Battery storage</w:t>
            </w:r>
          </w:p>
        </w:tc>
        <w:tc>
          <w:tcPr>
            <w:tcW w:w="1446" w:type="dxa"/>
            <w:tcBorders>
              <w:top w:val="nil"/>
              <w:left w:val="single" w:color="auto" w:sz="4" w:space="0"/>
              <w:bottom w:val="nil"/>
              <w:right w:val="single" w:color="auto" w:sz="4" w:space="0"/>
            </w:tcBorders>
            <w:shd w:val="clear" w:color="auto" w:fill="auto"/>
            <w:noWrap/>
            <w:vAlign w:val="bottom"/>
            <w:hideMark/>
          </w:tcPr>
          <w:p w:rsidRPr="00387AB6" w:rsidR="00964BFC" w:rsidP="00573A19" w:rsidRDefault="00964BFC" w14:paraId="10C66AE5" w14:textId="77777777">
            <w:pPr>
              <w:rPr>
                <w:rFonts w:cs="Calibri"/>
                <w:color w:val="000000"/>
                <w:sz w:val="24"/>
                <w:szCs w:val="24"/>
              </w:rPr>
            </w:pPr>
            <w:r w:rsidRPr="00387AB6">
              <w:rPr>
                <w:rFonts w:cs="Calibri"/>
                <w:color w:val="000000"/>
                <w:sz w:val="24"/>
                <w:szCs w:val="24"/>
              </w:rPr>
              <w:t> </w:t>
            </w:r>
          </w:p>
        </w:tc>
        <w:tc>
          <w:tcPr>
            <w:tcW w:w="1403" w:type="dxa"/>
            <w:tcBorders>
              <w:top w:val="nil"/>
              <w:left w:val="nil"/>
              <w:bottom w:val="nil"/>
              <w:right w:val="double" w:color="auto" w:sz="6" w:space="0"/>
            </w:tcBorders>
            <w:shd w:val="clear" w:color="auto" w:fill="auto"/>
            <w:noWrap/>
            <w:vAlign w:val="bottom"/>
            <w:hideMark/>
          </w:tcPr>
          <w:p w:rsidRPr="00387AB6" w:rsidR="00964BFC" w:rsidP="00573A19" w:rsidRDefault="00964BFC" w14:paraId="26FF829F" w14:textId="77777777">
            <w:pPr>
              <w:rPr>
                <w:rFonts w:cs="Calibri"/>
                <w:color w:val="000000"/>
                <w:sz w:val="24"/>
                <w:szCs w:val="24"/>
              </w:rPr>
            </w:pPr>
            <w:r w:rsidRPr="00387AB6">
              <w:rPr>
                <w:rFonts w:cs="Calibri"/>
                <w:color w:val="000000"/>
                <w:sz w:val="24"/>
                <w:szCs w:val="24"/>
              </w:rPr>
              <w:t> </w:t>
            </w:r>
          </w:p>
        </w:tc>
        <w:tc>
          <w:tcPr>
            <w:tcW w:w="1443" w:type="dxa"/>
            <w:tcBorders>
              <w:top w:val="nil"/>
              <w:left w:val="nil"/>
              <w:bottom w:val="nil"/>
              <w:right w:val="nil"/>
            </w:tcBorders>
            <w:shd w:val="clear" w:color="auto" w:fill="auto"/>
            <w:noWrap/>
            <w:vAlign w:val="bottom"/>
            <w:hideMark/>
          </w:tcPr>
          <w:p w:rsidRPr="00387AB6" w:rsidR="00964BFC" w:rsidP="00573A19" w:rsidRDefault="00964BFC" w14:paraId="3342E6C7" w14:textId="77777777">
            <w:pPr>
              <w:rPr>
                <w:rFonts w:cs="Calibri"/>
                <w:color w:val="000000"/>
                <w:sz w:val="24"/>
                <w:szCs w:val="24"/>
              </w:rPr>
            </w:pPr>
            <w:r w:rsidRPr="00387AB6">
              <w:rPr>
                <w:rFonts w:cs="Calibri"/>
                <w:color w:val="000000"/>
                <w:sz w:val="24"/>
                <w:szCs w:val="24"/>
              </w:rPr>
              <w:t> </w:t>
            </w:r>
          </w:p>
        </w:tc>
        <w:tc>
          <w:tcPr>
            <w:tcW w:w="1403" w:type="dxa"/>
            <w:tcBorders>
              <w:top w:val="nil"/>
              <w:left w:val="nil"/>
              <w:bottom w:val="nil"/>
              <w:right w:val="nil"/>
            </w:tcBorders>
            <w:shd w:val="clear" w:color="auto" w:fill="auto"/>
            <w:noWrap/>
            <w:vAlign w:val="bottom"/>
            <w:hideMark/>
          </w:tcPr>
          <w:p w:rsidRPr="00387AB6" w:rsidR="00964BFC" w:rsidP="00573A19" w:rsidRDefault="00964BFC" w14:paraId="289C320B" w14:textId="77777777">
            <w:pPr>
              <w:rPr>
                <w:rFonts w:cs="Calibri"/>
                <w:color w:val="000000"/>
                <w:sz w:val="24"/>
                <w:szCs w:val="24"/>
              </w:rPr>
            </w:pPr>
            <w:r w:rsidRPr="00387AB6">
              <w:rPr>
                <w:rFonts w:cs="Calibri"/>
                <w:color w:val="000000"/>
                <w:sz w:val="24"/>
                <w:szCs w:val="24"/>
              </w:rPr>
              <w:t> </w:t>
            </w:r>
          </w:p>
        </w:tc>
        <w:tc>
          <w:tcPr>
            <w:tcW w:w="1443" w:type="dxa"/>
            <w:tcBorders>
              <w:top w:val="nil"/>
              <w:left w:val="double" w:color="auto" w:sz="6" w:space="0"/>
              <w:bottom w:val="nil"/>
              <w:right w:val="single" w:color="auto" w:sz="4" w:space="0"/>
            </w:tcBorders>
            <w:shd w:val="clear" w:color="auto" w:fill="auto"/>
            <w:noWrap/>
            <w:vAlign w:val="bottom"/>
            <w:hideMark/>
          </w:tcPr>
          <w:p w:rsidRPr="00387AB6" w:rsidR="00964BFC" w:rsidP="00573A19" w:rsidRDefault="00964BFC" w14:paraId="0B3889FF" w14:textId="77777777">
            <w:pPr>
              <w:rPr>
                <w:rFonts w:cs="Calibri"/>
                <w:color w:val="000000"/>
                <w:sz w:val="24"/>
                <w:szCs w:val="24"/>
              </w:rPr>
            </w:pPr>
            <w:r w:rsidRPr="00387AB6">
              <w:rPr>
                <w:rFonts w:cs="Calibri"/>
                <w:color w:val="000000"/>
                <w:sz w:val="24"/>
                <w:szCs w:val="24"/>
              </w:rPr>
              <w:t> </w:t>
            </w:r>
          </w:p>
        </w:tc>
        <w:tc>
          <w:tcPr>
            <w:tcW w:w="1403" w:type="dxa"/>
            <w:tcBorders>
              <w:top w:val="nil"/>
              <w:left w:val="nil"/>
              <w:bottom w:val="nil"/>
              <w:right w:val="double" w:color="auto" w:sz="6" w:space="0"/>
            </w:tcBorders>
            <w:shd w:val="clear" w:color="auto" w:fill="auto"/>
            <w:noWrap/>
            <w:vAlign w:val="bottom"/>
            <w:hideMark/>
          </w:tcPr>
          <w:p w:rsidRPr="00387AB6" w:rsidR="00964BFC" w:rsidP="00573A19" w:rsidRDefault="00964BFC" w14:paraId="13129F61" w14:textId="77777777">
            <w:pPr>
              <w:rPr>
                <w:rFonts w:cs="Calibri"/>
                <w:color w:val="000000"/>
                <w:sz w:val="24"/>
                <w:szCs w:val="24"/>
              </w:rPr>
            </w:pPr>
            <w:r w:rsidRPr="00387AB6">
              <w:rPr>
                <w:rFonts w:cs="Calibri"/>
                <w:color w:val="000000"/>
                <w:sz w:val="24"/>
                <w:szCs w:val="24"/>
              </w:rPr>
              <w:t> </w:t>
            </w:r>
          </w:p>
        </w:tc>
        <w:tc>
          <w:tcPr>
            <w:tcW w:w="1443" w:type="dxa"/>
            <w:tcBorders>
              <w:top w:val="nil"/>
              <w:left w:val="nil"/>
              <w:bottom w:val="nil"/>
              <w:right w:val="single" w:color="auto" w:sz="4" w:space="0"/>
            </w:tcBorders>
            <w:shd w:val="clear" w:color="auto" w:fill="auto"/>
            <w:noWrap/>
            <w:vAlign w:val="bottom"/>
            <w:hideMark/>
          </w:tcPr>
          <w:p w:rsidRPr="00387AB6" w:rsidR="00964BFC" w:rsidP="00573A19" w:rsidRDefault="00964BFC" w14:paraId="4C79185D" w14:textId="77777777">
            <w:pPr>
              <w:rPr>
                <w:rFonts w:cs="Calibri"/>
                <w:color w:val="000000"/>
                <w:sz w:val="24"/>
                <w:szCs w:val="24"/>
              </w:rPr>
            </w:pPr>
            <w:r w:rsidRPr="00387AB6">
              <w:rPr>
                <w:rFonts w:cs="Calibri"/>
                <w:color w:val="000000"/>
                <w:sz w:val="24"/>
                <w:szCs w:val="24"/>
              </w:rPr>
              <w:t> </w:t>
            </w:r>
          </w:p>
        </w:tc>
        <w:tc>
          <w:tcPr>
            <w:tcW w:w="1403" w:type="dxa"/>
            <w:tcBorders>
              <w:top w:val="nil"/>
              <w:left w:val="nil"/>
              <w:bottom w:val="nil"/>
              <w:right w:val="single" w:color="auto" w:sz="8" w:space="0"/>
            </w:tcBorders>
            <w:shd w:val="clear" w:color="auto" w:fill="auto"/>
            <w:noWrap/>
            <w:vAlign w:val="bottom"/>
            <w:hideMark/>
          </w:tcPr>
          <w:p w:rsidRPr="00387AB6" w:rsidR="00964BFC" w:rsidP="00573A19" w:rsidRDefault="00964BFC" w14:paraId="5CA8969A" w14:textId="77777777">
            <w:pPr>
              <w:rPr>
                <w:rFonts w:cs="Calibri"/>
                <w:color w:val="000000"/>
                <w:sz w:val="24"/>
                <w:szCs w:val="24"/>
              </w:rPr>
            </w:pPr>
            <w:r w:rsidRPr="00387AB6">
              <w:rPr>
                <w:rFonts w:cs="Calibri"/>
                <w:color w:val="000000"/>
                <w:sz w:val="24"/>
                <w:szCs w:val="24"/>
              </w:rPr>
              <w:t> </w:t>
            </w:r>
          </w:p>
        </w:tc>
      </w:tr>
      <w:tr w:rsidRPr="00387AB6" w:rsidR="00964BFC" w:rsidTr="00573A19" w14:paraId="3F3AAA13" w14:textId="77777777">
        <w:trPr>
          <w:trHeight w:val="300"/>
        </w:trPr>
        <w:tc>
          <w:tcPr>
            <w:tcW w:w="5750" w:type="dxa"/>
            <w:tcBorders>
              <w:top w:val="single" w:color="auto" w:sz="4" w:space="0"/>
              <w:left w:val="single" w:color="auto" w:sz="4" w:space="0"/>
              <w:bottom w:val="single" w:color="auto" w:sz="4" w:space="0"/>
              <w:right w:val="single" w:color="auto" w:sz="4" w:space="0"/>
            </w:tcBorders>
            <w:shd w:val="clear" w:color="000000" w:fill="BFBFBF"/>
            <w:vAlign w:val="bottom"/>
            <w:hideMark/>
          </w:tcPr>
          <w:p w:rsidRPr="00387AB6" w:rsidR="00964BFC" w:rsidP="00573A19" w:rsidRDefault="00964BFC" w14:paraId="713944E2" w14:textId="77777777">
            <w:pPr>
              <w:rPr>
                <w:rFonts w:cs="Calibri"/>
                <w:i/>
                <w:iCs/>
                <w:color w:val="000000"/>
                <w:sz w:val="24"/>
                <w:szCs w:val="24"/>
              </w:rPr>
            </w:pPr>
            <w:r w:rsidRPr="00387AB6">
              <w:rPr>
                <w:rFonts w:cs="Calibri"/>
                <w:i/>
                <w:iCs/>
                <w:color w:val="000000"/>
                <w:sz w:val="24"/>
                <w:szCs w:val="24"/>
              </w:rPr>
              <w:t>Master-metered Customers</w:t>
            </w:r>
          </w:p>
        </w:tc>
        <w:tc>
          <w:tcPr>
            <w:tcW w:w="1446" w:type="dxa"/>
            <w:tcBorders>
              <w:top w:val="single" w:color="auto" w:sz="4" w:space="0"/>
              <w:left w:val="single" w:color="auto" w:sz="4" w:space="0"/>
              <w:bottom w:val="single" w:color="auto" w:sz="4" w:space="0"/>
              <w:right w:val="single" w:color="auto" w:sz="4" w:space="0"/>
            </w:tcBorders>
            <w:shd w:val="clear" w:color="000000" w:fill="BFBFBF"/>
            <w:noWrap/>
            <w:vAlign w:val="bottom"/>
            <w:hideMark/>
          </w:tcPr>
          <w:p w:rsidRPr="00387AB6" w:rsidR="00964BFC" w:rsidP="00573A19" w:rsidRDefault="00964BFC" w14:paraId="3D147C80" w14:textId="77777777">
            <w:pPr>
              <w:rPr>
                <w:rFonts w:cs="Calibri"/>
                <w:color w:val="000000"/>
                <w:sz w:val="24"/>
                <w:szCs w:val="24"/>
              </w:rPr>
            </w:pPr>
            <w:r w:rsidRPr="00387AB6">
              <w:rPr>
                <w:rFonts w:cs="Calibri"/>
                <w:color w:val="000000"/>
                <w:sz w:val="24"/>
                <w:szCs w:val="24"/>
              </w:rPr>
              <w:t> </w:t>
            </w:r>
          </w:p>
        </w:tc>
        <w:tc>
          <w:tcPr>
            <w:tcW w:w="1403" w:type="dxa"/>
            <w:tcBorders>
              <w:top w:val="single" w:color="auto" w:sz="4" w:space="0"/>
              <w:left w:val="nil"/>
              <w:bottom w:val="single" w:color="auto" w:sz="4" w:space="0"/>
              <w:right w:val="double" w:color="auto" w:sz="6" w:space="0"/>
            </w:tcBorders>
            <w:shd w:val="clear" w:color="000000" w:fill="BFBFBF"/>
            <w:noWrap/>
            <w:vAlign w:val="bottom"/>
            <w:hideMark/>
          </w:tcPr>
          <w:p w:rsidRPr="00387AB6" w:rsidR="00964BFC" w:rsidP="00573A19" w:rsidRDefault="00964BFC" w14:paraId="55F911A4" w14:textId="77777777">
            <w:pPr>
              <w:rPr>
                <w:rFonts w:cs="Calibri"/>
                <w:color w:val="000000"/>
                <w:sz w:val="24"/>
                <w:szCs w:val="24"/>
              </w:rPr>
            </w:pPr>
            <w:r w:rsidRPr="00387AB6">
              <w:rPr>
                <w:rFonts w:cs="Calibri"/>
                <w:color w:val="000000"/>
                <w:sz w:val="24"/>
                <w:szCs w:val="24"/>
              </w:rPr>
              <w:t> </w:t>
            </w:r>
          </w:p>
        </w:tc>
        <w:tc>
          <w:tcPr>
            <w:tcW w:w="1443" w:type="dxa"/>
            <w:tcBorders>
              <w:top w:val="single" w:color="auto" w:sz="4" w:space="0"/>
              <w:left w:val="nil"/>
              <w:bottom w:val="single" w:color="auto" w:sz="4" w:space="0"/>
              <w:right w:val="nil"/>
            </w:tcBorders>
            <w:shd w:val="clear" w:color="000000" w:fill="BFBFBF"/>
            <w:noWrap/>
            <w:vAlign w:val="bottom"/>
            <w:hideMark/>
          </w:tcPr>
          <w:p w:rsidRPr="00387AB6" w:rsidR="00964BFC" w:rsidP="00573A19" w:rsidRDefault="00964BFC" w14:paraId="4F26A3EF" w14:textId="77777777">
            <w:pPr>
              <w:rPr>
                <w:rFonts w:cs="Calibri"/>
                <w:color w:val="000000"/>
                <w:sz w:val="24"/>
                <w:szCs w:val="24"/>
              </w:rPr>
            </w:pPr>
            <w:r w:rsidRPr="00387AB6">
              <w:rPr>
                <w:rFonts w:cs="Calibri"/>
                <w:color w:val="000000"/>
                <w:sz w:val="24"/>
                <w:szCs w:val="24"/>
              </w:rPr>
              <w:t> </w:t>
            </w:r>
          </w:p>
        </w:tc>
        <w:tc>
          <w:tcPr>
            <w:tcW w:w="1403" w:type="dxa"/>
            <w:tcBorders>
              <w:top w:val="single" w:color="auto" w:sz="4" w:space="0"/>
              <w:left w:val="nil"/>
              <w:bottom w:val="single" w:color="auto" w:sz="4" w:space="0"/>
              <w:right w:val="nil"/>
            </w:tcBorders>
            <w:shd w:val="clear" w:color="000000" w:fill="BFBFBF"/>
            <w:noWrap/>
            <w:vAlign w:val="bottom"/>
            <w:hideMark/>
          </w:tcPr>
          <w:p w:rsidRPr="00387AB6" w:rsidR="00964BFC" w:rsidP="00573A19" w:rsidRDefault="00964BFC" w14:paraId="186BDC1F" w14:textId="77777777">
            <w:pPr>
              <w:rPr>
                <w:rFonts w:cs="Calibri"/>
                <w:color w:val="000000"/>
                <w:sz w:val="24"/>
                <w:szCs w:val="24"/>
              </w:rPr>
            </w:pPr>
            <w:r w:rsidRPr="00387AB6">
              <w:rPr>
                <w:rFonts w:cs="Calibri"/>
                <w:color w:val="000000"/>
                <w:sz w:val="24"/>
                <w:szCs w:val="24"/>
              </w:rPr>
              <w:t> </w:t>
            </w:r>
          </w:p>
        </w:tc>
        <w:tc>
          <w:tcPr>
            <w:tcW w:w="1443" w:type="dxa"/>
            <w:tcBorders>
              <w:top w:val="single" w:color="auto" w:sz="4" w:space="0"/>
              <w:left w:val="double" w:color="auto" w:sz="6" w:space="0"/>
              <w:bottom w:val="single" w:color="auto" w:sz="4" w:space="0"/>
              <w:right w:val="single" w:color="auto" w:sz="4" w:space="0"/>
            </w:tcBorders>
            <w:shd w:val="clear" w:color="000000" w:fill="BFBFBF"/>
            <w:noWrap/>
            <w:vAlign w:val="bottom"/>
            <w:hideMark/>
          </w:tcPr>
          <w:p w:rsidRPr="00387AB6" w:rsidR="00964BFC" w:rsidP="00573A19" w:rsidRDefault="00964BFC" w14:paraId="7CE851FF" w14:textId="77777777">
            <w:pPr>
              <w:rPr>
                <w:rFonts w:cs="Calibri"/>
                <w:color w:val="000000"/>
                <w:sz w:val="24"/>
                <w:szCs w:val="24"/>
              </w:rPr>
            </w:pPr>
            <w:r w:rsidRPr="00387AB6">
              <w:rPr>
                <w:rFonts w:cs="Calibri"/>
                <w:color w:val="000000"/>
                <w:sz w:val="24"/>
                <w:szCs w:val="24"/>
              </w:rPr>
              <w:t> </w:t>
            </w:r>
          </w:p>
        </w:tc>
        <w:tc>
          <w:tcPr>
            <w:tcW w:w="1403" w:type="dxa"/>
            <w:tcBorders>
              <w:top w:val="single" w:color="auto" w:sz="4" w:space="0"/>
              <w:left w:val="nil"/>
              <w:bottom w:val="single" w:color="auto" w:sz="4" w:space="0"/>
              <w:right w:val="double" w:color="auto" w:sz="6" w:space="0"/>
            </w:tcBorders>
            <w:shd w:val="clear" w:color="000000" w:fill="BFBFBF"/>
            <w:noWrap/>
            <w:vAlign w:val="bottom"/>
            <w:hideMark/>
          </w:tcPr>
          <w:p w:rsidRPr="00387AB6" w:rsidR="00964BFC" w:rsidP="00573A19" w:rsidRDefault="00964BFC" w14:paraId="779EA170" w14:textId="77777777">
            <w:pPr>
              <w:rPr>
                <w:rFonts w:cs="Calibri"/>
                <w:color w:val="000000"/>
                <w:sz w:val="24"/>
                <w:szCs w:val="24"/>
              </w:rPr>
            </w:pPr>
            <w:r w:rsidRPr="00387AB6">
              <w:rPr>
                <w:rFonts w:cs="Calibri"/>
                <w:color w:val="000000"/>
                <w:sz w:val="24"/>
                <w:szCs w:val="24"/>
              </w:rPr>
              <w:t> </w:t>
            </w:r>
          </w:p>
        </w:tc>
        <w:tc>
          <w:tcPr>
            <w:tcW w:w="1443" w:type="dxa"/>
            <w:tcBorders>
              <w:top w:val="single" w:color="auto" w:sz="4" w:space="0"/>
              <w:left w:val="nil"/>
              <w:bottom w:val="single" w:color="auto" w:sz="4" w:space="0"/>
              <w:right w:val="single" w:color="auto" w:sz="4" w:space="0"/>
            </w:tcBorders>
            <w:shd w:val="clear" w:color="000000" w:fill="BFBFBF"/>
            <w:noWrap/>
            <w:vAlign w:val="bottom"/>
            <w:hideMark/>
          </w:tcPr>
          <w:p w:rsidRPr="00387AB6" w:rsidR="00964BFC" w:rsidP="00573A19" w:rsidRDefault="00964BFC" w14:paraId="1BA444FE" w14:textId="77777777">
            <w:pPr>
              <w:rPr>
                <w:rFonts w:cs="Calibri"/>
                <w:color w:val="000000"/>
                <w:sz w:val="24"/>
                <w:szCs w:val="24"/>
              </w:rPr>
            </w:pPr>
            <w:r w:rsidRPr="00387AB6">
              <w:rPr>
                <w:rFonts w:cs="Calibri"/>
                <w:color w:val="000000"/>
                <w:sz w:val="24"/>
                <w:szCs w:val="24"/>
              </w:rPr>
              <w:t> </w:t>
            </w:r>
          </w:p>
        </w:tc>
        <w:tc>
          <w:tcPr>
            <w:tcW w:w="1403" w:type="dxa"/>
            <w:tcBorders>
              <w:top w:val="single" w:color="auto" w:sz="4" w:space="0"/>
              <w:left w:val="nil"/>
              <w:bottom w:val="single" w:color="auto" w:sz="4" w:space="0"/>
              <w:right w:val="single" w:color="auto" w:sz="8" w:space="0"/>
            </w:tcBorders>
            <w:shd w:val="clear" w:color="000000" w:fill="BFBFBF"/>
            <w:noWrap/>
            <w:vAlign w:val="bottom"/>
            <w:hideMark/>
          </w:tcPr>
          <w:p w:rsidRPr="00387AB6" w:rsidR="00964BFC" w:rsidP="00573A19" w:rsidRDefault="00964BFC" w14:paraId="07F78F21" w14:textId="77777777">
            <w:pPr>
              <w:rPr>
                <w:rFonts w:cs="Calibri"/>
                <w:color w:val="000000"/>
                <w:sz w:val="24"/>
                <w:szCs w:val="24"/>
              </w:rPr>
            </w:pPr>
            <w:r w:rsidRPr="00387AB6">
              <w:rPr>
                <w:rFonts w:cs="Calibri"/>
                <w:color w:val="000000"/>
                <w:sz w:val="24"/>
                <w:szCs w:val="24"/>
              </w:rPr>
              <w:t> </w:t>
            </w:r>
          </w:p>
        </w:tc>
      </w:tr>
      <w:tr w:rsidRPr="00387AB6" w:rsidR="00964BFC" w:rsidTr="00573A19" w14:paraId="6C75E6FA" w14:textId="77777777">
        <w:trPr>
          <w:trHeight w:val="305"/>
        </w:trPr>
        <w:tc>
          <w:tcPr>
            <w:tcW w:w="575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387AB6" w:rsidR="00964BFC" w:rsidP="00573A19" w:rsidRDefault="00964BFC" w14:paraId="489B6083" w14:textId="77777777">
            <w:pPr>
              <w:rPr>
                <w:rFonts w:cs="Calibri"/>
                <w:color w:val="000000"/>
                <w:sz w:val="24"/>
                <w:szCs w:val="24"/>
              </w:rPr>
            </w:pPr>
            <w:r w:rsidRPr="00387AB6">
              <w:rPr>
                <w:rFonts w:cs="Calibri"/>
                <w:color w:val="000000"/>
                <w:sz w:val="24"/>
                <w:szCs w:val="24"/>
              </w:rPr>
              <w:t>Number of Master-metered customers</w:t>
            </w:r>
          </w:p>
        </w:tc>
        <w:tc>
          <w:tcPr>
            <w:tcW w:w="1446" w:type="dxa"/>
            <w:tcBorders>
              <w:top w:val="nil"/>
              <w:left w:val="single" w:color="auto" w:sz="4" w:space="0"/>
              <w:bottom w:val="single" w:color="auto" w:sz="4" w:space="0"/>
              <w:right w:val="single" w:color="auto" w:sz="4" w:space="0"/>
            </w:tcBorders>
            <w:shd w:val="clear" w:color="auto" w:fill="auto"/>
            <w:noWrap/>
            <w:vAlign w:val="bottom"/>
            <w:hideMark/>
          </w:tcPr>
          <w:p w:rsidRPr="00387AB6" w:rsidR="00964BFC" w:rsidP="00573A19" w:rsidRDefault="00964BFC" w14:paraId="0BD2519E" w14:textId="77777777">
            <w:pPr>
              <w:rPr>
                <w:rFonts w:cs="Calibri"/>
                <w:color w:val="000000"/>
                <w:sz w:val="24"/>
                <w:szCs w:val="24"/>
              </w:rPr>
            </w:pPr>
            <w:r w:rsidRPr="00387AB6">
              <w:rPr>
                <w:rFonts w:cs="Calibri"/>
                <w:color w:val="000000"/>
                <w:sz w:val="24"/>
                <w:szCs w:val="24"/>
              </w:rPr>
              <w:t> </w:t>
            </w:r>
          </w:p>
        </w:tc>
        <w:tc>
          <w:tcPr>
            <w:tcW w:w="1403" w:type="dxa"/>
            <w:tcBorders>
              <w:top w:val="nil"/>
              <w:left w:val="nil"/>
              <w:bottom w:val="single" w:color="auto" w:sz="4" w:space="0"/>
              <w:right w:val="double" w:color="auto" w:sz="6" w:space="0"/>
            </w:tcBorders>
            <w:shd w:val="clear" w:color="auto" w:fill="auto"/>
            <w:noWrap/>
            <w:vAlign w:val="bottom"/>
            <w:hideMark/>
          </w:tcPr>
          <w:p w:rsidRPr="00387AB6" w:rsidR="00964BFC" w:rsidP="00573A19" w:rsidRDefault="00964BFC" w14:paraId="1E91CD94" w14:textId="77777777">
            <w:pPr>
              <w:rPr>
                <w:rFonts w:cs="Calibri"/>
                <w:color w:val="000000"/>
                <w:sz w:val="24"/>
                <w:szCs w:val="24"/>
              </w:rPr>
            </w:pPr>
            <w:r w:rsidRPr="00387AB6">
              <w:rPr>
                <w:rFonts w:cs="Calibri"/>
                <w:color w:val="000000"/>
                <w:sz w:val="24"/>
                <w:szCs w:val="24"/>
              </w:rPr>
              <w:t> </w:t>
            </w:r>
          </w:p>
        </w:tc>
        <w:tc>
          <w:tcPr>
            <w:tcW w:w="1443" w:type="dxa"/>
            <w:tcBorders>
              <w:top w:val="nil"/>
              <w:left w:val="nil"/>
              <w:bottom w:val="single" w:color="auto" w:sz="4" w:space="0"/>
              <w:right w:val="nil"/>
            </w:tcBorders>
            <w:shd w:val="clear" w:color="auto" w:fill="auto"/>
            <w:noWrap/>
            <w:vAlign w:val="bottom"/>
            <w:hideMark/>
          </w:tcPr>
          <w:p w:rsidRPr="00387AB6" w:rsidR="00964BFC" w:rsidP="00573A19" w:rsidRDefault="00964BFC" w14:paraId="5A885C90" w14:textId="77777777">
            <w:pPr>
              <w:rPr>
                <w:rFonts w:cs="Calibri"/>
                <w:color w:val="000000"/>
                <w:sz w:val="24"/>
                <w:szCs w:val="24"/>
              </w:rPr>
            </w:pPr>
            <w:r w:rsidRPr="00387AB6">
              <w:rPr>
                <w:rFonts w:cs="Calibri"/>
                <w:color w:val="000000"/>
                <w:sz w:val="24"/>
                <w:szCs w:val="24"/>
              </w:rPr>
              <w:t> </w:t>
            </w:r>
          </w:p>
        </w:tc>
        <w:tc>
          <w:tcPr>
            <w:tcW w:w="1403" w:type="dxa"/>
            <w:tcBorders>
              <w:top w:val="nil"/>
              <w:left w:val="nil"/>
              <w:bottom w:val="single" w:color="auto" w:sz="4" w:space="0"/>
              <w:right w:val="nil"/>
            </w:tcBorders>
            <w:shd w:val="clear" w:color="auto" w:fill="auto"/>
            <w:noWrap/>
            <w:vAlign w:val="bottom"/>
            <w:hideMark/>
          </w:tcPr>
          <w:p w:rsidRPr="00387AB6" w:rsidR="00964BFC" w:rsidP="00573A19" w:rsidRDefault="00964BFC" w14:paraId="3C53EA30" w14:textId="77777777">
            <w:pPr>
              <w:rPr>
                <w:rFonts w:cs="Calibri"/>
                <w:color w:val="000000"/>
                <w:sz w:val="24"/>
                <w:szCs w:val="24"/>
              </w:rPr>
            </w:pPr>
            <w:r w:rsidRPr="00387AB6">
              <w:rPr>
                <w:rFonts w:cs="Calibri"/>
                <w:color w:val="000000"/>
                <w:sz w:val="24"/>
                <w:szCs w:val="24"/>
              </w:rPr>
              <w:t> </w:t>
            </w:r>
          </w:p>
        </w:tc>
        <w:tc>
          <w:tcPr>
            <w:tcW w:w="1443" w:type="dxa"/>
            <w:tcBorders>
              <w:top w:val="nil"/>
              <w:left w:val="double" w:color="auto" w:sz="6" w:space="0"/>
              <w:bottom w:val="single" w:color="auto" w:sz="4" w:space="0"/>
              <w:right w:val="single" w:color="auto" w:sz="4" w:space="0"/>
            </w:tcBorders>
            <w:shd w:val="clear" w:color="auto" w:fill="auto"/>
            <w:noWrap/>
            <w:vAlign w:val="bottom"/>
            <w:hideMark/>
          </w:tcPr>
          <w:p w:rsidRPr="00387AB6" w:rsidR="00964BFC" w:rsidP="00573A19" w:rsidRDefault="00964BFC" w14:paraId="7A4C0029" w14:textId="77777777">
            <w:pPr>
              <w:rPr>
                <w:rFonts w:cs="Calibri"/>
                <w:color w:val="000000"/>
                <w:sz w:val="24"/>
                <w:szCs w:val="24"/>
              </w:rPr>
            </w:pPr>
            <w:r w:rsidRPr="00387AB6">
              <w:rPr>
                <w:rFonts w:cs="Calibri"/>
                <w:color w:val="000000"/>
                <w:sz w:val="24"/>
                <w:szCs w:val="24"/>
              </w:rPr>
              <w:t> </w:t>
            </w:r>
          </w:p>
        </w:tc>
        <w:tc>
          <w:tcPr>
            <w:tcW w:w="1403" w:type="dxa"/>
            <w:tcBorders>
              <w:top w:val="nil"/>
              <w:left w:val="nil"/>
              <w:bottom w:val="single" w:color="auto" w:sz="4" w:space="0"/>
              <w:right w:val="double" w:color="auto" w:sz="6" w:space="0"/>
            </w:tcBorders>
            <w:shd w:val="clear" w:color="auto" w:fill="auto"/>
            <w:noWrap/>
            <w:vAlign w:val="bottom"/>
            <w:hideMark/>
          </w:tcPr>
          <w:p w:rsidRPr="00387AB6" w:rsidR="00964BFC" w:rsidP="00573A19" w:rsidRDefault="00964BFC" w14:paraId="50AF2519" w14:textId="77777777">
            <w:pPr>
              <w:rPr>
                <w:rFonts w:cs="Calibri"/>
                <w:color w:val="000000"/>
                <w:sz w:val="24"/>
                <w:szCs w:val="24"/>
              </w:rPr>
            </w:pPr>
            <w:r w:rsidRPr="00387AB6">
              <w:rPr>
                <w:rFonts w:cs="Calibri"/>
                <w:color w:val="000000"/>
                <w:sz w:val="24"/>
                <w:szCs w:val="24"/>
              </w:rPr>
              <w:t> </w:t>
            </w:r>
          </w:p>
        </w:tc>
        <w:tc>
          <w:tcPr>
            <w:tcW w:w="1443" w:type="dxa"/>
            <w:tcBorders>
              <w:top w:val="nil"/>
              <w:left w:val="nil"/>
              <w:bottom w:val="single" w:color="auto" w:sz="4" w:space="0"/>
              <w:right w:val="single" w:color="auto" w:sz="4" w:space="0"/>
            </w:tcBorders>
            <w:shd w:val="clear" w:color="auto" w:fill="auto"/>
            <w:noWrap/>
            <w:vAlign w:val="bottom"/>
            <w:hideMark/>
          </w:tcPr>
          <w:p w:rsidRPr="00387AB6" w:rsidR="00964BFC" w:rsidP="00573A19" w:rsidRDefault="00964BFC" w14:paraId="6A2F01D4" w14:textId="77777777">
            <w:pPr>
              <w:rPr>
                <w:rFonts w:cs="Calibri"/>
                <w:color w:val="000000"/>
                <w:sz w:val="24"/>
                <w:szCs w:val="24"/>
              </w:rPr>
            </w:pPr>
            <w:r w:rsidRPr="00387AB6">
              <w:rPr>
                <w:rFonts w:cs="Calibri"/>
                <w:color w:val="000000"/>
                <w:sz w:val="24"/>
                <w:szCs w:val="24"/>
              </w:rPr>
              <w:t> </w:t>
            </w:r>
          </w:p>
        </w:tc>
        <w:tc>
          <w:tcPr>
            <w:tcW w:w="1403" w:type="dxa"/>
            <w:tcBorders>
              <w:top w:val="nil"/>
              <w:left w:val="nil"/>
              <w:bottom w:val="single" w:color="auto" w:sz="4" w:space="0"/>
              <w:right w:val="single" w:color="auto" w:sz="8" w:space="0"/>
            </w:tcBorders>
            <w:shd w:val="clear" w:color="auto" w:fill="auto"/>
            <w:noWrap/>
            <w:vAlign w:val="bottom"/>
            <w:hideMark/>
          </w:tcPr>
          <w:p w:rsidRPr="00387AB6" w:rsidR="00964BFC" w:rsidP="00573A19" w:rsidRDefault="00964BFC" w14:paraId="28660260" w14:textId="77777777">
            <w:pPr>
              <w:rPr>
                <w:rFonts w:cs="Calibri"/>
                <w:color w:val="000000"/>
                <w:sz w:val="24"/>
                <w:szCs w:val="24"/>
              </w:rPr>
            </w:pPr>
            <w:r w:rsidRPr="00387AB6">
              <w:rPr>
                <w:rFonts w:cs="Calibri"/>
                <w:color w:val="000000"/>
                <w:sz w:val="24"/>
                <w:szCs w:val="24"/>
              </w:rPr>
              <w:t> </w:t>
            </w:r>
          </w:p>
        </w:tc>
      </w:tr>
    </w:tbl>
    <w:p w:rsidRPr="00387AB6" w:rsidR="00964BFC" w:rsidP="00573A19" w:rsidRDefault="00964BFC" w14:paraId="4EA42695" w14:textId="77777777">
      <w:pPr>
        <w:rPr>
          <w:sz w:val="24"/>
          <w:szCs w:val="24"/>
        </w:rPr>
      </w:pPr>
    </w:p>
    <w:p w:rsidRPr="00387AB6" w:rsidR="00964BFC" w:rsidP="00573A19" w:rsidRDefault="00964BFC" w14:paraId="6260AF1B" w14:textId="4B35F04E">
      <w:pPr>
        <w:rPr>
          <w:sz w:val="24"/>
          <w:szCs w:val="24"/>
        </w:rPr>
      </w:pPr>
    </w:p>
    <w:p w:rsidRPr="00387AB6" w:rsidR="00573A19" w:rsidP="00573A19" w:rsidRDefault="00573A19" w14:paraId="2549A6EF" w14:textId="77777777">
      <w:pPr>
        <w:pStyle w:val="Heading2"/>
        <w:rPr>
          <w:sz w:val="24"/>
          <w:szCs w:val="24"/>
        </w:rPr>
      </w:pPr>
      <w:r w:rsidRPr="00387AB6">
        <w:rPr>
          <w:sz w:val="24"/>
          <w:szCs w:val="24"/>
        </w:rPr>
        <w:br w:type="page"/>
      </w:r>
    </w:p>
    <w:p w:rsidRPr="00387AB6" w:rsidR="00964BFC" w:rsidP="00387AB6" w:rsidRDefault="00104742" w14:paraId="31EBBAA9" w14:textId="060C69F6">
      <w:pPr>
        <w:pStyle w:val="Heading2"/>
      </w:pPr>
      <w:r w:rsidRPr="00387AB6">
        <w:lastRenderedPageBreak/>
        <w:t>“Bills Rates CZ” Worksheet</w:t>
      </w:r>
    </w:p>
    <w:p w:rsidRPr="00387AB6" w:rsidR="007A2950" w:rsidP="00573A19" w:rsidRDefault="007A2950" w14:paraId="5104F963" w14:textId="77777777">
      <w:pPr>
        <w:rPr>
          <w:sz w:val="24"/>
          <w:szCs w:val="24"/>
        </w:rPr>
      </w:pPr>
    </w:p>
    <w:tbl>
      <w:tblPr>
        <w:tblW w:w="15942" w:type="dxa"/>
        <w:tblLook w:val="04A0" w:firstRow="1" w:lastRow="0" w:firstColumn="1" w:lastColumn="0" w:noHBand="0" w:noVBand="1"/>
      </w:tblPr>
      <w:tblGrid>
        <w:gridCol w:w="5750"/>
        <w:gridCol w:w="1443"/>
        <w:gridCol w:w="1403"/>
        <w:gridCol w:w="1443"/>
        <w:gridCol w:w="1403"/>
        <w:gridCol w:w="1443"/>
        <w:gridCol w:w="1403"/>
        <w:gridCol w:w="1443"/>
        <w:gridCol w:w="1403"/>
      </w:tblGrid>
      <w:tr w:rsidRPr="00387AB6" w:rsidR="00104742" w:rsidTr="00104742" w14:paraId="3E2A2A7C" w14:textId="77777777">
        <w:trPr>
          <w:trHeight w:val="315"/>
        </w:trPr>
        <w:tc>
          <w:tcPr>
            <w:tcW w:w="15942" w:type="dxa"/>
            <w:gridSpan w:val="9"/>
            <w:tcBorders>
              <w:top w:val="single" w:color="auto" w:sz="4" w:space="0"/>
              <w:left w:val="single" w:color="auto" w:sz="4" w:space="0"/>
              <w:bottom w:val="single" w:color="auto" w:sz="4" w:space="0"/>
              <w:right w:val="single" w:color="auto" w:sz="4" w:space="0"/>
            </w:tcBorders>
            <w:shd w:val="clear" w:color="000000" w:fill="8EA9DB"/>
            <w:noWrap/>
            <w:vAlign w:val="bottom"/>
            <w:hideMark/>
          </w:tcPr>
          <w:p w:rsidRPr="00387AB6" w:rsidR="00104742" w:rsidP="00573A19" w:rsidRDefault="00104742" w14:paraId="5A81BC85" w14:textId="5C2F34AA">
            <w:pPr>
              <w:rPr>
                <w:rFonts w:cs="Calibri"/>
                <w:b/>
                <w:bCs/>
                <w:color w:val="000000"/>
                <w:sz w:val="24"/>
                <w:szCs w:val="24"/>
              </w:rPr>
            </w:pPr>
            <w:r w:rsidRPr="00387AB6">
              <w:rPr>
                <w:rFonts w:cs="Calibri"/>
                <w:b/>
                <w:bCs/>
                <w:color w:val="000000"/>
                <w:sz w:val="24"/>
                <w:szCs w:val="24"/>
              </w:rPr>
              <w:t>Customer Average Annual Bills by Rate Schedule: Dollars</w:t>
            </w:r>
          </w:p>
        </w:tc>
      </w:tr>
      <w:tr w:rsidRPr="00387AB6" w:rsidR="00104742" w:rsidTr="00104742" w14:paraId="408C3CE2" w14:textId="77777777">
        <w:trPr>
          <w:trHeight w:val="300"/>
        </w:trPr>
        <w:tc>
          <w:tcPr>
            <w:tcW w:w="5750" w:type="dxa"/>
            <w:tcBorders>
              <w:top w:val="single" w:color="auto" w:sz="4" w:space="0"/>
              <w:left w:val="single" w:color="auto" w:sz="8" w:space="0"/>
              <w:bottom w:val="single" w:color="auto" w:sz="4" w:space="0"/>
              <w:right w:val="nil"/>
            </w:tcBorders>
            <w:shd w:val="clear" w:color="auto" w:fill="auto"/>
            <w:noWrap/>
            <w:vAlign w:val="bottom"/>
            <w:hideMark/>
          </w:tcPr>
          <w:p w:rsidRPr="00387AB6" w:rsidR="00104742" w:rsidP="00573A19" w:rsidRDefault="00104742" w14:paraId="72ACADA9" w14:textId="77777777">
            <w:pPr>
              <w:rPr>
                <w:rFonts w:cs="Calibri"/>
                <w:b/>
                <w:bCs/>
                <w:color w:val="000000"/>
                <w:sz w:val="24"/>
                <w:szCs w:val="24"/>
              </w:rPr>
            </w:pPr>
            <w:r w:rsidRPr="00387AB6">
              <w:rPr>
                <w:rFonts w:cs="Calibri"/>
                <w:b/>
                <w:bCs/>
                <w:color w:val="000000"/>
                <w:sz w:val="24"/>
                <w:szCs w:val="24"/>
              </w:rPr>
              <w:t xml:space="preserve">Climate Zone </w:t>
            </w:r>
            <w:r w:rsidRPr="00387AB6">
              <w:rPr>
                <w:rFonts w:ascii="Times New Roman" w:hAnsi="Times New Roman"/>
                <w:b/>
                <w:bCs/>
                <w:color w:val="000000"/>
                <w:sz w:val="24"/>
                <w:szCs w:val="24"/>
              </w:rPr>
              <w:t>→</w:t>
            </w:r>
          </w:p>
        </w:tc>
        <w:tc>
          <w:tcPr>
            <w:tcW w:w="10192" w:type="dxa"/>
            <w:gridSpan w:val="8"/>
            <w:tcBorders>
              <w:top w:val="single" w:color="auto" w:sz="4" w:space="0"/>
              <w:left w:val="single" w:color="auto" w:sz="8" w:space="0"/>
              <w:bottom w:val="nil"/>
              <w:right w:val="single" w:color="000000" w:sz="8" w:space="0"/>
            </w:tcBorders>
            <w:shd w:val="clear" w:color="auto" w:fill="auto"/>
            <w:noWrap/>
            <w:vAlign w:val="bottom"/>
            <w:hideMark/>
          </w:tcPr>
          <w:p w:rsidRPr="00387AB6" w:rsidR="00104742" w:rsidP="00573A19" w:rsidRDefault="00104742" w14:paraId="658F2BB2" w14:textId="77777777">
            <w:pPr>
              <w:rPr>
                <w:rFonts w:cs="Calibri"/>
                <w:b/>
                <w:bCs/>
                <w:color w:val="000000"/>
                <w:sz w:val="24"/>
                <w:szCs w:val="24"/>
              </w:rPr>
            </w:pPr>
            <w:r w:rsidRPr="00387AB6">
              <w:rPr>
                <w:rFonts w:cs="Calibri"/>
                <w:b/>
                <w:bCs/>
                <w:color w:val="000000"/>
                <w:sz w:val="24"/>
                <w:szCs w:val="24"/>
              </w:rPr>
              <w:t>CZ [-] [Add Columns for CZs in your service territory]</w:t>
            </w:r>
          </w:p>
        </w:tc>
      </w:tr>
      <w:tr w:rsidRPr="00387AB6" w:rsidR="00104742" w:rsidTr="00104742" w14:paraId="214AB209" w14:textId="77777777">
        <w:trPr>
          <w:trHeight w:val="300"/>
        </w:trPr>
        <w:tc>
          <w:tcPr>
            <w:tcW w:w="5750" w:type="dxa"/>
            <w:tcBorders>
              <w:top w:val="nil"/>
              <w:left w:val="single" w:color="auto" w:sz="8" w:space="0"/>
              <w:bottom w:val="single" w:color="auto" w:sz="4" w:space="0"/>
              <w:right w:val="nil"/>
            </w:tcBorders>
            <w:shd w:val="clear" w:color="auto" w:fill="auto"/>
            <w:noWrap/>
            <w:vAlign w:val="bottom"/>
            <w:hideMark/>
          </w:tcPr>
          <w:p w:rsidRPr="00387AB6" w:rsidR="00104742" w:rsidP="00573A19" w:rsidRDefault="00104742" w14:paraId="5F086F2F" w14:textId="77777777">
            <w:pPr>
              <w:rPr>
                <w:rFonts w:cs="Calibri"/>
                <w:i/>
                <w:iCs/>
                <w:color w:val="000000"/>
                <w:sz w:val="24"/>
                <w:szCs w:val="24"/>
              </w:rPr>
            </w:pPr>
            <w:r w:rsidRPr="00387AB6">
              <w:rPr>
                <w:rFonts w:cs="Calibri"/>
                <w:i/>
                <w:iCs/>
                <w:color w:val="000000"/>
                <w:sz w:val="24"/>
                <w:szCs w:val="24"/>
              </w:rPr>
              <w:t> </w:t>
            </w:r>
          </w:p>
        </w:tc>
        <w:tc>
          <w:tcPr>
            <w:tcW w:w="2548" w:type="dxa"/>
            <w:gridSpan w:val="2"/>
            <w:tcBorders>
              <w:top w:val="single" w:color="auto" w:sz="4" w:space="0"/>
              <w:left w:val="single" w:color="auto" w:sz="8" w:space="0"/>
              <w:bottom w:val="single" w:color="auto" w:sz="4" w:space="0"/>
              <w:right w:val="single" w:color="auto" w:sz="4" w:space="0"/>
            </w:tcBorders>
            <w:shd w:val="clear" w:color="auto" w:fill="auto"/>
            <w:noWrap/>
            <w:vAlign w:val="bottom"/>
            <w:hideMark/>
          </w:tcPr>
          <w:p w:rsidRPr="00387AB6" w:rsidR="00104742" w:rsidP="00573A19" w:rsidRDefault="00104742" w14:paraId="619E4A0B" w14:textId="77777777">
            <w:pPr>
              <w:rPr>
                <w:rFonts w:cs="Calibri"/>
                <w:i/>
                <w:iCs/>
                <w:color w:val="000000"/>
                <w:sz w:val="24"/>
                <w:szCs w:val="24"/>
              </w:rPr>
            </w:pPr>
            <w:r w:rsidRPr="00387AB6">
              <w:rPr>
                <w:rFonts w:cs="Calibri"/>
                <w:i/>
                <w:iCs/>
                <w:color w:val="000000"/>
                <w:sz w:val="24"/>
                <w:szCs w:val="24"/>
              </w:rPr>
              <w:t>All-Electric</w:t>
            </w:r>
          </w:p>
        </w:tc>
        <w:tc>
          <w:tcPr>
            <w:tcW w:w="2548" w:type="dxa"/>
            <w:gridSpan w:val="2"/>
            <w:tcBorders>
              <w:top w:val="single" w:color="auto" w:sz="4" w:space="0"/>
              <w:left w:val="nil"/>
              <w:bottom w:val="single" w:color="auto" w:sz="4" w:space="0"/>
              <w:right w:val="single" w:color="000000" w:sz="4" w:space="0"/>
            </w:tcBorders>
            <w:shd w:val="clear" w:color="auto" w:fill="auto"/>
            <w:noWrap/>
            <w:vAlign w:val="bottom"/>
            <w:hideMark/>
          </w:tcPr>
          <w:p w:rsidRPr="00387AB6" w:rsidR="00104742" w:rsidP="00573A19" w:rsidRDefault="00104742" w14:paraId="108B7E63" w14:textId="77777777">
            <w:pPr>
              <w:rPr>
                <w:rFonts w:cs="Calibri"/>
                <w:i/>
                <w:iCs/>
                <w:color w:val="000000"/>
                <w:sz w:val="24"/>
                <w:szCs w:val="24"/>
              </w:rPr>
            </w:pPr>
            <w:r w:rsidRPr="00387AB6">
              <w:rPr>
                <w:rFonts w:cs="Calibri"/>
                <w:i/>
                <w:iCs/>
                <w:color w:val="000000"/>
                <w:sz w:val="24"/>
                <w:szCs w:val="24"/>
              </w:rPr>
              <w:t>Electric Space Heating</w:t>
            </w:r>
          </w:p>
        </w:tc>
        <w:tc>
          <w:tcPr>
            <w:tcW w:w="2548" w:type="dxa"/>
            <w:gridSpan w:val="2"/>
            <w:tcBorders>
              <w:top w:val="single" w:color="auto" w:sz="4" w:space="0"/>
              <w:left w:val="nil"/>
              <w:bottom w:val="single" w:color="auto" w:sz="4" w:space="0"/>
              <w:right w:val="single" w:color="auto" w:sz="4" w:space="0"/>
            </w:tcBorders>
            <w:shd w:val="clear" w:color="auto" w:fill="auto"/>
            <w:noWrap/>
            <w:vAlign w:val="bottom"/>
            <w:hideMark/>
          </w:tcPr>
          <w:p w:rsidRPr="00387AB6" w:rsidR="00104742" w:rsidP="00573A19" w:rsidRDefault="00104742" w14:paraId="527C4F24" w14:textId="77777777">
            <w:pPr>
              <w:rPr>
                <w:rFonts w:cs="Calibri"/>
                <w:i/>
                <w:iCs/>
                <w:color w:val="000000"/>
                <w:sz w:val="24"/>
                <w:szCs w:val="24"/>
              </w:rPr>
            </w:pPr>
            <w:r w:rsidRPr="00387AB6">
              <w:rPr>
                <w:rFonts w:cs="Calibri"/>
                <w:i/>
                <w:iCs/>
                <w:color w:val="000000"/>
                <w:sz w:val="24"/>
                <w:szCs w:val="24"/>
              </w:rPr>
              <w:t>Dual Fuel</w:t>
            </w:r>
          </w:p>
        </w:tc>
        <w:tc>
          <w:tcPr>
            <w:tcW w:w="2548" w:type="dxa"/>
            <w:gridSpan w:val="2"/>
            <w:tcBorders>
              <w:top w:val="single" w:color="auto" w:sz="4" w:space="0"/>
              <w:left w:val="nil"/>
              <w:bottom w:val="single" w:color="auto" w:sz="4" w:space="0"/>
              <w:right w:val="single" w:color="000000" w:sz="8" w:space="0"/>
            </w:tcBorders>
            <w:shd w:val="clear" w:color="auto" w:fill="auto"/>
            <w:noWrap/>
            <w:vAlign w:val="bottom"/>
            <w:hideMark/>
          </w:tcPr>
          <w:p w:rsidRPr="00387AB6" w:rsidR="00104742" w:rsidP="00573A19" w:rsidRDefault="00104742" w14:paraId="05F4F43E" w14:textId="77777777">
            <w:pPr>
              <w:rPr>
                <w:rFonts w:cs="Calibri"/>
                <w:i/>
                <w:iCs/>
                <w:color w:val="000000"/>
                <w:sz w:val="24"/>
                <w:szCs w:val="24"/>
              </w:rPr>
            </w:pPr>
            <w:r w:rsidRPr="00387AB6">
              <w:rPr>
                <w:rFonts w:cs="Calibri"/>
                <w:i/>
                <w:iCs/>
                <w:color w:val="000000"/>
                <w:sz w:val="24"/>
                <w:szCs w:val="24"/>
              </w:rPr>
              <w:t>Gas Only</w:t>
            </w:r>
          </w:p>
        </w:tc>
      </w:tr>
      <w:tr w:rsidRPr="00387AB6" w:rsidR="00104742" w:rsidTr="00104742" w14:paraId="50F22426" w14:textId="77777777">
        <w:trPr>
          <w:trHeight w:val="300"/>
        </w:trPr>
        <w:tc>
          <w:tcPr>
            <w:tcW w:w="5750" w:type="dxa"/>
            <w:tcBorders>
              <w:top w:val="nil"/>
              <w:left w:val="single" w:color="auto" w:sz="8" w:space="0"/>
              <w:bottom w:val="nil"/>
              <w:right w:val="nil"/>
            </w:tcBorders>
            <w:shd w:val="clear" w:color="auto" w:fill="auto"/>
            <w:noWrap/>
            <w:vAlign w:val="bottom"/>
            <w:hideMark/>
          </w:tcPr>
          <w:p w:rsidRPr="00387AB6" w:rsidR="00104742" w:rsidP="00573A19" w:rsidRDefault="00104742" w14:paraId="499CCFFF" w14:textId="77777777">
            <w:pPr>
              <w:rPr>
                <w:rFonts w:cs="Calibri"/>
                <w:b/>
                <w:bCs/>
                <w:color w:val="000000"/>
                <w:sz w:val="24"/>
                <w:szCs w:val="24"/>
              </w:rPr>
            </w:pPr>
            <w:r w:rsidRPr="00387AB6">
              <w:rPr>
                <w:rFonts w:cs="Calibri"/>
                <w:b/>
                <w:bCs/>
                <w:color w:val="000000"/>
                <w:sz w:val="24"/>
                <w:szCs w:val="24"/>
              </w:rPr>
              <w:t xml:space="preserve">Rate Schedule </w:t>
            </w:r>
            <w:r w:rsidRPr="00387AB6">
              <w:rPr>
                <w:rFonts w:ascii="Times New Roman" w:hAnsi="Times New Roman"/>
                <w:b/>
                <w:bCs/>
                <w:color w:val="000000"/>
                <w:sz w:val="24"/>
                <w:szCs w:val="24"/>
              </w:rPr>
              <w:t>↓</w:t>
            </w:r>
          </w:p>
        </w:tc>
        <w:tc>
          <w:tcPr>
            <w:tcW w:w="1302" w:type="dxa"/>
            <w:tcBorders>
              <w:top w:val="nil"/>
              <w:left w:val="single" w:color="auto" w:sz="8" w:space="0"/>
              <w:bottom w:val="nil"/>
              <w:right w:val="single" w:color="auto" w:sz="4" w:space="0"/>
            </w:tcBorders>
            <w:shd w:val="clear" w:color="auto" w:fill="auto"/>
            <w:noWrap/>
            <w:vAlign w:val="bottom"/>
            <w:hideMark/>
          </w:tcPr>
          <w:p w:rsidRPr="00387AB6" w:rsidR="00104742" w:rsidP="00573A19" w:rsidRDefault="00104742" w14:paraId="1FE4437A" w14:textId="77777777">
            <w:pPr>
              <w:rPr>
                <w:rFonts w:cs="Calibri"/>
                <w:i/>
                <w:iCs/>
                <w:color w:val="000000"/>
                <w:sz w:val="24"/>
                <w:szCs w:val="24"/>
              </w:rPr>
            </w:pPr>
            <w:r w:rsidRPr="00387AB6">
              <w:rPr>
                <w:rFonts w:cs="Calibri"/>
                <w:i/>
                <w:iCs/>
                <w:color w:val="000000"/>
                <w:sz w:val="24"/>
                <w:szCs w:val="24"/>
              </w:rPr>
              <w:t>Singlefamily</w:t>
            </w:r>
          </w:p>
        </w:tc>
        <w:tc>
          <w:tcPr>
            <w:tcW w:w="1246" w:type="dxa"/>
            <w:tcBorders>
              <w:top w:val="nil"/>
              <w:left w:val="nil"/>
              <w:bottom w:val="single" w:color="auto" w:sz="4" w:space="0"/>
              <w:right w:val="nil"/>
            </w:tcBorders>
            <w:shd w:val="clear" w:color="auto" w:fill="auto"/>
            <w:noWrap/>
            <w:vAlign w:val="bottom"/>
            <w:hideMark/>
          </w:tcPr>
          <w:p w:rsidRPr="00387AB6" w:rsidR="00104742" w:rsidP="00573A19" w:rsidRDefault="00104742" w14:paraId="12FD70FF" w14:textId="77777777">
            <w:pPr>
              <w:rPr>
                <w:rFonts w:cs="Calibri"/>
                <w:i/>
                <w:iCs/>
                <w:color w:val="000000"/>
                <w:sz w:val="24"/>
                <w:szCs w:val="24"/>
              </w:rPr>
            </w:pPr>
            <w:r w:rsidRPr="00387AB6">
              <w:rPr>
                <w:rFonts w:cs="Calibri"/>
                <w:i/>
                <w:iCs/>
                <w:color w:val="000000"/>
                <w:sz w:val="24"/>
                <w:szCs w:val="24"/>
              </w:rPr>
              <w:t>Multifamily</w:t>
            </w:r>
          </w:p>
        </w:tc>
        <w:tc>
          <w:tcPr>
            <w:tcW w:w="1302" w:type="dxa"/>
            <w:tcBorders>
              <w:top w:val="nil"/>
              <w:left w:val="single" w:color="auto" w:sz="4" w:space="0"/>
              <w:bottom w:val="single" w:color="auto" w:sz="4" w:space="0"/>
              <w:right w:val="single" w:color="auto" w:sz="4" w:space="0"/>
            </w:tcBorders>
            <w:shd w:val="clear" w:color="auto" w:fill="auto"/>
            <w:noWrap/>
            <w:vAlign w:val="bottom"/>
            <w:hideMark/>
          </w:tcPr>
          <w:p w:rsidRPr="00387AB6" w:rsidR="00104742" w:rsidP="00573A19" w:rsidRDefault="00104742" w14:paraId="1FE499AA" w14:textId="77777777">
            <w:pPr>
              <w:rPr>
                <w:rFonts w:cs="Calibri"/>
                <w:i/>
                <w:iCs/>
                <w:color w:val="000000"/>
                <w:sz w:val="24"/>
                <w:szCs w:val="24"/>
              </w:rPr>
            </w:pPr>
            <w:r w:rsidRPr="00387AB6">
              <w:rPr>
                <w:rFonts w:cs="Calibri"/>
                <w:i/>
                <w:iCs/>
                <w:color w:val="000000"/>
                <w:sz w:val="24"/>
                <w:szCs w:val="24"/>
              </w:rPr>
              <w:t>Singlefamily</w:t>
            </w:r>
          </w:p>
        </w:tc>
        <w:tc>
          <w:tcPr>
            <w:tcW w:w="1246" w:type="dxa"/>
            <w:tcBorders>
              <w:top w:val="nil"/>
              <w:left w:val="nil"/>
              <w:bottom w:val="single" w:color="auto" w:sz="4" w:space="0"/>
              <w:right w:val="single" w:color="auto" w:sz="4" w:space="0"/>
            </w:tcBorders>
            <w:shd w:val="clear" w:color="auto" w:fill="auto"/>
            <w:noWrap/>
            <w:vAlign w:val="bottom"/>
            <w:hideMark/>
          </w:tcPr>
          <w:p w:rsidRPr="00387AB6" w:rsidR="00104742" w:rsidP="00573A19" w:rsidRDefault="00104742" w14:paraId="1FE7DCFC" w14:textId="77777777">
            <w:pPr>
              <w:rPr>
                <w:rFonts w:cs="Calibri"/>
                <w:i/>
                <w:iCs/>
                <w:color w:val="000000"/>
                <w:sz w:val="24"/>
                <w:szCs w:val="24"/>
              </w:rPr>
            </w:pPr>
            <w:r w:rsidRPr="00387AB6">
              <w:rPr>
                <w:rFonts w:cs="Calibri"/>
                <w:i/>
                <w:iCs/>
                <w:color w:val="000000"/>
                <w:sz w:val="24"/>
                <w:szCs w:val="24"/>
              </w:rPr>
              <w:t>Multifamily</w:t>
            </w:r>
          </w:p>
        </w:tc>
        <w:tc>
          <w:tcPr>
            <w:tcW w:w="1302" w:type="dxa"/>
            <w:tcBorders>
              <w:top w:val="nil"/>
              <w:left w:val="nil"/>
              <w:bottom w:val="nil"/>
              <w:right w:val="single" w:color="auto" w:sz="4" w:space="0"/>
            </w:tcBorders>
            <w:shd w:val="clear" w:color="auto" w:fill="auto"/>
            <w:noWrap/>
            <w:vAlign w:val="bottom"/>
            <w:hideMark/>
          </w:tcPr>
          <w:p w:rsidRPr="00387AB6" w:rsidR="00104742" w:rsidP="00573A19" w:rsidRDefault="00104742" w14:paraId="1D157B4D" w14:textId="77777777">
            <w:pPr>
              <w:rPr>
                <w:rFonts w:cs="Calibri"/>
                <w:i/>
                <w:iCs/>
                <w:color w:val="000000"/>
                <w:sz w:val="24"/>
                <w:szCs w:val="24"/>
              </w:rPr>
            </w:pPr>
            <w:r w:rsidRPr="00387AB6">
              <w:rPr>
                <w:rFonts w:cs="Calibri"/>
                <w:i/>
                <w:iCs/>
                <w:color w:val="000000"/>
                <w:sz w:val="24"/>
                <w:szCs w:val="24"/>
              </w:rPr>
              <w:t>Singlefamily</w:t>
            </w:r>
          </w:p>
        </w:tc>
        <w:tc>
          <w:tcPr>
            <w:tcW w:w="1246" w:type="dxa"/>
            <w:tcBorders>
              <w:top w:val="nil"/>
              <w:left w:val="nil"/>
              <w:bottom w:val="nil"/>
              <w:right w:val="double" w:color="auto" w:sz="6" w:space="0"/>
            </w:tcBorders>
            <w:shd w:val="clear" w:color="auto" w:fill="auto"/>
            <w:noWrap/>
            <w:vAlign w:val="bottom"/>
            <w:hideMark/>
          </w:tcPr>
          <w:p w:rsidRPr="00387AB6" w:rsidR="00104742" w:rsidP="00573A19" w:rsidRDefault="00104742" w14:paraId="5C2804F3" w14:textId="77777777">
            <w:pPr>
              <w:rPr>
                <w:rFonts w:cs="Calibri"/>
                <w:i/>
                <w:iCs/>
                <w:color w:val="000000"/>
                <w:sz w:val="24"/>
                <w:szCs w:val="24"/>
              </w:rPr>
            </w:pPr>
            <w:r w:rsidRPr="00387AB6">
              <w:rPr>
                <w:rFonts w:cs="Calibri"/>
                <w:i/>
                <w:iCs/>
                <w:color w:val="000000"/>
                <w:sz w:val="24"/>
                <w:szCs w:val="24"/>
              </w:rPr>
              <w:t>Multifamily</w:t>
            </w:r>
          </w:p>
        </w:tc>
        <w:tc>
          <w:tcPr>
            <w:tcW w:w="1302" w:type="dxa"/>
            <w:tcBorders>
              <w:top w:val="nil"/>
              <w:left w:val="nil"/>
              <w:bottom w:val="single" w:color="auto" w:sz="4" w:space="0"/>
              <w:right w:val="single" w:color="auto" w:sz="4" w:space="0"/>
            </w:tcBorders>
            <w:shd w:val="clear" w:color="auto" w:fill="auto"/>
            <w:noWrap/>
            <w:vAlign w:val="bottom"/>
            <w:hideMark/>
          </w:tcPr>
          <w:p w:rsidRPr="00387AB6" w:rsidR="00104742" w:rsidP="00573A19" w:rsidRDefault="00104742" w14:paraId="0652BF2A" w14:textId="77777777">
            <w:pPr>
              <w:rPr>
                <w:rFonts w:cs="Calibri"/>
                <w:i/>
                <w:iCs/>
                <w:color w:val="000000"/>
                <w:sz w:val="24"/>
                <w:szCs w:val="24"/>
              </w:rPr>
            </w:pPr>
            <w:r w:rsidRPr="00387AB6">
              <w:rPr>
                <w:rFonts w:cs="Calibri"/>
                <w:i/>
                <w:iCs/>
                <w:color w:val="000000"/>
                <w:sz w:val="24"/>
                <w:szCs w:val="24"/>
              </w:rPr>
              <w:t>Singlefamily</w:t>
            </w:r>
          </w:p>
        </w:tc>
        <w:tc>
          <w:tcPr>
            <w:tcW w:w="1246" w:type="dxa"/>
            <w:tcBorders>
              <w:top w:val="nil"/>
              <w:left w:val="nil"/>
              <w:bottom w:val="single" w:color="auto" w:sz="4" w:space="0"/>
              <w:right w:val="single" w:color="auto" w:sz="8" w:space="0"/>
            </w:tcBorders>
            <w:shd w:val="clear" w:color="auto" w:fill="auto"/>
            <w:noWrap/>
            <w:vAlign w:val="bottom"/>
            <w:hideMark/>
          </w:tcPr>
          <w:p w:rsidRPr="00387AB6" w:rsidR="00104742" w:rsidP="00573A19" w:rsidRDefault="00104742" w14:paraId="2F7C5C6A" w14:textId="77777777">
            <w:pPr>
              <w:rPr>
                <w:rFonts w:cs="Calibri"/>
                <w:i/>
                <w:iCs/>
                <w:color w:val="000000"/>
                <w:sz w:val="24"/>
                <w:szCs w:val="24"/>
              </w:rPr>
            </w:pPr>
            <w:r w:rsidRPr="00387AB6">
              <w:rPr>
                <w:rFonts w:cs="Calibri"/>
                <w:i/>
                <w:iCs/>
                <w:color w:val="000000"/>
                <w:sz w:val="24"/>
                <w:szCs w:val="24"/>
              </w:rPr>
              <w:t>Multifamily</w:t>
            </w:r>
          </w:p>
        </w:tc>
      </w:tr>
      <w:tr w:rsidRPr="00387AB6" w:rsidR="00104742" w:rsidTr="00104742" w14:paraId="37EE86EC" w14:textId="77777777">
        <w:trPr>
          <w:trHeight w:val="300"/>
        </w:trPr>
        <w:tc>
          <w:tcPr>
            <w:tcW w:w="5750" w:type="dxa"/>
            <w:tcBorders>
              <w:top w:val="single" w:color="auto" w:sz="4" w:space="0"/>
              <w:left w:val="single" w:color="auto" w:sz="8" w:space="0"/>
              <w:bottom w:val="single" w:color="auto" w:sz="4" w:space="0"/>
              <w:right w:val="nil"/>
            </w:tcBorders>
            <w:shd w:val="clear" w:color="000000" w:fill="D0CECE"/>
            <w:noWrap/>
            <w:vAlign w:val="bottom"/>
            <w:hideMark/>
          </w:tcPr>
          <w:p w:rsidRPr="00387AB6" w:rsidR="00104742" w:rsidP="00573A19" w:rsidRDefault="00104742" w14:paraId="7461B73E" w14:textId="77777777">
            <w:pPr>
              <w:rPr>
                <w:rFonts w:cs="Calibri"/>
                <w:i/>
                <w:iCs/>
                <w:color w:val="000000"/>
                <w:sz w:val="24"/>
                <w:szCs w:val="24"/>
              </w:rPr>
            </w:pPr>
            <w:r w:rsidRPr="00387AB6">
              <w:rPr>
                <w:rFonts w:cs="Calibri"/>
                <w:i/>
                <w:iCs/>
                <w:color w:val="000000"/>
                <w:sz w:val="24"/>
                <w:szCs w:val="24"/>
              </w:rPr>
              <w:t>Non-TOU rates</w:t>
            </w:r>
          </w:p>
        </w:tc>
        <w:tc>
          <w:tcPr>
            <w:tcW w:w="1302" w:type="dxa"/>
            <w:tcBorders>
              <w:top w:val="single" w:color="auto" w:sz="4" w:space="0"/>
              <w:left w:val="single" w:color="auto" w:sz="8" w:space="0"/>
              <w:bottom w:val="single" w:color="auto" w:sz="4" w:space="0"/>
              <w:right w:val="nil"/>
            </w:tcBorders>
            <w:shd w:val="clear" w:color="000000" w:fill="D0CECE"/>
            <w:noWrap/>
            <w:vAlign w:val="bottom"/>
            <w:hideMark/>
          </w:tcPr>
          <w:p w:rsidRPr="00387AB6" w:rsidR="00104742" w:rsidP="00573A19" w:rsidRDefault="00104742" w14:paraId="63BFC5E0" w14:textId="77777777">
            <w:pPr>
              <w:rPr>
                <w:rFonts w:cs="Calibri"/>
                <w:i/>
                <w:iCs/>
                <w:color w:val="000000"/>
                <w:sz w:val="24"/>
                <w:szCs w:val="24"/>
              </w:rPr>
            </w:pPr>
            <w:r w:rsidRPr="00387AB6">
              <w:rPr>
                <w:rFonts w:cs="Calibri"/>
                <w:i/>
                <w:iCs/>
                <w:color w:val="000000"/>
                <w:sz w:val="24"/>
                <w:szCs w:val="24"/>
              </w:rPr>
              <w:t> </w:t>
            </w:r>
          </w:p>
        </w:tc>
        <w:tc>
          <w:tcPr>
            <w:tcW w:w="1246" w:type="dxa"/>
            <w:tcBorders>
              <w:top w:val="nil"/>
              <w:left w:val="nil"/>
              <w:bottom w:val="single" w:color="auto" w:sz="4" w:space="0"/>
              <w:right w:val="nil"/>
            </w:tcBorders>
            <w:shd w:val="clear" w:color="000000" w:fill="D0CECE"/>
            <w:noWrap/>
            <w:vAlign w:val="bottom"/>
            <w:hideMark/>
          </w:tcPr>
          <w:p w:rsidRPr="00387AB6" w:rsidR="00104742" w:rsidP="00573A19" w:rsidRDefault="00104742" w14:paraId="4F17020F" w14:textId="77777777">
            <w:pPr>
              <w:rPr>
                <w:rFonts w:cs="Calibri"/>
                <w:i/>
                <w:iCs/>
                <w:color w:val="000000"/>
                <w:sz w:val="24"/>
                <w:szCs w:val="24"/>
              </w:rPr>
            </w:pPr>
            <w:r w:rsidRPr="00387AB6">
              <w:rPr>
                <w:rFonts w:cs="Calibri"/>
                <w:i/>
                <w:iCs/>
                <w:color w:val="000000"/>
                <w:sz w:val="24"/>
                <w:szCs w:val="24"/>
              </w:rPr>
              <w:t> </w:t>
            </w:r>
          </w:p>
        </w:tc>
        <w:tc>
          <w:tcPr>
            <w:tcW w:w="1302" w:type="dxa"/>
            <w:tcBorders>
              <w:top w:val="nil"/>
              <w:left w:val="nil"/>
              <w:bottom w:val="single" w:color="auto" w:sz="4" w:space="0"/>
              <w:right w:val="nil"/>
            </w:tcBorders>
            <w:shd w:val="clear" w:color="000000" w:fill="D0CECE"/>
            <w:noWrap/>
            <w:vAlign w:val="bottom"/>
            <w:hideMark/>
          </w:tcPr>
          <w:p w:rsidRPr="00387AB6" w:rsidR="00104742" w:rsidP="00573A19" w:rsidRDefault="00104742" w14:paraId="40B6D191" w14:textId="77777777">
            <w:pPr>
              <w:rPr>
                <w:rFonts w:cs="Calibri"/>
                <w:i/>
                <w:iCs/>
                <w:color w:val="000000"/>
                <w:sz w:val="24"/>
                <w:szCs w:val="24"/>
              </w:rPr>
            </w:pPr>
            <w:r w:rsidRPr="00387AB6">
              <w:rPr>
                <w:rFonts w:cs="Calibri"/>
                <w:i/>
                <w:iCs/>
                <w:color w:val="000000"/>
                <w:sz w:val="24"/>
                <w:szCs w:val="24"/>
              </w:rPr>
              <w:t> </w:t>
            </w:r>
          </w:p>
        </w:tc>
        <w:tc>
          <w:tcPr>
            <w:tcW w:w="1246" w:type="dxa"/>
            <w:tcBorders>
              <w:top w:val="nil"/>
              <w:left w:val="nil"/>
              <w:bottom w:val="single" w:color="auto" w:sz="4" w:space="0"/>
              <w:right w:val="nil"/>
            </w:tcBorders>
            <w:shd w:val="clear" w:color="000000" w:fill="D0CECE"/>
            <w:noWrap/>
            <w:vAlign w:val="bottom"/>
            <w:hideMark/>
          </w:tcPr>
          <w:p w:rsidRPr="00387AB6" w:rsidR="00104742" w:rsidP="00573A19" w:rsidRDefault="00104742" w14:paraId="40927288" w14:textId="77777777">
            <w:pPr>
              <w:rPr>
                <w:rFonts w:cs="Calibri"/>
                <w:i/>
                <w:iCs/>
                <w:color w:val="000000"/>
                <w:sz w:val="24"/>
                <w:szCs w:val="24"/>
              </w:rPr>
            </w:pPr>
            <w:r w:rsidRPr="00387AB6">
              <w:rPr>
                <w:rFonts w:cs="Calibri"/>
                <w:i/>
                <w:iCs/>
                <w:color w:val="000000"/>
                <w:sz w:val="24"/>
                <w:szCs w:val="24"/>
              </w:rPr>
              <w:t> </w:t>
            </w:r>
          </w:p>
        </w:tc>
        <w:tc>
          <w:tcPr>
            <w:tcW w:w="1302" w:type="dxa"/>
            <w:tcBorders>
              <w:top w:val="single" w:color="auto" w:sz="4" w:space="0"/>
              <w:left w:val="nil"/>
              <w:bottom w:val="single" w:color="auto" w:sz="4" w:space="0"/>
              <w:right w:val="nil"/>
            </w:tcBorders>
            <w:shd w:val="clear" w:color="000000" w:fill="D0CECE"/>
            <w:noWrap/>
            <w:vAlign w:val="bottom"/>
            <w:hideMark/>
          </w:tcPr>
          <w:p w:rsidRPr="00387AB6" w:rsidR="00104742" w:rsidP="00573A19" w:rsidRDefault="00104742" w14:paraId="4D40907D" w14:textId="77777777">
            <w:pPr>
              <w:rPr>
                <w:rFonts w:cs="Calibri"/>
                <w:i/>
                <w:iCs/>
                <w:color w:val="000000"/>
                <w:sz w:val="24"/>
                <w:szCs w:val="24"/>
              </w:rPr>
            </w:pPr>
            <w:r w:rsidRPr="00387AB6">
              <w:rPr>
                <w:rFonts w:cs="Calibri"/>
                <w:i/>
                <w:iCs/>
                <w:color w:val="000000"/>
                <w:sz w:val="24"/>
                <w:szCs w:val="24"/>
              </w:rPr>
              <w:t> </w:t>
            </w:r>
          </w:p>
        </w:tc>
        <w:tc>
          <w:tcPr>
            <w:tcW w:w="1246" w:type="dxa"/>
            <w:tcBorders>
              <w:top w:val="single" w:color="auto" w:sz="4" w:space="0"/>
              <w:left w:val="nil"/>
              <w:bottom w:val="single" w:color="auto" w:sz="4" w:space="0"/>
              <w:right w:val="nil"/>
            </w:tcBorders>
            <w:shd w:val="clear" w:color="000000" w:fill="D0CECE"/>
            <w:noWrap/>
            <w:vAlign w:val="bottom"/>
            <w:hideMark/>
          </w:tcPr>
          <w:p w:rsidRPr="00387AB6" w:rsidR="00104742" w:rsidP="00573A19" w:rsidRDefault="00104742" w14:paraId="40F3F762" w14:textId="77777777">
            <w:pPr>
              <w:rPr>
                <w:rFonts w:cs="Calibri"/>
                <w:i/>
                <w:iCs/>
                <w:color w:val="000000"/>
                <w:sz w:val="24"/>
                <w:szCs w:val="24"/>
              </w:rPr>
            </w:pPr>
            <w:r w:rsidRPr="00387AB6">
              <w:rPr>
                <w:rFonts w:cs="Calibri"/>
                <w:i/>
                <w:iCs/>
                <w:color w:val="000000"/>
                <w:sz w:val="24"/>
                <w:szCs w:val="24"/>
              </w:rPr>
              <w:t> </w:t>
            </w:r>
          </w:p>
        </w:tc>
        <w:tc>
          <w:tcPr>
            <w:tcW w:w="1302" w:type="dxa"/>
            <w:tcBorders>
              <w:top w:val="nil"/>
              <w:left w:val="nil"/>
              <w:bottom w:val="single" w:color="auto" w:sz="4" w:space="0"/>
              <w:right w:val="nil"/>
            </w:tcBorders>
            <w:shd w:val="clear" w:color="000000" w:fill="D0CECE"/>
            <w:noWrap/>
            <w:vAlign w:val="bottom"/>
            <w:hideMark/>
          </w:tcPr>
          <w:p w:rsidRPr="00387AB6" w:rsidR="00104742" w:rsidP="00573A19" w:rsidRDefault="00104742" w14:paraId="6A663A9F" w14:textId="77777777">
            <w:pPr>
              <w:rPr>
                <w:rFonts w:cs="Calibri"/>
                <w:i/>
                <w:iCs/>
                <w:color w:val="000000"/>
                <w:sz w:val="24"/>
                <w:szCs w:val="24"/>
              </w:rPr>
            </w:pPr>
            <w:r w:rsidRPr="00387AB6">
              <w:rPr>
                <w:rFonts w:cs="Calibri"/>
                <w:i/>
                <w:iCs/>
                <w:color w:val="000000"/>
                <w:sz w:val="24"/>
                <w:szCs w:val="24"/>
              </w:rPr>
              <w:t> </w:t>
            </w:r>
          </w:p>
        </w:tc>
        <w:tc>
          <w:tcPr>
            <w:tcW w:w="1246" w:type="dxa"/>
            <w:tcBorders>
              <w:top w:val="nil"/>
              <w:left w:val="nil"/>
              <w:bottom w:val="single" w:color="auto" w:sz="4" w:space="0"/>
              <w:right w:val="single" w:color="auto" w:sz="8" w:space="0"/>
            </w:tcBorders>
            <w:shd w:val="clear" w:color="000000" w:fill="D0CECE"/>
            <w:noWrap/>
            <w:vAlign w:val="bottom"/>
            <w:hideMark/>
          </w:tcPr>
          <w:p w:rsidRPr="00387AB6" w:rsidR="00104742" w:rsidP="00573A19" w:rsidRDefault="00104742" w14:paraId="6EE3E5A9" w14:textId="77777777">
            <w:pPr>
              <w:rPr>
                <w:rFonts w:cs="Calibri"/>
                <w:i/>
                <w:iCs/>
                <w:color w:val="000000"/>
                <w:sz w:val="24"/>
                <w:szCs w:val="24"/>
              </w:rPr>
            </w:pPr>
            <w:r w:rsidRPr="00387AB6">
              <w:rPr>
                <w:rFonts w:cs="Calibri"/>
                <w:i/>
                <w:iCs/>
                <w:color w:val="000000"/>
                <w:sz w:val="24"/>
                <w:szCs w:val="24"/>
              </w:rPr>
              <w:t> </w:t>
            </w:r>
          </w:p>
        </w:tc>
      </w:tr>
      <w:tr w:rsidRPr="00387AB6" w:rsidR="00104742" w:rsidTr="00104742" w14:paraId="561C48BB" w14:textId="77777777">
        <w:trPr>
          <w:trHeight w:val="600"/>
        </w:trPr>
        <w:tc>
          <w:tcPr>
            <w:tcW w:w="5750" w:type="dxa"/>
            <w:tcBorders>
              <w:top w:val="nil"/>
              <w:left w:val="single" w:color="auto" w:sz="8" w:space="0"/>
              <w:bottom w:val="single" w:color="auto" w:sz="4" w:space="0"/>
              <w:right w:val="nil"/>
            </w:tcBorders>
            <w:shd w:val="clear" w:color="auto" w:fill="auto"/>
            <w:noWrap/>
            <w:vAlign w:val="bottom"/>
            <w:hideMark/>
          </w:tcPr>
          <w:p w:rsidRPr="00387AB6" w:rsidR="00104742" w:rsidP="00573A19" w:rsidRDefault="00104742" w14:paraId="54BACF65" w14:textId="77777777">
            <w:pPr>
              <w:rPr>
                <w:rFonts w:cs="Calibri"/>
                <w:color w:val="000000"/>
                <w:sz w:val="24"/>
                <w:szCs w:val="24"/>
              </w:rPr>
            </w:pPr>
            <w:r w:rsidRPr="00387AB6">
              <w:rPr>
                <w:rFonts w:cs="Calibri"/>
                <w:color w:val="000000"/>
                <w:sz w:val="24"/>
                <w:szCs w:val="24"/>
              </w:rPr>
              <w:t>E.g. E-1</w:t>
            </w:r>
          </w:p>
        </w:tc>
        <w:tc>
          <w:tcPr>
            <w:tcW w:w="1302" w:type="dxa"/>
            <w:tcBorders>
              <w:top w:val="nil"/>
              <w:left w:val="single" w:color="auto" w:sz="8" w:space="0"/>
              <w:bottom w:val="single" w:color="auto" w:sz="4" w:space="0"/>
              <w:right w:val="single" w:color="auto" w:sz="4" w:space="0"/>
            </w:tcBorders>
            <w:shd w:val="clear" w:color="auto" w:fill="auto"/>
            <w:vAlign w:val="bottom"/>
            <w:hideMark/>
          </w:tcPr>
          <w:p w:rsidRPr="00387AB6" w:rsidR="00104742" w:rsidP="00573A19" w:rsidRDefault="00104742" w14:paraId="1DB3305B" w14:textId="31877AAB">
            <w:pPr>
              <w:rPr>
                <w:rFonts w:cs="Calibri"/>
                <w:color w:val="000000"/>
                <w:sz w:val="24"/>
                <w:szCs w:val="24"/>
              </w:rPr>
            </w:pPr>
            <w:r w:rsidRPr="00387AB6">
              <w:rPr>
                <w:rFonts w:cs="Calibri"/>
                <w:color w:val="000000"/>
                <w:sz w:val="24"/>
                <w:szCs w:val="24"/>
              </w:rPr>
              <w:t>[Dollars]</w:t>
            </w:r>
          </w:p>
        </w:tc>
        <w:tc>
          <w:tcPr>
            <w:tcW w:w="1246" w:type="dxa"/>
            <w:tcBorders>
              <w:top w:val="nil"/>
              <w:left w:val="nil"/>
              <w:bottom w:val="single" w:color="auto" w:sz="4" w:space="0"/>
              <w:right w:val="double" w:color="auto" w:sz="6" w:space="0"/>
            </w:tcBorders>
            <w:shd w:val="clear" w:color="auto" w:fill="auto"/>
            <w:noWrap/>
            <w:vAlign w:val="bottom"/>
            <w:hideMark/>
          </w:tcPr>
          <w:p w:rsidRPr="00387AB6" w:rsidR="00104742" w:rsidP="00573A19" w:rsidRDefault="00104742" w14:paraId="7E52E4A7" w14:textId="77777777">
            <w:pPr>
              <w:rPr>
                <w:rFonts w:cs="Calibri"/>
                <w:color w:val="000000"/>
                <w:sz w:val="24"/>
                <w:szCs w:val="24"/>
              </w:rPr>
            </w:pPr>
            <w:r w:rsidRPr="00387AB6">
              <w:rPr>
                <w:rFonts w:cs="Calibri"/>
                <w:color w:val="000000"/>
                <w:sz w:val="24"/>
                <w:szCs w:val="24"/>
              </w:rPr>
              <w:t> </w:t>
            </w:r>
          </w:p>
        </w:tc>
        <w:tc>
          <w:tcPr>
            <w:tcW w:w="1302" w:type="dxa"/>
            <w:tcBorders>
              <w:top w:val="nil"/>
              <w:left w:val="nil"/>
              <w:bottom w:val="single" w:color="auto" w:sz="4" w:space="0"/>
              <w:right w:val="nil"/>
            </w:tcBorders>
            <w:shd w:val="clear" w:color="auto" w:fill="auto"/>
            <w:noWrap/>
            <w:vAlign w:val="bottom"/>
            <w:hideMark/>
          </w:tcPr>
          <w:p w:rsidRPr="00387AB6" w:rsidR="00104742" w:rsidP="00573A19" w:rsidRDefault="00104742" w14:paraId="4D1AD374"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4" w:space="0"/>
              <w:right w:val="nil"/>
            </w:tcBorders>
            <w:shd w:val="clear" w:color="auto" w:fill="auto"/>
            <w:noWrap/>
            <w:vAlign w:val="bottom"/>
            <w:hideMark/>
          </w:tcPr>
          <w:p w:rsidRPr="00387AB6" w:rsidR="00104742" w:rsidP="00573A19" w:rsidRDefault="00104742" w14:paraId="192EDB7D" w14:textId="77777777">
            <w:pPr>
              <w:rPr>
                <w:rFonts w:cs="Calibri"/>
                <w:color w:val="000000"/>
                <w:sz w:val="24"/>
                <w:szCs w:val="24"/>
              </w:rPr>
            </w:pPr>
            <w:r w:rsidRPr="00387AB6">
              <w:rPr>
                <w:rFonts w:cs="Calibri"/>
                <w:color w:val="000000"/>
                <w:sz w:val="24"/>
                <w:szCs w:val="24"/>
              </w:rPr>
              <w:t> </w:t>
            </w:r>
          </w:p>
        </w:tc>
        <w:tc>
          <w:tcPr>
            <w:tcW w:w="1302" w:type="dxa"/>
            <w:tcBorders>
              <w:top w:val="nil"/>
              <w:left w:val="double" w:color="auto" w:sz="6" w:space="0"/>
              <w:bottom w:val="single" w:color="auto" w:sz="4" w:space="0"/>
              <w:right w:val="single" w:color="auto" w:sz="4" w:space="0"/>
            </w:tcBorders>
            <w:shd w:val="clear" w:color="auto" w:fill="auto"/>
            <w:noWrap/>
            <w:vAlign w:val="bottom"/>
            <w:hideMark/>
          </w:tcPr>
          <w:p w:rsidRPr="00387AB6" w:rsidR="00104742" w:rsidP="00573A19" w:rsidRDefault="00104742" w14:paraId="35A715CA"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4" w:space="0"/>
              <w:right w:val="double" w:color="auto" w:sz="6" w:space="0"/>
            </w:tcBorders>
            <w:shd w:val="clear" w:color="auto" w:fill="auto"/>
            <w:noWrap/>
            <w:vAlign w:val="bottom"/>
            <w:hideMark/>
          </w:tcPr>
          <w:p w:rsidRPr="00387AB6" w:rsidR="00104742" w:rsidP="00573A19" w:rsidRDefault="00104742" w14:paraId="65FBB5E1" w14:textId="77777777">
            <w:pPr>
              <w:rPr>
                <w:rFonts w:cs="Calibri"/>
                <w:color w:val="000000"/>
                <w:sz w:val="24"/>
                <w:szCs w:val="24"/>
              </w:rPr>
            </w:pPr>
            <w:r w:rsidRPr="00387AB6">
              <w:rPr>
                <w:rFonts w:cs="Calibri"/>
                <w:color w:val="000000"/>
                <w:sz w:val="24"/>
                <w:szCs w:val="24"/>
              </w:rPr>
              <w:t> </w:t>
            </w:r>
          </w:p>
        </w:tc>
        <w:tc>
          <w:tcPr>
            <w:tcW w:w="1302" w:type="dxa"/>
            <w:tcBorders>
              <w:top w:val="nil"/>
              <w:left w:val="nil"/>
              <w:bottom w:val="single" w:color="auto" w:sz="4" w:space="0"/>
              <w:right w:val="single" w:color="auto" w:sz="4" w:space="0"/>
            </w:tcBorders>
            <w:shd w:val="clear" w:color="auto" w:fill="auto"/>
            <w:noWrap/>
            <w:vAlign w:val="bottom"/>
            <w:hideMark/>
          </w:tcPr>
          <w:p w:rsidRPr="00387AB6" w:rsidR="00104742" w:rsidP="00573A19" w:rsidRDefault="00104742" w14:paraId="047D6E3B"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4" w:space="0"/>
              <w:right w:val="single" w:color="auto" w:sz="8" w:space="0"/>
            </w:tcBorders>
            <w:shd w:val="clear" w:color="auto" w:fill="auto"/>
            <w:noWrap/>
            <w:vAlign w:val="bottom"/>
            <w:hideMark/>
          </w:tcPr>
          <w:p w:rsidRPr="00387AB6" w:rsidR="00104742" w:rsidP="00573A19" w:rsidRDefault="00104742" w14:paraId="5AFA79B7" w14:textId="77777777">
            <w:pPr>
              <w:rPr>
                <w:rFonts w:cs="Calibri"/>
                <w:color w:val="000000"/>
                <w:sz w:val="24"/>
                <w:szCs w:val="24"/>
              </w:rPr>
            </w:pPr>
            <w:r w:rsidRPr="00387AB6">
              <w:rPr>
                <w:rFonts w:cs="Calibri"/>
                <w:color w:val="000000"/>
                <w:sz w:val="24"/>
                <w:szCs w:val="24"/>
              </w:rPr>
              <w:t> </w:t>
            </w:r>
          </w:p>
        </w:tc>
      </w:tr>
      <w:tr w:rsidRPr="00387AB6" w:rsidR="00104742" w:rsidTr="00104742" w14:paraId="3A1DB1A5" w14:textId="77777777">
        <w:trPr>
          <w:trHeight w:val="300"/>
        </w:trPr>
        <w:tc>
          <w:tcPr>
            <w:tcW w:w="5750" w:type="dxa"/>
            <w:tcBorders>
              <w:top w:val="nil"/>
              <w:left w:val="single" w:color="auto" w:sz="8" w:space="0"/>
              <w:bottom w:val="single" w:color="auto" w:sz="4" w:space="0"/>
              <w:right w:val="nil"/>
            </w:tcBorders>
            <w:shd w:val="clear" w:color="auto" w:fill="auto"/>
            <w:noWrap/>
            <w:vAlign w:val="bottom"/>
            <w:hideMark/>
          </w:tcPr>
          <w:p w:rsidRPr="00387AB6" w:rsidR="00104742" w:rsidP="00573A19" w:rsidRDefault="00104742" w14:paraId="161F1351" w14:textId="77777777">
            <w:pPr>
              <w:rPr>
                <w:rFonts w:cs="Calibri"/>
                <w:color w:val="000000"/>
                <w:sz w:val="24"/>
                <w:szCs w:val="24"/>
              </w:rPr>
            </w:pPr>
            <w:r w:rsidRPr="00387AB6">
              <w:rPr>
                <w:rFonts w:cs="Calibri"/>
                <w:color w:val="000000"/>
                <w:sz w:val="24"/>
                <w:szCs w:val="24"/>
              </w:rPr>
              <w:t>[Add rows as needed]</w:t>
            </w:r>
          </w:p>
        </w:tc>
        <w:tc>
          <w:tcPr>
            <w:tcW w:w="1302" w:type="dxa"/>
            <w:tcBorders>
              <w:top w:val="nil"/>
              <w:left w:val="single" w:color="auto" w:sz="8" w:space="0"/>
              <w:bottom w:val="single" w:color="auto" w:sz="4" w:space="0"/>
              <w:right w:val="single" w:color="auto" w:sz="4" w:space="0"/>
            </w:tcBorders>
            <w:shd w:val="clear" w:color="auto" w:fill="auto"/>
            <w:vAlign w:val="bottom"/>
            <w:hideMark/>
          </w:tcPr>
          <w:p w:rsidRPr="00387AB6" w:rsidR="00104742" w:rsidP="00573A19" w:rsidRDefault="00104742" w14:paraId="4134B4B0"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4" w:space="0"/>
              <w:right w:val="double" w:color="auto" w:sz="6" w:space="0"/>
            </w:tcBorders>
            <w:shd w:val="clear" w:color="auto" w:fill="auto"/>
            <w:noWrap/>
            <w:vAlign w:val="bottom"/>
            <w:hideMark/>
          </w:tcPr>
          <w:p w:rsidRPr="00387AB6" w:rsidR="00104742" w:rsidP="00573A19" w:rsidRDefault="00104742" w14:paraId="1E048880" w14:textId="77777777">
            <w:pPr>
              <w:rPr>
                <w:rFonts w:cs="Calibri"/>
                <w:color w:val="000000"/>
                <w:sz w:val="24"/>
                <w:szCs w:val="24"/>
              </w:rPr>
            </w:pPr>
            <w:r w:rsidRPr="00387AB6">
              <w:rPr>
                <w:rFonts w:cs="Calibri"/>
                <w:color w:val="000000"/>
                <w:sz w:val="24"/>
                <w:szCs w:val="24"/>
              </w:rPr>
              <w:t> </w:t>
            </w:r>
          </w:p>
        </w:tc>
        <w:tc>
          <w:tcPr>
            <w:tcW w:w="1302" w:type="dxa"/>
            <w:tcBorders>
              <w:top w:val="nil"/>
              <w:left w:val="nil"/>
              <w:bottom w:val="single" w:color="auto" w:sz="4" w:space="0"/>
              <w:right w:val="nil"/>
            </w:tcBorders>
            <w:shd w:val="clear" w:color="auto" w:fill="auto"/>
            <w:noWrap/>
            <w:vAlign w:val="bottom"/>
            <w:hideMark/>
          </w:tcPr>
          <w:p w:rsidRPr="00387AB6" w:rsidR="00104742" w:rsidP="00573A19" w:rsidRDefault="00104742" w14:paraId="2EF551B2"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4" w:space="0"/>
              <w:right w:val="nil"/>
            </w:tcBorders>
            <w:shd w:val="clear" w:color="auto" w:fill="auto"/>
            <w:noWrap/>
            <w:vAlign w:val="bottom"/>
            <w:hideMark/>
          </w:tcPr>
          <w:p w:rsidRPr="00387AB6" w:rsidR="00104742" w:rsidP="00573A19" w:rsidRDefault="00104742" w14:paraId="144BE02D" w14:textId="77777777">
            <w:pPr>
              <w:rPr>
                <w:rFonts w:cs="Calibri"/>
                <w:color w:val="000000"/>
                <w:sz w:val="24"/>
                <w:szCs w:val="24"/>
              </w:rPr>
            </w:pPr>
            <w:r w:rsidRPr="00387AB6">
              <w:rPr>
                <w:rFonts w:cs="Calibri"/>
                <w:color w:val="000000"/>
                <w:sz w:val="24"/>
                <w:szCs w:val="24"/>
              </w:rPr>
              <w:t> </w:t>
            </w:r>
          </w:p>
        </w:tc>
        <w:tc>
          <w:tcPr>
            <w:tcW w:w="1302" w:type="dxa"/>
            <w:tcBorders>
              <w:top w:val="nil"/>
              <w:left w:val="double" w:color="auto" w:sz="6" w:space="0"/>
              <w:bottom w:val="single" w:color="auto" w:sz="4" w:space="0"/>
              <w:right w:val="single" w:color="auto" w:sz="4" w:space="0"/>
            </w:tcBorders>
            <w:shd w:val="clear" w:color="auto" w:fill="auto"/>
            <w:noWrap/>
            <w:vAlign w:val="bottom"/>
            <w:hideMark/>
          </w:tcPr>
          <w:p w:rsidRPr="00387AB6" w:rsidR="00104742" w:rsidP="00573A19" w:rsidRDefault="00104742" w14:paraId="3DE3CEE7"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4" w:space="0"/>
              <w:right w:val="double" w:color="auto" w:sz="6" w:space="0"/>
            </w:tcBorders>
            <w:shd w:val="clear" w:color="auto" w:fill="auto"/>
            <w:noWrap/>
            <w:vAlign w:val="bottom"/>
            <w:hideMark/>
          </w:tcPr>
          <w:p w:rsidRPr="00387AB6" w:rsidR="00104742" w:rsidP="00573A19" w:rsidRDefault="00104742" w14:paraId="6785425E" w14:textId="77777777">
            <w:pPr>
              <w:rPr>
                <w:rFonts w:cs="Calibri"/>
                <w:color w:val="000000"/>
                <w:sz w:val="24"/>
                <w:szCs w:val="24"/>
              </w:rPr>
            </w:pPr>
            <w:r w:rsidRPr="00387AB6">
              <w:rPr>
                <w:rFonts w:cs="Calibri"/>
                <w:color w:val="000000"/>
                <w:sz w:val="24"/>
                <w:szCs w:val="24"/>
              </w:rPr>
              <w:t> </w:t>
            </w:r>
          </w:p>
        </w:tc>
        <w:tc>
          <w:tcPr>
            <w:tcW w:w="1302" w:type="dxa"/>
            <w:tcBorders>
              <w:top w:val="nil"/>
              <w:left w:val="nil"/>
              <w:bottom w:val="single" w:color="auto" w:sz="4" w:space="0"/>
              <w:right w:val="single" w:color="auto" w:sz="4" w:space="0"/>
            </w:tcBorders>
            <w:shd w:val="clear" w:color="auto" w:fill="auto"/>
            <w:noWrap/>
            <w:vAlign w:val="bottom"/>
            <w:hideMark/>
          </w:tcPr>
          <w:p w:rsidRPr="00387AB6" w:rsidR="00104742" w:rsidP="00573A19" w:rsidRDefault="00104742" w14:paraId="7E4FF0CD"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4" w:space="0"/>
              <w:right w:val="single" w:color="auto" w:sz="8" w:space="0"/>
            </w:tcBorders>
            <w:shd w:val="clear" w:color="auto" w:fill="auto"/>
            <w:noWrap/>
            <w:vAlign w:val="bottom"/>
            <w:hideMark/>
          </w:tcPr>
          <w:p w:rsidRPr="00387AB6" w:rsidR="00104742" w:rsidP="00573A19" w:rsidRDefault="00104742" w14:paraId="5BD5F4D0" w14:textId="77777777">
            <w:pPr>
              <w:rPr>
                <w:rFonts w:cs="Calibri"/>
                <w:color w:val="000000"/>
                <w:sz w:val="24"/>
                <w:szCs w:val="24"/>
              </w:rPr>
            </w:pPr>
            <w:r w:rsidRPr="00387AB6">
              <w:rPr>
                <w:rFonts w:cs="Calibri"/>
                <w:color w:val="000000"/>
                <w:sz w:val="24"/>
                <w:szCs w:val="24"/>
              </w:rPr>
              <w:t> </w:t>
            </w:r>
          </w:p>
        </w:tc>
      </w:tr>
      <w:tr w:rsidRPr="00387AB6" w:rsidR="00104742" w:rsidTr="00104742" w14:paraId="455F9D8A" w14:textId="77777777">
        <w:trPr>
          <w:trHeight w:val="600"/>
        </w:trPr>
        <w:tc>
          <w:tcPr>
            <w:tcW w:w="5750" w:type="dxa"/>
            <w:tcBorders>
              <w:top w:val="nil"/>
              <w:left w:val="single" w:color="auto" w:sz="8" w:space="0"/>
              <w:bottom w:val="single" w:color="auto" w:sz="4" w:space="0"/>
              <w:right w:val="nil"/>
            </w:tcBorders>
            <w:shd w:val="clear" w:color="auto" w:fill="auto"/>
            <w:vAlign w:val="bottom"/>
            <w:hideMark/>
          </w:tcPr>
          <w:p w:rsidRPr="00387AB6" w:rsidR="00104742" w:rsidP="00573A19" w:rsidRDefault="00104742" w14:paraId="2034D7DE" w14:textId="77777777">
            <w:pPr>
              <w:rPr>
                <w:rFonts w:cs="Calibri"/>
                <w:color w:val="000000"/>
                <w:sz w:val="24"/>
                <w:szCs w:val="24"/>
              </w:rPr>
            </w:pPr>
            <w:r w:rsidRPr="00387AB6">
              <w:rPr>
                <w:rFonts w:cs="Calibri"/>
                <w:b/>
                <w:bCs/>
                <w:color w:val="000000"/>
                <w:sz w:val="24"/>
                <w:szCs w:val="24"/>
              </w:rPr>
              <w:t>Total</w:t>
            </w:r>
            <w:r w:rsidRPr="00387AB6">
              <w:rPr>
                <w:rFonts w:cs="Calibri"/>
                <w:color w:val="000000"/>
                <w:sz w:val="24"/>
                <w:szCs w:val="24"/>
              </w:rPr>
              <w:t xml:space="preserve"> [footnote any caveats when summation differs from total]</w:t>
            </w:r>
          </w:p>
        </w:tc>
        <w:tc>
          <w:tcPr>
            <w:tcW w:w="1302" w:type="dxa"/>
            <w:tcBorders>
              <w:top w:val="nil"/>
              <w:left w:val="single" w:color="auto" w:sz="8" w:space="0"/>
              <w:bottom w:val="single" w:color="auto" w:sz="4" w:space="0"/>
              <w:right w:val="single" w:color="auto" w:sz="4" w:space="0"/>
            </w:tcBorders>
            <w:shd w:val="clear" w:color="auto" w:fill="auto"/>
            <w:vAlign w:val="bottom"/>
            <w:hideMark/>
          </w:tcPr>
          <w:p w:rsidRPr="00387AB6" w:rsidR="00104742" w:rsidP="00573A19" w:rsidRDefault="00104742" w14:paraId="264A19B8"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4" w:space="0"/>
              <w:right w:val="double" w:color="auto" w:sz="6" w:space="0"/>
            </w:tcBorders>
            <w:shd w:val="clear" w:color="auto" w:fill="auto"/>
            <w:noWrap/>
            <w:vAlign w:val="bottom"/>
            <w:hideMark/>
          </w:tcPr>
          <w:p w:rsidRPr="00387AB6" w:rsidR="00104742" w:rsidP="00573A19" w:rsidRDefault="00104742" w14:paraId="03C978EC" w14:textId="77777777">
            <w:pPr>
              <w:rPr>
                <w:rFonts w:cs="Calibri"/>
                <w:color w:val="000000"/>
                <w:sz w:val="24"/>
                <w:szCs w:val="24"/>
              </w:rPr>
            </w:pPr>
            <w:r w:rsidRPr="00387AB6">
              <w:rPr>
                <w:rFonts w:cs="Calibri"/>
                <w:color w:val="000000"/>
                <w:sz w:val="24"/>
                <w:szCs w:val="24"/>
              </w:rPr>
              <w:t> </w:t>
            </w:r>
          </w:p>
        </w:tc>
        <w:tc>
          <w:tcPr>
            <w:tcW w:w="1302" w:type="dxa"/>
            <w:tcBorders>
              <w:top w:val="nil"/>
              <w:left w:val="nil"/>
              <w:bottom w:val="single" w:color="auto" w:sz="4" w:space="0"/>
              <w:right w:val="nil"/>
            </w:tcBorders>
            <w:shd w:val="clear" w:color="auto" w:fill="auto"/>
            <w:noWrap/>
            <w:vAlign w:val="bottom"/>
            <w:hideMark/>
          </w:tcPr>
          <w:p w:rsidRPr="00387AB6" w:rsidR="00104742" w:rsidP="00573A19" w:rsidRDefault="00104742" w14:paraId="63309760"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4" w:space="0"/>
              <w:right w:val="nil"/>
            </w:tcBorders>
            <w:shd w:val="clear" w:color="auto" w:fill="auto"/>
            <w:noWrap/>
            <w:vAlign w:val="bottom"/>
            <w:hideMark/>
          </w:tcPr>
          <w:p w:rsidRPr="00387AB6" w:rsidR="00104742" w:rsidP="00573A19" w:rsidRDefault="00104742" w14:paraId="5A2C2D11" w14:textId="77777777">
            <w:pPr>
              <w:rPr>
                <w:rFonts w:cs="Calibri"/>
                <w:color w:val="000000"/>
                <w:sz w:val="24"/>
                <w:szCs w:val="24"/>
              </w:rPr>
            </w:pPr>
            <w:r w:rsidRPr="00387AB6">
              <w:rPr>
                <w:rFonts w:cs="Calibri"/>
                <w:color w:val="000000"/>
                <w:sz w:val="24"/>
                <w:szCs w:val="24"/>
              </w:rPr>
              <w:t> </w:t>
            </w:r>
          </w:p>
        </w:tc>
        <w:tc>
          <w:tcPr>
            <w:tcW w:w="1302" w:type="dxa"/>
            <w:tcBorders>
              <w:top w:val="nil"/>
              <w:left w:val="double" w:color="auto" w:sz="6" w:space="0"/>
              <w:bottom w:val="single" w:color="auto" w:sz="4" w:space="0"/>
              <w:right w:val="single" w:color="auto" w:sz="4" w:space="0"/>
            </w:tcBorders>
            <w:shd w:val="clear" w:color="auto" w:fill="auto"/>
            <w:noWrap/>
            <w:vAlign w:val="bottom"/>
            <w:hideMark/>
          </w:tcPr>
          <w:p w:rsidRPr="00387AB6" w:rsidR="00104742" w:rsidP="00573A19" w:rsidRDefault="00104742" w14:paraId="6BC9D44B"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4" w:space="0"/>
              <w:right w:val="double" w:color="auto" w:sz="6" w:space="0"/>
            </w:tcBorders>
            <w:shd w:val="clear" w:color="auto" w:fill="auto"/>
            <w:noWrap/>
            <w:vAlign w:val="bottom"/>
            <w:hideMark/>
          </w:tcPr>
          <w:p w:rsidRPr="00387AB6" w:rsidR="00104742" w:rsidP="00573A19" w:rsidRDefault="00104742" w14:paraId="38E22966" w14:textId="77777777">
            <w:pPr>
              <w:rPr>
                <w:rFonts w:cs="Calibri"/>
                <w:color w:val="000000"/>
                <w:sz w:val="24"/>
                <w:szCs w:val="24"/>
              </w:rPr>
            </w:pPr>
            <w:r w:rsidRPr="00387AB6">
              <w:rPr>
                <w:rFonts w:cs="Calibri"/>
                <w:color w:val="000000"/>
                <w:sz w:val="24"/>
                <w:szCs w:val="24"/>
              </w:rPr>
              <w:t> </w:t>
            </w:r>
          </w:p>
        </w:tc>
        <w:tc>
          <w:tcPr>
            <w:tcW w:w="1302" w:type="dxa"/>
            <w:tcBorders>
              <w:top w:val="nil"/>
              <w:left w:val="nil"/>
              <w:bottom w:val="single" w:color="auto" w:sz="4" w:space="0"/>
              <w:right w:val="single" w:color="auto" w:sz="4" w:space="0"/>
            </w:tcBorders>
            <w:shd w:val="clear" w:color="auto" w:fill="auto"/>
            <w:noWrap/>
            <w:vAlign w:val="bottom"/>
            <w:hideMark/>
          </w:tcPr>
          <w:p w:rsidRPr="00387AB6" w:rsidR="00104742" w:rsidP="00573A19" w:rsidRDefault="00104742" w14:paraId="575AF41D"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4" w:space="0"/>
              <w:right w:val="single" w:color="auto" w:sz="8" w:space="0"/>
            </w:tcBorders>
            <w:shd w:val="clear" w:color="auto" w:fill="auto"/>
            <w:noWrap/>
            <w:vAlign w:val="bottom"/>
            <w:hideMark/>
          </w:tcPr>
          <w:p w:rsidRPr="00387AB6" w:rsidR="00104742" w:rsidP="00573A19" w:rsidRDefault="00104742" w14:paraId="5753D001" w14:textId="77777777">
            <w:pPr>
              <w:rPr>
                <w:rFonts w:cs="Calibri"/>
                <w:color w:val="000000"/>
                <w:sz w:val="24"/>
                <w:szCs w:val="24"/>
              </w:rPr>
            </w:pPr>
            <w:r w:rsidRPr="00387AB6">
              <w:rPr>
                <w:rFonts w:cs="Calibri"/>
                <w:color w:val="000000"/>
                <w:sz w:val="24"/>
                <w:szCs w:val="24"/>
              </w:rPr>
              <w:t> </w:t>
            </w:r>
          </w:p>
        </w:tc>
      </w:tr>
      <w:tr w:rsidRPr="00387AB6" w:rsidR="00104742" w:rsidTr="00104742" w14:paraId="2B410FD2" w14:textId="77777777">
        <w:trPr>
          <w:trHeight w:val="300"/>
        </w:trPr>
        <w:tc>
          <w:tcPr>
            <w:tcW w:w="5750" w:type="dxa"/>
            <w:tcBorders>
              <w:top w:val="nil"/>
              <w:left w:val="single" w:color="auto" w:sz="8" w:space="0"/>
              <w:bottom w:val="single" w:color="auto" w:sz="4" w:space="0"/>
              <w:right w:val="nil"/>
            </w:tcBorders>
            <w:shd w:val="clear" w:color="000000" w:fill="D0CECE"/>
            <w:noWrap/>
            <w:vAlign w:val="bottom"/>
            <w:hideMark/>
          </w:tcPr>
          <w:p w:rsidRPr="00387AB6" w:rsidR="00104742" w:rsidP="00573A19" w:rsidRDefault="00104742" w14:paraId="002B958C" w14:textId="77777777">
            <w:pPr>
              <w:rPr>
                <w:rFonts w:cs="Calibri"/>
                <w:i/>
                <w:iCs/>
                <w:color w:val="000000"/>
                <w:sz w:val="24"/>
                <w:szCs w:val="24"/>
              </w:rPr>
            </w:pPr>
            <w:r w:rsidRPr="00387AB6">
              <w:rPr>
                <w:rFonts w:cs="Calibri"/>
                <w:i/>
                <w:iCs/>
                <w:color w:val="000000"/>
                <w:sz w:val="24"/>
                <w:szCs w:val="24"/>
              </w:rPr>
              <w:t>TOU Rates</w:t>
            </w:r>
          </w:p>
        </w:tc>
        <w:tc>
          <w:tcPr>
            <w:tcW w:w="1302" w:type="dxa"/>
            <w:tcBorders>
              <w:top w:val="nil"/>
              <w:left w:val="single" w:color="auto" w:sz="8" w:space="0"/>
              <w:bottom w:val="single" w:color="auto" w:sz="4" w:space="0"/>
              <w:right w:val="nil"/>
            </w:tcBorders>
            <w:shd w:val="clear" w:color="000000" w:fill="D0CECE"/>
            <w:noWrap/>
            <w:vAlign w:val="bottom"/>
            <w:hideMark/>
          </w:tcPr>
          <w:p w:rsidRPr="00387AB6" w:rsidR="00104742" w:rsidP="00573A19" w:rsidRDefault="00104742" w14:paraId="2314CA3E" w14:textId="77777777">
            <w:pPr>
              <w:rPr>
                <w:rFonts w:cs="Calibri"/>
                <w:i/>
                <w:iCs/>
                <w:color w:val="000000"/>
                <w:sz w:val="24"/>
                <w:szCs w:val="24"/>
              </w:rPr>
            </w:pPr>
            <w:r w:rsidRPr="00387AB6">
              <w:rPr>
                <w:rFonts w:cs="Calibri"/>
                <w:i/>
                <w:iCs/>
                <w:color w:val="000000"/>
                <w:sz w:val="24"/>
                <w:szCs w:val="24"/>
              </w:rPr>
              <w:t> </w:t>
            </w:r>
          </w:p>
        </w:tc>
        <w:tc>
          <w:tcPr>
            <w:tcW w:w="1246" w:type="dxa"/>
            <w:tcBorders>
              <w:top w:val="nil"/>
              <w:left w:val="nil"/>
              <w:bottom w:val="single" w:color="auto" w:sz="4" w:space="0"/>
              <w:right w:val="nil"/>
            </w:tcBorders>
            <w:shd w:val="clear" w:color="000000" w:fill="D0CECE"/>
            <w:noWrap/>
            <w:vAlign w:val="bottom"/>
            <w:hideMark/>
          </w:tcPr>
          <w:p w:rsidRPr="00387AB6" w:rsidR="00104742" w:rsidP="00573A19" w:rsidRDefault="00104742" w14:paraId="6F9F70B5" w14:textId="77777777">
            <w:pPr>
              <w:rPr>
                <w:rFonts w:cs="Calibri"/>
                <w:i/>
                <w:iCs/>
                <w:color w:val="000000"/>
                <w:sz w:val="24"/>
                <w:szCs w:val="24"/>
              </w:rPr>
            </w:pPr>
            <w:r w:rsidRPr="00387AB6">
              <w:rPr>
                <w:rFonts w:cs="Calibri"/>
                <w:i/>
                <w:iCs/>
                <w:color w:val="000000"/>
                <w:sz w:val="24"/>
                <w:szCs w:val="24"/>
              </w:rPr>
              <w:t> </w:t>
            </w:r>
          </w:p>
        </w:tc>
        <w:tc>
          <w:tcPr>
            <w:tcW w:w="1302" w:type="dxa"/>
            <w:tcBorders>
              <w:top w:val="nil"/>
              <w:left w:val="nil"/>
              <w:bottom w:val="single" w:color="auto" w:sz="4" w:space="0"/>
              <w:right w:val="nil"/>
            </w:tcBorders>
            <w:shd w:val="clear" w:color="000000" w:fill="D0CECE"/>
            <w:noWrap/>
            <w:vAlign w:val="bottom"/>
            <w:hideMark/>
          </w:tcPr>
          <w:p w:rsidRPr="00387AB6" w:rsidR="00104742" w:rsidP="00573A19" w:rsidRDefault="00104742" w14:paraId="52B3C338" w14:textId="77777777">
            <w:pPr>
              <w:rPr>
                <w:rFonts w:cs="Calibri"/>
                <w:i/>
                <w:iCs/>
                <w:color w:val="000000"/>
                <w:sz w:val="24"/>
                <w:szCs w:val="24"/>
              </w:rPr>
            </w:pPr>
            <w:r w:rsidRPr="00387AB6">
              <w:rPr>
                <w:rFonts w:cs="Calibri"/>
                <w:i/>
                <w:iCs/>
                <w:color w:val="000000"/>
                <w:sz w:val="24"/>
                <w:szCs w:val="24"/>
              </w:rPr>
              <w:t> </w:t>
            </w:r>
          </w:p>
        </w:tc>
        <w:tc>
          <w:tcPr>
            <w:tcW w:w="1246" w:type="dxa"/>
            <w:tcBorders>
              <w:top w:val="nil"/>
              <w:left w:val="nil"/>
              <w:bottom w:val="single" w:color="auto" w:sz="4" w:space="0"/>
              <w:right w:val="nil"/>
            </w:tcBorders>
            <w:shd w:val="clear" w:color="000000" w:fill="D0CECE"/>
            <w:noWrap/>
            <w:vAlign w:val="bottom"/>
            <w:hideMark/>
          </w:tcPr>
          <w:p w:rsidRPr="00387AB6" w:rsidR="00104742" w:rsidP="00573A19" w:rsidRDefault="00104742" w14:paraId="555511BC" w14:textId="77777777">
            <w:pPr>
              <w:rPr>
                <w:rFonts w:cs="Calibri"/>
                <w:i/>
                <w:iCs/>
                <w:color w:val="000000"/>
                <w:sz w:val="24"/>
                <w:szCs w:val="24"/>
              </w:rPr>
            </w:pPr>
            <w:r w:rsidRPr="00387AB6">
              <w:rPr>
                <w:rFonts w:cs="Calibri"/>
                <w:i/>
                <w:iCs/>
                <w:color w:val="000000"/>
                <w:sz w:val="24"/>
                <w:szCs w:val="24"/>
              </w:rPr>
              <w:t> </w:t>
            </w:r>
          </w:p>
        </w:tc>
        <w:tc>
          <w:tcPr>
            <w:tcW w:w="1302" w:type="dxa"/>
            <w:tcBorders>
              <w:top w:val="nil"/>
              <w:left w:val="nil"/>
              <w:bottom w:val="single" w:color="auto" w:sz="4" w:space="0"/>
              <w:right w:val="nil"/>
            </w:tcBorders>
            <w:shd w:val="clear" w:color="000000" w:fill="D0CECE"/>
            <w:noWrap/>
            <w:vAlign w:val="bottom"/>
            <w:hideMark/>
          </w:tcPr>
          <w:p w:rsidRPr="00387AB6" w:rsidR="00104742" w:rsidP="00573A19" w:rsidRDefault="00104742" w14:paraId="3B9643B2" w14:textId="77777777">
            <w:pPr>
              <w:rPr>
                <w:rFonts w:cs="Calibri"/>
                <w:i/>
                <w:iCs/>
                <w:color w:val="000000"/>
                <w:sz w:val="24"/>
                <w:szCs w:val="24"/>
              </w:rPr>
            </w:pPr>
            <w:r w:rsidRPr="00387AB6">
              <w:rPr>
                <w:rFonts w:cs="Calibri"/>
                <w:i/>
                <w:iCs/>
                <w:color w:val="000000"/>
                <w:sz w:val="24"/>
                <w:szCs w:val="24"/>
              </w:rPr>
              <w:t> </w:t>
            </w:r>
          </w:p>
        </w:tc>
        <w:tc>
          <w:tcPr>
            <w:tcW w:w="1246" w:type="dxa"/>
            <w:tcBorders>
              <w:top w:val="nil"/>
              <w:left w:val="nil"/>
              <w:bottom w:val="single" w:color="auto" w:sz="4" w:space="0"/>
              <w:right w:val="nil"/>
            </w:tcBorders>
            <w:shd w:val="clear" w:color="000000" w:fill="D0CECE"/>
            <w:noWrap/>
            <w:vAlign w:val="bottom"/>
            <w:hideMark/>
          </w:tcPr>
          <w:p w:rsidRPr="00387AB6" w:rsidR="00104742" w:rsidP="00573A19" w:rsidRDefault="00104742" w14:paraId="0EAFDACF" w14:textId="77777777">
            <w:pPr>
              <w:rPr>
                <w:rFonts w:cs="Calibri"/>
                <w:i/>
                <w:iCs/>
                <w:color w:val="000000"/>
                <w:sz w:val="24"/>
                <w:szCs w:val="24"/>
              </w:rPr>
            </w:pPr>
            <w:r w:rsidRPr="00387AB6">
              <w:rPr>
                <w:rFonts w:cs="Calibri"/>
                <w:i/>
                <w:iCs/>
                <w:color w:val="000000"/>
                <w:sz w:val="24"/>
                <w:szCs w:val="24"/>
              </w:rPr>
              <w:t> </w:t>
            </w:r>
          </w:p>
        </w:tc>
        <w:tc>
          <w:tcPr>
            <w:tcW w:w="1302" w:type="dxa"/>
            <w:tcBorders>
              <w:top w:val="nil"/>
              <w:left w:val="nil"/>
              <w:bottom w:val="single" w:color="auto" w:sz="4" w:space="0"/>
              <w:right w:val="nil"/>
            </w:tcBorders>
            <w:shd w:val="clear" w:color="000000" w:fill="D0CECE"/>
            <w:noWrap/>
            <w:vAlign w:val="bottom"/>
            <w:hideMark/>
          </w:tcPr>
          <w:p w:rsidRPr="00387AB6" w:rsidR="00104742" w:rsidP="00573A19" w:rsidRDefault="00104742" w14:paraId="0B69F432" w14:textId="77777777">
            <w:pPr>
              <w:rPr>
                <w:rFonts w:cs="Calibri"/>
                <w:i/>
                <w:iCs/>
                <w:color w:val="000000"/>
                <w:sz w:val="24"/>
                <w:szCs w:val="24"/>
              </w:rPr>
            </w:pPr>
            <w:r w:rsidRPr="00387AB6">
              <w:rPr>
                <w:rFonts w:cs="Calibri"/>
                <w:i/>
                <w:iCs/>
                <w:color w:val="000000"/>
                <w:sz w:val="24"/>
                <w:szCs w:val="24"/>
              </w:rPr>
              <w:t> </w:t>
            </w:r>
          </w:p>
        </w:tc>
        <w:tc>
          <w:tcPr>
            <w:tcW w:w="1246" w:type="dxa"/>
            <w:tcBorders>
              <w:top w:val="nil"/>
              <w:left w:val="nil"/>
              <w:bottom w:val="single" w:color="auto" w:sz="4" w:space="0"/>
              <w:right w:val="single" w:color="auto" w:sz="8" w:space="0"/>
            </w:tcBorders>
            <w:shd w:val="clear" w:color="000000" w:fill="D0CECE"/>
            <w:noWrap/>
            <w:vAlign w:val="bottom"/>
            <w:hideMark/>
          </w:tcPr>
          <w:p w:rsidRPr="00387AB6" w:rsidR="00104742" w:rsidP="00573A19" w:rsidRDefault="00104742" w14:paraId="7AC9D018" w14:textId="77777777">
            <w:pPr>
              <w:rPr>
                <w:rFonts w:cs="Calibri"/>
                <w:i/>
                <w:iCs/>
                <w:color w:val="000000"/>
                <w:sz w:val="24"/>
                <w:szCs w:val="24"/>
              </w:rPr>
            </w:pPr>
            <w:r w:rsidRPr="00387AB6">
              <w:rPr>
                <w:rFonts w:cs="Calibri"/>
                <w:i/>
                <w:iCs/>
                <w:color w:val="000000"/>
                <w:sz w:val="24"/>
                <w:szCs w:val="24"/>
              </w:rPr>
              <w:t> </w:t>
            </w:r>
          </w:p>
        </w:tc>
      </w:tr>
      <w:tr w:rsidRPr="00387AB6" w:rsidR="00104742" w:rsidTr="00104742" w14:paraId="3E42F86C" w14:textId="77777777">
        <w:trPr>
          <w:trHeight w:val="300"/>
        </w:trPr>
        <w:tc>
          <w:tcPr>
            <w:tcW w:w="5750" w:type="dxa"/>
            <w:tcBorders>
              <w:top w:val="nil"/>
              <w:left w:val="single" w:color="auto" w:sz="8" w:space="0"/>
              <w:bottom w:val="single" w:color="auto" w:sz="4" w:space="0"/>
              <w:right w:val="nil"/>
            </w:tcBorders>
            <w:shd w:val="clear" w:color="auto" w:fill="auto"/>
            <w:noWrap/>
            <w:vAlign w:val="bottom"/>
            <w:hideMark/>
          </w:tcPr>
          <w:p w:rsidRPr="00387AB6" w:rsidR="00104742" w:rsidP="00573A19" w:rsidRDefault="00104742" w14:paraId="7A08C2BA" w14:textId="77777777">
            <w:pPr>
              <w:rPr>
                <w:rFonts w:cs="Calibri"/>
                <w:color w:val="000000"/>
                <w:sz w:val="24"/>
                <w:szCs w:val="24"/>
              </w:rPr>
            </w:pPr>
            <w:r w:rsidRPr="00387AB6">
              <w:rPr>
                <w:rFonts w:cs="Calibri"/>
                <w:color w:val="000000"/>
                <w:sz w:val="24"/>
                <w:szCs w:val="24"/>
              </w:rPr>
              <w:t>E.g. E-6</w:t>
            </w:r>
          </w:p>
        </w:tc>
        <w:tc>
          <w:tcPr>
            <w:tcW w:w="1302" w:type="dxa"/>
            <w:tcBorders>
              <w:top w:val="nil"/>
              <w:left w:val="single" w:color="auto" w:sz="8" w:space="0"/>
              <w:bottom w:val="single" w:color="auto" w:sz="4" w:space="0"/>
              <w:right w:val="single" w:color="auto" w:sz="4" w:space="0"/>
            </w:tcBorders>
            <w:shd w:val="clear" w:color="auto" w:fill="auto"/>
            <w:noWrap/>
            <w:vAlign w:val="bottom"/>
            <w:hideMark/>
          </w:tcPr>
          <w:p w:rsidRPr="00387AB6" w:rsidR="00104742" w:rsidP="00573A19" w:rsidRDefault="00104742" w14:paraId="3D2358CD"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4" w:space="0"/>
              <w:right w:val="double" w:color="auto" w:sz="6" w:space="0"/>
            </w:tcBorders>
            <w:shd w:val="clear" w:color="auto" w:fill="auto"/>
            <w:noWrap/>
            <w:vAlign w:val="bottom"/>
            <w:hideMark/>
          </w:tcPr>
          <w:p w:rsidRPr="00387AB6" w:rsidR="00104742" w:rsidP="00573A19" w:rsidRDefault="00104742" w14:paraId="10127470" w14:textId="77777777">
            <w:pPr>
              <w:rPr>
                <w:rFonts w:cs="Calibri"/>
                <w:color w:val="000000"/>
                <w:sz w:val="24"/>
                <w:szCs w:val="24"/>
              </w:rPr>
            </w:pPr>
            <w:r w:rsidRPr="00387AB6">
              <w:rPr>
                <w:rFonts w:cs="Calibri"/>
                <w:color w:val="000000"/>
                <w:sz w:val="24"/>
                <w:szCs w:val="24"/>
              </w:rPr>
              <w:t> </w:t>
            </w:r>
          </w:p>
        </w:tc>
        <w:tc>
          <w:tcPr>
            <w:tcW w:w="1302" w:type="dxa"/>
            <w:tcBorders>
              <w:top w:val="nil"/>
              <w:left w:val="nil"/>
              <w:bottom w:val="single" w:color="auto" w:sz="4" w:space="0"/>
              <w:right w:val="nil"/>
            </w:tcBorders>
            <w:shd w:val="clear" w:color="auto" w:fill="auto"/>
            <w:noWrap/>
            <w:vAlign w:val="bottom"/>
            <w:hideMark/>
          </w:tcPr>
          <w:p w:rsidRPr="00387AB6" w:rsidR="00104742" w:rsidP="00573A19" w:rsidRDefault="00104742" w14:paraId="2F099680"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4" w:space="0"/>
              <w:right w:val="nil"/>
            </w:tcBorders>
            <w:shd w:val="clear" w:color="auto" w:fill="auto"/>
            <w:noWrap/>
            <w:vAlign w:val="bottom"/>
            <w:hideMark/>
          </w:tcPr>
          <w:p w:rsidRPr="00387AB6" w:rsidR="00104742" w:rsidP="00573A19" w:rsidRDefault="00104742" w14:paraId="1DDF6D9D" w14:textId="77777777">
            <w:pPr>
              <w:rPr>
                <w:rFonts w:cs="Calibri"/>
                <w:color w:val="000000"/>
                <w:sz w:val="24"/>
                <w:szCs w:val="24"/>
              </w:rPr>
            </w:pPr>
            <w:r w:rsidRPr="00387AB6">
              <w:rPr>
                <w:rFonts w:cs="Calibri"/>
                <w:color w:val="000000"/>
                <w:sz w:val="24"/>
                <w:szCs w:val="24"/>
              </w:rPr>
              <w:t> </w:t>
            </w:r>
          </w:p>
        </w:tc>
        <w:tc>
          <w:tcPr>
            <w:tcW w:w="1302" w:type="dxa"/>
            <w:tcBorders>
              <w:top w:val="nil"/>
              <w:left w:val="double" w:color="auto" w:sz="6" w:space="0"/>
              <w:bottom w:val="single" w:color="auto" w:sz="4" w:space="0"/>
              <w:right w:val="single" w:color="auto" w:sz="4" w:space="0"/>
            </w:tcBorders>
            <w:shd w:val="clear" w:color="auto" w:fill="auto"/>
            <w:noWrap/>
            <w:vAlign w:val="bottom"/>
            <w:hideMark/>
          </w:tcPr>
          <w:p w:rsidRPr="00387AB6" w:rsidR="00104742" w:rsidP="00573A19" w:rsidRDefault="00104742" w14:paraId="1F7CF3F5"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4" w:space="0"/>
              <w:right w:val="double" w:color="auto" w:sz="6" w:space="0"/>
            </w:tcBorders>
            <w:shd w:val="clear" w:color="auto" w:fill="auto"/>
            <w:noWrap/>
            <w:vAlign w:val="bottom"/>
            <w:hideMark/>
          </w:tcPr>
          <w:p w:rsidRPr="00387AB6" w:rsidR="00104742" w:rsidP="00573A19" w:rsidRDefault="00104742" w14:paraId="17A7C244" w14:textId="77777777">
            <w:pPr>
              <w:rPr>
                <w:rFonts w:cs="Calibri"/>
                <w:color w:val="000000"/>
                <w:sz w:val="24"/>
                <w:szCs w:val="24"/>
              </w:rPr>
            </w:pPr>
            <w:r w:rsidRPr="00387AB6">
              <w:rPr>
                <w:rFonts w:cs="Calibri"/>
                <w:color w:val="000000"/>
                <w:sz w:val="24"/>
                <w:szCs w:val="24"/>
              </w:rPr>
              <w:t> </w:t>
            </w:r>
          </w:p>
        </w:tc>
        <w:tc>
          <w:tcPr>
            <w:tcW w:w="1302" w:type="dxa"/>
            <w:tcBorders>
              <w:top w:val="nil"/>
              <w:left w:val="nil"/>
              <w:bottom w:val="single" w:color="auto" w:sz="4" w:space="0"/>
              <w:right w:val="single" w:color="auto" w:sz="4" w:space="0"/>
            </w:tcBorders>
            <w:shd w:val="clear" w:color="auto" w:fill="auto"/>
            <w:noWrap/>
            <w:vAlign w:val="bottom"/>
            <w:hideMark/>
          </w:tcPr>
          <w:p w:rsidRPr="00387AB6" w:rsidR="00104742" w:rsidP="00573A19" w:rsidRDefault="00104742" w14:paraId="19D47064"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4" w:space="0"/>
              <w:right w:val="single" w:color="auto" w:sz="8" w:space="0"/>
            </w:tcBorders>
            <w:shd w:val="clear" w:color="auto" w:fill="auto"/>
            <w:noWrap/>
            <w:vAlign w:val="bottom"/>
            <w:hideMark/>
          </w:tcPr>
          <w:p w:rsidRPr="00387AB6" w:rsidR="00104742" w:rsidP="00573A19" w:rsidRDefault="00104742" w14:paraId="05E85CF6" w14:textId="77777777">
            <w:pPr>
              <w:rPr>
                <w:rFonts w:cs="Calibri"/>
                <w:color w:val="000000"/>
                <w:sz w:val="24"/>
                <w:szCs w:val="24"/>
              </w:rPr>
            </w:pPr>
            <w:r w:rsidRPr="00387AB6">
              <w:rPr>
                <w:rFonts w:cs="Calibri"/>
                <w:color w:val="000000"/>
                <w:sz w:val="24"/>
                <w:szCs w:val="24"/>
              </w:rPr>
              <w:t> </w:t>
            </w:r>
          </w:p>
        </w:tc>
      </w:tr>
      <w:tr w:rsidRPr="00387AB6" w:rsidR="00104742" w:rsidTr="00104742" w14:paraId="7B888411" w14:textId="77777777">
        <w:trPr>
          <w:trHeight w:val="300"/>
        </w:trPr>
        <w:tc>
          <w:tcPr>
            <w:tcW w:w="5750" w:type="dxa"/>
            <w:tcBorders>
              <w:top w:val="nil"/>
              <w:left w:val="single" w:color="auto" w:sz="8" w:space="0"/>
              <w:bottom w:val="single" w:color="auto" w:sz="4" w:space="0"/>
              <w:right w:val="nil"/>
            </w:tcBorders>
            <w:shd w:val="clear" w:color="auto" w:fill="auto"/>
            <w:noWrap/>
            <w:vAlign w:val="bottom"/>
            <w:hideMark/>
          </w:tcPr>
          <w:p w:rsidRPr="00387AB6" w:rsidR="00104742" w:rsidP="00573A19" w:rsidRDefault="00104742" w14:paraId="2A4123C6" w14:textId="77777777">
            <w:pPr>
              <w:rPr>
                <w:rFonts w:cs="Calibri"/>
                <w:color w:val="000000"/>
                <w:sz w:val="24"/>
                <w:szCs w:val="24"/>
              </w:rPr>
            </w:pPr>
            <w:r w:rsidRPr="00387AB6">
              <w:rPr>
                <w:rFonts w:cs="Calibri"/>
                <w:color w:val="000000"/>
                <w:sz w:val="24"/>
                <w:szCs w:val="24"/>
              </w:rPr>
              <w:t>E-TOU-A</w:t>
            </w:r>
          </w:p>
        </w:tc>
        <w:tc>
          <w:tcPr>
            <w:tcW w:w="1302" w:type="dxa"/>
            <w:tcBorders>
              <w:top w:val="nil"/>
              <w:left w:val="single" w:color="auto" w:sz="8" w:space="0"/>
              <w:bottom w:val="single" w:color="auto" w:sz="4" w:space="0"/>
              <w:right w:val="single" w:color="auto" w:sz="4" w:space="0"/>
            </w:tcBorders>
            <w:shd w:val="clear" w:color="auto" w:fill="auto"/>
            <w:noWrap/>
            <w:vAlign w:val="bottom"/>
            <w:hideMark/>
          </w:tcPr>
          <w:p w:rsidRPr="00387AB6" w:rsidR="00104742" w:rsidP="00573A19" w:rsidRDefault="00104742" w14:paraId="200622EC"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4" w:space="0"/>
              <w:right w:val="double" w:color="auto" w:sz="6" w:space="0"/>
            </w:tcBorders>
            <w:shd w:val="clear" w:color="auto" w:fill="auto"/>
            <w:noWrap/>
            <w:vAlign w:val="bottom"/>
            <w:hideMark/>
          </w:tcPr>
          <w:p w:rsidRPr="00387AB6" w:rsidR="00104742" w:rsidP="00573A19" w:rsidRDefault="00104742" w14:paraId="26766FDC" w14:textId="77777777">
            <w:pPr>
              <w:rPr>
                <w:rFonts w:cs="Calibri"/>
                <w:color w:val="000000"/>
                <w:sz w:val="24"/>
                <w:szCs w:val="24"/>
              </w:rPr>
            </w:pPr>
            <w:r w:rsidRPr="00387AB6">
              <w:rPr>
                <w:rFonts w:cs="Calibri"/>
                <w:color w:val="000000"/>
                <w:sz w:val="24"/>
                <w:szCs w:val="24"/>
              </w:rPr>
              <w:t> </w:t>
            </w:r>
          </w:p>
        </w:tc>
        <w:tc>
          <w:tcPr>
            <w:tcW w:w="1302" w:type="dxa"/>
            <w:tcBorders>
              <w:top w:val="nil"/>
              <w:left w:val="nil"/>
              <w:bottom w:val="single" w:color="auto" w:sz="4" w:space="0"/>
              <w:right w:val="nil"/>
            </w:tcBorders>
            <w:shd w:val="clear" w:color="auto" w:fill="auto"/>
            <w:noWrap/>
            <w:vAlign w:val="bottom"/>
            <w:hideMark/>
          </w:tcPr>
          <w:p w:rsidRPr="00387AB6" w:rsidR="00104742" w:rsidP="00573A19" w:rsidRDefault="00104742" w14:paraId="28AE0046"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4" w:space="0"/>
              <w:right w:val="nil"/>
            </w:tcBorders>
            <w:shd w:val="clear" w:color="auto" w:fill="auto"/>
            <w:noWrap/>
            <w:vAlign w:val="bottom"/>
            <w:hideMark/>
          </w:tcPr>
          <w:p w:rsidRPr="00387AB6" w:rsidR="00104742" w:rsidP="00573A19" w:rsidRDefault="00104742" w14:paraId="364D3D7F" w14:textId="77777777">
            <w:pPr>
              <w:rPr>
                <w:rFonts w:cs="Calibri"/>
                <w:color w:val="000000"/>
                <w:sz w:val="24"/>
                <w:szCs w:val="24"/>
              </w:rPr>
            </w:pPr>
            <w:r w:rsidRPr="00387AB6">
              <w:rPr>
                <w:rFonts w:cs="Calibri"/>
                <w:color w:val="000000"/>
                <w:sz w:val="24"/>
                <w:szCs w:val="24"/>
              </w:rPr>
              <w:t> </w:t>
            </w:r>
          </w:p>
        </w:tc>
        <w:tc>
          <w:tcPr>
            <w:tcW w:w="1302" w:type="dxa"/>
            <w:tcBorders>
              <w:top w:val="nil"/>
              <w:left w:val="double" w:color="auto" w:sz="6" w:space="0"/>
              <w:bottom w:val="single" w:color="auto" w:sz="4" w:space="0"/>
              <w:right w:val="single" w:color="auto" w:sz="4" w:space="0"/>
            </w:tcBorders>
            <w:shd w:val="clear" w:color="auto" w:fill="auto"/>
            <w:noWrap/>
            <w:vAlign w:val="bottom"/>
            <w:hideMark/>
          </w:tcPr>
          <w:p w:rsidRPr="00387AB6" w:rsidR="00104742" w:rsidP="00573A19" w:rsidRDefault="00104742" w14:paraId="4C3CF03A"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4" w:space="0"/>
              <w:right w:val="double" w:color="auto" w:sz="6" w:space="0"/>
            </w:tcBorders>
            <w:shd w:val="clear" w:color="auto" w:fill="auto"/>
            <w:noWrap/>
            <w:vAlign w:val="bottom"/>
            <w:hideMark/>
          </w:tcPr>
          <w:p w:rsidRPr="00387AB6" w:rsidR="00104742" w:rsidP="00573A19" w:rsidRDefault="00104742" w14:paraId="58D8B8A9" w14:textId="77777777">
            <w:pPr>
              <w:rPr>
                <w:rFonts w:cs="Calibri"/>
                <w:color w:val="000000"/>
                <w:sz w:val="24"/>
                <w:szCs w:val="24"/>
              </w:rPr>
            </w:pPr>
            <w:r w:rsidRPr="00387AB6">
              <w:rPr>
                <w:rFonts w:cs="Calibri"/>
                <w:color w:val="000000"/>
                <w:sz w:val="24"/>
                <w:szCs w:val="24"/>
              </w:rPr>
              <w:t> </w:t>
            </w:r>
          </w:p>
        </w:tc>
        <w:tc>
          <w:tcPr>
            <w:tcW w:w="1302" w:type="dxa"/>
            <w:tcBorders>
              <w:top w:val="nil"/>
              <w:left w:val="nil"/>
              <w:bottom w:val="single" w:color="auto" w:sz="4" w:space="0"/>
              <w:right w:val="single" w:color="auto" w:sz="4" w:space="0"/>
            </w:tcBorders>
            <w:shd w:val="clear" w:color="auto" w:fill="auto"/>
            <w:noWrap/>
            <w:vAlign w:val="bottom"/>
            <w:hideMark/>
          </w:tcPr>
          <w:p w:rsidRPr="00387AB6" w:rsidR="00104742" w:rsidP="00573A19" w:rsidRDefault="00104742" w14:paraId="0D311233"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4" w:space="0"/>
              <w:right w:val="single" w:color="auto" w:sz="8" w:space="0"/>
            </w:tcBorders>
            <w:shd w:val="clear" w:color="auto" w:fill="auto"/>
            <w:noWrap/>
            <w:vAlign w:val="bottom"/>
            <w:hideMark/>
          </w:tcPr>
          <w:p w:rsidRPr="00387AB6" w:rsidR="00104742" w:rsidP="00573A19" w:rsidRDefault="00104742" w14:paraId="2E93EA19" w14:textId="77777777">
            <w:pPr>
              <w:rPr>
                <w:rFonts w:cs="Calibri"/>
                <w:color w:val="000000"/>
                <w:sz w:val="24"/>
                <w:szCs w:val="24"/>
              </w:rPr>
            </w:pPr>
            <w:r w:rsidRPr="00387AB6">
              <w:rPr>
                <w:rFonts w:cs="Calibri"/>
                <w:color w:val="000000"/>
                <w:sz w:val="24"/>
                <w:szCs w:val="24"/>
              </w:rPr>
              <w:t> </w:t>
            </w:r>
          </w:p>
        </w:tc>
      </w:tr>
      <w:tr w:rsidRPr="00387AB6" w:rsidR="00104742" w:rsidTr="00104742" w14:paraId="544A634C" w14:textId="77777777">
        <w:trPr>
          <w:trHeight w:val="300"/>
        </w:trPr>
        <w:tc>
          <w:tcPr>
            <w:tcW w:w="5750" w:type="dxa"/>
            <w:tcBorders>
              <w:top w:val="nil"/>
              <w:left w:val="single" w:color="auto" w:sz="8" w:space="0"/>
              <w:bottom w:val="single" w:color="auto" w:sz="4" w:space="0"/>
              <w:right w:val="nil"/>
            </w:tcBorders>
            <w:shd w:val="clear" w:color="auto" w:fill="auto"/>
            <w:noWrap/>
            <w:vAlign w:val="bottom"/>
            <w:hideMark/>
          </w:tcPr>
          <w:p w:rsidRPr="00387AB6" w:rsidR="00104742" w:rsidP="00573A19" w:rsidRDefault="00104742" w14:paraId="3F3F68DA" w14:textId="77777777">
            <w:pPr>
              <w:rPr>
                <w:rFonts w:cs="Calibri"/>
                <w:color w:val="000000"/>
                <w:sz w:val="24"/>
                <w:szCs w:val="24"/>
              </w:rPr>
            </w:pPr>
            <w:r w:rsidRPr="00387AB6">
              <w:rPr>
                <w:rFonts w:cs="Calibri"/>
                <w:color w:val="000000"/>
                <w:sz w:val="24"/>
                <w:szCs w:val="24"/>
              </w:rPr>
              <w:t>TOU Prime</w:t>
            </w:r>
          </w:p>
        </w:tc>
        <w:tc>
          <w:tcPr>
            <w:tcW w:w="1302" w:type="dxa"/>
            <w:tcBorders>
              <w:top w:val="nil"/>
              <w:left w:val="single" w:color="auto" w:sz="8" w:space="0"/>
              <w:bottom w:val="single" w:color="auto" w:sz="4" w:space="0"/>
              <w:right w:val="single" w:color="auto" w:sz="4" w:space="0"/>
            </w:tcBorders>
            <w:shd w:val="clear" w:color="auto" w:fill="auto"/>
            <w:noWrap/>
            <w:vAlign w:val="bottom"/>
            <w:hideMark/>
          </w:tcPr>
          <w:p w:rsidRPr="00387AB6" w:rsidR="00104742" w:rsidP="00573A19" w:rsidRDefault="00104742" w14:paraId="7EA64397"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4" w:space="0"/>
              <w:right w:val="double" w:color="auto" w:sz="6" w:space="0"/>
            </w:tcBorders>
            <w:shd w:val="clear" w:color="auto" w:fill="auto"/>
            <w:noWrap/>
            <w:vAlign w:val="bottom"/>
            <w:hideMark/>
          </w:tcPr>
          <w:p w:rsidRPr="00387AB6" w:rsidR="00104742" w:rsidP="00573A19" w:rsidRDefault="00104742" w14:paraId="4B7BF43C" w14:textId="77777777">
            <w:pPr>
              <w:rPr>
                <w:rFonts w:cs="Calibri"/>
                <w:color w:val="000000"/>
                <w:sz w:val="24"/>
                <w:szCs w:val="24"/>
              </w:rPr>
            </w:pPr>
            <w:r w:rsidRPr="00387AB6">
              <w:rPr>
                <w:rFonts w:cs="Calibri"/>
                <w:color w:val="000000"/>
                <w:sz w:val="24"/>
                <w:szCs w:val="24"/>
              </w:rPr>
              <w:t> </w:t>
            </w:r>
          </w:p>
        </w:tc>
        <w:tc>
          <w:tcPr>
            <w:tcW w:w="1302" w:type="dxa"/>
            <w:tcBorders>
              <w:top w:val="nil"/>
              <w:left w:val="nil"/>
              <w:bottom w:val="single" w:color="auto" w:sz="4" w:space="0"/>
              <w:right w:val="nil"/>
            </w:tcBorders>
            <w:shd w:val="clear" w:color="auto" w:fill="auto"/>
            <w:noWrap/>
            <w:vAlign w:val="bottom"/>
            <w:hideMark/>
          </w:tcPr>
          <w:p w:rsidRPr="00387AB6" w:rsidR="00104742" w:rsidP="00573A19" w:rsidRDefault="00104742" w14:paraId="6D558FB7"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4" w:space="0"/>
              <w:right w:val="nil"/>
            </w:tcBorders>
            <w:shd w:val="clear" w:color="auto" w:fill="auto"/>
            <w:noWrap/>
            <w:vAlign w:val="bottom"/>
            <w:hideMark/>
          </w:tcPr>
          <w:p w:rsidRPr="00387AB6" w:rsidR="00104742" w:rsidP="00573A19" w:rsidRDefault="00104742" w14:paraId="06774B3B" w14:textId="77777777">
            <w:pPr>
              <w:rPr>
                <w:rFonts w:cs="Calibri"/>
                <w:color w:val="000000"/>
                <w:sz w:val="24"/>
                <w:szCs w:val="24"/>
              </w:rPr>
            </w:pPr>
            <w:r w:rsidRPr="00387AB6">
              <w:rPr>
                <w:rFonts w:cs="Calibri"/>
                <w:color w:val="000000"/>
                <w:sz w:val="24"/>
                <w:szCs w:val="24"/>
              </w:rPr>
              <w:t> </w:t>
            </w:r>
          </w:p>
        </w:tc>
        <w:tc>
          <w:tcPr>
            <w:tcW w:w="1302" w:type="dxa"/>
            <w:tcBorders>
              <w:top w:val="nil"/>
              <w:left w:val="double" w:color="auto" w:sz="6" w:space="0"/>
              <w:bottom w:val="single" w:color="auto" w:sz="4" w:space="0"/>
              <w:right w:val="single" w:color="auto" w:sz="4" w:space="0"/>
            </w:tcBorders>
            <w:shd w:val="clear" w:color="auto" w:fill="auto"/>
            <w:noWrap/>
            <w:vAlign w:val="bottom"/>
            <w:hideMark/>
          </w:tcPr>
          <w:p w:rsidRPr="00387AB6" w:rsidR="00104742" w:rsidP="00573A19" w:rsidRDefault="00104742" w14:paraId="298DD1B4"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4" w:space="0"/>
              <w:right w:val="double" w:color="auto" w:sz="6" w:space="0"/>
            </w:tcBorders>
            <w:shd w:val="clear" w:color="auto" w:fill="auto"/>
            <w:noWrap/>
            <w:vAlign w:val="bottom"/>
            <w:hideMark/>
          </w:tcPr>
          <w:p w:rsidRPr="00387AB6" w:rsidR="00104742" w:rsidP="00573A19" w:rsidRDefault="00104742" w14:paraId="40B2B3DE" w14:textId="77777777">
            <w:pPr>
              <w:rPr>
                <w:rFonts w:cs="Calibri"/>
                <w:color w:val="000000"/>
                <w:sz w:val="24"/>
                <w:szCs w:val="24"/>
              </w:rPr>
            </w:pPr>
            <w:r w:rsidRPr="00387AB6">
              <w:rPr>
                <w:rFonts w:cs="Calibri"/>
                <w:color w:val="000000"/>
                <w:sz w:val="24"/>
                <w:szCs w:val="24"/>
              </w:rPr>
              <w:t> </w:t>
            </w:r>
          </w:p>
        </w:tc>
        <w:tc>
          <w:tcPr>
            <w:tcW w:w="1302" w:type="dxa"/>
            <w:tcBorders>
              <w:top w:val="nil"/>
              <w:left w:val="nil"/>
              <w:bottom w:val="single" w:color="auto" w:sz="4" w:space="0"/>
              <w:right w:val="single" w:color="auto" w:sz="4" w:space="0"/>
            </w:tcBorders>
            <w:shd w:val="clear" w:color="auto" w:fill="auto"/>
            <w:noWrap/>
            <w:vAlign w:val="bottom"/>
            <w:hideMark/>
          </w:tcPr>
          <w:p w:rsidRPr="00387AB6" w:rsidR="00104742" w:rsidP="00573A19" w:rsidRDefault="00104742" w14:paraId="22AB1E72"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4" w:space="0"/>
              <w:right w:val="single" w:color="auto" w:sz="8" w:space="0"/>
            </w:tcBorders>
            <w:shd w:val="clear" w:color="auto" w:fill="auto"/>
            <w:noWrap/>
            <w:vAlign w:val="bottom"/>
            <w:hideMark/>
          </w:tcPr>
          <w:p w:rsidRPr="00387AB6" w:rsidR="00104742" w:rsidP="00573A19" w:rsidRDefault="00104742" w14:paraId="19BBCA3E" w14:textId="77777777">
            <w:pPr>
              <w:rPr>
                <w:rFonts w:cs="Calibri"/>
                <w:color w:val="000000"/>
                <w:sz w:val="24"/>
                <w:szCs w:val="24"/>
              </w:rPr>
            </w:pPr>
            <w:r w:rsidRPr="00387AB6">
              <w:rPr>
                <w:rFonts w:cs="Calibri"/>
                <w:color w:val="000000"/>
                <w:sz w:val="24"/>
                <w:szCs w:val="24"/>
              </w:rPr>
              <w:t> </w:t>
            </w:r>
          </w:p>
        </w:tc>
      </w:tr>
      <w:tr w:rsidRPr="00387AB6" w:rsidR="00104742" w:rsidTr="00104742" w14:paraId="02D1E2D2" w14:textId="77777777">
        <w:trPr>
          <w:trHeight w:val="300"/>
        </w:trPr>
        <w:tc>
          <w:tcPr>
            <w:tcW w:w="5750" w:type="dxa"/>
            <w:tcBorders>
              <w:top w:val="nil"/>
              <w:left w:val="single" w:color="auto" w:sz="8" w:space="0"/>
              <w:bottom w:val="single" w:color="auto" w:sz="4" w:space="0"/>
              <w:right w:val="nil"/>
            </w:tcBorders>
            <w:shd w:val="clear" w:color="auto" w:fill="auto"/>
            <w:noWrap/>
            <w:vAlign w:val="bottom"/>
            <w:hideMark/>
          </w:tcPr>
          <w:p w:rsidRPr="00387AB6" w:rsidR="00104742" w:rsidP="00573A19" w:rsidRDefault="00104742" w14:paraId="44D02BFB" w14:textId="77777777">
            <w:pPr>
              <w:rPr>
                <w:rFonts w:cs="Calibri"/>
                <w:color w:val="000000"/>
                <w:sz w:val="24"/>
                <w:szCs w:val="24"/>
              </w:rPr>
            </w:pPr>
            <w:r w:rsidRPr="00387AB6">
              <w:rPr>
                <w:rFonts w:cs="Calibri"/>
                <w:color w:val="000000"/>
                <w:sz w:val="24"/>
                <w:szCs w:val="24"/>
              </w:rPr>
              <w:t>[Add Rows as needed]</w:t>
            </w:r>
          </w:p>
        </w:tc>
        <w:tc>
          <w:tcPr>
            <w:tcW w:w="1302" w:type="dxa"/>
            <w:tcBorders>
              <w:top w:val="nil"/>
              <w:left w:val="single" w:color="auto" w:sz="8" w:space="0"/>
              <w:bottom w:val="single" w:color="auto" w:sz="4" w:space="0"/>
              <w:right w:val="single" w:color="auto" w:sz="4" w:space="0"/>
            </w:tcBorders>
            <w:shd w:val="clear" w:color="auto" w:fill="auto"/>
            <w:noWrap/>
            <w:vAlign w:val="bottom"/>
            <w:hideMark/>
          </w:tcPr>
          <w:p w:rsidRPr="00387AB6" w:rsidR="00104742" w:rsidP="00573A19" w:rsidRDefault="00104742" w14:paraId="01342011"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4" w:space="0"/>
              <w:right w:val="double" w:color="auto" w:sz="6" w:space="0"/>
            </w:tcBorders>
            <w:shd w:val="clear" w:color="auto" w:fill="auto"/>
            <w:noWrap/>
            <w:vAlign w:val="bottom"/>
            <w:hideMark/>
          </w:tcPr>
          <w:p w:rsidRPr="00387AB6" w:rsidR="00104742" w:rsidP="00573A19" w:rsidRDefault="00104742" w14:paraId="47BEE486" w14:textId="77777777">
            <w:pPr>
              <w:rPr>
                <w:rFonts w:cs="Calibri"/>
                <w:color w:val="000000"/>
                <w:sz w:val="24"/>
                <w:szCs w:val="24"/>
              </w:rPr>
            </w:pPr>
            <w:r w:rsidRPr="00387AB6">
              <w:rPr>
                <w:rFonts w:cs="Calibri"/>
                <w:color w:val="000000"/>
                <w:sz w:val="24"/>
                <w:szCs w:val="24"/>
              </w:rPr>
              <w:t> </w:t>
            </w:r>
          </w:p>
        </w:tc>
        <w:tc>
          <w:tcPr>
            <w:tcW w:w="1302" w:type="dxa"/>
            <w:tcBorders>
              <w:top w:val="nil"/>
              <w:left w:val="nil"/>
              <w:bottom w:val="single" w:color="auto" w:sz="4" w:space="0"/>
              <w:right w:val="nil"/>
            </w:tcBorders>
            <w:shd w:val="clear" w:color="auto" w:fill="auto"/>
            <w:noWrap/>
            <w:vAlign w:val="bottom"/>
            <w:hideMark/>
          </w:tcPr>
          <w:p w:rsidRPr="00387AB6" w:rsidR="00104742" w:rsidP="00573A19" w:rsidRDefault="00104742" w14:paraId="0151B2F0"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4" w:space="0"/>
              <w:right w:val="nil"/>
            </w:tcBorders>
            <w:shd w:val="clear" w:color="auto" w:fill="auto"/>
            <w:noWrap/>
            <w:vAlign w:val="bottom"/>
            <w:hideMark/>
          </w:tcPr>
          <w:p w:rsidRPr="00387AB6" w:rsidR="00104742" w:rsidP="00573A19" w:rsidRDefault="00104742" w14:paraId="364A605A" w14:textId="77777777">
            <w:pPr>
              <w:rPr>
                <w:rFonts w:cs="Calibri"/>
                <w:color w:val="000000"/>
                <w:sz w:val="24"/>
                <w:szCs w:val="24"/>
              </w:rPr>
            </w:pPr>
            <w:r w:rsidRPr="00387AB6">
              <w:rPr>
                <w:rFonts w:cs="Calibri"/>
                <w:color w:val="000000"/>
                <w:sz w:val="24"/>
                <w:szCs w:val="24"/>
              </w:rPr>
              <w:t> </w:t>
            </w:r>
          </w:p>
        </w:tc>
        <w:tc>
          <w:tcPr>
            <w:tcW w:w="1302" w:type="dxa"/>
            <w:tcBorders>
              <w:top w:val="nil"/>
              <w:left w:val="double" w:color="auto" w:sz="6" w:space="0"/>
              <w:bottom w:val="single" w:color="auto" w:sz="4" w:space="0"/>
              <w:right w:val="single" w:color="auto" w:sz="4" w:space="0"/>
            </w:tcBorders>
            <w:shd w:val="clear" w:color="auto" w:fill="auto"/>
            <w:noWrap/>
            <w:vAlign w:val="bottom"/>
            <w:hideMark/>
          </w:tcPr>
          <w:p w:rsidRPr="00387AB6" w:rsidR="00104742" w:rsidP="00573A19" w:rsidRDefault="00104742" w14:paraId="5E5F3B41"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4" w:space="0"/>
              <w:right w:val="double" w:color="auto" w:sz="6" w:space="0"/>
            </w:tcBorders>
            <w:shd w:val="clear" w:color="auto" w:fill="auto"/>
            <w:noWrap/>
            <w:vAlign w:val="bottom"/>
            <w:hideMark/>
          </w:tcPr>
          <w:p w:rsidRPr="00387AB6" w:rsidR="00104742" w:rsidP="00573A19" w:rsidRDefault="00104742" w14:paraId="06711AC3" w14:textId="77777777">
            <w:pPr>
              <w:rPr>
                <w:rFonts w:cs="Calibri"/>
                <w:color w:val="000000"/>
                <w:sz w:val="24"/>
                <w:szCs w:val="24"/>
              </w:rPr>
            </w:pPr>
            <w:r w:rsidRPr="00387AB6">
              <w:rPr>
                <w:rFonts w:cs="Calibri"/>
                <w:color w:val="000000"/>
                <w:sz w:val="24"/>
                <w:szCs w:val="24"/>
              </w:rPr>
              <w:t> </w:t>
            </w:r>
          </w:p>
        </w:tc>
        <w:tc>
          <w:tcPr>
            <w:tcW w:w="1302" w:type="dxa"/>
            <w:tcBorders>
              <w:top w:val="nil"/>
              <w:left w:val="nil"/>
              <w:bottom w:val="single" w:color="auto" w:sz="4" w:space="0"/>
              <w:right w:val="single" w:color="auto" w:sz="4" w:space="0"/>
            </w:tcBorders>
            <w:shd w:val="clear" w:color="auto" w:fill="auto"/>
            <w:noWrap/>
            <w:vAlign w:val="bottom"/>
            <w:hideMark/>
          </w:tcPr>
          <w:p w:rsidRPr="00387AB6" w:rsidR="00104742" w:rsidP="00573A19" w:rsidRDefault="00104742" w14:paraId="3C1C5EC4"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4" w:space="0"/>
              <w:right w:val="single" w:color="auto" w:sz="8" w:space="0"/>
            </w:tcBorders>
            <w:shd w:val="clear" w:color="auto" w:fill="auto"/>
            <w:noWrap/>
            <w:vAlign w:val="bottom"/>
            <w:hideMark/>
          </w:tcPr>
          <w:p w:rsidRPr="00387AB6" w:rsidR="00104742" w:rsidP="00573A19" w:rsidRDefault="00104742" w14:paraId="276C5A53" w14:textId="77777777">
            <w:pPr>
              <w:rPr>
                <w:rFonts w:cs="Calibri"/>
                <w:color w:val="000000"/>
                <w:sz w:val="24"/>
                <w:szCs w:val="24"/>
              </w:rPr>
            </w:pPr>
            <w:r w:rsidRPr="00387AB6">
              <w:rPr>
                <w:rFonts w:cs="Calibri"/>
                <w:color w:val="000000"/>
                <w:sz w:val="24"/>
                <w:szCs w:val="24"/>
              </w:rPr>
              <w:t> </w:t>
            </w:r>
          </w:p>
        </w:tc>
      </w:tr>
      <w:tr w:rsidRPr="00387AB6" w:rsidR="00104742" w:rsidTr="00104742" w14:paraId="3CC9E145" w14:textId="77777777">
        <w:trPr>
          <w:trHeight w:val="300"/>
        </w:trPr>
        <w:tc>
          <w:tcPr>
            <w:tcW w:w="5750" w:type="dxa"/>
            <w:tcBorders>
              <w:top w:val="single" w:color="auto" w:sz="4" w:space="0"/>
              <w:left w:val="single" w:color="auto" w:sz="8" w:space="0"/>
              <w:bottom w:val="single" w:color="auto" w:sz="4" w:space="0"/>
              <w:right w:val="nil"/>
            </w:tcBorders>
            <w:shd w:val="clear" w:color="000000" w:fill="BFBFBF"/>
            <w:noWrap/>
            <w:vAlign w:val="bottom"/>
            <w:hideMark/>
          </w:tcPr>
          <w:p w:rsidRPr="00387AB6" w:rsidR="00104742" w:rsidP="00573A19" w:rsidRDefault="00104742" w14:paraId="7989E62C" w14:textId="77777777">
            <w:pPr>
              <w:rPr>
                <w:rFonts w:cs="Calibri"/>
                <w:i/>
                <w:iCs/>
                <w:color w:val="000000"/>
                <w:sz w:val="24"/>
                <w:szCs w:val="24"/>
              </w:rPr>
            </w:pPr>
            <w:r w:rsidRPr="00387AB6">
              <w:rPr>
                <w:rFonts w:cs="Calibri"/>
                <w:i/>
                <w:iCs/>
                <w:color w:val="000000"/>
                <w:sz w:val="24"/>
                <w:szCs w:val="24"/>
              </w:rPr>
              <w:t>Solar PV Customers</w:t>
            </w:r>
          </w:p>
        </w:tc>
        <w:tc>
          <w:tcPr>
            <w:tcW w:w="1302" w:type="dxa"/>
            <w:tcBorders>
              <w:top w:val="single" w:color="auto" w:sz="4" w:space="0"/>
              <w:left w:val="nil"/>
              <w:bottom w:val="single" w:color="auto" w:sz="4" w:space="0"/>
              <w:right w:val="nil"/>
            </w:tcBorders>
            <w:shd w:val="clear" w:color="000000" w:fill="BFBFBF"/>
            <w:noWrap/>
            <w:vAlign w:val="bottom"/>
            <w:hideMark/>
          </w:tcPr>
          <w:p w:rsidRPr="00387AB6" w:rsidR="00104742" w:rsidP="00573A19" w:rsidRDefault="00104742" w14:paraId="3A501661" w14:textId="77777777">
            <w:pPr>
              <w:rPr>
                <w:rFonts w:cs="Calibri"/>
                <w:i/>
                <w:iCs/>
                <w:color w:val="000000"/>
                <w:sz w:val="24"/>
                <w:szCs w:val="24"/>
              </w:rPr>
            </w:pPr>
            <w:r w:rsidRPr="00387AB6">
              <w:rPr>
                <w:rFonts w:cs="Calibri"/>
                <w:i/>
                <w:iCs/>
                <w:color w:val="000000"/>
                <w:sz w:val="24"/>
                <w:szCs w:val="24"/>
              </w:rPr>
              <w:t> </w:t>
            </w:r>
          </w:p>
        </w:tc>
        <w:tc>
          <w:tcPr>
            <w:tcW w:w="1246" w:type="dxa"/>
            <w:tcBorders>
              <w:top w:val="single" w:color="auto" w:sz="4" w:space="0"/>
              <w:left w:val="nil"/>
              <w:bottom w:val="single" w:color="auto" w:sz="4" w:space="0"/>
              <w:right w:val="nil"/>
            </w:tcBorders>
            <w:shd w:val="clear" w:color="000000" w:fill="BFBFBF"/>
            <w:noWrap/>
            <w:vAlign w:val="bottom"/>
            <w:hideMark/>
          </w:tcPr>
          <w:p w:rsidRPr="00387AB6" w:rsidR="00104742" w:rsidP="00573A19" w:rsidRDefault="00104742" w14:paraId="2D774C66" w14:textId="77777777">
            <w:pPr>
              <w:rPr>
                <w:rFonts w:cs="Calibri"/>
                <w:i/>
                <w:iCs/>
                <w:color w:val="000000"/>
                <w:sz w:val="24"/>
                <w:szCs w:val="24"/>
              </w:rPr>
            </w:pPr>
            <w:r w:rsidRPr="00387AB6">
              <w:rPr>
                <w:rFonts w:cs="Calibri"/>
                <w:i/>
                <w:iCs/>
                <w:color w:val="000000"/>
                <w:sz w:val="24"/>
                <w:szCs w:val="24"/>
              </w:rPr>
              <w:t> </w:t>
            </w:r>
          </w:p>
        </w:tc>
        <w:tc>
          <w:tcPr>
            <w:tcW w:w="1302" w:type="dxa"/>
            <w:tcBorders>
              <w:top w:val="single" w:color="auto" w:sz="4" w:space="0"/>
              <w:left w:val="nil"/>
              <w:bottom w:val="single" w:color="auto" w:sz="4" w:space="0"/>
              <w:right w:val="nil"/>
            </w:tcBorders>
            <w:shd w:val="clear" w:color="000000" w:fill="BFBFBF"/>
            <w:noWrap/>
            <w:vAlign w:val="bottom"/>
            <w:hideMark/>
          </w:tcPr>
          <w:p w:rsidRPr="00387AB6" w:rsidR="00104742" w:rsidP="00573A19" w:rsidRDefault="00104742" w14:paraId="54BAB1A1" w14:textId="77777777">
            <w:pPr>
              <w:rPr>
                <w:rFonts w:cs="Calibri"/>
                <w:i/>
                <w:iCs/>
                <w:color w:val="000000"/>
                <w:sz w:val="24"/>
                <w:szCs w:val="24"/>
              </w:rPr>
            </w:pPr>
            <w:r w:rsidRPr="00387AB6">
              <w:rPr>
                <w:rFonts w:cs="Calibri"/>
                <w:i/>
                <w:iCs/>
                <w:color w:val="000000"/>
                <w:sz w:val="24"/>
                <w:szCs w:val="24"/>
              </w:rPr>
              <w:t> </w:t>
            </w:r>
          </w:p>
        </w:tc>
        <w:tc>
          <w:tcPr>
            <w:tcW w:w="1246" w:type="dxa"/>
            <w:tcBorders>
              <w:top w:val="single" w:color="auto" w:sz="4" w:space="0"/>
              <w:left w:val="nil"/>
              <w:bottom w:val="single" w:color="auto" w:sz="4" w:space="0"/>
              <w:right w:val="nil"/>
            </w:tcBorders>
            <w:shd w:val="clear" w:color="000000" w:fill="BFBFBF"/>
            <w:noWrap/>
            <w:vAlign w:val="bottom"/>
            <w:hideMark/>
          </w:tcPr>
          <w:p w:rsidRPr="00387AB6" w:rsidR="00104742" w:rsidP="00573A19" w:rsidRDefault="00104742" w14:paraId="193D5FC2" w14:textId="77777777">
            <w:pPr>
              <w:rPr>
                <w:rFonts w:cs="Calibri"/>
                <w:i/>
                <w:iCs/>
                <w:color w:val="000000"/>
                <w:sz w:val="24"/>
                <w:szCs w:val="24"/>
              </w:rPr>
            </w:pPr>
            <w:r w:rsidRPr="00387AB6">
              <w:rPr>
                <w:rFonts w:cs="Calibri"/>
                <w:i/>
                <w:iCs/>
                <w:color w:val="000000"/>
                <w:sz w:val="24"/>
                <w:szCs w:val="24"/>
              </w:rPr>
              <w:t> </w:t>
            </w:r>
          </w:p>
        </w:tc>
        <w:tc>
          <w:tcPr>
            <w:tcW w:w="1302" w:type="dxa"/>
            <w:tcBorders>
              <w:top w:val="single" w:color="auto" w:sz="4" w:space="0"/>
              <w:left w:val="nil"/>
              <w:bottom w:val="single" w:color="auto" w:sz="4" w:space="0"/>
              <w:right w:val="nil"/>
            </w:tcBorders>
            <w:shd w:val="clear" w:color="000000" w:fill="BFBFBF"/>
            <w:noWrap/>
            <w:vAlign w:val="bottom"/>
            <w:hideMark/>
          </w:tcPr>
          <w:p w:rsidRPr="00387AB6" w:rsidR="00104742" w:rsidP="00573A19" w:rsidRDefault="00104742" w14:paraId="628F4907" w14:textId="77777777">
            <w:pPr>
              <w:rPr>
                <w:rFonts w:cs="Calibri"/>
                <w:i/>
                <w:iCs/>
                <w:color w:val="000000"/>
                <w:sz w:val="24"/>
                <w:szCs w:val="24"/>
              </w:rPr>
            </w:pPr>
            <w:r w:rsidRPr="00387AB6">
              <w:rPr>
                <w:rFonts w:cs="Calibri"/>
                <w:i/>
                <w:iCs/>
                <w:color w:val="000000"/>
                <w:sz w:val="24"/>
                <w:szCs w:val="24"/>
              </w:rPr>
              <w:t> </w:t>
            </w:r>
          </w:p>
        </w:tc>
        <w:tc>
          <w:tcPr>
            <w:tcW w:w="1246" w:type="dxa"/>
            <w:tcBorders>
              <w:top w:val="single" w:color="auto" w:sz="4" w:space="0"/>
              <w:left w:val="nil"/>
              <w:bottom w:val="single" w:color="auto" w:sz="4" w:space="0"/>
              <w:right w:val="nil"/>
            </w:tcBorders>
            <w:shd w:val="clear" w:color="000000" w:fill="BFBFBF"/>
            <w:noWrap/>
            <w:vAlign w:val="bottom"/>
            <w:hideMark/>
          </w:tcPr>
          <w:p w:rsidRPr="00387AB6" w:rsidR="00104742" w:rsidP="00573A19" w:rsidRDefault="00104742" w14:paraId="2DF16A2F" w14:textId="77777777">
            <w:pPr>
              <w:rPr>
                <w:rFonts w:cs="Calibri"/>
                <w:i/>
                <w:iCs/>
                <w:color w:val="000000"/>
                <w:sz w:val="24"/>
                <w:szCs w:val="24"/>
              </w:rPr>
            </w:pPr>
            <w:r w:rsidRPr="00387AB6">
              <w:rPr>
                <w:rFonts w:cs="Calibri"/>
                <w:i/>
                <w:iCs/>
                <w:color w:val="000000"/>
                <w:sz w:val="24"/>
                <w:szCs w:val="24"/>
              </w:rPr>
              <w:t> </w:t>
            </w:r>
          </w:p>
        </w:tc>
        <w:tc>
          <w:tcPr>
            <w:tcW w:w="1302" w:type="dxa"/>
            <w:tcBorders>
              <w:top w:val="single" w:color="auto" w:sz="4" w:space="0"/>
              <w:left w:val="nil"/>
              <w:bottom w:val="single" w:color="auto" w:sz="4" w:space="0"/>
              <w:right w:val="nil"/>
            </w:tcBorders>
            <w:shd w:val="clear" w:color="000000" w:fill="BFBFBF"/>
            <w:noWrap/>
            <w:vAlign w:val="bottom"/>
            <w:hideMark/>
          </w:tcPr>
          <w:p w:rsidRPr="00387AB6" w:rsidR="00104742" w:rsidP="00573A19" w:rsidRDefault="00104742" w14:paraId="21836258" w14:textId="77777777">
            <w:pPr>
              <w:rPr>
                <w:rFonts w:cs="Calibri"/>
                <w:i/>
                <w:iCs/>
                <w:color w:val="000000"/>
                <w:sz w:val="24"/>
                <w:szCs w:val="24"/>
              </w:rPr>
            </w:pPr>
            <w:r w:rsidRPr="00387AB6">
              <w:rPr>
                <w:rFonts w:cs="Calibri"/>
                <w:i/>
                <w:iCs/>
                <w:color w:val="000000"/>
                <w:sz w:val="24"/>
                <w:szCs w:val="24"/>
              </w:rPr>
              <w:t> </w:t>
            </w:r>
          </w:p>
        </w:tc>
        <w:tc>
          <w:tcPr>
            <w:tcW w:w="1246" w:type="dxa"/>
            <w:tcBorders>
              <w:top w:val="single" w:color="auto" w:sz="4" w:space="0"/>
              <w:left w:val="nil"/>
              <w:bottom w:val="single" w:color="auto" w:sz="4" w:space="0"/>
              <w:right w:val="nil"/>
            </w:tcBorders>
            <w:shd w:val="clear" w:color="000000" w:fill="BFBFBF"/>
            <w:noWrap/>
            <w:vAlign w:val="bottom"/>
            <w:hideMark/>
          </w:tcPr>
          <w:p w:rsidRPr="00387AB6" w:rsidR="00104742" w:rsidP="00573A19" w:rsidRDefault="00104742" w14:paraId="48609891" w14:textId="77777777">
            <w:pPr>
              <w:rPr>
                <w:rFonts w:cs="Calibri"/>
                <w:i/>
                <w:iCs/>
                <w:color w:val="000000"/>
                <w:sz w:val="24"/>
                <w:szCs w:val="24"/>
              </w:rPr>
            </w:pPr>
            <w:r w:rsidRPr="00387AB6">
              <w:rPr>
                <w:rFonts w:cs="Calibri"/>
                <w:i/>
                <w:iCs/>
                <w:color w:val="000000"/>
                <w:sz w:val="24"/>
                <w:szCs w:val="24"/>
              </w:rPr>
              <w:t> </w:t>
            </w:r>
          </w:p>
        </w:tc>
      </w:tr>
      <w:tr w:rsidRPr="00387AB6" w:rsidR="00104742" w:rsidTr="00104742" w14:paraId="061A4E88" w14:textId="77777777">
        <w:trPr>
          <w:trHeight w:val="368"/>
        </w:trPr>
        <w:tc>
          <w:tcPr>
            <w:tcW w:w="575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387AB6" w:rsidR="00104742" w:rsidP="00573A19" w:rsidRDefault="00104742" w14:paraId="27D3F1CE" w14:textId="5B9623FA">
            <w:pPr>
              <w:rPr>
                <w:rFonts w:cs="Calibri"/>
                <w:color w:val="000000"/>
                <w:sz w:val="24"/>
                <w:szCs w:val="24"/>
              </w:rPr>
            </w:pPr>
            <w:r w:rsidRPr="00387AB6">
              <w:rPr>
                <w:rFonts w:cs="Calibri"/>
                <w:color w:val="000000"/>
                <w:sz w:val="24"/>
                <w:szCs w:val="24"/>
              </w:rPr>
              <w:t>Customers with Onsite Solar Generation</w:t>
            </w:r>
          </w:p>
        </w:tc>
        <w:tc>
          <w:tcPr>
            <w:tcW w:w="1302" w:type="dxa"/>
            <w:tcBorders>
              <w:top w:val="nil"/>
              <w:left w:val="single" w:color="auto" w:sz="4" w:space="0"/>
              <w:bottom w:val="single" w:color="auto" w:sz="4" w:space="0"/>
              <w:right w:val="single" w:color="auto" w:sz="4" w:space="0"/>
            </w:tcBorders>
            <w:shd w:val="clear" w:color="auto" w:fill="auto"/>
            <w:noWrap/>
            <w:vAlign w:val="bottom"/>
            <w:hideMark/>
          </w:tcPr>
          <w:p w:rsidRPr="00387AB6" w:rsidR="00104742" w:rsidP="00573A19" w:rsidRDefault="00104742" w14:paraId="08F0283B"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4" w:space="0"/>
              <w:right w:val="double" w:color="auto" w:sz="6" w:space="0"/>
            </w:tcBorders>
            <w:shd w:val="clear" w:color="auto" w:fill="auto"/>
            <w:noWrap/>
            <w:vAlign w:val="bottom"/>
            <w:hideMark/>
          </w:tcPr>
          <w:p w:rsidRPr="00387AB6" w:rsidR="00104742" w:rsidP="00573A19" w:rsidRDefault="00104742" w14:paraId="00442259" w14:textId="77777777">
            <w:pPr>
              <w:rPr>
                <w:rFonts w:cs="Calibri"/>
                <w:color w:val="000000"/>
                <w:sz w:val="24"/>
                <w:szCs w:val="24"/>
              </w:rPr>
            </w:pPr>
            <w:r w:rsidRPr="00387AB6">
              <w:rPr>
                <w:rFonts w:cs="Calibri"/>
                <w:color w:val="000000"/>
                <w:sz w:val="24"/>
                <w:szCs w:val="24"/>
              </w:rPr>
              <w:t> </w:t>
            </w:r>
          </w:p>
        </w:tc>
        <w:tc>
          <w:tcPr>
            <w:tcW w:w="1302" w:type="dxa"/>
            <w:tcBorders>
              <w:top w:val="nil"/>
              <w:left w:val="nil"/>
              <w:bottom w:val="single" w:color="auto" w:sz="4" w:space="0"/>
              <w:right w:val="nil"/>
            </w:tcBorders>
            <w:shd w:val="clear" w:color="auto" w:fill="auto"/>
            <w:noWrap/>
            <w:vAlign w:val="bottom"/>
            <w:hideMark/>
          </w:tcPr>
          <w:p w:rsidRPr="00387AB6" w:rsidR="00104742" w:rsidP="00573A19" w:rsidRDefault="00104742" w14:paraId="50E66BAD"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4" w:space="0"/>
              <w:right w:val="nil"/>
            </w:tcBorders>
            <w:shd w:val="clear" w:color="auto" w:fill="auto"/>
            <w:noWrap/>
            <w:vAlign w:val="bottom"/>
            <w:hideMark/>
          </w:tcPr>
          <w:p w:rsidRPr="00387AB6" w:rsidR="00104742" w:rsidP="00573A19" w:rsidRDefault="00104742" w14:paraId="32BDA04B" w14:textId="77777777">
            <w:pPr>
              <w:rPr>
                <w:rFonts w:cs="Calibri"/>
                <w:color w:val="000000"/>
                <w:sz w:val="24"/>
                <w:szCs w:val="24"/>
              </w:rPr>
            </w:pPr>
            <w:r w:rsidRPr="00387AB6">
              <w:rPr>
                <w:rFonts w:cs="Calibri"/>
                <w:color w:val="000000"/>
                <w:sz w:val="24"/>
                <w:szCs w:val="24"/>
              </w:rPr>
              <w:t> </w:t>
            </w:r>
          </w:p>
        </w:tc>
        <w:tc>
          <w:tcPr>
            <w:tcW w:w="1302" w:type="dxa"/>
            <w:tcBorders>
              <w:top w:val="nil"/>
              <w:left w:val="double" w:color="auto" w:sz="6" w:space="0"/>
              <w:bottom w:val="single" w:color="auto" w:sz="4" w:space="0"/>
              <w:right w:val="single" w:color="auto" w:sz="4" w:space="0"/>
            </w:tcBorders>
            <w:shd w:val="clear" w:color="auto" w:fill="auto"/>
            <w:noWrap/>
            <w:vAlign w:val="bottom"/>
            <w:hideMark/>
          </w:tcPr>
          <w:p w:rsidRPr="00387AB6" w:rsidR="00104742" w:rsidP="00573A19" w:rsidRDefault="00104742" w14:paraId="2FBB3A4F"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4" w:space="0"/>
              <w:right w:val="double" w:color="auto" w:sz="6" w:space="0"/>
            </w:tcBorders>
            <w:shd w:val="clear" w:color="auto" w:fill="auto"/>
            <w:noWrap/>
            <w:vAlign w:val="bottom"/>
            <w:hideMark/>
          </w:tcPr>
          <w:p w:rsidRPr="00387AB6" w:rsidR="00104742" w:rsidP="00573A19" w:rsidRDefault="00104742" w14:paraId="3CB8B31B" w14:textId="77777777">
            <w:pPr>
              <w:rPr>
                <w:rFonts w:cs="Calibri"/>
                <w:color w:val="000000"/>
                <w:sz w:val="24"/>
                <w:szCs w:val="24"/>
              </w:rPr>
            </w:pPr>
            <w:r w:rsidRPr="00387AB6">
              <w:rPr>
                <w:rFonts w:cs="Calibri"/>
                <w:color w:val="000000"/>
                <w:sz w:val="24"/>
                <w:szCs w:val="24"/>
              </w:rPr>
              <w:t> </w:t>
            </w:r>
          </w:p>
        </w:tc>
        <w:tc>
          <w:tcPr>
            <w:tcW w:w="1302" w:type="dxa"/>
            <w:tcBorders>
              <w:top w:val="nil"/>
              <w:left w:val="nil"/>
              <w:bottom w:val="single" w:color="auto" w:sz="4" w:space="0"/>
              <w:right w:val="single" w:color="auto" w:sz="4" w:space="0"/>
            </w:tcBorders>
            <w:shd w:val="clear" w:color="auto" w:fill="auto"/>
            <w:noWrap/>
            <w:vAlign w:val="bottom"/>
            <w:hideMark/>
          </w:tcPr>
          <w:p w:rsidRPr="00387AB6" w:rsidR="00104742" w:rsidP="00573A19" w:rsidRDefault="00104742" w14:paraId="14BBD473"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4" w:space="0"/>
              <w:right w:val="single" w:color="auto" w:sz="8" w:space="0"/>
            </w:tcBorders>
            <w:shd w:val="clear" w:color="auto" w:fill="auto"/>
            <w:noWrap/>
            <w:vAlign w:val="bottom"/>
            <w:hideMark/>
          </w:tcPr>
          <w:p w:rsidRPr="00387AB6" w:rsidR="00104742" w:rsidP="00573A19" w:rsidRDefault="00104742" w14:paraId="04D1F7C1" w14:textId="77777777">
            <w:pPr>
              <w:rPr>
                <w:rFonts w:cs="Calibri"/>
                <w:color w:val="000000"/>
                <w:sz w:val="24"/>
                <w:szCs w:val="24"/>
              </w:rPr>
            </w:pPr>
            <w:r w:rsidRPr="00387AB6">
              <w:rPr>
                <w:rFonts w:cs="Calibri"/>
                <w:color w:val="000000"/>
                <w:sz w:val="24"/>
                <w:szCs w:val="24"/>
              </w:rPr>
              <w:t> </w:t>
            </w:r>
          </w:p>
        </w:tc>
      </w:tr>
      <w:tr w:rsidRPr="00387AB6" w:rsidR="00104742" w:rsidTr="00104742" w14:paraId="74CCCDDA" w14:textId="77777777">
        <w:trPr>
          <w:trHeight w:val="305"/>
        </w:trPr>
        <w:tc>
          <w:tcPr>
            <w:tcW w:w="575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387AB6" w:rsidR="00104742" w:rsidP="00573A19" w:rsidRDefault="00104742" w14:paraId="3A435959" w14:textId="29EF118D">
            <w:pPr>
              <w:rPr>
                <w:rFonts w:cs="Calibri"/>
                <w:color w:val="000000"/>
                <w:sz w:val="24"/>
                <w:szCs w:val="24"/>
              </w:rPr>
            </w:pPr>
            <w:r w:rsidRPr="00387AB6">
              <w:rPr>
                <w:rFonts w:cs="Calibri"/>
                <w:color w:val="000000"/>
                <w:sz w:val="24"/>
                <w:szCs w:val="24"/>
              </w:rPr>
              <w:t>Customers with Onsite Solar +Battery storage</w:t>
            </w:r>
          </w:p>
        </w:tc>
        <w:tc>
          <w:tcPr>
            <w:tcW w:w="1302" w:type="dxa"/>
            <w:tcBorders>
              <w:top w:val="nil"/>
              <w:left w:val="single" w:color="auto" w:sz="4" w:space="0"/>
              <w:bottom w:val="nil"/>
              <w:right w:val="single" w:color="auto" w:sz="4" w:space="0"/>
            </w:tcBorders>
            <w:shd w:val="clear" w:color="auto" w:fill="auto"/>
            <w:noWrap/>
            <w:vAlign w:val="bottom"/>
            <w:hideMark/>
          </w:tcPr>
          <w:p w:rsidRPr="00387AB6" w:rsidR="00104742" w:rsidP="00573A19" w:rsidRDefault="00104742" w14:paraId="44C79009"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nil"/>
              <w:right w:val="double" w:color="auto" w:sz="6" w:space="0"/>
            </w:tcBorders>
            <w:shd w:val="clear" w:color="auto" w:fill="auto"/>
            <w:noWrap/>
            <w:vAlign w:val="bottom"/>
            <w:hideMark/>
          </w:tcPr>
          <w:p w:rsidRPr="00387AB6" w:rsidR="00104742" w:rsidP="00573A19" w:rsidRDefault="00104742" w14:paraId="36ED87E8" w14:textId="77777777">
            <w:pPr>
              <w:rPr>
                <w:rFonts w:cs="Calibri"/>
                <w:color w:val="000000"/>
                <w:sz w:val="24"/>
                <w:szCs w:val="24"/>
              </w:rPr>
            </w:pPr>
            <w:r w:rsidRPr="00387AB6">
              <w:rPr>
                <w:rFonts w:cs="Calibri"/>
                <w:color w:val="000000"/>
                <w:sz w:val="24"/>
                <w:szCs w:val="24"/>
              </w:rPr>
              <w:t> </w:t>
            </w:r>
          </w:p>
        </w:tc>
        <w:tc>
          <w:tcPr>
            <w:tcW w:w="1302" w:type="dxa"/>
            <w:tcBorders>
              <w:top w:val="nil"/>
              <w:left w:val="nil"/>
              <w:bottom w:val="nil"/>
              <w:right w:val="nil"/>
            </w:tcBorders>
            <w:shd w:val="clear" w:color="auto" w:fill="auto"/>
            <w:noWrap/>
            <w:vAlign w:val="bottom"/>
            <w:hideMark/>
          </w:tcPr>
          <w:p w:rsidRPr="00387AB6" w:rsidR="00104742" w:rsidP="00573A19" w:rsidRDefault="00104742" w14:paraId="51839291" w14:textId="77777777">
            <w:pPr>
              <w:rPr>
                <w:rFonts w:cs="Calibri"/>
                <w:color w:val="000000"/>
                <w:sz w:val="24"/>
                <w:szCs w:val="24"/>
              </w:rPr>
            </w:pPr>
          </w:p>
        </w:tc>
        <w:tc>
          <w:tcPr>
            <w:tcW w:w="1246" w:type="dxa"/>
            <w:tcBorders>
              <w:top w:val="nil"/>
              <w:left w:val="nil"/>
              <w:bottom w:val="nil"/>
              <w:right w:val="nil"/>
            </w:tcBorders>
            <w:shd w:val="clear" w:color="auto" w:fill="auto"/>
            <w:noWrap/>
            <w:vAlign w:val="bottom"/>
            <w:hideMark/>
          </w:tcPr>
          <w:p w:rsidRPr="00387AB6" w:rsidR="00104742" w:rsidP="00573A19" w:rsidRDefault="00104742" w14:paraId="3F9AA2DC" w14:textId="77777777">
            <w:pPr>
              <w:rPr>
                <w:sz w:val="24"/>
                <w:szCs w:val="24"/>
              </w:rPr>
            </w:pPr>
          </w:p>
        </w:tc>
        <w:tc>
          <w:tcPr>
            <w:tcW w:w="1302" w:type="dxa"/>
            <w:tcBorders>
              <w:top w:val="nil"/>
              <w:left w:val="double" w:color="auto" w:sz="6" w:space="0"/>
              <w:bottom w:val="nil"/>
              <w:right w:val="single" w:color="auto" w:sz="4" w:space="0"/>
            </w:tcBorders>
            <w:shd w:val="clear" w:color="auto" w:fill="auto"/>
            <w:noWrap/>
            <w:vAlign w:val="bottom"/>
            <w:hideMark/>
          </w:tcPr>
          <w:p w:rsidRPr="00387AB6" w:rsidR="00104742" w:rsidP="00573A19" w:rsidRDefault="00104742" w14:paraId="2A66B820"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nil"/>
              <w:right w:val="double" w:color="auto" w:sz="6" w:space="0"/>
            </w:tcBorders>
            <w:shd w:val="clear" w:color="auto" w:fill="auto"/>
            <w:noWrap/>
            <w:vAlign w:val="bottom"/>
            <w:hideMark/>
          </w:tcPr>
          <w:p w:rsidRPr="00387AB6" w:rsidR="00104742" w:rsidP="00573A19" w:rsidRDefault="00104742" w14:paraId="41B2742C" w14:textId="77777777">
            <w:pPr>
              <w:rPr>
                <w:rFonts w:cs="Calibri"/>
                <w:color w:val="000000"/>
                <w:sz w:val="24"/>
                <w:szCs w:val="24"/>
              </w:rPr>
            </w:pPr>
            <w:r w:rsidRPr="00387AB6">
              <w:rPr>
                <w:rFonts w:cs="Calibri"/>
                <w:color w:val="000000"/>
                <w:sz w:val="24"/>
                <w:szCs w:val="24"/>
              </w:rPr>
              <w:t> </w:t>
            </w:r>
          </w:p>
        </w:tc>
        <w:tc>
          <w:tcPr>
            <w:tcW w:w="1302" w:type="dxa"/>
            <w:tcBorders>
              <w:top w:val="nil"/>
              <w:left w:val="nil"/>
              <w:bottom w:val="nil"/>
              <w:right w:val="single" w:color="auto" w:sz="4" w:space="0"/>
            </w:tcBorders>
            <w:shd w:val="clear" w:color="auto" w:fill="auto"/>
            <w:noWrap/>
            <w:vAlign w:val="bottom"/>
            <w:hideMark/>
          </w:tcPr>
          <w:p w:rsidRPr="00387AB6" w:rsidR="00104742" w:rsidP="00573A19" w:rsidRDefault="00104742" w14:paraId="761F9FF0"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nil"/>
              <w:right w:val="single" w:color="auto" w:sz="8" w:space="0"/>
            </w:tcBorders>
            <w:shd w:val="clear" w:color="auto" w:fill="auto"/>
            <w:noWrap/>
            <w:vAlign w:val="bottom"/>
            <w:hideMark/>
          </w:tcPr>
          <w:p w:rsidRPr="00387AB6" w:rsidR="00104742" w:rsidP="00573A19" w:rsidRDefault="00104742" w14:paraId="36479FDE" w14:textId="77777777">
            <w:pPr>
              <w:rPr>
                <w:rFonts w:cs="Calibri"/>
                <w:color w:val="000000"/>
                <w:sz w:val="24"/>
                <w:szCs w:val="24"/>
              </w:rPr>
            </w:pPr>
            <w:r w:rsidRPr="00387AB6">
              <w:rPr>
                <w:rFonts w:cs="Calibri"/>
                <w:color w:val="000000"/>
                <w:sz w:val="24"/>
                <w:szCs w:val="24"/>
              </w:rPr>
              <w:t> </w:t>
            </w:r>
          </w:p>
        </w:tc>
      </w:tr>
      <w:tr w:rsidRPr="00387AB6" w:rsidR="00104742" w:rsidTr="00104742" w14:paraId="2870036C" w14:textId="77777777">
        <w:trPr>
          <w:trHeight w:val="602"/>
        </w:trPr>
        <w:tc>
          <w:tcPr>
            <w:tcW w:w="575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387AB6" w:rsidR="00104742" w:rsidP="00573A19" w:rsidRDefault="00104742" w14:paraId="70022BF6" w14:textId="53811EFF">
            <w:pPr>
              <w:rPr>
                <w:rFonts w:cs="Calibri"/>
                <w:color w:val="000000"/>
                <w:sz w:val="24"/>
                <w:szCs w:val="24"/>
              </w:rPr>
            </w:pPr>
            <w:r w:rsidRPr="00387AB6">
              <w:rPr>
                <w:rFonts w:cs="Calibri"/>
                <w:color w:val="000000"/>
                <w:sz w:val="24"/>
                <w:szCs w:val="24"/>
              </w:rPr>
              <w:t>Customers who have participated in ESA program in the past 7 years</w:t>
            </w:r>
          </w:p>
        </w:tc>
        <w:tc>
          <w:tcPr>
            <w:tcW w:w="1302" w:type="dxa"/>
            <w:tcBorders>
              <w:top w:val="single" w:color="auto" w:sz="4" w:space="0"/>
              <w:left w:val="single" w:color="auto" w:sz="4" w:space="0"/>
              <w:bottom w:val="nil"/>
              <w:right w:val="single" w:color="auto" w:sz="4" w:space="0"/>
            </w:tcBorders>
            <w:shd w:val="clear" w:color="auto" w:fill="auto"/>
            <w:noWrap/>
            <w:vAlign w:val="bottom"/>
            <w:hideMark/>
          </w:tcPr>
          <w:p w:rsidRPr="00387AB6" w:rsidR="00104742" w:rsidP="00573A19" w:rsidRDefault="00104742" w14:paraId="1E5D81AB" w14:textId="77777777">
            <w:pPr>
              <w:rPr>
                <w:rFonts w:cs="Calibri"/>
                <w:color w:val="000000"/>
                <w:sz w:val="24"/>
                <w:szCs w:val="24"/>
              </w:rPr>
            </w:pPr>
            <w:r w:rsidRPr="00387AB6">
              <w:rPr>
                <w:rFonts w:cs="Calibri"/>
                <w:color w:val="000000"/>
                <w:sz w:val="24"/>
                <w:szCs w:val="24"/>
              </w:rPr>
              <w:t> </w:t>
            </w:r>
          </w:p>
        </w:tc>
        <w:tc>
          <w:tcPr>
            <w:tcW w:w="1246" w:type="dxa"/>
            <w:tcBorders>
              <w:top w:val="single" w:color="auto" w:sz="4" w:space="0"/>
              <w:left w:val="nil"/>
              <w:bottom w:val="nil"/>
              <w:right w:val="double" w:color="auto" w:sz="6" w:space="0"/>
            </w:tcBorders>
            <w:shd w:val="clear" w:color="auto" w:fill="auto"/>
            <w:noWrap/>
            <w:vAlign w:val="bottom"/>
            <w:hideMark/>
          </w:tcPr>
          <w:p w:rsidRPr="00387AB6" w:rsidR="00104742" w:rsidP="00573A19" w:rsidRDefault="00104742" w14:paraId="044435FF" w14:textId="77777777">
            <w:pPr>
              <w:rPr>
                <w:rFonts w:cs="Calibri"/>
                <w:color w:val="000000"/>
                <w:sz w:val="24"/>
                <w:szCs w:val="24"/>
              </w:rPr>
            </w:pPr>
            <w:r w:rsidRPr="00387AB6">
              <w:rPr>
                <w:rFonts w:cs="Calibri"/>
                <w:color w:val="000000"/>
                <w:sz w:val="24"/>
                <w:szCs w:val="24"/>
              </w:rPr>
              <w:t> </w:t>
            </w:r>
          </w:p>
        </w:tc>
        <w:tc>
          <w:tcPr>
            <w:tcW w:w="1302" w:type="dxa"/>
            <w:tcBorders>
              <w:top w:val="single" w:color="auto" w:sz="4" w:space="0"/>
              <w:left w:val="nil"/>
              <w:bottom w:val="nil"/>
              <w:right w:val="nil"/>
            </w:tcBorders>
            <w:shd w:val="clear" w:color="auto" w:fill="auto"/>
            <w:noWrap/>
            <w:vAlign w:val="bottom"/>
            <w:hideMark/>
          </w:tcPr>
          <w:p w:rsidRPr="00387AB6" w:rsidR="00104742" w:rsidP="00573A19" w:rsidRDefault="00104742" w14:paraId="47D825F1" w14:textId="77777777">
            <w:pPr>
              <w:rPr>
                <w:rFonts w:cs="Calibri"/>
                <w:color w:val="000000"/>
                <w:sz w:val="24"/>
                <w:szCs w:val="24"/>
              </w:rPr>
            </w:pPr>
            <w:r w:rsidRPr="00387AB6">
              <w:rPr>
                <w:rFonts w:cs="Calibri"/>
                <w:color w:val="000000"/>
                <w:sz w:val="24"/>
                <w:szCs w:val="24"/>
              </w:rPr>
              <w:t> </w:t>
            </w:r>
          </w:p>
        </w:tc>
        <w:tc>
          <w:tcPr>
            <w:tcW w:w="1246" w:type="dxa"/>
            <w:tcBorders>
              <w:top w:val="single" w:color="auto" w:sz="4" w:space="0"/>
              <w:left w:val="nil"/>
              <w:bottom w:val="nil"/>
              <w:right w:val="nil"/>
            </w:tcBorders>
            <w:shd w:val="clear" w:color="auto" w:fill="auto"/>
            <w:noWrap/>
            <w:vAlign w:val="bottom"/>
            <w:hideMark/>
          </w:tcPr>
          <w:p w:rsidRPr="00387AB6" w:rsidR="00104742" w:rsidP="00573A19" w:rsidRDefault="00104742" w14:paraId="4A347221" w14:textId="77777777">
            <w:pPr>
              <w:rPr>
                <w:rFonts w:cs="Calibri"/>
                <w:color w:val="000000"/>
                <w:sz w:val="24"/>
                <w:szCs w:val="24"/>
              </w:rPr>
            </w:pPr>
            <w:r w:rsidRPr="00387AB6">
              <w:rPr>
                <w:rFonts w:cs="Calibri"/>
                <w:color w:val="000000"/>
                <w:sz w:val="24"/>
                <w:szCs w:val="24"/>
              </w:rPr>
              <w:t> </w:t>
            </w:r>
          </w:p>
        </w:tc>
        <w:tc>
          <w:tcPr>
            <w:tcW w:w="1302" w:type="dxa"/>
            <w:tcBorders>
              <w:top w:val="single" w:color="auto" w:sz="4" w:space="0"/>
              <w:left w:val="double" w:color="auto" w:sz="6" w:space="0"/>
              <w:bottom w:val="nil"/>
              <w:right w:val="single" w:color="auto" w:sz="4" w:space="0"/>
            </w:tcBorders>
            <w:shd w:val="clear" w:color="auto" w:fill="auto"/>
            <w:noWrap/>
            <w:vAlign w:val="bottom"/>
            <w:hideMark/>
          </w:tcPr>
          <w:p w:rsidRPr="00387AB6" w:rsidR="00104742" w:rsidP="00573A19" w:rsidRDefault="00104742" w14:paraId="590B4530" w14:textId="77777777">
            <w:pPr>
              <w:rPr>
                <w:rFonts w:cs="Calibri"/>
                <w:color w:val="000000"/>
                <w:sz w:val="24"/>
                <w:szCs w:val="24"/>
              </w:rPr>
            </w:pPr>
            <w:r w:rsidRPr="00387AB6">
              <w:rPr>
                <w:rFonts w:cs="Calibri"/>
                <w:color w:val="000000"/>
                <w:sz w:val="24"/>
                <w:szCs w:val="24"/>
              </w:rPr>
              <w:t> </w:t>
            </w:r>
          </w:p>
        </w:tc>
        <w:tc>
          <w:tcPr>
            <w:tcW w:w="1246" w:type="dxa"/>
            <w:tcBorders>
              <w:top w:val="single" w:color="auto" w:sz="4" w:space="0"/>
              <w:left w:val="nil"/>
              <w:bottom w:val="nil"/>
              <w:right w:val="double" w:color="auto" w:sz="6" w:space="0"/>
            </w:tcBorders>
            <w:shd w:val="clear" w:color="auto" w:fill="auto"/>
            <w:noWrap/>
            <w:vAlign w:val="bottom"/>
            <w:hideMark/>
          </w:tcPr>
          <w:p w:rsidRPr="00387AB6" w:rsidR="00104742" w:rsidP="00573A19" w:rsidRDefault="00104742" w14:paraId="206A1D2E" w14:textId="77777777">
            <w:pPr>
              <w:rPr>
                <w:rFonts w:cs="Calibri"/>
                <w:color w:val="000000"/>
                <w:sz w:val="24"/>
                <w:szCs w:val="24"/>
              </w:rPr>
            </w:pPr>
            <w:r w:rsidRPr="00387AB6">
              <w:rPr>
                <w:rFonts w:cs="Calibri"/>
                <w:color w:val="000000"/>
                <w:sz w:val="24"/>
                <w:szCs w:val="24"/>
              </w:rPr>
              <w:t> </w:t>
            </w:r>
          </w:p>
        </w:tc>
        <w:tc>
          <w:tcPr>
            <w:tcW w:w="1302" w:type="dxa"/>
            <w:tcBorders>
              <w:top w:val="single" w:color="auto" w:sz="4" w:space="0"/>
              <w:left w:val="nil"/>
              <w:bottom w:val="nil"/>
              <w:right w:val="single" w:color="auto" w:sz="4" w:space="0"/>
            </w:tcBorders>
            <w:shd w:val="clear" w:color="auto" w:fill="auto"/>
            <w:noWrap/>
            <w:vAlign w:val="bottom"/>
            <w:hideMark/>
          </w:tcPr>
          <w:p w:rsidRPr="00387AB6" w:rsidR="00104742" w:rsidP="00573A19" w:rsidRDefault="00104742" w14:paraId="21EE1FEA" w14:textId="77777777">
            <w:pPr>
              <w:rPr>
                <w:rFonts w:cs="Calibri"/>
                <w:color w:val="000000"/>
                <w:sz w:val="24"/>
                <w:szCs w:val="24"/>
              </w:rPr>
            </w:pPr>
            <w:r w:rsidRPr="00387AB6">
              <w:rPr>
                <w:rFonts w:cs="Calibri"/>
                <w:color w:val="000000"/>
                <w:sz w:val="24"/>
                <w:szCs w:val="24"/>
              </w:rPr>
              <w:t> </w:t>
            </w:r>
          </w:p>
        </w:tc>
        <w:tc>
          <w:tcPr>
            <w:tcW w:w="1246" w:type="dxa"/>
            <w:tcBorders>
              <w:top w:val="single" w:color="auto" w:sz="4" w:space="0"/>
              <w:left w:val="nil"/>
              <w:bottom w:val="nil"/>
              <w:right w:val="single" w:color="auto" w:sz="8" w:space="0"/>
            </w:tcBorders>
            <w:shd w:val="clear" w:color="auto" w:fill="auto"/>
            <w:noWrap/>
            <w:vAlign w:val="bottom"/>
            <w:hideMark/>
          </w:tcPr>
          <w:p w:rsidRPr="00387AB6" w:rsidR="00104742" w:rsidP="00573A19" w:rsidRDefault="00104742" w14:paraId="474B224F" w14:textId="77777777">
            <w:pPr>
              <w:rPr>
                <w:rFonts w:cs="Calibri"/>
                <w:color w:val="000000"/>
                <w:sz w:val="24"/>
                <w:szCs w:val="24"/>
              </w:rPr>
            </w:pPr>
            <w:r w:rsidRPr="00387AB6">
              <w:rPr>
                <w:rFonts w:cs="Calibri"/>
                <w:color w:val="000000"/>
                <w:sz w:val="24"/>
                <w:szCs w:val="24"/>
              </w:rPr>
              <w:t> </w:t>
            </w:r>
          </w:p>
        </w:tc>
      </w:tr>
      <w:tr w:rsidRPr="00387AB6" w:rsidR="00104742" w:rsidTr="00104742" w14:paraId="39AEADDB" w14:textId="77777777">
        <w:trPr>
          <w:trHeight w:val="300"/>
        </w:trPr>
        <w:tc>
          <w:tcPr>
            <w:tcW w:w="5750" w:type="dxa"/>
            <w:tcBorders>
              <w:top w:val="single" w:color="auto" w:sz="4" w:space="0"/>
              <w:left w:val="single" w:color="auto" w:sz="8" w:space="0"/>
              <w:bottom w:val="single" w:color="auto" w:sz="4" w:space="0"/>
              <w:right w:val="nil"/>
            </w:tcBorders>
            <w:shd w:val="clear" w:color="000000" w:fill="BFBFBF"/>
            <w:vAlign w:val="bottom"/>
            <w:hideMark/>
          </w:tcPr>
          <w:p w:rsidRPr="00387AB6" w:rsidR="00104742" w:rsidP="00573A19" w:rsidRDefault="00104742" w14:paraId="6C400E17" w14:textId="77777777">
            <w:pPr>
              <w:rPr>
                <w:rFonts w:cs="Calibri"/>
                <w:i/>
                <w:iCs/>
                <w:color w:val="000000"/>
                <w:sz w:val="24"/>
                <w:szCs w:val="24"/>
              </w:rPr>
            </w:pPr>
            <w:r w:rsidRPr="00387AB6">
              <w:rPr>
                <w:rFonts w:cs="Calibri"/>
                <w:i/>
                <w:iCs/>
                <w:color w:val="000000"/>
                <w:sz w:val="24"/>
                <w:szCs w:val="24"/>
              </w:rPr>
              <w:t>Master-metered Customers</w:t>
            </w:r>
          </w:p>
        </w:tc>
        <w:tc>
          <w:tcPr>
            <w:tcW w:w="1302" w:type="dxa"/>
            <w:tcBorders>
              <w:top w:val="single" w:color="auto" w:sz="4" w:space="0"/>
              <w:left w:val="single" w:color="auto" w:sz="8" w:space="0"/>
              <w:bottom w:val="single" w:color="auto" w:sz="4" w:space="0"/>
              <w:right w:val="single" w:color="auto" w:sz="4" w:space="0"/>
            </w:tcBorders>
            <w:shd w:val="clear" w:color="000000" w:fill="BFBFBF"/>
            <w:noWrap/>
            <w:vAlign w:val="bottom"/>
            <w:hideMark/>
          </w:tcPr>
          <w:p w:rsidRPr="00387AB6" w:rsidR="00104742" w:rsidP="00573A19" w:rsidRDefault="00104742" w14:paraId="7069699C" w14:textId="77777777">
            <w:pPr>
              <w:rPr>
                <w:rFonts w:cs="Calibri"/>
                <w:color w:val="000000"/>
                <w:sz w:val="24"/>
                <w:szCs w:val="24"/>
              </w:rPr>
            </w:pPr>
            <w:r w:rsidRPr="00387AB6">
              <w:rPr>
                <w:rFonts w:cs="Calibri"/>
                <w:color w:val="000000"/>
                <w:sz w:val="24"/>
                <w:szCs w:val="24"/>
              </w:rPr>
              <w:t> </w:t>
            </w:r>
          </w:p>
        </w:tc>
        <w:tc>
          <w:tcPr>
            <w:tcW w:w="1246" w:type="dxa"/>
            <w:tcBorders>
              <w:top w:val="single" w:color="auto" w:sz="4" w:space="0"/>
              <w:left w:val="nil"/>
              <w:bottom w:val="single" w:color="auto" w:sz="4" w:space="0"/>
              <w:right w:val="double" w:color="auto" w:sz="6" w:space="0"/>
            </w:tcBorders>
            <w:shd w:val="clear" w:color="000000" w:fill="BFBFBF"/>
            <w:noWrap/>
            <w:vAlign w:val="bottom"/>
            <w:hideMark/>
          </w:tcPr>
          <w:p w:rsidRPr="00387AB6" w:rsidR="00104742" w:rsidP="00573A19" w:rsidRDefault="00104742" w14:paraId="17057D2F" w14:textId="77777777">
            <w:pPr>
              <w:rPr>
                <w:rFonts w:cs="Calibri"/>
                <w:color w:val="000000"/>
                <w:sz w:val="24"/>
                <w:szCs w:val="24"/>
              </w:rPr>
            </w:pPr>
            <w:r w:rsidRPr="00387AB6">
              <w:rPr>
                <w:rFonts w:cs="Calibri"/>
                <w:color w:val="000000"/>
                <w:sz w:val="24"/>
                <w:szCs w:val="24"/>
              </w:rPr>
              <w:t> </w:t>
            </w:r>
          </w:p>
        </w:tc>
        <w:tc>
          <w:tcPr>
            <w:tcW w:w="1302" w:type="dxa"/>
            <w:tcBorders>
              <w:top w:val="single" w:color="auto" w:sz="4" w:space="0"/>
              <w:left w:val="nil"/>
              <w:bottom w:val="single" w:color="auto" w:sz="4" w:space="0"/>
              <w:right w:val="nil"/>
            </w:tcBorders>
            <w:shd w:val="clear" w:color="000000" w:fill="BFBFBF"/>
            <w:noWrap/>
            <w:vAlign w:val="bottom"/>
            <w:hideMark/>
          </w:tcPr>
          <w:p w:rsidRPr="00387AB6" w:rsidR="00104742" w:rsidP="00573A19" w:rsidRDefault="00104742" w14:paraId="48A04320" w14:textId="77777777">
            <w:pPr>
              <w:rPr>
                <w:rFonts w:cs="Calibri"/>
                <w:color w:val="000000"/>
                <w:sz w:val="24"/>
                <w:szCs w:val="24"/>
              </w:rPr>
            </w:pPr>
            <w:r w:rsidRPr="00387AB6">
              <w:rPr>
                <w:rFonts w:cs="Calibri"/>
                <w:color w:val="000000"/>
                <w:sz w:val="24"/>
                <w:szCs w:val="24"/>
              </w:rPr>
              <w:t> </w:t>
            </w:r>
          </w:p>
        </w:tc>
        <w:tc>
          <w:tcPr>
            <w:tcW w:w="1246" w:type="dxa"/>
            <w:tcBorders>
              <w:top w:val="single" w:color="auto" w:sz="4" w:space="0"/>
              <w:left w:val="nil"/>
              <w:bottom w:val="single" w:color="auto" w:sz="4" w:space="0"/>
              <w:right w:val="nil"/>
            </w:tcBorders>
            <w:shd w:val="clear" w:color="000000" w:fill="BFBFBF"/>
            <w:noWrap/>
            <w:vAlign w:val="bottom"/>
            <w:hideMark/>
          </w:tcPr>
          <w:p w:rsidRPr="00387AB6" w:rsidR="00104742" w:rsidP="00573A19" w:rsidRDefault="00104742" w14:paraId="473BEE4D" w14:textId="77777777">
            <w:pPr>
              <w:rPr>
                <w:rFonts w:cs="Calibri"/>
                <w:color w:val="000000"/>
                <w:sz w:val="24"/>
                <w:szCs w:val="24"/>
              </w:rPr>
            </w:pPr>
            <w:r w:rsidRPr="00387AB6">
              <w:rPr>
                <w:rFonts w:cs="Calibri"/>
                <w:color w:val="000000"/>
                <w:sz w:val="24"/>
                <w:szCs w:val="24"/>
              </w:rPr>
              <w:t> </w:t>
            </w:r>
          </w:p>
        </w:tc>
        <w:tc>
          <w:tcPr>
            <w:tcW w:w="1302" w:type="dxa"/>
            <w:tcBorders>
              <w:top w:val="single" w:color="auto" w:sz="4" w:space="0"/>
              <w:left w:val="double" w:color="auto" w:sz="6" w:space="0"/>
              <w:bottom w:val="single" w:color="auto" w:sz="4" w:space="0"/>
              <w:right w:val="single" w:color="auto" w:sz="4" w:space="0"/>
            </w:tcBorders>
            <w:shd w:val="clear" w:color="000000" w:fill="BFBFBF"/>
            <w:noWrap/>
            <w:vAlign w:val="bottom"/>
            <w:hideMark/>
          </w:tcPr>
          <w:p w:rsidRPr="00387AB6" w:rsidR="00104742" w:rsidP="00573A19" w:rsidRDefault="00104742" w14:paraId="6131EB58" w14:textId="77777777">
            <w:pPr>
              <w:rPr>
                <w:rFonts w:cs="Calibri"/>
                <w:color w:val="000000"/>
                <w:sz w:val="24"/>
                <w:szCs w:val="24"/>
              </w:rPr>
            </w:pPr>
            <w:r w:rsidRPr="00387AB6">
              <w:rPr>
                <w:rFonts w:cs="Calibri"/>
                <w:color w:val="000000"/>
                <w:sz w:val="24"/>
                <w:szCs w:val="24"/>
              </w:rPr>
              <w:t> </w:t>
            </w:r>
          </w:p>
        </w:tc>
        <w:tc>
          <w:tcPr>
            <w:tcW w:w="1246" w:type="dxa"/>
            <w:tcBorders>
              <w:top w:val="single" w:color="auto" w:sz="4" w:space="0"/>
              <w:left w:val="nil"/>
              <w:bottom w:val="single" w:color="auto" w:sz="4" w:space="0"/>
              <w:right w:val="double" w:color="auto" w:sz="6" w:space="0"/>
            </w:tcBorders>
            <w:shd w:val="clear" w:color="000000" w:fill="BFBFBF"/>
            <w:noWrap/>
            <w:vAlign w:val="bottom"/>
            <w:hideMark/>
          </w:tcPr>
          <w:p w:rsidRPr="00387AB6" w:rsidR="00104742" w:rsidP="00573A19" w:rsidRDefault="00104742" w14:paraId="531E73F9" w14:textId="77777777">
            <w:pPr>
              <w:rPr>
                <w:rFonts w:cs="Calibri"/>
                <w:color w:val="000000"/>
                <w:sz w:val="24"/>
                <w:szCs w:val="24"/>
              </w:rPr>
            </w:pPr>
            <w:r w:rsidRPr="00387AB6">
              <w:rPr>
                <w:rFonts w:cs="Calibri"/>
                <w:color w:val="000000"/>
                <w:sz w:val="24"/>
                <w:szCs w:val="24"/>
              </w:rPr>
              <w:t> </w:t>
            </w:r>
          </w:p>
        </w:tc>
        <w:tc>
          <w:tcPr>
            <w:tcW w:w="1302" w:type="dxa"/>
            <w:tcBorders>
              <w:top w:val="single" w:color="auto" w:sz="4" w:space="0"/>
              <w:left w:val="nil"/>
              <w:bottom w:val="single" w:color="auto" w:sz="4" w:space="0"/>
              <w:right w:val="single" w:color="auto" w:sz="4" w:space="0"/>
            </w:tcBorders>
            <w:shd w:val="clear" w:color="000000" w:fill="BFBFBF"/>
            <w:noWrap/>
            <w:vAlign w:val="bottom"/>
            <w:hideMark/>
          </w:tcPr>
          <w:p w:rsidRPr="00387AB6" w:rsidR="00104742" w:rsidP="00573A19" w:rsidRDefault="00104742" w14:paraId="5253EB9A" w14:textId="77777777">
            <w:pPr>
              <w:rPr>
                <w:rFonts w:cs="Calibri"/>
                <w:color w:val="000000"/>
                <w:sz w:val="24"/>
                <w:szCs w:val="24"/>
              </w:rPr>
            </w:pPr>
            <w:r w:rsidRPr="00387AB6">
              <w:rPr>
                <w:rFonts w:cs="Calibri"/>
                <w:color w:val="000000"/>
                <w:sz w:val="24"/>
                <w:szCs w:val="24"/>
              </w:rPr>
              <w:t> </w:t>
            </w:r>
          </w:p>
        </w:tc>
        <w:tc>
          <w:tcPr>
            <w:tcW w:w="1246" w:type="dxa"/>
            <w:tcBorders>
              <w:top w:val="single" w:color="auto" w:sz="4" w:space="0"/>
              <w:left w:val="nil"/>
              <w:bottom w:val="single" w:color="auto" w:sz="4" w:space="0"/>
              <w:right w:val="single" w:color="auto" w:sz="8" w:space="0"/>
            </w:tcBorders>
            <w:shd w:val="clear" w:color="000000" w:fill="BFBFBF"/>
            <w:noWrap/>
            <w:vAlign w:val="bottom"/>
            <w:hideMark/>
          </w:tcPr>
          <w:p w:rsidRPr="00387AB6" w:rsidR="00104742" w:rsidP="00573A19" w:rsidRDefault="00104742" w14:paraId="78824C1B" w14:textId="77777777">
            <w:pPr>
              <w:rPr>
                <w:rFonts w:cs="Calibri"/>
                <w:color w:val="000000"/>
                <w:sz w:val="24"/>
                <w:szCs w:val="24"/>
              </w:rPr>
            </w:pPr>
            <w:r w:rsidRPr="00387AB6">
              <w:rPr>
                <w:rFonts w:cs="Calibri"/>
                <w:color w:val="000000"/>
                <w:sz w:val="24"/>
                <w:szCs w:val="24"/>
              </w:rPr>
              <w:t> </w:t>
            </w:r>
          </w:p>
        </w:tc>
      </w:tr>
      <w:tr w:rsidRPr="00387AB6" w:rsidR="00104742" w:rsidTr="00104742" w14:paraId="5BD67DD5" w14:textId="77777777">
        <w:trPr>
          <w:trHeight w:val="287"/>
        </w:trPr>
        <w:tc>
          <w:tcPr>
            <w:tcW w:w="5750" w:type="dxa"/>
            <w:tcBorders>
              <w:top w:val="nil"/>
              <w:left w:val="single" w:color="auto" w:sz="8" w:space="0"/>
              <w:bottom w:val="single" w:color="auto" w:sz="8" w:space="0"/>
              <w:right w:val="nil"/>
            </w:tcBorders>
            <w:shd w:val="clear" w:color="auto" w:fill="auto"/>
            <w:vAlign w:val="bottom"/>
            <w:hideMark/>
          </w:tcPr>
          <w:p w:rsidRPr="00387AB6" w:rsidR="00104742" w:rsidP="00573A19" w:rsidRDefault="00104742" w14:paraId="7D5082BF" w14:textId="77777777">
            <w:pPr>
              <w:rPr>
                <w:rFonts w:cs="Calibri"/>
                <w:color w:val="000000"/>
                <w:sz w:val="24"/>
                <w:szCs w:val="24"/>
              </w:rPr>
            </w:pPr>
            <w:r w:rsidRPr="00387AB6">
              <w:rPr>
                <w:rFonts w:cs="Calibri"/>
                <w:color w:val="000000"/>
                <w:sz w:val="24"/>
                <w:szCs w:val="24"/>
              </w:rPr>
              <w:t>Number of Master-metered customers</w:t>
            </w:r>
          </w:p>
        </w:tc>
        <w:tc>
          <w:tcPr>
            <w:tcW w:w="1302" w:type="dxa"/>
            <w:tcBorders>
              <w:top w:val="nil"/>
              <w:left w:val="single" w:color="auto" w:sz="8" w:space="0"/>
              <w:bottom w:val="single" w:color="auto" w:sz="8" w:space="0"/>
              <w:right w:val="single" w:color="auto" w:sz="4" w:space="0"/>
            </w:tcBorders>
            <w:shd w:val="clear" w:color="auto" w:fill="auto"/>
            <w:noWrap/>
            <w:vAlign w:val="bottom"/>
            <w:hideMark/>
          </w:tcPr>
          <w:p w:rsidRPr="00387AB6" w:rsidR="00104742" w:rsidP="00573A19" w:rsidRDefault="00104742" w14:paraId="14B4D193"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8" w:space="0"/>
              <w:right w:val="double" w:color="auto" w:sz="6" w:space="0"/>
            </w:tcBorders>
            <w:shd w:val="clear" w:color="auto" w:fill="auto"/>
            <w:noWrap/>
            <w:vAlign w:val="bottom"/>
            <w:hideMark/>
          </w:tcPr>
          <w:p w:rsidRPr="00387AB6" w:rsidR="00104742" w:rsidP="00573A19" w:rsidRDefault="00104742" w14:paraId="77D8B55D" w14:textId="77777777">
            <w:pPr>
              <w:rPr>
                <w:rFonts w:cs="Calibri"/>
                <w:color w:val="000000"/>
                <w:sz w:val="24"/>
                <w:szCs w:val="24"/>
              </w:rPr>
            </w:pPr>
            <w:r w:rsidRPr="00387AB6">
              <w:rPr>
                <w:rFonts w:cs="Calibri"/>
                <w:color w:val="000000"/>
                <w:sz w:val="24"/>
                <w:szCs w:val="24"/>
              </w:rPr>
              <w:t> </w:t>
            </w:r>
          </w:p>
        </w:tc>
        <w:tc>
          <w:tcPr>
            <w:tcW w:w="1302" w:type="dxa"/>
            <w:tcBorders>
              <w:top w:val="nil"/>
              <w:left w:val="nil"/>
              <w:bottom w:val="single" w:color="auto" w:sz="8" w:space="0"/>
              <w:right w:val="nil"/>
            </w:tcBorders>
            <w:shd w:val="clear" w:color="auto" w:fill="auto"/>
            <w:noWrap/>
            <w:vAlign w:val="bottom"/>
            <w:hideMark/>
          </w:tcPr>
          <w:p w:rsidRPr="00387AB6" w:rsidR="00104742" w:rsidP="00573A19" w:rsidRDefault="00104742" w14:paraId="4FB29D21"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8" w:space="0"/>
              <w:right w:val="nil"/>
            </w:tcBorders>
            <w:shd w:val="clear" w:color="auto" w:fill="auto"/>
            <w:noWrap/>
            <w:vAlign w:val="bottom"/>
            <w:hideMark/>
          </w:tcPr>
          <w:p w:rsidRPr="00387AB6" w:rsidR="00104742" w:rsidP="00573A19" w:rsidRDefault="00104742" w14:paraId="1242EE02" w14:textId="77777777">
            <w:pPr>
              <w:rPr>
                <w:rFonts w:cs="Calibri"/>
                <w:color w:val="000000"/>
                <w:sz w:val="24"/>
                <w:szCs w:val="24"/>
              </w:rPr>
            </w:pPr>
            <w:r w:rsidRPr="00387AB6">
              <w:rPr>
                <w:rFonts w:cs="Calibri"/>
                <w:color w:val="000000"/>
                <w:sz w:val="24"/>
                <w:szCs w:val="24"/>
              </w:rPr>
              <w:t> </w:t>
            </w:r>
          </w:p>
        </w:tc>
        <w:tc>
          <w:tcPr>
            <w:tcW w:w="1302" w:type="dxa"/>
            <w:tcBorders>
              <w:top w:val="nil"/>
              <w:left w:val="double" w:color="auto" w:sz="6" w:space="0"/>
              <w:bottom w:val="single" w:color="auto" w:sz="8" w:space="0"/>
              <w:right w:val="single" w:color="auto" w:sz="4" w:space="0"/>
            </w:tcBorders>
            <w:shd w:val="clear" w:color="auto" w:fill="auto"/>
            <w:noWrap/>
            <w:vAlign w:val="bottom"/>
            <w:hideMark/>
          </w:tcPr>
          <w:p w:rsidRPr="00387AB6" w:rsidR="00104742" w:rsidP="00573A19" w:rsidRDefault="00104742" w14:paraId="2CB16F3C"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8" w:space="0"/>
              <w:right w:val="double" w:color="auto" w:sz="6" w:space="0"/>
            </w:tcBorders>
            <w:shd w:val="clear" w:color="auto" w:fill="auto"/>
            <w:noWrap/>
            <w:vAlign w:val="bottom"/>
            <w:hideMark/>
          </w:tcPr>
          <w:p w:rsidRPr="00387AB6" w:rsidR="00104742" w:rsidP="00573A19" w:rsidRDefault="00104742" w14:paraId="2E052697" w14:textId="77777777">
            <w:pPr>
              <w:rPr>
                <w:rFonts w:cs="Calibri"/>
                <w:color w:val="000000"/>
                <w:sz w:val="24"/>
                <w:szCs w:val="24"/>
              </w:rPr>
            </w:pPr>
            <w:r w:rsidRPr="00387AB6">
              <w:rPr>
                <w:rFonts w:cs="Calibri"/>
                <w:color w:val="000000"/>
                <w:sz w:val="24"/>
                <w:szCs w:val="24"/>
              </w:rPr>
              <w:t> </w:t>
            </w:r>
          </w:p>
        </w:tc>
        <w:tc>
          <w:tcPr>
            <w:tcW w:w="1302" w:type="dxa"/>
            <w:tcBorders>
              <w:top w:val="nil"/>
              <w:left w:val="nil"/>
              <w:bottom w:val="single" w:color="auto" w:sz="8" w:space="0"/>
              <w:right w:val="single" w:color="auto" w:sz="4" w:space="0"/>
            </w:tcBorders>
            <w:shd w:val="clear" w:color="auto" w:fill="auto"/>
            <w:noWrap/>
            <w:vAlign w:val="bottom"/>
            <w:hideMark/>
          </w:tcPr>
          <w:p w:rsidRPr="00387AB6" w:rsidR="00104742" w:rsidP="00573A19" w:rsidRDefault="00104742" w14:paraId="16A647E0" w14:textId="77777777">
            <w:pPr>
              <w:rPr>
                <w:rFonts w:cs="Calibri"/>
                <w:color w:val="000000"/>
                <w:sz w:val="24"/>
                <w:szCs w:val="24"/>
              </w:rPr>
            </w:pPr>
            <w:r w:rsidRPr="00387AB6">
              <w:rPr>
                <w:rFonts w:cs="Calibri"/>
                <w:color w:val="000000"/>
                <w:sz w:val="24"/>
                <w:szCs w:val="24"/>
              </w:rPr>
              <w:t> </w:t>
            </w:r>
          </w:p>
        </w:tc>
        <w:tc>
          <w:tcPr>
            <w:tcW w:w="1246" w:type="dxa"/>
            <w:tcBorders>
              <w:top w:val="nil"/>
              <w:left w:val="nil"/>
              <w:bottom w:val="single" w:color="auto" w:sz="8" w:space="0"/>
              <w:right w:val="single" w:color="auto" w:sz="8" w:space="0"/>
            </w:tcBorders>
            <w:shd w:val="clear" w:color="auto" w:fill="auto"/>
            <w:noWrap/>
            <w:vAlign w:val="bottom"/>
            <w:hideMark/>
          </w:tcPr>
          <w:p w:rsidRPr="00387AB6" w:rsidR="00104742" w:rsidP="00573A19" w:rsidRDefault="00104742" w14:paraId="042007C3" w14:textId="77777777">
            <w:pPr>
              <w:rPr>
                <w:rFonts w:cs="Calibri"/>
                <w:color w:val="000000"/>
                <w:sz w:val="24"/>
                <w:szCs w:val="24"/>
              </w:rPr>
            </w:pPr>
            <w:r w:rsidRPr="00387AB6">
              <w:rPr>
                <w:rFonts w:cs="Calibri"/>
                <w:color w:val="000000"/>
                <w:sz w:val="24"/>
                <w:szCs w:val="24"/>
              </w:rPr>
              <w:t> </w:t>
            </w:r>
          </w:p>
        </w:tc>
      </w:tr>
    </w:tbl>
    <w:p w:rsidRPr="00387AB6" w:rsidR="00104742" w:rsidP="00573A19" w:rsidRDefault="00104742" w14:paraId="4EA644D8" w14:textId="77777777">
      <w:pPr>
        <w:rPr>
          <w:sz w:val="24"/>
          <w:szCs w:val="24"/>
        </w:rPr>
      </w:pPr>
    </w:p>
    <w:p w:rsidRPr="00387AB6" w:rsidR="00104742" w:rsidP="00573A19" w:rsidRDefault="00104742" w14:paraId="5BAC04F5" w14:textId="61925881">
      <w:pPr>
        <w:rPr>
          <w:sz w:val="24"/>
          <w:szCs w:val="24"/>
        </w:rPr>
      </w:pPr>
    </w:p>
    <w:p w:rsidRPr="00387AB6" w:rsidR="00387AB6" w:rsidP="00573A19" w:rsidRDefault="00387AB6" w14:paraId="465A2B0C" w14:textId="77777777">
      <w:pPr>
        <w:rPr>
          <w:sz w:val="24"/>
          <w:szCs w:val="24"/>
        </w:rPr>
      </w:pPr>
    </w:p>
    <w:p w:rsidRPr="00387AB6" w:rsidR="00104742" w:rsidP="00573A19" w:rsidRDefault="00104742" w14:paraId="714719D2" w14:textId="77777777">
      <w:pPr>
        <w:rPr>
          <w:i/>
          <w:iCs/>
          <w:sz w:val="24"/>
          <w:szCs w:val="24"/>
        </w:rPr>
      </w:pPr>
    </w:p>
    <w:p w:rsidR="00387AB6" w:rsidRDefault="00387AB6" w14:paraId="61C73B9C" w14:textId="77777777">
      <w:r>
        <w:br w:type="page"/>
      </w:r>
    </w:p>
    <w:tbl>
      <w:tblPr>
        <w:tblW w:w="17270" w:type="dxa"/>
        <w:tblLook w:val="04A0" w:firstRow="1" w:lastRow="0" w:firstColumn="1" w:lastColumn="0" w:noHBand="0" w:noVBand="1"/>
      </w:tblPr>
      <w:tblGrid>
        <w:gridCol w:w="4675"/>
        <w:gridCol w:w="2120"/>
        <w:gridCol w:w="1478"/>
        <w:gridCol w:w="1521"/>
        <w:gridCol w:w="1478"/>
        <w:gridCol w:w="1521"/>
        <w:gridCol w:w="1478"/>
        <w:gridCol w:w="1521"/>
        <w:gridCol w:w="1478"/>
      </w:tblGrid>
      <w:tr w:rsidRPr="00387AB6" w:rsidR="00104742" w:rsidTr="00387AB6" w14:paraId="0AA7E7F9" w14:textId="77777777">
        <w:trPr>
          <w:trHeight w:val="315"/>
        </w:trPr>
        <w:tc>
          <w:tcPr>
            <w:tcW w:w="8273" w:type="dxa"/>
            <w:gridSpan w:val="3"/>
            <w:tcBorders>
              <w:top w:val="single" w:color="auto" w:sz="4" w:space="0"/>
              <w:left w:val="single" w:color="auto" w:sz="4" w:space="0"/>
              <w:bottom w:val="single" w:color="auto" w:sz="4" w:space="0"/>
              <w:right w:val="single" w:color="auto" w:sz="4" w:space="0"/>
            </w:tcBorders>
            <w:shd w:val="clear" w:color="000000" w:fill="A9D08E"/>
            <w:noWrap/>
            <w:vAlign w:val="bottom"/>
            <w:hideMark/>
          </w:tcPr>
          <w:p w:rsidRPr="00387AB6" w:rsidR="00104742" w:rsidP="00573A19" w:rsidRDefault="007A2950" w14:paraId="4FB67FEE" w14:textId="7BB1744A">
            <w:pPr>
              <w:rPr>
                <w:rFonts w:cs="Calibri"/>
                <w:b/>
                <w:bCs/>
                <w:color w:val="000000"/>
                <w:sz w:val="24"/>
                <w:szCs w:val="24"/>
              </w:rPr>
            </w:pPr>
            <w:r w:rsidRPr="00387AB6">
              <w:rPr>
                <w:sz w:val="24"/>
                <w:szCs w:val="24"/>
              </w:rPr>
              <w:lastRenderedPageBreak/>
              <w:br w:type="page"/>
            </w:r>
            <w:r w:rsidRPr="00387AB6" w:rsidR="00104742">
              <w:rPr>
                <w:rFonts w:cs="Calibri"/>
                <w:b/>
                <w:bCs/>
                <w:color w:val="000000"/>
                <w:sz w:val="24"/>
                <w:szCs w:val="24"/>
              </w:rPr>
              <w:t>CARE Customer Average Annual Bills by Rate Schedule: Dollars</w:t>
            </w:r>
          </w:p>
        </w:tc>
        <w:tc>
          <w:tcPr>
            <w:tcW w:w="1521" w:type="dxa"/>
            <w:tcBorders>
              <w:top w:val="single" w:color="auto" w:sz="4" w:space="0"/>
              <w:left w:val="single" w:color="auto" w:sz="4" w:space="0"/>
              <w:bottom w:val="single" w:color="auto" w:sz="4" w:space="0"/>
              <w:right w:val="single" w:color="auto" w:sz="4" w:space="0"/>
            </w:tcBorders>
            <w:shd w:val="clear" w:color="000000" w:fill="A9D08E"/>
            <w:noWrap/>
            <w:vAlign w:val="bottom"/>
            <w:hideMark/>
          </w:tcPr>
          <w:p w:rsidRPr="00387AB6" w:rsidR="00104742" w:rsidP="00573A19" w:rsidRDefault="00104742" w14:paraId="2756A401" w14:textId="77777777">
            <w:pPr>
              <w:rPr>
                <w:rFonts w:cs="Calibri"/>
                <w:b/>
                <w:bCs/>
                <w:color w:val="000000"/>
                <w:sz w:val="24"/>
                <w:szCs w:val="24"/>
              </w:rPr>
            </w:pPr>
            <w:r w:rsidRPr="00387AB6">
              <w:rPr>
                <w:rFonts w:cs="Calibri"/>
                <w:b/>
                <w:bCs/>
                <w:color w:val="000000"/>
                <w:sz w:val="24"/>
                <w:szCs w:val="24"/>
              </w:rPr>
              <w:t> </w:t>
            </w:r>
          </w:p>
        </w:tc>
        <w:tc>
          <w:tcPr>
            <w:tcW w:w="1478" w:type="dxa"/>
            <w:tcBorders>
              <w:top w:val="single" w:color="auto" w:sz="4" w:space="0"/>
              <w:left w:val="single" w:color="auto" w:sz="4" w:space="0"/>
              <w:bottom w:val="single" w:color="auto" w:sz="4" w:space="0"/>
              <w:right w:val="single" w:color="auto" w:sz="4" w:space="0"/>
            </w:tcBorders>
            <w:shd w:val="clear" w:color="000000" w:fill="A9D08E"/>
            <w:noWrap/>
            <w:vAlign w:val="bottom"/>
            <w:hideMark/>
          </w:tcPr>
          <w:p w:rsidRPr="00387AB6" w:rsidR="00104742" w:rsidP="00573A19" w:rsidRDefault="00104742" w14:paraId="41DE8C56" w14:textId="77777777">
            <w:pPr>
              <w:rPr>
                <w:rFonts w:cs="Calibri"/>
                <w:b/>
                <w:bCs/>
                <w:color w:val="000000"/>
                <w:sz w:val="24"/>
                <w:szCs w:val="24"/>
              </w:rPr>
            </w:pPr>
            <w:r w:rsidRPr="00387AB6">
              <w:rPr>
                <w:rFonts w:cs="Calibri"/>
                <w:b/>
                <w:bCs/>
                <w:color w:val="000000"/>
                <w:sz w:val="24"/>
                <w:szCs w:val="24"/>
              </w:rPr>
              <w:t> </w:t>
            </w:r>
          </w:p>
        </w:tc>
        <w:tc>
          <w:tcPr>
            <w:tcW w:w="1521" w:type="dxa"/>
            <w:tcBorders>
              <w:top w:val="single" w:color="auto" w:sz="4" w:space="0"/>
              <w:left w:val="single" w:color="auto" w:sz="4" w:space="0"/>
              <w:bottom w:val="single" w:color="auto" w:sz="4" w:space="0"/>
              <w:right w:val="single" w:color="auto" w:sz="4" w:space="0"/>
            </w:tcBorders>
            <w:shd w:val="clear" w:color="000000" w:fill="A9D08E"/>
            <w:noWrap/>
            <w:vAlign w:val="bottom"/>
            <w:hideMark/>
          </w:tcPr>
          <w:p w:rsidRPr="00387AB6" w:rsidR="00104742" w:rsidP="00573A19" w:rsidRDefault="00104742" w14:paraId="11BA8E25" w14:textId="77777777">
            <w:pPr>
              <w:rPr>
                <w:rFonts w:cs="Calibri"/>
                <w:b/>
                <w:bCs/>
                <w:color w:val="000000"/>
                <w:sz w:val="24"/>
                <w:szCs w:val="24"/>
              </w:rPr>
            </w:pPr>
            <w:r w:rsidRPr="00387AB6">
              <w:rPr>
                <w:rFonts w:cs="Calibri"/>
                <w:b/>
                <w:bCs/>
                <w:color w:val="000000"/>
                <w:sz w:val="24"/>
                <w:szCs w:val="24"/>
              </w:rPr>
              <w:t> </w:t>
            </w:r>
          </w:p>
        </w:tc>
        <w:tc>
          <w:tcPr>
            <w:tcW w:w="1478" w:type="dxa"/>
            <w:tcBorders>
              <w:top w:val="single" w:color="auto" w:sz="4" w:space="0"/>
              <w:left w:val="single" w:color="auto" w:sz="4" w:space="0"/>
              <w:bottom w:val="single" w:color="auto" w:sz="4" w:space="0"/>
              <w:right w:val="single" w:color="auto" w:sz="4" w:space="0"/>
            </w:tcBorders>
            <w:shd w:val="clear" w:color="000000" w:fill="A9D08E"/>
            <w:noWrap/>
            <w:vAlign w:val="bottom"/>
            <w:hideMark/>
          </w:tcPr>
          <w:p w:rsidRPr="00387AB6" w:rsidR="00104742" w:rsidP="00573A19" w:rsidRDefault="00104742" w14:paraId="3CEBDF2F" w14:textId="77777777">
            <w:pPr>
              <w:rPr>
                <w:rFonts w:cs="Calibri"/>
                <w:b/>
                <w:bCs/>
                <w:color w:val="000000"/>
                <w:sz w:val="24"/>
                <w:szCs w:val="24"/>
              </w:rPr>
            </w:pPr>
            <w:r w:rsidRPr="00387AB6">
              <w:rPr>
                <w:rFonts w:cs="Calibri"/>
                <w:b/>
                <w:bCs/>
                <w:color w:val="000000"/>
                <w:sz w:val="24"/>
                <w:szCs w:val="24"/>
              </w:rPr>
              <w:t> </w:t>
            </w:r>
          </w:p>
        </w:tc>
        <w:tc>
          <w:tcPr>
            <w:tcW w:w="1521" w:type="dxa"/>
            <w:tcBorders>
              <w:top w:val="single" w:color="auto" w:sz="4" w:space="0"/>
              <w:left w:val="single" w:color="auto" w:sz="4" w:space="0"/>
              <w:bottom w:val="single" w:color="auto" w:sz="4" w:space="0"/>
              <w:right w:val="single" w:color="auto" w:sz="4" w:space="0"/>
            </w:tcBorders>
            <w:shd w:val="clear" w:color="000000" w:fill="A9D08E"/>
            <w:noWrap/>
            <w:vAlign w:val="bottom"/>
            <w:hideMark/>
          </w:tcPr>
          <w:p w:rsidRPr="00387AB6" w:rsidR="00104742" w:rsidP="00573A19" w:rsidRDefault="00104742" w14:paraId="3FDDDB53" w14:textId="77777777">
            <w:pPr>
              <w:rPr>
                <w:rFonts w:cs="Calibri"/>
                <w:b/>
                <w:bCs/>
                <w:color w:val="000000"/>
                <w:sz w:val="24"/>
                <w:szCs w:val="24"/>
              </w:rPr>
            </w:pPr>
            <w:r w:rsidRPr="00387AB6">
              <w:rPr>
                <w:rFonts w:cs="Calibri"/>
                <w:b/>
                <w:bCs/>
                <w:color w:val="000000"/>
                <w:sz w:val="24"/>
                <w:szCs w:val="24"/>
              </w:rPr>
              <w:t> </w:t>
            </w:r>
          </w:p>
        </w:tc>
        <w:tc>
          <w:tcPr>
            <w:tcW w:w="1478" w:type="dxa"/>
            <w:tcBorders>
              <w:top w:val="single" w:color="auto" w:sz="4" w:space="0"/>
              <w:left w:val="single" w:color="auto" w:sz="4" w:space="0"/>
              <w:bottom w:val="single" w:color="auto" w:sz="4" w:space="0"/>
              <w:right w:val="single" w:color="auto" w:sz="4" w:space="0"/>
            </w:tcBorders>
            <w:shd w:val="clear" w:color="000000" w:fill="A9D08E"/>
            <w:noWrap/>
            <w:vAlign w:val="bottom"/>
            <w:hideMark/>
          </w:tcPr>
          <w:p w:rsidRPr="00387AB6" w:rsidR="00104742" w:rsidP="00573A19" w:rsidRDefault="00104742" w14:paraId="3D33E368" w14:textId="77777777">
            <w:pPr>
              <w:rPr>
                <w:rFonts w:cs="Calibri"/>
                <w:b/>
                <w:bCs/>
                <w:color w:val="000000"/>
                <w:sz w:val="24"/>
                <w:szCs w:val="24"/>
              </w:rPr>
            </w:pPr>
            <w:r w:rsidRPr="00387AB6">
              <w:rPr>
                <w:rFonts w:cs="Calibri"/>
                <w:b/>
                <w:bCs/>
                <w:color w:val="000000"/>
                <w:sz w:val="24"/>
                <w:szCs w:val="24"/>
              </w:rPr>
              <w:t> </w:t>
            </w:r>
          </w:p>
        </w:tc>
      </w:tr>
      <w:tr w:rsidRPr="00387AB6" w:rsidR="00104742" w:rsidTr="00387AB6" w14:paraId="7C0B985A" w14:textId="77777777">
        <w:trPr>
          <w:trHeight w:val="300"/>
        </w:trPr>
        <w:tc>
          <w:tcPr>
            <w:tcW w:w="4675" w:type="dxa"/>
            <w:tcBorders>
              <w:top w:val="single" w:color="auto" w:sz="4" w:space="0"/>
              <w:left w:val="single" w:color="auto" w:sz="8" w:space="0"/>
              <w:bottom w:val="single" w:color="auto" w:sz="4" w:space="0"/>
              <w:right w:val="nil"/>
            </w:tcBorders>
            <w:shd w:val="clear" w:color="auto" w:fill="auto"/>
            <w:noWrap/>
            <w:vAlign w:val="bottom"/>
            <w:hideMark/>
          </w:tcPr>
          <w:p w:rsidRPr="00387AB6" w:rsidR="00104742" w:rsidP="00573A19" w:rsidRDefault="00104742" w14:paraId="667AF11B" w14:textId="77777777">
            <w:pPr>
              <w:rPr>
                <w:rFonts w:cs="Calibri"/>
                <w:b/>
                <w:bCs/>
                <w:color w:val="000000"/>
                <w:sz w:val="24"/>
                <w:szCs w:val="24"/>
              </w:rPr>
            </w:pPr>
            <w:r w:rsidRPr="00387AB6">
              <w:rPr>
                <w:rFonts w:cs="Calibri"/>
                <w:b/>
                <w:bCs/>
                <w:color w:val="000000"/>
                <w:sz w:val="24"/>
                <w:szCs w:val="24"/>
              </w:rPr>
              <w:t xml:space="preserve">Climate Zone </w:t>
            </w:r>
            <w:r w:rsidRPr="00387AB6">
              <w:rPr>
                <w:rFonts w:ascii="Times New Roman" w:hAnsi="Times New Roman"/>
                <w:b/>
                <w:bCs/>
                <w:color w:val="000000"/>
                <w:sz w:val="24"/>
                <w:szCs w:val="24"/>
              </w:rPr>
              <w:t>→</w:t>
            </w:r>
          </w:p>
        </w:tc>
        <w:tc>
          <w:tcPr>
            <w:tcW w:w="12595" w:type="dxa"/>
            <w:gridSpan w:val="8"/>
            <w:tcBorders>
              <w:top w:val="single" w:color="auto" w:sz="4" w:space="0"/>
              <w:left w:val="single" w:color="auto" w:sz="8" w:space="0"/>
              <w:bottom w:val="nil"/>
              <w:right w:val="single" w:color="000000" w:sz="8" w:space="0"/>
            </w:tcBorders>
            <w:shd w:val="clear" w:color="auto" w:fill="auto"/>
            <w:noWrap/>
            <w:vAlign w:val="bottom"/>
            <w:hideMark/>
          </w:tcPr>
          <w:p w:rsidRPr="00387AB6" w:rsidR="00104742" w:rsidP="00573A19" w:rsidRDefault="00573A19" w14:paraId="158074C0" w14:textId="1071D622">
            <w:pPr>
              <w:rPr>
                <w:rFonts w:cs="Calibri"/>
                <w:b/>
                <w:bCs/>
                <w:color w:val="000000"/>
                <w:sz w:val="24"/>
                <w:szCs w:val="24"/>
              </w:rPr>
            </w:pPr>
            <w:r w:rsidRPr="00387AB6">
              <w:rPr>
                <w:rFonts w:cs="Calibri"/>
                <w:b/>
                <w:bCs/>
                <w:color w:val="000000"/>
                <w:sz w:val="24"/>
                <w:szCs w:val="24"/>
              </w:rPr>
              <w:t xml:space="preserve">CZ [-]    </w:t>
            </w:r>
            <w:r w:rsidRPr="00387AB6">
              <w:rPr>
                <w:rFonts w:cs="Calibri"/>
                <w:b/>
                <w:bCs/>
                <w:i/>
                <w:iCs/>
                <w:color w:val="000000"/>
                <w:sz w:val="24"/>
                <w:szCs w:val="24"/>
              </w:rPr>
              <w:t>(Add Columns for CZs in your service territory)</w:t>
            </w:r>
          </w:p>
        </w:tc>
      </w:tr>
      <w:tr w:rsidRPr="00387AB6" w:rsidR="00104742" w:rsidTr="00387AB6" w14:paraId="6632903D" w14:textId="77777777">
        <w:trPr>
          <w:trHeight w:val="300"/>
        </w:trPr>
        <w:tc>
          <w:tcPr>
            <w:tcW w:w="4675" w:type="dxa"/>
            <w:tcBorders>
              <w:top w:val="nil"/>
              <w:left w:val="single" w:color="auto" w:sz="8" w:space="0"/>
              <w:bottom w:val="single" w:color="auto" w:sz="4" w:space="0"/>
              <w:right w:val="nil"/>
            </w:tcBorders>
            <w:shd w:val="clear" w:color="auto" w:fill="auto"/>
            <w:noWrap/>
            <w:vAlign w:val="bottom"/>
            <w:hideMark/>
          </w:tcPr>
          <w:p w:rsidRPr="00387AB6" w:rsidR="00104742" w:rsidP="00573A19" w:rsidRDefault="00104742" w14:paraId="63E0B425" w14:textId="77777777">
            <w:pPr>
              <w:rPr>
                <w:rFonts w:cs="Calibri"/>
                <w:i/>
                <w:iCs/>
                <w:color w:val="000000"/>
                <w:sz w:val="24"/>
                <w:szCs w:val="24"/>
              </w:rPr>
            </w:pPr>
            <w:r w:rsidRPr="00387AB6">
              <w:rPr>
                <w:rFonts w:cs="Calibri"/>
                <w:i/>
                <w:iCs/>
                <w:color w:val="000000"/>
                <w:sz w:val="24"/>
                <w:szCs w:val="24"/>
              </w:rPr>
              <w:t> </w:t>
            </w:r>
          </w:p>
        </w:tc>
        <w:tc>
          <w:tcPr>
            <w:tcW w:w="3598" w:type="dxa"/>
            <w:gridSpan w:val="2"/>
            <w:tcBorders>
              <w:top w:val="single" w:color="auto" w:sz="4" w:space="0"/>
              <w:left w:val="single" w:color="auto" w:sz="8" w:space="0"/>
              <w:bottom w:val="single" w:color="auto" w:sz="4" w:space="0"/>
              <w:right w:val="single" w:color="auto" w:sz="4" w:space="0"/>
            </w:tcBorders>
            <w:shd w:val="clear" w:color="auto" w:fill="auto"/>
            <w:noWrap/>
            <w:vAlign w:val="bottom"/>
            <w:hideMark/>
          </w:tcPr>
          <w:p w:rsidRPr="00387AB6" w:rsidR="00104742" w:rsidP="00573A19" w:rsidRDefault="00104742" w14:paraId="3E6BEE98" w14:textId="77777777">
            <w:pPr>
              <w:rPr>
                <w:rFonts w:cs="Calibri"/>
                <w:i/>
                <w:iCs/>
                <w:color w:val="000000"/>
                <w:sz w:val="24"/>
                <w:szCs w:val="24"/>
              </w:rPr>
            </w:pPr>
            <w:r w:rsidRPr="00387AB6">
              <w:rPr>
                <w:rFonts w:cs="Calibri"/>
                <w:i/>
                <w:iCs/>
                <w:color w:val="000000"/>
                <w:sz w:val="24"/>
                <w:szCs w:val="24"/>
              </w:rPr>
              <w:t>All-Electric</w:t>
            </w:r>
          </w:p>
        </w:tc>
        <w:tc>
          <w:tcPr>
            <w:tcW w:w="2999" w:type="dxa"/>
            <w:gridSpan w:val="2"/>
            <w:tcBorders>
              <w:top w:val="single" w:color="auto" w:sz="4" w:space="0"/>
              <w:left w:val="nil"/>
              <w:bottom w:val="single" w:color="auto" w:sz="4" w:space="0"/>
              <w:right w:val="single" w:color="000000" w:sz="4" w:space="0"/>
            </w:tcBorders>
            <w:shd w:val="clear" w:color="auto" w:fill="auto"/>
            <w:noWrap/>
            <w:vAlign w:val="bottom"/>
            <w:hideMark/>
          </w:tcPr>
          <w:p w:rsidRPr="00387AB6" w:rsidR="00104742" w:rsidP="00573A19" w:rsidRDefault="00104742" w14:paraId="4DAD206C" w14:textId="77777777">
            <w:pPr>
              <w:rPr>
                <w:rFonts w:cs="Calibri"/>
                <w:i/>
                <w:iCs/>
                <w:color w:val="000000"/>
                <w:sz w:val="24"/>
                <w:szCs w:val="24"/>
              </w:rPr>
            </w:pPr>
            <w:r w:rsidRPr="00387AB6">
              <w:rPr>
                <w:rFonts w:cs="Calibri"/>
                <w:i/>
                <w:iCs/>
                <w:color w:val="000000"/>
                <w:sz w:val="24"/>
                <w:szCs w:val="24"/>
              </w:rPr>
              <w:t>Electric Space Heating</w:t>
            </w:r>
          </w:p>
        </w:tc>
        <w:tc>
          <w:tcPr>
            <w:tcW w:w="2999" w:type="dxa"/>
            <w:gridSpan w:val="2"/>
            <w:tcBorders>
              <w:top w:val="single" w:color="auto" w:sz="4" w:space="0"/>
              <w:left w:val="nil"/>
              <w:bottom w:val="single" w:color="auto" w:sz="4" w:space="0"/>
              <w:right w:val="single" w:color="auto" w:sz="4" w:space="0"/>
            </w:tcBorders>
            <w:shd w:val="clear" w:color="auto" w:fill="auto"/>
            <w:noWrap/>
            <w:vAlign w:val="bottom"/>
            <w:hideMark/>
          </w:tcPr>
          <w:p w:rsidRPr="00387AB6" w:rsidR="00104742" w:rsidP="00573A19" w:rsidRDefault="00104742" w14:paraId="05C1BBF6" w14:textId="77777777">
            <w:pPr>
              <w:rPr>
                <w:rFonts w:cs="Calibri"/>
                <w:i/>
                <w:iCs/>
                <w:color w:val="000000"/>
                <w:sz w:val="24"/>
                <w:szCs w:val="24"/>
              </w:rPr>
            </w:pPr>
            <w:r w:rsidRPr="00387AB6">
              <w:rPr>
                <w:rFonts w:cs="Calibri"/>
                <w:i/>
                <w:iCs/>
                <w:color w:val="000000"/>
                <w:sz w:val="24"/>
                <w:szCs w:val="24"/>
              </w:rPr>
              <w:t>Dual Fuel</w:t>
            </w:r>
          </w:p>
        </w:tc>
        <w:tc>
          <w:tcPr>
            <w:tcW w:w="2999" w:type="dxa"/>
            <w:gridSpan w:val="2"/>
            <w:tcBorders>
              <w:top w:val="single" w:color="auto" w:sz="4" w:space="0"/>
              <w:left w:val="nil"/>
              <w:bottom w:val="single" w:color="auto" w:sz="4" w:space="0"/>
              <w:right w:val="single" w:color="000000" w:sz="8" w:space="0"/>
            </w:tcBorders>
            <w:shd w:val="clear" w:color="auto" w:fill="auto"/>
            <w:noWrap/>
            <w:vAlign w:val="bottom"/>
            <w:hideMark/>
          </w:tcPr>
          <w:p w:rsidRPr="00387AB6" w:rsidR="00104742" w:rsidP="00573A19" w:rsidRDefault="00104742" w14:paraId="74546EFB" w14:textId="77777777">
            <w:pPr>
              <w:rPr>
                <w:rFonts w:cs="Calibri"/>
                <w:i/>
                <w:iCs/>
                <w:color w:val="000000"/>
                <w:sz w:val="24"/>
                <w:szCs w:val="24"/>
              </w:rPr>
            </w:pPr>
            <w:r w:rsidRPr="00387AB6">
              <w:rPr>
                <w:rFonts w:cs="Calibri"/>
                <w:i/>
                <w:iCs/>
                <w:color w:val="000000"/>
                <w:sz w:val="24"/>
                <w:szCs w:val="24"/>
              </w:rPr>
              <w:t>Gas Only</w:t>
            </w:r>
          </w:p>
        </w:tc>
      </w:tr>
      <w:tr w:rsidRPr="00387AB6" w:rsidR="00387AB6" w:rsidTr="00387AB6" w14:paraId="467FE9A9" w14:textId="77777777">
        <w:trPr>
          <w:trHeight w:val="300"/>
        </w:trPr>
        <w:tc>
          <w:tcPr>
            <w:tcW w:w="4675" w:type="dxa"/>
            <w:tcBorders>
              <w:top w:val="nil"/>
              <w:left w:val="single" w:color="auto" w:sz="8" w:space="0"/>
              <w:bottom w:val="nil"/>
              <w:right w:val="nil"/>
            </w:tcBorders>
            <w:shd w:val="clear" w:color="auto" w:fill="auto"/>
            <w:noWrap/>
            <w:vAlign w:val="bottom"/>
            <w:hideMark/>
          </w:tcPr>
          <w:p w:rsidRPr="00387AB6" w:rsidR="00104742" w:rsidP="00573A19" w:rsidRDefault="00104742" w14:paraId="3CD45425" w14:textId="77777777">
            <w:pPr>
              <w:rPr>
                <w:rFonts w:cs="Calibri"/>
                <w:b/>
                <w:bCs/>
                <w:color w:val="000000"/>
                <w:sz w:val="24"/>
                <w:szCs w:val="24"/>
              </w:rPr>
            </w:pPr>
            <w:r w:rsidRPr="00387AB6">
              <w:rPr>
                <w:rFonts w:cs="Calibri"/>
                <w:b/>
                <w:bCs/>
                <w:color w:val="000000"/>
                <w:sz w:val="24"/>
                <w:szCs w:val="24"/>
              </w:rPr>
              <w:t xml:space="preserve">Rate Schedule </w:t>
            </w:r>
            <w:r w:rsidRPr="00387AB6">
              <w:rPr>
                <w:rFonts w:ascii="Times New Roman" w:hAnsi="Times New Roman"/>
                <w:b/>
                <w:bCs/>
                <w:color w:val="000000"/>
                <w:sz w:val="24"/>
                <w:szCs w:val="24"/>
              </w:rPr>
              <w:t>↓</w:t>
            </w:r>
          </w:p>
        </w:tc>
        <w:tc>
          <w:tcPr>
            <w:tcW w:w="2120" w:type="dxa"/>
            <w:tcBorders>
              <w:top w:val="nil"/>
              <w:left w:val="single" w:color="auto" w:sz="8" w:space="0"/>
              <w:bottom w:val="nil"/>
              <w:right w:val="single" w:color="auto" w:sz="4" w:space="0"/>
            </w:tcBorders>
            <w:shd w:val="clear" w:color="auto" w:fill="auto"/>
            <w:noWrap/>
            <w:vAlign w:val="bottom"/>
            <w:hideMark/>
          </w:tcPr>
          <w:p w:rsidRPr="00387AB6" w:rsidR="00104742" w:rsidP="00573A19" w:rsidRDefault="00104742" w14:paraId="38ACDD11" w14:textId="77777777">
            <w:pPr>
              <w:rPr>
                <w:rFonts w:cs="Calibri"/>
                <w:i/>
                <w:iCs/>
                <w:color w:val="000000"/>
                <w:sz w:val="24"/>
                <w:szCs w:val="24"/>
              </w:rPr>
            </w:pPr>
            <w:r w:rsidRPr="00387AB6">
              <w:rPr>
                <w:rFonts w:cs="Calibri"/>
                <w:i/>
                <w:iCs/>
                <w:color w:val="000000"/>
                <w:sz w:val="24"/>
                <w:szCs w:val="24"/>
              </w:rPr>
              <w:t>Singlefamily</w:t>
            </w:r>
          </w:p>
        </w:tc>
        <w:tc>
          <w:tcPr>
            <w:tcW w:w="1478" w:type="dxa"/>
            <w:tcBorders>
              <w:top w:val="nil"/>
              <w:left w:val="nil"/>
              <w:bottom w:val="single" w:color="auto" w:sz="4" w:space="0"/>
              <w:right w:val="nil"/>
            </w:tcBorders>
            <w:shd w:val="clear" w:color="auto" w:fill="auto"/>
            <w:noWrap/>
            <w:vAlign w:val="bottom"/>
            <w:hideMark/>
          </w:tcPr>
          <w:p w:rsidRPr="00387AB6" w:rsidR="00104742" w:rsidP="00573A19" w:rsidRDefault="00104742" w14:paraId="5AA9B5E8" w14:textId="77777777">
            <w:pPr>
              <w:rPr>
                <w:rFonts w:cs="Calibri"/>
                <w:i/>
                <w:iCs/>
                <w:color w:val="000000"/>
                <w:sz w:val="24"/>
                <w:szCs w:val="24"/>
              </w:rPr>
            </w:pPr>
            <w:r w:rsidRPr="00387AB6">
              <w:rPr>
                <w:rFonts w:cs="Calibri"/>
                <w:i/>
                <w:iCs/>
                <w:color w:val="000000"/>
                <w:sz w:val="24"/>
                <w:szCs w:val="24"/>
              </w:rPr>
              <w:t>Multifamily</w:t>
            </w:r>
          </w:p>
        </w:tc>
        <w:tc>
          <w:tcPr>
            <w:tcW w:w="1521" w:type="dxa"/>
            <w:tcBorders>
              <w:top w:val="nil"/>
              <w:left w:val="single" w:color="auto" w:sz="4" w:space="0"/>
              <w:bottom w:val="single" w:color="auto" w:sz="4" w:space="0"/>
              <w:right w:val="single" w:color="auto" w:sz="4" w:space="0"/>
            </w:tcBorders>
            <w:shd w:val="clear" w:color="auto" w:fill="auto"/>
            <w:noWrap/>
            <w:vAlign w:val="bottom"/>
            <w:hideMark/>
          </w:tcPr>
          <w:p w:rsidRPr="00387AB6" w:rsidR="00104742" w:rsidP="00573A19" w:rsidRDefault="00104742" w14:paraId="3BB4723A" w14:textId="77777777">
            <w:pPr>
              <w:rPr>
                <w:rFonts w:cs="Calibri"/>
                <w:i/>
                <w:iCs/>
                <w:color w:val="000000"/>
                <w:sz w:val="24"/>
                <w:szCs w:val="24"/>
              </w:rPr>
            </w:pPr>
            <w:r w:rsidRPr="00387AB6">
              <w:rPr>
                <w:rFonts w:cs="Calibri"/>
                <w:i/>
                <w:iCs/>
                <w:color w:val="000000"/>
                <w:sz w:val="24"/>
                <w:szCs w:val="24"/>
              </w:rPr>
              <w:t>Singlefamily</w:t>
            </w:r>
          </w:p>
        </w:tc>
        <w:tc>
          <w:tcPr>
            <w:tcW w:w="1478" w:type="dxa"/>
            <w:tcBorders>
              <w:top w:val="nil"/>
              <w:left w:val="nil"/>
              <w:bottom w:val="single" w:color="auto" w:sz="4" w:space="0"/>
              <w:right w:val="single" w:color="auto" w:sz="4" w:space="0"/>
            </w:tcBorders>
            <w:shd w:val="clear" w:color="auto" w:fill="auto"/>
            <w:noWrap/>
            <w:vAlign w:val="bottom"/>
            <w:hideMark/>
          </w:tcPr>
          <w:p w:rsidRPr="00387AB6" w:rsidR="00104742" w:rsidP="00573A19" w:rsidRDefault="00104742" w14:paraId="148EF8F5" w14:textId="77777777">
            <w:pPr>
              <w:rPr>
                <w:rFonts w:cs="Calibri"/>
                <w:i/>
                <w:iCs/>
                <w:color w:val="000000"/>
                <w:sz w:val="24"/>
                <w:szCs w:val="24"/>
              </w:rPr>
            </w:pPr>
            <w:r w:rsidRPr="00387AB6">
              <w:rPr>
                <w:rFonts w:cs="Calibri"/>
                <w:i/>
                <w:iCs/>
                <w:color w:val="000000"/>
                <w:sz w:val="24"/>
                <w:szCs w:val="24"/>
              </w:rPr>
              <w:t>Multifamily</w:t>
            </w:r>
          </w:p>
        </w:tc>
        <w:tc>
          <w:tcPr>
            <w:tcW w:w="1521" w:type="dxa"/>
            <w:tcBorders>
              <w:top w:val="nil"/>
              <w:left w:val="nil"/>
              <w:bottom w:val="nil"/>
              <w:right w:val="single" w:color="auto" w:sz="4" w:space="0"/>
            </w:tcBorders>
            <w:shd w:val="clear" w:color="auto" w:fill="auto"/>
            <w:noWrap/>
            <w:vAlign w:val="bottom"/>
            <w:hideMark/>
          </w:tcPr>
          <w:p w:rsidRPr="00387AB6" w:rsidR="00104742" w:rsidP="00573A19" w:rsidRDefault="00104742" w14:paraId="4BF19955" w14:textId="77777777">
            <w:pPr>
              <w:rPr>
                <w:rFonts w:cs="Calibri"/>
                <w:i/>
                <w:iCs/>
                <w:color w:val="000000"/>
                <w:sz w:val="24"/>
                <w:szCs w:val="24"/>
              </w:rPr>
            </w:pPr>
            <w:r w:rsidRPr="00387AB6">
              <w:rPr>
                <w:rFonts w:cs="Calibri"/>
                <w:i/>
                <w:iCs/>
                <w:color w:val="000000"/>
                <w:sz w:val="24"/>
                <w:szCs w:val="24"/>
              </w:rPr>
              <w:t>Singlefamily</w:t>
            </w:r>
          </w:p>
        </w:tc>
        <w:tc>
          <w:tcPr>
            <w:tcW w:w="1478" w:type="dxa"/>
            <w:tcBorders>
              <w:top w:val="nil"/>
              <w:left w:val="nil"/>
              <w:bottom w:val="nil"/>
              <w:right w:val="double" w:color="auto" w:sz="6" w:space="0"/>
            </w:tcBorders>
            <w:shd w:val="clear" w:color="auto" w:fill="auto"/>
            <w:noWrap/>
            <w:vAlign w:val="bottom"/>
            <w:hideMark/>
          </w:tcPr>
          <w:p w:rsidRPr="00387AB6" w:rsidR="00104742" w:rsidP="00573A19" w:rsidRDefault="00104742" w14:paraId="0E9432EA" w14:textId="77777777">
            <w:pPr>
              <w:rPr>
                <w:rFonts w:cs="Calibri"/>
                <w:i/>
                <w:iCs/>
                <w:color w:val="000000"/>
                <w:sz w:val="24"/>
                <w:szCs w:val="24"/>
              </w:rPr>
            </w:pPr>
            <w:r w:rsidRPr="00387AB6">
              <w:rPr>
                <w:rFonts w:cs="Calibri"/>
                <w:i/>
                <w:iCs/>
                <w:color w:val="000000"/>
                <w:sz w:val="24"/>
                <w:szCs w:val="24"/>
              </w:rPr>
              <w:t>Multifamily</w:t>
            </w:r>
          </w:p>
        </w:tc>
        <w:tc>
          <w:tcPr>
            <w:tcW w:w="1521" w:type="dxa"/>
            <w:tcBorders>
              <w:top w:val="nil"/>
              <w:left w:val="nil"/>
              <w:bottom w:val="single" w:color="auto" w:sz="4" w:space="0"/>
              <w:right w:val="single" w:color="auto" w:sz="4" w:space="0"/>
            </w:tcBorders>
            <w:shd w:val="clear" w:color="auto" w:fill="auto"/>
            <w:noWrap/>
            <w:vAlign w:val="bottom"/>
            <w:hideMark/>
          </w:tcPr>
          <w:p w:rsidRPr="00387AB6" w:rsidR="00104742" w:rsidP="00573A19" w:rsidRDefault="00104742" w14:paraId="6671F719" w14:textId="77777777">
            <w:pPr>
              <w:rPr>
                <w:rFonts w:cs="Calibri"/>
                <w:i/>
                <w:iCs/>
                <w:color w:val="000000"/>
                <w:sz w:val="24"/>
                <w:szCs w:val="24"/>
              </w:rPr>
            </w:pPr>
            <w:r w:rsidRPr="00387AB6">
              <w:rPr>
                <w:rFonts w:cs="Calibri"/>
                <w:i/>
                <w:iCs/>
                <w:color w:val="000000"/>
                <w:sz w:val="24"/>
                <w:szCs w:val="24"/>
              </w:rPr>
              <w:t>Singlefamily</w:t>
            </w:r>
          </w:p>
        </w:tc>
        <w:tc>
          <w:tcPr>
            <w:tcW w:w="1478" w:type="dxa"/>
            <w:tcBorders>
              <w:top w:val="nil"/>
              <w:left w:val="nil"/>
              <w:bottom w:val="single" w:color="auto" w:sz="4" w:space="0"/>
              <w:right w:val="single" w:color="auto" w:sz="8" w:space="0"/>
            </w:tcBorders>
            <w:shd w:val="clear" w:color="auto" w:fill="auto"/>
            <w:noWrap/>
            <w:vAlign w:val="bottom"/>
            <w:hideMark/>
          </w:tcPr>
          <w:p w:rsidRPr="00387AB6" w:rsidR="00104742" w:rsidP="00573A19" w:rsidRDefault="00104742" w14:paraId="3D216DD9" w14:textId="77777777">
            <w:pPr>
              <w:rPr>
                <w:rFonts w:cs="Calibri"/>
                <w:i/>
                <w:iCs/>
                <w:color w:val="000000"/>
                <w:sz w:val="24"/>
                <w:szCs w:val="24"/>
              </w:rPr>
            </w:pPr>
            <w:r w:rsidRPr="00387AB6">
              <w:rPr>
                <w:rFonts w:cs="Calibri"/>
                <w:i/>
                <w:iCs/>
                <w:color w:val="000000"/>
                <w:sz w:val="24"/>
                <w:szCs w:val="24"/>
              </w:rPr>
              <w:t>Multifamily</w:t>
            </w:r>
          </w:p>
        </w:tc>
      </w:tr>
      <w:tr w:rsidRPr="00387AB6" w:rsidR="00387AB6" w:rsidTr="00387AB6" w14:paraId="1ED6203D" w14:textId="77777777">
        <w:trPr>
          <w:trHeight w:val="300"/>
        </w:trPr>
        <w:tc>
          <w:tcPr>
            <w:tcW w:w="4675" w:type="dxa"/>
            <w:tcBorders>
              <w:top w:val="single" w:color="auto" w:sz="4" w:space="0"/>
              <w:left w:val="single" w:color="auto" w:sz="8" w:space="0"/>
              <w:bottom w:val="single" w:color="auto" w:sz="4" w:space="0"/>
              <w:right w:val="nil"/>
            </w:tcBorders>
            <w:shd w:val="clear" w:color="000000" w:fill="D0CECE"/>
            <w:noWrap/>
            <w:vAlign w:val="bottom"/>
            <w:hideMark/>
          </w:tcPr>
          <w:p w:rsidRPr="00387AB6" w:rsidR="00104742" w:rsidP="00573A19" w:rsidRDefault="00104742" w14:paraId="3433CB57" w14:textId="77777777">
            <w:pPr>
              <w:rPr>
                <w:rFonts w:cs="Calibri"/>
                <w:i/>
                <w:iCs/>
                <w:color w:val="000000"/>
                <w:sz w:val="24"/>
                <w:szCs w:val="24"/>
              </w:rPr>
            </w:pPr>
            <w:r w:rsidRPr="00387AB6">
              <w:rPr>
                <w:rFonts w:cs="Calibri"/>
                <w:i/>
                <w:iCs/>
                <w:color w:val="000000"/>
                <w:sz w:val="24"/>
                <w:szCs w:val="24"/>
              </w:rPr>
              <w:t>Non-TOU rates</w:t>
            </w:r>
          </w:p>
        </w:tc>
        <w:tc>
          <w:tcPr>
            <w:tcW w:w="2120" w:type="dxa"/>
            <w:tcBorders>
              <w:top w:val="single" w:color="auto" w:sz="4" w:space="0"/>
              <w:left w:val="single" w:color="auto" w:sz="8" w:space="0"/>
              <w:bottom w:val="single" w:color="auto" w:sz="4" w:space="0"/>
              <w:right w:val="nil"/>
            </w:tcBorders>
            <w:shd w:val="clear" w:color="000000" w:fill="D0CECE"/>
            <w:noWrap/>
            <w:vAlign w:val="bottom"/>
            <w:hideMark/>
          </w:tcPr>
          <w:p w:rsidRPr="00387AB6" w:rsidR="00104742" w:rsidP="00573A19" w:rsidRDefault="00104742" w14:paraId="420CA55E" w14:textId="77777777">
            <w:pPr>
              <w:rPr>
                <w:rFonts w:cs="Calibri"/>
                <w:i/>
                <w:iCs/>
                <w:color w:val="000000"/>
                <w:sz w:val="24"/>
                <w:szCs w:val="24"/>
              </w:rPr>
            </w:pPr>
            <w:r w:rsidRPr="00387AB6">
              <w:rPr>
                <w:rFonts w:cs="Calibri"/>
                <w:i/>
                <w:iCs/>
                <w:color w:val="000000"/>
                <w:sz w:val="24"/>
                <w:szCs w:val="24"/>
              </w:rPr>
              <w:t> </w:t>
            </w:r>
          </w:p>
        </w:tc>
        <w:tc>
          <w:tcPr>
            <w:tcW w:w="1478" w:type="dxa"/>
            <w:tcBorders>
              <w:top w:val="nil"/>
              <w:left w:val="nil"/>
              <w:bottom w:val="single" w:color="auto" w:sz="4" w:space="0"/>
              <w:right w:val="nil"/>
            </w:tcBorders>
            <w:shd w:val="clear" w:color="000000" w:fill="D0CECE"/>
            <w:noWrap/>
            <w:vAlign w:val="bottom"/>
            <w:hideMark/>
          </w:tcPr>
          <w:p w:rsidRPr="00387AB6" w:rsidR="00104742" w:rsidP="00573A19" w:rsidRDefault="00104742" w14:paraId="7A30DC0A" w14:textId="77777777">
            <w:pPr>
              <w:rPr>
                <w:rFonts w:cs="Calibri"/>
                <w:i/>
                <w:iCs/>
                <w:color w:val="000000"/>
                <w:sz w:val="24"/>
                <w:szCs w:val="24"/>
              </w:rPr>
            </w:pPr>
            <w:r w:rsidRPr="00387AB6">
              <w:rPr>
                <w:rFonts w:cs="Calibri"/>
                <w:i/>
                <w:iCs/>
                <w:color w:val="000000"/>
                <w:sz w:val="24"/>
                <w:szCs w:val="24"/>
              </w:rPr>
              <w:t> </w:t>
            </w:r>
          </w:p>
        </w:tc>
        <w:tc>
          <w:tcPr>
            <w:tcW w:w="1521" w:type="dxa"/>
            <w:tcBorders>
              <w:top w:val="nil"/>
              <w:left w:val="nil"/>
              <w:bottom w:val="single" w:color="auto" w:sz="4" w:space="0"/>
              <w:right w:val="nil"/>
            </w:tcBorders>
            <w:shd w:val="clear" w:color="000000" w:fill="D0CECE"/>
            <w:noWrap/>
            <w:vAlign w:val="bottom"/>
            <w:hideMark/>
          </w:tcPr>
          <w:p w:rsidRPr="00387AB6" w:rsidR="00104742" w:rsidP="00573A19" w:rsidRDefault="00104742" w14:paraId="3F76641E" w14:textId="77777777">
            <w:pPr>
              <w:rPr>
                <w:rFonts w:cs="Calibri"/>
                <w:i/>
                <w:iCs/>
                <w:color w:val="000000"/>
                <w:sz w:val="24"/>
                <w:szCs w:val="24"/>
              </w:rPr>
            </w:pPr>
            <w:r w:rsidRPr="00387AB6">
              <w:rPr>
                <w:rFonts w:cs="Calibri"/>
                <w:i/>
                <w:iCs/>
                <w:color w:val="000000"/>
                <w:sz w:val="24"/>
                <w:szCs w:val="24"/>
              </w:rPr>
              <w:t> </w:t>
            </w:r>
          </w:p>
        </w:tc>
        <w:tc>
          <w:tcPr>
            <w:tcW w:w="1478" w:type="dxa"/>
            <w:tcBorders>
              <w:top w:val="nil"/>
              <w:left w:val="nil"/>
              <w:bottom w:val="single" w:color="auto" w:sz="4" w:space="0"/>
              <w:right w:val="nil"/>
            </w:tcBorders>
            <w:shd w:val="clear" w:color="000000" w:fill="D0CECE"/>
            <w:noWrap/>
            <w:vAlign w:val="bottom"/>
            <w:hideMark/>
          </w:tcPr>
          <w:p w:rsidRPr="00387AB6" w:rsidR="00104742" w:rsidP="00573A19" w:rsidRDefault="00104742" w14:paraId="3BEBAFBC" w14:textId="77777777">
            <w:pPr>
              <w:rPr>
                <w:rFonts w:cs="Calibri"/>
                <w:i/>
                <w:iCs/>
                <w:color w:val="000000"/>
                <w:sz w:val="24"/>
                <w:szCs w:val="24"/>
              </w:rPr>
            </w:pPr>
            <w:r w:rsidRPr="00387AB6">
              <w:rPr>
                <w:rFonts w:cs="Calibri"/>
                <w:i/>
                <w:iCs/>
                <w:color w:val="000000"/>
                <w:sz w:val="24"/>
                <w:szCs w:val="24"/>
              </w:rPr>
              <w:t> </w:t>
            </w:r>
          </w:p>
        </w:tc>
        <w:tc>
          <w:tcPr>
            <w:tcW w:w="1521" w:type="dxa"/>
            <w:tcBorders>
              <w:top w:val="single" w:color="auto" w:sz="4" w:space="0"/>
              <w:left w:val="nil"/>
              <w:bottom w:val="single" w:color="auto" w:sz="4" w:space="0"/>
              <w:right w:val="nil"/>
            </w:tcBorders>
            <w:shd w:val="clear" w:color="000000" w:fill="D0CECE"/>
            <w:noWrap/>
            <w:vAlign w:val="bottom"/>
            <w:hideMark/>
          </w:tcPr>
          <w:p w:rsidRPr="00387AB6" w:rsidR="00104742" w:rsidP="00573A19" w:rsidRDefault="00104742" w14:paraId="5BC19B28" w14:textId="77777777">
            <w:pPr>
              <w:rPr>
                <w:rFonts w:cs="Calibri"/>
                <w:i/>
                <w:iCs/>
                <w:color w:val="000000"/>
                <w:sz w:val="24"/>
                <w:szCs w:val="24"/>
              </w:rPr>
            </w:pPr>
            <w:r w:rsidRPr="00387AB6">
              <w:rPr>
                <w:rFonts w:cs="Calibri"/>
                <w:i/>
                <w:iCs/>
                <w:color w:val="000000"/>
                <w:sz w:val="24"/>
                <w:szCs w:val="24"/>
              </w:rPr>
              <w:t> </w:t>
            </w:r>
          </w:p>
        </w:tc>
        <w:tc>
          <w:tcPr>
            <w:tcW w:w="1478" w:type="dxa"/>
            <w:tcBorders>
              <w:top w:val="single" w:color="auto" w:sz="4" w:space="0"/>
              <w:left w:val="nil"/>
              <w:bottom w:val="single" w:color="auto" w:sz="4" w:space="0"/>
              <w:right w:val="nil"/>
            </w:tcBorders>
            <w:shd w:val="clear" w:color="000000" w:fill="D0CECE"/>
            <w:noWrap/>
            <w:vAlign w:val="bottom"/>
            <w:hideMark/>
          </w:tcPr>
          <w:p w:rsidRPr="00387AB6" w:rsidR="00104742" w:rsidP="00573A19" w:rsidRDefault="00104742" w14:paraId="2D6A41E5" w14:textId="77777777">
            <w:pPr>
              <w:rPr>
                <w:rFonts w:cs="Calibri"/>
                <w:i/>
                <w:iCs/>
                <w:color w:val="000000"/>
                <w:sz w:val="24"/>
                <w:szCs w:val="24"/>
              </w:rPr>
            </w:pPr>
            <w:r w:rsidRPr="00387AB6">
              <w:rPr>
                <w:rFonts w:cs="Calibri"/>
                <w:i/>
                <w:iCs/>
                <w:color w:val="000000"/>
                <w:sz w:val="24"/>
                <w:szCs w:val="24"/>
              </w:rPr>
              <w:t> </w:t>
            </w:r>
          </w:p>
        </w:tc>
        <w:tc>
          <w:tcPr>
            <w:tcW w:w="1521" w:type="dxa"/>
            <w:tcBorders>
              <w:top w:val="nil"/>
              <w:left w:val="nil"/>
              <w:bottom w:val="single" w:color="auto" w:sz="4" w:space="0"/>
              <w:right w:val="nil"/>
            </w:tcBorders>
            <w:shd w:val="clear" w:color="000000" w:fill="D0CECE"/>
            <w:noWrap/>
            <w:vAlign w:val="bottom"/>
            <w:hideMark/>
          </w:tcPr>
          <w:p w:rsidRPr="00387AB6" w:rsidR="00104742" w:rsidP="00573A19" w:rsidRDefault="00104742" w14:paraId="606ECB67" w14:textId="77777777">
            <w:pPr>
              <w:rPr>
                <w:rFonts w:cs="Calibri"/>
                <w:i/>
                <w:iCs/>
                <w:color w:val="000000"/>
                <w:sz w:val="24"/>
                <w:szCs w:val="24"/>
              </w:rPr>
            </w:pPr>
            <w:r w:rsidRPr="00387AB6">
              <w:rPr>
                <w:rFonts w:cs="Calibri"/>
                <w:i/>
                <w:iCs/>
                <w:color w:val="000000"/>
                <w:sz w:val="24"/>
                <w:szCs w:val="24"/>
              </w:rPr>
              <w:t> </w:t>
            </w:r>
          </w:p>
        </w:tc>
        <w:tc>
          <w:tcPr>
            <w:tcW w:w="1478" w:type="dxa"/>
            <w:tcBorders>
              <w:top w:val="nil"/>
              <w:left w:val="nil"/>
              <w:bottom w:val="single" w:color="auto" w:sz="4" w:space="0"/>
              <w:right w:val="single" w:color="auto" w:sz="8" w:space="0"/>
            </w:tcBorders>
            <w:shd w:val="clear" w:color="000000" w:fill="D0CECE"/>
            <w:noWrap/>
            <w:vAlign w:val="bottom"/>
            <w:hideMark/>
          </w:tcPr>
          <w:p w:rsidRPr="00387AB6" w:rsidR="00104742" w:rsidP="00573A19" w:rsidRDefault="00104742" w14:paraId="157E06C3" w14:textId="77777777">
            <w:pPr>
              <w:rPr>
                <w:rFonts w:cs="Calibri"/>
                <w:i/>
                <w:iCs/>
                <w:color w:val="000000"/>
                <w:sz w:val="24"/>
                <w:szCs w:val="24"/>
              </w:rPr>
            </w:pPr>
            <w:r w:rsidRPr="00387AB6">
              <w:rPr>
                <w:rFonts w:cs="Calibri"/>
                <w:i/>
                <w:iCs/>
                <w:color w:val="000000"/>
                <w:sz w:val="24"/>
                <w:szCs w:val="24"/>
              </w:rPr>
              <w:t> </w:t>
            </w:r>
          </w:p>
        </w:tc>
      </w:tr>
      <w:tr w:rsidRPr="00387AB6" w:rsidR="00387AB6" w:rsidTr="00387AB6" w14:paraId="5D5F709E" w14:textId="77777777">
        <w:trPr>
          <w:trHeight w:val="305"/>
        </w:trPr>
        <w:tc>
          <w:tcPr>
            <w:tcW w:w="4675" w:type="dxa"/>
            <w:tcBorders>
              <w:top w:val="nil"/>
              <w:left w:val="single" w:color="auto" w:sz="8" w:space="0"/>
              <w:bottom w:val="single" w:color="auto" w:sz="4" w:space="0"/>
              <w:right w:val="nil"/>
            </w:tcBorders>
            <w:shd w:val="clear" w:color="auto" w:fill="auto"/>
            <w:noWrap/>
            <w:vAlign w:val="bottom"/>
            <w:hideMark/>
          </w:tcPr>
          <w:p w:rsidRPr="00387AB6" w:rsidR="00104742" w:rsidP="00573A19" w:rsidRDefault="00104742" w14:paraId="179F7CE2" w14:textId="77777777">
            <w:pPr>
              <w:rPr>
                <w:rFonts w:cs="Calibri"/>
                <w:color w:val="000000"/>
                <w:sz w:val="24"/>
                <w:szCs w:val="24"/>
              </w:rPr>
            </w:pPr>
            <w:r w:rsidRPr="00387AB6">
              <w:rPr>
                <w:rFonts w:cs="Calibri"/>
                <w:color w:val="000000"/>
                <w:sz w:val="24"/>
                <w:szCs w:val="24"/>
              </w:rPr>
              <w:t>E.g. E-1</w:t>
            </w:r>
          </w:p>
        </w:tc>
        <w:tc>
          <w:tcPr>
            <w:tcW w:w="2120" w:type="dxa"/>
            <w:tcBorders>
              <w:top w:val="nil"/>
              <w:left w:val="single" w:color="auto" w:sz="8" w:space="0"/>
              <w:bottom w:val="single" w:color="auto" w:sz="4" w:space="0"/>
              <w:right w:val="single" w:color="auto" w:sz="4" w:space="0"/>
            </w:tcBorders>
            <w:shd w:val="clear" w:color="auto" w:fill="auto"/>
            <w:vAlign w:val="bottom"/>
            <w:hideMark/>
          </w:tcPr>
          <w:p w:rsidRPr="00387AB6" w:rsidR="00104742" w:rsidP="00573A19" w:rsidRDefault="00104742" w14:paraId="5C86B0D5" w14:textId="180DD6AE">
            <w:pPr>
              <w:rPr>
                <w:rFonts w:cs="Calibri"/>
                <w:color w:val="000000"/>
                <w:sz w:val="24"/>
                <w:szCs w:val="24"/>
              </w:rPr>
            </w:pPr>
            <w:r w:rsidRPr="00387AB6">
              <w:rPr>
                <w:rFonts w:cs="Calibri"/>
                <w:color w:val="000000"/>
                <w:sz w:val="24"/>
                <w:szCs w:val="24"/>
              </w:rPr>
              <w:t>[Dollars]</w:t>
            </w:r>
          </w:p>
        </w:tc>
        <w:tc>
          <w:tcPr>
            <w:tcW w:w="1478" w:type="dxa"/>
            <w:tcBorders>
              <w:top w:val="nil"/>
              <w:left w:val="nil"/>
              <w:bottom w:val="single" w:color="auto" w:sz="4" w:space="0"/>
              <w:right w:val="double" w:color="auto" w:sz="6" w:space="0"/>
            </w:tcBorders>
            <w:shd w:val="clear" w:color="auto" w:fill="auto"/>
            <w:noWrap/>
            <w:vAlign w:val="bottom"/>
            <w:hideMark/>
          </w:tcPr>
          <w:p w:rsidRPr="00387AB6" w:rsidR="00104742" w:rsidP="00573A19" w:rsidRDefault="00104742" w14:paraId="363AC734" w14:textId="77777777">
            <w:pPr>
              <w:rPr>
                <w:rFonts w:cs="Calibri"/>
                <w:color w:val="000000"/>
                <w:sz w:val="24"/>
                <w:szCs w:val="24"/>
              </w:rPr>
            </w:pPr>
            <w:r w:rsidRPr="00387AB6">
              <w:rPr>
                <w:rFonts w:cs="Calibri"/>
                <w:color w:val="000000"/>
                <w:sz w:val="24"/>
                <w:szCs w:val="24"/>
              </w:rPr>
              <w:t> </w:t>
            </w:r>
          </w:p>
        </w:tc>
        <w:tc>
          <w:tcPr>
            <w:tcW w:w="1521" w:type="dxa"/>
            <w:tcBorders>
              <w:top w:val="nil"/>
              <w:left w:val="nil"/>
              <w:bottom w:val="single" w:color="auto" w:sz="4" w:space="0"/>
              <w:right w:val="nil"/>
            </w:tcBorders>
            <w:shd w:val="clear" w:color="auto" w:fill="auto"/>
            <w:noWrap/>
            <w:vAlign w:val="bottom"/>
            <w:hideMark/>
          </w:tcPr>
          <w:p w:rsidRPr="00387AB6" w:rsidR="00104742" w:rsidP="00573A19" w:rsidRDefault="00104742" w14:paraId="07F8D7FB" w14:textId="77777777">
            <w:pPr>
              <w:rPr>
                <w:rFonts w:cs="Calibri"/>
                <w:color w:val="000000"/>
                <w:sz w:val="24"/>
                <w:szCs w:val="24"/>
              </w:rPr>
            </w:pPr>
            <w:r w:rsidRPr="00387AB6">
              <w:rPr>
                <w:rFonts w:cs="Calibri"/>
                <w:color w:val="000000"/>
                <w:sz w:val="24"/>
                <w:szCs w:val="24"/>
              </w:rPr>
              <w:t> </w:t>
            </w:r>
          </w:p>
        </w:tc>
        <w:tc>
          <w:tcPr>
            <w:tcW w:w="1478" w:type="dxa"/>
            <w:tcBorders>
              <w:top w:val="nil"/>
              <w:left w:val="nil"/>
              <w:bottom w:val="single" w:color="auto" w:sz="4" w:space="0"/>
              <w:right w:val="nil"/>
            </w:tcBorders>
            <w:shd w:val="clear" w:color="auto" w:fill="auto"/>
            <w:noWrap/>
            <w:vAlign w:val="bottom"/>
            <w:hideMark/>
          </w:tcPr>
          <w:p w:rsidRPr="00387AB6" w:rsidR="00104742" w:rsidP="00573A19" w:rsidRDefault="00104742" w14:paraId="70827399" w14:textId="77777777">
            <w:pPr>
              <w:rPr>
                <w:rFonts w:cs="Calibri"/>
                <w:color w:val="000000"/>
                <w:sz w:val="24"/>
                <w:szCs w:val="24"/>
              </w:rPr>
            </w:pPr>
            <w:r w:rsidRPr="00387AB6">
              <w:rPr>
                <w:rFonts w:cs="Calibri"/>
                <w:color w:val="000000"/>
                <w:sz w:val="24"/>
                <w:szCs w:val="24"/>
              </w:rPr>
              <w:t> </w:t>
            </w:r>
          </w:p>
        </w:tc>
        <w:tc>
          <w:tcPr>
            <w:tcW w:w="1521" w:type="dxa"/>
            <w:tcBorders>
              <w:top w:val="nil"/>
              <w:left w:val="double" w:color="auto" w:sz="6" w:space="0"/>
              <w:bottom w:val="single" w:color="auto" w:sz="4" w:space="0"/>
              <w:right w:val="single" w:color="auto" w:sz="4" w:space="0"/>
            </w:tcBorders>
            <w:shd w:val="clear" w:color="auto" w:fill="auto"/>
            <w:noWrap/>
            <w:vAlign w:val="bottom"/>
            <w:hideMark/>
          </w:tcPr>
          <w:p w:rsidRPr="00387AB6" w:rsidR="00104742" w:rsidP="00573A19" w:rsidRDefault="00104742" w14:paraId="5799B65B" w14:textId="77777777">
            <w:pPr>
              <w:rPr>
                <w:rFonts w:cs="Calibri"/>
                <w:color w:val="000000"/>
                <w:sz w:val="24"/>
                <w:szCs w:val="24"/>
              </w:rPr>
            </w:pPr>
            <w:r w:rsidRPr="00387AB6">
              <w:rPr>
                <w:rFonts w:cs="Calibri"/>
                <w:color w:val="000000"/>
                <w:sz w:val="24"/>
                <w:szCs w:val="24"/>
              </w:rPr>
              <w:t> </w:t>
            </w:r>
          </w:p>
        </w:tc>
        <w:tc>
          <w:tcPr>
            <w:tcW w:w="1478" w:type="dxa"/>
            <w:tcBorders>
              <w:top w:val="nil"/>
              <w:left w:val="nil"/>
              <w:bottom w:val="single" w:color="auto" w:sz="4" w:space="0"/>
              <w:right w:val="double" w:color="auto" w:sz="6" w:space="0"/>
            </w:tcBorders>
            <w:shd w:val="clear" w:color="auto" w:fill="auto"/>
            <w:noWrap/>
            <w:vAlign w:val="bottom"/>
            <w:hideMark/>
          </w:tcPr>
          <w:p w:rsidRPr="00387AB6" w:rsidR="00104742" w:rsidP="00573A19" w:rsidRDefault="00104742" w14:paraId="3EF5B1FA" w14:textId="77777777">
            <w:pPr>
              <w:rPr>
                <w:rFonts w:cs="Calibri"/>
                <w:color w:val="000000"/>
                <w:sz w:val="24"/>
                <w:szCs w:val="24"/>
              </w:rPr>
            </w:pPr>
            <w:r w:rsidRPr="00387AB6">
              <w:rPr>
                <w:rFonts w:cs="Calibri"/>
                <w:color w:val="000000"/>
                <w:sz w:val="24"/>
                <w:szCs w:val="24"/>
              </w:rPr>
              <w:t> </w:t>
            </w:r>
          </w:p>
        </w:tc>
        <w:tc>
          <w:tcPr>
            <w:tcW w:w="1521" w:type="dxa"/>
            <w:tcBorders>
              <w:top w:val="nil"/>
              <w:left w:val="nil"/>
              <w:bottom w:val="single" w:color="auto" w:sz="4" w:space="0"/>
              <w:right w:val="single" w:color="auto" w:sz="4" w:space="0"/>
            </w:tcBorders>
            <w:shd w:val="clear" w:color="auto" w:fill="auto"/>
            <w:noWrap/>
            <w:vAlign w:val="bottom"/>
            <w:hideMark/>
          </w:tcPr>
          <w:p w:rsidRPr="00387AB6" w:rsidR="00104742" w:rsidP="00573A19" w:rsidRDefault="00104742" w14:paraId="72B99364" w14:textId="77777777">
            <w:pPr>
              <w:rPr>
                <w:rFonts w:cs="Calibri"/>
                <w:color w:val="000000"/>
                <w:sz w:val="24"/>
                <w:szCs w:val="24"/>
              </w:rPr>
            </w:pPr>
            <w:r w:rsidRPr="00387AB6">
              <w:rPr>
                <w:rFonts w:cs="Calibri"/>
                <w:color w:val="000000"/>
                <w:sz w:val="24"/>
                <w:szCs w:val="24"/>
              </w:rPr>
              <w:t> </w:t>
            </w:r>
          </w:p>
        </w:tc>
        <w:tc>
          <w:tcPr>
            <w:tcW w:w="1478" w:type="dxa"/>
            <w:tcBorders>
              <w:top w:val="nil"/>
              <w:left w:val="nil"/>
              <w:bottom w:val="single" w:color="auto" w:sz="4" w:space="0"/>
              <w:right w:val="single" w:color="auto" w:sz="8" w:space="0"/>
            </w:tcBorders>
            <w:shd w:val="clear" w:color="auto" w:fill="auto"/>
            <w:noWrap/>
            <w:vAlign w:val="bottom"/>
            <w:hideMark/>
          </w:tcPr>
          <w:p w:rsidRPr="00387AB6" w:rsidR="00104742" w:rsidP="00573A19" w:rsidRDefault="00104742" w14:paraId="54585FC8" w14:textId="77777777">
            <w:pPr>
              <w:rPr>
                <w:rFonts w:cs="Calibri"/>
                <w:color w:val="000000"/>
                <w:sz w:val="24"/>
                <w:szCs w:val="24"/>
              </w:rPr>
            </w:pPr>
            <w:r w:rsidRPr="00387AB6">
              <w:rPr>
                <w:rFonts w:cs="Calibri"/>
                <w:color w:val="000000"/>
                <w:sz w:val="24"/>
                <w:szCs w:val="24"/>
              </w:rPr>
              <w:t> </w:t>
            </w:r>
          </w:p>
        </w:tc>
      </w:tr>
      <w:tr w:rsidRPr="00387AB6" w:rsidR="00387AB6" w:rsidTr="00387AB6" w14:paraId="21E8C527" w14:textId="77777777">
        <w:trPr>
          <w:trHeight w:val="300"/>
        </w:trPr>
        <w:tc>
          <w:tcPr>
            <w:tcW w:w="4675" w:type="dxa"/>
            <w:tcBorders>
              <w:top w:val="nil"/>
              <w:left w:val="single" w:color="auto" w:sz="8" w:space="0"/>
              <w:bottom w:val="single" w:color="auto" w:sz="4" w:space="0"/>
              <w:right w:val="nil"/>
            </w:tcBorders>
            <w:shd w:val="clear" w:color="auto" w:fill="auto"/>
            <w:noWrap/>
            <w:vAlign w:val="bottom"/>
            <w:hideMark/>
          </w:tcPr>
          <w:p w:rsidRPr="00387AB6" w:rsidR="00104742" w:rsidP="00573A19" w:rsidRDefault="00104742" w14:paraId="31704BFE" w14:textId="77777777">
            <w:pPr>
              <w:rPr>
                <w:rFonts w:cs="Calibri"/>
                <w:color w:val="000000"/>
                <w:sz w:val="24"/>
                <w:szCs w:val="24"/>
              </w:rPr>
            </w:pPr>
            <w:r w:rsidRPr="00387AB6">
              <w:rPr>
                <w:rFonts w:cs="Calibri"/>
                <w:color w:val="000000"/>
                <w:sz w:val="24"/>
                <w:szCs w:val="24"/>
              </w:rPr>
              <w:t>[Add rows as needed]</w:t>
            </w:r>
          </w:p>
        </w:tc>
        <w:tc>
          <w:tcPr>
            <w:tcW w:w="2120" w:type="dxa"/>
            <w:tcBorders>
              <w:top w:val="nil"/>
              <w:left w:val="single" w:color="auto" w:sz="8" w:space="0"/>
              <w:bottom w:val="single" w:color="auto" w:sz="4" w:space="0"/>
              <w:right w:val="single" w:color="auto" w:sz="4" w:space="0"/>
            </w:tcBorders>
            <w:shd w:val="clear" w:color="auto" w:fill="auto"/>
            <w:vAlign w:val="bottom"/>
            <w:hideMark/>
          </w:tcPr>
          <w:p w:rsidRPr="00387AB6" w:rsidR="00104742" w:rsidP="00573A19" w:rsidRDefault="00104742" w14:paraId="3C202D02" w14:textId="77777777">
            <w:pPr>
              <w:rPr>
                <w:rFonts w:cs="Calibri"/>
                <w:color w:val="000000"/>
                <w:sz w:val="24"/>
                <w:szCs w:val="24"/>
              </w:rPr>
            </w:pPr>
            <w:r w:rsidRPr="00387AB6">
              <w:rPr>
                <w:rFonts w:cs="Calibri"/>
                <w:color w:val="000000"/>
                <w:sz w:val="24"/>
                <w:szCs w:val="24"/>
              </w:rPr>
              <w:t> </w:t>
            </w:r>
          </w:p>
        </w:tc>
        <w:tc>
          <w:tcPr>
            <w:tcW w:w="1478" w:type="dxa"/>
            <w:tcBorders>
              <w:top w:val="nil"/>
              <w:left w:val="nil"/>
              <w:bottom w:val="single" w:color="auto" w:sz="4" w:space="0"/>
              <w:right w:val="double" w:color="auto" w:sz="6" w:space="0"/>
            </w:tcBorders>
            <w:shd w:val="clear" w:color="auto" w:fill="auto"/>
            <w:noWrap/>
            <w:vAlign w:val="bottom"/>
            <w:hideMark/>
          </w:tcPr>
          <w:p w:rsidRPr="00387AB6" w:rsidR="00104742" w:rsidP="00573A19" w:rsidRDefault="00104742" w14:paraId="396B887C" w14:textId="77777777">
            <w:pPr>
              <w:rPr>
                <w:rFonts w:cs="Calibri"/>
                <w:color w:val="000000"/>
                <w:sz w:val="24"/>
                <w:szCs w:val="24"/>
              </w:rPr>
            </w:pPr>
            <w:r w:rsidRPr="00387AB6">
              <w:rPr>
                <w:rFonts w:cs="Calibri"/>
                <w:color w:val="000000"/>
                <w:sz w:val="24"/>
                <w:szCs w:val="24"/>
              </w:rPr>
              <w:t> </w:t>
            </w:r>
          </w:p>
        </w:tc>
        <w:tc>
          <w:tcPr>
            <w:tcW w:w="1521" w:type="dxa"/>
            <w:tcBorders>
              <w:top w:val="nil"/>
              <w:left w:val="nil"/>
              <w:bottom w:val="single" w:color="auto" w:sz="4" w:space="0"/>
              <w:right w:val="nil"/>
            </w:tcBorders>
            <w:shd w:val="clear" w:color="auto" w:fill="auto"/>
            <w:noWrap/>
            <w:vAlign w:val="bottom"/>
            <w:hideMark/>
          </w:tcPr>
          <w:p w:rsidRPr="00387AB6" w:rsidR="00104742" w:rsidP="00573A19" w:rsidRDefault="00104742" w14:paraId="6D5FBFF5" w14:textId="77777777">
            <w:pPr>
              <w:rPr>
                <w:rFonts w:cs="Calibri"/>
                <w:color w:val="000000"/>
                <w:sz w:val="24"/>
                <w:szCs w:val="24"/>
              </w:rPr>
            </w:pPr>
            <w:r w:rsidRPr="00387AB6">
              <w:rPr>
                <w:rFonts w:cs="Calibri"/>
                <w:color w:val="000000"/>
                <w:sz w:val="24"/>
                <w:szCs w:val="24"/>
              </w:rPr>
              <w:t> </w:t>
            </w:r>
          </w:p>
        </w:tc>
        <w:tc>
          <w:tcPr>
            <w:tcW w:w="1478" w:type="dxa"/>
            <w:tcBorders>
              <w:top w:val="nil"/>
              <w:left w:val="nil"/>
              <w:bottom w:val="single" w:color="auto" w:sz="4" w:space="0"/>
              <w:right w:val="nil"/>
            </w:tcBorders>
            <w:shd w:val="clear" w:color="auto" w:fill="auto"/>
            <w:noWrap/>
            <w:vAlign w:val="bottom"/>
            <w:hideMark/>
          </w:tcPr>
          <w:p w:rsidRPr="00387AB6" w:rsidR="00104742" w:rsidP="00573A19" w:rsidRDefault="00104742" w14:paraId="0D53FBB7" w14:textId="77777777">
            <w:pPr>
              <w:rPr>
                <w:rFonts w:cs="Calibri"/>
                <w:color w:val="000000"/>
                <w:sz w:val="24"/>
                <w:szCs w:val="24"/>
              </w:rPr>
            </w:pPr>
            <w:r w:rsidRPr="00387AB6">
              <w:rPr>
                <w:rFonts w:cs="Calibri"/>
                <w:color w:val="000000"/>
                <w:sz w:val="24"/>
                <w:szCs w:val="24"/>
              </w:rPr>
              <w:t> </w:t>
            </w:r>
          </w:p>
        </w:tc>
        <w:tc>
          <w:tcPr>
            <w:tcW w:w="1521" w:type="dxa"/>
            <w:tcBorders>
              <w:top w:val="nil"/>
              <w:left w:val="double" w:color="auto" w:sz="6" w:space="0"/>
              <w:bottom w:val="single" w:color="auto" w:sz="4" w:space="0"/>
              <w:right w:val="single" w:color="auto" w:sz="4" w:space="0"/>
            </w:tcBorders>
            <w:shd w:val="clear" w:color="auto" w:fill="auto"/>
            <w:noWrap/>
            <w:vAlign w:val="bottom"/>
            <w:hideMark/>
          </w:tcPr>
          <w:p w:rsidRPr="00387AB6" w:rsidR="00104742" w:rsidP="00573A19" w:rsidRDefault="00104742" w14:paraId="69EC498F" w14:textId="77777777">
            <w:pPr>
              <w:rPr>
                <w:rFonts w:cs="Calibri"/>
                <w:color w:val="000000"/>
                <w:sz w:val="24"/>
                <w:szCs w:val="24"/>
              </w:rPr>
            </w:pPr>
            <w:r w:rsidRPr="00387AB6">
              <w:rPr>
                <w:rFonts w:cs="Calibri"/>
                <w:color w:val="000000"/>
                <w:sz w:val="24"/>
                <w:szCs w:val="24"/>
              </w:rPr>
              <w:t> </w:t>
            </w:r>
          </w:p>
        </w:tc>
        <w:tc>
          <w:tcPr>
            <w:tcW w:w="1478" w:type="dxa"/>
            <w:tcBorders>
              <w:top w:val="nil"/>
              <w:left w:val="nil"/>
              <w:bottom w:val="single" w:color="auto" w:sz="4" w:space="0"/>
              <w:right w:val="double" w:color="auto" w:sz="6" w:space="0"/>
            </w:tcBorders>
            <w:shd w:val="clear" w:color="auto" w:fill="auto"/>
            <w:noWrap/>
            <w:vAlign w:val="bottom"/>
            <w:hideMark/>
          </w:tcPr>
          <w:p w:rsidRPr="00387AB6" w:rsidR="00104742" w:rsidP="00573A19" w:rsidRDefault="00104742" w14:paraId="28CEE7FD" w14:textId="77777777">
            <w:pPr>
              <w:rPr>
                <w:rFonts w:cs="Calibri"/>
                <w:color w:val="000000"/>
                <w:sz w:val="24"/>
                <w:szCs w:val="24"/>
              </w:rPr>
            </w:pPr>
            <w:r w:rsidRPr="00387AB6">
              <w:rPr>
                <w:rFonts w:cs="Calibri"/>
                <w:color w:val="000000"/>
                <w:sz w:val="24"/>
                <w:szCs w:val="24"/>
              </w:rPr>
              <w:t> </w:t>
            </w:r>
          </w:p>
        </w:tc>
        <w:tc>
          <w:tcPr>
            <w:tcW w:w="1521" w:type="dxa"/>
            <w:tcBorders>
              <w:top w:val="nil"/>
              <w:left w:val="nil"/>
              <w:bottom w:val="single" w:color="auto" w:sz="4" w:space="0"/>
              <w:right w:val="single" w:color="auto" w:sz="4" w:space="0"/>
            </w:tcBorders>
            <w:shd w:val="clear" w:color="auto" w:fill="auto"/>
            <w:noWrap/>
            <w:vAlign w:val="bottom"/>
            <w:hideMark/>
          </w:tcPr>
          <w:p w:rsidRPr="00387AB6" w:rsidR="00104742" w:rsidP="00573A19" w:rsidRDefault="00104742" w14:paraId="24A6A41D" w14:textId="77777777">
            <w:pPr>
              <w:rPr>
                <w:rFonts w:cs="Calibri"/>
                <w:color w:val="000000"/>
                <w:sz w:val="24"/>
                <w:szCs w:val="24"/>
              </w:rPr>
            </w:pPr>
            <w:r w:rsidRPr="00387AB6">
              <w:rPr>
                <w:rFonts w:cs="Calibri"/>
                <w:color w:val="000000"/>
                <w:sz w:val="24"/>
                <w:szCs w:val="24"/>
              </w:rPr>
              <w:t> </w:t>
            </w:r>
          </w:p>
        </w:tc>
        <w:tc>
          <w:tcPr>
            <w:tcW w:w="1478" w:type="dxa"/>
            <w:tcBorders>
              <w:top w:val="nil"/>
              <w:left w:val="nil"/>
              <w:bottom w:val="single" w:color="auto" w:sz="4" w:space="0"/>
              <w:right w:val="single" w:color="auto" w:sz="8" w:space="0"/>
            </w:tcBorders>
            <w:shd w:val="clear" w:color="auto" w:fill="auto"/>
            <w:noWrap/>
            <w:vAlign w:val="bottom"/>
            <w:hideMark/>
          </w:tcPr>
          <w:p w:rsidRPr="00387AB6" w:rsidR="00104742" w:rsidP="00573A19" w:rsidRDefault="00104742" w14:paraId="27F29FCA" w14:textId="77777777">
            <w:pPr>
              <w:rPr>
                <w:rFonts w:cs="Calibri"/>
                <w:color w:val="000000"/>
                <w:sz w:val="24"/>
                <w:szCs w:val="24"/>
              </w:rPr>
            </w:pPr>
            <w:r w:rsidRPr="00387AB6">
              <w:rPr>
                <w:rFonts w:cs="Calibri"/>
                <w:color w:val="000000"/>
                <w:sz w:val="24"/>
                <w:szCs w:val="24"/>
              </w:rPr>
              <w:t> </w:t>
            </w:r>
          </w:p>
        </w:tc>
      </w:tr>
      <w:tr w:rsidRPr="00387AB6" w:rsidR="00387AB6" w:rsidTr="00387AB6" w14:paraId="45F90424" w14:textId="77777777">
        <w:trPr>
          <w:trHeight w:val="600"/>
        </w:trPr>
        <w:tc>
          <w:tcPr>
            <w:tcW w:w="4675" w:type="dxa"/>
            <w:tcBorders>
              <w:top w:val="nil"/>
              <w:left w:val="single" w:color="auto" w:sz="8" w:space="0"/>
              <w:bottom w:val="single" w:color="auto" w:sz="4" w:space="0"/>
              <w:right w:val="nil"/>
            </w:tcBorders>
            <w:shd w:val="clear" w:color="auto" w:fill="auto"/>
            <w:vAlign w:val="bottom"/>
            <w:hideMark/>
          </w:tcPr>
          <w:p w:rsidRPr="00387AB6" w:rsidR="00104742" w:rsidP="00573A19" w:rsidRDefault="00104742" w14:paraId="79E0288E" w14:textId="77777777">
            <w:pPr>
              <w:rPr>
                <w:rFonts w:cs="Calibri"/>
                <w:color w:val="000000"/>
                <w:sz w:val="24"/>
                <w:szCs w:val="24"/>
              </w:rPr>
            </w:pPr>
            <w:r w:rsidRPr="00387AB6">
              <w:rPr>
                <w:rFonts w:cs="Calibri"/>
                <w:b/>
                <w:bCs/>
                <w:color w:val="000000"/>
                <w:sz w:val="24"/>
                <w:szCs w:val="24"/>
              </w:rPr>
              <w:t>Total</w:t>
            </w:r>
            <w:r w:rsidRPr="00387AB6">
              <w:rPr>
                <w:rFonts w:cs="Calibri"/>
                <w:color w:val="000000"/>
                <w:sz w:val="24"/>
                <w:szCs w:val="24"/>
              </w:rPr>
              <w:t xml:space="preserve"> [footnote any caveats when summation differs from total]</w:t>
            </w:r>
          </w:p>
        </w:tc>
        <w:tc>
          <w:tcPr>
            <w:tcW w:w="2120" w:type="dxa"/>
            <w:tcBorders>
              <w:top w:val="nil"/>
              <w:left w:val="single" w:color="auto" w:sz="8" w:space="0"/>
              <w:bottom w:val="single" w:color="auto" w:sz="4" w:space="0"/>
              <w:right w:val="single" w:color="auto" w:sz="4" w:space="0"/>
            </w:tcBorders>
            <w:shd w:val="clear" w:color="auto" w:fill="auto"/>
            <w:vAlign w:val="bottom"/>
            <w:hideMark/>
          </w:tcPr>
          <w:p w:rsidRPr="00387AB6" w:rsidR="00104742" w:rsidP="00573A19" w:rsidRDefault="00104742" w14:paraId="2780C30D" w14:textId="77777777">
            <w:pPr>
              <w:rPr>
                <w:rFonts w:cs="Calibri"/>
                <w:color w:val="000000"/>
                <w:sz w:val="24"/>
                <w:szCs w:val="24"/>
              </w:rPr>
            </w:pPr>
            <w:r w:rsidRPr="00387AB6">
              <w:rPr>
                <w:rFonts w:cs="Calibri"/>
                <w:color w:val="000000"/>
                <w:sz w:val="24"/>
                <w:szCs w:val="24"/>
              </w:rPr>
              <w:t> </w:t>
            </w:r>
          </w:p>
        </w:tc>
        <w:tc>
          <w:tcPr>
            <w:tcW w:w="1478" w:type="dxa"/>
            <w:tcBorders>
              <w:top w:val="nil"/>
              <w:left w:val="nil"/>
              <w:bottom w:val="single" w:color="auto" w:sz="4" w:space="0"/>
              <w:right w:val="double" w:color="auto" w:sz="6" w:space="0"/>
            </w:tcBorders>
            <w:shd w:val="clear" w:color="auto" w:fill="auto"/>
            <w:noWrap/>
            <w:vAlign w:val="bottom"/>
            <w:hideMark/>
          </w:tcPr>
          <w:p w:rsidRPr="00387AB6" w:rsidR="00104742" w:rsidP="00573A19" w:rsidRDefault="00104742" w14:paraId="11C7A01E" w14:textId="77777777">
            <w:pPr>
              <w:rPr>
                <w:rFonts w:cs="Calibri"/>
                <w:color w:val="000000"/>
                <w:sz w:val="24"/>
                <w:szCs w:val="24"/>
              </w:rPr>
            </w:pPr>
            <w:r w:rsidRPr="00387AB6">
              <w:rPr>
                <w:rFonts w:cs="Calibri"/>
                <w:color w:val="000000"/>
                <w:sz w:val="24"/>
                <w:szCs w:val="24"/>
              </w:rPr>
              <w:t> </w:t>
            </w:r>
          </w:p>
        </w:tc>
        <w:tc>
          <w:tcPr>
            <w:tcW w:w="1521" w:type="dxa"/>
            <w:tcBorders>
              <w:top w:val="nil"/>
              <w:left w:val="nil"/>
              <w:bottom w:val="single" w:color="auto" w:sz="4" w:space="0"/>
              <w:right w:val="nil"/>
            </w:tcBorders>
            <w:shd w:val="clear" w:color="auto" w:fill="auto"/>
            <w:noWrap/>
            <w:vAlign w:val="bottom"/>
            <w:hideMark/>
          </w:tcPr>
          <w:p w:rsidRPr="00387AB6" w:rsidR="00104742" w:rsidP="00573A19" w:rsidRDefault="00104742" w14:paraId="325662EF" w14:textId="77777777">
            <w:pPr>
              <w:rPr>
                <w:rFonts w:cs="Calibri"/>
                <w:color w:val="000000"/>
                <w:sz w:val="24"/>
                <w:szCs w:val="24"/>
              </w:rPr>
            </w:pPr>
            <w:r w:rsidRPr="00387AB6">
              <w:rPr>
                <w:rFonts w:cs="Calibri"/>
                <w:color w:val="000000"/>
                <w:sz w:val="24"/>
                <w:szCs w:val="24"/>
              </w:rPr>
              <w:t> </w:t>
            </w:r>
          </w:p>
        </w:tc>
        <w:tc>
          <w:tcPr>
            <w:tcW w:w="1478" w:type="dxa"/>
            <w:tcBorders>
              <w:top w:val="nil"/>
              <w:left w:val="nil"/>
              <w:bottom w:val="single" w:color="auto" w:sz="4" w:space="0"/>
              <w:right w:val="nil"/>
            </w:tcBorders>
            <w:shd w:val="clear" w:color="auto" w:fill="auto"/>
            <w:noWrap/>
            <w:vAlign w:val="bottom"/>
            <w:hideMark/>
          </w:tcPr>
          <w:p w:rsidRPr="00387AB6" w:rsidR="00104742" w:rsidP="00573A19" w:rsidRDefault="00104742" w14:paraId="371E41F7" w14:textId="77777777">
            <w:pPr>
              <w:rPr>
                <w:rFonts w:cs="Calibri"/>
                <w:color w:val="000000"/>
                <w:sz w:val="24"/>
                <w:szCs w:val="24"/>
              </w:rPr>
            </w:pPr>
            <w:r w:rsidRPr="00387AB6">
              <w:rPr>
                <w:rFonts w:cs="Calibri"/>
                <w:color w:val="000000"/>
                <w:sz w:val="24"/>
                <w:szCs w:val="24"/>
              </w:rPr>
              <w:t> </w:t>
            </w:r>
          </w:p>
        </w:tc>
        <w:tc>
          <w:tcPr>
            <w:tcW w:w="1521" w:type="dxa"/>
            <w:tcBorders>
              <w:top w:val="nil"/>
              <w:left w:val="double" w:color="auto" w:sz="6" w:space="0"/>
              <w:bottom w:val="single" w:color="auto" w:sz="4" w:space="0"/>
              <w:right w:val="single" w:color="auto" w:sz="4" w:space="0"/>
            </w:tcBorders>
            <w:shd w:val="clear" w:color="auto" w:fill="auto"/>
            <w:noWrap/>
            <w:vAlign w:val="bottom"/>
            <w:hideMark/>
          </w:tcPr>
          <w:p w:rsidRPr="00387AB6" w:rsidR="00104742" w:rsidP="00573A19" w:rsidRDefault="00104742" w14:paraId="1ED58416" w14:textId="77777777">
            <w:pPr>
              <w:rPr>
                <w:rFonts w:cs="Calibri"/>
                <w:color w:val="000000"/>
                <w:sz w:val="24"/>
                <w:szCs w:val="24"/>
              </w:rPr>
            </w:pPr>
            <w:r w:rsidRPr="00387AB6">
              <w:rPr>
                <w:rFonts w:cs="Calibri"/>
                <w:color w:val="000000"/>
                <w:sz w:val="24"/>
                <w:szCs w:val="24"/>
              </w:rPr>
              <w:t> </w:t>
            </w:r>
          </w:p>
        </w:tc>
        <w:tc>
          <w:tcPr>
            <w:tcW w:w="1478" w:type="dxa"/>
            <w:tcBorders>
              <w:top w:val="nil"/>
              <w:left w:val="nil"/>
              <w:bottom w:val="single" w:color="auto" w:sz="4" w:space="0"/>
              <w:right w:val="double" w:color="auto" w:sz="6" w:space="0"/>
            </w:tcBorders>
            <w:shd w:val="clear" w:color="auto" w:fill="auto"/>
            <w:noWrap/>
            <w:vAlign w:val="bottom"/>
            <w:hideMark/>
          </w:tcPr>
          <w:p w:rsidRPr="00387AB6" w:rsidR="00104742" w:rsidP="00573A19" w:rsidRDefault="00104742" w14:paraId="0039144A" w14:textId="77777777">
            <w:pPr>
              <w:rPr>
                <w:rFonts w:cs="Calibri"/>
                <w:color w:val="000000"/>
                <w:sz w:val="24"/>
                <w:szCs w:val="24"/>
              </w:rPr>
            </w:pPr>
            <w:r w:rsidRPr="00387AB6">
              <w:rPr>
                <w:rFonts w:cs="Calibri"/>
                <w:color w:val="000000"/>
                <w:sz w:val="24"/>
                <w:szCs w:val="24"/>
              </w:rPr>
              <w:t> </w:t>
            </w:r>
          </w:p>
        </w:tc>
        <w:tc>
          <w:tcPr>
            <w:tcW w:w="1521" w:type="dxa"/>
            <w:tcBorders>
              <w:top w:val="nil"/>
              <w:left w:val="nil"/>
              <w:bottom w:val="single" w:color="auto" w:sz="4" w:space="0"/>
              <w:right w:val="single" w:color="auto" w:sz="4" w:space="0"/>
            </w:tcBorders>
            <w:shd w:val="clear" w:color="auto" w:fill="auto"/>
            <w:noWrap/>
            <w:vAlign w:val="bottom"/>
            <w:hideMark/>
          </w:tcPr>
          <w:p w:rsidRPr="00387AB6" w:rsidR="00104742" w:rsidP="00573A19" w:rsidRDefault="00104742" w14:paraId="28CC1B9F" w14:textId="77777777">
            <w:pPr>
              <w:rPr>
                <w:rFonts w:cs="Calibri"/>
                <w:color w:val="000000"/>
                <w:sz w:val="24"/>
                <w:szCs w:val="24"/>
              </w:rPr>
            </w:pPr>
            <w:r w:rsidRPr="00387AB6">
              <w:rPr>
                <w:rFonts w:cs="Calibri"/>
                <w:color w:val="000000"/>
                <w:sz w:val="24"/>
                <w:szCs w:val="24"/>
              </w:rPr>
              <w:t> </w:t>
            </w:r>
          </w:p>
        </w:tc>
        <w:tc>
          <w:tcPr>
            <w:tcW w:w="1478" w:type="dxa"/>
            <w:tcBorders>
              <w:top w:val="nil"/>
              <w:left w:val="nil"/>
              <w:bottom w:val="single" w:color="auto" w:sz="4" w:space="0"/>
              <w:right w:val="single" w:color="auto" w:sz="8" w:space="0"/>
            </w:tcBorders>
            <w:shd w:val="clear" w:color="auto" w:fill="auto"/>
            <w:noWrap/>
            <w:vAlign w:val="bottom"/>
            <w:hideMark/>
          </w:tcPr>
          <w:p w:rsidRPr="00387AB6" w:rsidR="00104742" w:rsidP="00573A19" w:rsidRDefault="00104742" w14:paraId="394C7A35" w14:textId="77777777">
            <w:pPr>
              <w:rPr>
                <w:rFonts w:cs="Calibri"/>
                <w:color w:val="000000"/>
                <w:sz w:val="24"/>
                <w:szCs w:val="24"/>
              </w:rPr>
            </w:pPr>
            <w:r w:rsidRPr="00387AB6">
              <w:rPr>
                <w:rFonts w:cs="Calibri"/>
                <w:color w:val="000000"/>
                <w:sz w:val="24"/>
                <w:szCs w:val="24"/>
              </w:rPr>
              <w:t> </w:t>
            </w:r>
          </w:p>
        </w:tc>
      </w:tr>
      <w:tr w:rsidRPr="00387AB6" w:rsidR="00387AB6" w:rsidTr="00387AB6" w14:paraId="71F7FAF0" w14:textId="77777777">
        <w:trPr>
          <w:trHeight w:val="300"/>
        </w:trPr>
        <w:tc>
          <w:tcPr>
            <w:tcW w:w="4675" w:type="dxa"/>
            <w:tcBorders>
              <w:top w:val="nil"/>
              <w:left w:val="single" w:color="auto" w:sz="8" w:space="0"/>
              <w:bottom w:val="single" w:color="auto" w:sz="4" w:space="0"/>
              <w:right w:val="nil"/>
            </w:tcBorders>
            <w:shd w:val="clear" w:color="000000" w:fill="D0CECE"/>
            <w:noWrap/>
            <w:vAlign w:val="bottom"/>
            <w:hideMark/>
          </w:tcPr>
          <w:p w:rsidRPr="00387AB6" w:rsidR="00104742" w:rsidP="00573A19" w:rsidRDefault="00104742" w14:paraId="7D20BE74" w14:textId="77777777">
            <w:pPr>
              <w:rPr>
                <w:rFonts w:cs="Calibri"/>
                <w:i/>
                <w:iCs/>
                <w:color w:val="000000"/>
                <w:sz w:val="24"/>
                <w:szCs w:val="24"/>
              </w:rPr>
            </w:pPr>
            <w:r w:rsidRPr="00387AB6">
              <w:rPr>
                <w:rFonts w:cs="Calibri"/>
                <w:i/>
                <w:iCs/>
                <w:color w:val="000000"/>
                <w:sz w:val="24"/>
                <w:szCs w:val="24"/>
              </w:rPr>
              <w:t>TOU Rates</w:t>
            </w:r>
          </w:p>
        </w:tc>
        <w:tc>
          <w:tcPr>
            <w:tcW w:w="2120" w:type="dxa"/>
            <w:tcBorders>
              <w:top w:val="nil"/>
              <w:left w:val="single" w:color="auto" w:sz="8" w:space="0"/>
              <w:bottom w:val="single" w:color="auto" w:sz="4" w:space="0"/>
              <w:right w:val="nil"/>
            </w:tcBorders>
            <w:shd w:val="clear" w:color="000000" w:fill="D0CECE"/>
            <w:noWrap/>
            <w:vAlign w:val="bottom"/>
            <w:hideMark/>
          </w:tcPr>
          <w:p w:rsidRPr="00387AB6" w:rsidR="00104742" w:rsidP="00573A19" w:rsidRDefault="00104742" w14:paraId="6C375F20" w14:textId="77777777">
            <w:pPr>
              <w:rPr>
                <w:rFonts w:cs="Calibri"/>
                <w:i/>
                <w:iCs/>
                <w:color w:val="000000"/>
                <w:sz w:val="24"/>
                <w:szCs w:val="24"/>
              </w:rPr>
            </w:pPr>
            <w:r w:rsidRPr="00387AB6">
              <w:rPr>
                <w:rFonts w:cs="Calibri"/>
                <w:i/>
                <w:iCs/>
                <w:color w:val="000000"/>
                <w:sz w:val="24"/>
                <w:szCs w:val="24"/>
              </w:rPr>
              <w:t> </w:t>
            </w:r>
          </w:p>
        </w:tc>
        <w:tc>
          <w:tcPr>
            <w:tcW w:w="1478" w:type="dxa"/>
            <w:tcBorders>
              <w:top w:val="nil"/>
              <w:left w:val="nil"/>
              <w:bottom w:val="single" w:color="auto" w:sz="4" w:space="0"/>
              <w:right w:val="nil"/>
            </w:tcBorders>
            <w:shd w:val="clear" w:color="000000" w:fill="D0CECE"/>
            <w:noWrap/>
            <w:vAlign w:val="bottom"/>
            <w:hideMark/>
          </w:tcPr>
          <w:p w:rsidRPr="00387AB6" w:rsidR="00104742" w:rsidP="00573A19" w:rsidRDefault="00104742" w14:paraId="2349398D" w14:textId="77777777">
            <w:pPr>
              <w:rPr>
                <w:rFonts w:cs="Calibri"/>
                <w:i/>
                <w:iCs/>
                <w:color w:val="000000"/>
                <w:sz w:val="24"/>
                <w:szCs w:val="24"/>
              </w:rPr>
            </w:pPr>
            <w:r w:rsidRPr="00387AB6">
              <w:rPr>
                <w:rFonts w:cs="Calibri"/>
                <w:i/>
                <w:iCs/>
                <w:color w:val="000000"/>
                <w:sz w:val="24"/>
                <w:szCs w:val="24"/>
              </w:rPr>
              <w:t> </w:t>
            </w:r>
          </w:p>
        </w:tc>
        <w:tc>
          <w:tcPr>
            <w:tcW w:w="1521" w:type="dxa"/>
            <w:tcBorders>
              <w:top w:val="nil"/>
              <w:left w:val="nil"/>
              <w:bottom w:val="single" w:color="auto" w:sz="4" w:space="0"/>
              <w:right w:val="nil"/>
            </w:tcBorders>
            <w:shd w:val="clear" w:color="000000" w:fill="D0CECE"/>
            <w:noWrap/>
            <w:vAlign w:val="bottom"/>
            <w:hideMark/>
          </w:tcPr>
          <w:p w:rsidRPr="00387AB6" w:rsidR="00104742" w:rsidP="00573A19" w:rsidRDefault="00104742" w14:paraId="4B31917E" w14:textId="77777777">
            <w:pPr>
              <w:rPr>
                <w:rFonts w:cs="Calibri"/>
                <w:i/>
                <w:iCs/>
                <w:color w:val="000000"/>
                <w:sz w:val="24"/>
                <w:szCs w:val="24"/>
              </w:rPr>
            </w:pPr>
            <w:r w:rsidRPr="00387AB6">
              <w:rPr>
                <w:rFonts w:cs="Calibri"/>
                <w:i/>
                <w:iCs/>
                <w:color w:val="000000"/>
                <w:sz w:val="24"/>
                <w:szCs w:val="24"/>
              </w:rPr>
              <w:t> </w:t>
            </w:r>
          </w:p>
        </w:tc>
        <w:tc>
          <w:tcPr>
            <w:tcW w:w="1478" w:type="dxa"/>
            <w:tcBorders>
              <w:top w:val="nil"/>
              <w:left w:val="nil"/>
              <w:bottom w:val="single" w:color="auto" w:sz="4" w:space="0"/>
              <w:right w:val="nil"/>
            </w:tcBorders>
            <w:shd w:val="clear" w:color="000000" w:fill="D0CECE"/>
            <w:noWrap/>
            <w:vAlign w:val="bottom"/>
            <w:hideMark/>
          </w:tcPr>
          <w:p w:rsidRPr="00387AB6" w:rsidR="00104742" w:rsidP="00573A19" w:rsidRDefault="00104742" w14:paraId="47A75C40" w14:textId="77777777">
            <w:pPr>
              <w:rPr>
                <w:rFonts w:cs="Calibri"/>
                <w:i/>
                <w:iCs/>
                <w:color w:val="000000"/>
                <w:sz w:val="24"/>
                <w:szCs w:val="24"/>
              </w:rPr>
            </w:pPr>
            <w:r w:rsidRPr="00387AB6">
              <w:rPr>
                <w:rFonts w:cs="Calibri"/>
                <w:i/>
                <w:iCs/>
                <w:color w:val="000000"/>
                <w:sz w:val="24"/>
                <w:szCs w:val="24"/>
              </w:rPr>
              <w:t> </w:t>
            </w:r>
          </w:p>
        </w:tc>
        <w:tc>
          <w:tcPr>
            <w:tcW w:w="1521" w:type="dxa"/>
            <w:tcBorders>
              <w:top w:val="nil"/>
              <w:left w:val="nil"/>
              <w:bottom w:val="single" w:color="auto" w:sz="4" w:space="0"/>
              <w:right w:val="nil"/>
            </w:tcBorders>
            <w:shd w:val="clear" w:color="000000" w:fill="D0CECE"/>
            <w:noWrap/>
            <w:vAlign w:val="bottom"/>
            <w:hideMark/>
          </w:tcPr>
          <w:p w:rsidRPr="00387AB6" w:rsidR="00104742" w:rsidP="00573A19" w:rsidRDefault="00104742" w14:paraId="7A8AD60B" w14:textId="77777777">
            <w:pPr>
              <w:rPr>
                <w:rFonts w:cs="Calibri"/>
                <w:i/>
                <w:iCs/>
                <w:color w:val="000000"/>
                <w:sz w:val="24"/>
                <w:szCs w:val="24"/>
              </w:rPr>
            </w:pPr>
            <w:r w:rsidRPr="00387AB6">
              <w:rPr>
                <w:rFonts w:cs="Calibri"/>
                <w:i/>
                <w:iCs/>
                <w:color w:val="000000"/>
                <w:sz w:val="24"/>
                <w:szCs w:val="24"/>
              </w:rPr>
              <w:t> </w:t>
            </w:r>
          </w:p>
        </w:tc>
        <w:tc>
          <w:tcPr>
            <w:tcW w:w="1478" w:type="dxa"/>
            <w:tcBorders>
              <w:top w:val="nil"/>
              <w:left w:val="nil"/>
              <w:bottom w:val="single" w:color="auto" w:sz="4" w:space="0"/>
              <w:right w:val="nil"/>
            </w:tcBorders>
            <w:shd w:val="clear" w:color="000000" w:fill="D0CECE"/>
            <w:noWrap/>
            <w:vAlign w:val="bottom"/>
            <w:hideMark/>
          </w:tcPr>
          <w:p w:rsidRPr="00387AB6" w:rsidR="00104742" w:rsidP="00573A19" w:rsidRDefault="00104742" w14:paraId="3B42592F" w14:textId="77777777">
            <w:pPr>
              <w:rPr>
                <w:rFonts w:cs="Calibri"/>
                <w:i/>
                <w:iCs/>
                <w:color w:val="000000"/>
                <w:sz w:val="24"/>
                <w:szCs w:val="24"/>
              </w:rPr>
            </w:pPr>
            <w:r w:rsidRPr="00387AB6">
              <w:rPr>
                <w:rFonts w:cs="Calibri"/>
                <w:i/>
                <w:iCs/>
                <w:color w:val="000000"/>
                <w:sz w:val="24"/>
                <w:szCs w:val="24"/>
              </w:rPr>
              <w:t> </w:t>
            </w:r>
          </w:p>
        </w:tc>
        <w:tc>
          <w:tcPr>
            <w:tcW w:w="1521" w:type="dxa"/>
            <w:tcBorders>
              <w:top w:val="nil"/>
              <w:left w:val="nil"/>
              <w:bottom w:val="single" w:color="auto" w:sz="4" w:space="0"/>
              <w:right w:val="nil"/>
            </w:tcBorders>
            <w:shd w:val="clear" w:color="000000" w:fill="D0CECE"/>
            <w:noWrap/>
            <w:vAlign w:val="bottom"/>
            <w:hideMark/>
          </w:tcPr>
          <w:p w:rsidRPr="00387AB6" w:rsidR="00104742" w:rsidP="00573A19" w:rsidRDefault="00104742" w14:paraId="7B643D35" w14:textId="77777777">
            <w:pPr>
              <w:rPr>
                <w:rFonts w:cs="Calibri"/>
                <w:i/>
                <w:iCs/>
                <w:color w:val="000000"/>
                <w:sz w:val="24"/>
                <w:szCs w:val="24"/>
              </w:rPr>
            </w:pPr>
            <w:r w:rsidRPr="00387AB6">
              <w:rPr>
                <w:rFonts w:cs="Calibri"/>
                <w:i/>
                <w:iCs/>
                <w:color w:val="000000"/>
                <w:sz w:val="24"/>
                <w:szCs w:val="24"/>
              </w:rPr>
              <w:t> </w:t>
            </w:r>
          </w:p>
        </w:tc>
        <w:tc>
          <w:tcPr>
            <w:tcW w:w="1478" w:type="dxa"/>
            <w:tcBorders>
              <w:top w:val="nil"/>
              <w:left w:val="nil"/>
              <w:bottom w:val="single" w:color="auto" w:sz="4" w:space="0"/>
              <w:right w:val="single" w:color="auto" w:sz="8" w:space="0"/>
            </w:tcBorders>
            <w:shd w:val="clear" w:color="000000" w:fill="D0CECE"/>
            <w:noWrap/>
            <w:vAlign w:val="bottom"/>
            <w:hideMark/>
          </w:tcPr>
          <w:p w:rsidRPr="00387AB6" w:rsidR="00104742" w:rsidP="00573A19" w:rsidRDefault="00104742" w14:paraId="4F8D11FD" w14:textId="77777777">
            <w:pPr>
              <w:rPr>
                <w:rFonts w:cs="Calibri"/>
                <w:i/>
                <w:iCs/>
                <w:color w:val="000000"/>
                <w:sz w:val="24"/>
                <w:szCs w:val="24"/>
              </w:rPr>
            </w:pPr>
            <w:r w:rsidRPr="00387AB6">
              <w:rPr>
                <w:rFonts w:cs="Calibri"/>
                <w:i/>
                <w:iCs/>
                <w:color w:val="000000"/>
                <w:sz w:val="24"/>
                <w:szCs w:val="24"/>
              </w:rPr>
              <w:t> </w:t>
            </w:r>
          </w:p>
        </w:tc>
      </w:tr>
      <w:tr w:rsidRPr="00387AB6" w:rsidR="00387AB6" w:rsidTr="00387AB6" w14:paraId="7342A0EC" w14:textId="77777777">
        <w:trPr>
          <w:trHeight w:val="300"/>
        </w:trPr>
        <w:tc>
          <w:tcPr>
            <w:tcW w:w="4675" w:type="dxa"/>
            <w:tcBorders>
              <w:top w:val="nil"/>
              <w:left w:val="single" w:color="auto" w:sz="8" w:space="0"/>
              <w:bottom w:val="single" w:color="auto" w:sz="4" w:space="0"/>
              <w:right w:val="nil"/>
            </w:tcBorders>
            <w:shd w:val="clear" w:color="auto" w:fill="auto"/>
            <w:noWrap/>
            <w:vAlign w:val="bottom"/>
            <w:hideMark/>
          </w:tcPr>
          <w:p w:rsidRPr="00387AB6" w:rsidR="00104742" w:rsidP="00573A19" w:rsidRDefault="00104742" w14:paraId="5162B5D5" w14:textId="77777777">
            <w:pPr>
              <w:rPr>
                <w:rFonts w:cs="Calibri"/>
                <w:color w:val="000000"/>
                <w:sz w:val="24"/>
                <w:szCs w:val="24"/>
              </w:rPr>
            </w:pPr>
            <w:r w:rsidRPr="00387AB6">
              <w:rPr>
                <w:rFonts w:cs="Calibri"/>
                <w:color w:val="000000"/>
                <w:sz w:val="24"/>
                <w:szCs w:val="24"/>
              </w:rPr>
              <w:t>E.g. E-6</w:t>
            </w:r>
          </w:p>
        </w:tc>
        <w:tc>
          <w:tcPr>
            <w:tcW w:w="2120" w:type="dxa"/>
            <w:tcBorders>
              <w:top w:val="nil"/>
              <w:left w:val="single" w:color="auto" w:sz="8" w:space="0"/>
              <w:bottom w:val="single" w:color="auto" w:sz="4" w:space="0"/>
              <w:right w:val="single" w:color="auto" w:sz="4" w:space="0"/>
            </w:tcBorders>
            <w:shd w:val="clear" w:color="auto" w:fill="auto"/>
            <w:noWrap/>
            <w:vAlign w:val="bottom"/>
            <w:hideMark/>
          </w:tcPr>
          <w:p w:rsidRPr="00387AB6" w:rsidR="00104742" w:rsidP="00573A19" w:rsidRDefault="00104742" w14:paraId="52E694E7" w14:textId="77777777">
            <w:pPr>
              <w:rPr>
                <w:rFonts w:cs="Calibri"/>
                <w:color w:val="000000"/>
                <w:sz w:val="24"/>
                <w:szCs w:val="24"/>
              </w:rPr>
            </w:pPr>
            <w:r w:rsidRPr="00387AB6">
              <w:rPr>
                <w:rFonts w:cs="Calibri"/>
                <w:color w:val="000000"/>
                <w:sz w:val="24"/>
                <w:szCs w:val="24"/>
              </w:rPr>
              <w:t> </w:t>
            </w:r>
          </w:p>
        </w:tc>
        <w:tc>
          <w:tcPr>
            <w:tcW w:w="1478" w:type="dxa"/>
            <w:tcBorders>
              <w:top w:val="nil"/>
              <w:left w:val="nil"/>
              <w:bottom w:val="single" w:color="auto" w:sz="4" w:space="0"/>
              <w:right w:val="double" w:color="auto" w:sz="6" w:space="0"/>
            </w:tcBorders>
            <w:shd w:val="clear" w:color="auto" w:fill="auto"/>
            <w:noWrap/>
            <w:vAlign w:val="bottom"/>
            <w:hideMark/>
          </w:tcPr>
          <w:p w:rsidRPr="00387AB6" w:rsidR="00104742" w:rsidP="00573A19" w:rsidRDefault="00104742" w14:paraId="72EB4AAA" w14:textId="77777777">
            <w:pPr>
              <w:rPr>
                <w:rFonts w:cs="Calibri"/>
                <w:color w:val="000000"/>
                <w:sz w:val="24"/>
                <w:szCs w:val="24"/>
              </w:rPr>
            </w:pPr>
            <w:r w:rsidRPr="00387AB6">
              <w:rPr>
                <w:rFonts w:cs="Calibri"/>
                <w:color w:val="000000"/>
                <w:sz w:val="24"/>
                <w:szCs w:val="24"/>
              </w:rPr>
              <w:t> </w:t>
            </w:r>
          </w:p>
        </w:tc>
        <w:tc>
          <w:tcPr>
            <w:tcW w:w="1521" w:type="dxa"/>
            <w:tcBorders>
              <w:top w:val="nil"/>
              <w:left w:val="nil"/>
              <w:bottom w:val="single" w:color="auto" w:sz="4" w:space="0"/>
              <w:right w:val="nil"/>
            </w:tcBorders>
            <w:shd w:val="clear" w:color="auto" w:fill="auto"/>
            <w:noWrap/>
            <w:vAlign w:val="bottom"/>
            <w:hideMark/>
          </w:tcPr>
          <w:p w:rsidRPr="00387AB6" w:rsidR="00104742" w:rsidP="00573A19" w:rsidRDefault="00104742" w14:paraId="479C596A" w14:textId="77777777">
            <w:pPr>
              <w:rPr>
                <w:rFonts w:cs="Calibri"/>
                <w:color w:val="000000"/>
                <w:sz w:val="24"/>
                <w:szCs w:val="24"/>
              </w:rPr>
            </w:pPr>
            <w:r w:rsidRPr="00387AB6">
              <w:rPr>
                <w:rFonts w:cs="Calibri"/>
                <w:color w:val="000000"/>
                <w:sz w:val="24"/>
                <w:szCs w:val="24"/>
              </w:rPr>
              <w:t> </w:t>
            </w:r>
          </w:p>
        </w:tc>
        <w:tc>
          <w:tcPr>
            <w:tcW w:w="1478" w:type="dxa"/>
            <w:tcBorders>
              <w:top w:val="nil"/>
              <w:left w:val="nil"/>
              <w:bottom w:val="single" w:color="auto" w:sz="4" w:space="0"/>
              <w:right w:val="nil"/>
            </w:tcBorders>
            <w:shd w:val="clear" w:color="auto" w:fill="auto"/>
            <w:noWrap/>
            <w:vAlign w:val="bottom"/>
            <w:hideMark/>
          </w:tcPr>
          <w:p w:rsidRPr="00387AB6" w:rsidR="00104742" w:rsidP="00573A19" w:rsidRDefault="00104742" w14:paraId="541F0283" w14:textId="77777777">
            <w:pPr>
              <w:rPr>
                <w:rFonts w:cs="Calibri"/>
                <w:color w:val="000000"/>
                <w:sz w:val="24"/>
                <w:szCs w:val="24"/>
              </w:rPr>
            </w:pPr>
            <w:r w:rsidRPr="00387AB6">
              <w:rPr>
                <w:rFonts w:cs="Calibri"/>
                <w:color w:val="000000"/>
                <w:sz w:val="24"/>
                <w:szCs w:val="24"/>
              </w:rPr>
              <w:t> </w:t>
            </w:r>
          </w:p>
        </w:tc>
        <w:tc>
          <w:tcPr>
            <w:tcW w:w="1521" w:type="dxa"/>
            <w:tcBorders>
              <w:top w:val="nil"/>
              <w:left w:val="double" w:color="auto" w:sz="6" w:space="0"/>
              <w:bottom w:val="single" w:color="auto" w:sz="4" w:space="0"/>
              <w:right w:val="single" w:color="auto" w:sz="4" w:space="0"/>
            </w:tcBorders>
            <w:shd w:val="clear" w:color="auto" w:fill="auto"/>
            <w:noWrap/>
            <w:vAlign w:val="bottom"/>
            <w:hideMark/>
          </w:tcPr>
          <w:p w:rsidRPr="00387AB6" w:rsidR="00104742" w:rsidP="00573A19" w:rsidRDefault="00104742" w14:paraId="44B02E9C" w14:textId="77777777">
            <w:pPr>
              <w:rPr>
                <w:rFonts w:cs="Calibri"/>
                <w:color w:val="000000"/>
                <w:sz w:val="24"/>
                <w:szCs w:val="24"/>
              </w:rPr>
            </w:pPr>
            <w:r w:rsidRPr="00387AB6">
              <w:rPr>
                <w:rFonts w:cs="Calibri"/>
                <w:color w:val="000000"/>
                <w:sz w:val="24"/>
                <w:szCs w:val="24"/>
              </w:rPr>
              <w:t> </w:t>
            </w:r>
          </w:p>
        </w:tc>
        <w:tc>
          <w:tcPr>
            <w:tcW w:w="1478" w:type="dxa"/>
            <w:tcBorders>
              <w:top w:val="nil"/>
              <w:left w:val="nil"/>
              <w:bottom w:val="single" w:color="auto" w:sz="4" w:space="0"/>
              <w:right w:val="double" w:color="auto" w:sz="6" w:space="0"/>
            </w:tcBorders>
            <w:shd w:val="clear" w:color="auto" w:fill="auto"/>
            <w:noWrap/>
            <w:vAlign w:val="bottom"/>
            <w:hideMark/>
          </w:tcPr>
          <w:p w:rsidRPr="00387AB6" w:rsidR="00104742" w:rsidP="00573A19" w:rsidRDefault="00104742" w14:paraId="35F8FA67" w14:textId="77777777">
            <w:pPr>
              <w:rPr>
                <w:rFonts w:cs="Calibri"/>
                <w:color w:val="000000"/>
                <w:sz w:val="24"/>
                <w:szCs w:val="24"/>
              </w:rPr>
            </w:pPr>
            <w:r w:rsidRPr="00387AB6">
              <w:rPr>
                <w:rFonts w:cs="Calibri"/>
                <w:color w:val="000000"/>
                <w:sz w:val="24"/>
                <w:szCs w:val="24"/>
              </w:rPr>
              <w:t> </w:t>
            </w:r>
          </w:p>
        </w:tc>
        <w:tc>
          <w:tcPr>
            <w:tcW w:w="1521" w:type="dxa"/>
            <w:tcBorders>
              <w:top w:val="nil"/>
              <w:left w:val="nil"/>
              <w:bottom w:val="single" w:color="auto" w:sz="4" w:space="0"/>
              <w:right w:val="single" w:color="auto" w:sz="4" w:space="0"/>
            </w:tcBorders>
            <w:shd w:val="clear" w:color="auto" w:fill="auto"/>
            <w:noWrap/>
            <w:vAlign w:val="bottom"/>
            <w:hideMark/>
          </w:tcPr>
          <w:p w:rsidRPr="00387AB6" w:rsidR="00104742" w:rsidP="00573A19" w:rsidRDefault="00104742" w14:paraId="2BAB1231" w14:textId="77777777">
            <w:pPr>
              <w:rPr>
                <w:rFonts w:cs="Calibri"/>
                <w:color w:val="000000"/>
                <w:sz w:val="24"/>
                <w:szCs w:val="24"/>
              </w:rPr>
            </w:pPr>
            <w:r w:rsidRPr="00387AB6">
              <w:rPr>
                <w:rFonts w:cs="Calibri"/>
                <w:color w:val="000000"/>
                <w:sz w:val="24"/>
                <w:szCs w:val="24"/>
              </w:rPr>
              <w:t> </w:t>
            </w:r>
          </w:p>
        </w:tc>
        <w:tc>
          <w:tcPr>
            <w:tcW w:w="1478" w:type="dxa"/>
            <w:tcBorders>
              <w:top w:val="nil"/>
              <w:left w:val="nil"/>
              <w:bottom w:val="single" w:color="auto" w:sz="4" w:space="0"/>
              <w:right w:val="single" w:color="auto" w:sz="8" w:space="0"/>
            </w:tcBorders>
            <w:shd w:val="clear" w:color="auto" w:fill="auto"/>
            <w:noWrap/>
            <w:vAlign w:val="bottom"/>
            <w:hideMark/>
          </w:tcPr>
          <w:p w:rsidRPr="00387AB6" w:rsidR="00104742" w:rsidP="00573A19" w:rsidRDefault="00104742" w14:paraId="5CE5B44C" w14:textId="77777777">
            <w:pPr>
              <w:rPr>
                <w:rFonts w:cs="Calibri"/>
                <w:color w:val="000000"/>
                <w:sz w:val="24"/>
                <w:szCs w:val="24"/>
              </w:rPr>
            </w:pPr>
            <w:r w:rsidRPr="00387AB6">
              <w:rPr>
                <w:rFonts w:cs="Calibri"/>
                <w:color w:val="000000"/>
                <w:sz w:val="24"/>
                <w:szCs w:val="24"/>
              </w:rPr>
              <w:t> </w:t>
            </w:r>
          </w:p>
        </w:tc>
      </w:tr>
      <w:tr w:rsidRPr="00387AB6" w:rsidR="00387AB6" w:rsidTr="00387AB6" w14:paraId="7644909C" w14:textId="77777777">
        <w:trPr>
          <w:trHeight w:val="300"/>
        </w:trPr>
        <w:tc>
          <w:tcPr>
            <w:tcW w:w="467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87AB6" w:rsidR="00104742" w:rsidP="00573A19" w:rsidRDefault="00104742" w14:paraId="5E246B5A" w14:textId="77777777">
            <w:pPr>
              <w:rPr>
                <w:rFonts w:cs="Calibri"/>
                <w:color w:val="000000"/>
                <w:sz w:val="24"/>
                <w:szCs w:val="24"/>
              </w:rPr>
            </w:pPr>
            <w:r w:rsidRPr="00387AB6">
              <w:rPr>
                <w:rFonts w:cs="Calibri"/>
                <w:color w:val="000000"/>
                <w:sz w:val="24"/>
                <w:szCs w:val="24"/>
              </w:rPr>
              <w:t>E-TOU-A</w:t>
            </w:r>
          </w:p>
        </w:tc>
        <w:tc>
          <w:tcPr>
            <w:tcW w:w="2120" w:type="dxa"/>
            <w:tcBorders>
              <w:top w:val="nil"/>
              <w:left w:val="single" w:color="auto" w:sz="4" w:space="0"/>
              <w:bottom w:val="single" w:color="auto" w:sz="4" w:space="0"/>
              <w:right w:val="single" w:color="auto" w:sz="4" w:space="0"/>
            </w:tcBorders>
            <w:shd w:val="clear" w:color="auto" w:fill="auto"/>
            <w:noWrap/>
            <w:vAlign w:val="bottom"/>
            <w:hideMark/>
          </w:tcPr>
          <w:p w:rsidRPr="00387AB6" w:rsidR="00104742" w:rsidP="00573A19" w:rsidRDefault="00104742" w14:paraId="36375202" w14:textId="77777777">
            <w:pPr>
              <w:rPr>
                <w:rFonts w:cs="Calibri"/>
                <w:color w:val="000000"/>
                <w:sz w:val="24"/>
                <w:szCs w:val="24"/>
              </w:rPr>
            </w:pPr>
            <w:r w:rsidRPr="00387AB6">
              <w:rPr>
                <w:rFonts w:cs="Calibri"/>
                <w:color w:val="000000"/>
                <w:sz w:val="24"/>
                <w:szCs w:val="24"/>
              </w:rPr>
              <w:t> </w:t>
            </w:r>
          </w:p>
        </w:tc>
        <w:tc>
          <w:tcPr>
            <w:tcW w:w="1478" w:type="dxa"/>
            <w:tcBorders>
              <w:top w:val="nil"/>
              <w:left w:val="nil"/>
              <w:bottom w:val="single" w:color="auto" w:sz="4" w:space="0"/>
              <w:right w:val="double" w:color="auto" w:sz="6" w:space="0"/>
            </w:tcBorders>
            <w:shd w:val="clear" w:color="auto" w:fill="auto"/>
            <w:noWrap/>
            <w:vAlign w:val="bottom"/>
            <w:hideMark/>
          </w:tcPr>
          <w:p w:rsidRPr="00387AB6" w:rsidR="00104742" w:rsidP="00573A19" w:rsidRDefault="00104742" w14:paraId="0351E94D" w14:textId="77777777">
            <w:pPr>
              <w:rPr>
                <w:rFonts w:cs="Calibri"/>
                <w:color w:val="000000"/>
                <w:sz w:val="24"/>
                <w:szCs w:val="24"/>
              </w:rPr>
            </w:pPr>
            <w:r w:rsidRPr="00387AB6">
              <w:rPr>
                <w:rFonts w:cs="Calibri"/>
                <w:color w:val="000000"/>
                <w:sz w:val="24"/>
                <w:szCs w:val="24"/>
              </w:rPr>
              <w:t> </w:t>
            </w:r>
          </w:p>
        </w:tc>
        <w:tc>
          <w:tcPr>
            <w:tcW w:w="1521" w:type="dxa"/>
            <w:tcBorders>
              <w:top w:val="nil"/>
              <w:left w:val="nil"/>
              <w:bottom w:val="single" w:color="auto" w:sz="4" w:space="0"/>
              <w:right w:val="nil"/>
            </w:tcBorders>
            <w:shd w:val="clear" w:color="auto" w:fill="auto"/>
            <w:noWrap/>
            <w:vAlign w:val="bottom"/>
            <w:hideMark/>
          </w:tcPr>
          <w:p w:rsidRPr="00387AB6" w:rsidR="00104742" w:rsidP="00573A19" w:rsidRDefault="00104742" w14:paraId="786FE8E4" w14:textId="77777777">
            <w:pPr>
              <w:rPr>
                <w:rFonts w:cs="Calibri"/>
                <w:color w:val="000000"/>
                <w:sz w:val="24"/>
                <w:szCs w:val="24"/>
              </w:rPr>
            </w:pPr>
            <w:r w:rsidRPr="00387AB6">
              <w:rPr>
                <w:rFonts w:cs="Calibri"/>
                <w:color w:val="000000"/>
                <w:sz w:val="24"/>
                <w:szCs w:val="24"/>
              </w:rPr>
              <w:t> </w:t>
            </w:r>
          </w:p>
        </w:tc>
        <w:tc>
          <w:tcPr>
            <w:tcW w:w="1478" w:type="dxa"/>
            <w:tcBorders>
              <w:top w:val="nil"/>
              <w:left w:val="nil"/>
              <w:bottom w:val="single" w:color="auto" w:sz="4" w:space="0"/>
              <w:right w:val="nil"/>
            </w:tcBorders>
            <w:shd w:val="clear" w:color="auto" w:fill="auto"/>
            <w:noWrap/>
            <w:vAlign w:val="bottom"/>
            <w:hideMark/>
          </w:tcPr>
          <w:p w:rsidRPr="00387AB6" w:rsidR="00104742" w:rsidP="00573A19" w:rsidRDefault="00104742" w14:paraId="78465C54" w14:textId="77777777">
            <w:pPr>
              <w:rPr>
                <w:rFonts w:cs="Calibri"/>
                <w:color w:val="000000"/>
                <w:sz w:val="24"/>
                <w:szCs w:val="24"/>
              </w:rPr>
            </w:pPr>
            <w:r w:rsidRPr="00387AB6">
              <w:rPr>
                <w:rFonts w:cs="Calibri"/>
                <w:color w:val="000000"/>
                <w:sz w:val="24"/>
                <w:szCs w:val="24"/>
              </w:rPr>
              <w:t> </w:t>
            </w:r>
          </w:p>
        </w:tc>
        <w:tc>
          <w:tcPr>
            <w:tcW w:w="1521" w:type="dxa"/>
            <w:tcBorders>
              <w:top w:val="nil"/>
              <w:left w:val="double" w:color="auto" w:sz="6" w:space="0"/>
              <w:bottom w:val="single" w:color="auto" w:sz="4" w:space="0"/>
              <w:right w:val="single" w:color="auto" w:sz="4" w:space="0"/>
            </w:tcBorders>
            <w:shd w:val="clear" w:color="auto" w:fill="auto"/>
            <w:noWrap/>
            <w:vAlign w:val="bottom"/>
            <w:hideMark/>
          </w:tcPr>
          <w:p w:rsidRPr="00387AB6" w:rsidR="00104742" w:rsidP="00573A19" w:rsidRDefault="00104742" w14:paraId="3E50E9D8" w14:textId="77777777">
            <w:pPr>
              <w:rPr>
                <w:rFonts w:cs="Calibri"/>
                <w:color w:val="000000"/>
                <w:sz w:val="24"/>
                <w:szCs w:val="24"/>
              </w:rPr>
            </w:pPr>
            <w:r w:rsidRPr="00387AB6">
              <w:rPr>
                <w:rFonts w:cs="Calibri"/>
                <w:color w:val="000000"/>
                <w:sz w:val="24"/>
                <w:szCs w:val="24"/>
              </w:rPr>
              <w:t> </w:t>
            </w:r>
          </w:p>
        </w:tc>
        <w:tc>
          <w:tcPr>
            <w:tcW w:w="1478" w:type="dxa"/>
            <w:tcBorders>
              <w:top w:val="nil"/>
              <w:left w:val="nil"/>
              <w:bottom w:val="single" w:color="auto" w:sz="4" w:space="0"/>
              <w:right w:val="double" w:color="auto" w:sz="6" w:space="0"/>
            </w:tcBorders>
            <w:shd w:val="clear" w:color="auto" w:fill="auto"/>
            <w:noWrap/>
            <w:vAlign w:val="bottom"/>
            <w:hideMark/>
          </w:tcPr>
          <w:p w:rsidRPr="00387AB6" w:rsidR="00104742" w:rsidP="00573A19" w:rsidRDefault="00104742" w14:paraId="4127C987" w14:textId="77777777">
            <w:pPr>
              <w:rPr>
                <w:rFonts w:cs="Calibri"/>
                <w:color w:val="000000"/>
                <w:sz w:val="24"/>
                <w:szCs w:val="24"/>
              </w:rPr>
            </w:pPr>
            <w:r w:rsidRPr="00387AB6">
              <w:rPr>
                <w:rFonts w:cs="Calibri"/>
                <w:color w:val="000000"/>
                <w:sz w:val="24"/>
                <w:szCs w:val="24"/>
              </w:rPr>
              <w:t> </w:t>
            </w:r>
          </w:p>
        </w:tc>
        <w:tc>
          <w:tcPr>
            <w:tcW w:w="1521" w:type="dxa"/>
            <w:tcBorders>
              <w:top w:val="nil"/>
              <w:left w:val="nil"/>
              <w:bottom w:val="single" w:color="auto" w:sz="4" w:space="0"/>
              <w:right w:val="single" w:color="auto" w:sz="4" w:space="0"/>
            </w:tcBorders>
            <w:shd w:val="clear" w:color="auto" w:fill="auto"/>
            <w:noWrap/>
            <w:vAlign w:val="bottom"/>
            <w:hideMark/>
          </w:tcPr>
          <w:p w:rsidRPr="00387AB6" w:rsidR="00104742" w:rsidP="00573A19" w:rsidRDefault="00104742" w14:paraId="2E6B1384" w14:textId="77777777">
            <w:pPr>
              <w:rPr>
                <w:rFonts w:cs="Calibri"/>
                <w:color w:val="000000"/>
                <w:sz w:val="24"/>
                <w:szCs w:val="24"/>
              </w:rPr>
            </w:pPr>
            <w:r w:rsidRPr="00387AB6">
              <w:rPr>
                <w:rFonts w:cs="Calibri"/>
                <w:color w:val="000000"/>
                <w:sz w:val="24"/>
                <w:szCs w:val="24"/>
              </w:rPr>
              <w:t> </w:t>
            </w:r>
          </w:p>
        </w:tc>
        <w:tc>
          <w:tcPr>
            <w:tcW w:w="1478" w:type="dxa"/>
            <w:tcBorders>
              <w:top w:val="nil"/>
              <w:left w:val="nil"/>
              <w:bottom w:val="single" w:color="auto" w:sz="4" w:space="0"/>
              <w:right w:val="single" w:color="auto" w:sz="8" w:space="0"/>
            </w:tcBorders>
            <w:shd w:val="clear" w:color="auto" w:fill="auto"/>
            <w:noWrap/>
            <w:vAlign w:val="bottom"/>
            <w:hideMark/>
          </w:tcPr>
          <w:p w:rsidRPr="00387AB6" w:rsidR="00104742" w:rsidP="00573A19" w:rsidRDefault="00104742" w14:paraId="5CD86FC4" w14:textId="77777777">
            <w:pPr>
              <w:rPr>
                <w:rFonts w:cs="Calibri"/>
                <w:color w:val="000000"/>
                <w:sz w:val="24"/>
                <w:szCs w:val="24"/>
              </w:rPr>
            </w:pPr>
            <w:r w:rsidRPr="00387AB6">
              <w:rPr>
                <w:rFonts w:cs="Calibri"/>
                <w:color w:val="000000"/>
                <w:sz w:val="24"/>
                <w:szCs w:val="24"/>
              </w:rPr>
              <w:t> </w:t>
            </w:r>
          </w:p>
        </w:tc>
      </w:tr>
      <w:tr w:rsidRPr="00387AB6" w:rsidR="00387AB6" w:rsidTr="00387AB6" w14:paraId="2B368A81" w14:textId="77777777">
        <w:trPr>
          <w:trHeight w:val="300"/>
        </w:trPr>
        <w:tc>
          <w:tcPr>
            <w:tcW w:w="467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87AB6" w:rsidR="00104742" w:rsidP="00573A19" w:rsidRDefault="00104742" w14:paraId="3F6CABC8" w14:textId="77777777">
            <w:pPr>
              <w:rPr>
                <w:rFonts w:cs="Calibri"/>
                <w:color w:val="000000"/>
                <w:sz w:val="24"/>
                <w:szCs w:val="24"/>
              </w:rPr>
            </w:pPr>
            <w:r w:rsidRPr="00387AB6">
              <w:rPr>
                <w:rFonts w:cs="Calibri"/>
                <w:color w:val="000000"/>
                <w:sz w:val="24"/>
                <w:szCs w:val="24"/>
              </w:rPr>
              <w:t>TOU Prime</w:t>
            </w:r>
          </w:p>
        </w:tc>
        <w:tc>
          <w:tcPr>
            <w:tcW w:w="2120" w:type="dxa"/>
            <w:tcBorders>
              <w:top w:val="nil"/>
              <w:left w:val="single" w:color="auto" w:sz="4" w:space="0"/>
              <w:bottom w:val="single" w:color="auto" w:sz="4" w:space="0"/>
              <w:right w:val="single" w:color="auto" w:sz="4" w:space="0"/>
            </w:tcBorders>
            <w:shd w:val="clear" w:color="auto" w:fill="auto"/>
            <w:noWrap/>
            <w:vAlign w:val="bottom"/>
            <w:hideMark/>
          </w:tcPr>
          <w:p w:rsidRPr="00387AB6" w:rsidR="00104742" w:rsidP="00573A19" w:rsidRDefault="00104742" w14:paraId="4706DBEA" w14:textId="77777777">
            <w:pPr>
              <w:rPr>
                <w:rFonts w:cs="Calibri"/>
                <w:color w:val="000000"/>
                <w:sz w:val="24"/>
                <w:szCs w:val="24"/>
              </w:rPr>
            </w:pPr>
            <w:r w:rsidRPr="00387AB6">
              <w:rPr>
                <w:rFonts w:cs="Calibri"/>
                <w:color w:val="000000"/>
                <w:sz w:val="24"/>
                <w:szCs w:val="24"/>
              </w:rPr>
              <w:t> </w:t>
            </w:r>
          </w:p>
        </w:tc>
        <w:tc>
          <w:tcPr>
            <w:tcW w:w="1478" w:type="dxa"/>
            <w:tcBorders>
              <w:top w:val="nil"/>
              <w:left w:val="nil"/>
              <w:bottom w:val="single" w:color="auto" w:sz="4" w:space="0"/>
              <w:right w:val="double" w:color="auto" w:sz="6" w:space="0"/>
            </w:tcBorders>
            <w:shd w:val="clear" w:color="auto" w:fill="auto"/>
            <w:noWrap/>
            <w:vAlign w:val="bottom"/>
            <w:hideMark/>
          </w:tcPr>
          <w:p w:rsidRPr="00387AB6" w:rsidR="00104742" w:rsidP="00573A19" w:rsidRDefault="00104742" w14:paraId="6D2F8C0D" w14:textId="77777777">
            <w:pPr>
              <w:rPr>
                <w:rFonts w:cs="Calibri"/>
                <w:color w:val="000000"/>
                <w:sz w:val="24"/>
                <w:szCs w:val="24"/>
              </w:rPr>
            </w:pPr>
            <w:r w:rsidRPr="00387AB6">
              <w:rPr>
                <w:rFonts w:cs="Calibri"/>
                <w:color w:val="000000"/>
                <w:sz w:val="24"/>
                <w:szCs w:val="24"/>
              </w:rPr>
              <w:t> </w:t>
            </w:r>
          </w:p>
        </w:tc>
        <w:tc>
          <w:tcPr>
            <w:tcW w:w="1521" w:type="dxa"/>
            <w:tcBorders>
              <w:top w:val="nil"/>
              <w:left w:val="nil"/>
              <w:bottom w:val="single" w:color="auto" w:sz="4" w:space="0"/>
              <w:right w:val="nil"/>
            </w:tcBorders>
            <w:shd w:val="clear" w:color="auto" w:fill="auto"/>
            <w:noWrap/>
            <w:vAlign w:val="bottom"/>
            <w:hideMark/>
          </w:tcPr>
          <w:p w:rsidRPr="00387AB6" w:rsidR="00104742" w:rsidP="00573A19" w:rsidRDefault="00104742" w14:paraId="541CCC14" w14:textId="77777777">
            <w:pPr>
              <w:rPr>
                <w:rFonts w:cs="Calibri"/>
                <w:color w:val="000000"/>
                <w:sz w:val="24"/>
                <w:szCs w:val="24"/>
              </w:rPr>
            </w:pPr>
            <w:r w:rsidRPr="00387AB6">
              <w:rPr>
                <w:rFonts w:cs="Calibri"/>
                <w:color w:val="000000"/>
                <w:sz w:val="24"/>
                <w:szCs w:val="24"/>
              </w:rPr>
              <w:t> </w:t>
            </w:r>
          </w:p>
        </w:tc>
        <w:tc>
          <w:tcPr>
            <w:tcW w:w="1478" w:type="dxa"/>
            <w:tcBorders>
              <w:top w:val="nil"/>
              <w:left w:val="nil"/>
              <w:bottom w:val="single" w:color="auto" w:sz="4" w:space="0"/>
              <w:right w:val="nil"/>
            </w:tcBorders>
            <w:shd w:val="clear" w:color="auto" w:fill="auto"/>
            <w:noWrap/>
            <w:vAlign w:val="bottom"/>
            <w:hideMark/>
          </w:tcPr>
          <w:p w:rsidRPr="00387AB6" w:rsidR="00104742" w:rsidP="00573A19" w:rsidRDefault="00104742" w14:paraId="6FCDF0C2" w14:textId="77777777">
            <w:pPr>
              <w:rPr>
                <w:rFonts w:cs="Calibri"/>
                <w:color w:val="000000"/>
                <w:sz w:val="24"/>
                <w:szCs w:val="24"/>
              </w:rPr>
            </w:pPr>
            <w:r w:rsidRPr="00387AB6">
              <w:rPr>
                <w:rFonts w:cs="Calibri"/>
                <w:color w:val="000000"/>
                <w:sz w:val="24"/>
                <w:szCs w:val="24"/>
              </w:rPr>
              <w:t> </w:t>
            </w:r>
          </w:p>
        </w:tc>
        <w:tc>
          <w:tcPr>
            <w:tcW w:w="1521" w:type="dxa"/>
            <w:tcBorders>
              <w:top w:val="nil"/>
              <w:left w:val="double" w:color="auto" w:sz="6" w:space="0"/>
              <w:bottom w:val="single" w:color="auto" w:sz="4" w:space="0"/>
              <w:right w:val="single" w:color="auto" w:sz="4" w:space="0"/>
            </w:tcBorders>
            <w:shd w:val="clear" w:color="auto" w:fill="auto"/>
            <w:noWrap/>
            <w:vAlign w:val="bottom"/>
            <w:hideMark/>
          </w:tcPr>
          <w:p w:rsidRPr="00387AB6" w:rsidR="00104742" w:rsidP="00573A19" w:rsidRDefault="00104742" w14:paraId="4A9A25FB" w14:textId="77777777">
            <w:pPr>
              <w:rPr>
                <w:rFonts w:cs="Calibri"/>
                <w:color w:val="000000"/>
                <w:sz w:val="24"/>
                <w:szCs w:val="24"/>
              </w:rPr>
            </w:pPr>
            <w:r w:rsidRPr="00387AB6">
              <w:rPr>
                <w:rFonts w:cs="Calibri"/>
                <w:color w:val="000000"/>
                <w:sz w:val="24"/>
                <w:szCs w:val="24"/>
              </w:rPr>
              <w:t> </w:t>
            </w:r>
          </w:p>
        </w:tc>
        <w:tc>
          <w:tcPr>
            <w:tcW w:w="1478" w:type="dxa"/>
            <w:tcBorders>
              <w:top w:val="nil"/>
              <w:left w:val="nil"/>
              <w:bottom w:val="single" w:color="auto" w:sz="4" w:space="0"/>
              <w:right w:val="double" w:color="auto" w:sz="6" w:space="0"/>
            </w:tcBorders>
            <w:shd w:val="clear" w:color="auto" w:fill="auto"/>
            <w:noWrap/>
            <w:vAlign w:val="bottom"/>
            <w:hideMark/>
          </w:tcPr>
          <w:p w:rsidRPr="00387AB6" w:rsidR="00104742" w:rsidP="00573A19" w:rsidRDefault="00104742" w14:paraId="16AFF06B" w14:textId="77777777">
            <w:pPr>
              <w:rPr>
                <w:rFonts w:cs="Calibri"/>
                <w:color w:val="000000"/>
                <w:sz w:val="24"/>
                <w:szCs w:val="24"/>
              </w:rPr>
            </w:pPr>
            <w:r w:rsidRPr="00387AB6">
              <w:rPr>
                <w:rFonts w:cs="Calibri"/>
                <w:color w:val="000000"/>
                <w:sz w:val="24"/>
                <w:szCs w:val="24"/>
              </w:rPr>
              <w:t> </w:t>
            </w:r>
          </w:p>
        </w:tc>
        <w:tc>
          <w:tcPr>
            <w:tcW w:w="1521" w:type="dxa"/>
            <w:tcBorders>
              <w:top w:val="nil"/>
              <w:left w:val="nil"/>
              <w:bottom w:val="single" w:color="auto" w:sz="4" w:space="0"/>
              <w:right w:val="single" w:color="auto" w:sz="4" w:space="0"/>
            </w:tcBorders>
            <w:shd w:val="clear" w:color="auto" w:fill="auto"/>
            <w:noWrap/>
            <w:vAlign w:val="bottom"/>
            <w:hideMark/>
          </w:tcPr>
          <w:p w:rsidRPr="00387AB6" w:rsidR="00104742" w:rsidP="00573A19" w:rsidRDefault="00104742" w14:paraId="76A6F15D" w14:textId="77777777">
            <w:pPr>
              <w:rPr>
                <w:rFonts w:cs="Calibri"/>
                <w:color w:val="000000"/>
                <w:sz w:val="24"/>
                <w:szCs w:val="24"/>
              </w:rPr>
            </w:pPr>
            <w:r w:rsidRPr="00387AB6">
              <w:rPr>
                <w:rFonts w:cs="Calibri"/>
                <w:color w:val="000000"/>
                <w:sz w:val="24"/>
                <w:szCs w:val="24"/>
              </w:rPr>
              <w:t> </w:t>
            </w:r>
          </w:p>
        </w:tc>
        <w:tc>
          <w:tcPr>
            <w:tcW w:w="1478" w:type="dxa"/>
            <w:tcBorders>
              <w:top w:val="nil"/>
              <w:left w:val="nil"/>
              <w:bottom w:val="single" w:color="auto" w:sz="4" w:space="0"/>
              <w:right w:val="single" w:color="auto" w:sz="8" w:space="0"/>
            </w:tcBorders>
            <w:shd w:val="clear" w:color="auto" w:fill="auto"/>
            <w:noWrap/>
            <w:vAlign w:val="bottom"/>
            <w:hideMark/>
          </w:tcPr>
          <w:p w:rsidRPr="00387AB6" w:rsidR="00104742" w:rsidP="00573A19" w:rsidRDefault="00104742" w14:paraId="7D867B56" w14:textId="77777777">
            <w:pPr>
              <w:rPr>
                <w:rFonts w:cs="Calibri"/>
                <w:color w:val="000000"/>
                <w:sz w:val="24"/>
                <w:szCs w:val="24"/>
              </w:rPr>
            </w:pPr>
            <w:r w:rsidRPr="00387AB6">
              <w:rPr>
                <w:rFonts w:cs="Calibri"/>
                <w:color w:val="000000"/>
                <w:sz w:val="24"/>
                <w:szCs w:val="24"/>
              </w:rPr>
              <w:t> </w:t>
            </w:r>
          </w:p>
        </w:tc>
      </w:tr>
      <w:tr w:rsidRPr="00387AB6" w:rsidR="00387AB6" w:rsidTr="00387AB6" w14:paraId="42FEF366" w14:textId="77777777">
        <w:trPr>
          <w:trHeight w:val="300"/>
        </w:trPr>
        <w:tc>
          <w:tcPr>
            <w:tcW w:w="467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87AB6" w:rsidR="00104742" w:rsidP="00573A19" w:rsidRDefault="00104742" w14:paraId="666C3EDE" w14:textId="77777777">
            <w:pPr>
              <w:rPr>
                <w:rFonts w:cs="Calibri"/>
                <w:color w:val="000000"/>
                <w:sz w:val="24"/>
                <w:szCs w:val="24"/>
              </w:rPr>
            </w:pPr>
            <w:r w:rsidRPr="00387AB6">
              <w:rPr>
                <w:rFonts w:cs="Calibri"/>
                <w:color w:val="000000"/>
                <w:sz w:val="24"/>
                <w:szCs w:val="24"/>
              </w:rPr>
              <w:t>[Add Rows as needed]</w:t>
            </w:r>
          </w:p>
        </w:tc>
        <w:tc>
          <w:tcPr>
            <w:tcW w:w="2120" w:type="dxa"/>
            <w:tcBorders>
              <w:top w:val="nil"/>
              <w:left w:val="single" w:color="auto" w:sz="4" w:space="0"/>
              <w:bottom w:val="single" w:color="auto" w:sz="4" w:space="0"/>
              <w:right w:val="single" w:color="auto" w:sz="4" w:space="0"/>
            </w:tcBorders>
            <w:shd w:val="clear" w:color="auto" w:fill="auto"/>
            <w:noWrap/>
            <w:vAlign w:val="bottom"/>
            <w:hideMark/>
          </w:tcPr>
          <w:p w:rsidRPr="00387AB6" w:rsidR="00104742" w:rsidP="00573A19" w:rsidRDefault="00104742" w14:paraId="61B4B9D7" w14:textId="77777777">
            <w:pPr>
              <w:rPr>
                <w:rFonts w:cs="Calibri"/>
                <w:color w:val="000000"/>
                <w:sz w:val="24"/>
                <w:szCs w:val="24"/>
              </w:rPr>
            </w:pPr>
            <w:r w:rsidRPr="00387AB6">
              <w:rPr>
                <w:rFonts w:cs="Calibri"/>
                <w:color w:val="000000"/>
                <w:sz w:val="24"/>
                <w:szCs w:val="24"/>
              </w:rPr>
              <w:t> </w:t>
            </w:r>
          </w:p>
        </w:tc>
        <w:tc>
          <w:tcPr>
            <w:tcW w:w="1478" w:type="dxa"/>
            <w:tcBorders>
              <w:top w:val="nil"/>
              <w:left w:val="nil"/>
              <w:bottom w:val="single" w:color="auto" w:sz="4" w:space="0"/>
              <w:right w:val="double" w:color="auto" w:sz="6" w:space="0"/>
            </w:tcBorders>
            <w:shd w:val="clear" w:color="auto" w:fill="auto"/>
            <w:noWrap/>
            <w:vAlign w:val="bottom"/>
            <w:hideMark/>
          </w:tcPr>
          <w:p w:rsidRPr="00387AB6" w:rsidR="00104742" w:rsidP="00573A19" w:rsidRDefault="00104742" w14:paraId="6D4A5C39" w14:textId="77777777">
            <w:pPr>
              <w:rPr>
                <w:rFonts w:cs="Calibri"/>
                <w:color w:val="000000"/>
                <w:sz w:val="24"/>
                <w:szCs w:val="24"/>
              </w:rPr>
            </w:pPr>
            <w:r w:rsidRPr="00387AB6">
              <w:rPr>
                <w:rFonts w:cs="Calibri"/>
                <w:color w:val="000000"/>
                <w:sz w:val="24"/>
                <w:szCs w:val="24"/>
              </w:rPr>
              <w:t> </w:t>
            </w:r>
          </w:p>
        </w:tc>
        <w:tc>
          <w:tcPr>
            <w:tcW w:w="1521" w:type="dxa"/>
            <w:tcBorders>
              <w:top w:val="nil"/>
              <w:left w:val="nil"/>
              <w:bottom w:val="single" w:color="auto" w:sz="4" w:space="0"/>
              <w:right w:val="nil"/>
            </w:tcBorders>
            <w:shd w:val="clear" w:color="auto" w:fill="auto"/>
            <w:noWrap/>
            <w:vAlign w:val="bottom"/>
            <w:hideMark/>
          </w:tcPr>
          <w:p w:rsidRPr="00387AB6" w:rsidR="00104742" w:rsidP="00573A19" w:rsidRDefault="00104742" w14:paraId="58C0DEDB" w14:textId="77777777">
            <w:pPr>
              <w:rPr>
                <w:rFonts w:cs="Calibri"/>
                <w:color w:val="000000"/>
                <w:sz w:val="24"/>
                <w:szCs w:val="24"/>
              </w:rPr>
            </w:pPr>
            <w:r w:rsidRPr="00387AB6">
              <w:rPr>
                <w:rFonts w:cs="Calibri"/>
                <w:color w:val="000000"/>
                <w:sz w:val="24"/>
                <w:szCs w:val="24"/>
              </w:rPr>
              <w:t> </w:t>
            </w:r>
          </w:p>
        </w:tc>
        <w:tc>
          <w:tcPr>
            <w:tcW w:w="1478" w:type="dxa"/>
            <w:tcBorders>
              <w:top w:val="nil"/>
              <w:left w:val="nil"/>
              <w:bottom w:val="single" w:color="auto" w:sz="4" w:space="0"/>
              <w:right w:val="nil"/>
            </w:tcBorders>
            <w:shd w:val="clear" w:color="auto" w:fill="auto"/>
            <w:noWrap/>
            <w:vAlign w:val="bottom"/>
            <w:hideMark/>
          </w:tcPr>
          <w:p w:rsidRPr="00387AB6" w:rsidR="00104742" w:rsidP="00573A19" w:rsidRDefault="00104742" w14:paraId="7A3263FA" w14:textId="77777777">
            <w:pPr>
              <w:rPr>
                <w:rFonts w:cs="Calibri"/>
                <w:color w:val="000000"/>
                <w:sz w:val="24"/>
                <w:szCs w:val="24"/>
              </w:rPr>
            </w:pPr>
            <w:r w:rsidRPr="00387AB6">
              <w:rPr>
                <w:rFonts w:cs="Calibri"/>
                <w:color w:val="000000"/>
                <w:sz w:val="24"/>
                <w:szCs w:val="24"/>
              </w:rPr>
              <w:t> </w:t>
            </w:r>
          </w:p>
        </w:tc>
        <w:tc>
          <w:tcPr>
            <w:tcW w:w="1521" w:type="dxa"/>
            <w:tcBorders>
              <w:top w:val="nil"/>
              <w:left w:val="double" w:color="auto" w:sz="6" w:space="0"/>
              <w:bottom w:val="single" w:color="auto" w:sz="4" w:space="0"/>
              <w:right w:val="single" w:color="auto" w:sz="4" w:space="0"/>
            </w:tcBorders>
            <w:shd w:val="clear" w:color="auto" w:fill="auto"/>
            <w:noWrap/>
            <w:vAlign w:val="bottom"/>
            <w:hideMark/>
          </w:tcPr>
          <w:p w:rsidRPr="00387AB6" w:rsidR="00104742" w:rsidP="00573A19" w:rsidRDefault="00104742" w14:paraId="7A3267A7" w14:textId="77777777">
            <w:pPr>
              <w:rPr>
                <w:rFonts w:cs="Calibri"/>
                <w:color w:val="000000"/>
                <w:sz w:val="24"/>
                <w:szCs w:val="24"/>
              </w:rPr>
            </w:pPr>
            <w:r w:rsidRPr="00387AB6">
              <w:rPr>
                <w:rFonts w:cs="Calibri"/>
                <w:color w:val="000000"/>
                <w:sz w:val="24"/>
                <w:szCs w:val="24"/>
              </w:rPr>
              <w:t> </w:t>
            </w:r>
          </w:p>
        </w:tc>
        <w:tc>
          <w:tcPr>
            <w:tcW w:w="1478" w:type="dxa"/>
            <w:tcBorders>
              <w:top w:val="nil"/>
              <w:left w:val="nil"/>
              <w:bottom w:val="single" w:color="auto" w:sz="4" w:space="0"/>
              <w:right w:val="double" w:color="auto" w:sz="6" w:space="0"/>
            </w:tcBorders>
            <w:shd w:val="clear" w:color="auto" w:fill="auto"/>
            <w:noWrap/>
            <w:vAlign w:val="bottom"/>
            <w:hideMark/>
          </w:tcPr>
          <w:p w:rsidRPr="00387AB6" w:rsidR="00104742" w:rsidP="00573A19" w:rsidRDefault="00104742" w14:paraId="7ABF58FE" w14:textId="77777777">
            <w:pPr>
              <w:rPr>
                <w:rFonts w:cs="Calibri"/>
                <w:color w:val="000000"/>
                <w:sz w:val="24"/>
                <w:szCs w:val="24"/>
              </w:rPr>
            </w:pPr>
            <w:r w:rsidRPr="00387AB6">
              <w:rPr>
                <w:rFonts w:cs="Calibri"/>
                <w:color w:val="000000"/>
                <w:sz w:val="24"/>
                <w:szCs w:val="24"/>
              </w:rPr>
              <w:t> </w:t>
            </w:r>
          </w:p>
        </w:tc>
        <w:tc>
          <w:tcPr>
            <w:tcW w:w="1521" w:type="dxa"/>
            <w:tcBorders>
              <w:top w:val="nil"/>
              <w:left w:val="nil"/>
              <w:bottom w:val="single" w:color="auto" w:sz="4" w:space="0"/>
              <w:right w:val="single" w:color="auto" w:sz="4" w:space="0"/>
            </w:tcBorders>
            <w:shd w:val="clear" w:color="auto" w:fill="auto"/>
            <w:noWrap/>
            <w:vAlign w:val="bottom"/>
            <w:hideMark/>
          </w:tcPr>
          <w:p w:rsidRPr="00387AB6" w:rsidR="00104742" w:rsidP="00573A19" w:rsidRDefault="00104742" w14:paraId="19C5F4B3" w14:textId="77777777">
            <w:pPr>
              <w:rPr>
                <w:rFonts w:cs="Calibri"/>
                <w:color w:val="000000"/>
                <w:sz w:val="24"/>
                <w:szCs w:val="24"/>
              </w:rPr>
            </w:pPr>
            <w:r w:rsidRPr="00387AB6">
              <w:rPr>
                <w:rFonts w:cs="Calibri"/>
                <w:color w:val="000000"/>
                <w:sz w:val="24"/>
                <w:szCs w:val="24"/>
              </w:rPr>
              <w:t> </w:t>
            </w:r>
          </w:p>
        </w:tc>
        <w:tc>
          <w:tcPr>
            <w:tcW w:w="1478" w:type="dxa"/>
            <w:tcBorders>
              <w:top w:val="nil"/>
              <w:left w:val="nil"/>
              <w:bottom w:val="single" w:color="auto" w:sz="4" w:space="0"/>
              <w:right w:val="single" w:color="auto" w:sz="8" w:space="0"/>
            </w:tcBorders>
            <w:shd w:val="clear" w:color="auto" w:fill="auto"/>
            <w:noWrap/>
            <w:vAlign w:val="bottom"/>
            <w:hideMark/>
          </w:tcPr>
          <w:p w:rsidRPr="00387AB6" w:rsidR="00104742" w:rsidP="00573A19" w:rsidRDefault="00104742" w14:paraId="5A492435" w14:textId="77777777">
            <w:pPr>
              <w:rPr>
                <w:rFonts w:cs="Calibri"/>
                <w:color w:val="000000"/>
                <w:sz w:val="24"/>
                <w:szCs w:val="24"/>
              </w:rPr>
            </w:pPr>
            <w:r w:rsidRPr="00387AB6">
              <w:rPr>
                <w:rFonts w:cs="Calibri"/>
                <w:color w:val="000000"/>
                <w:sz w:val="24"/>
                <w:szCs w:val="24"/>
              </w:rPr>
              <w:t> </w:t>
            </w:r>
          </w:p>
        </w:tc>
      </w:tr>
      <w:tr w:rsidRPr="00387AB6" w:rsidR="00387AB6" w:rsidTr="00387AB6" w14:paraId="3FB175F7" w14:textId="77777777">
        <w:trPr>
          <w:trHeight w:val="300"/>
        </w:trPr>
        <w:tc>
          <w:tcPr>
            <w:tcW w:w="4675" w:type="dxa"/>
            <w:tcBorders>
              <w:top w:val="single" w:color="auto" w:sz="4" w:space="0"/>
              <w:left w:val="single" w:color="auto" w:sz="4" w:space="0"/>
              <w:bottom w:val="single" w:color="auto" w:sz="4" w:space="0"/>
              <w:right w:val="single" w:color="auto" w:sz="4" w:space="0"/>
            </w:tcBorders>
            <w:shd w:val="clear" w:color="000000" w:fill="BFBFBF"/>
            <w:noWrap/>
            <w:vAlign w:val="bottom"/>
            <w:hideMark/>
          </w:tcPr>
          <w:p w:rsidRPr="00387AB6" w:rsidR="00104742" w:rsidP="00573A19" w:rsidRDefault="00104742" w14:paraId="282B2ECD" w14:textId="77777777">
            <w:pPr>
              <w:rPr>
                <w:rFonts w:cs="Calibri"/>
                <w:i/>
                <w:iCs/>
                <w:color w:val="000000"/>
                <w:sz w:val="24"/>
                <w:szCs w:val="24"/>
              </w:rPr>
            </w:pPr>
            <w:r w:rsidRPr="00387AB6">
              <w:rPr>
                <w:rFonts w:cs="Calibri"/>
                <w:i/>
                <w:iCs/>
                <w:color w:val="000000"/>
                <w:sz w:val="24"/>
                <w:szCs w:val="24"/>
              </w:rPr>
              <w:t>Solar PV Customers</w:t>
            </w:r>
          </w:p>
        </w:tc>
        <w:tc>
          <w:tcPr>
            <w:tcW w:w="2120" w:type="dxa"/>
            <w:tcBorders>
              <w:top w:val="single" w:color="auto" w:sz="4" w:space="0"/>
              <w:left w:val="single" w:color="auto" w:sz="4" w:space="0"/>
              <w:bottom w:val="single" w:color="auto" w:sz="4" w:space="0"/>
              <w:right w:val="nil"/>
            </w:tcBorders>
            <w:shd w:val="clear" w:color="000000" w:fill="BFBFBF"/>
            <w:noWrap/>
            <w:vAlign w:val="bottom"/>
            <w:hideMark/>
          </w:tcPr>
          <w:p w:rsidRPr="00387AB6" w:rsidR="00104742" w:rsidP="00573A19" w:rsidRDefault="00104742" w14:paraId="1BAF385B" w14:textId="77777777">
            <w:pPr>
              <w:rPr>
                <w:rFonts w:cs="Calibri"/>
                <w:i/>
                <w:iCs/>
                <w:color w:val="000000"/>
                <w:sz w:val="24"/>
                <w:szCs w:val="24"/>
              </w:rPr>
            </w:pPr>
            <w:r w:rsidRPr="00387AB6">
              <w:rPr>
                <w:rFonts w:cs="Calibri"/>
                <w:i/>
                <w:iCs/>
                <w:color w:val="000000"/>
                <w:sz w:val="24"/>
                <w:szCs w:val="24"/>
              </w:rPr>
              <w:t> </w:t>
            </w:r>
          </w:p>
        </w:tc>
        <w:tc>
          <w:tcPr>
            <w:tcW w:w="1478" w:type="dxa"/>
            <w:tcBorders>
              <w:top w:val="single" w:color="auto" w:sz="4" w:space="0"/>
              <w:left w:val="nil"/>
              <w:bottom w:val="single" w:color="auto" w:sz="4" w:space="0"/>
              <w:right w:val="nil"/>
            </w:tcBorders>
            <w:shd w:val="clear" w:color="000000" w:fill="BFBFBF"/>
            <w:noWrap/>
            <w:vAlign w:val="bottom"/>
            <w:hideMark/>
          </w:tcPr>
          <w:p w:rsidRPr="00387AB6" w:rsidR="00104742" w:rsidP="00573A19" w:rsidRDefault="00104742" w14:paraId="2C11B248" w14:textId="77777777">
            <w:pPr>
              <w:rPr>
                <w:rFonts w:cs="Calibri"/>
                <w:i/>
                <w:iCs/>
                <w:color w:val="000000"/>
                <w:sz w:val="24"/>
                <w:szCs w:val="24"/>
              </w:rPr>
            </w:pPr>
            <w:r w:rsidRPr="00387AB6">
              <w:rPr>
                <w:rFonts w:cs="Calibri"/>
                <w:i/>
                <w:iCs/>
                <w:color w:val="000000"/>
                <w:sz w:val="24"/>
                <w:szCs w:val="24"/>
              </w:rPr>
              <w:t> </w:t>
            </w:r>
          </w:p>
        </w:tc>
        <w:tc>
          <w:tcPr>
            <w:tcW w:w="1521" w:type="dxa"/>
            <w:tcBorders>
              <w:top w:val="single" w:color="auto" w:sz="4" w:space="0"/>
              <w:left w:val="nil"/>
              <w:bottom w:val="single" w:color="auto" w:sz="4" w:space="0"/>
              <w:right w:val="nil"/>
            </w:tcBorders>
            <w:shd w:val="clear" w:color="000000" w:fill="BFBFBF"/>
            <w:noWrap/>
            <w:vAlign w:val="bottom"/>
            <w:hideMark/>
          </w:tcPr>
          <w:p w:rsidRPr="00387AB6" w:rsidR="00104742" w:rsidP="00573A19" w:rsidRDefault="00104742" w14:paraId="3DF148FA" w14:textId="77777777">
            <w:pPr>
              <w:rPr>
                <w:rFonts w:cs="Calibri"/>
                <w:i/>
                <w:iCs/>
                <w:color w:val="000000"/>
                <w:sz w:val="24"/>
                <w:szCs w:val="24"/>
              </w:rPr>
            </w:pPr>
            <w:r w:rsidRPr="00387AB6">
              <w:rPr>
                <w:rFonts w:cs="Calibri"/>
                <w:i/>
                <w:iCs/>
                <w:color w:val="000000"/>
                <w:sz w:val="24"/>
                <w:szCs w:val="24"/>
              </w:rPr>
              <w:t> </w:t>
            </w:r>
          </w:p>
        </w:tc>
        <w:tc>
          <w:tcPr>
            <w:tcW w:w="1478" w:type="dxa"/>
            <w:tcBorders>
              <w:top w:val="single" w:color="auto" w:sz="4" w:space="0"/>
              <w:left w:val="nil"/>
              <w:bottom w:val="single" w:color="auto" w:sz="4" w:space="0"/>
              <w:right w:val="nil"/>
            </w:tcBorders>
            <w:shd w:val="clear" w:color="000000" w:fill="BFBFBF"/>
            <w:noWrap/>
            <w:vAlign w:val="bottom"/>
            <w:hideMark/>
          </w:tcPr>
          <w:p w:rsidRPr="00387AB6" w:rsidR="00104742" w:rsidP="00573A19" w:rsidRDefault="00104742" w14:paraId="6C8969F9" w14:textId="77777777">
            <w:pPr>
              <w:rPr>
                <w:rFonts w:cs="Calibri"/>
                <w:i/>
                <w:iCs/>
                <w:color w:val="000000"/>
                <w:sz w:val="24"/>
                <w:szCs w:val="24"/>
              </w:rPr>
            </w:pPr>
            <w:r w:rsidRPr="00387AB6">
              <w:rPr>
                <w:rFonts w:cs="Calibri"/>
                <w:i/>
                <w:iCs/>
                <w:color w:val="000000"/>
                <w:sz w:val="24"/>
                <w:szCs w:val="24"/>
              </w:rPr>
              <w:t> </w:t>
            </w:r>
          </w:p>
        </w:tc>
        <w:tc>
          <w:tcPr>
            <w:tcW w:w="1521" w:type="dxa"/>
            <w:tcBorders>
              <w:top w:val="single" w:color="auto" w:sz="4" w:space="0"/>
              <w:left w:val="nil"/>
              <w:bottom w:val="single" w:color="auto" w:sz="4" w:space="0"/>
              <w:right w:val="nil"/>
            </w:tcBorders>
            <w:shd w:val="clear" w:color="000000" w:fill="BFBFBF"/>
            <w:noWrap/>
            <w:vAlign w:val="bottom"/>
            <w:hideMark/>
          </w:tcPr>
          <w:p w:rsidRPr="00387AB6" w:rsidR="00104742" w:rsidP="00573A19" w:rsidRDefault="00104742" w14:paraId="6EB35669" w14:textId="77777777">
            <w:pPr>
              <w:rPr>
                <w:rFonts w:cs="Calibri"/>
                <w:i/>
                <w:iCs/>
                <w:color w:val="000000"/>
                <w:sz w:val="24"/>
                <w:szCs w:val="24"/>
              </w:rPr>
            </w:pPr>
            <w:r w:rsidRPr="00387AB6">
              <w:rPr>
                <w:rFonts w:cs="Calibri"/>
                <w:i/>
                <w:iCs/>
                <w:color w:val="000000"/>
                <w:sz w:val="24"/>
                <w:szCs w:val="24"/>
              </w:rPr>
              <w:t> </w:t>
            </w:r>
          </w:p>
        </w:tc>
        <w:tc>
          <w:tcPr>
            <w:tcW w:w="1478" w:type="dxa"/>
            <w:tcBorders>
              <w:top w:val="single" w:color="auto" w:sz="4" w:space="0"/>
              <w:left w:val="nil"/>
              <w:bottom w:val="single" w:color="auto" w:sz="4" w:space="0"/>
              <w:right w:val="nil"/>
            </w:tcBorders>
            <w:shd w:val="clear" w:color="000000" w:fill="BFBFBF"/>
            <w:noWrap/>
            <w:vAlign w:val="bottom"/>
            <w:hideMark/>
          </w:tcPr>
          <w:p w:rsidRPr="00387AB6" w:rsidR="00104742" w:rsidP="00573A19" w:rsidRDefault="00104742" w14:paraId="7106FC24" w14:textId="77777777">
            <w:pPr>
              <w:rPr>
                <w:rFonts w:cs="Calibri"/>
                <w:i/>
                <w:iCs/>
                <w:color w:val="000000"/>
                <w:sz w:val="24"/>
                <w:szCs w:val="24"/>
              </w:rPr>
            </w:pPr>
            <w:r w:rsidRPr="00387AB6">
              <w:rPr>
                <w:rFonts w:cs="Calibri"/>
                <w:i/>
                <w:iCs/>
                <w:color w:val="000000"/>
                <w:sz w:val="24"/>
                <w:szCs w:val="24"/>
              </w:rPr>
              <w:t> </w:t>
            </w:r>
          </w:p>
        </w:tc>
        <w:tc>
          <w:tcPr>
            <w:tcW w:w="1521" w:type="dxa"/>
            <w:tcBorders>
              <w:top w:val="single" w:color="auto" w:sz="4" w:space="0"/>
              <w:left w:val="nil"/>
              <w:bottom w:val="single" w:color="auto" w:sz="4" w:space="0"/>
              <w:right w:val="nil"/>
            </w:tcBorders>
            <w:shd w:val="clear" w:color="000000" w:fill="BFBFBF"/>
            <w:noWrap/>
            <w:vAlign w:val="bottom"/>
            <w:hideMark/>
          </w:tcPr>
          <w:p w:rsidRPr="00387AB6" w:rsidR="00104742" w:rsidP="00573A19" w:rsidRDefault="00104742" w14:paraId="3403F6FA" w14:textId="77777777">
            <w:pPr>
              <w:rPr>
                <w:rFonts w:cs="Calibri"/>
                <w:i/>
                <w:iCs/>
                <w:color w:val="000000"/>
                <w:sz w:val="24"/>
                <w:szCs w:val="24"/>
              </w:rPr>
            </w:pPr>
            <w:r w:rsidRPr="00387AB6">
              <w:rPr>
                <w:rFonts w:cs="Calibri"/>
                <w:i/>
                <w:iCs/>
                <w:color w:val="000000"/>
                <w:sz w:val="24"/>
                <w:szCs w:val="24"/>
              </w:rPr>
              <w:t> </w:t>
            </w:r>
          </w:p>
        </w:tc>
        <w:tc>
          <w:tcPr>
            <w:tcW w:w="1478" w:type="dxa"/>
            <w:tcBorders>
              <w:top w:val="single" w:color="auto" w:sz="4" w:space="0"/>
              <w:left w:val="nil"/>
              <w:bottom w:val="single" w:color="auto" w:sz="4" w:space="0"/>
              <w:right w:val="nil"/>
            </w:tcBorders>
            <w:shd w:val="clear" w:color="000000" w:fill="BFBFBF"/>
            <w:noWrap/>
            <w:vAlign w:val="bottom"/>
            <w:hideMark/>
          </w:tcPr>
          <w:p w:rsidRPr="00387AB6" w:rsidR="00104742" w:rsidP="00573A19" w:rsidRDefault="00104742" w14:paraId="17269F14" w14:textId="77777777">
            <w:pPr>
              <w:rPr>
                <w:rFonts w:cs="Calibri"/>
                <w:i/>
                <w:iCs/>
                <w:color w:val="000000"/>
                <w:sz w:val="24"/>
                <w:szCs w:val="24"/>
              </w:rPr>
            </w:pPr>
            <w:r w:rsidRPr="00387AB6">
              <w:rPr>
                <w:rFonts w:cs="Calibri"/>
                <w:i/>
                <w:iCs/>
                <w:color w:val="000000"/>
                <w:sz w:val="24"/>
                <w:szCs w:val="24"/>
              </w:rPr>
              <w:t> </w:t>
            </w:r>
          </w:p>
        </w:tc>
      </w:tr>
      <w:tr w:rsidRPr="00387AB6" w:rsidR="00387AB6" w:rsidTr="00387AB6" w14:paraId="1835E9F6" w14:textId="77777777">
        <w:trPr>
          <w:trHeight w:val="278"/>
        </w:trPr>
        <w:tc>
          <w:tcPr>
            <w:tcW w:w="467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387AB6" w:rsidR="00104742" w:rsidP="00573A19" w:rsidRDefault="00104742" w14:paraId="16076B4F" w14:textId="1B8EEF23">
            <w:pPr>
              <w:rPr>
                <w:rFonts w:cs="Calibri"/>
                <w:color w:val="000000"/>
                <w:sz w:val="24"/>
                <w:szCs w:val="24"/>
              </w:rPr>
            </w:pPr>
            <w:r w:rsidRPr="00387AB6">
              <w:rPr>
                <w:rFonts w:cs="Calibri"/>
                <w:color w:val="000000"/>
                <w:sz w:val="24"/>
                <w:szCs w:val="24"/>
              </w:rPr>
              <w:t>Customers with Onsite Solar Generation</w:t>
            </w:r>
          </w:p>
        </w:tc>
        <w:tc>
          <w:tcPr>
            <w:tcW w:w="2120" w:type="dxa"/>
            <w:tcBorders>
              <w:top w:val="nil"/>
              <w:left w:val="single" w:color="auto" w:sz="4" w:space="0"/>
              <w:bottom w:val="single" w:color="auto" w:sz="4" w:space="0"/>
              <w:right w:val="single" w:color="auto" w:sz="4" w:space="0"/>
            </w:tcBorders>
            <w:shd w:val="clear" w:color="auto" w:fill="auto"/>
            <w:noWrap/>
            <w:vAlign w:val="bottom"/>
            <w:hideMark/>
          </w:tcPr>
          <w:p w:rsidRPr="00387AB6" w:rsidR="00104742" w:rsidP="00573A19" w:rsidRDefault="00104742" w14:paraId="35AC82BA" w14:textId="77777777">
            <w:pPr>
              <w:rPr>
                <w:rFonts w:cs="Calibri"/>
                <w:color w:val="000000"/>
                <w:sz w:val="24"/>
                <w:szCs w:val="24"/>
              </w:rPr>
            </w:pPr>
            <w:r w:rsidRPr="00387AB6">
              <w:rPr>
                <w:rFonts w:cs="Calibri"/>
                <w:color w:val="000000"/>
                <w:sz w:val="24"/>
                <w:szCs w:val="24"/>
              </w:rPr>
              <w:t> </w:t>
            </w:r>
          </w:p>
        </w:tc>
        <w:tc>
          <w:tcPr>
            <w:tcW w:w="1478" w:type="dxa"/>
            <w:tcBorders>
              <w:top w:val="nil"/>
              <w:left w:val="nil"/>
              <w:bottom w:val="single" w:color="auto" w:sz="4" w:space="0"/>
              <w:right w:val="double" w:color="auto" w:sz="6" w:space="0"/>
            </w:tcBorders>
            <w:shd w:val="clear" w:color="auto" w:fill="auto"/>
            <w:noWrap/>
            <w:vAlign w:val="bottom"/>
            <w:hideMark/>
          </w:tcPr>
          <w:p w:rsidRPr="00387AB6" w:rsidR="00104742" w:rsidP="00573A19" w:rsidRDefault="00104742" w14:paraId="361FE8EC" w14:textId="77777777">
            <w:pPr>
              <w:rPr>
                <w:rFonts w:cs="Calibri"/>
                <w:color w:val="000000"/>
                <w:sz w:val="24"/>
                <w:szCs w:val="24"/>
              </w:rPr>
            </w:pPr>
            <w:r w:rsidRPr="00387AB6">
              <w:rPr>
                <w:rFonts w:cs="Calibri"/>
                <w:color w:val="000000"/>
                <w:sz w:val="24"/>
                <w:szCs w:val="24"/>
              </w:rPr>
              <w:t> </w:t>
            </w:r>
          </w:p>
        </w:tc>
        <w:tc>
          <w:tcPr>
            <w:tcW w:w="1521" w:type="dxa"/>
            <w:tcBorders>
              <w:top w:val="nil"/>
              <w:left w:val="nil"/>
              <w:bottom w:val="single" w:color="auto" w:sz="4" w:space="0"/>
              <w:right w:val="nil"/>
            </w:tcBorders>
            <w:shd w:val="clear" w:color="auto" w:fill="auto"/>
            <w:noWrap/>
            <w:vAlign w:val="bottom"/>
            <w:hideMark/>
          </w:tcPr>
          <w:p w:rsidRPr="00387AB6" w:rsidR="00104742" w:rsidP="00573A19" w:rsidRDefault="00104742" w14:paraId="013766ED" w14:textId="77777777">
            <w:pPr>
              <w:rPr>
                <w:rFonts w:cs="Calibri"/>
                <w:color w:val="000000"/>
                <w:sz w:val="24"/>
                <w:szCs w:val="24"/>
              </w:rPr>
            </w:pPr>
            <w:r w:rsidRPr="00387AB6">
              <w:rPr>
                <w:rFonts w:cs="Calibri"/>
                <w:color w:val="000000"/>
                <w:sz w:val="24"/>
                <w:szCs w:val="24"/>
              </w:rPr>
              <w:t> </w:t>
            </w:r>
          </w:p>
        </w:tc>
        <w:tc>
          <w:tcPr>
            <w:tcW w:w="1478" w:type="dxa"/>
            <w:tcBorders>
              <w:top w:val="nil"/>
              <w:left w:val="nil"/>
              <w:bottom w:val="single" w:color="auto" w:sz="4" w:space="0"/>
              <w:right w:val="nil"/>
            </w:tcBorders>
            <w:shd w:val="clear" w:color="auto" w:fill="auto"/>
            <w:noWrap/>
            <w:vAlign w:val="bottom"/>
            <w:hideMark/>
          </w:tcPr>
          <w:p w:rsidRPr="00387AB6" w:rsidR="00104742" w:rsidP="00573A19" w:rsidRDefault="00104742" w14:paraId="4574469F" w14:textId="77777777">
            <w:pPr>
              <w:rPr>
                <w:rFonts w:cs="Calibri"/>
                <w:color w:val="000000"/>
                <w:sz w:val="24"/>
                <w:szCs w:val="24"/>
              </w:rPr>
            </w:pPr>
            <w:r w:rsidRPr="00387AB6">
              <w:rPr>
                <w:rFonts w:cs="Calibri"/>
                <w:color w:val="000000"/>
                <w:sz w:val="24"/>
                <w:szCs w:val="24"/>
              </w:rPr>
              <w:t> </w:t>
            </w:r>
          </w:p>
        </w:tc>
        <w:tc>
          <w:tcPr>
            <w:tcW w:w="1521" w:type="dxa"/>
            <w:tcBorders>
              <w:top w:val="nil"/>
              <w:left w:val="double" w:color="auto" w:sz="6" w:space="0"/>
              <w:bottom w:val="single" w:color="auto" w:sz="4" w:space="0"/>
              <w:right w:val="single" w:color="auto" w:sz="4" w:space="0"/>
            </w:tcBorders>
            <w:shd w:val="clear" w:color="auto" w:fill="auto"/>
            <w:noWrap/>
            <w:vAlign w:val="bottom"/>
            <w:hideMark/>
          </w:tcPr>
          <w:p w:rsidRPr="00387AB6" w:rsidR="00104742" w:rsidP="00573A19" w:rsidRDefault="00104742" w14:paraId="18C62844" w14:textId="77777777">
            <w:pPr>
              <w:rPr>
                <w:rFonts w:cs="Calibri"/>
                <w:color w:val="000000"/>
                <w:sz w:val="24"/>
                <w:szCs w:val="24"/>
              </w:rPr>
            </w:pPr>
            <w:r w:rsidRPr="00387AB6">
              <w:rPr>
                <w:rFonts w:cs="Calibri"/>
                <w:color w:val="000000"/>
                <w:sz w:val="24"/>
                <w:szCs w:val="24"/>
              </w:rPr>
              <w:t> </w:t>
            </w:r>
          </w:p>
        </w:tc>
        <w:tc>
          <w:tcPr>
            <w:tcW w:w="1478" w:type="dxa"/>
            <w:tcBorders>
              <w:top w:val="nil"/>
              <w:left w:val="nil"/>
              <w:bottom w:val="single" w:color="auto" w:sz="4" w:space="0"/>
              <w:right w:val="double" w:color="auto" w:sz="6" w:space="0"/>
            </w:tcBorders>
            <w:shd w:val="clear" w:color="auto" w:fill="auto"/>
            <w:noWrap/>
            <w:vAlign w:val="bottom"/>
            <w:hideMark/>
          </w:tcPr>
          <w:p w:rsidRPr="00387AB6" w:rsidR="00104742" w:rsidP="00573A19" w:rsidRDefault="00104742" w14:paraId="05038A3B" w14:textId="77777777">
            <w:pPr>
              <w:rPr>
                <w:rFonts w:cs="Calibri"/>
                <w:color w:val="000000"/>
                <w:sz w:val="24"/>
                <w:szCs w:val="24"/>
              </w:rPr>
            </w:pPr>
            <w:r w:rsidRPr="00387AB6">
              <w:rPr>
                <w:rFonts w:cs="Calibri"/>
                <w:color w:val="000000"/>
                <w:sz w:val="24"/>
                <w:szCs w:val="24"/>
              </w:rPr>
              <w:t> </w:t>
            </w:r>
          </w:p>
        </w:tc>
        <w:tc>
          <w:tcPr>
            <w:tcW w:w="1521" w:type="dxa"/>
            <w:tcBorders>
              <w:top w:val="nil"/>
              <w:left w:val="nil"/>
              <w:bottom w:val="single" w:color="auto" w:sz="4" w:space="0"/>
              <w:right w:val="single" w:color="auto" w:sz="4" w:space="0"/>
            </w:tcBorders>
            <w:shd w:val="clear" w:color="auto" w:fill="auto"/>
            <w:noWrap/>
            <w:vAlign w:val="bottom"/>
            <w:hideMark/>
          </w:tcPr>
          <w:p w:rsidRPr="00387AB6" w:rsidR="00104742" w:rsidP="00573A19" w:rsidRDefault="00104742" w14:paraId="73DA9E85" w14:textId="77777777">
            <w:pPr>
              <w:rPr>
                <w:rFonts w:cs="Calibri"/>
                <w:color w:val="000000"/>
                <w:sz w:val="24"/>
                <w:szCs w:val="24"/>
              </w:rPr>
            </w:pPr>
            <w:r w:rsidRPr="00387AB6">
              <w:rPr>
                <w:rFonts w:cs="Calibri"/>
                <w:color w:val="000000"/>
                <w:sz w:val="24"/>
                <w:szCs w:val="24"/>
              </w:rPr>
              <w:t> </w:t>
            </w:r>
          </w:p>
        </w:tc>
        <w:tc>
          <w:tcPr>
            <w:tcW w:w="1478" w:type="dxa"/>
            <w:tcBorders>
              <w:top w:val="nil"/>
              <w:left w:val="nil"/>
              <w:bottom w:val="single" w:color="auto" w:sz="4" w:space="0"/>
              <w:right w:val="single" w:color="auto" w:sz="8" w:space="0"/>
            </w:tcBorders>
            <w:shd w:val="clear" w:color="auto" w:fill="auto"/>
            <w:noWrap/>
            <w:vAlign w:val="bottom"/>
            <w:hideMark/>
          </w:tcPr>
          <w:p w:rsidRPr="00387AB6" w:rsidR="00104742" w:rsidP="00573A19" w:rsidRDefault="00104742" w14:paraId="25005126" w14:textId="77777777">
            <w:pPr>
              <w:rPr>
                <w:rFonts w:cs="Calibri"/>
                <w:color w:val="000000"/>
                <w:sz w:val="24"/>
                <w:szCs w:val="24"/>
              </w:rPr>
            </w:pPr>
            <w:r w:rsidRPr="00387AB6">
              <w:rPr>
                <w:rFonts w:cs="Calibri"/>
                <w:color w:val="000000"/>
                <w:sz w:val="24"/>
                <w:szCs w:val="24"/>
              </w:rPr>
              <w:t> </w:t>
            </w:r>
          </w:p>
        </w:tc>
      </w:tr>
      <w:tr w:rsidRPr="00387AB6" w:rsidR="00387AB6" w:rsidTr="00387AB6" w14:paraId="1772C076" w14:textId="77777777">
        <w:trPr>
          <w:trHeight w:val="260"/>
        </w:trPr>
        <w:tc>
          <w:tcPr>
            <w:tcW w:w="467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387AB6" w:rsidR="00104742" w:rsidP="00573A19" w:rsidRDefault="00104742" w14:paraId="675D3CF6" w14:textId="5578C4AA">
            <w:pPr>
              <w:rPr>
                <w:rFonts w:cs="Calibri"/>
                <w:color w:val="000000"/>
                <w:sz w:val="24"/>
                <w:szCs w:val="24"/>
              </w:rPr>
            </w:pPr>
            <w:r w:rsidRPr="00387AB6">
              <w:rPr>
                <w:rFonts w:cs="Calibri"/>
                <w:color w:val="000000"/>
                <w:sz w:val="24"/>
                <w:szCs w:val="24"/>
              </w:rPr>
              <w:t>Customers with Onsite Solar +Battery storage</w:t>
            </w:r>
          </w:p>
        </w:tc>
        <w:tc>
          <w:tcPr>
            <w:tcW w:w="2120" w:type="dxa"/>
            <w:tcBorders>
              <w:top w:val="nil"/>
              <w:left w:val="single" w:color="auto" w:sz="4" w:space="0"/>
              <w:bottom w:val="nil"/>
              <w:right w:val="single" w:color="auto" w:sz="4" w:space="0"/>
            </w:tcBorders>
            <w:shd w:val="clear" w:color="auto" w:fill="auto"/>
            <w:noWrap/>
            <w:vAlign w:val="bottom"/>
            <w:hideMark/>
          </w:tcPr>
          <w:p w:rsidRPr="00387AB6" w:rsidR="00104742" w:rsidP="00573A19" w:rsidRDefault="00104742" w14:paraId="7EF884DA" w14:textId="77777777">
            <w:pPr>
              <w:rPr>
                <w:rFonts w:cs="Calibri"/>
                <w:color w:val="000000"/>
                <w:sz w:val="24"/>
                <w:szCs w:val="24"/>
              </w:rPr>
            </w:pPr>
            <w:r w:rsidRPr="00387AB6">
              <w:rPr>
                <w:rFonts w:cs="Calibri"/>
                <w:color w:val="000000"/>
                <w:sz w:val="24"/>
                <w:szCs w:val="24"/>
              </w:rPr>
              <w:t> </w:t>
            </w:r>
          </w:p>
        </w:tc>
        <w:tc>
          <w:tcPr>
            <w:tcW w:w="1478" w:type="dxa"/>
            <w:tcBorders>
              <w:top w:val="nil"/>
              <w:left w:val="nil"/>
              <w:bottom w:val="nil"/>
              <w:right w:val="double" w:color="auto" w:sz="6" w:space="0"/>
            </w:tcBorders>
            <w:shd w:val="clear" w:color="auto" w:fill="auto"/>
            <w:noWrap/>
            <w:vAlign w:val="bottom"/>
            <w:hideMark/>
          </w:tcPr>
          <w:p w:rsidRPr="00387AB6" w:rsidR="00104742" w:rsidP="00573A19" w:rsidRDefault="00104742" w14:paraId="1F0D9715" w14:textId="77777777">
            <w:pPr>
              <w:rPr>
                <w:rFonts w:cs="Calibri"/>
                <w:color w:val="000000"/>
                <w:sz w:val="24"/>
                <w:szCs w:val="24"/>
              </w:rPr>
            </w:pPr>
            <w:r w:rsidRPr="00387AB6">
              <w:rPr>
                <w:rFonts w:cs="Calibri"/>
                <w:color w:val="000000"/>
                <w:sz w:val="24"/>
                <w:szCs w:val="24"/>
              </w:rPr>
              <w:t> </w:t>
            </w:r>
          </w:p>
        </w:tc>
        <w:tc>
          <w:tcPr>
            <w:tcW w:w="1521" w:type="dxa"/>
            <w:tcBorders>
              <w:top w:val="nil"/>
              <w:left w:val="nil"/>
              <w:bottom w:val="nil"/>
              <w:right w:val="nil"/>
            </w:tcBorders>
            <w:shd w:val="clear" w:color="auto" w:fill="auto"/>
            <w:noWrap/>
            <w:vAlign w:val="bottom"/>
            <w:hideMark/>
          </w:tcPr>
          <w:p w:rsidRPr="00387AB6" w:rsidR="00104742" w:rsidP="00573A19" w:rsidRDefault="00104742" w14:paraId="6769CC14" w14:textId="77777777">
            <w:pPr>
              <w:rPr>
                <w:rFonts w:cs="Calibri"/>
                <w:color w:val="000000"/>
                <w:sz w:val="24"/>
                <w:szCs w:val="24"/>
              </w:rPr>
            </w:pPr>
            <w:r w:rsidRPr="00387AB6">
              <w:rPr>
                <w:rFonts w:cs="Calibri"/>
                <w:color w:val="000000"/>
                <w:sz w:val="24"/>
                <w:szCs w:val="24"/>
              </w:rPr>
              <w:t> </w:t>
            </w:r>
          </w:p>
        </w:tc>
        <w:tc>
          <w:tcPr>
            <w:tcW w:w="1478" w:type="dxa"/>
            <w:tcBorders>
              <w:top w:val="nil"/>
              <w:left w:val="nil"/>
              <w:bottom w:val="nil"/>
              <w:right w:val="nil"/>
            </w:tcBorders>
            <w:shd w:val="clear" w:color="auto" w:fill="auto"/>
            <w:noWrap/>
            <w:vAlign w:val="bottom"/>
            <w:hideMark/>
          </w:tcPr>
          <w:p w:rsidRPr="00387AB6" w:rsidR="00104742" w:rsidP="00573A19" w:rsidRDefault="00104742" w14:paraId="60C71818" w14:textId="77777777">
            <w:pPr>
              <w:rPr>
                <w:rFonts w:cs="Calibri"/>
                <w:color w:val="000000"/>
                <w:sz w:val="24"/>
                <w:szCs w:val="24"/>
              </w:rPr>
            </w:pPr>
            <w:r w:rsidRPr="00387AB6">
              <w:rPr>
                <w:rFonts w:cs="Calibri"/>
                <w:color w:val="000000"/>
                <w:sz w:val="24"/>
                <w:szCs w:val="24"/>
              </w:rPr>
              <w:t> </w:t>
            </w:r>
          </w:p>
        </w:tc>
        <w:tc>
          <w:tcPr>
            <w:tcW w:w="1521" w:type="dxa"/>
            <w:tcBorders>
              <w:top w:val="nil"/>
              <w:left w:val="double" w:color="auto" w:sz="6" w:space="0"/>
              <w:bottom w:val="nil"/>
              <w:right w:val="single" w:color="auto" w:sz="4" w:space="0"/>
            </w:tcBorders>
            <w:shd w:val="clear" w:color="auto" w:fill="auto"/>
            <w:noWrap/>
            <w:vAlign w:val="bottom"/>
            <w:hideMark/>
          </w:tcPr>
          <w:p w:rsidRPr="00387AB6" w:rsidR="00104742" w:rsidP="00573A19" w:rsidRDefault="00104742" w14:paraId="50F44216" w14:textId="77777777">
            <w:pPr>
              <w:rPr>
                <w:rFonts w:cs="Calibri"/>
                <w:color w:val="000000"/>
                <w:sz w:val="24"/>
                <w:szCs w:val="24"/>
              </w:rPr>
            </w:pPr>
            <w:r w:rsidRPr="00387AB6">
              <w:rPr>
                <w:rFonts w:cs="Calibri"/>
                <w:color w:val="000000"/>
                <w:sz w:val="24"/>
                <w:szCs w:val="24"/>
              </w:rPr>
              <w:t> </w:t>
            </w:r>
          </w:p>
        </w:tc>
        <w:tc>
          <w:tcPr>
            <w:tcW w:w="1478" w:type="dxa"/>
            <w:tcBorders>
              <w:top w:val="nil"/>
              <w:left w:val="nil"/>
              <w:bottom w:val="nil"/>
              <w:right w:val="double" w:color="auto" w:sz="6" w:space="0"/>
            </w:tcBorders>
            <w:shd w:val="clear" w:color="auto" w:fill="auto"/>
            <w:noWrap/>
            <w:vAlign w:val="bottom"/>
            <w:hideMark/>
          </w:tcPr>
          <w:p w:rsidRPr="00387AB6" w:rsidR="00104742" w:rsidP="00573A19" w:rsidRDefault="00104742" w14:paraId="45981903" w14:textId="77777777">
            <w:pPr>
              <w:rPr>
                <w:rFonts w:cs="Calibri"/>
                <w:color w:val="000000"/>
                <w:sz w:val="24"/>
                <w:szCs w:val="24"/>
              </w:rPr>
            </w:pPr>
            <w:r w:rsidRPr="00387AB6">
              <w:rPr>
                <w:rFonts w:cs="Calibri"/>
                <w:color w:val="000000"/>
                <w:sz w:val="24"/>
                <w:szCs w:val="24"/>
              </w:rPr>
              <w:t> </w:t>
            </w:r>
          </w:p>
        </w:tc>
        <w:tc>
          <w:tcPr>
            <w:tcW w:w="1521" w:type="dxa"/>
            <w:tcBorders>
              <w:top w:val="nil"/>
              <w:left w:val="nil"/>
              <w:bottom w:val="nil"/>
              <w:right w:val="single" w:color="auto" w:sz="4" w:space="0"/>
            </w:tcBorders>
            <w:shd w:val="clear" w:color="auto" w:fill="auto"/>
            <w:noWrap/>
            <w:vAlign w:val="bottom"/>
            <w:hideMark/>
          </w:tcPr>
          <w:p w:rsidRPr="00387AB6" w:rsidR="00104742" w:rsidP="00573A19" w:rsidRDefault="00104742" w14:paraId="77046BD1" w14:textId="77777777">
            <w:pPr>
              <w:rPr>
                <w:rFonts w:cs="Calibri"/>
                <w:color w:val="000000"/>
                <w:sz w:val="24"/>
                <w:szCs w:val="24"/>
              </w:rPr>
            </w:pPr>
            <w:r w:rsidRPr="00387AB6">
              <w:rPr>
                <w:rFonts w:cs="Calibri"/>
                <w:color w:val="000000"/>
                <w:sz w:val="24"/>
                <w:szCs w:val="24"/>
              </w:rPr>
              <w:t> </w:t>
            </w:r>
          </w:p>
        </w:tc>
        <w:tc>
          <w:tcPr>
            <w:tcW w:w="1478" w:type="dxa"/>
            <w:tcBorders>
              <w:top w:val="nil"/>
              <w:left w:val="nil"/>
              <w:bottom w:val="nil"/>
              <w:right w:val="single" w:color="auto" w:sz="8" w:space="0"/>
            </w:tcBorders>
            <w:shd w:val="clear" w:color="auto" w:fill="auto"/>
            <w:noWrap/>
            <w:vAlign w:val="bottom"/>
            <w:hideMark/>
          </w:tcPr>
          <w:p w:rsidRPr="00387AB6" w:rsidR="00104742" w:rsidP="00573A19" w:rsidRDefault="00104742" w14:paraId="7FA9280F" w14:textId="77777777">
            <w:pPr>
              <w:rPr>
                <w:rFonts w:cs="Calibri"/>
                <w:color w:val="000000"/>
                <w:sz w:val="24"/>
                <w:szCs w:val="24"/>
              </w:rPr>
            </w:pPr>
            <w:r w:rsidRPr="00387AB6">
              <w:rPr>
                <w:rFonts w:cs="Calibri"/>
                <w:color w:val="000000"/>
                <w:sz w:val="24"/>
                <w:szCs w:val="24"/>
              </w:rPr>
              <w:t> </w:t>
            </w:r>
          </w:p>
        </w:tc>
      </w:tr>
      <w:tr w:rsidRPr="00387AB6" w:rsidR="00387AB6" w:rsidTr="00387AB6" w14:paraId="4AFD1F38" w14:textId="77777777">
        <w:trPr>
          <w:trHeight w:val="300"/>
        </w:trPr>
        <w:tc>
          <w:tcPr>
            <w:tcW w:w="4675" w:type="dxa"/>
            <w:tcBorders>
              <w:top w:val="single" w:color="auto" w:sz="4" w:space="0"/>
              <w:left w:val="single" w:color="auto" w:sz="4" w:space="0"/>
              <w:bottom w:val="single" w:color="auto" w:sz="4" w:space="0"/>
              <w:right w:val="single" w:color="auto" w:sz="4" w:space="0"/>
            </w:tcBorders>
            <w:shd w:val="clear" w:color="000000" w:fill="BFBFBF"/>
            <w:vAlign w:val="bottom"/>
            <w:hideMark/>
          </w:tcPr>
          <w:p w:rsidRPr="00387AB6" w:rsidR="00104742" w:rsidP="00573A19" w:rsidRDefault="00104742" w14:paraId="284E2FD5" w14:textId="77777777">
            <w:pPr>
              <w:rPr>
                <w:rFonts w:cs="Calibri"/>
                <w:i/>
                <w:iCs/>
                <w:color w:val="000000"/>
                <w:sz w:val="24"/>
                <w:szCs w:val="24"/>
              </w:rPr>
            </w:pPr>
            <w:r w:rsidRPr="00387AB6">
              <w:rPr>
                <w:rFonts w:cs="Calibri"/>
                <w:i/>
                <w:iCs/>
                <w:color w:val="000000"/>
                <w:sz w:val="24"/>
                <w:szCs w:val="24"/>
              </w:rPr>
              <w:t>Master-metered Customers</w:t>
            </w:r>
          </w:p>
        </w:tc>
        <w:tc>
          <w:tcPr>
            <w:tcW w:w="2120" w:type="dxa"/>
            <w:tcBorders>
              <w:top w:val="single" w:color="auto" w:sz="4" w:space="0"/>
              <w:left w:val="single" w:color="auto" w:sz="4" w:space="0"/>
              <w:bottom w:val="single" w:color="auto" w:sz="4" w:space="0"/>
              <w:right w:val="single" w:color="auto" w:sz="4" w:space="0"/>
            </w:tcBorders>
            <w:shd w:val="clear" w:color="000000" w:fill="BFBFBF"/>
            <w:noWrap/>
            <w:vAlign w:val="bottom"/>
            <w:hideMark/>
          </w:tcPr>
          <w:p w:rsidRPr="00387AB6" w:rsidR="00104742" w:rsidP="00573A19" w:rsidRDefault="00104742" w14:paraId="5A8DC45C" w14:textId="77777777">
            <w:pPr>
              <w:rPr>
                <w:rFonts w:cs="Calibri"/>
                <w:color w:val="000000"/>
                <w:sz w:val="24"/>
                <w:szCs w:val="24"/>
              </w:rPr>
            </w:pPr>
            <w:r w:rsidRPr="00387AB6">
              <w:rPr>
                <w:rFonts w:cs="Calibri"/>
                <w:color w:val="000000"/>
                <w:sz w:val="24"/>
                <w:szCs w:val="24"/>
              </w:rPr>
              <w:t> </w:t>
            </w:r>
          </w:p>
        </w:tc>
        <w:tc>
          <w:tcPr>
            <w:tcW w:w="1478" w:type="dxa"/>
            <w:tcBorders>
              <w:top w:val="single" w:color="auto" w:sz="4" w:space="0"/>
              <w:left w:val="nil"/>
              <w:bottom w:val="single" w:color="auto" w:sz="4" w:space="0"/>
              <w:right w:val="double" w:color="auto" w:sz="6" w:space="0"/>
            </w:tcBorders>
            <w:shd w:val="clear" w:color="000000" w:fill="BFBFBF"/>
            <w:noWrap/>
            <w:vAlign w:val="bottom"/>
            <w:hideMark/>
          </w:tcPr>
          <w:p w:rsidRPr="00387AB6" w:rsidR="00104742" w:rsidP="00573A19" w:rsidRDefault="00104742" w14:paraId="0BB2F04A" w14:textId="77777777">
            <w:pPr>
              <w:rPr>
                <w:rFonts w:cs="Calibri"/>
                <w:color w:val="000000"/>
                <w:sz w:val="24"/>
                <w:szCs w:val="24"/>
              </w:rPr>
            </w:pPr>
            <w:r w:rsidRPr="00387AB6">
              <w:rPr>
                <w:rFonts w:cs="Calibri"/>
                <w:color w:val="000000"/>
                <w:sz w:val="24"/>
                <w:szCs w:val="24"/>
              </w:rPr>
              <w:t> </w:t>
            </w:r>
          </w:p>
        </w:tc>
        <w:tc>
          <w:tcPr>
            <w:tcW w:w="1521" w:type="dxa"/>
            <w:tcBorders>
              <w:top w:val="single" w:color="auto" w:sz="4" w:space="0"/>
              <w:left w:val="nil"/>
              <w:bottom w:val="single" w:color="auto" w:sz="4" w:space="0"/>
              <w:right w:val="nil"/>
            </w:tcBorders>
            <w:shd w:val="clear" w:color="000000" w:fill="BFBFBF"/>
            <w:noWrap/>
            <w:vAlign w:val="bottom"/>
            <w:hideMark/>
          </w:tcPr>
          <w:p w:rsidRPr="00387AB6" w:rsidR="00104742" w:rsidP="00573A19" w:rsidRDefault="00104742" w14:paraId="6AB90BD1" w14:textId="77777777">
            <w:pPr>
              <w:rPr>
                <w:rFonts w:cs="Calibri"/>
                <w:color w:val="000000"/>
                <w:sz w:val="24"/>
                <w:szCs w:val="24"/>
              </w:rPr>
            </w:pPr>
            <w:r w:rsidRPr="00387AB6">
              <w:rPr>
                <w:rFonts w:cs="Calibri"/>
                <w:color w:val="000000"/>
                <w:sz w:val="24"/>
                <w:szCs w:val="24"/>
              </w:rPr>
              <w:t> </w:t>
            </w:r>
          </w:p>
        </w:tc>
        <w:tc>
          <w:tcPr>
            <w:tcW w:w="1478" w:type="dxa"/>
            <w:tcBorders>
              <w:top w:val="single" w:color="auto" w:sz="4" w:space="0"/>
              <w:left w:val="nil"/>
              <w:bottom w:val="single" w:color="auto" w:sz="4" w:space="0"/>
              <w:right w:val="nil"/>
            </w:tcBorders>
            <w:shd w:val="clear" w:color="000000" w:fill="BFBFBF"/>
            <w:noWrap/>
            <w:vAlign w:val="bottom"/>
            <w:hideMark/>
          </w:tcPr>
          <w:p w:rsidRPr="00387AB6" w:rsidR="00104742" w:rsidP="00573A19" w:rsidRDefault="00104742" w14:paraId="58072EF6" w14:textId="77777777">
            <w:pPr>
              <w:rPr>
                <w:rFonts w:cs="Calibri"/>
                <w:color w:val="000000"/>
                <w:sz w:val="24"/>
                <w:szCs w:val="24"/>
              </w:rPr>
            </w:pPr>
            <w:r w:rsidRPr="00387AB6">
              <w:rPr>
                <w:rFonts w:cs="Calibri"/>
                <w:color w:val="000000"/>
                <w:sz w:val="24"/>
                <w:szCs w:val="24"/>
              </w:rPr>
              <w:t> </w:t>
            </w:r>
          </w:p>
        </w:tc>
        <w:tc>
          <w:tcPr>
            <w:tcW w:w="1521" w:type="dxa"/>
            <w:tcBorders>
              <w:top w:val="single" w:color="auto" w:sz="4" w:space="0"/>
              <w:left w:val="double" w:color="auto" w:sz="6" w:space="0"/>
              <w:bottom w:val="single" w:color="auto" w:sz="4" w:space="0"/>
              <w:right w:val="single" w:color="auto" w:sz="4" w:space="0"/>
            </w:tcBorders>
            <w:shd w:val="clear" w:color="000000" w:fill="BFBFBF"/>
            <w:noWrap/>
            <w:vAlign w:val="bottom"/>
            <w:hideMark/>
          </w:tcPr>
          <w:p w:rsidRPr="00387AB6" w:rsidR="00104742" w:rsidP="00573A19" w:rsidRDefault="00104742" w14:paraId="26A16BA2" w14:textId="77777777">
            <w:pPr>
              <w:rPr>
                <w:rFonts w:cs="Calibri"/>
                <w:color w:val="000000"/>
                <w:sz w:val="24"/>
                <w:szCs w:val="24"/>
              </w:rPr>
            </w:pPr>
            <w:r w:rsidRPr="00387AB6">
              <w:rPr>
                <w:rFonts w:cs="Calibri"/>
                <w:color w:val="000000"/>
                <w:sz w:val="24"/>
                <w:szCs w:val="24"/>
              </w:rPr>
              <w:t> </w:t>
            </w:r>
          </w:p>
        </w:tc>
        <w:tc>
          <w:tcPr>
            <w:tcW w:w="1478" w:type="dxa"/>
            <w:tcBorders>
              <w:top w:val="single" w:color="auto" w:sz="4" w:space="0"/>
              <w:left w:val="nil"/>
              <w:bottom w:val="single" w:color="auto" w:sz="4" w:space="0"/>
              <w:right w:val="double" w:color="auto" w:sz="6" w:space="0"/>
            </w:tcBorders>
            <w:shd w:val="clear" w:color="000000" w:fill="BFBFBF"/>
            <w:noWrap/>
            <w:vAlign w:val="bottom"/>
            <w:hideMark/>
          </w:tcPr>
          <w:p w:rsidRPr="00387AB6" w:rsidR="00104742" w:rsidP="00573A19" w:rsidRDefault="00104742" w14:paraId="19AAFEA5" w14:textId="77777777">
            <w:pPr>
              <w:rPr>
                <w:rFonts w:cs="Calibri"/>
                <w:color w:val="000000"/>
                <w:sz w:val="24"/>
                <w:szCs w:val="24"/>
              </w:rPr>
            </w:pPr>
            <w:r w:rsidRPr="00387AB6">
              <w:rPr>
                <w:rFonts w:cs="Calibri"/>
                <w:color w:val="000000"/>
                <w:sz w:val="24"/>
                <w:szCs w:val="24"/>
              </w:rPr>
              <w:t> </w:t>
            </w:r>
          </w:p>
        </w:tc>
        <w:tc>
          <w:tcPr>
            <w:tcW w:w="1521" w:type="dxa"/>
            <w:tcBorders>
              <w:top w:val="single" w:color="auto" w:sz="4" w:space="0"/>
              <w:left w:val="nil"/>
              <w:bottom w:val="single" w:color="auto" w:sz="4" w:space="0"/>
              <w:right w:val="single" w:color="auto" w:sz="4" w:space="0"/>
            </w:tcBorders>
            <w:shd w:val="clear" w:color="000000" w:fill="BFBFBF"/>
            <w:noWrap/>
            <w:vAlign w:val="bottom"/>
            <w:hideMark/>
          </w:tcPr>
          <w:p w:rsidRPr="00387AB6" w:rsidR="00104742" w:rsidP="00573A19" w:rsidRDefault="00104742" w14:paraId="4FF7BCC8" w14:textId="77777777">
            <w:pPr>
              <w:rPr>
                <w:rFonts w:cs="Calibri"/>
                <w:color w:val="000000"/>
                <w:sz w:val="24"/>
                <w:szCs w:val="24"/>
              </w:rPr>
            </w:pPr>
            <w:r w:rsidRPr="00387AB6">
              <w:rPr>
                <w:rFonts w:cs="Calibri"/>
                <w:color w:val="000000"/>
                <w:sz w:val="24"/>
                <w:szCs w:val="24"/>
              </w:rPr>
              <w:t> </w:t>
            </w:r>
          </w:p>
        </w:tc>
        <w:tc>
          <w:tcPr>
            <w:tcW w:w="1478" w:type="dxa"/>
            <w:tcBorders>
              <w:top w:val="single" w:color="auto" w:sz="4" w:space="0"/>
              <w:left w:val="nil"/>
              <w:bottom w:val="single" w:color="auto" w:sz="4" w:space="0"/>
              <w:right w:val="single" w:color="auto" w:sz="8" w:space="0"/>
            </w:tcBorders>
            <w:shd w:val="clear" w:color="000000" w:fill="BFBFBF"/>
            <w:noWrap/>
            <w:vAlign w:val="bottom"/>
            <w:hideMark/>
          </w:tcPr>
          <w:p w:rsidRPr="00387AB6" w:rsidR="00104742" w:rsidP="00573A19" w:rsidRDefault="00104742" w14:paraId="6E123160" w14:textId="77777777">
            <w:pPr>
              <w:rPr>
                <w:rFonts w:cs="Calibri"/>
                <w:color w:val="000000"/>
                <w:sz w:val="24"/>
                <w:szCs w:val="24"/>
              </w:rPr>
            </w:pPr>
            <w:r w:rsidRPr="00387AB6">
              <w:rPr>
                <w:rFonts w:cs="Calibri"/>
                <w:color w:val="000000"/>
                <w:sz w:val="24"/>
                <w:szCs w:val="24"/>
              </w:rPr>
              <w:t> </w:t>
            </w:r>
          </w:p>
        </w:tc>
      </w:tr>
      <w:tr w:rsidRPr="00387AB6" w:rsidR="00387AB6" w:rsidTr="00387AB6" w14:paraId="2FCC577B" w14:textId="77777777">
        <w:trPr>
          <w:trHeight w:val="305"/>
        </w:trPr>
        <w:tc>
          <w:tcPr>
            <w:tcW w:w="467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387AB6" w:rsidR="00104742" w:rsidP="00573A19" w:rsidRDefault="00104742" w14:paraId="6BA37E2F" w14:textId="77777777">
            <w:pPr>
              <w:rPr>
                <w:rFonts w:cs="Calibri"/>
                <w:color w:val="000000"/>
                <w:sz w:val="24"/>
                <w:szCs w:val="24"/>
              </w:rPr>
            </w:pPr>
            <w:r w:rsidRPr="00387AB6">
              <w:rPr>
                <w:rFonts w:cs="Calibri"/>
                <w:color w:val="000000"/>
                <w:sz w:val="24"/>
                <w:szCs w:val="24"/>
              </w:rPr>
              <w:t>Number of Master-metered customers</w:t>
            </w:r>
          </w:p>
        </w:tc>
        <w:tc>
          <w:tcPr>
            <w:tcW w:w="2120" w:type="dxa"/>
            <w:tcBorders>
              <w:top w:val="nil"/>
              <w:left w:val="single" w:color="auto" w:sz="4" w:space="0"/>
              <w:bottom w:val="single" w:color="auto" w:sz="4" w:space="0"/>
              <w:right w:val="single" w:color="auto" w:sz="4" w:space="0"/>
            </w:tcBorders>
            <w:shd w:val="clear" w:color="auto" w:fill="auto"/>
            <w:noWrap/>
            <w:vAlign w:val="bottom"/>
            <w:hideMark/>
          </w:tcPr>
          <w:p w:rsidRPr="00387AB6" w:rsidR="00104742" w:rsidP="00573A19" w:rsidRDefault="00104742" w14:paraId="7A2CBEEA" w14:textId="77777777">
            <w:pPr>
              <w:rPr>
                <w:rFonts w:cs="Calibri"/>
                <w:color w:val="000000"/>
                <w:sz w:val="24"/>
                <w:szCs w:val="24"/>
              </w:rPr>
            </w:pPr>
            <w:r w:rsidRPr="00387AB6">
              <w:rPr>
                <w:rFonts w:cs="Calibri"/>
                <w:color w:val="000000"/>
                <w:sz w:val="24"/>
                <w:szCs w:val="24"/>
              </w:rPr>
              <w:t> </w:t>
            </w:r>
          </w:p>
        </w:tc>
        <w:tc>
          <w:tcPr>
            <w:tcW w:w="1478" w:type="dxa"/>
            <w:tcBorders>
              <w:top w:val="nil"/>
              <w:left w:val="nil"/>
              <w:bottom w:val="single" w:color="auto" w:sz="4" w:space="0"/>
              <w:right w:val="double" w:color="auto" w:sz="6" w:space="0"/>
            </w:tcBorders>
            <w:shd w:val="clear" w:color="auto" w:fill="auto"/>
            <w:noWrap/>
            <w:vAlign w:val="bottom"/>
            <w:hideMark/>
          </w:tcPr>
          <w:p w:rsidRPr="00387AB6" w:rsidR="00104742" w:rsidP="00573A19" w:rsidRDefault="00104742" w14:paraId="21A5224D" w14:textId="77777777">
            <w:pPr>
              <w:rPr>
                <w:rFonts w:cs="Calibri"/>
                <w:color w:val="000000"/>
                <w:sz w:val="24"/>
                <w:szCs w:val="24"/>
              </w:rPr>
            </w:pPr>
            <w:r w:rsidRPr="00387AB6">
              <w:rPr>
                <w:rFonts w:cs="Calibri"/>
                <w:color w:val="000000"/>
                <w:sz w:val="24"/>
                <w:szCs w:val="24"/>
              </w:rPr>
              <w:t> </w:t>
            </w:r>
          </w:p>
        </w:tc>
        <w:tc>
          <w:tcPr>
            <w:tcW w:w="1521" w:type="dxa"/>
            <w:tcBorders>
              <w:top w:val="nil"/>
              <w:left w:val="nil"/>
              <w:bottom w:val="single" w:color="auto" w:sz="4" w:space="0"/>
              <w:right w:val="nil"/>
            </w:tcBorders>
            <w:shd w:val="clear" w:color="auto" w:fill="auto"/>
            <w:noWrap/>
            <w:vAlign w:val="bottom"/>
            <w:hideMark/>
          </w:tcPr>
          <w:p w:rsidRPr="00387AB6" w:rsidR="00104742" w:rsidP="00573A19" w:rsidRDefault="00104742" w14:paraId="5721B139" w14:textId="77777777">
            <w:pPr>
              <w:rPr>
                <w:rFonts w:cs="Calibri"/>
                <w:color w:val="000000"/>
                <w:sz w:val="24"/>
                <w:szCs w:val="24"/>
              </w:rPr>
            </w:pPr>
            <w:r w:rsidRPr="00387AB6">
              <w:rPr>
                <w:rFonts w:cs="Calibri"/>
                <w:color w:val="000000"/>
                <w:sz w:val="24"/>
                <w:szCs w:val="24"/>
              </w:rPr>
              <w:t> </w:t>
            </w:r>
          </w:p>
        </w:tc>
        <w:tc>
          <w:tcPr>
            <w:tcW w:w="1478" w:type="dxa"/>
            <w:tcBorders>
              <w:top w:val="nil"/>
              <w:left w:val="nil"/>
              <w:bottom w:val="single" w:color="auto" w:sz="4" w:space="0"/>
              <w:right w:val="nil"/>
            </w:tcBorders>
            <w:shd w:val="clear" w:color="auto" w:fill="auto"/>
            <w:noWrap/>
            <w:vAlign w:val="bottom"/>
            <w:hideMark/>
          </w:tcPr>
          <w:p w:rsidRPr="00387AB6" w:rsidR="00104742" w:rsidP="00573A19" w:rsidRDefault="00104742" w14:paraId="4298BBF6" w14:textId="77777777">
            <w:pPr>
              <w:rPr>
                <w:rFonts w:cs="Calibri"/>
                <w:color w:val="000000"/>
                <w:sz w:val="24"/>
                <w:szCs w:val="24"/>
              </w:rPr>
            </w:pPr>
            <w:r w:rsidRPr="00387AB6">
              <w:rPr>
                <w:rFonts w:cs="Calibri"/>
                <w:color w:val="000000"/>
                <w:sz w:val="24"/>
                <w:szCs w:val="24"/>
              </w:rPr>
              <w:t> </w:t>
            </w:r>
          </w:p>
        </w:tc>
        <w:tc>
          <w:tcPr>
            <w:tcW w:w="1521" w:type="dxa"/>
            <w:tcBorders>
              <w:top w:val="nil"/>
              <w:left w:val="double" w:color="auto" w:sz="6" w:space="0"/>
              <w:bottom w:val="single" w:color="auto" w:sz="4" w:space="0"/>
              <w:right w:val="single" w:color="auto" w:sz="4" w:space="0"/>
            </w:tcBorders>
            <w:shd w:val="clear" w:color="auto" w:fill="auto"/>
            <w:noWrap/>
            <w:vAlign w:val="bottom"/>
            <w:hideMark/>
          </w:tcPr>
          <w:p w:rsidRPr="00387AB6" w:rsidR="00104742" w:rsidP="00573A19" w:rsidRDefault="00104742" w14:paraId="786FA78D" w14:textId="77777777">
            <w:pPr>
              <w:rPr>
                <w:rFonts w:cs="Calibri"/>
                <w:color w:val="000000"/>
                <w:sz w:val="24"/>
                <w:szCs w:val="24"/>
              </w:rPr>
            </w:pPr>
            <w:r w:rsidRPr="00387AB6">
              <w:rPr>
                <w:rFonts w:cs="Calibri"/>
                <w:color w:val="000000"/>
                <w:sz w:val="24"/>
                <w:szCs w:val="24"/>
              </w:rPr>
              <w:t> </w:t>
            </w:r>
          </w:p>
        </w:tc>
        <w:tc>
          <w:tcPr>
            <w:tcW w:w="1478" w:type="dxa"/>
            <w:tcBorders>
              <w:top w:val="nil"/>
              <w:left w:val="nil"/>
              <w:bottom w:val="single" w:color="auto" w:sz="4" w:space="0"/>
              <w:right w:val="double" w:color="auto" w:sz="6" w:space="0"/>
            </w:tcBorders>
            <w:shd w:val="clear" w:color="auto" w:fill="auto"/>
            <w:noWrap/>
            <w:vAlign w:val="bottom"/>
            <w:hideMark/>
          </w:tcPr>
          <w:p w:rsidRPr="00387AB6" w:rsidR="00104742" w:rsidP="00573A19" w:rsidRDefault="00104742" w14:paraId="6E7BCE98" w14:textId="77777777">
            <w:pPr>
              <w:rPr>
                <w:rFonts w:cs="Calibri"/>
                <w:color w:val="000000"/>
                <w:sz w:val="24"/>
                <w:szCs w:val="24"/>
              </w:rPr>
            </w:pPr>
            <w:r w:rsidRPr="00387AB6">
              <w:rPr>
                <w:rFonts w:cs="Calibri"/>
                <w:color w:val="000000"/>
                <w:sz w:val="24"/>
                <w:szCs w:val="24"/>
              </w:rPr>
              <w:t> </w:t>
            </w:r>
          </w:p>
        </w:tc>
        <w:tc>
          <w:tcPr>
            <w:tcW w:w="1521" w:type="dxa"/>
            <w:tcBorders>
              <w:top w:val="nil"/>
              <w:left w:val="nil"/>
              <w:bottom w:val="single" w:color="auto" w:sz="4" w:space="0"/>
              <w:right w:val="single" w:color="auto" w:sz="4" w:space="0"/>
            </w:tcBorders>
            <w:shd w:val="clear" w:color="auto" w:fill="auto"/>
            <w:noWrap/>
            <w:vAlign w:val="bottom"/>
            <w:hideMark/>
          </w:tcPr>
          <w:p w:rsidRPr="00387AB6" w:rsidR="00104742" w:rsidP="00573A19" w:rsidRDefault="00104742" w14:paraId="1EB19F85" w14:textId="77777777">
            <w:pPr>
              <w:rPr>
                <w:rFonts w:cs="Calibri"/>
                <w:color w:val="000000"/>
                <w:sz w:val="24"/>
                <w:szCs w:val="24"/>
              </w:rPr>
            </w:pPr>
            <w:r w:rsidRPr="00387AB6">
              <w:rPr>
                <w:rFonts w:cs="Calibri"/>
                <w:color w:val="000000"/>
                <w:sz w:val="24"/>
                <w:szCs w:val="24"/>
              </w:rPr>
              <w:t> </w:t>
            </w:r>
          </w:p>
        </w:tc>
        <w:tc>
          <w:tcPr>
            <w:tcW w:w="1478" w:type="dxa"/>
            <w:tcBorders>
              <w:top w:val="nil"/>
              <w:left w:val="nil"/>
              <w:bottom w:val="single" w:color="auto" w:sz="4" w:space="0"/>
              <w:right w:val="single" w:color="auto" w:sz="8" w:space="0"/>
            </w:tcBorders>
            <w:shd w:val="clear" w:color="auto" w:fill="auto"/>
            <w:noWrap/>
            <w:vAlign w:val="bottom"/>
            <w:hideMark/>
          </w:tcPr>
          <w:p w:rsidRPr="00387AB6" w:rsidR="00104742" w:rsidP="00573A19" w:rsidRDefault="00104742" w14:paraId="1F41865D" w14:textId="77777777">
            <w:pPr>
              <w:rPr>
                <w:rFonts w:cs="Calibri"/>
                <w:color w:val="000000"/>
                <w:sz w:val="24"/>
                <w:szCs w:val="24"/>
              </w:rPr>
            </w:pPr>
            <w:r w:rsidRPr="00387AB6">
              <w:rPr>
                <w:rFonts w:cs="Calibri"/>
                <w:color w:val="000000"/>
                <w:sz w:val="24"/>
                <w:szCs w:val="24"/>
              </w:rPr>
              <w:t> </w:t>
            </w:r>
          </w:p>
        </w:tc>
      </w:tr>
    </w:tbl>
    <w:p w:rsidRPr="00387AB6" w:rsidR="00104742" w:rsidP="00573A19" w:rsidRDefault="00104742" w14:paraId="4D44DE47" w14:textId="77777777">
      <w:pPr>
        <w:rPr>
          <w:sz w:val="24"/>
          <w:szCs w:val="24"/>
        </w:rPr>
      </w:pPr>
    </w:p>
    <w:p w:rsidRPr="00387AB6" w:rsidR="00104742" w:rsidP="00573A19" w:rsidRDefault="00104742" w14:paraId="66102667" w14:textId="77777777">
      <w:pPr>
        <w:rPr>
          <w:sz w:val="24"/>
          <w:szCs w:val="24"/>
        </w:rPr>
      </w:pPr>
    </w:p>
    <w:p w:rsidRPr="00387AB6" w:rsidR="00104742" w:rsidP="00573A19" w:rsidRDefault="00104742" w14:paraId="149E2ABE" w14:textId="77777777">
      <w:pPr>
        <w:rPr>
          <w:sz w:val="24"/>
          <w:szCs w:val="24"/>
        </w:rPr>
      </w:pPr>
    </w:p>
    <w:p w:rsidRPr="00387AB6" w:rsidR="00104742" w:rsidP="00573A19" w:rsidRDefault="00104742" w14:paraId="12DA6F07" w14:textId="77777777">
      <w:pPr>
        <w:rPr>
          <w:i/>
          <w:iCs/>
          <w:sz w:val="24"/>
          <w:szCs w:val="24"/>
        </w:rPr>
      </w:pPr>
    </w:p>
    <w:p w:rsidRPr="00387AB6" w:rsidR="00104742" w:rsidP="00573A19" w:rsidRDefault="00104742" w14:paraId="277E1F1F" w14:textId="2C7CAB06">
      <w:pPr>
        <w:rPr>
          <w:sz w:val="24"/>
          <w:szCs w:val="24"/>
        </w:rPr>
      </w:pPr>
    </w:p>
    <w:p w:rsidRPr="00387AB6" w:rsidR="00104742" w:rsidP="00573A19" w:rsidRDefault="00104742" w14:paraId="45B9D8F3" w14:textId="77777777">
      <w:pPr>
        <w:rPr>
          <w:sz w:val="24"/>
          <w:szCs w:val="24"/>
        </w:rPr>
      </w:pPr>
    </w:p>
    <w:p w:rsidR="00387AB6" w:rsidRDefault="00387AB6" w14:paraId="393DD420" w14:textId="77777777">
      <w:r>
        <w:br w:type="page"/>
      </w:r>
    </w:p>
    <w:tbl>
      <w:tblPr>
        <w:tblW w:w="17134" w:type="dxa"/>
        <w:tblLook w:val="04A0" w:firstRow="1" w:lastRow="0" w:firstColumn="1" w:lastColumn="0" w:noHBand="0" w:noVBand="1"/>
      </w:tblPr>
      <w:tblGrid>
        <w:gridCol w:w="5750"/>
        <w:gridCol w:w="1443"/>
        <w:gridCol w:w="1403"/>
        <w:gridCol w:w="1443"/>
        <w:gridCol w:w="1403"/>
        <w:gridCol w:w="1443"/>
        <w:gridCol w:w="1403"/>
        <w:gridCol w:w="1443"/>
        <w:gridCol w:w="1403"/>
      </w:tblGrid>
      <w:tr w:rsidRPr="00387AB6" w:rsidR="00104742" w:rsidTr="00387AB6" w14:paraId="055B9586" w14:textId="77777777">
        <w:trPr>
          <w:trHeight w:val="134"/>
        </w:trPr>
        <w:tc>
          <w:tcPr>
            <w:tcW w:w="17134" w:type="dxa"/>
            <w:gridSpan w:val="9"/>
            <w:tcBorders>
              <w:top w:val="single" w:color="auto" w:sz="4" w:space="0"/>
              <w:left w:val="single" w:color="auto" w:sz="4" w:space="0"/>
              <w:bottom w:val="single" w:color="auto" w:sz="4" w:space="0"/>
              <w:right w:val="single" w:color="auto" w:sz="4" w:space="0"/>
            </w:tcBorders>
            <w:shd w:val="clear" w:color="auto" w:fill="FBD4B4" w:themeFill="accent6" w:themeFillTint="66"/>
            <w:noWrap/>
            <w:vAlign w:val="bottom"/>
            <w:hideMark/>
          </w:tcPr>
          <w:p w:rsidRPr="00387AB6" w:rsidR="00104742" w:rsidP="00573A19" w:rsidRDefault="00104742" w14:paraId="5C56B49B" w14:textId="3346ABE9">
            <w:pPr>
              <w:rPr>
                <w:rFonts w:cs="Calibri"/>
                <w:b/>
                <w:bCs/>
                <w:color w:val="000000"/>
                <w:sz w:val="24"/>
                <w:szCs w:val="24"/>
              </w:rPr>
            </w:pPr>
            <w:r w:rsidRPr="00387AB6">
              <w:rPr>
                <w:rFonts w:cs="Calibri"/>
                <w:b/>
                <w:bCs/>
                <w:color w:val="000000"/>
                <w:sz w:val="24"/>
                <w:szCs w:val="24"/>
              </w:rPr>
              <w:lastRenderedPageBreak/>
              <w:t>Medical Baseline Customer Average Annual Bills by Rate Schedule</w:t>
            </w:r>
          </w:p>
        </w:tc>
      </w:tr>
      <w:tr w:rsidRPr="00387AB6" w:rsidR="00104742" w:rsidTr="00387AB6" w14:paraId="430113D4" w14:textId="77777777">
        <w:trPr>
          <w:trHeight w:val="300"/>
        </w:trPr>
        <w:tc>
          <w:tcPr>
            <w:tcW w:w="5750" w:type="dxa"/>
            <w:tcBorders>
              <w:top w:val="single" w:color="auto" w:sz="4" w:space="0"/>
              <w:left w:val="single" w:color="auto" w:sz="8" w:space="0"/>
              <w:bottom w:val="single" w:color="auto" w:sz="4" w:space="0"/>
              <w:right w:val="nil"/>
            </w:tcBorders>
            <w:shd w:val="clear" w:color="auto" w:fill="auto"/>
            <w:noWrap/>
            <w:vAlign w:val="bottom"/>
            <w:hideMark/>
          </w:tcPr>
          <w:p w:rsidRPr="00387AB6" w:rsidR="00104742" w:rsidP="00573A19" w:rsidRDefault="00104742" w14:paraId="2583E8C8" w14:textId="77777777">
            <w:pPr>
              <w:rPr>
                <w:rFonts w:cs="Calibri"/>
                <w:b/>
                <w:bCs/>
                <w:color w:val="000000"/>
                <w:sz w:val="24"/>
                <w:szCs w:val="24"/>
              </w:rPr>
            </w:pPr>
            <w:r w:rsidRPr="00387AB6">
              <w:rPr>
                <w:rFonts w:cs="Calibri"/>
                <w:b/>
                <w:bCs/>
                <w:color w:val="000000"/>
                <w:sz w:val="24"/>
                <w:szCs w:val="24"/>
              </w:rPr>
              <w:t xml:space="preserve">Climate Zone </w:t>
            </w:r>
            <w:r w:rsidRPr="00387AB6">
              <w:rPr>
                <w:rFonts w:ascii="Times New Roman" w:hAnsi="Times New Roman"/>
                <w:b/>
                <w:bCs/>
                <w:color w:val="000000"/>
                <w:sz w:val="24"/>
                <w:szCs w:val="24"/>
              </w:rPr>
              <w:t>→</w:t>
            </w:r>
          </w:p>
        </w:tc>
        <w:tc>
          <w:tcPr>
            <w:tcW w:w="11384" w:type="dxa"/>
            <w:gridSpan w:val="8"/>
            <w:tcBorders>
              <w:top w:val="single" w:color="auto" w:sz="4" w:space="0"/>
              <w:left w:val="single" w:color="auto" w:sz="8" w:space="0"/>
              <w:bottom w:val="nil"/>
              <w:right w:val="single" w:color="000000" w:sz="8" w:space="0"/>
            </w:tcBorders>
            <w:shd w:val="clear" w:color="auto" w:fill="auto"/>
            <w:noWrap/>
            <w:vAlign w:val="bottom"/>
            <w:hideMark/>
          </w:tcPr>
          <w:p w:rsidRPr="00387AB6" w:rsidR="00104742" w:rsidP="00573A19" w:rsidRDefault="00573A19" w14:paraId="508615D9" w14:textId="784EBFCD">
            <w:pPr>
              <w:rPr>
                <w:rFonts w:cs="Calibri"/>
                <w:b/>
                <w:bCs/>
                <w:color w:val="000000"/>
                <w:sz w:val="24"/>
                <w:szCs w:val="24"/>
              </w:rPr>
            </w:pPr>
            <w:r w:rsidRPr="00387AB6">
              <w:rPr>
                <w:rFonts w:cs="Calibri"/>
                <w:b/>
                <w:bCs/>
                <w:color w:val="000000"/>
                <w:sz w:val="24"/>
                <w:szCs w:val="24"/>
              </w:rPr>
              <w:t xml:space="preserve">CZ [-]    </w:t>
            </w:r>
            <w:r w:rsidRPr="00387AB6">
              <w:rPr>
                <w:rFonts w:cs="Calibri"/>
                <w:b/>
                <w:bCs/>
                <w:i/>
                <w:iCs/>
                <w:color w:val="000000"/>
                <w:sz w:val="24"/>
                <w:szCs w:val="24"/>
              </w:rPr>
              <w:t>(Add Columns for CZs in your service territory)</w:t>
            </w:r>
          </w:p>
        </w:tc>
      </w:tr>
      <w:tr w:rsidRPr="00387AB6" w:rsidR="00104742" w:rsidTr="00387AB6" w14:paraId="3FD1A997" w14:textId="77777777">
        <w:trPr>
          <w:trHeight w:val="300"/>
        </w:trPr>
        <w:tc>
          <w:tcPr>
            <w:tcW w:w="5750" w:type="dxa"/>
            <w:tcBorders>
              <w:top w:val="nil"/>
              <w:left w:val="single" w:color="auto" w:sz="8" w:space="0"/>
              <w:bottom w:val="single" w:color="auto" w:sz="4" w:space="0"/>
              <w:right w:val="nil"/>
            </w:tcBorders>
            <w:shd w:val="clear" w:color="auto" w:fill="auto"/>
            <w:noWrap/>
            <w:vAlign w:val="bottom"/>
            <w:hideMark/>
          </w:tcPr>
          <w:p w:rsidRPr="00387AB6" w:rsidR="00104742" w:rsidP="00573A19" w:rsidRDefault="00104742" w14:paraId="1B62785F" w14:textId="77777777">
            <w:pPr>
              <w:rPr>
                <w:rFonts w:cs="Calibri"/>
                <w:i/>
                <w:iCs/>
                <w:color w:val="000000"/>
                <w:sz w:val="24"/>
                <w:szCs w:val="24"/>
              </w:rPr>
            </w:pPr>
            <w:r w:rsidRPr="00387AB6">
              <w:rPr>
                <w:rFonts w:cs="Calibri"/>
                <w:i/>
                <w:iCs/>
                <w:color w:val="000000"/>
                <w:sz w:val="24"/>
                <w:szCs w:val="24"/>
              </w:rPr>
              <w:t> </w:t>
            </w:r>
          </w:p>
        </w:tc>
        <w:tc>
          <w:tcPr>
            <w:tcW w:w="2846" w:type="dxa"/>
            <w:gridSpan w:val="2"/>
            <w:tcBorders>
              <w:top w:val="single" w:color="auto" w:sz="4" w:space="0"/>
              <w:left w:val="single" w:color="auto" w:sz="8" w:space="0"/>
              <w:bottom w:val="single" w:color="auto" w:sz="4" w:space="0"/>
              <w:right w:val="single" w:color="auto" w:sz="4" w:space="0"/>
            </w:tcBorders>
            <w:shd w:val="clear" w:color="auto" w:fill="auto"/>
            <w:noWrap/>
            <w:vAlign w:val="bottom"/>
            <w:hideMark/>
          </w:tcPr>
          <w:p w:rsidRPr="00387AB6" w:rsidR="00104742" w:rsidP="00573A19" w:rsidRDefault="00104742" w14:paraId="2BB08B83" w14:textId="77777777">
            <w:pPr>
              <w:rPr>
                <w:rFonts w:cs="Calibri"/>
                <w:i/>
                <w:iCs/>
                <w:color w:val="000000"/>
                <w:sz w:val="24"/>
                <w:szCs w:val="24"/>
              </w:rPr>
            </w:pPr>
            <w:r w:rsidRPr="00387AB6">
              <w:rPr>
                <w:rFonts w:cs="Calibri"/>
                <w:i/>
                <w:iCs/>
                <w:color w:val="000000"/>
                <w:sz w:val="24"/>
                <w:szCs w:val="24"/>
              </w:rPr>
              <w:t>All-Electric</w:t>
            </w:r>
          </w:p>
        </w:tc>
        <w:tc>
          <w:tcPr>
            <w:tcW w:w="2846" w:type="dxa"/>
            <w:gridSpan w:val="2"/>
            <w:tcBorders>
              <w:top w:val="single" w:color="auto" w:sz="4" w:space="0"/>
              <w:left w:val="nil"/>
              <w:bottom w:val="single" w:color="auto" w:sz="4" w:space="0"/>
              <w:right w:val="single" w:color="000000" w:sz="4" w:space="0"/>
            </w:tcBorders>
            <w:shd w:val="clear" w:color="auto" w:fill="auto"/>
            <w:noWrap/>
            <w:vAlign w:val="bottom"/>
            <w:hideMark/>
          </w:tcPr>
          <w:p w:rsidRPr="00387AB6" w:rsidR="00104742" w:rsidP="00573A19" w:rsidRDefault="00104742" w14:paraId="2EE4E081" w14:textId="77777777">
            <w:pPr>
              <w:rPr>
                <w:rFonts w:cs="Calibri"/>
                <w:i/>
                <w:iCs/>
                <w:color w:val="000000"/>
                <w:sz w:val="24"/>
                <w:szCs w:val="24"/>
              </w:rPr>
            </w:pPr>
            <w:r w:rsidRPr="00387AB6">
              <w:rPr>
                <w:rFonts w:cs="Calibri"/>
                <w:i/>
                <w:iCs/>
                <w:color w:val="000000"/>
                <w:sz w:val="24"/>
                <w:szCs w:val="24"/>
              </w:rPr>
              <w:t>Electric Space Heating</w:t>
            </w:r>
          </w:p>
        </w:tc>
        <w:tc>
          <w:tcPr>
            <w:tcW w:w="2846" w:type="dxa"/>
            <w:gridSpan w:val="2"/>
            <w:tcBorders>
              <w:top w:val="single" w:color="auto" w:sz="4" w:space="0"/>
              <w:left w:val="nil"/>
              <w:bottom w:val="single" w:color="auto" w:sz="4" w:space="0"/>
              <w:right w:val="single" w:color="auto" w:sz="4" w:space="0"/>
            </w:tcBorders>
            <w:shd w:val="clear" w:color="auto" w:fill="auto"/>
            <w:noWrap/>
            <w:vAlign w:val="bottom"/>
            <w:hideMark/>
          </w:tcPr>
          <w:p w:rsidRPr="00387AB6" w:rsidR="00104742" w:rsidP="00573A19" w:rsidRDefault="00104742" w14:paraId="1D858C62" w14:textId="77777777">
            <w:pPr>
              <w:rPr>
                <w:rFonts w:cs="Calibri"/>
                <w:i/>
                <w:iCs/>
                <w:color w:val="000000"/>
                <w:sz w:val="24"/>
                <w:szCs w:val="24"/>
              </w:rPr>
            </w:pPr>
            <w:r w:rsidRPr="00387AB6">
              <w:rPr>
                <w:rFonts w:cs="Calibri"/>
                <w:i/>
                <w:iCs/>
                <w:color w:val="000000"/>
                <w:sz w:val="24"/>
                <w:szCs w:val="24"/>
              </w:rPr>
              <w:t>Dual Fuel</w:t>
            </w:r>
          </w:p>
        </w:tc>
        <w:tc>
          <w:tcPr>
            <w:tcW w:w="2846" w:type="dxa"/>
            <w:gridSpan w:val="2"/>
            <w:tcBorders>
              <w:top w:val="single" w:color="auto" w:sz="4" w:space="0"/>
              <w:left w:val="nil"/>
              <w:bottom w:val="single" w:color="auto" w:sz="4" w:space="0"/>
              <w:right w:val="single" w:color="000000" w:sz="8" w:space="0"/>
            </w:tcBorders>
            <w:shd w:val="clear" w:color="auto" w:fill="auto"/>
            <w:noWrap/>
            <w:vAlign w:val="bottom"/>
            <w:hideMark/>
          </w:tcPr>
          <w:p w:rsidRPr="00387AB6" w:rsidR="00104742" w:rsidP="00573A19" w:rsidRDefault="00104742" w14:paraId="27674513" w14:textId="77777777">
            <w:pPr>
              <w:rPr>
                <w:rFonts w:cs="Calibri"/>
                <w:i/>
                <w:iCs/>
                <w:color w:val="000000"/>
                <w:sz w:val="24"/>
                <w:szCs w:val="24"/>
              </w:rPr>
            </w:pPr>
            <w:r w:rsidRPr="00387AB6">
              <w:rPr>
                <w:rFonts w:cs="Calibri"/>
                <w:i/>
                <w:iCs/>
                <w:color w:val="000000"/>
                <w:sz w:val="24"/>
                <w:szCs w:val="24"/>
              </w:rPr>
              <w:t>Gas Only</w:t>
            </w:r>
          </w:p>
        </w:tc>
      </w:tr>
      <w:tr w:rsidRPr="00387AB6" w:rsidR="00104742" w:rsidTr="00387AB6" w14:paraId="404996A0" w14:textId="77777777">
        <w:trPr>
          <w:trHeight w:val="300"/>
        </w:trPr>
        <w:tc>
          <w:tcPr>
            <w:tcW w:w="5750" w:type="dxa"/>
            <w:tcBorders>
              <w:top w:val="nil"/>
              <w:left w:val="single" w:color="auto" w:sz="8" w:space="0"/>
              <w:bottom w:val="nil"/>
              <w:right w:val="nil"/>
            </w:tcBorders>
            <w:shd w:val="clear" w:color="auto" w:fill="auto"/>
            <w:noWrap/>
            <w:vAlign w:val="bottom"/>
            <w:hideMark/>
          </w:tcPr>
          <w:p w:rsidRPr="00387AB6" w:rsidR="00104742" w:rsidP="00573A19" w:rsidRDefault="00104742" w14:paraId="6963EED4" w14:textId="77777777">
            <w:pPr>
              <w:rPr>
                <w:rFonts w:cs="Calibri"/>
                <w:b/>
                <w:bCs/>
                <w:color w:val="000000"/>
                <w:sz w:val="24"/>
                <w:szCs w:val="24"/>
              </w:rPr>
            </w:pPr>
            <w:r w:rsidRPr="00387AB6">
              <w:rPr>
                <w:rFonts w:cs="Calibri"/>
                <w:b/>
                <w:bCs/>
                <w:color w:val="000000"/>
                <w:sz w:val="24"/>
                <w:szCs w:val="24"/>
              </w:rPr>
              <w:t xml:space="preserve">Rate Schedule </w:t>
            </w:r>
            <w:r w:rsidRPr="00387AB6">
              <w:rPr>
                <w:rFonts w:ascii="Times New Roman" w:hAnsi="Times New Roman"/>
                <w:b/>
                <w:bCs/>
                <w:color w:val="000000"/>
                <w:sz w:val="24"/>
                <w:szCs w:val="24"/>
              </w:rPr>
              <w:t>↓</w:t>
            </w:r>
          </w:p>
        </w:tc>
        <w:tc>
          <w:tcPr>
            <w:tcW w:w="1443" w:type="dxa"/>
            <w:tcBorders>
              <w:top w:val="nil"/>
              <w:left w:val="single" w:color="auto" w:sz="8" w:space="0"/>
              <w:bottom w:val="nil"/>
              <w:right w:val="single" w:color="auto" w:sz="4" w:space="0"/>
            </w:tcBorders>
            <w:shd w:val="clear" w:color="auto" w:fill="auto"/>
            <w:noWrap/>
            <w:vAlign w:val="bottom"/>
            <w:hideMark/>
          </w:tcPr>
          <w:p w:rsidRPr="00387AB6" w:rsidR="00104742" w:rsidP="00573A19" w:rsidRDefault="00104742" w14:paraId="39CE2736" w14:textId="77777777">
            <w:pPr>
              <w:rPr>
                <w:rFonts w:cs="Calibri"/>
                <w:i/>
                <w:iCs/>
                <w:color w:val="000000"/>
                <w:sz w:val="24"/>
                <w:szCs w:val="24"/>
              </w:rPr>
            </w:pPr>
            <w:r w:rsidRPr="00387AB6">
              <w:rPr>
                <w:rFonts w:cs="Calibri"/>
                <w:i/>
                <w:iCs/>
                <w:color w:val="000000"/>
                <w:sz w:val="24"/>
                <w:szCs w:val="24"/>
              </w:rPr>
              <w:t>Singlefamily</w:t>
            </w:r>
          </w:p>
        </w:tc>
        <w:tc>
          <w:tcPr>
            <w:tcW w:w="1403" w:type="dxa"/>
            <w:tcBorders>
              <w:top w:val="nil"/>
              <w:left w:val="nil"/>
              <w:bottom w:val="single" w:color="auto" w:sz="4" w:space="0"/>
              <w:right w:val="nil"/>
            </w:tcBorders>
            <w:shd w:val="clear" w:color="auto" w:fill="auto"/>
            <w:noWrap/>
            <w:vAlign w:val="bottom"/>
            <w:hideMark/>
          </w:tcPr>
          <w:p w:rsidRPr="00387AB6" w:rsidR="00104742" w:rsidP="00573A19" w:rsidRDefault="00104742" w14:paraId="34C3278C" w14:textId="77777777">
            <w:pPr>
              <w:rPr>
                <w:rFonts w:cs="Calibri"/>
                <w:i/>
                <w:iCs/>
                <w:color w:val="000000"/>
                <w:sz w:val="24"/>
                <w:szCs w:val="24"/>
              </w:rPr>
            </w:pPr>
            <w:r w:rsidRPr="00387AB6">
              <w:rPr>
                <w:rFonts w:cs="Calibri"/>
                <w:i/>
                <w:iCs/>
                <w:color w:val="000000"/>
                <w:sz w:val="24"/>
                <w:szCs w:val="24"/>
              </w:rPr>
              <w:t>Multifamily</w:t>
            </w:r>
          </w:p>
        </w:tc>
        <w:tc>
          <w:tcPr>
            <w:tcW w:w="1443" w:type="dxa"/>
            <w:tcBorders>
              <w:top w:val="nil"/>
              <w:left w:val="single" w:color="auto" w:sz="4" w:space="0"/>
              <w:bottom w:val="single" w:color="auto" w:sz="4" w:space="0"/>
              <w:right w:val="single" w:color="auto" w:sz="4" w:space="0"/>
            </w:tcBorders>
            <w:shd w:val="clear" w:color="auto" w:fill="auto"/>
            <w:noWrap/>
            <w:vAlign w:val="bottom"/>
            <w:hideMark/>
          </w:tcPr>
          <w:p w:rsidRPr="00387AB6" w:rsidR="00104742" w:rsidP="00573A19" w:rsidRDefault="00104742" w14:paraId="3DD0F309" w14:textId="77777777">
            <w:pPr>
              <w:rPr>
                <w:rFonts w:cs="Calibri"/>
                <w:i/>
                <w:iCs/>
                <w:color w:val="000000"/>
                <w:sz w:val="24"/>
                <w:szCs w:val="24"/>
              </w:rPr>
            </w:pPr>
            <w:r w:rsidRPr="00387AB6">
              <w:rPr>
                <w:rFonts w:cs="Calibri"/>
                <w:i/>
                <w:iCs/>
                <w:color w:val="000000"/>
                <w:sz w:val="24"/>
                <w:szCs w:val="24"/>
              </w:rPr>
              <w:t>Singlefamily</w:t>
            </w:r>
          </w:p>
        </w:tc>
        <w:tc>
          <w:tcPr>
            <w:tcW w:w="1403" w:type="dxa"/>
            <w:tcBorders>
              <w:top w:val="nil"/>
              <w:left w:val="nil"/>
              <w:bottom w:val="single" w:color="auto" w:sz="4" w:space="0"/>
              <w:right w:val="single" w:color="auto" w:sz="4" w:space="0"/>
            </w:tcBorders>
            <w:shd w:val="clear" w:color="auto" w:fill="auto"/>
            <w:noWrap/>
            <w:vAlign w:val="bottom"/>
            <w:hideMark/>
          </w:tcPr>
          <w:p w:rsidRPr="00387AB6" w:rsidR="00104742" w:rsidP="00573A19" w:rsidRDefault="00104742" w14:paraId="14087D8F" w14:textId="77777777">
            <w:pPr>
              <w:rPr>
                <w:rFonts w:cs="Calibri"/>
                <w:i/>
                <w:iCs/>
                <w:color w:val="000000"/>
                <w:sz w:val="24"/>
                <w:szCs w:val="24"/>
              </w:rPr>
            </w:pPr>
            <w:r w:rsidRPr="00387AB6">
              <w:rPr>
                <w:rFonts w:cs="Calibri"/>
                <w:i/>
                <w:iCs/>
                <w:color w:val="000000"/>
                <w:sz w:val="24"/>
                <w:szCs w:val="24"/>
              </w:rPr>
              <w:t>Multifamily</w:t>
            </w:r>
          </w:p>
        </w:tc>
        <w:tc>
          <w:tcPr>
            <w:tcW w:w="1443" w:type="dxa"/>
            <w:tcBorders>
              <w:top w:val="nil"/>
              <w:left w:val="nil"/>
              <w:bottom w:val="nil"/>
              <w:right w:val="single" w:color="auto" w:sz="4" w:space="0"/>
            </w:tcBorders>
            <w:shd w:val="clear" w:color="auto" w:fill="auto"/>
            <w:noWrap/>
            <w:vAlign w:val="bottom"/>
            <w:hideMark/>
          </w:tcPr>
          <w:p w:rsidRPr="00387AB6" w:rsidR="00104742" w:rsidP="00573A19" w:rsidRDefault="00104742" w14:paraId="24C58FE6" w14:textId="77777777">
            <w:pPr>
              <w:rPr>
                <w:rFonts w:cs="Calibri"/>
                <w:i/>
                <w:iCs/>
                <w:color w:val="000000"/>
                <w:sz w:val="24"/>
                <w:szCs w:val="24"/>
              </w:rPr>
            </w:pPr>
            <w:r w:rsidRPr="00387AB6">
              <w:rPr>
                <w:rFonts w:cs="Calibri"/>
                <w:i/>
                <w:iCs/>
                <w:color w:val="000000"/>
                <w:sz w:val="24"/>
                <w:szCs w:val="24"/>
              </w:rPr>
              <w:t>Singlefamily</w:t>
            </w:r>
          </w:p>
        </w:tc>
        <w:tc>
          <w:tcPr>
            <w:tcW w:w="1403" w:type="dxa"/>
            <w:tcBorders>
              <w:top w:val="nil"/>
              <w:left w:val="nil"/>
              <w:bottom w:val="nil"/>
              <w:right w:val="double" w:color="auto" w:sz="6" w:space="0"/>
            </w:tcBorders>
            <w:shd w:val="clear" w:color="auto" w:fill="auto"/>
            <w:noWrap/>
            <w:vAlign w:val="bottom"/>
            <w:hideMark/>
          </w:tcPr>
          <w:p w:rsidRPr="00387AB6" w:rsidR="00104742" w:rsidP="00573A19" w:rsidRDefault="00104742" w14:paraId="4A2E1FD4" w14:textId="77777777">
            <w:pPr>
              <w:rPr>
                <w:rFonts w:cs="Calibri"/>
                <w:i/>
                <w:iCs/>
                <w:color w:val="000000"/>
                <w:sz w:val="24"/>
                <w:szCs w:val="24"/>
              </w:rPr>
            </w:pPr>
            <w:r w:rsidRPr="00387AB6">
              <w:rPr>
                <w:rFonts w:cs="Calibri"/>
                <w:i/>
                <w:iCs/>
                <w:color w:val="000000"/>
                <w:sz w:val="24"/>
                <w:szCs w:val="24"/>
              </w:rPr>
              <w:t>Multifamily</w:t>
            </w:r>
          </w:p>
        </w:tc>
        <w:tc>
          <w:tcPr>
            <w:tcW w:w="1443" w:type="dxa"/>
            <w:tcBorders>
              <w:top w:val="nil"/>
              <w:left w:val="nil"/>
              <w:bottom w:val="single" w:color="auto" w:sz="4" w:space="0"/>
              <w:right w:val="single" w:color="auto" w:sz="4" w:space="0"/>
            </w:tcBorders>
            <w:shd w:val="clear" w:color="auto" w:fill="auto"/>
            <w:noWrap/>
            <w:vAlign w:val="bottom"/>
            <w:hideMark/>
          </w:tcPr>
          <w:p w:rsidRPr="00387AB6" w:rsidR="00104742" w:rsidP="00573A19" w:rsidRDefault="00104742" w14:paraId="6687E779" w14:textId="77777777">
            <w:pPr>
              <w:rPr>
                <w:rFonts w:cs="Calibri"/>
                <w:i/>
                <w:iCs/>
                <w:color w:val="000000"/>
                <w:sz w:val="24"/>
                <w:szCs w:val="24"/>
              </w:rPr>
            </w:pPr>
            <w:r w:rsidRPr="00387AB6">
              <w:rPr>
                <w:rFonts w:cs="Calibri"/>
                <w:i/>
                <w:iCs/>
                <w:color w:val="000000"/>
                <w:sz w:val="24"/>
                <w:szCs w:val="24"/>
              </w:rPr>
              <w:t>Singlefamily</w:t>
            </w:r>
          </w:p>
        </w:tc>
        <w:tc>
          <w:tcPr>
            <w:tcW w:w="1403" w:type="dxa"/>
            <w:tcBorders>
              <w:top w:val="nil"/>
              <w:left w:val="nil"/>
              <w:bottom w:val="single" w:color="auto" w:sz="4" w:space="0"/>
              <w:right w:val="single" w:color="auto" w:sz="8" w:space="0"/>
            </w:tcBorders>
            <w:shd w:val="clear" w:color="auto" w:fill="auto"/>
            <w:noWrap/>
            <w:vAlign w:val="bottom"/>
            <w:hideMark/>
          </w:tcPr>
          <w:p w:rsidRPr="00387AB6" w:rsidR="00104742" w:rsidP="00573A19" w:rsidRDefault="00104742" w14:paraId="06C7F689" w14:textId="77777777">
            <w:pPr>
              <w:rPr>
                <w:rFonts w:cs="Calibri"/>
                <w:i/>
                <w:iCs/>
                <w:color w:val="000000"/>
                <w:sz w:val="24"/>
                <w:szCs w:val="24"/>
              </w:rPr>
            </w:pPr>
            <w:r w:rsidRPr="00387AB6">
              <w:rPr>
                <w:rFonts w:cs="Calibri"/>
                <w:i/>
                <w:iCs/>
                <w:color w:val="000000"/>
                <w:sz w:val="24"/>
                <w:szCs w:val="24"/>
              </w:rPr>
              <w:t>Multifamily</w:t>
            </w:r>
          </w:p>
        </w:tc>
      </w:tr>
      <w:tr w:rsidRPr="00387AB6" w:rsidR="00104742" w:rsidTr="00387AB6" w14:paraId="33121388" w14:textId="77777777">
        <w:trPr>
          <w:trHeight w:val="300"/>
        </w:trPr>
        <w:tc>
          <w:tcPr>
            <w:tcW w:w="5750" w:type="dxa"/>
            <w:tcBorders>
              <w:top w:val="single" w:color="auto" w:sz="4" w:space="0"/>
              <w:left w:val="single" w:color="auto" w:sz="8" w:space="0"/>
              <w:bottom w:val="single" w:color="auto" w:sz="4" w:space="0"/>
              <w:right w:val="nil"/>
            </w:tcBorders>
            <w:shd w:val="clear" w:color="000000" w:fill="D0CECE"/>
            <w:noWrap/>
            <w:vAlign w:val="bottom"/>
            <w:hideMark/>
          </w:tcPr>
          <w:p w:rsidRPr="00387AB6" w:rsidR="00104742" w:rsidP="00573A19" w:rsidRDefault="00104742" w14:paraId="62243C15" w14:textId="77777777">
            <w:pPr>
              <w:rPr>
                <w:rFonts w:cs="Calibri"/>
                <w:i/>
                <w:iCs/>
                <w:color w:val="000000"/>
                <w:sz w:val="24"/>
                <w:szCs w:val="24"/>
              </w:rPr>
            </w:pPr>
            <w:r w:rsidRPr="00387AB6">
              <w:rPr>
                <w:rFonts w:cs="Calibri"/>
                <w:i/>
                <w:iCs/>
                <w:color w:val="000000"/>
                <w:sz w:val="24"/>
                <w:szCs w:val="24"/>
              </w:rPr>
              <w:t>Non-TOU rates</w:t>
            </w:r>
          </w:p>
        </w:tc>
        <w:tc>
          <w:tcPr>
            <w:tcW w:w="1443" w:type="dxa"/>
            <w:tcBorders>
              <w:top w:val="single" w:color="auto" w:sz="4" w:space="0"/>
              <w:left w:val="single" w:color="auto" w:sz="8" w:space="0"/>
              <w:bottom w:val="single" w:color="auto" w:sz="4" w:space="0"/>
              <w:right w:val="nil"/>
            </w:tcBorders>
            <w:shd w:val="clear" w:color="000000" w:fill="D0CECE"/>
            <w:noWrap/>
            <w:vAlign w:val="bottom"/>
            <w:hideMark/>
          </w:tcPr>
          <w:p w:rsidRPr="00387AB6" w:rsidR="00104742" w:rsidP="00573A19" w:rsidRDefault="00104742" w14:paraId="2321E82B" w14:textId="77777777">
            <w:pPr>
              <w:rPr>
                <w:rFonts w:cs="Calibri"/>
                <w:i/>
                <w:iCs/>
                <w:color w:val="000000"/>
                <w:sz w:val="24"/>
                <w:szCs w:val="24"/>
              </w:rPr>
            </w:pPr>
            <w:r w:rsidRPr="00387AB6">
              <w:rPr>
                <w:rFonts w:cs="Calibri"/>
                <w:i/>
                <w:iCs/>
                <w:color w:val="000000"/>
                <w:sz w:val="24"/>
                <w:szCs w:val="24"/>
              </w:rPr>
              <w:t> </w:t>
            </w:r>
          </w:p>
        </w:tc>
        <w:tc>
          <w:tcPr>
            <w:tcW w:w="1403" w:type="dxa"/>
            <w:tcBorders>
              <w:top w:val="nil"/>
              <w:left w:val="nil"/>
              <w:bottom w:val="single" w:color="auto" w:sz="4" w:space="0"/>
              <w:right w:val="nil"/>
            </w:tcBorders>
            <w:shd w:val="clear" w:color="000000" w:fill="D0CECE"/>
            <w:noWrap/>
            <w:vAlign w:val="bottom"/>
            <w:hideMark/>
          </w:tcPr>
          <w:p w:rsidRPr="00387AB6" w:rsidR="00104742" w:rsidP="00573A19" w:rsidRDefault="00104742" w14:paraId="66D47ABB" w14:textId="77777777">
            <w:pPr>
              <w:rPr>
                <w:rFonts w:cs="Calibri"/>
                <w:i/>
                <w:iCs/>
                <w:color w:val="000000"/>
                <w:sz w:val="24"/>
                <w:szCs w:val="24"/>
              </w:rPr>
            </w:pPr>
            <w:r w:rsidRPr="00387AB6">
              <w:rPr>
                <w:rFonts w:cs="Calibri"/>
                <w:i/>
                <w:iCs/>
                <w:color w:val="000000"/>
                <w:sz w:val="24"/>
                <w:szCs w:val="24"/>
              </w:rPr>
              <w:t> </w:t>
            </w:r>
          </w:p>
        </w:tc>
        <w:tc>
          <w:tcPr>
            <w:tcW w:w="1443" w:type="dxa"/>
            <w:tcBorders>
              <w:top w:val="nil"/>
              <w:left w:val="nil"/>
              <w:bottom w:val="single" w:color="auto" w:sz="4" w:space="0"/>
              <w:right w:val="nil"/>
            </w:tcBorders>
            <w:shd w:val="clear" w:color="000000" w:fill="D0CECE"/>
            <w:noWrap/>
            <w:vAlign w:val="bottom"/>
            <w:hideMark/>
          </w:tcPr>
          <w:p w:rsidRPr="00387AB6" w:rsidR="00104742" w:rsidP="00573A19" w:rsidRDefault="00104742" w14:paraId="00755239" w14:textId="77777777">
            <w:pPr>
              <w:rPr>
                <w:rFonts w:cs="Calibri"/>
                <w:i/>
                <w:iCs/>
                <w:color w:val="000000"/>
                <w:sz w:val="24"/>
                <w:szCs w:val="24"/>
              </w:rPr>
            </w:pPr>
            <w:r w:rsidRPr="00387AB6">
              <w:rPr>
                <w:rFonts w:cs="Calibri"/>
                <w:i/>
                <w:iCs/>
                <w:color w:val="000000"/>
                <w:sz w:val="24"/>
                <w:szCs w:val="24"/>
              </w:rPr>
              <w:t> </w:t>
            </w:r>
          </w:p>
        </w:tc>
        <w:tc>
          <w:tcPr>
            <w:tcW w:w="1403" w:type="dxa"/>
            <w:tcBorders>
              <w:top w:val="nil"/>
              <w:left w:val="nil"/>
              <w:bottom w:val="single" w:color="auto" w:sz="4" w:space="0"/>
              <w:right w:val="nil"/>
            </w:tcBorders>
            <w:shd w:val="clear" w:color="000000" w:fill="D0CECE"/>
            <w:noWrap/>
            <w:vAlign w:val="bottom"/>
            <w:hideMark/>
          </w:tcPr>
          <w:p w:rsidRPr="00387AB6" w:rsidR="00104742" w:rsidP="00573A19" w:rsidRDefault="00104742" w14:paraId="2FDFF29B" w14:textId="77777777">
            <w:pPr>
              <w:rPr>
                <w:rFonts w:cs="Calibri"/>
                <w:i/>
                <w:iCs/>
                <w:color w:val="000000"/>
                <w:sz w:val="24"/>
                <w:szCs w:val="24"/>
              </w:rPr>
            </w:pPr>
            <w:r w:rsidRPr="00387AB6">
              <w:rPr>
                <w:rFonts w:cs="Calibri"/>
                <w:i/>
                <w:iCs/>
                <w:color w:val="000000"/>
                <w:sz w:val="24"/>
                <w:szCs w:val="24"/>
              </w:rPr>
              <w:t> </w:t>
            </w:r>
          </w:p>
        </w:tc>
        <w:tc>
          <w:tcPr>
            <w:tcW w:w="1443" w:type="dxa"/>
            <w:tcBorders>
              <w:top w:val="single" w:color="auto" w:sz="4" w:space="0"/>
              <w:left w:val="nil"/>
              <w:bottom w:val="single" w:color="auto" w:sz="4" w:space="0"/>
              <w:right w:val="nil"/>
            </w:tcBorders>
            <w:shd w:val="clear" w:color="000000" w:fill="D0CECE"/>
            <w:noWrap/>
            <w:vAlign w:val="bottom"/>
            <w:hideMark/>
          </w:tcPr>
          <w:p w:rsidRPr="00387AB6" w:rsidR="00104742" w:rsidP="00573A19" w:rsidRDefault="00104742" w14:paraId="3D6AE9FE" w14:textId="77777777">
            <w:pPr>
              <w:rPr>
                <w:rFonts w:cs="Calibri"/>
                <w:i/>
                <w:iCs/>
                <w:color w:val="000000"/>
                <w:sz w:val="24"/>
                <w:szCs w:val="24"/>
              </w:rPr>
            </w:pPr>
            <w:r w:rsidRPr="00387AB6">
              <w:rPr>
                <w:rFonts w:cs="Calibri"/>
                <w:i/>
                <w:iCs/>
                <w:color w:val="000000"/>
                <w:sz w:val="24"/>
                <w:szCs w:val="24"/>
              </w:rPr>
              <w:t> </w:t>
            </w:r>
          </w:p>
        </w:tc>
        <w:tc>
          <w:tcPr>
            <w:tcW w:w="1403" w:type="dxa"/>
            <w:tcBorders>
              <w:top w:val="single" w:color="auto" w:sz="4" w:space="0"/>
              <w:left w:val="nil"/>
              <w:bottom w:val="single" w:color="auto" w:sz="4" w:space="0"/>
              <w:right w:val="nil"/>
            </w:tcBorders>
            <w:shd w:val="clear" w:color="000000" w:fill="D0CECE"/>
            <w:noWrap/>
            <w:vAlign w:val="bottom"/>
            <w:hideMark/>
          </w:tcPr>
          <w:p w:rsidRPr="00387AB6" w:rsidR="00104742" w:rsidP="00573A19" w:rsidRDefault="00104742" w14:paraId="499F97C4" w14:textId="77777777">
            <w:pPr>
              <w:rPr>
                <w:rFonts w:cs="Calibri"/>
                <w:i/>
                <w:iCs/>
                <w:color w:val="000000"/>
                <w:sz w:val="24"/>
                <w:szCs w:val="24"/>
              </w:rPr>
            </w:pPr>
            <w:r w:rsidRPr="00387AB6">
              <w:rPr>
                <w:rFonts w:cs="Calibri"/>
                <w:i/>
                <w:iCs/>
                <w:color w:val="000000"/>
                <w:sz w:val="24"/>
                <w:szCs w:val="24"/>
              </w:rPr>
              <w:t> </w:t>
            </w:r>
          </w:p>
        </w:tc>
        <w:tc>
          <w:tcPr>
            <w:tcW w:w="1443" w:type="dxa"/>
            <w:tcBorders>
              <w:top w:val="nil"/>
              <w:left w:val="nil"/>
              <w:bottom w:val="single" w:color="auto" w:sz="4" w:space="0"/>
              <w:right w:val="nil"/>
            </w:tcBorders>
            <w:shd w:val="clear" w:color="000000" w:fill="D0CECE"/>
            <w:noWrap/>
            <w:vAlign w:val="bottom"/>
            <w:hideMark/>
          </w:tcPr>
          <w:p w:rsidRPr="00387AB6" w:rsidR="00104742" w:rsidP="00573A19" w:rsidRDefault="00104742" w14:paraId="0A8E1E50" w14:textId="77777777">
            <w:pPr>
              <w:rPr>
                <w:rFonts w:cs="Calibri"/>
                <w:i/>
                <w:iCs/>
                <w:color w:val="000000"/>
                <w:sz w:val="24"/>
                <w:szCs w:val="24"/>
              </w:rPr>
            </w:pPr>
            <w:r w:rsidRPr="00387AB6">
              <w:rPr>
                <w:rFonts w:cs="Calibri"/>
                <w:i/>
                <w:iCs/>
                <w:color w:val="000000"/>
                <w:sz w:val="24"/>
                <w:szCs w:val="24"/>
              </w:rPr>
              <w:t> </w:t>
            </w:r>
          </w:p>
        </w:tc>
        <w:tc>
          <w:tcPr>
            <w:tcW w:w="1403" w:type="dxa"/>
            <w:tcBorders>
              <w:top w:val="nil"/>
              <w:left w:val="nil"/>
              <w:bottom w:val="single" w:color="auto" w:sz="4" w:space="0"/>
              <w:right w:val="single" w:color="auto" w:sz="8" w:space="0"/>
            </w:tcBorders>
            <w:shd w:val="clear" w:color="000000" w:fill="D0CECE"/>
            <w:noWrap/>
            <w:vAlign w:val="bottom"/>
            <w:hideMark/>
          </w:tcPr>
          <w:p w:rsidRPr="00387AB6" w:rsidR="00104742" w:rsidP="00573A19" w:rsidRDefault="00104742" w14:paraId="092D89F4" w14:textId="77777777">
            <w:pPr>
              <w:rPr>
                <w:rFonts w:cs="Calibri"/>
                <w:i/>
                <w:iCs/>
                <w:color w:val="000000"/>
                <w:sz w:val="24"/>
                <w:szCs w:val="24"/>
              </w:rPr>
            </w:pPr>
            <w:r w:rsidRPr="00387AB6">
              <w:rPr>
                <w:rFonts w:cs="Calibri"/>
                <w:i/>
                <w:iCs/>
                <w:color w:val="000000"/>
                <w:sz w:val="24"/>
                <w:szCs w:val="24"/>
              </w:rPr>
              <w:t> </w:t>
            </w:r>
          </w:p>
        </w:tc>
      </w:tr>
      <w:tr w:rsidRPr="00387AB6" w:rsidR="00104742" w:rsidTr="00387AB6" w14:paraId="1261D5FF" w14:textId="77777777">
        <w:trPr>
          <w:trHeight w:val="233"/>
        </w:trPr>
        <w:tc>
          <w:tcPr>
            <w:tcW w:w="5750" w:type="dxa"/>
            <w:tcBorders>
              <w:top w:val="nil"/>
              <w:left w:val="single" w:color="auto" w:sz="8" w:space="0"/>
              <w:bottom w:val="single" w:color="auto" w:sz="4" w:space="0"/>
              <w:right w:val="nil"/>
            </w:tcBorders>
            <w:shd w:val="clear" w:color="auto" w:fill="auto"/>
            <w:noWrap/>
            <w:vAlign w:val="bottom"/>
            <w:hideMark/>
          </w:tcPr>
          <w:p w:rsidRPr="00387AB6" w:rsidR="00104742" w:rsidP="00573A19" w:rsidRDefault="00104742" w14:paraId="57842398" w14:textId="77777777">
            <w:pPr>
              <w:rPr>
                <w:rFonts w:cs="Calibri"/>
                <w:color w:val="000000"/>
                <w:sz w:val="24"/>
                <w:szCs w:val="24"/>
              </w:rPr>
            </w:pPr>
            <w:r w:rsidRPr="00387AB6">
              <w:rPr>
                <w:rFonts w:cs="Calibri"/>
                <w:color w:val="000000"/>
                <w:sz w:val="24"/>
                <w:szCs w:val="24"/>
              </w:rPr>
              <w:t>E.g. E-1</w:t>
            </w:r>
          </w:p>
        </w:tc>
        <w:tc>
          <w:tcPr>
            <w:tcW w:w="1443" w:type="dxa"/>
            <w:tcBorders>
              <w:top w:val="nil"/>
              <w:left w:val="single" w:color="auto" w:sz="8" w:space="0"/>
              <w:bottom w:val="single" w:color="auto" w:sz="4" w:space="0"/>
              <w:right w:val="single" w:color="auto" w:sz="4" w:space="0"/>
            </w:tcBorders>
            <w:shd w:val="clear" w:color="auto" w:fill="auto"/>
            <w:vAlign w:val="bottom"/>
            <w:hideMark/>
          </w:tcPr>
          <w:p w:rsidRPr="00387AB6" w:rsidR="00104742" w:rsidP="00573A19" w:rsidRDefault="00104742" w14:paraId="03565A3C" w14:textId="0BC25EA4">
            <w:pPr>
              <w:rPr>
                <w:rFonts w:cs="Calibri"/>
                <w:color w:val="000000"/>
                <w:sz w:val="24"/>
                <w:szCs w:val="24"/>
              </w:rPr>
            </w:pPr>
            <w:r w:rsidRPr="00387AB6">
              <w:rPr>
                <w:rFonts w:cs="Calibri"/>
                <w:color w:val="000000"/>
                <w:sz w:val="24"/>
                <w:szCs w:val="24"/>
              </w:rPr>
              <w:t>[Dollars]</w:t>
            </w:r>
          </w:p>
        </w:tc>
        <w:tc>
          <w:tcPr>
            <w:tcW w:w="1403" w:type="dxa"/>
            <w:tcBorders>
              <w:top w:val="nil"/>
              <w:left w:val="nil"/>
              <w:bottom w:val="single" w:color="auto" w:sz="4" w:space="0"/>
              <w:right w:val="double" w:color="auto" w:sz="6" w:space="0"/>
            </w:tcBorders>
            <w:shd w:val="clear" w:color="auto" w:fill="auto"/>
            <w:noWrap/>
            <w:vAlign w:val="bottom"/>
            <w:hideMark/>
          </w:tcPr>
          <w:p w:rsidRPr="00387AB6" w:rsidR="00104742" w:rsidP="00573A19" w:rsidRDefault="00104742" w14:paraId="22D0655F" w14:textId="77777777">
            <w:pPr>
              <w:rPr>
                <w:rFonts w:cs="Calibri"/>
                <w:color w:val="000000"/>
                <w:sz w:val="24"/>
                <w:szCs w:val="24"/>
              </w:rPr>
            </w:pPr>
            <w:r w:rsidRPr="00387AB6">
              <w:rPr>
                <w:rFonts w:cs="Calibri"/>
                <w:color w:val="000000"/>
                <w:sz w:val="24"/>
                <w:szCs w:val="24"/>
              </w:rPr>
              <w:t> </w:t>
            </w:r>
          </w:p>
        </w:tc>
        <w:tc>
          <w:tcPr>
            <w:tcW w:w="1443" w:type="dxa"/>
            <w:tcBorders>
              <w:top w:val="nil"/>
              <w:left w:val="nil"/>
              <w:bottom w:val="single" w:color="auto" w:sz="4" w:space="0"/>
              <w:right w:val="nil"/>
            </w:tcBorders>
            <w:shd w:val="clear" w:color="auto" w:fill="auto"/>
            <w:noWrap/>
            <w:vAlign w:val="bottom"/>
            <w:hideMark/>
          </w:tcPr>
          <w:p w:rsidRPr="00387AB6" w:rsidR="00104742" w:rsidP="00573A19" w:rsidRDefault="00104742" w14:paraId="2FCDC27B" w14:textId="77777777">
            <w:pPr>
              <w:rPr>
                <w:rFonts w:cs="Calibri"/>
                <w:color w:val="000000"/>
                <w:sz w:val="24"/>
                <w:szCs w:val="24"/>
              </w:rPr>
            </w:pPr>
            <w:r w:rsidRPr="00387AB6">
              <w:rPr>
                <w:rFonts w:cs="Calibri"/>
                <w:color w:val="000000"/>
                <w:sz w:val="24"/>
                <w:szCs w:val="24"/>
              </w:rPr>
              <w:t> </w:t>
            </w:r>
          </w:p>
        </w:tc>
        <w:tc>
          <w:tcPr>
            <w:tcW w:w="1403" w:type="dxa"/>
            <w:tcBorders>
              <w:top w:val="nil"/>
              <w:left w:val="nil"/>
              <w:bottom w:val="single" w:color="auto" w:sz="4" w:space="0"/>
              <w:right w:val="nil"/>
            </w:tcBorders>
            <w:shd w:val="clear" w:color="auto" w:fill="auto"/>
            <w:noWrap/>
            <w:vAlign w:val="bottom"/>
            <w:hideMark/>
          </w:tcPr>
          <w:p w:rsidRPr="00387AB6" w:rsidR="00104742" w:rsidP="00573A19" w:rsidRDefault="00104742" w14:paraId="03AAC1C7" w14:textId="77777777">
            <w:pPr>
              <w:rPr>
                <w:rFonts w:cs="Calibri"/>
                <w:color w:val="000000"/>
                <w:sz w:val="24"/>
                <w:szCs w:val="24"/>
              </w:rPr>
            </w:pPr>
            <w:r w:rsidRPr="00387AB6">
              <w:rPr>
                <w:rFonts w:cs="Calibri"/>
                <w:color w:val="000000"/>
                <w:sz w:val="24"/>
                <w:szCs w:val="24"/>
              </w:rPr>
              <w:t> </w:t>
            </w:r>
          </w:p>
        </w:tc>
        <w:tc>
          <w:tcPr>
            <w:tcW w:w="1443" w:type="dxa"/>
            <w:tcBorders>
              <w:top w:val="nil"/>
              <w:left w:val="double" w:color="auto" w:sz="6" w:space="0"/>
              <w:bottom w:val="single" w:color="auto" w:sz="4" w:space="0"/>
              <w:right w:val="single" w:color="auto" w:sz="4" w:space="0"/>
            </w:tcBorders>
            <w:shd w:val="clear" w:color="auto" w:fill="auto"/>
            <w:noWrap/>
            <w:vAlign w:val="bottom"/>
            <w:hideMark/>
          </w:tcPr>
          <w:p w:rsidRPr="00387AB6" w:rsidR="00104742" w:rsidP="00573A19" w:rsidRDefault="00104742" w14:paraId="48D8A1A5" w14:textId="77777777">
            <w:pPr>
              <w:rPr>
                <w:rFonts w:cs="Calibri"/>
                <w:color w:val="000000"/>
                <w:sz w:val="24"/>
                <w:szCs w:val="24"/>
              </w:rPr>
            </w:pPr>
            <w:r w:rsidRPr="00387AB6">
              <w:rPr>
                <w:rFonts w:cs="Calibri"/>
                <w:color w:val="000000"/>
                <w:sz w:val="24"/>
                <w:szCs w:val="24"/>
              </w:rPr>
              <w:t> </w:t>
            </w:r>
          </w:p>
        </w:tc>
        <w:tc>
          <w:tcPr>
            <w:tcW w:w="1403" w:type="dxa"/>
            <w:tcBorders>
              <w:top w:val="nil"/>
              <w:left w:val="nil"/>
              <w:bottom w:val="single" w:color="auto" w:sz="4" w:space="0"/>
              <w:right w:val="double" w:color="auto" w:sz="6" w:space="0"/>
            </w:tcBorders>
            <w:shd w:val="clear" w:color="auto" w:fill="auto"/>
            <w:noWrap/>
            <w:vAlign w:val="bottom"/>
            <w:hideMark/>
          </w:tcPr>
          <w:p w:rsidRPr="00387AB6" w:rsidR="00104742" w:rsidP="00573A19" w:rsidRDefault="00104742" w14:paraId="39BE132E" w14:textId="77777777">
            <w:pPr>
              <w:rPr>
                <w:rFonts w:cs="Calibri"/>
                <w:color w:val="000000"/>
                <w:sz w:val="24"/>
                <w:szCs w:val="24"/>
              </w:rPr>
            </w:pPr>
            <w:r w:rsidRPr="00387AB6">
              <w:rPr>
                <w:rFonts w:cs="Calibri"/>
                <w:color w:val="000000"/>
                <w:sz w:val="24"/>
                <w:szCs w:val="24"/>
              </w:rPr>
              <w:t> </w:t>
            </w:r>
          </w:p>
        </w:tc>
        <w:tc>
          <w:tcPr>
            <w:tcW w:w="1443" w:type="dxa"/>
            <w:tcBorders>
              <w:top w:val="nil"/>
              <w:left w:val="nil"/>
              <w:bottom w:val="single" w:color="auto" w:sz="4" w:space="0"/>
              <w:right w:val="single" w:color="auto" w:sz="4" w:space="0"/>
            </w:tcBorders>
            <w:shd w:val="clear" w:color="auto" w:fill="auto"/>
            <w:noWrap/>
            <w:vAlign w:val="bottom"/>
            <w:hideMark/>
          </w:tcPr>
          <w:p w:rsidRPr="00387AB6" w:rsidR="00104742" w:rsidP="00573A19" w:rsidRDefault="00104742" w14:paraId="4BF29630" w14:textId="77777777">
            <w:pPr>
              <w:rPr>
                <w:rFonts w:cs="Calibri"/>
                <w:color w:val="000000"/>
                <w:sz w:val="24"/>
                <w:szCs w:val="24"/>
              </w:rPr>
            </w:pPr>
            <w:r w:rsidRPr="00387AB6">
              <w:rPr>
                <w:rFonts w:cs="Calibri"/>
                <w:color w:val="000000"/>
                <w:sz w:val="24"/>
                <w:szCs w:val="24"/>
              </w:rPr>
              <w:t> </w:t>
            </w:r>
          </w:p>
        </w:tc>
        <w:tc>
          <w:tcPr>
            <w:tcW w:w="1403" w:type="dxa"/>
            <w:tcBorders>
              <w:top w:val="nil"/>
              <w:left w:val="nil"/>
              <w:bottom w:val="single" w:color="auto" w:sz="4" w:space="0"/>
              <w:right w:val="single" w:color="auto" w:sz="8" w:space="0"/>
            </w:tcBorders>
            <w:shd w:val="clear" w:color="auto" w:fill="auto"/>
            <w:noWrap/>
            <w:vAlign w:val="bottom"/>
            <w:hideMark/>
          </w:tcPr>
          <w:p w:rsidRPr="00387AB6" w:rsidR="00104742" w:rsidP="00573A19" w:rsidRDefault="00104742" w14:paraId="34789E68" w14:textId="77777777">
            <w:pPr>
              <w:rPr>
                <w:rFonts w:cs="Calibri"/>
                <w:color w:val="000000"/>
                <w:sz w:val="24"/>
                <w:szCs w:val="24"/>
              </w:rPr>
            </w:pPr>
            <w:r w:rsidRPr="00387AB6">
              <w:rPr>
                <w:rFonts w:cs="Calibri"/>
                <w:color w:val="000000"/>
                <w:sz w:val="24"/>
                <w:szCs w:val="24"/>
              </w:rPr>
              <w:t> </w:t>
            </w:r>
          </w:p>
        </w:tc>
      </w:tr>
      <w:tr w:rsidRPr="00387AB6" w:rsidR="00104742" w:rsidTr="00387AB6" w14:paraId="07F29316" w14:textId="77777777">
        <w:trPr>
          <w:trHeight w:val="300"/>
        </w:trPr>
        <w:tc>
          <w:tcPr>
            <w:tcW w:w="5750" w:type="dxa"/>
            <w:tcBorders>
              <w:top w:val="nil"/>
              <w:left w:val="single" w:color="auto" w:sz="8" w:space="0"/>
              <w:bottom w:val="single" w:color="auto" w:sz="4" w:space="0"/>
              <w:right w:val="nil"/>
            </w:tcBorders>
            <w:shd w:val="clear" w:color="auto" w:fill="auto"/>
            <w:noWrap/>
            <w:vAlign w:val="bottom"/>
            <w:hideMark/>
          </w:tcPr>
          <w:p w:rsidRPr="00387AB6" w:rsidR="00104742" w:rsidP="00573A19" w:rsidRDefault="00104742" w14:paraId="4E5B65C9" w14:textId="77777777">
            <w:pPr>
              <w:rPr>
                <w:rFonts w:cs="Calibri"/>
                <w:color w:val="000000"/>
                <w:sz w:val="24"/>
                <w:szCs w:val="24"/>
              </w:rPr>
            </w:pPr>
            <w:r w:rsidRPr="00387AB6">
              <w:rPr>
                <w:rFonts w:cs="Calibri"/>
                <w:color w:val="000000"/>
                <w:sz w:val="24"/>
                <w:szCs w:val="24"/>
              </w:rPr>
              <w:t>[Add rows as needed]</w:t>
            </w:r>
          </w:p>
        </w:tc>
        <w:tc>
          <w:tcPr>
            <w:tcW w:w="1443" w:type="dxa"/>
            <w:tcBorders>
              <w:top w:val="nil"/>
              <w:left w:val="single" w:color="auto" w:sz="8" w:space="0"/>
              <w:bottom w:val="single" w:color="auto" w:sz="4" w:space="0"/>
              <w:right w:val="single" w:color="auto" w:sz="4" w:space="0"/>
            </w:tcBorders>
            <w:shd w:val="clear" w:color="auto" w:fill="auto"/>
            <w:vAlign w:val="bottom"/>
            <w:hideMark/>
          </w:tcPr>
          <w:p w:rsidRPr="00387AB6" w:rsidR="00104742" w:rsidP="00573A19" w:rsidRDefault="00104742" w14:paraId="235CBB2B" w14:textId="77777777">
            <w:pPr>
              <w:rPr>
                <w:rFonts w:cs="Calibri"/>
                <w:color w:val="000000"/>
                <w:sz w:val="24"/>
                <w:szCs w:val="24"/>
              </w:rPr>
            </w:pPr>
            <w:r w:rsidRPr="00387AB6">
              <w:rPr>
                <w:rFonts w:cs="Calibri"/>
                <w:color w:val="000000"/>
                <w:sz w:val="24"/>
                <w:szCs w:val="24"/>
              </w:rPr>
              <w:t> </w:t>
            </w:r>
          </w:p>
        </w:tc>
        <w:tc>
          <w:tcPr>
            <w:tcW w:w="1403" w:type="dxa"/>
            <w:tcBorders>
              <w:top w:val="nil"/>
              <w:left w:val="nil"/>
              <w:bottom w:val="single" w:color="auto" w:sz="4" w:space="0"/>
              <w:right w:val="double" w:color="auto" w:sz="6" w:space="0"/>
            </w:tcBorders>
            <w:shd w:val="clear" w:color="auto" w:fill="auto"/>
            <w:noWrap/>
            <w:vAlign w:val="bottom"/>
            <w:hideMark/>
          </w:tcPr>
          <w:p w:rsidRPr="00387AB6" w:rsidR="00104742" w:rsidP="00573A19" w:rsidRDefault="00104742" w14:paraId="378530B8" w14:textId="77777777">
            <w:pPr>
              <w:rPr>
                <w:rFonts w:cs="Calibri"/>
                <w:color w:val="000000"/>
                <w:sz w:val="24"/>
                <w:szCs w:val="24"/>
              </w:rPr>
            </w:pPr>
            <w:r w:rsidRPr="00387AB6">
              <w:rPr>
                <w:rFonts w:cs="Calibri"/>
                <w:color w:val="000000"/>
                <w:sz w:val="24"/>
                <w:szCs w:val="24"/>
              </w:rPr>
              <w:t> </w:t>
            </w:r>
          </w:p>
        </w:tc>
        <w:tc>
          <w:tcPr>
            <w:tcW w:w="1443" w:type="dxa"/>
            <w:tcBorders>
              <w:top w:val="nil"/>
              <w:left w:val="nil"/>
              <w:bottom w:val="single" w:color="auto" w:sz="4" w:space="0"/>
              <w:right w:val="nil"/>
            </w:tcBorders>
            <w:shd w:val="clear" w:color="auto" w:fill="auto"/>
            <w:noWrap/>
            <w:vAlign w:val="bottom"/>
            <w:hideMark/>
          </w:tcPr>
          <w:p w:rsidRPr="00387AB6" w:rsidR="00104742" w:rsidP="00573A19" w:rsidRDefault="00104742" w14:paraId="0BAAE35B" w14:textId="77777777">
            <w:pPr>
              <w:rPr>
                <w:rFonts w:cs="Calibri"/>
                <w:color w:val="000000"/>
                <w:sz w:val="24"/>
                <w:szCs w:val="24"/>
              </w:rPr>
            </w:pPr>
            <w:r w:rsidRPr="00387AB6">
              <w:rPr>
                <w:rFonts w:cs="Calibri"/>
                <w:color w:val="000000"/>
                <w:sz w:val="24"/>
                <w:szCs w:val="24"/>
              </w:rPr>
              <w:t> </w:t>
            </w:r>
          </w:p>
        </w:tc>
        <w:tc>
          <w:tcPr>
            <w:tcW w:w="1403" w:type="dxa"/>
            <w:tcBorders>
              <w:top w:val="nil"/>
              <w:left w:val="nil"/>
              <w:bottom w:val="single" w:color="auto" w:sz="4" w:space="0"/>
              <w:right w:val="nil"/>
            </w:tcBorders>
            <w:shd w:val="clear" w:color="auto" w:fill="auto"/>
            <w:noWrap/>
            <w:vAlign w:val="bottom"/>
            <w:hideMark/>
          </w:tcPr>
          <w:p w:rsidRPr="00387AB6" w:rsidR="00104742" w:rsidP="00573A19" w:rsidRDefault="00104742" w14:paraId="35E0CBBD" w14:textId="77777777">
            <w:pPr>
              <w:rPr>
                <w:rFonts w:cs="Calibri"/>
                <w:color w:val="000000"/>
                <w:sz w:val="24"/>
                <w:szCs w:val="24"/>
              </w:rPr>
            </w:pPr>
            <w:r w:rsidRPr="00387AB6">
              <w:rPr>
                <w:rFonts w:cs="Calibri"/>
                <w:color w:val="000000"/>
                <w:sz w:val="24"/>
                <w:szCs w:val="24"/>
              </w:rPr>
              <w:t> </w:t>
            </w:r>
          </w:p>
        </w:tc>
        <w:tc>
          <w:tcPr>
            <w:tcW w:w="1443" w:type="dxa"/>
            <w:tcBorders>
              <w:top w:val="nil"/>
              <w:left w:val="double" w:color="auto" w:sz="6" w:space="0"/>
              <w:bottom w:val="single" w:color="auto" w:sz="4" w:space="0"/>
              <w:right w:val="single" w:color="auto" w:sz="4" w:space="0"/>
            </w:tcBorders>
            <w:shd w:val="clear" w:color="auto" w:fill="auto"/>
            <w:noWrap/>
            <w:vAlign w:val="bottom"/>
            <w:hideMark/>
          </w:tcPr>
          <w:p w:rsidRPr="00387AB6" w:rsidR="00104742" w:rsidP="00573A19" w:rsidRDefault="00104742" w14:paraId="0BF4D58C" w14:textId="77777777">
            <w:pPr>
              <w:rPr>
                <w:rFonts w:cs="Calibri"/>
                <w:color w:val="000000"/>
                <w:sz w:val="24"/>
                <w:szCs w:val="24"/>
              </w:rPr>
            </w:pPr>
            <w:r w:rsidRPr="00387AB6">
              <w:rPr>
                <w:rFonts w:cs="Calibri"/>
                <w:color w:val="000000"/>
                <w:sz w:val="24"/>
                <w:szCs w:val="24"/>
              </w:rPr>
              <w:t> </w:t>
            </w:r>
          </w:p>
        </w:tc>
        <w:tc>
          <w:tcPr>
            <w:tcW w:w="1403" w:type="dxa"/>
            <w:tcBorders>
              <w:top w:val="nil"/>
              <w:left w:val="nil"/>
              <w:bottom w:val="single" w:color="auto" w:sz="4" w:space="0"/>
              <w:right w:val="double" w:color="auto" w:sz="6" w:space="0"/>
            </w:tcBorders>
            <w:shd w:val="clear" w:color="auto" w:fill="auto"/>
            <w:noWrap/>
            <w:vAlign w:val="bottom"/>
            <w:hideMark/>
          </w:tcPr>
          <w:p w:rsidRPr="00387AB6" w:rsidR="00104742" w:rsidP="00573A19" w:rsidRDefault="00104742" w14:paraId="4AB12510" w14:textId="77777777">
            <w:pPr>
              <w:rPr>
                <w:rFonts w:cs="Calibri"/>
                <w:color w:val="000000"/>
                <w:sz w:val="24"/>
                <w:szCs w:val="24"/>
              </w:rPr>
            </w:pPr>
            <w:r w:rsidRPr="00387AB6">
              <w:rPr>
                <w:rFonts w:cs="Calibri"/>
                <w:color w:val="000000"/>
                <w:sz w:val="24"/>
                <w:szCs w:val="24"/>
              </w:rPr>
              <w:t> </w:t>
            </w:r>
          </w:p>
        </w:tc>
        <w:tc>
          <w:tcPr>
            <w:tcW w:w="1443" w:type="dxa"/>
            <w:tcBorders>
              <w:top w:val="nil"/>
              <w:left w:val="nil"/>
              <w:bottom w:val="single" w:color="auto" w:sz="4" w:space="0"/>
              <w:right w:val="single" w:color="auto" w:sz="4" w:space="0"/>
            </w:tcBorders>
            <w:shd w:val="clear" w:color="auto" w:fill="auto"/>
            <w:noWrap/>
            <w:vAlign w:val="bottom"/>
            <w:hideMark/>
          </w:tcPr>
          <w:p w:rsidRPr="00387AB6" w:rsidR="00104742" w:rsidP="00573A19" w:rsidRDefault="00104742" w14:paraId="08E7C26A" w14:textId="77777777">
            <w:pPr>
              <w:rPr>
                <w:rFonts w:cs="Calibri"/>
                <w:color w:val="000000"/>
                <w:sz w:val="24"/>
                <w:szCs w:val="24"/>
              </w:rPr>
            </w:pPr>
            <w:r w:rsidRPr="00387AB6">
              <w:rPr>
                <w:rFonts w:cs="Calibri"/>
                <w:color w:val="000000"/>
                <w:sz w:val="24"/>
                <w:szCs w:val="24"/>
              </w:rPr>
              <w:t> </w:t>
            </w:r>
          </w:p>
        </w:tc>
        <w:tc>
          <w:tcPr>
            <w:tcW w:w="1403" w:type="dxa"/>
            <w:tcBorders>
              <w:top w:val="nil"/>
              <w:left w:val="nil"/>
              <w:bottom w:val="single" w:color="auto" w:sz="4" w:space="0"/>
              <w:right w:val="single" w:color="auto" w:sz="8" w:space="0"/>
            </w:tcBorders>
            <w:shd w:val="clear" w:color="auto" w:fill="auto"/>
            <w:noWrap/>
            <w:vAlign w:val="bottom"/>
            <w:hideMark/>
          </w:tcPr>
          <w:p w:rsidRPr="00387AB6" w:rsidR="00104742" w:rsidP="00573A19" w:rsidRDefault="00104742" w14:paraId="3E1A09B1" w14:textId="77777777">
            <w:pPr>
              <w:rPr>
                <w:rFonts w:cs="Calibri"/>
                <w:color w:val="000000"/>
                <w:sz w:val="24"/>
                <w:szCs w:val="24"/>
              </w:rPr>
            </w:pPr>
            <w:r w:rsidRPr="00387AB6">
              <w:rPr>
                <w:rFonts w:cs="Calibri"/>
                <w:color w:val="000000"/>
                <w:sz w:val="24"/>
                <w:szCs w:val="24"/>
              </w:rPr>
              <w:t> </w:t>
            </w:r>
          </w:p>
        </w:tc>
      </w:tr>
      <w:tr w:rsidRPr="00387AB6" w:rsidR="00104742" w:rsidTr="00387AB6" w14:paraId="6169FFA4" w14:textId="77777777">
        <w:trPr>
          <w:trHeight w:val="300"/>
        </w:trPr>
        <w:tc>
          <w:tcPr>
            <w:tcW w:w="5750" w:type="dxa"/>
            <w:tcBorders>
              <w:top w:val="nil"/>
              <w:left w:val="single" w:color="auto" w:sz="8" w:space="0"/>
              <w:bottom w:val="single" w:color="auto" w:sz="4" w:space="0"/>
              <w:right w:val="nil"/>
            </w:tcBorders>
            <w:shd w:val="clear" w:color="000000" w:fill="D0CECE"/>
            <w:noWrap/>
            <w:vAlign w:val="bottom"/>
            <w:hideMark/>
          </w:tcPr>
          <w:p w:rsidRPr="00387AB6" w:rsidR="00104742" w:rsidP="00573A19" w:rsidRDefault="00104742" w14:paraId="6888B0C1" w14:textId="77777777">
            <w:pPr>
              <w:rPr>
                <w:rFonts w:cs="Calibri"/>
                <w:i/>
                <w:iCs/>
                <w:color w:val="000000"/>
                <w:sz w:val="24"/>
                <w:szCs w:val="24"/>
              </w:rPr>
            </w:pPr>
            <w:r w:rsidRPr="00387AB6">
              <w:rPr>
                <w:rFonts w:cs="Calibri"/>
                <w:i/>
                <w:iCs/>
                <w:color w:val="000000"/>
                <w:sz w:val="24"/>
                <w:szCs w:val="24"/>
              </w:rPr>
              <w:t>TOU Rates</w:t>
            </w:r>
          </w:p>
        </w:tc>
        <w:tc>
          <w:tcPr>
            <w:tcW w:w="1443" w:type="dxa"/>
            <w:tcBorders>
              <w:top w:val="nil"/>
              <w:left w:val="single" w:color="auto" w:sz="8" w:space="0"/>
              <w:bottom w:val="single" w:color="auto" w:sz="4" w:space="0"/>
              <w:right w:val="nil"/>
            </w:tcBorders>
            <w:shd w:val="clear" w:color="000000" w:fill="D0CECE"/>
            <w:noWrap/>
            <w:vAlign w:val="bottom"/>
            <w:hideMark/>
          </w:tcPr>
          <w:p w:rsidRPr="00387AB6" w:rsidR="00104742" w:rsidP="00573A19" w:rsidRDefault="00104742" w14:paraId="5EF1D366" w14:textId="77777777">
            <w:pPr>
              <w:rPr>
                <w:rFonts w:cs="Calibri"/>
                <w:i/>
                <w:iCs/>
                <w:color w:val="000000"/>
                <w:sz w:val="24"/>
                <w:szCs w:val="24"/>
              </w:rPr>
            </w:pPr>
            <w:r w:rsidRPr="00387AB6">
              <w:rPr>
                <w:rFonts w:cs="Calibri"/>
                <w:i/>
                <w:iCs/>
                <w:color w:val="000000"/>
                <w:sz w:val="24"/>
                <w:szCs w:val="24"/>
              </w:rPr>
              <w:t> </w:t>
            </w:r>
          </w:p>
        </w:tc>
        <w:tc>
          <w:tcPr>
            <w:tcW w:w="1403" w:type="dxa"/>
            <w:tcBorders>
              <w:top w:val="nil"/>
              <w:left w:val="nil"/>
              <w:bottom w:val="single" w:color="auto" w:sz="4" w:space="0"/>
              <w:right w:val="nil"/>
            </w:tcBorders>
            <w:shd w:val="clear" w:color="000000" w:fill="D0CECE"/>
            <w:noWrap/>
            <w:vAlign w:val="bottom"/>
            <w:hideMark/>
          </w:tcPr>
          <w:p w:rsidRPr="00387AB6" w:rsidR="00104742" w:rsidP="00573A19" w:rsidRDefault="00104742" w14:paraId="7E47D07C" w14:textId="77777777">
            <w:pPr>
              <w:rPr>
                <w:rFonts w:cs="Calibri"/>
                <w:i/>
                <w:iCs/>
                <w:color w:val="000000"/>
                <w:sz w:val="24"/>
                <w:szCs w:val="24"/>
              </w:rPr>
            </w:pPr>
            <w:r w:rsidRPr="00387AB6">
              <w:rPr>
                <w:rFonts w:cs="Calibri"/>
                <w:i/>
                <w:iCs/>
                <w:color w:val="000000"/>
                <w:sz w:val="24"/>
                <w:szCs w:val="24"/>
              </w:rPr>
              <w:t> </w:t>
            </w:r>
          </w:p>
        </w:tc>
        <w:tc>
          <w:tcPr>
            <w:tcW w:w="1443" w:type="dxa"/>
            <w:tcBorders>
              <w:top w:val="nil"/>
              <w:left w:val="nil"/>
              <w:bottom w:val="single" w:color="auto" w:sz="4" w:space="0"/>
              <w:right w:val="nil"/>
            </w:tcBorders>
            <w:shd w:val="clear" w:color="000000" w:fill="D0CECE"/>
            <w:noWrap/>
            <w:vAlign w:val="bottom"/>
            <w:hideMark/>
          </w:tcPr>
          <w:p w:rsidRPr="00387AB6" w:rsidR="00104742" w:rsidP="00573A19" w:rsidRDefault="00104742" w14:paraId="24161C7C" w14:textId="77777777">
            <w:pPr>
              <w:rPr>
                <w:rFonts w:cs="Calibri"/>
                <w:i/>
                <w:iCs/>
                <w:color w:val="000000"/>
                <w:sz w:val="24"/>
                <w:szCs w:val="24"/>
              </w:rPr>
            </w:pPr>
            <w:r w:rsidRPr="00387AB6">
              <w:rPr>
                <w:rFonts w:cs="Calibri"/>
                <w:i/>
                <w:iCs/>
                <w:color w:val="000000"/>
                <w:sz w:val="24"/>
                <w:szCs w:val="24"/>
              </w:rPr>
              <w:t> </w:t>
            </w:r>
          </w:p>
        </w:tc>
        <w:tc>
          <w:tcPr>
            <w:tcW w:w="1403" w:type="dxa"/>
            <w:tcBorders>
              <w:top w:val="nil"/>
              <w:left w:val="nil"/>
              <w:bottom w:val="single" w:color="auto" w:sz="4" w:space="0"/>
              <w:right w:val="nil"/>
            </w:tcBorders>
            <w:shd w:val="clear" w:color="000000" w:fill="D0CECE"/>
            <w:noWrap/>
            <w:vAlign w:val="bottom"/>
            <w:hideMark/>
          </w:tcPr>
          <w:p w:rsidRPr="00387AB6" w:rsidR="00104742" w:rsidP="00573A19" w:rsidRDefault="00104742" w14:paraId="7F4F8933" w14:textId="77777777">
            <w:pPr>
              <w:rPr>
                <w:rFonts w:cs="Calibri"/>
                <w:i/>
                <w:iCs/>
                <w:color w:val="000000"/>
                <w:sz w:val="24"/>
                <w:szCs w:val="24"/>
              </w:rPr>
            </w:pPr>
            <w:r w:rsidRPr="00387AB6">
              <w:rPr>
                <w:rFonts w:cs="Calibri"/>
                <w:i/>
                <w:iCs/>
                <w:color w:val="000000"/>
                <w:sz w:val="24"/>
                <w:szCs w:val="24"/>
              </w:rPr>
              <w:t> </w:t>
            </w:r>
          </w:p>
        </w:tc>
        <w:tc>
          <w:tcPr>
            <w:tcW w:w="1443" w:type="dxa"/>
            <w:tcBorders>
              <w:top w:val="nil"/>
              <w:left w:val="nil"/>
              <w:bottom w:val="single" w:color="auto" w:sz="4" w:space="0"/>
              <w:right w:val="nil"/>
            </w:tcBorders>
            <w:shd w:val="clear" w:color="000000" w:fill="D0CECE"/>
            <w:noWrap/>
            <w:vAlign w:val="bottom"/>
            <w:hideMark/>
          </w:tcPr>
          <w:p w:rsidRPr="00387AB6" w:rsidR="00104742" w:rsidP="00573A19" w:rsidRDefault="00104742" w14:paraId="294F66A9" w14:textId="77777777">
            <w:pPr>
              <w:rPr>
                <w:rFonts w:cs="Calibri"/>
                <w:i/>
                <w:iCs/>
                <w:color w:val="000000"/>
                <w:sz w:val="24"/>
                <w:szCs w:val="24"/>
              </w:rPr>
            </w:pPr>
            <w:r w:rsidRPr="00387AB6">
              <w:rPr>
                <w:rFonts w:cs="Calibri"/>
                <w:i/>
                <w:iCs/>
                <w:color w:val="000000"/>
                <w:sz w:val="24"/>
                <w:szCs w:val="24"/>
              </w:rPr>
              <w:t> </w:t>
            </w:r>
          </w:p>
        </w:tc>
        <w:tc>
          <w:tcPr>
            <w:tcW w:w="1403" w:type="dxa"/>
            <w:tcBorders>
              <w:top w:val="nil"/>
              <w:left w:val="nil"/>
              <w:bottom w:val="single" w:color="auto" w:sz="4" w:space="0"/>
              <w:right w:val="nil"/>
            </w:tcBorders>
            <w:shd w:val="clear" w:color="000000" w:fill="D0CECE"/>
            <w:noWrap/>
            <w:vAlign w:val="bottom"/>
            <w:hideMark/>
          </w:tcPr>
          <w:p w:rsidRPr="00387AB6" w:rsidR="00104742" w:rsidP="00573A19" w:rsidRDefault="00104742" w14:paraId="6622220E" w14:textId="77777777">
            <w:pPr>
              <w:rPr>
                <w:rFonts w:cs="Calibri"/>
                <w:i/>
                <w:iCs/>
                <w:color w:val="000000"/>
                <w:sz w:val="24"/>
                <w:szCs w:val="24"/>
              </w:rPr>
            </w:pPr>
            <w:r w:rsidRPr="00387AB6">
              <w:rPr>
                <w:rFonts w:cs="Calibri"/>
                <w:i/>
                <w:iCs/>
                <w:color w:val="000000"/>
                <w:sz w:val="24"/>
                <w:szCs w:val="24"/>
              </w:rPr>
              <w:t> </w:t>
            </w:r>
          </w:p>
        </w:tc>
        <w:tc>
          <w:tcPr>
            <w:tcW w:w="1443" w:type="dxa"/>
            <w:tcBorders>
              <w:top w:val="nil"/>
              <w:left w:val="nil"/>
              <w:bottom w:val="single" w:color="auto" w:sz="4" w:space="0"/>
              <w:right w:val="nil"/>
            </w:tcBorders>
            <w:shd w:val="clear" w:color="000000" w:fill="D0CECE"/>
            <w:noWrap/>
            <w:vAlign w:val="bottom"/>
            <w:hideMark/>
          </w:tcPr>
          <w:p w:rsidRPr="00387AB6" w:rsidR="00104742" w:rsidP="00573A19" w:rsidRDefault="00104742" w14:paraId="468169EC" w14:textId="77777777">
            <w:pPr>
              <w:rPr>
                <w:rFonts w:cs="Calibri"/>
                <w:i/>
                <w:iCs/>
                <w:color w:val="000000"/>
                <w:sz w:val="24"/>
                <w:szCs w:val="24"/>
              </w:rPr>
            </w:pPr>
            <w:r w:rsidRPr="00387AB6">
              <w:rPr>
                <w:rFonts w:cs="Calibri"/>
                <w:i/>
                <w:iCs/>
                <w:color w:val="000000"/>
                <w:sz w:val="24"/>
                <w:szCs w:val="24"/>
              </w:rPr>
              <w:t> </w:t>
            </w:r>
          </w:p>
        </w:tc>
        <w:tc>
          <w:tcPr>
            <w:tcW w:w="1403" w:type="dxa"/>
            <w:tcBorders>
              <w:top w:val="nil"/>
              <w:left w:val="nil"/>
              <w:bottom w:val="single" w:color="auto" w:sz="4" w:space="0"/>
              <w:right w:val="single" w:color="auto" w:sz="8" w:space="0"/>
            </w:tcBorders>
            <w:shd w:val="clear" w:color="000000" w:fill="D0CECE"/>
            <w:noWrap/>
            <w:vAlign w:val="bottom"/>
            <w:hideMark/>
          </w:tcPr>
          <w:p w:rsidRPr="00387AB6" w:rsidR="00104742" w:rsidP="00573A19" w:rsidRDefault="00104742" w14:paraId="6DC95FB8" w14:textId="77777777">
            <w:pPr>
              <w:rPr>
                <w:rFonts w:cs="Calibri"/>
                <w:i/>
                <w:iCs/>
                <w:color w:val="000000"/>
                <w:sz w:val="24"/>
                <w:szCs w:val="24"/>
              </w:rPr>
            </w:pPr>
            <w:r w:rsidRPr="00387AB6">
              <w:rPr>
                <w:rFonts w:cs="Calibri"/>
                <w:i/>
                <w:iCs/>
                <w:color w:val="000000"/>
                <w:sz w:val="24"/>
                <w:szCs w:val="24"/>
              </w:rPr>
              <w:t> </w:t>
            </w:r>
          </w:p>
        </w:tc>
      </w:tr>
      <w:tr w:rsidRPr="00387AB6" w:rsidR="00104742" w:rsidTr="00387AB6" w14:paraId="264415FB" w14:textId="77777777">
        <w:trPr>
          <w:trHeight w:val="300"/>
        </w:trPr>
        <w:tc>
          <w:tcPr>
            <w:tcW w:w="5750" w:type="dxa"/>
            <w:tcBorders>
              <w:top w:val="nil"/>
              <w:left w:val="single" w:color="auto" w:sz="8" w:space="0"/>
              <w:bottom w:val="single" w:color="auto" w:sz="4" w:space="0"/>
              <w:right w:val="nil"/>
            </w:tcBorders>
            <w:shd w:val="clear" w:color="auto" w:fill="auto"/>
            <w:noWrap/>
            <w:vAlign w:val="bottom"/>
            <w:hideMark/>
          </w:tcPr>
          <w:p w:rsidRPr="00387AB6" w:rsidR="00104742" w:rsidP="00573A19" w:rsidRDefault="00104742" w14:paraId="3A8122B3" w14:textId="77777777">
            <w:pPr>
              <w:rPr>
                <w:rFonts w:cs="Calibri"/>
                <w:color w:val="000000"/>
                <w:sz w:val="24"/>
                <w:szCs w:val="24"/>
              </w:rPr>
            </w:pPr>
            <w:r w:rsidRPr="00387AB6">
              <w:rPr>
                <w:rFonts w:cs="Calibri"/>
                <w:color w:val="000000"/>
                <w:sz w:val="24"/>
                <w:szCs w:val="24"/>
              </w:rPr>
              <w:t>E.g. E-6</w:t>
            </w:r>
          </w:p>
        </w:tc>
        <w:tc>
          <w:tcPr>
            <w:tcW w:w="1443" w:type="dxa"/>
            <w:tcBorders>
              <w:top w:val="nil"/>
              <w:left w:val="single" w:color="auto" w:sz="8" w:space="0"/>
              <w:bottom w:val="single" w:color="auto" w:sz="4" w:space="0"/>
              <w:right w:val="single" w:color="auto" w:sz="4" w:space="0"/>
            </w:tcBorders>
            <w:shd w:val="clear" w:color="auto" w:fill="auto"/>
            <w:noWrap/>
            <w:vAlign w:val="bottom"/>
            <w:hideMark/>
          </w:tcPr>
          <w:p w:rsidRPr="00387AB6" w:rsidR="00104742" w:rsidP="00573A19" w:rsidRDefault="00104742" w14:paraId="071D0AFE" w14:textId="77777777">
            <w:pPr>
              <w:rPr>
                <w:rFonts w:cs="Calibri"/>
                <w:color w:val="000000"/>
                <w:sz w:val="24"/>
                <w:szCs w:val="24"/>
              </w:rPr>
            </w:pPr>
            <w:r w:rsidRPr="00387AB6">
              <w:rPr>
                <w:rFonts w:cs="Calibri"/>
                <w:color w:val="000000"/>
                <w:sz w:val="24"/>
                <w:szCs w:val="24"/>
              </w:rPr>
              <w:t> </w:t>
            </w:r>
          </w:p>
        </w:tc>
        <w:tc>
          <w:tcPr>
            <w:tcW w:w="1403" w:type="dxa"/>
            <w:tcBorders>
              <w:top w:val="nil"/>
              <w:left w:val="nil"/>
              <w:bottom w:val="single" w:color="auto" w:sz="4" w:space="0"/>
              <w:right w:val="double" w:color="auto" w:sz="6" w:space="0"/>
            </w:tcBorders>
            <w:shd w:val="clear" w:color="auto" w:fill="auto"/>
            <w:noWrap/>
            <w:vAlign w:val="bottom"/>
            <w:hideMark/>
          </w:tcPr>
          <w:p w:rsidRPr="00387AB6" w:rsidR="00104742" w:rsidP="00573A19" w:rsidRDefault="00104742" w14:paraId="003B5D36" w14:textId="77777777">
            <w:pPr>
              <w:rPr>
                <w:rFonts w:cs="Calibri"/>
                <w:color w:val="000000"/>
                <w:sz w:val="24"/>
                <w:szCs w:val="24"/>
              </w:rPr>
            </w:pPr>
            <w:r w:rsidRPr="00387AB6">
              <w:rPr>
                <w:rFonts w:cs="Calibri"/>
                <w:color w:val="000000"/>
                <w:sz w:val="24"/>
                <w:szCs w:val="24"/>
              </w:rPr>
              <w:t> </w:t>
            </w:r>
          </w:p>
        </w:tc>
        <w:tc>
          <w:tcPr>
            <w:tcW w:w="1443" w:type="dxa"/>
            <w:tcBorders>
              <w:top w:val="nil"/>
              <w:left w:val="nil"/>
              <w:bottom w:val="single" w:color="auto" w:sz="4" w:space="0"/>
              <w:right w:val="nil"/>
            </w:tcBorders>
            <w:shd w:val="clear" w:color="auto" w:fill="auto"/>
            <w:noWrap/>
            <w:vAlign w:val="bottom"/>
            <w:hideMark/>
          </w:tcPr>
          <w:p w:rsidRPr="00387AB6" w:rsidR="00104742" w:rsidP="00573A19" w:rsidRDefault="00104742" w14:paraId="0073972B" w14:textId="77777777">
            <w:pPr>
              <w:rPr>
                <w:rFonts w:cs="Calibri"/>
                <w:color w:val="000000"/>
                <w:sz w:val="24"/>
                <w:szCs w:val="24"/>
              </w:rPr>
            </w:pPr>
            <w:r w:rsidRPr="00387AB6">
              <w:rPr>
                <w:rFonts w:cs="Calibri"/>
                <w:color w:val="000000"/>
                <w:sz w:val="24"/>
                <w:szCs w:val="24"/>
              </w:rPr>
              <w:t> </w:t>
            </w:r>
          </w:p>
        </w:tc>
        <w:tc>
          <w:tcPr>
            <w:tcW w:w="1403" w:type="dxa"/>
            <w:tcBorders>
              <w:top w:val="nil"/>
              <w:left w:val="nil"/>
              <w:bottom w:val="single" w:color="auto" w:sz="4" w:space="0"/>
              <w:right w:val="nil"/>
            </w:tcBorders>
            <w:shd w:val="clear" w:color="auto" w:fill="auto"/>
            <w:noWrap/>
            <w:vAlign w:val="bottom"/>
            <w:hideMark/>
          </w:tcPr>
          <w:p w:rsidRPr="00387AB6" w:rsidR="00104742" w:rsidP="00573A19" w:rsidRDefault="00104742" w14:paraId="6D7B0916" w14:textId="77777777">
            <w:pPr>
              <w:rPr>
                <w:rFonts w:cs="Calibri"/>
                <w:color w:val="000000"/>
                <w:sz w:val="24"/>
                <w:szCs w:val="24"/>
              </w:rPr>
            </w:pPr>
            <w:r w:rsidRPr="00387AB6">
              <w:rPr>
                <w:rFonts w:cs="Calibri"/>
                <w:color w:val="000000"/>
                <w:sz w:val="24"/>
                <w:szCs w:val="24"/>
              </w:rPr>
              <w:t> </w:t>
            </w:r>
          </w:p>
        </w:tc>
        <w:tc>
          <w:tcPr>
            <w:tcW w:w="1443" w:type="dxa"/>
            <w:tcBorders>
              <w:top w:val="nil"/>
              <w:left w:val="double" w:color="auto" w:sz="6" w:space="0"/>
              <w:bottom w:val="single" w:color="auto" w:sz="4" w:space="0"/>
              <w:right w:val="single" w:color="auto" w:sz="4" w:space="0"/>
            </w:tcBorders>
            <w:shd w:val="clear" w:color="auto" w:fill="auto"/>
            <w:noWrap/>
            <w:vAlign w:val="bottom"/>
            <w:hideMark/>
          </w:tcPr>
          <w:p w:rsidRPr="00387AB6" w:rsidR="00104742" w:rsidP="00573A19" w:rsidRDefault="00104742" w14:paraId="24188F9C" w14:textId="77777777">
            <w:pPr>
              <w:rPr>
                <w:rFonts w:cs="Calibri"/>
                <w:color w:val="000000"/>
                <w:sz w:val="24"/>
                <w:szCs w:val="24"/>
              </w:rPr>
            </w:pPr>
            <w:r w:rsidRPr="00387AB6">
              <w:rPr>
                <w:rFonts w:cs="Calibri"/>
                <w:color w:val="000000"/>
                <w:sz w:val="24"/>
                <w:szCs w:val="24"/>
              </w:rPr>
              <w:t> </w:t>
            </w:r>
          </w:p>
        </w:tc>
        <w:tc>
          <w:tcPr>
            <w:tcW w:w="1403" w:type="dxa"/>
            <w:tcBorders>
              <w:top w:val="nil"/>
              <w:left w:val="nil"/>
              <w:bottom w:val="single" w:color="auto" w:sz="4" w:space="0"/>
              <w:right w:val="double" w:color="auto" w:sz="6" w:space="0"/>
            </w:tcBorders>
            <w:shd w:val="clear" w:color="auto" w:fill="auto"/>
            <w:noWrap/>
            <w:vAlign w:val="bottom"/>
            <w:hideMark/>
          </w:tcPr>
          <w:p w:rsidRPr="00387AB6" w:rsidR="00104742" w:rsidP="00573A19" w:rsidRDefault="00104742" w14:paraId="5D4A2139" w14:textId="77777777">
            <w:pPr>
              <w:rPr>
                <w:rFonts w:cs="Calibri"/>
                <w:color w:val="000000"/>
                <w:sz w:val="24"/>
                <w:szCs w:val="24"/>
              </w:rPr>
            </w:pPr>
            <w:r w:rsidRPr="00387AB6">
              <w:rPr>
                <w:rFonts w:cs="Calibri"/>
                <w:color w:val="000000"/>
                <w:sz w:val="24"/>
                <w:szCs w:val="24"/>
              </w:rPr>
              <w:t> </w:t>
            </w:r>
          </w:p>
        </w:tc>
        <w:tc>
          <w:tcPr>
            <w:tcW w:w="1443" w:type="dxa"/>
            <w:tcBorders>
              <w:top w:val="nil"/>
              <w:left w:val="nil"/>
              <w:bottom w:val="single" w:color="auto" w:sz="4" w:space="0"/>
              <w:right w:val="single" w:color="auto" w:sz="4" w:space="0"/>
            </w:tcBorders>
            <w:shd w:val="clear" w:color="auto" w:fill="auto"/>
            <w:noWrap/>
            <w:vAlign w:val="bottom"/>
            <w:hideMark/>
          </w:tcPr>
          <w:p w:rsidRPr="00387AB6" w:rsidR="00104742" w:rsidP="00573A19" w:rsidRDefault="00104742" w14:paraId="7FE96178" w14:textId="77777777">
            <w:pPr>
              <w:rPr>
                <w:rFonts w:cs="Calibri"/>
                <w:color w:val="000000"/>
                <w:sz w:val="24"/>
                <w:szCs w:val="24"/>
              </w:rPr>
            </w:pPr>
            <w:r w:rsidRPr="00387AB6">
              <w:rPr>
                <w:rFonts w:cs="Calibri"/>
                <w:color w:val="000000"/>
                <w:sz w:val="24"/>
                <w:szCs w:val="24"/>
              </w:rPr>
              <w:t> </w:t>
            </w:r>
          </w:p>
        </w:tc>
        <w:tc>
          <w:tcPr>
            <w:tcW w:w="1403" w:type="dxa"/>
            <w:tcBorders>
              <w:top w:val="nil"/>
              <w:left w:val="nil"/>
              <w:bottom w:val="single" w:color="auto" w:sz="4" w:space="0"/>
              <w:right w:val="single" w:color="auto" w:sz="8" w:space="0"/>
            </w:tcBorders>
            <w:shd w:val="clear" w:color="auto" w:fill="auto"/>
            <w:noWrap/>
            <w:vAlign w:val="bottom"/>
            <w:hideMark/>
          </w:tcPr>
          <w:p w:rsidRPr="00387AB6" w:rsidR="00104742" w:rsidP="00573A19" w:rsidRDefault="00104742" w14:paraId="374D29A9" w14:textId="77777777">
            <w:pPr>
              <w:rPr>
                <w:rFonts w:cs="Calibri"/>
                <w:color w:val="000000"/>
                <w:sz w:val="24"/>
                <w:szCs w:val="24"/>
              </w:rPr>
            </w:pPr>
            <w:r w:rsidRPr="00387AB6">
              <w:rPr>
                <w:rFonts w:cs="Calibri"/>
                <w:color w:val="000000"/>
                <w:sz w:val="24"/>
                <w:szCs w:val="24"/>
              </w:rPr>
              <w:t> </w:t>
            </w:r>
          </w:p>
        </w:tc>
      </w:tr>
      <w:tr w:rsidRPr="00387AB6" w:rsidR="00104742" w:rsidTr="00387AB6" w14:paraId="01AE9C11" w14:textId="77777777">
        <w:trPr>
          <w:trHeight w:val="300"/>
        </w:trPr>
        <w:tc>
          <w:tcPr>
            <w:tcW w:w="575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87AB6" w:rsidR="00104742" w:rsidP="00573A19" w:rsidRDefault="00104742" w14:paraId="1D0C1301" w14:textId="77777777">
            <w:pPr>
              <w:rPr>
                <w:rFonts w:cs="Calibri"/>
                <w:color w:val="000000"/>
                <w:sz w:val="24"/>
                <w:szCs w:val="24"/>
              </w:rPr>
            </w:pPr>
            <w:r w:rsidRPr="00387AB6">
              <w:rPr>
                <w:rFonts w:cs="Calibri"/>
                <w:color w:val="000000"/>
                <w:sz w:val="24"/>
                <w:szCs w:val="24"/>
              </w:rPr>
              <w:t>E-TOU-A</w:t>
            </w:r>
          </w:p>
        </w:tc>
        <w:tc>
          <w:tcPr>
            <w:tcW w:w="1443" w:type="dxa"/>
            <w:tcBorders>
              <w:top w:val="nil"/>
              <w:left w:val="single" w:color="auto" w:sz="4" w:space="0"/>
              <w:bottom w:val="single" w:color="auto" w:sz="4" w:space="0"/>
              <w:right w:val="single" w:color="auto" w:sz="4" w:space="0"/>
            </w:tcBorders>
            <w:shd w:val="clear" w:color="auto" w:fill="auto"/>
            <w:noWrap/>
            <w:vAlign w:val="bottom"/>
            <w:hideMark/>
          </w:tcPr>
          <w:p w:rsidRPr="00387AB6" w:rsidR="00104742" w:rsidP="00573A19" w:rsidRDefault="00104742" w14:paraId="7341D883" w14:textId="77777777">
            <w:pPr>
              <w:rPr>
                <w:rFonts w:cs="Calibri"/>
                <w:color w:val="000000"/>
                <w:sz w:val="24"/>
                <w:szCs w:val="24"/>
              </w:rPr>
            </w:pPr>
            <w:r w:rsidRPr="00387AB6">
              <w:rPr>
                <w:rFonts w:cs="Calibri"/>
                <w:color w:val="000000"/>
                <w:sz w:val="24"/>
                <w:szCs w:val="24"/>
              </w:rPr>
              <w:t> </w:t>
            </w:r>
          </w:p>
        </w:tc>
        <w:tc>
          <w:tcPr>
            <w:tcW w:w="1403" w:type="dxa"/>
            <w:tcBorders>
              <w:top w:val="nil"/>
              <w:left w:val="nil"/>
              <w:bottom w:val="single" w:color="auto" w:sz="4" w:space="0"/>
              <w:right w:val="double" w:color="auto" w:sz="6" w:space="0"/>
            </w:tcBorders>
            <w:shd w:val="clear" w:color="auto" w:fill="auto"/>
            <w:noWrap/>
            <w:vAlign w:val="bottom"/>
            <w:hideMark/>
          </w:tcPr>
          <w:p w:rsidRPr="00387AB6" w:rsidR="00104742" w:rsidP="00573A19" w:rsidRDefault="00104742" w14:paraId="401C20E9" w14:textId="77777777">
            <w:pPr>
              <w:rPr>
                <w:rFonts w:cs="Calibri"/>
                <w:color w:val="000000"/>
                <w:sz w:val="24"/>
                <w:szCs w:val="24"/>
              </w:rPr>
            </w:pPr>
            <w:r w:rsidRPr="00387AB6">
              <w:rPr>
                <w:rFonts w:cs="Calibri"/>
                <w:color w:val="000000"/>
                <w:sz w:val="24"/>
                <w:szCs w:val="24"/>
              </w:rPr>
              <w:t> </w:t>
            </w:r>
          </w:p>
        </w:tc>
        <w:tc>
          <w:tcPr>
            <w:tcW w:w="1443" w:type="dxa"/>
            <w:tcBorders>
              <w:top w:val="nil"/>
              <w:left w:val="nil"/>
              <w:bottom w:val="single" w:color="auto" w:sz="4" w:space="0"/>
              <w:right w:val="nil"/>
            </w:tcBorders>
            <w:shd w:val="clear" w:color="auto" w:fill="auto"/>
            <w:noWrap/>
            <w:vAlign w:val="bottom"/>
            <w:hideMark/>
          </w:tcPr>
          <w:p w:rsidRPr="00387AB6" w:rsidR="00104742" w:rsidP="00573A19" w:rsidRDefault="00104742" w14:paraId="12276649" w14:textId="77777777">
            <w:pPr>
              <w:rPr>
                <w:rFonts w:cs="Calibri"/>
                <w:color w:val="000000"/>
                <w:sz w:val="24"/>
                <w:szCs w:val="24"/>
              </w:rPr>
            </w:pPr>
            <w:r w:rsidRPr="00387AB6">
              <w:rPr>
                <w:rFonts w:cs="Calibri"/>
                <w:color w:val="000000"/>
                <w:sz w:val="24"/>
                <w:szCs w:val="24"/>
              </w:rPr>
              <w:t> </w:t>
            </w:r>
          </w:p>
        </w:tc>
        <w:tc>
          <w:tcPr>
            <w:tcW w:w="1403" w:type="dxa"/>
            <w:tcBorders>
              <w:top w:val="nil"/>
              <w:left w:val="nil"/>
              <w:bottom w:val="single" w:color="auto" w:sz="4" w:space="0"/>
              <w:right w:val="nil"/>
            </w:tcBorders>
            <w:shd w:val="clear" w:color="auto" w:fill="auto"/>
            <w:noWrap/>
            <w:vAlign w:val="bottom"/>
            <w:hideMark/>
          </w:tcPr>
          <w:p w:rsidRPr="00387AB6" w:rsidR="00104742" w:rsidP="00573A19" w:rsidRDefault="00104742" w14:paraId="0C8BB79E" w14:textId="77777777">
            <w:pPr>
              <w:rPr>
                <w:rFonts w:cs="Calibri"/>
                <w:color w:val="000000"/>
                <w:sz w:val="24"/>
                <w:szCs w:val="24"/>
              </w:rPr>
            </w:pPr>
            <w:r w:rsidRPr="00387AB6">
              <w:rPr>
                <w:rFonts w:cs="Calibri"/>
                <w:color w:val="000000"/>
                <w:sz w:val="24"/>
                <w:szCs w:val="24"/>
              </w:rPr>
              <w:t> </w:t>
            </w:r>
          </w:p>
        </w:tc>
        <w:tc>
          <w:tcPr>
            <w:tcW w:w="1443" w:type="dxa"/>
            <w:tcBorders>
              <w:top w:val="nil"/>
              <w:left w:val="double" w:color="auto" w:sz="6" w:space="0"/>
              <w:bottom w:val="single" w:color="auto" w:sz="4" w:space="0"/>
              <w:right w:val="single" w:color="auto" w:sz="4" w:space="0"/>
            </w:tcBorders>
            <w:shd w:val="clear" w:color="auto" w:fill="auto"/>
            <w:noWrap/>
            <w:vAlign w:val="bottom"/>
            <w:hideMark/>
          </w:tcPr>
          <w:p w:rsidRPr="00387AB6" w:rsidR="00104742" w:rsidP="00573A19" w:rsidRDefault="00104742" w14:paraId="670FEB9B" w14:textId="77777777">
            <w:pPr>
              <w:rPr>
                <w:rFonts w:cs="Calibri"/>
                <w:color w:val="000000"/>
                <w:sz w:val="24"/>
                <w:szCs w:val="24"/>
              </w:rPr>
            </w:pPr>
            <w:r w:rsidRPr="00387AB6">
              <w:rPr>
                <w:rFonts w:cs="Calibri"/>
                <w:color w:val="000000"/>
                <w:sz w:val="24"/>
                <w:szCs w:val="24"/>
              </w:rPr>
              <w:t> </w:t>
            </w:r>
          </w:p>
        </w:tc>
        <w:tc>
          <w:tcPr>
            <w:tcW w:w="1403" w:type="dxa"/>
            <w:tcBorders>
              <w:top w:val="nil"/>
              <w:left w:val="nil"/>
              <w:bottom w:val="single" w:color="auto" w:sz="4" w:space="0"/>
              <w:right w:val="double" w:color="auto" w:sz="6" w:space="0"/>
            </w:tcBorders>
            <w:shd w:val="clear" w:color="auto" w:fill="auto"/>
            <w:noWrap/>
            <w:vAlign w:val="bottom"/>
            <w:hideMark/>
          </w:tcPr>
          <w:p w:rsidRPr="00387AB6" w:rsidR="00104742" w:rsidP="00573A19" w:rsidRDefault="00104742" w14:paraId="68CE96E3" w14:textId="77777777">
            <w:pPr>
              <w:rPr>
                <w:rFonts w:cs="Calibri"/>
                <w:color w:val="000000"/>
                <w:sz w:val="24"/>
                <w:szCs w:val="24"/>
              </w:rPr>
            </w:pPr>
            <w:r w:rsidRPr="00387AB6">
              <w:rPr>
                <w:rFonts w:cs="Calibri"/>
                <w:color w:val="000000"/>
                <w:sz w:val="24"/>
                <w:szCs w:val="24"/>
              </w:rPr>
              <w:t> </w:t>
            </w:r>
          </w:p>
        </w:tc>
        <w:tc>
          <w:tcPr>
            <w:tcW w:w="1443" w:type="dxa"/>
            <w:tcBorders>
              <w:top w:val="nil"/>
              <w:left w:val="nil"/>
              <w:bottom w:val="single" w:color="auto" w:sz="4" w:space="0"/>
              <w:right w:val="single" w:color="auto" w:sz="4" w:space="0"/>
            </w:tcBorders>
            <w:shd w:val="clear" w:color="auto" w:fill="auto"/>
            <w:noWrap/>
            <w:vAlign w:val="bottom"/>
            <w:hideMark/>
          </w:tcPr>
          <w:p w:rsidRPr="00387AB6" w:rsidR="00104742" w:rsidP="00573A19" w:rsidRDefault="00104742" w14:paraId="587F6CC9" w14:textId="77777777">
            <w:pPr>
              <w:rPr>
                <w:rFonts w:cs="Calibri"/>
                <w:color w:val="000000"/>
                <w:sz w:val="24"/>
                <w:szCs w:val="24"/>
              </w:rPr>
            </w:pPr>
            <w:r w:rsidRPr="00387AB6">
              <w:rPr>
                <w:rFonts w:cs="Calibri"/>
                <w:color w:val="000000"/>
                <w:sz w:val="24"/>
                <w:szCs w:val="24"/>
              </w:rPr>
              <w:t> </w:t>
            </w:r>
          </w:p>
        </w:tc>
        <w:tc>
          <w:tcPr>
            <w:tcW w:w="1403" w:type="dxa"/>
            <w:tcBorders>
              <w:top w:val="nil"/>
              <w:left w:val="nil"/>
              <w:bottom w:val="single" w:color="auto" w:sz="4" w:space="0"/>
              <w:right w:val="single" w:color="auto" w:sz="8" w:space="0"/>
            </w:tcBorders>
            <w:shd w:val="clear" w:color="auto" w:fill="auto"/>
            <w:noWrap/>
            <w:vAlign w:val="bottom"/>
            <w:hideMark/>
          </w:tcPr>
          <w:p w:rsidRPr="00387AB6" w:rsidR="00104742" w:rsidP="00573A19" w:rsidRDefault="00104742" w14:paraId="2B7D518F" w14:textId="77777777">
            <w:pPr>
              <w:rPr>
                <w:rFonts w:cs="Calibri"/>
                <w:color w:val="000000"/>
                <w:sz w:val="24"/>
                <w:szCs w:val="24"/>
              </w:rPr>
            </w:pPr>
            <w:r w:rsidRPr="00387AB6">
              <w:rPr>
                <w:rFonts w:cs="Calibri"/>
                <w:color w:val="000000"/>
                <w:sz w:val="24"/>
                <w:szCs w:val="24"/>
              </w:rPr>
              <w:t> </w:t>
            </w:r>
          </w:p>
        </w:tc>
      </w:tr>
      <w:tr w:rsidRPr="00387AB6" w:rsidR="00104742" w:rsidTr="00387AB6" w14:paraId="0AB93CF3" w14:textId="77777777">
        <w:trPr>
          <w:trHeight w:val="300"/>
        </w:trPr>
        <w:tc>
          <w:tcPr>
            <w:tcW w:w="575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87AB6" w:rsidR="00104742" w:rsidP="00573A19" w:rsidRDefault="00104742" w14:paraId="22A5E5BC" w14:textId="77777777">
            <w:pPr>
              <w:rPr>
                <w:rFonts w:cs="Calibri"/>
                <w:color w:val="000000"/>
                <w:sz w:val="24"/>
                <w:szCs w:val="24"/>
              </w:rPr>
            </w:pPr>
            <w:r w:rsidRPr="00387AB6">
              <w:rPr>
                <w:rFonts w:cs="Calibri"/>
                <w:color w:val="000000"/>
                <w:sz w:val="24"/>
                <w:szCs w:val="24"/>
              </w:rPr>
              <w:t>TOU Prime</w:t>
            </w:r>
          </w:p>
        </w:tc>
        <w:tc>
          <w:tcPr>
            <w:tcW w:w="1443" w:type="dxa"/>
            <w:tcBorders>
              <w:top w:val="nil"/>
              <w:left w:val="single" w:color="auto" w:sz="4" w:space="0"/>
              <w:bottom w:val="single" w:color="auto" w:sz="4" w:space="0"/>
              <w:right w:val="single" w:color="auto" w:sz="4" w:space="0"/>
            </w:tcBorders>
            <w:shd w:val="clear" w:color="auto" w:fill="auto"/>
            <w:noWrap/>
            <w:vAlign w:val="bottom"/>
            <w:hideMark/>
          </w:tcPr>
          <w:p w:rsidRPr="00387AB6" w:rsidR="00104742" w:rsidP="00573A19" w:rsidRDefault="00104742" w14:paraId="516B218F" w14:textId="77777777">
            <w:pPr>
              <w:rPr>
                <w:rFonts w:cs="Calibri"/>
                <w:color w:val="000000"/>
                <w:sz w:val="24"/>
                <w:szCs w:val="24"/>
              </w:rPr>
            </w:pPr>
            <w:r w:rsidRPr="00387AB6">
              <w:rPr>
                <w:rFonts w:cs="Calibri"/>
                <w:color w:val="000000"/>
                <w:sz w:val="24"/>
                <w:szCs w:val="24"/>
              </w:rPr>
              <w:t> </w:t>
            </w:r>
          </w:p>
        </w:tc>
        <w:tc>
          <w:tcPr>
            <w:tcW w:w="1403" w:type="dxa"/>
            <w:tcBorders>
              <w:top w:val="nil"/>
              <w:left w:val="nil"/>
              <w:bottom w:val="single" w:color="auto" w:sz="4" w:space="0"/>
              <w:right w:val="double" w:color="auto" w:sz="6" w:space="0"/>
            </w:tcBorders>
            <w:shd w:val="clear" w:color="auto" w:fill="auto"/>
            <w:noWrap/>
            <w:vAlign w:val="bottom"/>
            <w:hideMark/>
          </w:tcPr>
          <w:p w:rsidRPr="00387AB6" w:rsidR="00104742" w:rsidP="00573A19" w:rsidRDefault="00104742" w14:paraId="15F347A3" w14:textId="77777777">
            <w:pPr>
              <w:rPr>
                <w:rFonts w:cs="Calibri"/>
                <w:color w:val="000000"/>
                <w:sz w:val="24"/>
                <w:szCs w:val="24"/>
              </w:rPr>
            </w:pPr>
            <w:r w:rsidRPr="00387AB6">
              <w:rPr>
                <w:rFonts w:cs="Calibri"/>
                <w:color w:val="000000"/>
                <w:sz w:val="24"/>
                <w:szCs w:val="24"/>
              </w:rPr>
              <w:t> </w:t>
            </w:r>
          </w:p>
        </w:tc>
        <w:tc>
          <w:tcPr>
            <w:tcW w:w="1443" w:type="dxa"/>
            <w:tcBorders>
              <w:top w:val="nil"/>
              <w:left w:val="nil"/>
              <w:bottom w:val="single" w:color="auto" w:sz="4" w:space="0"/>
              <w:right w:val="nil"/>
            </w:tcBorders>
            <w:shd w:val="clear" w:color="auto" w:fill="auto"/>
            <w:noWrap/>
            <w:vAlign w:val="bottom"/>
            <w:hideMark/>
          </w:tcPr>
          <w:p w:rsidRPr="00387AB6" w:rsidR="00104742" w:rsidP="00573A19" w:rsidRDefault="00104742" w14:paraId="31100624" w14:textId="77777777">
            <w:pPr>
              <w:rPr>
                <w:rFonts w:cs="Calibri"/>
                <w:color w:val="000000"/>
                <w:sz w:val="24"/>
                <w:szCs w:val="24"/>
              </w:rPr>
            </w:pPr>
            <w:r w:rsidRPr="00387AB6">
              <w:rPr>
                <w:rFonts w:cs="Calibri"/>
                <w:color w:val="000000"/>
                <w:sz w:val="24"/>
                <w:szCs w:val="24"/>
              </w:rPr>
              <w:t> </w:t>
            </w:r>
          </w:p>
        </w:tc>
        <w:tc>
          <w:tcPr>
            <w:tcW w:w="1403" w:type="dxa"/>
            <w:tcBorders>
              <w:top w:val="nil"/>
              <w:left w:val="nil"/>
              <w:bottom w:val="single" w:color="auto" w:sz="4" w:space="0"/>
              <w:right w:val="nil"/>
            </w:tcBorders>
            <w:shd w:val="clear" w:color="auto" w:fill="auto"/>
            <w:noWrap/>
            <w:vAlign w:val="bottom"/>
            <w:hideMark/>
          </w:tcPr>
          <w:p w:rsidRPr="00387AB6" w:rsidR="00104742" w:rsidP="00573A19" w:rsidRDefault="00104742" w14:paraId="4EC86952" w14:textId="77777777">
            <w:pPr>
              <w:rPr>
                <w:rFonts w:cs="Calibri"/>
                <w:color w:val="000000"/>
                <w:sz w:val="24"/>
                <w:szCs w:val="24"/>
              </w:rPr>
            </w:pPr>
            <w:r w:rsidRPr="00387AB6">
              <w:rPr>
                <w:rFonts w:cs="Calibri"/>
                <w:color w:val="000000"/>
                <w:sz w:val="24"/>
                <w:szCs w:val="24"/>
              </w:rPr>
              <w:t> </w:t>
            </w:r>
          </w:p>
        </w:tc>
        <w:tc>
          <w:tcPr>
            <w:tcW w:w="1443" w:type="dxa"/>
            <w:tcBorders>
              <w:top w:val="nil"/>
              <w:left w:val="double" w:color="auto" w:sz="6" w:space="0"/>
              <w:bottom w:val="single" w:color="auto" w:sz="4" w:space="0"/>
              <w:right w:val="single" w:color="auto" w:sz="4" w:space="0"/>
            </w:tcBorders>
            <w:shd w:val="clear" w:color="auto" w:fill="auto"/>
            <w:noWrap/>
            <w:vAlign w:val="bottom"/>
            <w:hideMark/>
          </w:tcPr>
          <w:p w:rsidRPr="00387AB6" w:rsidR="00104742" w:rsidP="00573A19" w:rsidRDefault="00104742" w14:paraId="797D4B3F" w14:textId="77777777">
            <w:pPr>
              <w:rPr>
                <w:rFonts w:cs="Calibri"/>
                <w:color w:val="000000"/>
                <w:sz w:val="24"/>
                <w:szCs w:val="24"/>
              </w:rPr>
            </w:pPr>
            <w:r w:rsidRPr="00387AB6">
              <w:rPr>
                <w:rFonts w:cs="Calibri"/>
                <w:color w:val="000000"/>
                <w:sz w:val="24"/>
                <w:szCs w:val="24"/>
              </w:rPr>
              <w:t> </w:t>
            </w:r>
          </w:p>
        </w:tc>
        <w:tc>
          <w:tcPr>
            <w:tcW w:w="1403" w:type="dxa"/>
            <w:tcBorders>
              <w:top w:val="nil"/>
              <w:left w:val="nil"/>
              <w:bottom w:val="single" w:color="auto" w:sz="4" w:space="0"/>
              <w:right w:val="double" w:color="auto" w:sz="6" w:space="0"/>
            </w:tcBorders>
            <w:shd w:val="clear" w:color="auto" w:fill="auto"/>
            <w:noWrap/>
            <w:vAlign w:val="bottom"/>
            <w:hideMark/>
          </w:tcPr>
          <w:p w:rsidRPr="00387AB6" w:rsidR="00104742" w:rsidP="00573A19" w:rsidRDefault="00104742" w14:paraId="56BCB5A2" w14:textId="77777777">
            <w:pPr>
              <w:rPr>
                <w:rFonts w:cs="Calibri"/>
                <w:color w:val="000000"/>
                <w:sz w:val="24"/>
                <w:szCs w:val="24"/>
              </w:rPr>
            </w:pPr>
            <w:r w:rsidRPr="00387AB6">
              <w:rPr>
                <w:rFonts w:cs="Calibri"/>
                <w:color w:val="000000"/>
                <w:sz w:val="24"/>
                <w:szCs w:val="24"/>
              </w:rPr>
              <w:t> </w:t>
            </w:r>
          </w:p>
        </w:tc>
        <w:tc>
          <w:tcPr>
            <w:tcW w:w="1443" w:type="dxa"/>
            <w:tcBorders>
              <w:top w:val="nil"/>
              <w:left w:val="nil"/>
              <w:bottom w:val="single" w:color="auto" w:sz="4" w:space="0"/>
              <w:right w:val="single" w:color="auto" w:sz="4" w:space="0"/>
            </w:tcBorders>
            <w:shd w:val="clear" w:color="auto" w:fill="auto"/>
            <w:noWrap/>
            <w:vAlign w:val="bottom"/>
            <w:hideMark/>
          </w:tcPr>
          <w:p w:rsidRPr="00387AB6" w:rsidR="00104742" w:rsidP="00573A19" w:rsidRDefault="00104742" w14:paraId="2090EA89" w14:textId="77777777">
            <w:pPr>
              <w:rPr>
                <w:rFonts w:cs="Calibri"/>
                <w:color w:val="000000"/>
                <w:sz w:val="24"/>
                <w:szCs w:val="24"/>
              </w:rPr>
            </w:pPr>
            <w:r w:rsidRPr="00387AB6">
              <w:rPr>
                <w:rFonts w:cs="Calibri"/>
                <w:color w:val="000000"/>
                <w:sz w:val="24"/>
                <w:szCs w:val="24"/>
              </w:rPr>
              <w:t> </w:t>
            </w:r>
          </w:p>
        </w:tc>
        <w:tc>
          <w:tcPr>
            <w:tcW w:w="1403" w:type="dxa"/>
            <w:tcBorders>
              <w:top w:val="nil"/>
              <w:left w:val="nil"/>
              <w:bottom w:val="single" w:color="auto" w:sz="4" w:space="0"/>
              <w:right w:val="single" w:color="auto" w:sz="8" w:space="0"/>
            </w:tcBorders>
            <w:shd w:val="clear" w:color="auto" w:fill="auto"/>
            <w:noWrap/>
            <w:vAlign w:val="bottom"/>
            <w:hideMark/>
          </w:tcPr>
          <w:p w:rsidRPr="00387AB6" w:rsidR="00104742" w:rsidP="00573A19" w:rsidRDefault="00104742" w14:paraId="728245B6" w14:textId="77777777">
            <w:pPr>
              <w:rPr>
                <w:rFonts w:cs="Calibri"/>
                <w:color w:val="000000"/>
                <w:sz w:val="24"/>
                <w:szCs w:val="24"/>
              </w:rPr>
            </w:pPr>
            <w:r w:rsidRPr="00387AB6">
              <w:rPr>
                <w:rFonts w:cs="Calibri"/>
                <w:color w:val="000000"/>
                <w:sz w:val="24"/>
                <w:szCs w:val="24"/>
              </w:rPr>
              <w:t> </w:t>
            </w:r>
          </w:p>
        </w:tc>
      </w:tr>
      <w:tr w:rsidRPr="00387AB6" w:rsidR="00104742" w:rsidTr="00387AB6" w14:paraId="7A9BB5A0" w14:textId="77777777">
        <w:trPr>
          <w:trHeight w:val="300"/>
        </w:trPr>
        <w:tc>
          <w:tcPr>
            <w:tcW w:w="575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87AB6" w:rsidR="00104742" w:rsidP="00573A19" w:rsidRDefault="00104742" w14:paraId="7F63E40E" w14:textId="77777777">
            <w:pPr>
              <w:rPr>
                <w:rFonts w:cs="Calibri"/>
                <w:color w:val="000000"/>
                <w:sz w:val="24"/>
                <w:szCs w:val="24"/>
              </w:rPr>
            </w:pPr>
            <w:r w:rsidRPr="00387AB6">
              <w:rPr>
                <w:rFonts w:cs="Calibri"/>
                <w:color w:val="000000"/>
                <w:sz w:val="24"/>
                <w:szCs w:val="24"/>
              </w:rPr>
              <w:t>[Add Rows as needed]</w:t>
            </w:r>
          </w:p>
        </w:tc>
        <w:tc>
          <w:tcPr>
            <w:tcW w:w="1443" w:type="dxa"/>
            <w:tcBorders>
              <w:top w:val="nil"/>
              <w:left w:val="single" w:color="auto" w:sz="4" w:space="0"/>
              <w:bottom w:val="single" w:color="auto" w:sz="4" w:space="0"/>
              <w:right w:val="single" w:color="auto" w:sz="4" w:space="0"/>
            </w:tcBorders>
            <w:shd w:val="clear" w:color="auto" w:fill="auto"/>
            <w:noWrap/>
            <w:vAlign w:val="bottom"/>
            <w:hideMark/>
          </w:tcPr>
          <w:p w:rsidRPr="00387AB6" w:rsidR="00104742" w:rsidP="00573A19" w:rsidRDefault="00104742" w14:paraId="3630EC9D" w14:textId="77777777">
            <w:pPr>
              <w:rPr>
                <w:rFonts w:cs="Calibri"/>
                <w:color w:val="000000"/>
                <w:sz w:val="24"/>
                <w:szCs w:val="24"/>
              </w:rPr>
            </w:pPr>
            <w:r w:rsidRPr="00387AB6">
              <w:rPr>
                <w:rFonts w:cs="Calibri"/>
                <w:color w:val="000000"/>
                <w:sz w:val="24"/>
                <w:szCs w:val="24"/>
              </w:rPr>
              <w:t> </w:t>
            </w:r>
          </w:p>
        </w:tc>
        <w:tc>
          <w:tcPr>
            <w:tcW w:w="1403" w:type="dxa"/>
            <w:tcBorders>
              <w:top w:val="nil"/>
              <w:left w:val="nil"/>
              <w:bottom w:val="single" w:color="auto" w:sz="4" w:space="0"/>
              <w:right w:val="double" w:color="auto" w:sz="6" w:space="0"/>
            </w:tcBorders>
            <w:shd w:val="clear" w:color="auto" w:fill="auto"/>
            <w:noWrap/>
            <w:vAlign w:val="bottom"/>
            <w:hideMark/>
          </w:tcPr>
          <w:p w:rsidRPr="00387AB6" w:rsidR="00104742" w:rsidP="00573A19" w:rsidRDefault="00104742" w14:paraId="0DF222DF" w14:textId="77777777">
            <w:pPr>
              <w:rPr>
                <w:rFonts w:cs="Calibri"/>
                <w:color w:val="000000"/>
                <w:sz w:val="24"/>
                <w:szCs w:val="24"/>
              </w:rPr>
            </w:pPr>
            <w:r w:rsidRPr="00387AB6">
              <w:rPr>
                <w:rFonts w:cs="Calibri"/>
                <w:color w:val="000000"/>
                <w:sz w:val="24"/>
                <w:szCs w:val="24"/>
              </w:rPr>
              <w:t> </w:t>
            </w:r>
          </w:p>
        </w:tc>
        <w:tc>
          <w:tcPr>
            <w:tcW w:w="1443" w:type="dxa"/>
            <w:tcBorders>
              <w:top w:val="nil"/>
              <w:left w:val="nil"/>
              <w:bottom w:val="single" w:color="auto" w:sz="4" w:space="0"/>
              <w:right w:val="nil"/>
            </w:tcBorders>
            <w:shd w:val="clear" w:color="auto" w:fill="auto"/>
            <w:noWrap/>
            <w:vAlign w:val="bottom"/>
            <w:hideMark/>
          </w:tcPr>
          <w:p w:rsidRPr="00387AB6" w:rsidR="00104742" w:rsidP="00573A19" w:rsidRDefault="00104742" w14:paraId="1D3084B4" w14:textId="77777777">
            <w:pPr>
              <w:rPr>
                <w:rFonts w:cs="Calibri"/>
                <w:color w:val="000000"/>
                <w:sz w:val="24"/>
                <w:szCs w:val="24"/>
              </w:rPr>
            </w:pPr>
            <w:r w:rsidRPr="00387AB6">
              <w:rPr>
                <w:rFonts w:cs="Calibri"/>
                <w:color w:val="000000"/>
                <w:sz w:val="24"/>
                <w:szCs w:val="24"/>
              </w:rPr>
              <w:t> </w:t>
            </w:r>
          </w:p>
        </w:tc>
        <w:tc>
          <w:tcPr>
            <w:tcW w:w="1403" w:type="dxa"/>
            <w:tcBorders>
              <w:top w:val="nil"/>
              <w:left w:val="nil"/>
              <w:bottom w:val="single" w:color="auto" w:sz="4" w:space="0"/>
              <w:right w:val="nil"/>
            </w:tcBorders>
            <w:shd w:val="clear" w:color="auto" w:fill="auto"/>
            <w:noWrap/>
            <w:vAlign w:val="bottom"/>
            <w:hideMark/>
          </w:tcPr>
          <w:p w:rsidRPr="00387AB6" w:rsidR="00104742" w:rsidP="00573A19" w:rsidRDefault="00104742" w14:paraId="695FB000" w14:textId="77777777">
            <w:pPr>
              <w:rPr>
                <w:rFonts w:cs="Calibri"/>
                <w:color w:val="000000"/>
                <w:sz w:val="24"/>
                <w:szCs w:val="24"/>
              </w:rPr>
            </w:pPr>
            <w:r w:rsidRPr="00387AB6">
              <w:rPr>
                <w:rFonts w:cs="Calibri"/>
                <w:color w:val="000000"/>
                <w:sz w:val="24"/>
                <w:szCs w:val="24"/>
              </w:rPr>
              <w:t> </w:t>
            </w:r>
          </w:p>
        </w:tc>
        <w:tc>
          <w:tcPr>
            <w:tcW w:w="1443" w:type="dxa"/>
            <w:tcBorders>
              <w:top w:val="nil"/>
              <w:left w:val="double" w:color="auto" w:sz="6" w:space="0"/>
              <w:bottom w:val="single" w:color="auto" w:sz="4" w:space="0"/>
              <w:right w:val="single" w:color="auto" w:sz="4" w:space="0"/>
            </w:tcBorders>
            <w:shd w:val="clear" w:color="auto" w:fill="auto"/>
            <w:noWrap/>
            <w:vAlign w:val="bottom"/>
            <w:hideMark/>
          </w:tcPr>
          <w:p w:rsidRPr="00387AB6" w:rsidR="00104742" w:rsidP="00573A19" w:rsidRDefault="00104742" w14:paraId="16EFDC33" w14:textId="77777777">
            <w:pPr>
              <w:rPr>
                <w:rFonts w:cs="Calibri"/>
                <w:color w:val="000000"/>
                <w:sz w:val="24"/>
                <w:szCs w:val="24"/>
              </w:rPr>
            </w:pPr>
            <w:r w:rsidRPr="00387AB6">
              <w:rPr>
                <w:rFonts w:cs="Calibri"/>
                <w:color w:val="000000"/>
                <w:sz w:val="24"/>
                <w:szCs w:val="24"/>
              </w:rPr>
              <w:t> </w:t>
            </w:r>
          </w:p>
        </w:tc>
        <w:tc>
          <w:tcPr>
            <w:tcW w:w="1403" w:type="dxa"/>
            <w:tcBorders>
              <w:top w:val="nil"/>
              <w:left w:val="nil"/>
              <w:bottom w:val="single" w:color="auto" w:sz="4" w:space="0"/>
              <w:right w:val="double" w:color="auto" w:sz="6" w:space="0"/>
            </w:tcBorders>
            <w:shd w:val="clear" w:color="auto" w:fill="auto"/>
            <w:noWrap/>
            <w:vAlign w:val="bottom"/>
            <w:hideMark/>
          </w:tcPr>
          <w:p w:rsidRPr="00387AB6" w:rsidR="00104742" w:rsidP="00573A19" w:rsidRDefault="00104742" w14:paraId="0ADF4F19" w14:textId="77777777">
            <w:pPr>
              <w:rPr>
                <w:rFonts w:cs="Calibri"/>
                <w:color w:val="000000"/>
                <w:sz w:val="24"/>
                <w:szCs w:val="24"/>
              </w:rPr>
            </w:pPr>
            <w:r w:rsidRPr="00387AB6">
              <w:rPr>
                <w:rFonts w:cs="Calibri"/>
                <w:color w:val="000000"/>
                <w:sz w:val="24"/>
                <w:szCs w:val="24"/>
              </w:rPr>
              <w:t> </w:t>
            </w:r>
          </w:p>
        </w:tc>
        <w:tc>
          <w:tcPr>
            <w:tcW w:w="1443" w:type="dxa"/>
            <w:tcBorders>
              <w:top w:val="nil"/>
              <w:left w:val="nil"/>
              <w:bottom w:val="single" w:color="auto" w:sz="4" w:space="0"/>
              <w:right w:val="single" w:color="auto" w:sz="4" w:space="0"/>
            </w:tcBorders>
            <w:shd w:val="clear" w:color="auto" w:fill="auto"/>
            <w:noWrap/>
            <w:vAlign w:val="bottom"/>
            <w:hideMark/>
          </w:tcPr>
          <w:p w:rsidRPr="00387AB6" w:rsidR="00104742" w:rsidP="00573A19" w:rsidRDefault="00104742" w14:paraId="33EA18E5" w14:textId="77777777">
            <w:pPr>
              <w:rPr>
                <w:rFonts w:cs="Calibri"/>
                <w:color w:val="000000"/>
                <w:sz w:val="24"/>
                <w:szCs w:val="24"/>
              </w:rPr>
            </w:pPr>
            <w:r w:rsidRPr="00387AB6">
              <w:rPr>
                <w:rFonts w:cs="Calibri"/>
                <w:color w:val="000000"/>
                <w:sz w:val="24"/>
                <w:szCs w:val="24"/>
              </w:rPr>
              <w:t> </w:t>
            </w:r>
          </w:p>
        </w:tc>
        <w:tc>
          <w:tcPr>
            <w:tcW w:w="1403" w:type="dxa"/>
            <w:tcBorders>
              <w:top w:val="nil"/>
              <w:left w:val="nil"/>
              <w:bottom w:val="single" w:color="auto" w:sz="4" w:space="0"/>
              <w:right w:val="single" w:color="auto" w:sz="8" w:space="0"/>
            </w:tcBorders>
            <w:shd w:val="clear" w:color="auto" w:fill="auto"/>
            <w:noWrap/>
            <w:vAlign w:val="bottom"/>
            <w:hideMark/>
          </w:tcPr>
          <w:p w:rsidRPr="00387AB6" w:rsidR="00104742" w:rsidP="00573A19" w:rsidRDefault="00104742" w14:paraId="36C9E67A" w14:textId="77777777">
            <w:pPr>
              <w:rPr>
                <w:rFonts w:cs="Calibri"/>
                <w:color w:val="000000"/>
                <w:sz w:val="24"/>
                <w:szCs w:val="24"/>
              </w:rPr>
            </w:pPr>
            <w:r w:rsidRPr="00387AB6">
              <w:rPr>
                <w:rFonts w:cs="Calibri"/>
                <w:color w:val="000000"/>
                <w:sz w:val="24"/>
                <w:szCs w:val="24"/>
              </w:rPr>
              <w:t> </w:t>
            </w:r>
          </w:p>
        </w:tc>
      </w:tr>
      <w:tr w:rsidRPr="00387AB6" w:rsidR="00104742" w:rsidTr="00387AB6" w14:paraId="16254CBE" w14:textId="77777777">
        <w:trPr>
          <w:trHeight w:val="300"/>
        </w:trPr>
        <w:tc>
          <w:tcPr>
            <w:tcW w:w="5750" w:type="dxa"/>
            <w:tcBorders>
              <w:top w:val="single" w:color="auto" w:sz="4" w:space="0"/>
              <w:left w:val="single" w:color="auto" w:sz="4" w:space="0"/>
              <w:bottom w:val="single" w:color="auto" w:sz="4" w:space="0"/>
              <w:right w:val="single" w:color="auto" w:sz="4" w:space="0"/>
            </w:tcBorders>
            <w:shd w:val="clear" w:color="000000" w:fill="BFBFBF"/>
            <w:noWrap/>
            <w:vAlign w:val="bottom"/>
            <w:hideMark/>
          </w:tcPr>
          <w:p w:rsidRPr="00387AB6" w:rsidR="00104742" w:rsidP="00573A19" w:rsidRDefault="00104742" w14:paraId="6C30EF50" w14:textId="77777777">
            <w:pPr>
              <w:rPr>
                <w:rFonts w:cs="Calibri"/>
                <w:i/>
                <w:iCs/>
                <w:color w:val="000000"/>
                <w:sz w:val="24"/>
                <w:szCs w:val="24"/>
              </w:rPr>
            </w:pPr>
            <w:r w:rsidRPr="00387AB6">
              <w:rPr>
                <w:rFonts w:cs="Calibri"/>
                <w:i/>
                <w:iCs/>
                <w:color w:val="000000"/>
                <w:sz w:val="24"/>
                <w:szCs w:val="24"/>
              </w:rPr>
              <w:t>Solar PV Customers</w:t>
            </w:r>
          </w:p>
        </w:tc>
        <w:tc>
          <w:tcPr>
            <w:tcW w:w="1443" w:type="dxa"/>
            <w:tcBorders>
              <w:top w:val="single" w:color="auto" w:sz="4" w:space="0"/>
              <w:left w:val="single" w:color="auto" w:sz="4" w:space="0"/>
              <w:bottom w:val="single" w:color="auto" w:sz="4" w:space="0"/>
              <w:right w:val="nil"/>
            </w:tcBorders>
            <w:shd w:val="clear" w:color="000000" w:fill="BFBFBF"/>
            <w:noWrap/>
            <w:vAlign w:val="bottom"/>
            <w:hideMark/>
          </w:tcPr>
          <w:p w:rsidRPr="00387AB6" w:rsidR="00104742" w:rsidP="00573A19" w:rsidRDefault="00104742" w14:paraId="2C59CE51" w14:textId="77777777">
            <w:pPr>
              <w:rPr>
                <w:rFonts w:cs="Calibri"/>
                <w:i/>
                <w:iCs/>
                <w:color w:val="000000"/>
                <w:sz w:val="24"/>
                <w:szCs w:val="24"/>
              </w:rPr>
            </w:pPr>
            <w:r w:rsidRPr="00387AB6">
              <w:rPr>
                <w:rFonts w:cs="Calibri"/>
                <w:i/>
                <w:iCs/>
                <w:color w:val="000000"/>
                <w:sz w:val="24"/>
                <w:szCs w:val="24"/>
              </w:rPr>
              <w:t> </w:t>
            </w:r>
          </w:p>
        </w:tc>
        <w:tc>
          <w:tcPr>
            <w:tcW w:w="1403" w:type="dxa"/>
            <w:tcBorders>
              <w:top w:val="single" w:color="auto" w:sz="4" w:space="0"/>
              <w:left w:val="nil"/>
              <w:bottom w:val="single" w:color="auto" w:sz="4" w:space="0"/>
              <w:right w:val="nil"/>
            </w:tcBorders>
            <w:shd w:val="clear" w:color="000000" w:fill="BFBFBF"/>
            <w:noWrap/>
            <w:vAlign w:val="bottom"/>
            <w:hideMark/>
          </w:tcPr>
          <w:p w:rsidRPr="00387AB6" w:rsidR="00104742" w:rsidP="00573A19" w:rsidRDefault="00104742" w14:paraId="0C4CD5D1" w14:textId="77777777">
            <w:pPr>
              <w:rPr>
                <w:rFonts w:cs="Calibri"/>
                <w:i/>
                <w:iCs/>
                <w:color w:val="000000"/>
                <w:sz w:val="24"/>
                <w:szCs w:val="24"/>
              </w:rPr>
            </w:pPr>
            <w:r w:rsidRPr="00387AB6">
              <w:rPr>
                <w:rFonts w:cs="Calibri"/>
                <w:i/>
                <w:iCs/>
                <w:color w:val="000000"/>
                <w:sz w:val="24"/>
                <w:szCs w:val="24"/>
              </w:rPr>
              <w:t> </w:t>
            </w:r>
          </w:p>
        </w:tc>
        <w:tc>
          <w:tcPr>
            <w:tcW w:w="1443" w:type="dxa"/>
            <w:tcBorders>
              <w:top w:val="single" w:color="auto" w:sz="4" w:space="0"/>
              <w:left w:val="nil"/>
              <w:bottom w:val="single" w:color="auto" w:sz="4" w:space="0"/>
              <w:right w:val="nil"/>
            </w:tcBorders>
            <w:shd w:val="clear" w:color="000000" w:fill="BFBFBF"/>
            <w:noWrap/>
            <w:vAlign w:val="bottom"/>
            <w:hideMark/>
          </w:tcPr>
          <w:p w:rsidRPr="00387AB6" w:rsidR="00104742" w:rsidP="00573A19" w:rsidRDefault="00104742" w14:paraId="7AB364FA" w14:textId="77777777">
            <w:pPr>
              <w:rPr>
                <w:rFonts w:cs="Calibri"/>
                <w:i/>
                <w:iCs/>
                <w:color w:val="000000"/>
                <w:sz w:val="24"/>
                <w:szCs w:val="24"/>
              </w:rPr>
            </w:pPr>
            <w:r w:rsidRPr="00387AB6">
              <w:rPr>
                <w:rFonts w:cs="Calibri"/>
                <w:i/>
                <w:iCs/>
                <w:color w:val="000000"/>
                <w:sz w:val="24"/>
                <w:szCs w:val="24"/>
              </w:rPr>
              <w:t> </w:t>
            </w:r>
          </w:p>
        </w:tc>
        <w:tc>
          <w:tcPr>
            <w:tcW w:w="1403" w:type="dxa"/>
            <w:tcBorders>
              <w:top w:val="single" w:color="auto" w:sz="4" w:space="0"/>
              <w:left w:val="nil"/>
              <w:bottom w:val="single" w:color="auto" w:sz="4" w:space="0"/>
              <w:right w:val="nil"/>
            </w:tcBorders>
            <w:shd w:val="clear" w:color="000000" w:fill="BFBFBF"/>
            <w:noWrap/>
            <w:vAlign w:val="bottom"/>
            <w:hideMark/>
          </w:tcPr>
          <w:p w:rsidRPr="00387AB6" w:rsidR="00104742" w:rsidP="00573A19" w:rsidRDefault="00104742" w14:paraId="4F35B18C" w14:textId="77777777">
            <w:pPr>
              <w:rPr>
                <w:rFonts w:cs="Calibri"/>
                <w:i/>
                <w:iCs/>
                <w:color w:val="000000"/>
                <w:sz w:val="24"/>
                <w:szCs w:val="24"/>
              </w:rPr>
            </w:pPr>
            <w:r w:rsidRPr="00387AB6">
              <w:rPr>
                <w:rFonts w:cs="Calibri"/>
                <w:i/>
                <w:iCs/>
                <w:color w:val="000000"/>
                <w:sz w:val="24"/>
                <w:szCs w:val="24"/>
              </w:rPr>
              <w:t> </w:t>
            </w:r>
          </w:p>
        </w:tc>
        <w:tc>
          <w:tcPr>
            <w:tcW w:w="1443" w:type="dxa"/>
            <w:tcBorders>
              <w:top w:val="single" w:color="auto" w:sz="4" w:space="0"/>
              <w:left w:val="nil"/>
              <w:bottom w:val="single" w:color="auto" w:sz="4" w:space="0"/>
              <w:right w:val="nil"/>
            </w:tcBorders>
            <w:shd w:val="clear" w:color="000000" w:fill="BFBFBF"/>
            <w:noWrap/>
            <w:vAlign w:val="bottom"/>
            <w:hideMark/>
          </w:tcPr>
          <w:p w:rsidRPr="00387AB6" w:rsidR="00104742" w:rsidP="00573A19" w:rsidRDefault="00104742" w14:paraId="59E922E5" w14:textId="77777777">
            <w:pPr>
              <w:rPr>
                <w:rFonts w:cs="Calibri"/>
                <w:i/>
                <w:iCs/>
                <w:color w:val="000000"/>
                <w:sz w:val="24"/>
                <w:szCs w:val="24"/>
              </w:rPr>
            </w:pPr>
            <w:r w:rsidRPr="00387AB6">
              <w:rPr>
                <w:rFonts w:cs="Calibri"/>
                <w:i/>
                <w:iCs/>
                <w:color w:val="000000"/>
                <w:sz w:val="24"/>
                <w:szCs w:val="24"/>
              </w:rPr>
              <w:t> </w:t>
            </w:r>
          </w:p>
        </w:tc>
        <w:tc>
          <w:tcPr>
            <w:tcW w:w="1403" w:type="dxa"/>
            <w:tcBorders>
              <w:top w:val="single" w:color="auto" w:sz="4" w:space="0"/>
              <w:left w:val="nil"/>
              <w:bottom w:val="single" w:color="auto" w:sz="4" w:space="0"/>
              <w:right w:val="nil"/>
            </w:tcBorders>
            <w:shd w:val="clear" w:color="000000" w:fill="BFBFBF"/>
            <w:noWrap/>
            <w:vAlign w:val="bottom"/>
            <w:hideMark/>
          </w:tcPr>
          <w:p w:rsidRPr="00387AB6" w:rsidR="00104742" w:rsidP="00573A19" w:rsidRDefault="00104742" w14:paraId="5FEC9FA1" w14:textId="77777777">
            <w:pPr>
              <w:rPr>
                <w:rFonts w:cs="Calibri"/>
                <w:i/>
                <w:iCs/>
                <w:color w:val="000000"/>
                <w:sz w:val="24"/>
                <w:szCs w:val="24"/>
              </w:rPr>
            </w:pPr>
            <w:r w:rsidRPr="00387AB6">
              <w:rPr>
                <w:rFonts w:cs="Calibri"/>
                <w:i/>
                <w:iCs/>
                <w:color w:val="000000"/>
                <w:sz w:val="24"/>
                <w:szCs w:val="24"/>
              </w:rPr>
              <w:t> </w:t>
            </w:r>
          </w:p>
        </w:tc>
        <w:tc>
          <w:tcPr>
            <w:tcW w:w="1443" w:type="dxa"/>
            <w:tcBorders>
              <w:top w:val="single" w:color="auto" w:sz="4" w:space="0"/>
              <w:left w:val="nil"/>
              <w:bottom w:val="single" w:color="auto" w:sz="4" w:space="0"/>
              <w:right w:val="nil"/>
            </w:tcBorders>
            <w:shd w:val="clear" w:color="000000" w:fill="BFBFBF"/>
            <w:noWrap/>
            <w:vAlign w:val="bottom"/>
            <w:hideMark/>
          </w:tcPr>
          <w:p w:rsidRPr="00387AB6" w:rsidR="00104742" w:rsidP="00573A19" w:rsidRDefault="00104742" w14:paraId="13B4C7AC" w14:textId="77777777">
            <w:pPr>
              <w:rPr>
                <w:rFonts w:cs="Calibri"/>
                <w:i/>
                <w:iCs/>
                <w:color w:val="000000"/>
                <w:sz w:val="24"/>
                <w:szCs w:val="24"/>
              </w:rPr>
            </w:pPr>
            <w:r w:rsidRPr="00387AB6">
              <w:rPr>
                <w:rFonts w:cs="Calibri"/>
                <w:i/>
                <w:iCs/>
                <w:color w:val="000000"/>
                <w:sz w:val="24"/>
                <w:szCs w:val="24"/>
              </w:rPr>
              <w:t> </w:t>
            </w:r>
          </w:p>
        </w:tc>
        <w:tc>
          <w:tcPr>
            <w:tcW w:w="1403" w:type="dxa"/>
            <w:tcBorders>
              <w:top w:val="single" w:color="auto" w:sz="4" w:space="0"/>
              <w:left w:val="nil"/>
              <w:bottom w:val="single" w:color="auto" w:sz="4" w:space="0"/>
              <w:right w:val="nil"/>
            </w:tcBorders>
            <w:shd w:val="clear" w:color="000000" w:fill="BFBFBF"/>
            <w:noWrap/>
            <w:vAlign w:val="bottom"/>
            <w:hideMark/>
          </w:tcPr>
          <w:p w:rsidRPr="00387AB6" w:rsidR="00104742" w:rsidP="00573A19" w:rsidRDefault="00104742" w14:paraId="195CBF58" w14:textId="77777777">
            <w:pPr>
              <w:rPr>
                <w:rFonts w:cs="Calibri"/>
                <w:i/>
                <w:iCs/>
                <w:color w:val="000000"/>
                <w:sz w:val="24"/>
                <w:szCs w:val="24"/>
              </w:rPr>
            </w:pPr>
            <w:r w:rsidRPr="00387AB6">
              <w:rPr>
                <w:rFonts w:cs="Calibri"/>
                <w:i/>
                <w:iCs/>
                <w:color w:val="000000"/>
                <w:sz w:val="24"/>
                <w:szCs w:val="24"/>
              </w:rPr>
              <w:t> </w:t>
            </w:r>
          </w:p>
        </w:tc>
      </w:tr>
      <w:tr w:rsidRPr="00387AB6" w:rsidR="00104742" w:rsidTr="00387AB6" w14:paraId="02549A1D" w14:textId="77777777">
        <w:trPr>
          <w:trHeight w:val="278"/>
        </w:trPr>
        <w:tc>
          <w:tcPr>
            <w:tcW w:w="575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387AB6" w:rsidR="00104742" w:rsidP="00573A19" w:rsidRDefault="00104742" w14:paraId="2FFDCA39" w14:textId="151D9B61">
            <w:pPr>
              <w:rPr>
                <w:rFonts w:cs="Calibri"/>
                <w:color w:val="000000"/>
                <w:sz w:val="24"/>
                <w:szCs w:val="24"/>
              </w:rPr>
            </w:pPr>
            <w:r w:rsidRPr="00387AB6">
              <w:rPr>
                <w:rFonts w:cs="Calibri"/>
                <w:color w:val="000000"/>
                <w:sz w:val="24"/>
                <w:szCs w:val="24"/>
              </w:rPr>
              <w:t>Customers with Onsite Solar Generation</w:t>
            </w:r>
          </w:p>
        </w:tc>
        <w:tc>
          <w:tcPr>
            <w:tcW w:w="1443" w:type="dxa"/>
            <w:tcBorders>
              <w:top w:val="nil"/>
              <w:left w:val="single" w:color="auto" w:sz="4" w:space="0"/>
              <w:bottom w:val="single" w:color="auto" w:sz="4" w:space="0"/>
              <w:right w:val="single" w:color="auto" w:sz="4" w:space="0"/>
            </w:tcBorders>
            <w:shd w:val="clear" w:color="auto" w:fill="auto"/>
            <w:noWrap/>
            <w:vAlign w:val="bottom"/>
            <w:hideMark/>
          </w:tcPr>
          <w:p w:rsidRPr="00387AB6" w:rsidR="00104742" w:rsidP="00573A19" w:rsidRDefault="00104742" w14:paraId="3643C533" w14:textId="77777777">
            <w:pPr>
              <w:rPr>
                <w:rFonts w:cs="Calibri"/>
                <w:color w:val="000000"/>
                <w:sz w:val="24"/>
                <w:szCs w:val="24"/>
              </w:rPr>
            </w:pPr>
            <w:r w:rsidRPr="00387AB6">
              <w:rPr>
                <w:rFonts w:cs="Calibri"/>
                <w:color w:val="000000"/>
                <w:sz w:val="24"/>
                <w:szCs w:val="24"/>
              </w:rPr>
              <w:t> </w:t>
            </w:r>
          </w:p>
        </w:tc>
        <w:tc>
          <w:tcPr>
            <w:tcW w:w="1403" w:type="dxa"/>
            <w:tcBorders>
              <w:top w:val="nil"/>
              <w:left w:val="nil"/>
              <w:bottom w:val="single" w:color="auto" w:sz="4" w:space="0"/>
              <w:right w:val="double" w:color="auto" w:sz="6" w:space="0"/>
            </w:tcBorders>
            <w:shd w:val="clear" w:color="auto" w:fill="auto"/>
            <w:noWrap/>
            <w:vAlign w:val="bottom"/>
            <w:hideMark/>
          </w:tcPr>
          <w:p w:rsidRPr="00387AB6" w:rsidR="00104742" w:rsidP="00573A19" w:rsidRDefault="00104742" w14:paraId="60F0FCDB" w14:textId="77777777">
            <w:pPr>
              <w:rPr>
                <w:rFonts w:cs="Calibri"/>
                <w:color w:val="000000"/>
                <w:sz w:val="24"/>
                <w:szCs w:val="24"/>
              </w:rPr>
            </w:pPr>
            <w:r w:rsidRPr="00387AB6">
              <w:rPr>
                <w:rFonts w:cs="Calibri"/>
                <w:color w:val="000000"/>
                <w:sz w:val="24"/>
                <w:szCs w:val="24"/>
              </w:rPr>
              <w:t> </w:t>
            </w:r>
          </w:p>
        </w:tc>
        <w:tc>
          <w:tcPr>
            <w:tcW w:w="1443" w:type="dxa"/>
            <w:tcBorders>
              <w:top w:val="nil"/>
              <w:left w:val="nil"/>
              <w:bottom w:val="single" w:color="auto" w:sz="4" w:space="0"/>
              <w:right w:val="nil"/>
            </w:tcBorders>
            <w:shd w:val="clear" w:color="auto" w:fill="auto"/>
            <w:noWrap/>
            <w:vAlign w:val="bottom"/>
            <w:hideMark/>
          </w:tcPr>
          <w:p w:rsidRPr="00387AB6" w:rsidR="00104742" w:rsidP="00573A19" w:rsidRDefault="00104742" w14:paraId="18215AC4" w14:textId="77777777">
            <w:pPr>
              <w:rPr>
                <w:rFonts w:cs="Calibri"/>
                <w:color w:val="000000"/>
                <w:sz w:val="24"/>
                <w:szCs w:val="24"/>
              </w:rPr>
            </w:pPr>
            <w:r w:rsidRPr="00387AB6">
              <w:rPr>
                <w:rFonts w:cs="Calibri"/>
                <w:color w:val="000000"/>
                <w:sz w:val="24"/>
                <w:szCs w:val="24"/>
              </w:rPr>
              <w:t> </w:t>
            </w:r>
          </w:p>
        </w:tc>
        <w:tc>
          <w:tcPr>
            <w:tcW w:w="1403" w:type="dxa"/>
            <w:tcBorders>
              <w:top w:val="nil"/>
              <w:left w:val="nil"/>
              <w:bottom w:val="single" w:color="auto" w:sz="4" w:space="0"/>
              <w:right w:val="nil"/>
            </w:tcBorders>
            <w:shd w:val="clear" w:color="auto" w:fill="auto"/>
            <w:noWrap/>
            <w:vAlign w:val="bottom"/>
            <w:hideMark/>
          </w:tcPr>
          <w:p w:rsidRPr="00387AB6" w:rsidR="00104742" w:rsidP="00573A19" w:rsidRDefault="00104742" w14:paraId="52A3D8AF" w14:textId="77777777">
            <w:pPr>
              <w:rPr>
                <w:rFonts w:cs="Calibri"/>
                <w:color w:val="000000"/>
                <w:sz w:val="24"/>
                <w:szCs w:val="24"/>
              </w:rPr>
            </w:pPr>
            <w:r w:rsidRPr="00387AB6">
              <w:rPr>
                <w:rFonts w:cs="Calibri"/>
                <w:color w:val="000000"/>
                <w:sz w:val="24"/>
                <w:szCs w:val="24"/>
              </w:rPr>
              <w:t> </w:t>
            </w:r>
          </w:p>
        </w:tc>
        <w:tc>
          <w:tcPr>
            <w:tcW w:w="1443" w:type="dxa"/>
            <w:tcBorders>
              <w:top w:val="nil"/>
              <w:left w:val="double" w:color="auto" w:sz="6" w:space="0"/>
              <w:bottom w:val="single" w:color="auto" w:sz="4" w:space="0"/>
              <w:right w:val="single" w:color="auto" w:sz="4" w:space="0"/>
            </w:tcBorders>
            <w:shd w:val="clear" w:color="auto" w:fill="auto"/>
            <w:noWrap/>
            <w:vAlign w:val="bottom"/>
            <w:hideMark/>
          </w:tcPr>
          <w:p w:rsidRPr="00387AB6" w:rsidR="00104742" w:rsidP="00573A19" w:rsidRDefault="00104742" w14:paraId="72BC965A" w14:textId="77777777">
            <w:pPr>
              <w:rPr>
                <w:rFonts w:cs="Calibri"/>
                <w:color w:val="000000"/>
                <w:sz w:val="24"/>
                <w:szCs w:val="24"/>
              </w:rPr>
            </w:pPr>
            <w:r w:rsidRPr="00387AB6">
              <w:rPr>
                <w:rFonts w:cs="Calibri"/>
                <w:color w:val="000000"/>
                <w:sz w:val="24"/>
                <w:szCs w:val="24"/>
              </w:rPr>
              <w:t> </w:t>
            </w:r>
          </w:p>
        </w:tc>
        <w:tc>
          <w:tcPr>
            <w:tcW w:w="1403" w:type="dxa"/>
            <w:tcBorders>
              <w:top w:val="nil"/>
              <w:left w:val="nil"/>
              <w:bottom w:val="single" w:color="auto" w:sz="4" w:space="0"/>
              <w:right w:val="double" w:color="auto" w:sz="6" w:space="0"/>
            </w:tcBorders>
            <w:shd w:val="clear" w:color="auto" w:fill="auto"/>
            <w:noWrap/>
            <w:vAlign w:val="bottom"/>
            <w:hideMark/>
          </w:tcPr>
          <w:p w:rsidRPr="00387AB6" w:rsidR="00104742" w:rsidP="00573A19" w:rsidRDefault="00104742" w14:paraId="47E0E04C" w14:textId="77777777">
            <w:pPr>
              <w:rPr>
                <w:rFonts w:cs="Calibri"/>
                <w:color w:val="000000"/>
                <w:sz w:val="24"/>
                <w:szCs w:val="24"/>
              </w:rPr>
            </w:pPr>
            <w:r w:rsidRPr="00387AB6">
              <w:rPr>
                <w:rFonts w:cs="Calibri"/>
                <w:color w:val="000000"/>
                <w:sz w:val="24"/>
                <w:szCs w:val="24"/>
              </w:rPr>
              <w:t> </w:t>
            </w:r>
          </w:p>
        </w:tc>
        <w:tc>
          <w:tcPr>
            <w:tcW w:w="1443" w:type="dxa"/>
            <w:tcBorders>
              <w:top w:val="nil"/>
              <w:left w:val="nil"/>
              <w:bottom w:val="single" w:color="auto" w:sz="4" w:space="0"/>
              <w:right w:val="single" w:color="auto" w:sz="4" w:space="0"/>
            </w:tcBorders>
            <w:shd w:val="clear" w:color="auto" w:fill="auto"/>
            <w:noWrap/>
            <w:vAlign w:val="bottom"/>
            <w:hideMark/>
          </w:tcPr>
          <w:p w:rsidRPr="00387AB6" w:rsidR="00104742" w:rsidP="00573A19" w:rsidRDefault="00104742" w14:paraId="1909A924" w14:textId="77777777">
            <w:pPr>
              <w:rPr>
                <w:rFonts w:cs="Calibri"/>
                <w:color w:val="000000"/>
                <w:sz w:val="24"/>
                <w:szCs w:val="24"/>
              </w:rPr>
            </w:pPr>
            <w:r w:rsidRPr="00387AB6">
              <w:rPr>
                <w:rFonts w:cs="Calibri"/>
                <w:color w:val="000000"/>
                <w:sz w:val="24"/>
                <w:szCs w:val="24"/>
              </w:rPr>
              <w:t> </w:t>
            </w:r>
          </w:p>
        </w:tc>
        <w:tc>
          <w:tcPr>
            <w:tcW w:w="1403" w:type="dxa"/>
            <w:tcBorders>
              <w:top w:val="nil"/>
              <w:left w:val="nil"/>
              <w:bottom w:val="single" w:color="auto" w:sz="4" w:space="0"/>
              <w:right w:val="single" w:color="auto" w:sz="8" w:space="0"/>
            </w:tcBorders>
            <w:shd w:val="clear" w:color="auto" w:fill="auto"/>
            <w:noWrap/>
            <w:vAlign w:val="bottom"/>
            <w:hideMark/>
          </w:tcPr>
          <w:p w:rsidRPr="00387AB6" w:rsidR="00104742" w:rsidP="00573A19" w:rsidRDefault="00104742" w14:paraId="22AA8247" w14:textId="77777777">
            <w:pPr>
              <w:rPr>
                <w:rFonts w:cs="Calibri"/>
                <w:color w:val="000000"/>
                <w:sz w:val="24"/>
                <w:szCs w:val="24"/>
              </w:rPr>
            </w:pPr>
            <w:r w:rsidRPr="00387AB6">
              <w:rPr>
                <w:rFonts w:cs="Calibri"/>
                <w:color w:val="000000"/>
                <w:sz w:val="24"/>
                <w:szCs w:val="24"/>
              </w:rPr>
              <w:t> </w:t>
            </w:r>
          </w:p>
        </w:tc>
      </w:tr>
      <w:tr w:rsidRPr="00387AB6" w:rsidR="00104742" w:rsidTr="00387AB6" w14:paraId="24470CA3" w14:textId="77777777">
        <w:trPr>
          <w:trHeight w:val="260"/>
        </w:trPr>
        <w:tc>
          <w:tcPr>
            <w:tcW w:w="575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387AB6" w:rsidR="00104742" w:rsidP="00573A19" w:rsidRDefault="00104742" w14:paraId="02A9067B" w14:textId="2BDEA81D">
            <w:pPr>
              <w:rPr>
                <w:rFonts w:cs="Calibri"/>
                <w:color w:val="000000"/>
                <w:sz w:val="24"/>
                <w:szCs w:val="24"/>
              </w:rPr>
            </w:pPr>
            <w:r w:rsidRPr="00387AB6">
              <w:rPr>
                <w:rFonts w:cs="Calibri"/>
                <w:color w:val="000000"/>
                <w:sz w:val="24"/>
                <w:szCs w:val="24"/>
              </w:rPr>
              <w:t>Customers with Onsite Solar +Battery storage</w:t>
            </w:r>
          </w:p>
        </w:tc>
        <w:tc>
          <w:tcPr>
            <w:tcW w:w="1443" w:type="dxa"/>
            <w:tcBorders>
              <w:top w:val="nil"/>
              <w:left w:val="single" w:color="auto" w:sz="4" w:space="0"/>
              <w:bottom w:val="nil"/>
              <w:right w:val="single" w:color="auto" w:sz="4" w:space="0"/>
            </w:tcBorders>
            <w:shd w:val="clear" w:color="auto" w:fill="auto"/>
            <w:noWrap/>
            <w:vAlign w:val="bottom"/>
            <w:hideMark/>
          </w:tcPr>
          <w:p w:rsidRPr="00387AB6" w:rsidR="00104742" w:rsidP="00573A19" w:rsidRDefault="00104742" w14:paraId="296A5C27" w14:textId="77777777">
            <w:pPr>
              <w:rPr>
                <w:rFonts w:cs="Calibri"/>
                <w:color w:val="000000"/>
                <w:sz w:val="24"/>
                <w:szCs w:val="24"/>
              </w:rPr>
            </w:pPr>
            <w:r w:rsidRPr="00387AB6">
              <w:rPr>
                <w:rFonts w:cs="Calibri"/>
                <w:color w:val="000000"/>
                <w:sz w:val="24"/>
                <w:szCs w:val="24"/>
              </w:rPr>
              <w:t> </w:t>
            </w:r>
          </w:p>
        </w:tc>
        <w:tc>
          <w:tcPr>
            <w:tcW w:w="1403" w:type="dxa"/>
            <w:tcBorders>
              <w:top w:val="nil"/>
              <w:left w:val="nil"/>
              <w:bottom w:val="nil"/>
              <w:right w:val="double" w:color="auto" w:sz="6" w:space="0"/>
            </w:tcBorders>
            <w:shd w:val="clear" w:color="auto" w:fill="auto"/>
            <w:noWrap/>
            <w:vAlign w:val="bottom"/>
            <w:hideMark/>
          </w:tcPr>
          <w:p w:rsidRPr="00387AB6" w:rsidR="00104742" w:rsidP="00573A19" w:rsidRDefault="00104742" w14:paraId="705E08DF" w14:textId="77777777">
            <w:pPr>
              <w:rPr>
                <w:rFonts w:cs="Calibri"/>
                <w:color w:val="000000"/>
                <w:sz w:val="24"/>
                <w:szCs w:val="24"/>
              </w:rPr>
            </w:pPr>
            <w:r w:rsidRPr="00387AB6">
              <w:rPr>
                <w:rFonts w:cs="Calibri"/>
                <w:color w:val="000000"/>
                <w:sz w:val="24"/>
                <w:szCs w:val="24"/>
              </w:rPr>
              <w:t> </w:t>
            </w:r>
          </w:p>
        </w:tc>
        <w:tc>
          <w:tcPr>
            <w:tcW w:w="1443" w:type="dxa"/>
            <w:tcBorders>
              <w:top w:val="nil"/>
              <w:left w:val="nil"/>
              <w:bottom w:val="nil"/>
              <w:right w:val="nil"/>
            </w:tcBorders>
            <w:shd w:val="clear" w:color="auto" w:fill="auto"/>
            <w:noWrap/>
            <w:vAlign w:val="bottom"/>
            <w:hideMark/>
          </w:tcPr>
          <w:p w:rsidRPr="00387AB6" w:rsidR="00104742" w:rsidP="00573A19" w:rsidRDefault="00104742" w14:paraId="62873ADC" w14:textId="77777777">
            <w:pPr>
              <w:rPr>
                <w:rFonts w:cs="Calibri"/>
                <w:color w:val="000000"/>
                <w:sz w:val="24"/>
                <w:szCs w:val="24"/>
              </w:rPr>
            </w:pPr>
            <w:r w:rsidRPr="00387AB6">
              <w:rPr>
                <w:rFonts w:cs="Calibri"/>
                <w:color w:val="000000"/>
                <w:sz w:val="24"/>
                <w:szCs w:val="24"/>
              </w:rPr>
              <w:t> </w:t>
            </w:r>
          </w:p>
        </w:tc>
        <w:tc>
          <w:tcPr>
            <w:tcW w:w="1403" w:type="dxa"/>
            <w:tcBorders>
              <w:top w:val="nil"/>
              <w:left w:val="nil"/>
              <w:bottom w:val="nil"/>
              <w:right w:val="nil"/>
            </w:tcBorders>
            <w:shd w:val="clear" w:color="auto" w:fill="auto"/>
            <w:noWrap/>
            <w:vAlign w:val="bottom"/>
            <w:hideMark/>
          </w:tcPr>
          <w:p w:rsidRPr="00387AB6" w:rsidR="00104742" w:rsidP="00573A19" w:rsidRDefault="00104742" w14:paraId="78EA00D4" w14:textId="77777777">
            <w:pPr>
              <w:rPr>
                <w:rFonts w:cs="Calibri"/>
                <w:color w:val="000000"/>
                <w:sz w:val="24"/>
                <w:szCs w:val="24"/>
              </w:rPr>
            </w:pPr>
            <w:r w:rsidRPr="00387AB6">
              <w:rPr>
                <w:rFonts w:cs="Calibri"/>
                <w:color w:val="000000"/>
                <w:sz w:val="24"/>
                <w:szCs w:val="24"/>
              </w:rPr>
              <w:t> </w:t>
            </w:r>
          </w:p>
        </w:tc>
        <w:tc>
          <w:tcPr>
            <w:tcW w:w="1443" w:type="dxa"/>
            <w:tcBorders>
              <w:top w:val="nil"/>
              <w:left w:val="double" w:color="auto" w:sz="6" w:space="0"/>
              <w:bottom w:val="nil"/>
              <w:right w:val="single" w:color="auto" w:sz="4" w:space="0"/>
            </w:tcBorders>
            <w:shd w:val="clear" w:color="auto" w:fill="auto"/>
            <w:noWrap/>
            <w:vAlign w:val="bottom"/>
            <w:hideMark/>
          </w:tcPr>
          <w:p w:rsidRPr="00387AB6" w:rsidR="00104742" w:rsidP="00573A19" w:rsidRDefault="00104742" w14:paraId="442ECF55" w14:textId="77777777">
            <w:pPr>
              <w:rPr>
                <w:rFonts w:cs="Calibri"/>
                <w:color w:val="000000"/>
                <w:sz w:val="24"/>
                <w:szCs w:val="24"/>
              </w:rPr>
            </w:pPr>
            <w:r w:rsidRPr="00387AB6">
              <w:rPr>
                <w:rFonts w:cs="Calibri"/>
                <w:color w:val="000000"/>
                <w:sz w:val="24"/>
                <w:szCs w:val="24"/>
              </w:rPr>
              <w:t> </w:t>
            </w:r>
          </w:p>
        </w:tc>
        <w:tc>
          <w:tcPr>
            <w:tcW w:w="1403" w:type="dxa"/>
            <w:tcBorders>
              <w:top w:val="nil"/>
              <w:left w:val="nil"/>
              <w:bottom w:val="nil"/>
              <w:right w:val="double" w:color="auto" w:sz="6" w:space="0"/>
            </w:tcBorders>
            <w:shd w:val="clear" w:color="auto" w:fill="auto"/>
            <w:noWrap/>
            <w:vAlign w:val="bottom"/>
            <w:hideMark/>
          </w:tcPr>
          <w:p w:rsidRPr="00387AB6" w:rsidR="00104742" w:rsidP="00573A19" w:rsidRDefault="00104742" w14:paraId="52D4D5B5" w14:textId="77777777">
            <w:pPr>
              <w:rPr>
                <w:rFonts w:cs="Calibri"/>
                <w:color w:val="000000"/>
                <w:sz w:val="24"/>
                <w:szCs w:val="24"/>
              </w:rPr>
            </w:pPr>
            <w:r w:rsidRPr="00387AB6">
              <w:rPr>
                <w:rFonts w:cs="Calibri"/>
                <w:color w:val="000000"/>
                <w:sz w:val="24"/>
                <w:szCs w:val="24"/>
              </w:rPr>
              <w:t> </w:t>
            </w:r>
          </w:p>
        </w:tc>
        <w:tc>
          <w:tcPr>
            <w:tcW w:w="1443" w:type="dxa"/>
            <w:tcBorders>
              <w:top w:val="nil"/>
              <w:left w:val="nil"/>
              <w:bottom w:val="nil"/>
              <w:right w:val="single" w:color="auto" w:sz="4" w:space="0"/>
            </w:tcBorders>
            <w:shd w:val="clear" w:color="auto" w:fill="auto"/>
            <w:noWrap/>
            <w:vAlign w:val="bottom"/>
            <w:hideMark/>
          </w:tcPr>
          <w:p w:rsidRPr="00387AB6" w:rsidR="00104742" w:rsidP="00573A19" w:rsidRDefault="00104742" w14:paraId="4A1754D3" w14:textId="77777777">
            <w:pPr>
              <w:rPr>
                <w:rFonts w:cs="Calibri"/>
                <w:color w:val="000000"/>
                <w:sz w:val="24"/>
                <w:szCs w:val="24"/>
              </w:rPr>
            </w:pPr>
            <w:r w:rsidRPr="00387AB6">
              <w:rPr>
                <w:rFonts w:cs="Calibri"/>
                <w:color w:val="000000"/>
                <w:sz w:val="24"/>
                <w:szCs w:val="24"/>
              </w:rPr>
              <w:t> </w:t>
            </w:r>
          </w:p>
        </w:tc>
        <w:tc>
          <w:tcPr>
            <w:tcW w:w="1403" w:type="dxa"/>
            <w:tcBorders>
              <w:top w:val="nil"/>
              <w:left w:val="nil"/>
              <w:bottom w:val="nil"/>
              <w:right w:val="single" w:color="auto" w:sz="8" w:space="0"/>
            </w:tcBorders>
            <w:shd w:val="clear" w:color="auto" w:fill="auto"/>
            <w:noWrap/>
            <w:vAlign w:val="bottom"/>
            <w:hideMark/>
          </w:tcPr>
          <w:p w:rsidRPr="00387AB6" w:rsidR="00104742" w:rsidP="00573A19" w:rsidRDefault="00104742" w14:paraId="7C1DF4D8" w14:textId="77777777">
            <w:pPr>
              <w:rPr>
                <w:rFonts w:cs="Calibri"/>
                <w:color w:val="000000"/>
                <w:sz w:val="24"/>
                <w:szCs w:val="24"/>
              </w:rPr>
            </w:pPr>
            <w:r w:rsidRPr="00387AB6">
              <w:rPr>
                <w:rFonts w:cs="Calibri"/>
                <w:color w:val="000000"/>
                <w:sz w:val="24"/>
                <w:szCs w:val="24"/>
              </w:rPr>
              <w:t> </w:t>
            </w:r>
          </w:p>
        </w:tc>
      </w:tr>
      <w:tr w:rsidRPr="00387AB6" w:rsidR="00104742" w:rsidTr="00387AB6" w14:paraId="64482426" w14:textId="77777777">
        <w:trPr>
          <w:trHeight w:val="300"/>
        </w:trPr>
        <w:tc>
          <w:tcPr>
            <w:tcW w:w="5750" w:type="dxa"/>
            <w:tcBorders>
              <w:top w:val="single" w:color="auto" w:sz="4" w:space="0"/>
              <w:left w:val="single" w:color="auto" w:sz="4" w:space="0"/>
              <w:bottom w:val="single" w:color="auto" w:sz="4" w:space="0"/>
              <w:right w:val="single" w:color="auto" w:sz="4" w:space="0"/>
            </w:tcBorders>
            <w:shd w:val="clear" w:color="000000" w:fill="BFBFBF"/>
            <w:vAlign w:val="bottom"/>
            <w:hideMark/>
          </w:tcPr>
          <w:p w:rsidRPr="00387AB6" w:rsidR="00104742" w:rsidP="00573A19" w:rsidRDefault="00104742" w14:paraId="54BCA0F4" w14:textId="77777777">
            <w:pPr>
              <w:rPr>
                <w:rFonts w:cs="Calibri"/>
                <w:i/>
                <w:iCs/>
                <w:color w:val="000000"/>
                <w:sz w:val="24"/>
                <w:szCs w:val="24"/>
              </w:rPr>
            </w:pPr>
            <w:r w:rsidRPr="00387AB6">
              <w:rPr>
                <w:rFonts w:cs="Calibri"/>
                <w:i/>
                <w:iCs/>
                <w:color w:val="000000"/>
                <w:sz w:val="24"/>
                <w:szCs w:val="24"/>
              </w:rPr>
              <w:t>Master-metered Customers</w:t>
            </w:r>
          </w:p>
        </w:tc>
        <w:tc>
          <w:tcPr>
            <w:tcW w:w="1443" w:type="dxa"/>
            <w:tcBorders>
              <w:top w:val="single" w:color="auto" w:sz="4" w:space="0"/>
              <w:left w:val="single" w:color="auto" w:sz="4" w:space="0"/>
              <w:bottom w:val="single" w:color="auto" w:sz="4" w:space="0"/>
              <w:right w:val="single" w:color="auto" w:sz="4" w:space="0"/>
            </w:tcBorders>
            <w:shd w:val="clear" w:color="000000" w:fill="BFBFBF"/>
            <w:noWrap/>
            <w:vAlign w:val="bottom"/>
            <w:hideMark/>
          </w:tcPr>
          <w:p w:rsidRPr="00387AB6" w:rsidR="00104742" w:rsidP="00573A19" w:rsidRDefault="00104742" w14:paraId="6377A561" w14:textId="77777777">
            <w:pPr>
              <w:rPr>
                <w:rFonts w:cs="Calibri"/>
                <w:color w:val="000000"/>
                <w:sz w:val="24"/>
                <w:szCs w:val="24"/>
              </w:rPr>
            </w:pPr>
            <w:r w:rsidRPr="00387AB6">
              <w:rPr>
                <w:rFonts w:cs="Calibri"/>
                <w:color w:val="000000"/>
                <w:sz w:val="24"/>
                <w:szCs w:val="24"/>
              </w:rPr>
              <w:t> </w:t>
            </w:r>
          </w:p>
        </w:tc>
        <w:tc>
          <w:tcPr>
            <w:tcW w:w="1403" w:type="dxa"/>
            <w:tcBorders>
              <w:top w:val="single" w:color="auto" w:sz="4" w:space="0"/>
              <w:left w:val="nil"/>
              <w:bottom w:val="single" w:color="auto" w:sz="4" w:space="0"/>
              <w:right w:val="double" w:color="auto" w:sz="6" w:space="0"/>
            </w:tcBorders>
            <w:shd w:val="clear" w:color="000000" w:fill="BFBFBF"/>
            <w:noWrap/>
            <w:vAlign w:val="bottom"/>
            <w:hideMark/>
          </w:tcPr>
          <w:p w:rsidRPr="00387AB6" w:rsidR="00104742" w:rsidP="00573A19" w:rsidRDefault="00104742" w14:paraId="001053EF" w14:textId="77777777">
            <w:pPr>
              <w:rPr>
                <w:rFonts w:cs="Calibri"/>
                <w:color w:val="000000"/>
                <w:sz w:val="24"/>
                <w:szCs w:val="24"/>
              </w:rPr>
            </w:pPr>
            <w:r w:rsidRPr="00387AB6">
              <w:rPr>
                <w:rFonts w:cs="Calibri"/>
                <w:color w:val="000000"/>
                <w:sz w:val="24"/>
                <w:szCs w:val="24"/>
              </w:rPr>
              <w:t> </w:t>
            </w:r>
          </w:p>
        </w:tc>
        <w:tc>
          <w:tcPr>
            <w:tcW w:w="1443" w:type="dxa"/>
            <w:tcBorders>
              <w:top w:val="single" w:color="auto" w:sz="4" w:space="0"/>
              <w:left w:val="nil"/>
              <w:bottom w:val="single" w:color="auto" w:sz="4" w:space="0"/>
              <w:right w:val="nil"/>
            </w:tcBorders>
            <w:shd w:val="clear" w:color="000000" w:fill="BFBFBF"/>
            <w:noWrap/>
            <w:vAlign w:val="bottom"/>
            <w:hideMark/>
          </w:tcPr>
          <w:p w:rsidRPr="00387AB6" w:rsidR="00104742" w:rsidP="00573A19" w:rsidRDefault="00104742" w14:paraId="0D709533" w14:textId="77777777">
            <w:pPr>
              <w:rPr>
                <w:rFonts w:cs="Calibri"/>
                <w:color w:val="000000"/>
                <w:sz w:val="24"/>
                <w:szCs w:val="24"/>
              </w:rPr>
            </w:pPr>
            <w:r w:rsidRPr="00387AB6">
              <w:rPr>
                <w:rFonts w:cs="Calibri"/>
                <w:color w:val="000000"/>
                <w:sz w:val="24"/>
                <w:szCs w:val="24"/>
              </w:rPr>
              <w:t> </w:t>
            </w:r>
          </w:p>
        </w:tc>
        <w:tc>
          <w:tcPr>
            <w:tcW w:w="1403" w:type="dxa"/>
            <w:tcBorders>
              <w:top w:val="single" w:color="auto" w:sz="4" w:space="0"/>
              <w:left w:val="nil"/>
              <w:bottom w:val="single" w:color="auto" w:sz="4" w:space="0"/>
              <w:right w:val="nil"/>
            </w:tcBorders>
            <w:shd w:val="clear" w:color="000000" w:fill="BFBFBF"/>
            <w:noWrap/>
            <w:vAlign w:val="bottom"/>
            <w:hideMark/>
          </w:tcPr>
          <w:p w:rsidRPr="00387AB6" w:rsidR="00104742" w:rsidP="00573A19" w:rsidRDefault="00104742" w14:paraId="331880CC" w14:textId="77777777">
            <w:pPr>
              <w:rPr>
                <w:rFonts w:cs="Calibri"/>
                <w:color w:val="000000"/>
                <w:sz w:val="24"/>
                <w:szCs w:val="24"/>
              </w:rPr>
            </w:pPr>
            <w:r w:rsidRPr="00387AB6">
              <w:rPr>
                <w:rFonts w:cs="Calibri"/>
                <w:color w:val="000000"/>
                <w:sz w:val="24"/>
                <w:szCs w:val="24"/>
              </w:rPr>
              <w:t> </w:t>
            </w:r>
          </w:p>
        </w:tc>
        <w:tc>
          <w:tcPr>
            <w:tcW w:w="1443" w:type="dxa"/>
            <w:tcBorders>
              <w:top w:val="single" w:color="auto" w:sz="4" w:space="0"/>
              <w:left w:val="double" w:color="auto" w:sz="6" w:space="0"/>
              <w:bottom w:val="single" w:color="auto" w:sz="4" w:space="0"/>
              <w:right w:val="single" w:color="auto" w:sz="4" w:space="0"/>
            </w:tcBorders>
            <w:shd w:val="clear" w:color="000000" w:fill="BFBFBF"/>
            <w:noWrap/>
            <w:vAlign w:val="bottom"/>
            <w:hideMark/>
          </w:tcPr>
          <w:p w:rsidRPr="00387AB6" w:rsidR="00104742" w:rsidP="00573A19" w:rsidRDefault="00104742" w14:paraId="4E11ED3E" w14:textId="77777777">
            <w:pPr>
              <w:rPr>
                <w:rFonts w:cs="Calibri"/>
                <w:color w:val="000000"/>
                <w:sz w:val="24"/>
                <w:szCs w:val="24"/>
              </w:rPr>
            </w:pPr>
            <w:r w:rsidRPr="00387AB6">
              <w:rPr>
                <w:rFonts w:cs="Calibri"/>
                <w:color w:val="000000"/>
                <w:sz w:val="24"/>
                <w:szCs w:val="24"/>
              </w:rPr>
              <w:t> </w:t>
            </w:r>
          </w:p>
        </w:tc>
        <w:tc>
          <w:tcPr>
            <w:tcW w:w="1403" w:type="dxa"/>
            <w:tcBorders>
              <w:top w:val="single" w:color="auto" w:sz="4" w:space="0"/>
              <w:left w:val="nil"/>
              <w:bottom w:val="single" w:color="auto" w:sz="4" w:space="0"/>
              <w:right w:val="double" w:color="auto" w:sz="6" w:space="0"/>
            </w:tcBorders>
            <w:shd w:val="clear" w:color="000000" w:fill="BFBFBF"/>
            <w:noWrap/>
            <w:vAlign w:val="bottom"/>
            <w:hideMark/>
          </w:tcPr>
          <w:p w:rsidRPr="00387AB6" w:rsidR="00104742" w:rsidP="00573A19" w:rsidRDefault="00104742" w14:paraId="20C730B4" w14:textId="77777777">
            <w:pPr>
              <w:rPr>
                <w:rFonts w:cs="Calibri"/>
                <w:color w:val="000000"/>
                <w:sz w:val="24"/>
                <w:szCs w:val="24"/>
              </w:rPr>
            </w:pPr>
            <w:r w:rsidRPr="00387AB6">
              <w:rPr>
                <w:rFonts w:cs="Calibri"/>
                <w:color w:val="000000"/>
                <w:sz w:val="24"/>
                <w:szCs w:val="24"/>
              </w:rPr>
              <w:t> </w:t>
            </w:r>
          </w:p>
        </w:tc>
        <w:tc>
          <w:tcPr>
            <w:tcW w:w="1443" w:type="dxa"/>
            <w:tcBorders>
              <w:top w:val="single" w:color="auto" w:sz="4" w:space="0"/>
              <w:left w:val="nil"/>
              <w:bottom w:val="single" w:color="auto" w:sz="4" w:space="0"/>
              <w:right w:val="single" w:color="auto" w:sz="4" w:space="0"/>
            </w:tcBorders>
            <w:shd w:val="clear" w:color="000000" w:fill="BFBFBF"/>
            <w:noWrap/>
            <w:vAlign w:val="bottom"/>
            <w:hideMark/>
          </w:tcPr>
          <w:p w:rsidRPr="00387AB6" w:rsidR="00104742" w:rsidP="00573A19" w:rsidRDefault="00104742" w14:paraId="14A42051" w14:textId="77777777">
            <w:pPr>
              <w:rPr>
                <w:rFonts w:cs="Calibri"/>
                <w:color w:val="000000"/>
                <w:sz w:val="24"/>
                <w:szCs w:val="24"/>
              </w:rPr>
            </w:pPr>
            <w:r w:rsidRPr="00387AB6">
              <w:rPr>
                <w:rFonts w:cs="Calibri"/>
                <w:color w:val="000000"/>
                <w:sz w:val="24"/>
                <w:szCs w:val="24"/>
              </w:rPr>
              <w:t> </w:t>
            </w:r>
          </w:p>
        </w:tc>
        <w:tc>
          <w:tcPr>
            <w:tcW w:w="1403" w:type="dxa"/>
            <w:tcBorders>
              <w:top w:val="single" w:color="auto" w:sz="4" w:space="0"/>
              <w:left w:val="nil"/>
              <w:bottom w:val="single" w:color="auto" w:sz="4" w:space="0"/>
              <w:right w:val="single" w:color="auto" w:sz="8" w:space="0"/>
            </w:tcBorders>
            <w:shd w:val="clear" w:color="000000" w:fill="BFBFBF"/>
            <w:noWrap/>
            <w:vAlign w:val="bottom"/>
            <w:hideMark/>
          </w:tcPr>
          <w:p w:rsidRPr="00387AB6" w:rsidR="00104742" w:rsidP="00573A19" w:rsidRDefault="00104742" w14:paraId="77787C5E" w14:textId="77777777">
            <w:pPr>
              <w:rPr>
                <w:rFonts w:cs="Calibri"/>
                <w:color w:val="000000"/>
                <w:sz w:val="24"/>
                <w:szCs w:val="24"/>
              </w:rPr>
            </w:pPr>
            <w:r w:rsidRPr="00387AB6">
              <w:rPr>
                <w:rFonts w:cs="Calibri"/>
                <w:color w:val="000000"/>
                <w:sz w:val="24"/>
                <w:szCs w:val="24"/>
              </w:rPr>
              <w:t> </w:t>
            </w:r>
          </w:p>
        </w:tc>
      </w:tr>
      <w:tr w:rsidRPr="00387AB6" w:rsidR="00104742" w:rsidTr="00387AB6" w14:paraId="713A3E22" w14:textId="77777777">
        <w:trPr>
          <w:trHeight w:val="305"/>
        </w:trPr>
        <w:tc>
          <w:tcPr>
            <w:tcW w:w="575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387AB6" w:rsidR="00104742" w:rsidP="00573A19" w:rsidRDefault="00104742" w14:paraId="3E9FA557" w14:textId="77777777">
            <w:pPr>
              <w:rPr>
                <w:rFonts w:cs="Calibri"/>
                <w:color w:val="000000"/>
                <w:sz w:val="24"/>
                <w:szCs w:val="24"/>
              </w:rPr>
            </w:pPr>
            <w:r w:rsidRPr="00387AB6">
              <w:rPr>
                <w:rFonts w:cs="Calibri"/>
                <w:color w:val="000000"/>
                <w:sz w:val="24"/>
                <w:szCs w:val="24"/>
              </w:rPr>
              <w:t>Number of Master-metered customers</w:t>
            </w:r>
          </w:p>
        </w:tc>
        <w:tc>
          <w:tcPr>
            <w:tcW w:w="1443" w:type="dxa"/>
            <w:tcBorders>
              <w:top w:val="nil"/>
              <w:left w:val="single" w:color="auto" w:sz="4" w:space="0"/>
              <w:bottom w:val="single" w:color="auto" w:sz="4" w:space="0"/>
              <w:right w:val="single" w:color="auto" w:sz="4" w:space="0"/>
            </w:tcBorders>
            <w:shd w:val="clear" w:color="auto" w:fill="auto"/>
            <w:noWrap/>
            <w:vAlign w:val="bottom"/>
            <w:hideMark/>
          </w:tcPr>
          <w:p w:rsidRPr="00387AB6" w:rsidR="00104742" w:rsidP="00573A19" w:rsidRDefault="00104742" w14:paraId="0D96C4CA" w14:textId="77777777">
            <w:pPr>
              <w:rPr>
                <w:rFonts w:cs="Calibri"/>
                <w:color w:val="000000"/>
                <w:sz w:val="24"/>
                <w:szCs w:val="24"/>
              </w:rPr>
            </w:pPr>
            <w:r w:rsidRPr="00387AB6">
              <w:rPr>
                <w:rFonts w:cs="Calibri"/>
                <w:color w:val="000000"/>
                <w:sz w:val="24"/>
                <w:szCs w:val="24"/>
              </w:rPr>
              <w:t> </w:t>
            </w:r>
          </w:p>
        </w:tc>
        <w:tc>
          <w:tcPr>
            <w:tcW w:w="1403" w:type="dxa"/>
            <w:tcBorders>
              <w:top w:val="nil"/>
              <w:left w:val="nil"/>
              <w:bottom w:val="single" w:color="auto" w:sz="4" w:space="0"/>
              <w:right w:val="double" w:color="auto" w:sz="6" w:space="0"/>
            </w:tcBorders>
            <w:shd w:val="clear" w:color="auto" w:fill="auto"/>
            <w:noWrap/>
            <w:vAlign w:val="bottom"/>
            <w:hideMark/>
          </w:tcPr>
          <w:p w:rsidRPr="00387AB6" w:rsidR="00104742" w:rsidP="00573A19" w:rsidRDefault="00104742" w14:paraId="6C08261D" w14:textId="77777777">
            <w:pPr>
              <w:rPr>
                <w:rFonts w:cs="Calibri"/>
                <w:color w:val="000000"/>
                <w:sz w:val="24"/>
                <w:szCs w:val="24"/>
              </w:rPr>
            </w:pPr>
            <w:r w:rsidRPr="00387AB6">
              <w:rPr>
                <w:rFonts w:cs="Calibri"/>
                <w:color w:val="000000"/>
                <w:sz w:val="24"/>
                <w:szCs w:val="24"/>
              </w:rPr>
              <w:t> </w:t>
            </w:r>
          </w:p>
        </w:tc>
        <w:tc>
          <w:tcPr>
            <w:tcW w:w="1443" w:type="dxa"/>
            <w:tcBorders>
              <w:top w:val="nil"/>
              <w:left w:val="nil"/>
              <w:bottom w:val="single" w:color="auto" w:sz="4" w:space="0"/>
              <w:right w:val="nil"/>
            </w:tcBorders>
            <w:shd w:val="clear" w:color="auto" w:fill="auto"/>
            <w:noWrap/>
            <w:vAlign w:val="bottom"/>
            <w:hideMark/>
          </w:tcPr>
          <w:p w:rsidRPr="00387AB6" w:rsidR="00104742" w:rsidP="00573A19" w:rsidRDefault="00104742" w14:paraId="0FAB113C" w14:textId="77777777">
            <w:pPr>
              <w:rPr>
                <w:rFonts w:cs="Calibri"/>
                <w:color w:val="000000"/>
                <w:sz w:val="24"/>
                <w:szCs w:val="24"/>
              </w:rPr>
            </w:pPr>
            <w:r w:rsidRPr="00387AB6">
              <w:rPr>
                <w:rFonts w:cs="Calibri"/>
                <w:color w:val="000000"/>
                <w:sz w:val="24"/>
                <w:szCs w:val="24"/>
              </w:rPr>
              <w:t> </w:t>
            </w:r>
          </w:p>
        </w:tc>
        <w:tc>
          <w:tcPr>
            <w:tcW w:w="1403" w:type="dxa"/>
            <w:tcBorders>
              <w:top w:val="nil"/>
              <w:left w:val="nil"/>
              <w:bottom w:val="single" w:color="auto" w:sz="4" w:space="0"/>
              <w:right w:val="nil"/>
            </w:tcBorders>
            <w:shd w:val="clear" w:color="auto" w:fill="auto"/>
            <w:noWrap/>
            <w:vAlign w:val="bottom"/>
            <w:hideMark/>
          </w:tcPr>
          <w:p w:rsidRPr="00387AB6" w:rsidR="00104742" w:rsidP="00573A19" w:rsidRDefault="00104742" w14:paraId="30C0F773" w14:textId="77777777">
            <w:pPr>
              <w:rPr>
                <w:rFonts w:cs="Calibri"/>
                <w:color w:val="000000"/>
                <w:sz w:val="24"/>
                <w:szCs w:val="24"/>
              </w:rPr>
            </w:pPr>
            <w:r w:rsidRPr="00387AB6">
              <w:rPr>
                <w:rFonts w:cs="Calibri"/>
                <w:color w:val="000000"/>
                <w:sz w:val="24"/>
                <w:szCs w:val="24"/>
              </w:rPr>
              <w:t> </w:t>
            </w:r>
          </w:p>
        </w:tc>
        <w:tc>
          <w:tcPr>
            <w:tcW w:w="1443" w:type="dxa"/>
            <w:tcBorders>
              <w:top w:val="nil"/>
              <w:left w:val="double" w:color="auto" w:sz="6" w:space="0"/>
              <w:bottom w:val="single" w:color="auto" w:sz="4" w:space="0"/>
              <w:right w:val="single" w:color="auto" w:sz="4" w:space="0"/>
            </w:tcBorders>
            <w:shd w:val="clear" w:color="auto" w:fill="auto"/>
            <w:noWrap/>
            <w:vAlign w:val="bottom"/>
            <w:hideMark/>
          </w:tcPr>
          <w:p w:rsidRPr="00387AB6" w:rsidR="00104742" w:rsidP="00573A19" w:rsidRDefault="00104742" w14:paraId="75E1C9A5" w14:textId="77777777">
            <w:pPr>
              <w:rPr>
                <w:rFonts w:cs="Calibri"/>
                <w:color w:val="000000"/>
                <w:sz w:val="24"/>
                <w:szCs w:val="24"/>
              </w:rPr>
            </w:pPr>
            <w:r w:rsidRPr="00387AB6">
              <w:rPr>
                <w:rFonts w:cs="Calibri"/>
                <w:color w:val="000000"/>
                <w:sz w:val="24"/>
                <w:szCs w:val="24"/>
              </w:rPr>
              <w:t> </w:t>
            </w:r>
          </w:p>
        </w:tc>
        <w:tc>
          <w:tcPr>
            <w:tcW w:w="1403" w:type="dxa"/>
            <w:tcBorders>
              <w:top w:val="nil"/>
              <w:left w:val="nil"/>
              <w:bottom w:val="single" w:color="auto" w:sz="4" w:space="0"/>
              <w:right w:val="double" w:color="auto" w:sz="6" w:space="0"/>
            </w:tcBorders>
            <w:shd w:val="clear" w:color="auto" w:fill="auto"/>
            <w:noWrap/>
            <w:vAlign w:val="bottom"/>
            <w:hideMark/>
          </w:tcPr>
          <w:p w:rsidRPr="00387AB6" w:rsidR="00104742" w:rsidP="00573A19" w:rsidRDefault="00104742" w14:paraId="7201BB18" w14:textId="77777777">
            <w:pPr>
              <w:rPr>
                <w:rFonts w:cs="Calibri"/>
                <w:color w:val="000000"/>
                <w:sz w:val="24"/>
                <w:szCs w:val="24"/>
              </w:rPr>
            </w:pPr>
            <w:r w:rsidRPr="00387AB6">
              <w:rPr>
                <w:rFonts w:cs="Calibri"/>
                <w:color w:val="000000"/>
                <w:sz w:val="24"/>
                <w:szCs w:val="24"/>
              </w:rPr>
              <w:t> </w:t>
            </w:r>
          </w:p>
        </w:tc>
        <w:tc>
          <w:tcPr>
            <w:tcW w:w="1443" w:type="dxa"/>
            <w:tcBorders>
              <w:top w:val="nil"/>
              <w:left w:val="nil"/>
              <w:bottom w:val="single" w:color="auto" w:sz="4" w:space="0"/>
              <w:right w:val="single" w:color="auto" w:sz="4" w:space="0"/>
            </w:tcBorders>
            <w:shd w:val="clear" w:color="auto" w:fill="auto"/>
            <w:noWrap/>
            <w:vAlign w:val="bottom"/>
            <w:hideMark/>
          </w:tcPr>
          <w:p w:rsidRPr="00387AB6" w:rsidR="00104742" w:rsidP="00573A19" w:rsidRDefault="00104742" w14:paraId="4773872C" w14:textId="77777777">
            <w:pPr>
              <w:rPr>
                <w:rFonts w:cs="Calibri"/>
                <w:color w:val="000000"/>
                <w:sz w:val="24"/>
                <w:szCs w:val="24"/>
              </w:rPr>
            </w:pPr>
            <w:r w:rsidRPr="00387AB6">
              <w:rPr>
                <w:rFonts w:cs="Calibri"/>
                <w:color w:val="000000"/>
                <w:sz w:val="24"/>
                <w:szCs w:val="24"/>
              </w:rPr>
              <w:t> </w:t>
            </w:r>
          </w:p>
        </w:tc>
        <w:tc>
          <w:tcPr>
            <w:tcW w:w="1403" w:type="dxa"/>
            <w:tcBorders>
              <w:top w:val="nil"/>
              <w:left w:val="nil"/>
              <w:bottom w:val="single" w:color="auto" w:sz="4" w:space="0"/>
              <w:right w:val="single" w:color="auto" w:sz="8" w:space="0"/>
            </w:tcBorders>
            <w:shd w:val="clear" w:color="auto" w:fill="auto"/>
            <w:noWrap/>
            <w:vAlign w:val="bottom"/>
            <w:hideMark/>
          </w:tcPr>
          <w:p w:rsidRPr="00387AB6" w:rsidR="00104742" w:rsidP="00573A19" w:rsidRDefault="00104742" w14:paraId="36157BC6" w14:textId="77777777">
            <w:pPr>
              <w:rPr>
                <w:rFonts w:cs="Calibri"/>
                <w:color w:val="000000"/>
                <w:sz w:val="24"/>
                <w:szCs w:val="24"/>
              </w:rPr>
            </w:pPr>
            <w:r w:rsidRPr="00387AB6">
              <w:rPr>
                <w:rFonts w:cs="Calibri"/>
                <w:color w:val="000000"/>
                <w:sz w:val="24"/>
                <w:szCs w:val="24"/>
              </w:rPr>
              <w:t> </w:t>
            </w:r>
          </w:p>
        </w:tc>
      </w:tr>
    </w:tbl>
    <w:p w:rsidRPr="00387AB6" w:rsidR="00104742" w:rsidP="00573A19" w:rsidRDefault="00104742" w14:paraId="2F293277" w14:textId="77777777">
      <w:pPr>
        <w:rPr>
          <w:sz w:val="24"/>
          <w:szCs w:val="24"/>
        </w:rPr>
      </w:pPr>
    </w:p>
    <w:p w:rsidRPr="00387AB6" w:rsidR="00104742" w:rsidP="00573A19" w:rsidRDefault="00104742" w14:paraId="713C71F6" w14:textId="255B40E9">
      <w:pPr>
        <w:rPr>
          <w:sz w:val="24"/>
          <w:szCs w:val="24"/>
        </w:rPr>
      </w:pPr>
    </w:p>
    <w:p w:rsidRPr="00387AB6" w:rsidR="00D34E6A" w:rsidP="00573A19" w:rsidRDefault="00D34E6A" w14:paraId="38D5F44D" w14:textId="0309F6A8">
      <w:pPr>
        <w:rPr>
          <w:sz w:val="24"/>
          <w:szCs w:val="24"/>
        </w:rPr>
      </w:pPr>
    </w:p>
    <w:p w:rsidRPr="00387AB6" w:rsidR="00D34E6A" w:rsidP="00573A19" w:rsidRDefault="00D34E6A" w14:paraId="304845DA" w14:textId="5FAC863A">
      <w:pPr>
        <w:rPr>
          <w:sz w:val="24"/>
          <w:szCs w:val="24"/>
        </w:rPr>
      </w:pPr>
    </w:p>
    <w:p w:rsidRPr="00387AB6" w:rsidR="00D34E6A" w:rsidP="00104742" w:rsidRDefault="00D34E6A" w14:paraId="78A63B3B" w14:textId="1C3B304F">
      <w:pPr>
        <w:pStyle w:val="sub1"/>
        <w:rPr>
          <w:rFonts w:ascii="Palatino Linotype" w:hAnsi="Palatino Linotype"/>
          <w:sz w:val="24"/>
          <w:szCs w:val="24"/>
        </w:rPr>
      </w:pPr>
    </w:p>
    <w:p w:rsidRPr="00387AB6" w:rsidR="00D34E6A" w:rsidP="00104742" w:rsidRDefault="00D34E6A" w14:paraId="25B91381" w14:textId="482DF64F">
      <w:pPr>
        <w:pStyle w:val="sub1"/>
        <w:rPr>
          <w:rFonts w:ascii="Palatino Linotype" w:hAnsi="Palatino Linotype"/>
          <w:sz w:val="24"/>
          <w:szCs w:val="24"/>
        </w:rPr>
      </w:pPr>
    </w:p>
    <w:p w:rsidRPr="00387AB6" w:rsidR="00D34E6A" w:rsidP="00D34E6A" w:rsidRDefault="00D34E6A" w14:paraId="7CEEBAD8" w14:textId="514BACA0">
      <w:pPr>
        <w:rPr>
          <w:rFonts w:ascii="Palatino Linotype" w:hAnsi="Palatino Linotype"/>
          <w:sz w:val="24"/>
          <w:szCs w:val="24"/>
        </w:rPr>
      </w:pPr>
    </w:p>
    <w:p w:rsidRPr="00387AB6" w:rsidR="00D34E6A" w:rsidP="00D34E6A" w:rsidRDefault="00D34E6A" w14:paraId="5F2A4A45" w14:textId="77777777">
      <w:pPr>
        <w:rPr>
          <w:rFonts w:ascii="Palatino Linotype" w:hAnsi="Palatino Linotype"/>
          <w:sz w:val="24"/>
          <w:szCs w:val="24"/>
        </w:rPr>
      </w:pPr>
    </w:p>
    <w:p w:rsidR="00387AB6" w:rsidP="00387AB6" w:rsidRDefault="00387AB6" w14:paraId="79335374" w14:textId="77777777">
      <w:pPr>
        <w:pStyle w:val="Heading2"/>
      </w:pPr>
      <w:r>
        <w:br w:type="page"/>
      </w:r>
    </w:p>
    <w:p w:rsidRPr="00387AB6" w:rsidR="00D34E6A" w:rsidP="00387AB6" w:rsidRDefault="00D34E6A" w14:paraId="51C27A8A" w14:textId="4F7FE9A6">
      <w:pPr>
        <w:pStyle w:val="Heading2"/>
      </w:pPr>
      <w:r w:rsidRPr="00387AB6">
        <w:lastRenderedPageBreak/>
        <w:t>“Energy Rates CZ” Worksheet</w:t>
      </w:r>
    </w:p>
    <w:p w:rsidRPr="00387AB6" w:rsidR="007A2950" w:rsidP="007A2950" w:rsidRDefault="007A2950" w14:paraId="57056BBC" w14:textId="0602E3A4">
      <w:pPr>
        <w:rPr>
          <w:rFonts w:ascii="Palatino Linotype" w:hAnsi="Palatino Linotype"/>
          <w:sz w:val="24"/>
          <w:szCs w:val="24"/>
        </w:rPr>
      </w:pPr>
    </w:p>
    <w:tbl>
      <w:tblPr>
        <w:tblW w:w="16833" w:type="dxa"/>
        <w:tblLook w:val="04A0" w:firstRow="1" w:lastRow="0" w:firstColumn="1" w:lastColumn="0" w:noHBand="0" w:noVBand="1"/>
      </w:tblPr>
      <w:tblGrid>
        <w:gridCol w:w="4606"/>
        <w:gridCol w:w="1562"/>
        <w:gridCol w:w="1494"/>
        <w:gridCol w:w="1562"/>
        <w:gridCol w:w="1495"/>
        <w:gridCol w:w="1562"/>
        <w:gridCol w:w="1494"/>
        <w:gridCol w:w="1562"/>
        <w:gridCol w:w="1496"/>
      </w:tblGrid>
      <w:tr w:rsidRPr="00387AB6" w:rsidR="007A2950" w:rsidTr="007A2950" w14:paraId="3BB40EBA" w14:textId="77777777">
        <w:trPr>
          <w:trHeight w:val="323"/>
        </w:trPr>
        <w:tc>
          <w:tcPr>
            <w:tcW w:w="10719" w:type="dxa"/>
            <w:gridSpan w:val="5"/>
            <w:tcBorders>
              <w:top w:val="single" w:color="auto" w:sz="4" w:space="0"/>
              <w:left w:val="single" w:color="auto" w:sz="4" w:space="0"/>
              <w:bottom w:val="single" w:color="auto" w:sz="4" w:space="0"/>
              <w:right w:val="single" w:color="auto" w:sz="4" w:space="0"/>
            </w:tcBorders>
            <w:shd w:val="clear" w:color="000000" w:fill="8EA9DB"/>
            <w:noWrap/>
            <w:vAlign w:val="bottom"/>
            <w:hideMark/>
          </w:tcPr>
          <w:p w:rsidRPr="00387AB6" w:rsidR="007A2950" w:rsidP="007A2950" w:rsidRDefault="007A2950" w14:paraId="5F0C04E6" w14:textId="77777777">
            <w:pPr>
              <w:rPr>
                <w:rFonts w:ascii="Palatino Linotype" w:hAnsi="Palatino Linotype" w:cs="Calibri"/>
                <w:b/>
                <w:bCs/>
                <w:color w:val="000000"/>
                <w:sz w:val="24"/>
                <w:szCs w:val="24"/>
              </w:rPr>
            </w:pPr>
            <w:r w:rsidRPr="00387AB6">
              <w:rPr>
                <w:rFonts w:ascii="Palatino Linotype" w:hAnsi="Palatino Linotype" w:cs="Calibri"/>
                <w:b/>
                <w:bCs/>
                <w:color w:val="000000"/>
                <w:sz w:val="24"/>
                <w:szCs w:val="24"/>
              </w:rPr>
              <w:t>Customer Average Energy Usage by Rate Schedule: kwh, mmbtu</w:t>
            </w:r>
          </w:p>
        </w:tc>
        <w:tc>
          <w:tcPr>
            <w:tcW w:w="1562" w:type="dxa"/>
            <w:tcBorders>
              <w:top w:val="nil"/>
              <w:left w:val="single" w:color="auto" w:sz="4" w:space="0"/>
              <w:bottom w:val="single" w:color="auto" w:sz="8" w:space="0"/>
              <w:right w:val="nil"/>
            </w:tcBorders>
            <w:shd w:val="clear" w:color="000000" w:fill="8EA9DB"/>
            <w:noWrap/>
            <w:vAlign w:val="bottom"/>
            <w:hideMark/>
          </w:tcPr>
          <w:p w:rsidRPr="00387AB6" w:rsidR="007A2950" w:rsidP="007A2950" w:rsidRDefault="007A2950" w14:paraId="6B24D9D9" w14:textId="77777777">
            <w:pPr>
              <w:rPr>
                <w:rFonts w:ascii="Palatino Linotype" w:hAnsi="Palatino Linotype" w:cs="Calibri"/>
                <w:b/>
                <w:bCs/>
                <w:color w:val="000000"/>
                <w:sz w:val="24"/>
                <w:szCs w:val="24"/>
              </w:rPr>
            </w:pPr>
            <w:r w:rsidRPr="00387AB6">
              <w:rPr>
                <w:rFonts w:ascii="Palatino Linotype" w:hAnsi="Palatino Linotype" w:cs="Calibri"/>
                <w:b/>
                <w:bCs/>
                <w:color w:val="000000"/>
                <w:sz w:val="24"/>
                <w:szCs w:val="24"/>
              </w:rPr>
              <w:t> </w:t>
            </w:r>
          </w:p>
        </w:tc>
        <w:tc>
          <w:tcPr>
            <w:tcW w:w="1494" w:type="dxa"/>
            <w:tcBorders>
              <w:top w:val="nil"/>
              <w:left w:val="nil"/>
              <w:bottom w:val="single" w:color="auto" w:sz="8" w:space="0"/>
              <w:right w:val="nil"/>
            </w:tcBorders>
            <w:shd w:val="clear" w:color="000000" w:fill="8EA9DB"/>
            <w:noWrap/>
            <w:vAlign w:val="bottom"/>
            <w:hideMark/>
          </w:tcPr>
          <w:p w:rsidRPr="00387AB6" w:rsidR="007A2950" w:rsidP="007A2950" w:rsidRDefault="007A2950" w14:paraId="7FC6420E" w14:textId="77777777">
            <w:pPr>
              <w:rPr>
                <w:rFonts w:ascii="Palatino Linotype" w:hAnsi="Palatino Linotype" w:cs="Calibri"/>
                <w:b/>
                <w:bCs/>
                <w:color w:val="000000"/>
                <w:sz w:val="24"/>
                <w:szCs w:val="24"/>
              </w:rPr>
            </w:pPr>
            <w:r w:rsidRPr="00387AB6">
              <w:rPr>
                <w:rFonts w:ascii="Palatino Linotype" w:hAnsi="Palatino Linotype" w:cs="Calibri"/>
                <w:b/>
                <w:bCs/>
                <w:color w:val="000000"/>
                <w:sz w:val="24"/>
                <w:szCs w:val="24"/>
              </w:rPr>
              <w:t> </w:t>
            </w:r>
          </w:p>
        </w:tc>
        <w:tc>
          <w:tcPr>
            <w:tcW w:w="1562" w:type="dxa"/>
            <w:tcBorders>
              <w:top w:val="nil"/>
              <w:left w:val="nil"/>
              <w:bottom w:val="single" w:color="auto" w:sz="8" w:space="0"/>
              <w:right w:val="nil"/>
            </w:tcBorders>
            <w:shd w:val="clear" w:color="000000" w:fill="8EA9DB"/>
            <w:noWrap/>
            <w:vAlign w:val="bottom"/>
            <w:hideMark/>
          </w:tcPr>
          <w:p w:rsidRPr="00387AB6" w:rsidR="007A2950" w:rsidP="007A2950" w:rsidRDefault="007A2950" w14:paraId="73E10666" w14:textId="77777777">
            <w:pPr>
              <w:rPr>
                <w:rFonts w:ascii="Palatino Linotype" w:hAnsi="Palatino Linotype" w:cs="Calibri"/>
                <w:b/>
                <w:bCs/>
                <w:color w:val="000000"/>
                <w:sz w:val="24"/>
                <w:szCs w:val="24"/>
              </w:rPr>
            </w:pPr>
            <w:r w:rsidRPr="00387AB6">
              <w:rPr>
                <w:rFonts w:ascii="Palatino Linotype" w:hAnsi="Palatino Linotype" w:cs="Calibri"/>
                <w:b/>
                <w:bCs/>
                <w:color w:val="000000"/>
                <w:sz w:val="24"/>
                <w:szCs w:val="24"/>
              </w:rPr>
              <w:t> </w:t>
            </w:r>
          </w:p>
        </w:tc>
        <w:tc>
          <w:tcPr>
            <w:tcW w:w="1494" w:type="dxa"/>
            <w:tcBorders>
              <w:top w:val="nil"/>
              <w:left w:val="nil"/>
              <w:bottom w:val="single" w:color="auto" w:sz="8" w:space="0"/>
              <w:right w:val="nil"/>
            </w:tcBorders>
            <w:shd w:val="clear" w:color="000000" w:fill="8EA9DB"/>
            <w:noWrap/>
            <w:vAlign w:val="bottom"/>
            <w:hideMark/>
          </w:tcPr>
          <w:p w:rsidRPr="00387AB6" w:rsidR="007A2950" w:rsidP="007A2950" w:rsidRDefault="007A2950" w14:paraId="1ABF65E0" w14:textId="77777777">
            <w:pPr>
              <w:rPr>
                <w:rFonts w:ascii="Palatino Linotype" w:hAnsi="Palatino Linotype" w:cs="Calibri"/>
                <w:b/>
                <w:bCs/>
                <w:color w:val="000000"/>
                <w:sz w:val="24"/>
                <w:szCs w:val="24"/>
              </w:rPr>
            </w:pPr>
            <w:r w:rsidRPr="00387AB6">
              <w:rPr>
                <w:rFonts w:ascii="Palatino Linotype" w:hAnsi="Palatino Linotype" w:cs="Calibri"/>
                <w:b/>
                <w:bCs/>
                <w:color w:val="000000"/>
                <w:sz w:val="24"/>
                <w:szCs w:val="24"/>
              </w:rPr>
              <w:t> </w:t>
            </w:r>
          </w:p>
        </w:tc>
      </w:tr>
      <w:tr w:rsidRPr="00387AB6" w:rsidR="007A2950" w:rsidTr="007A2950" w14:paraId="3A695C2D" w14:textId="77777777">
        <w:trPr>
          <w:trHeight w:val="307"/>
        </w:trPr>
        <w:tc>
          <w:tcPr>
            <w:tcW w:w="4606"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87AB6" w:rsidR="007A2950" w:rsidP="007A2950" w:rsidRDefault="007A2950" w14:paraId="05A5D2EF" w14:textId="77777777">
            <w:pPr>
              <w:rPr>
                <w:rFonts w:ascii="Palatino Linotype" w:hAnsi="Palatino Linotype" w:cs="Calibri"/>
                <w:b/>
                <w:bCs/>
                <w:color w:val="000000"/>
                <w:sz w:val="24"/>
                <w:szCs w:val="24"/>
              </w:rPr>
            </w:pPr>
            <w:r w:rsidRPr="00387AB6">
              <w:rPr>
                <w:rFonts w:ascii="Palatino Linotype" w:hAnsi="Palatino Linotype" w:cs="Calibri"/>
                <w:b/>
                <w:bCs/>
                <w:color w:val="000000"/>
                <w:sz w:val="24"/>
                <w:szCs w:val="24"/>
              </w:rPr>
              <w:t xml:space="preserve">Climate Zone </w:t>
            </w:r>
            <w:r w:rsidRPr="00387AB6">
              <w:rPr>
                <w:rFonts w:ascii="Times New Roman" w:hAnsi="Times New Roman"/>
                <w:b/>
                <w:bCs/>
                <w:color w:val="000000"/>
                <w:sz w:val="24"/>
                <w:szCs w:val="24"/>
              </w:rPr>
              <w:t>→</w:t>
            </w:r>
          </w:p>
        </w:tc>
        <w:tc>
          <w:tcPr>
            <w:tcW w:w="12227" w:type="dxa"/>
            <w:gridSpan w:val="8"/>
            <w:tcBorders>
              <w:top w:val="single" w:color="auto" w:sz="8" w:space="0"/>
              <w:left w:val="single" w:color="auto" w:sz="4" w:space="0"/>
              <w:bottom w:val="nil"/>
              <w:right w:val="single" w:color="000000" w:sz="8" w:space="0"/>
            </w:tcBorders>
            <w:shd w:val="clear" w:color="auto" w:fill="auto"/>
            <w:noWrap/>
            <w:vAlign w:val="bottom"/>
            <w:hideMark/>
          </w:tcPr>
          <w:p w:rsidRPr="00387AB6" w:rsidR="007A2950" w:rsidP="007A2950" w:rsidRDefault="00573A19" w14:paraId="4599DABD" w14:textId="1B7DA899">
            <w:pPr>
              <w:jc w:val="center"/>
              <w:rPr>
                <w:rFonts w:ascii="Palatino Linotype" w:hAnsi="Palatino Linotype" w:cs="Calibri"/>
                <w:b/>
                <w:bCs/>
                <w:color w:val="000000"/>
                <w:sz w:val="24"/>
                <w:szCs w:val="24"/>
              </w:rPr>
            </w:pPr>
            <w:r w:rsidRPr="00387AB6">
              <w:rPr>
                <w:rFonts w:ascii="Palatino Linotype" w:hAnsi="Palatino Linotype" w:cs="Calibri"/>
                <w:b/>
                <w:bCs/>
                <w:color w:val="000000"/>
                <w:sz w:val="24"/>
                <w:szCs w:val="24"/>
              </w:rPr>
              <w:t xml:space="preserve">CZ [-]    </w:t>
            </w:r>
            <w:r w:rsidRPr="00387AB6">
              <w:rPr>
                <w:rFonts w:ascii="Palatino Linotype" w:hAnsi="Palatino Linotype" w:cs="Calibri"/>
                <w:b/>
                <w:bCs/>
                <w:i/>
                <w:iCs/>
                <w:color w:val="000000"/>
                <w:sz w:val="24"/>
                <w:szCs w:val="24"/>
              </w:rPr>
              <w:t>(Add Columns for CZs in your service territory)</w:t>
            </w:r>
          </w:p>
        </w:tc>
      </w:tr>
      <w:tr w:rsidRPr="00387AB6" w:rsidR="007A2950" w:rsidTr="007A2950" w14:paraId="347A9E70" w14:textId="77777777">
        <w:trPr>
          <w:trHeight w:val="307"/>
        </w:trPr>
        <w:tc>
          <w:tcPr>
            <w:tcW w:w="4606"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87AB6" w:rsidR="007A2950" w:rsidP="007A2950" w:rsidRDefault="007A2950" w14:paraId="77020A2E"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 </w:t>
            </w:r>
          </w:p>
        </w:tc>
        <w:tc>
          <w:tcPr>
            <w:tcW w:w="3056"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87AB6" w:rsidR="007A2950" w:rsidP="007A2950" w:rsidRDefault="007A2950" w14:paraId="244D6CC4"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All-Electric</w:t>
            </w:r>
          </w:p>
        </w:tc>
        <w:tc>
          <w:tcPr>
            <w:tcW w:w="3056" w:type="dxa"/>
            <w:gridSpan w:val="2"/>
            <w:tcBorders>
              <w:top w:val="single" w:color="auto" w:sz="4" w:space="0"/>
              <w:left w:val="nil"/>
              <w:bottom w:val="single" w:color="auto" w:sz="4" w:space="0"/>
              <w:right w:val="single" w:color="000000" w:sz="4" w:space="0"/>
            </w:tcBorders>
            <w:shd w:val="clear" w:color="auto" w:fill="auto"/>
            <w:noWrap/>
            <w:vAlign w:val="bottom"/>
            <w:hideMark/>
          </w:tcPr>
          <w:p w:rsidRPr="00387AB6" w:rsidR="007A2950" w:rsidP="007A2950" w:rsidRDefault="007A2950" w14:paraId="49525DF7"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Electric Space Heating</w:t>
            </w:r>
          </w:p>
        </w:tc>
        <w:tc>
          <w:tcPr>
            <w:tcW w:w="3056" w:type="dxa"/>
            <w:gridSpan w:val="2"/>
            <w:tcBorders>
              <w:top w:val="single" w:color="auto" w:sz="4" w:space="0"/>
              <w:left w:val="nil"/>
              <w:bottom w:val="single" w:color="auto" w:sz="4" w:space="0"/>
              <w:right w:val="single" w:color="auto" w:sz="4" w:space="0"/>
            </w:tcBorders>
            <w:shd w:val="clear" w:color="auto" w:fill="auto"/>
            <w:noWrap/>
            <w:vAlign w:val="bottom"/>
            <w:hideMark/>
          </w:tcPr>
          <w:p w:rsidRPr="00387AB6" w:rsidR="007A2950" w:rsidP="007A2950" w:rsidRDefault="007A2950" w14:paraId="77EBA07F"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Dual Fuel</w:t>
            </w:r>
          </w:p>
        </w:tc>
        <w:tc>
          <w:tcPr>
            <w:tcW w:w="3056" w:type="dxa"/>
            <w:gridSpan w:val="2"/>
            <w:tcBorders>
              <w:top w:val="single" w:color="auto" w:sz="4" w:space="0"/>
              <w:left w:val="nil"/>
              <w:bottom w:val="single" w:color="auto" w:sz="4" w:space="0"/>
              <w:right w:val="single" w:color="000000" w:sz="8" w:space="0"/>
            </w:tcBorders>
            <w:shd w:val="clear" w:color="auto" w:fill="auto"/>
            <w:noWrap/>
            <w:vAlign w:val="bottom"/>
            <w:hideMark/>
          </w:tcPr>
          <w:p w:rsidRPr="00387AB6" w:rsidR="007A2950" w:rsidP="007A2950" w:rsidRDefault="007A2950" w14:paraId="25792B30"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Gas Only</w:t>
            </w:r>
          </w:p>
        </w:tc>
      </w:tr>
      <w:tr w:rsidRPr="00387AB6" w:rsidR="007A2950" w:rsidTr="007A2950" w14:paraId="7235184B" w14:textId="77777777">
        <w:trPr>
          <w:trHeight w:val="307"/>
        </w:trPr>
        <w:tc>
          <w:tcPr>
            <w:tcW w:w="4606"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87AB6" w:rsidR="007A2950" w:rsidP="007A2950" w:rsidRDefault="007A2950" w14:paraId="5F1D0BE6" w14:textId="77777777">
            <w:pPr>
              <w:rPr>
                <w:rFonts w:ascii="Palatino Linotype" w:hAnsi="Palatino Linotype" w:cs="Calibri"/>
                <w:b/>
                <w:bCs/>
                <w:color w:val="000000"/>
                <w:sz w:val="24"/>
                <w:szCs w:val="24"/>
              </w:rPr>
            </w:pPr>
            <w:r w:rsidRPr="00387AB6">
              <w:rPr>
                <w:rFonts w:ascii="Palatino Linotype" w:hAnsi="Palatino Linotype" w:cs="Calibri"/>
                <w:b/>
                <w:bCs/>
                <w:color w:val="000000"/>
                <w:sz w:val="24"/>
                <w:szCs w:val="24"/>
              </w:rPr>
              <w:t xml:space="preserve">Rate Schedule </w:t>
            </w:r>
            <w:r w:rsidRPr="00387AB6">
              <w:rPr>
                <w:rFonts w:ascii="Times New Roman" w:hAnsi="Times New Roman"/>
                <w:b/>
                <w:bCs/>
                <w:color w:val="000000"/>
                <w:sz w:val="24"/>
                <w:szCs w:val="24"/>
              </w:rPr>
              <w:t>↓</w:t>
            </w:r>
          </w:p>
        </w:tc>
        <w:tc>
          <w:tcPr>
            <w:tcW w:w="1562" w:type="dxa"/>
            <w:tcBorders>
              <w:top w:val="nil"/>
              <w:left w:val="single" w:color="auto" w:sz="4" w:space="0"/>
              <w:bottom w:val="nil"/>
              <w:right w:val="single" w:color="auto" w:sz="4" w:space="0"/>
            </w:tcBorders>
            <w:shd w:val="clear" w:color="auto" w:fill="auto"/>
            <w:noWrap/>
            <w:vAlign w:val="bottom"/>
            <w:hideMark/>
          </w:tcPr>
          <w:p w:rsidRPr="00387AB6" w:rsidR="007A2950" w:rsidP="007A2950" w:rsidRDefault="007A2950" w14:paraId="785E4EE4"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Singlefamily</w:t>
            </w:r>
          </w:p>
        </w:tc>
        <w:tc>
          <w:tcPr>
            <w:tcW w:w="1494" w:type="dxa"/>
            <w:tcBorders>
              <w:top w:val="nil"/>
              <w:left w:val="nil"/>
              <w:bottom w:val="single" w:color="auto" w:sz="4" w:space="0"/>
              <w:right w:val="nil"/>
            </w:tcBorders>
            <w:shd w:val="clear" w:color="auto" w:fill="auto"/>
            <w:noWrap/>
            <w:vAlign w:val="bottom"/>
            <w:hideMark/>
          </w:tcPr>
          <w:p w:rsidRPr="00387AB6" w:rsidR="007A2950" w:rsidP="007A2950" w:rsidRDefault="007A2950" w14:paraId="550586F3"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Multifamily</w:t>
            </w:r>
          </w:p>
        </w:tc>
        <w:tc>
          <w:tcPr>
            <w:tcW w:w="1562" w:type="dxa"/>
            <w:tcBorders>
              <w:top w:val="nil"/>
              <w:left w:val="single" w:color="auto" w:sz="4" w:space="0"/>
              <w:bottom w:val="single" w:color="auto" w:sz="4" w:space="0"/>
              <w:right w:val="single" w:color="auto" w:sz="4" w:space="0"/>
            </w:tcBorders>
            <w:shd w:val="clear" w:color="auto" w:fill="auto"/>
            <w:noWrap/>
            <w:vAlign w:val="bottom"/>
            <w:hideMark/>
          </w:tcPr>
          <w:p w:rsidRPr="00387AB6" w:rsidR="007A2950" w:rsidP="007A2950" w:rsidRDefault="007A2950" w14:paraId="5016F783"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Singlefamily</w:t>
            </w:r>
          </w:p>
        </w:tc>
        <w:tc>
          <w:tcPr>
            <w:tcW w:w="1494" w:type="dxa"/>
            <w:tcBorders>
              <w:top w:val="nil"/>
              <w:left w:val="nil"/>
              <w:bottom w:val="single" w:color="auto" w:sz="4" w:space="0"/>
              <w:right w:val="single" w:color="auto" w:sz="4" w:space="0"/>
            </w:tcBorders>
            <w:shd w:val="clear" w:color="auto" w:fill="auto"/>
            <w:noWrap/>
            <w:vAlign w:val="bottom"/>
            <w:hideMark/>
          </w:tcPr>
          <w:p w:rsidRPr="00387AB6" w:rsidR="007A2950" w:rsidP="007A2950" w:rsidRDefault="007A2950" w14:paraId="1C223143"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Multifamily</w:t>
            </w:r>
          </w:p>
        </w:tc>
        <w:tc>
          <w:tcPr>
            <w:tcW w:w="1562" w:type="dxa"/>
            <w:tcBorders>
              <w:top w:val="nil"/>
              <w:left w:val="nil"/>
              <w:bottom w:val="nil"/>
              <w:right w:val="single" w:color="auto" w:sz="4" w:space="0"/>
            </w:tcBorders>
            <w:shd w:val="clear" w:color="auto" w:fill="auto"/>
            <w:noWrap/>
            <w:vAlign w:val="bottom"/>
            <w:hideMark/>
          </w:tcPr>
          <w:p w:rsidRPr="00387AB6" w:rsidR="007A2950" w:rsidP="007A2950" w:rsidRDefault="007A2950" w14:paraId="66C8948E"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Singlefamily</w:t>
            </w:r>
          </w:p>
        </w:tc>
        <w:tc>
          <w:tcPr>
            <w:tcW w:w="1494" w:type="dxa"/>
            <w:tcBorders>
              <w:top w:val="nil"/>
              <w:left w:val="nil"/>
              <w:bottom w:val="nil"/>
              <w:right w:val="double" w:color="auto" w:sz="6" w:space="0"/>
            </w:tcBorders>
            <w:shd w:val="clear" w:color="auto" w:fill="auto"/>
            <w:noWrap/>
            <w:vAlign w:val="bottom"/>
            <w:hideMark/>
          </w:tcPr>
          <w:p w:rsidRPr="00387AB6" w:rsidR="007A2950" w:rsidP="007A2950" w:rsidRDefault="007A2950" w14:paraId="37F7F4C9"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Multifamily</w:t>
            </w:r>
          </w:p>
        </w:tc>
        <w:tc>
          <w:tcPr>
            <w:tcW w:w="1562" w:type="dxa"/>
            <w:tcBorders>
              <w:top w:val="nil"/>
              <w:left w:val="nil"/>
              <w:bottom w:val="single" w:color="auto" w:sz="4" w:space="0"/>
              <w:right w:val="single" w:color="auto" w:sz="4" w:space="0"/>
            </w:tcBorders>
            <w:shd w:val="clear" w:color="auto" w:fill="auto"/>
            <w:noWrap/>
            <w:vAlign w:val="bottom"/>
            <w:hideMark/>
          </w:tcPr>
          <w:p w:rsidRPr="00387AB6" w:rsidR="007A2950" w:rsidP="007A2950" w:rsidRDefault="007A2950" w14:paraId="3E769DC2"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Singlefamily</w:t>
            </w:r>
          </w:p>
        </w:tc>
        <w:tc>
          <w:tcPr>
            <w:tcW w:w="1494" w:type="dxa"/>
            <w:tcBorders>
              <w:top w:val="nil"/>
              <w:left w:val="nil"/>
              <w:bottom w:val="single" w:color="auto" w:sz="4" w:space="0"/>
              <w:right w:val="single" w:color="auto" w:sz="8" w:space="0"/>
            </w:tcBorders>
            <w:shd w:val="clear" w:color="auto" w:fill="auto"/>
            <w:noWrap/>
            <w:vAlign w:val="bottom"/>
            <w:hideMark/>
          </w:tcPr>
          <w:p w:rsidRPr="00387AB6" w:rsidR="007A2950" w:rsidP="007A2950" w:rsidRDefault="007A2950" w14:paraId="678EF40A"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Multifamily</w:t>
            </w:r>
          </w:p>
        </w:tc>
      </w:tr>
      <w:tr w:rsidRPr="00387AB6" w:rsidR="007A2950" w:rsidTr="007A2950" w14:paraId="1CAF4197" w14:textId="77777777">
        <w:trPr>
          <w:trHeight w:val="307"/>
        </w:trPr>
        <w:tc>
          <w:tcPr>
            <w:tcW w:w="4606" w:type="dxa"/>
            <w:tcBorders>
              <w:top w:val="single" w:color="auto" w:sz="4" w:space="0"/>
              <w:left w:val="single" w:color="auto" w:sz="4" w:space="0"/>
              <w:bottom w:val="single" w:color="auto" w:sz="4" w:space="0"/>
              <w:right w:val="single" w:color="auto" w:sz="4" w:space="0"/>
            </w:tcBorders>
            <w:shd w:val="clear" w:color="000000" w:fill="D0CECE"/>
            <w:noWrap/>
            <w:vAlign w:val="bottom"/>
            <w:hideMark/>
          </w:tcPr>
          <w:p w:rsidRPr="00387AB6" w:rsidR="007A2950" w:rsidP="007A2950" w:rsidRDefault="007A2950" w14:paraId="79F1EE54"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Non-TOU rates</w:t>
            </w:r>
          </w:p>
        </w:tc>
        <w:tc>
          <w:tcPr>
            <w:tcW w:w="1562" w:type="dxa"/>
            <w:tcBorders>
              <w:top w:val="single" w:color="auto" w:sz="4" w:space="0"/>
              <w:left w:val="single" w:color="auto" w:sz="4" w:space="0"/>
              <w:bottom w:val="single" w:color="auto" w:sz="4" w:space="0"/>
              <w:right w:val="nil"/>
            </w:tcBorders>
            <w:shd w:val="clear" w:color="000000" w:fill="D0CECE"/>
            <w:noWrap/>
            <w:vAlign w:val="bottom"/>
            <w:hideMark/>
          </w:tcPr>
          <w:p w:rsidRPr="00387AB6" w:rsidR="007A2950" w:rsidP="007A2950" w:rsidRDefault="007A2950" w14:paraId="5150FABC"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 </w:t>
            </w:r>
          </w:p>
        </w:tc>
        <w:tc>
          <w:tcPr>
            <w:tcW w:w="1494" w:type="dxa"/>
            <w:tcBorders>
              <w:top w:val="nil"/>
              <w:left w:val="nil"/>
              <w:bottom w:val="single" w:color="auto" w:sz="4" w:space="0"/>
              <w:right w:val="nil"/>
            </w:tcBorders>
            <w:shd w:val="clear" w:color="000000" w:fill="D0CECE"/>
            <w:noWrap/>
            <w:vAlign w:val="bottom"/>
            <w:hideMark/>
          </w:tcPr>
          <w:p w:rsidRPr="00387AB6" w:rsidR="007A2950" w:rsidP="007A2950" w:rsidRDefault="007A2950" w14:paraId="2AAFDFA1"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 </w:t>
            </w:r>
          </w:p>
        </w:tc>
        <w:tc>
          <w:tcPr>
            <w:tcW w:w="1562" w:type="dxa"/>
            <w:tcBorders>
              <w:top w:val="nil"/>
              <w:left w:val="nil"/>
              <w:bottom w:val="single" w:color="auto" w:sz="4" w:space="0"/>
              <w:right w:val="nil"/>
            </w:tcBorders>
            <w:shd w:val="clear" w:color="000000" w:fill="D0CECE"/>
            <w:noWrap/>
            <w:vAlign w:val="bottom"/>
            <w:hideMark/>
          </w:tcPr>
          <w:p w:rsidRPr="00387AB6" w:rsidR="007A2950" w:rsidP="007A2950" w:rsidRDefault="007A2950" w14:paraId="3822FB74"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 </w:t>
            </w:r>
          </w:p>
        </w:tc>
        <w:tc>
          <w:tcPr>
            <w:tcW w:w="1494" w:type="dxa"/>
            <w:tcBorders>
              <w:top w:val="nil"/>
              <w:left w:val="nil"/>
              <w:bottom w:val="single" w:color="auto" w:sz="4" w:space="0"/>
              <w:right w:val="nil"/>
            </w:tcBorders>
            <w:shd w:val="clear" w:color="000000" w:fill="D0CECE"/>
            <w:noWrap/>
            <w:vAlign w:val="bottom"/>
            <w:hideMark/>
          </w:tcPr>
          <w:p w:rsidRPr="00387AB6" w:rsidR="007A2950" w:rsidP="007A2950" w:rsidRDefault="007A2950" w14:paraId="3115746C"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 </w:t>
            </w:r>
          </w:p>
        </w:tc>
        <w:tc>
          <w:tcPr>
            <w:tcW w:w="1562" w:type="dxa"/>
            <w:tcBorders>
              <w:top w:val="single" w:color="auto" w:sz="4" w:space="0"/>
              <w:left w:val="nil"/>
              <w:bottom w:val="single" w:color="auto" w:sz="4" w:space="0"/>
              <w:right w:val="nil"/>
            </w:tcBorders>
            <w:shd w:val="clear" w:color="000000" w:fill="D0CECE"/>
            <w:noWrap/>
            <w:vAlign w:val="bottom"/>
            <w:hideMark/>
          </w:tcPr>
          <w:p w:rsidRPr="00387AB6" w:rsidR="007A2950" w:rsidP="007A2950" w:rsidRDefault="007A2950" w14:paraId="1F202090"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 </w:t>
            </w:r>
          </w:p>
        </w:tc>
        <w:tc>
          <w:tcPr>
            <w:tcW w:w="1494" w:type="dxa"/>
            <w:tcBorders>
              <w:top w:val="single" w:color="auto" w:sz="4" w:space="0"/>
              <w:left w:val="nil"/>
              <w:bottom w:val="single" w:color="auto" w:sz="4" w:space="0"/>
              <w:right w:val="nil"/>
            </w:tcBorders>
            <w:shd w:val="clear" w:color="000000" w:fill="D0CECE"/>
            <w:noWrap/>
            <w:vAlign w:val="bottom"/>
            <w:hideMark/>
          </w:tcPr>
          <w:p w:rsidRPr="00387AB6" w:rsidR="007A2950" w:rsidP="007A2950" w:rsidRDefault="007A2950" w14:paraId="2E8DF92C"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 </w:t>
            </w:r>
          </w:p>
        </w:tc>
        <w:tc>
          <w:tcPr>
            <w:tcW w:w="1562" w:type="dxa"/>
            <w:tcBorders>
              <w:top w:val="nil"/>
              <w:left w:val="nil"/>
              <w:bottom w:val="single" w:color="auto" w:sz="4" w:space="0"/>
              <w:right w:val="nil"/>
            </w:tcBorders>
            <w:shd w:val="clear" w:color="000000" w:fill="D0CECE"/>
            <w:noWrap/>
            <w:vAlign w:val="bottom"/>
            <w:hideMark/>
          </w:tcPr>
          <w:p w:rsidRPr="00387AB6" w:rsidR="007A2950" w:rsidP="007A2950" w:rsidRDefault="007A2950" w14:paraId="179CE40E"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 </w:t>
            </w:r>
          </w:p>
        </w:tc>
        <w:tc>
          <w:tcPr>
            <w:tcW w:w="1494" w:type="dxa"/>
            <w:tcBorders>
              <w:top w:val="nil"/>
              <w:left w:val="nil"/>
              <w:bottom w:val="single" w:color="auto" w:sz="4" w:space="0"/>
              <w:right w:val="single" w:color="auto" w:sz="8" w:space="0"/>
            </w:tcBorders>
            <w:shd w:val="clear" w:color="000000" w:fill="D0CECE"/>
            <w:noWrap/>
            <w:vAlign w:val="bottom"/>
            <w:hideMark/>
          </w:tcPr>
          <w:p w:rsidRPr="00387AB6" w:rsidR="007A2950" w:rsidP="007A2950" w:rsidRDefault="007A2950" w14:paraId="78E5A31B"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 </w:t>
            </w:r>
          </w:p>
        </w:tc>
      </w:tr>
      <w:tr w:rsidRPr="00387AB6" w:rsidR="007A2950" w:rsidTr="007A2950" w14:paraId="71606ED7" w14:textId="77777777">
        <w:trPr>
          <w:trHeight w:val="307"/>
        </w:trPr>
        <w:tc>
          <w:tcPr>
            <w:tcW w:w="4606"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87AB6" w:rsidR="007A2950" w:rsidP="007A2950" w:rsidRDefault="007A2950" w14:paraId="0A73FE39"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E.g. E-1</w:t>
            </w:r>
          </w:p>
        </w:tc>
        <w:tc>
          <w:tcPr>
            <w:tcW w:w="1562" w:type="dxa"/>
            <w:tcBorders>
              <w:top w:val="nil"/>
              <w:left w:val="single" w:color="auto" w:sz="4" w:space="0"/>
              <w:bottom w:val="single" w:color="auto" w:sz="4" w:space="0"/>
              <w:right w:val="single" w:color="auto" w:sz="4" w:space="0"/>
            </w:tcBorders>
            <w:shd w:val="clear" w:color="auto" w:fill="auto"/>
            <w:vAlign w:val="bottom"/>
            <w:hideMark/>
          </w:tcPr>
          <w:p w:rsidRPr="00387AB6" w:rsidR="007A2950" w:rsidP="007A2950" w:rsidRDefault="007A2950" w14:paraId="1EEC854F"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[kwh]</w:t>
            </w:r>
          </w:p>
        </w:tc>
        <w:tc>
          <w:tcPr>
            <w:tcW w:w="1494" w:type="dxa"/>
            <w:tcBorders>
              <w:top w:val="nil"/>
              <w:left w:val="nil"/>
              <w:bottom w:val="single" w:color="auto" w:sz="4" w:space="0"/>
              <w:right w:val="double" w:color="auto" w:sz="6" w:space="0"/>
            </w:tcBorders>
            <w:shd w:val="clear" w:color="auto" w:fill="auto"/>
            <w:noWrap/>
            <w:vAlign w:val="bottom"/>
            <w:hideMark/>
          </w:tcPr>
          <w:p w:rsidRPr="00387AB6" w:rsidR="007A2950" w:rsidP="007A2950" w:rsidRDefault="007A2950" w14:paraId="72C2EECE"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62" w:type="dxa"/>
            <w:tcBorders>
              <w:top w:val="nil"/>
              <w:left w:val="nil"/>
              <w:bottom w:val="single" w:color="auto" w:sz="4" w:space="0"/>
              <w:right w:val="nil"/>
            </w:tcBorders>
            <w:shd w:val="clear" w:color="auto" w:fill="auto"/>
            <w:noWrap/>
            <w:vAlign w:val="bottom"/>
            <w:hideMark/>
          </w:tcPr>
          <w:p w:rsidRPr="00387AB6" w:rsidR="007A2950" w:rsidP="007A2950" w:rsidRDefault="007A2950" w14:paraId="3B503D23"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[mmbtu]</w:t>
            </w:r>
          </w:p>
        </w:tc>
        <w:tc>
          <w:tcPr>
            <w:tcW w:w="1494" w:type="dxa"/>
            <w:tcBorders>
              <w:top w:val="nil"/>
              <w:left w:val="nil"/>
              <w:bottom w:val="single" w:color="auto" w:sz="4" w:space="0"/>
              <w:right w:val="nil"/>
            </w:tcBorders>
            <w:shd w:val="clear" w:color="auto" w:fill="auto"/>
            <w:noWrap/>
            <w:vAlign w:val="bottom"/>
            <w:hideMark/>
          </w:tcPr>
          <w:p w:rsidRPr="00387AB6" w:rsidR="007A2950" w:rsidP="007A2950" w:rsidRDefault="007A2950" w14:paraId="10463B90"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62" w:type="dxa"/>
            <w:tcBorders>
              <w:top w:val="nil"/>
              <w:left w:val="double" w:color="auto" w:sz="6" w:space="0"/>
              <w:bottom w:val="single" w:color="auto" w:sz="4" w:space="0"/>
              <w:right w:val="single" w:color="auto" w:sz="4" w:space="0"/>
            </w:tcBorders>
            <w:shd w:val="clear" w:color="auto" w:fill="auto"/>
            <w:noWrap/>
            <w:vAlign w:val="bottom"/>
            <w:hideMark/>
          </w:tcPr>
          <w:p w:rsidRPr="00387AB6" w:rsidR="007A2950" w:rsidP="007A2950" w:rsidRDefault="007A2950" w14:paraId="7167C09A"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[mmbtu]</w:t>
            </w:r>
          </w:p>
        </w:tc>
        <w:tc>
          <w:tcPr>
            <w:tcW w:w="1494" w:type="dxa"/>
            <w:tcBorders>
              <w:top w:val="nil"/>
              <w:left w:val="nil"/>
              <w:bottom w:val="single" w:color="auto" w:sz="4" w:space="0"/>
              <w:right w:val="double" w:color="auto" w:sz="6" w:space="0"/>
            </w:tcBorders>
            <w:shd w:val="clear" w:color="auto" w:fill="auto"/>
            <w:noWrap/>
            <w:vAlign w:val="bottom"/>
            <w:hideMark/>
          </w:tcPr>
          <w:p w:rsidRPr="00387AB6" w:rsidR="007A2950" w:rsidP="007A2950" w:rsidRDefault="007A2950" w14:paraId="3454C41D"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62" w:type="dxa"/>
            <w:tcBorders>
              <w:top w:val="nil"/>
              <w:left w:val="nil"/>
              <w:bottom w:val="single" w:color="auto" w:sz="4" w:space="0"/>
              <w:right w:val="single" w:color="auto" w:sz="4" w:space="0"/>
            </w:tcBorders>
            <w:shd w:val="clear" w:color="auto" w:fill="auto"/>
            <w:noWrap/>
            <w:vAlign w:val="bottom"/>
            <w:hideMark/>
          </w:tcPr>
          <w:p w:rsidRPr="00387AB6" w:rsidR="007A2950" w:rsidP="007A2950" w:rsidRDefault="007A2950" w14:paraId="32F4633A"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494" w:type="dxa"/>
            <w:tcBorders>
              <w:top w:val="nil"/>
              <w:left w:val="nil"/>
              <w:bottom w:val="single" w:color="auto" w:sz="4" w:space="0"/>
              <w:right w:val="single" w:color="auto" w:sz="8" w:space="0"/>
            </w:tcBorders>
            <w:shd w:val="clear" w:color="auto" w:fill="auto"/>
            <w:noWrap/>
            <w:vAlign w:val="bottom"/>
            <w:hideMark/>
          </w:tcPr>
          <w:p w:rsidRPr="00387AB6" w:rsidR="007A2950" w:rsidP="007A2950" w:rsidRDefault="007A2950" w14:paraId="648F87FA"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r>
      <w:tr w:rsidRPr="00387AB6" w:rsidR="007A2950" w:rsidTr="007A2950" w14:paraId="69C17B80" w14:textId="77777777">
        <w:trPr>
          <w:trHeight w:val="307"/>
        </w:trPr>
        <w:tc>
          <w:tcPr>
            <w:tcW w:w="4606"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87AB6" w:rsidR="007A2950" w:rsidP="007A2950" w:rsidRDefault="007A2950" w14:paraId="1B8912F6"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[Add rows as needed]</w:t>
            </w:r>
          </w:p>
        </w:tc>
        <w:tc>
          <w:tcPr>
            <w:tcW w:w="1562" w:type="dxa"/>
            <w:tcBorders>
              <w:top w:val="nil"/>
              <w:left w:val="single" w:color="auto" w:sz="4" w:space="0"/>
              <w:bottom w:val="single" w:color="auto" w:sz="4" w:space="0"/>
              <w:right w:val="single" w:color="auto" w:sz="4" w:space="0"/>
            </w:tcBorders>
            <w:shd w:val="clear" w:color="auto" w:fill="auto"/>
            <w:vAlign w:val="bottom"/>
            <w:hideMark/>
          </w:tcPr>
          <w:p w:rsidRPr="00387AB6" w:rsidR="007A2950" w:rsidP="007A2950" w:rsidRDefault="007A2950" w14:paraId="74A92DB9"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494" w:type="dxa"/>
            <w:tcBorders>
              <w:top w:val="nil"/>
              <w:left w:val="nil"/>
              <w:bottom w:val="single" w:color="auto" w:sz="4" w:space="0"/>
              <w:right w:val="double" w:color="auto" w:sz="6" w:space="0"/>
            </w:tcBorders>
            <w:shd w:val="clear" w:color="auto" w:fill="auto"/>
            <w:noWrap/>
            <w:vAlign w:val="bottom"/>
            <w:hideMark/>
          </w:tcPr>
          <w:p w:rsidRPr="00387AB6" w:rsidR="007A2950" w:rsidP="007A2950" w:rsidRDefault="007A2950" w14:paraId="194C018E"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62" w:type="dxa"/>
            <w:tcBorders>
              <w:top w:val="nil"/>
              <w:left w:val="nil"/>
              <w:bottom w:val="single" w:color="auto" w:sz="4" w:space="0"/>
              <w:right w:val="nil"/>
            </w:tcBorders>
            <w:shd w:val="clear" w:color="auto" w:fill="auto"/>
            <w:noWrap/>
            <w:vAlign w:val="bottom"/>
            <w:hideMark/>
          </w:tcPr>
          <w:p w:rsidRPr="00387AB6" w:rsidR="007A2950" w:rsidP="007A2950" w:rsidRDefault="007A2950" w14:paraId="13E45511"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494" w:type="dxa"/>
            <w:tcBorders>
              <w:top w:val="nil"/>
              <w:left w:val="nil"/>
              <w:bottom w:val="single" w:color="auto" w:sz="4" w:space="0"/>
              <w:right w:val="nil"/>
            </w:tcBorders>
            <w:shd w:val="clear" w:color="auto" w:fill="auto"/>
            <w:noWrap/>
            <w:vAlign w:val="bottom"/>
            <w:hideMark/>
          </w:tcPr>
          <w:p w:rsidRPr="00387AB6" w:rsidR="007A2950" w:rsidP="007A2950" w:rsidRDefault="007A2950" w14:paraId="39A034A8"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62" w:type="dxa"/>
            <w:tcBorders>
              <w:top w:val="nil"/>
              <w:left w:val="double" w:color="auto" w:sz="6" w:space="0"/>
              <w:bottom w:val="single" w:color="auto" w:sz="4" w:space="0"/>
              <w:right w:val="single" w:color="auto" w:sz="4" w:space="0"/>
            </w:tcBorders>
            <w:shd w:val="clear" w:color="auto" w:fill="auto"/>
            <w:noWrap/>
            <w:vAlign w:val="bottom"/>
            <w:hideMark/>
          </w:tcPr>
          <w:p w:rsidRPr="00387AB6" w:rsidR="007A2950" w:rsidP="007A2950" w:rsidRDefault="007A2950" w14:paraId="5210F5CF"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494" w:type="dxa"/>
            <w:tcBorders>
              <w:top w:val="nil"/>
              <w:left w:val="nil"/>
              <w:bottom w:val="single" w:color="auto" w:sz="4" w:space="0"/>
              <w:right w:val="double" w:color="auto" w:sz="6" w:space="0"/>
            </w:tcBorders>
            <w:shd w:val="clear" w:color="auto" w:fill="auto"/>
            <w:noWrap/>
            <w:vAlign w:val="bottom"/>
            <w:hideMark/>
          </w:tcPr>
          <w:p w:rsidRPr="00387AB6" w:rsidR="007A2950" w:rsidP="007A2950" w:rsidRDefault="007A2950" w14:paraId="6FB2EBCD"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62" w:type="dxa"/>
            <w:tcBorders>
              <w:top w:val="nil"/>
              <w:left w:val="nil"/>
              <w:bottom w:val="single" w:color="auto" w:sz="4" w:space="0"/>
              <w:right w:val="single" w:color="auto" w:sz="4" w:space="0"/>
            </w:tcBorders>
            <w:shd w:val="clear" w:color="auto" w:fill="auto"/>
            <w:noWrap/>
            <w:vAlign w:val="bottom"/>
            <w:hideMark/>
          </w:tcPr>
          <w:p w:rsidRPr="00387AB6" w:rsidR="007A2950" w:rsidP="007A2950" w:rsidRDefault="007A2950" w14:paraId="3E0CFD00"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494" w:type="dxa"/>
            <w:tcBorders>
              <w:top w:val="nil"/>
              <w:left w:val="nil"/>
              <w:bottom w:val="single" w:color="auto" w:sz="4" w:space="0"/>
              <w:right w:val="single" w:color="auto" w:sz="8" w:space="0"/>
            </w:tcBorders>
            <w:shd w:val="clear" w:color="auto" w:fill="auto"/>
            <w:noWrap/>
            <w:vAlign w:val="bottom"/>
            <w:hideMark/>
          </w:tcPr>
          <w:p w:rsidRPr="00387AB6" w:rsidR="007A2950" w:rsidP="007A2950" w:rsidRDefault="007A2950" w14:paraId="1352C7A3"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r>
      <w:tr w:rsidRPr="00387AB6" w:rsidR="007A2950" w:rsidTr="007A2950" w14:paraId="1D9BD5BC" w14:textId="77777777">
        <w:trPr>
          <w:trHeight w:val="307"/>
        </w:trPr>
        <w:tc>
          <w:tcPr>
            <w:tcW w:w="4606" w:type="dxa"/>
            <w:tcBorders>
              <w:top w:val="single" w:color="auto" w:sz="4" w:space="0"/>
              <w:left w:val="single" w:color="auto" w:sz="4" w:space="0"/>
              <w:bottom w:val="single" w:color="auto" w:sz="4" w:space="0"/>
              <w:right w:val="single" w:color="auto" w:sz="4" w:space="0"/>
            </w:tcBorders>
            <w:shd w:val="clear" w:color="000000" w:fill="D0CECE"/>
            <w:noWrap/>
            <w:vAlign w:val="bottom"/>
            <w:hideMark/>
          </w:tcPr>
          <w:p w:rsidRPr="00387AB6" w:rsidR="007A2950" w:rsidP="007A2950" w:rsidRDefault="007A2950" w14:paraId="3EABBBAF"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TOU Rates</w:t>
            </w:r>
          </w:p>
        </w:tc>
        <w:tc>
          <w:tcPr>
            <w:tcW w:w="1562" w:type="dxa"/>
            <w:tcBorders>
              <w:top w:val="nil"/>
              <w:left w:val="single" w:color="auto" w:sz="4" w:space="0"/>
              <w:bottom w:val="single" w:color="auto" w:sz="4" w:space="0"/>
              <w:right w:val="nil"/>
            </w:tcBorders>
            <w:shd w:val="clear" w:color="000000" w:fill="D0CECE"/>
            <w:noWrap/>
            <w:vAlign w:val="bottom"/>
            <w:hideMark/>
          </w:tcPr>
          <w:p w:rsidRPr="00387AB6" w:rsidR="007A2950" w:rsidP="007A2950" w:rsidRDefault="007A2950" w14:paraId="5D4C0EC6"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 </w:t>
            </w:r>
          </w:p>
        </w:tc>
        <w:tc>
          <w:tcPr>
            <w:tcW w:w="1494" w:type="dxa"/>
            <w:tcBorders>
              <w:top w:val="nil"/>
              <w:left w:val="nil"/>
              <w:bottom w:val="single" w:color="auto" w:sz="4" w:space="0"/>
              <w:right w:val="nil"/>
            </w:tcBorders>
            <w:shd w:val="clear" w:color="000000" w:fill="D0CECE"/>
            <w:noWrap/>
            <w:vAlign w:val="bottom"/>
            <w:hideMark/>
          </w:tcPr>
          <w:p w:rsidRPr="00387AB6" w:rsidR="007A2950" w:rsidP="007A2950" w:rsidRDefault="007A2950" w14:paraId="49DFB8D7"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 </w:t>
            </w:r>
          </w:p>
        </w:tc>
        <w:tc>
          <w:tcPr>
            <w:tcW w:w="1562" w:type="dxa"/>
            <w:tcBorders>
              <w:top w:val="nil"/>
              <w:left w:val="nil"/>
              <w:bottom w:val="single" w:color="auto" w:sz="4" w:space="0"/>
              <w:right w:val="nil"/>
            </w:tcBorders>
            <w:shd w:val="clear" w:color="000000" w:fill="D0CECE"/>
            <w:noWrap/>
            <w:vAlign w:val="bottom"/>
            <w:hideMark/>
          </w:tcPr>
          <w:p w:rsidRPr="00387AB6" w:rsidR="007A2950" w:rsidP="007A2950" w:rsidRDefault="007A2950" w14:paraId="26C2F410"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 </w:t>
            </w:r>
          </w:p>
        </w:tc>
        <w:tc>
          <w:tcPr>
            <w:tcW w:w="1494" w:type="dxa"/>
            <w:tcBorders>
              <w:top w:val="nil"/>
              <w:left w:val="nil"/>
              <w:bottom w:val="single" w:color="auto" w:sz="4" w:space="0"/>
              <w:right w:val="nil"/>
            </w:tcBorders>
            <w:shd w:val="clear" w:color="000000" w:fill="D0CECE"/>
            <w:noWrap/>
            <w:vAlign w:val="bottom"/>
            <w:hideMark/>
          </w:tcPr>
          <w:p w:rsidRPr="00387AB6" w:rsidR="007A2950" w:rsidP="007A2950" w:rsidRDefault="007A2950" w14:paraId="2019C921"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 </w:t>
            </w:r>
          </w:p>
        </w:tc>
        <w:tc>
          <w:tcPr>
            <w:tcW w:w="1562" w:type="dxa"/>
            <w:tcBorders>
              <w:top w:val="nil"/>
              <w:left w:val="nil"/>
              <w:bottom w:val="single" w:color="auto" w:sz="4" w:space="0"/>
              <w:right w:val="nil"/>
            </w:tcBorders>
            <w:shd w:val="clear" w:color="000000" w:fill="D0CECE"/>
            <w:noWrap/>
            <w:vAlign w:val="bottom"/>
            <w:hideMark/>
          </w:tcPr>
          <w:p w:rsidRPr="00387AB6" w:rsidR="007A2950" w:rsidP="007A2950" w:rsidRDefault="007A2950" w14:paraId="1845BD20"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 </w:t>
            </w:r>
          </w:p>
        </w:tc>
        <w:tc>
          <w:tcPr>
            <w:tcW w:w="1494" w:type="dxa"/>
            <w:tcBorders>
              <w:top w:val="nil"/>
              <w:left w:val="nil"/>
              <w:bottom w:val="single" w:color="auto" w:sz="4" w:space="0"/>
              <w:right w:val="nil"/>
            </w:tcBorders>
            <w:shd w:val="clear" w:color="000000" w:fill="D0CECE"/>
            <w:noWrap/>
            <w:vAlign w:val="bottom"/>
            <w:hideMark/>
          </w:tcPr>
          <w:p w:rsidRPr="00387AB6" w:rsidR="007A2950" w:rsidP="007A2950" w:rsidRDefault="007A2950" w14:paraId="467528B3"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 </w:t>
            </w:r>
          </w:p>
        </w:tc>
        <w:tc>
          <w:tcPr>
            <w:tcW w:w="1562" w:type="dxa"/>
            <w:tcBorders>
              <w:top w:val="nil"/>
              <w:left w:val="nil"/>
              <w:bottom w:val="single" w:color="auto" w:sz="4" w:space="0"/>
              <w:right w:val="nil"/>
            </w:tcBorders>
            <w:shd w:val="clear" w:color="000000" w:fill="D0CECE"/>
            <w:noWrap/>
            <w:vAlign w:val="bottom"/>
            <w:hideMark/>
          </w:tcPr>
          <w:p w:rsidRPr="00387AB6" w:rsidR="007A2950" w:rsidP="007A2950" w:rsidRDefault="007A2950" w14:paraId="17A73E16"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 </w:t>
            </w:r>
          </w:p>
        </w:tc>
        <w:tc>
          <w:tcPr>
            <w:tcW w:w="1494" w:type="dxa"/>
            <w:tcBorders>
              <w:top w:val="nil"/>
              <w:left w:val="nil"/>
              <w:bottom w:val="single" w:color="auto" w:sz="4" w:space="0"/>
              <w:right w:val="single" w:color="auto" w:sz="8" w:space="0"/>
            </w:tcBorders>
            <w:shd w:val="clear" w:color="000000" w:fill="D0CECE"/>
            <w:noWrap/>
            <w:vAlign w:val="bottom"/>
            <w:hideMark/>
          </w:tcPr>
          <w:p w:rsidRPr="00387AB6" w:rsidR="007A2950" w:rsidP="007A2950" w:rsidRDefault="007A2950" w14:paraId="06058A6B"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 </w:t>
            </w:r>
          </w:p>
        </w:tc>
      </w:tr>
      <w:tr w:rsidRPr="00387AB6" w:rsidR="007A2950" w:rsidTr="007A2950" w14:paraId="1386567C" w14:textId="77777777">
        <w:trPr>
          <w:trHeight w:val="307"/>
        </w:trPr>
        <w:tc>
          <w:tcPr>
            <w:tcW w:w="4606"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87AB6" w:rsidR="007A2950" w:rsidP="007A2950" w:rsidRDefault="007A2950" w14:paraId="7E633CDF"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E.g. E-6</w:t>
            </w:r>
          </w:p>
        </w:tc>
        <w:tc>
          <w:tcPr>
            <w:tcW w:w="1562" w:type="dxa"/>
            <w:tcBorders>
              <w:top w:val="nil"/>
              <w:left w:val="single" w:color="auto" w:sz="4" w:space="0"/>
              <w:bottom w:val="single" w:color="auto" w:sz="4" w:space="0"/>
              <w:right w:val="single" w:color="auto" w:sz="4" w:space="0"/>
            </w:tcBorders>
            <w:shd w:val="clear" w:color="auto" w:fill="auto"/>
            <w:noWrap/>
            <w:vAlign w:val="bottom"/>
            <w:hideMark/>
          </w:tcPr>
          <w:p w:rsidRPr="00387AB6" w:rsidR="007A2950" w:rsidP="007A2950" w:rsidRDefault="007A2950" w14:paraId="40234454"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494" w:type="dxa"/>
            <w:tcBorders>
              <w:top w:val="nil"/>
              <w:left w:val="nil"/>
              <w:bottom w:val="single" w:color="auto" w:sz="4" w:space="0"/>
              <w:right w:val="double" w:color="auto" w:sz="6" w:space="0"/>
            </w:tcBorders>
            <w:shd w:val="clear" w:color="auto" w:fill="auto"/>
            <w:noWrap/>
            <w:vAlign w:val="bottom"/>
            <w:hideMark/>
          </w:tcPr>
          <w:p w:rsidRPr="00387AB6" w:rsidR="007A2950" w:rsidP="007A2950" w:rsidRDefault="007A2950" w14:paraId="2401142C"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62" w:type="dxa"/>
            <w:tcBorders>
              <w:top w:val="nil"/>
              <w:left w:val="nil"/>
              <w:bottom w:val="single" w:color="auto" w:sz="4" w:space="0"/>
              <w:right w:val="nil"/>
            </w:tcBorders>
            <w:shd w:val="clear" w:color="auto" w:fill="auto"/>
            <w:noWrap/>
            <w:vAlign w:val="bottom"/>
            <w:hideMark/>
          </w:tcPr>
          <w:p w:rsidRPr="00387AB6" w:rsidR="007A2950" w:rsidP="007A2950" w:rsidRDefault="007A2950" w14:paraId="586FA4AA"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494" w:type="dxa"/>
            <w:tcBorders>
              <w:top w:val="nil"/>
              <w:left w:val="nil"/>
              <w:bottom w:val="single" w:color="auto" w:sz="4" w:space="0"/>
              <w:right w:val="nil"/>
            </w:tcBorders>
            <w:shd w:val="clear" w:color="auto" w:fill="auto"/>
            <w:noWrap/>
            <w:vAlign w:val="bottom"/>
            <w:hideMark/>
          </w:tcPr>
          <w:p w:rsidRPr="00387AB6" w:rsidR="007A2950" w:rsidP="007A2950" w:rsidRDefault="007A2950" w14:paraId="4E0CEEF0"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62" w:type="dxa"/>
            <w:tcBorders>
              <w:top w:val="nil"/>
              <w:left w:val="double" w:color="auto" w:sz="6" w:space="0"/>
              <w:bottom w:val="single" w:color="auto" w:sz="4" w:space="0"/>
              <w:right w:val="single" w:color="auto" w:sz="4" w:space="0"/>
            </w:tcBorders>
            <w:shd w:val="clear" w:color="auto" w:fill="auto"/>
            <w:noWrap/>
            <w:vAlign w:val="bottom"/>
            <w:hideMark/>
          </w:tcPr>
          <w:p w:rsidRPr="00387AB6" w:rsidR="007A2950" w:rsidP="007A2950" w:rsidRDefault="007A2950" w14:paraId="61375D94"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494" w:type="dxa"/>
            <w:tcBorders>
              <w:top w:val="nil"/>
              <w:left w:val="nil"/>
              <w:bottom w:val="single" w:color="auto" w:sz="4" w:space="0"/>
              <w:right w:val="double" w:color="auto" w:sz="6" w:space="0"/>
            </w:tcBorders>
            <w:shd w:val="clear" w:color="auto" w:fill="auto"/>
            <w:noWrap/>
            <w:vAlign w:val="bottom"/>
            <w:hideMark/>
          </w:tcPr>
          <w:p w:rsidRPr="00387AB6" w:rsidR="007A2950" w:rsidP="007A2950" w:rsidRDefault="007A2950" w14:paraId="240DE24A"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62" w:type="dxa"/>
            <w:tcBorders>
              <w:top w:val="nil"/>
              <w:left w:val="nil"/>
              <w:bottom w:val="single" w:color="auto" w:sz="4" w:space="0"/>
              <w:right w:val="single" w:color="auto" w:sz="4" w:space="0"/>
            </w:tcBorders>
            <w:shd w:val="clear" w:color="auto" w:fill="auto"/>
            <w:noWrap/>
            <w:vAlign w:val="bottom"/>
            <w:hideMark/>
          </w:tcPr>
          <w:p w:rsidRPr="00387AB6" w:rsidR="007A2950" w:rsidP="007A2950" w:rsidRDefault="007A2950" w14:paraId="43AEFD76"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494" w:type="dxa"/>
            <w:tcBorders>
              <w:top w:val="nil"/>
              <w:left w:val="nil"/>
              <w:bottom w:val="single" w:color="auto" w:sz="4" w:space="0"/>
              <w:right w:val="single" w:color="auto" w:sz="8" w:space="0"/>
            </w:tcBorders>
            <w:shd w:val="clear" w:color="auto" w:fill="auto"/>
            <w:noWrap/>
            <w:vAlign w:val="bottom"/>
            <w:hideMark/>
          </w:tcPr>
          <w:p w:rsidRPr="00387AB6" w:rsidR="007A2950" w:rsidP="007A2950" w:rsidRDefault="007A2950" w14:paraId="2B3E63C5"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r>
      <w:tr w:rsidRPr="00387AB6" w:rsidR="007A2950" w:rsidTr="007A2950" w14:paraId="6E25C8EE" w14:textId="77777777">
        <w:trPr>
          <w:trHeight w:val="307"/>
        </w:trPr>
        <w:tc>
          <w:tcPr>
            <w:tcW w:w="4606"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87AB6" w:rsidR="007A2950" w:rsidP="007A2950" w:rsidRDefault="007A2950" w14:paraId="23B08553"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E-TOU-A</w:t>
            </w:r>
          </w:p>
        </w:tc>
        <w:tc>
          <w:tcPr>
            <w:tcW w:w="1562" w:type="dxa"/>
            <w:tcBorders>
              <w:top w:val="nil"/>
              <w:left w:val="single" w:color="auto" w:sz="4" w:space="0"/>
              <w:bottom w:val="single" w:color="auto" w:sz="4" w:space="0"/>
              <w:right w:val="single" w:color="auto" w:sz="4" w:space="0"/>
            </w:tcBorders>
            <w:shd w:val="clear" w:color="auto" w:fill="auto"/>
            <w:noWrap/>
            <w:vAlign w:val="bottom"/>
            <w:hideMark/>
          </w:tcPr>
          <w:p w:rsidRPr="00387AB6" w:rsidR="007A2950" w:rsidP="007A2950" w:rsidRDefault="007A2950" w14:paraId="45F7966C"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494" w:type="dxa"/>
            <w:tcBorders>
              <w:top w:val="nil"/>
              <w:left w:val="nil"/>
              <w:bottom w:val="single" w:color="auto" w:sz="4" w:space="0"/>
              <w:right w:val="double" w:color="auto" w:sz="6" w:space="0"/>
            </w:tcBorders>
            <w:shd w:val="clear" w:color="auto" w:fill="auto"/>
            <w:noWrap/>
            <w:vAlign w:val="bottom"/>
            <w:hideMark/>
          </w:tcPr>
          <w:p w:rsidRPr="00387AB6" w:rsidR="007A2950" w:rsidP="007A2950" w:rsidRDefault="007A2950" w14:paraId="46527BD6"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62" w:type="dxa"/>
            <w:tcBorders>
              <w:top w:val="nil"/>
              <w:left w:val="nil"/>
              <w:bottom w:val="single" w:color="auto" w:sz="4" w:space="0"/>
              <w:right w:val="nil"/>
            </w:tcBorders>
            <w:shd w:val="clear" w:color="auto" w:fill="auto"/>
            <w:noWrap/>
            <w:vAlign w:val="bottom"/>
            <w:hideMark/>
          </w:tcPr>
          <w:p w:rsidRPr="00387AB6" w:rsidR="007A2950" w:rsidP="007A2950" w:rsidRDefault="007A2950" w14:paraId="656588F9"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494" w:type="dxa"/>
            <w:tcBorders>
              <w:top w:val="nil"/>
              <w:left w:val="nil"/>
              <w:bottom w:val="single" w:color="auto" w:sz="4" w:space="0"/>
              <w:right w:val="nil"/>
            </w:tcBorders>
            <w:shd w:val="clear" w:color="auto" w:fill="auto"/>
            <w:noWrap/>
            <w:vAlign w:val="bottom"/>
            <w:hideMark/>
          </w:tcPr>
          <w:p w:rsidRPr="00387AB6" w:rsidR="007A2950" w:rsidP="007A2950" w:rsidRDefault="007A2950" w14:paraId="03449632"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62" w:type="dxa"/>
            <w:tcBorders>
              <w:top w:val="nil"/>
              <w:left w:val="double" w:color="auto" w:sz="6" w:space="0"/>
              <w:bottom w:val="single" w:color="auto" w:sz="4" w:space="0"/>
              <w:right w:val="single" w:color="auto" w:sz="4" w:space="0"/>
            </w:tcBorders>
            <w:shd w:val="clear" w:color="auto" w:fill="auto"/>
            <w:noWrap/>
            <w:vAlign w:val="bottom"/>
            <w:hideMark/>
          </w:tcPr>
          <w:p w:rsidRPr="00387AB6" w:rsidR="007A2950" w:rsidP="007A2950" w:rsidRDefault="007A2950" w14:paraId="7942B88E"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494" w:type="dxa"/>
            <w:tcBorders>
              <w:top w:val="nil"/>
              <w:left w:val="nil"/>
              <w:bottom w:val="single" w:color="auto" w:sz="4" w:space="0"/>
              <w:right w:val="double" w:color="auto" w:sz="6" w:space="0"/>
            </w:tcBorders>
            <w:shd w:val="clear" w:color="auto" w:fill="auto"/>
            <w:noWrap/>
            <w:vAlign w:val="bottom"/>
            <w:hideMark/>
          </w:tcPr>
          <w:p w:rsidRPr="00387AB6" w:rsidR="007A2950" w:rsidP="007A2950" w:rsidRDefault="007A2950" w14:paraId="0FAF08DE"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62" w:type="dxa"/>
            <w:tcBorders>
              <w:top w:val="nil"/>
              <w:left w:val="nil"/>
              <w:bottom w:val="single" w:color="auto" w:sz="4" w:space="0"/>
              <w:right w:val="single" w:color="auto" w:sz="4" w:space="0"/>
            </w:tcBorders>
            <w:shd w:val="clear" w:color="auto" w:fill="auto"/>
            <w:noWrap/>
            <w:vAlign w:val="bottom"/>
            <w:hideMark/>
          </w:tcPr>
          <w:p w:rsidRPr="00387AB6" w:rsidR="007A2950" w:rsidP="007A2950" w:rsidRDefault="007A2950" w14:paraId="48F3D8A2"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494" w:type="dxa"/>
            <w:tcBorders>
              <w:top w:val="nil"/>
              <w:left w:val="nil"/>
              <w:bottom w:val="single" w:color="auto" w:sz="4" w:space="0"/>
              <w:right w:val="single" w:color="auto" w:sz="8" w:space="0"/>
            </w:tcBorders>
            <w:shd w:val="clear" w:color="auto" w:fill="auto"/>
            <w:noWrap/>
            <w:vAlign w:val="bottom"/>
            <w:hideMark/>
          </w:tcPr>
          <w:p w:rsidRPr="00387AB6" w:rsidR="007A2950" w:rsidP="007A2950" w:rsidRDefault="007A2950" w14:paraId="4DCA8A3B"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r>
      <w:tr w:rsidRPr="00387AB6" w:rsidR="007A2950" w:rsidTr="007A2950" w14:paraId="4EE679A5" w14:textId="77777777">
        <w:trPr>
          <w:trHeight w:val="307"/>
        </w:trPr>
        <w:tc>
          <w:tcPr>
            <w:tcW w:w="4606"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87AB6" w:rsidR="007A2950" w:rsidP="007A2950" w:rsidRDefault="007A2950" w14:paraId="3A9A47F3"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TOU Prime</w:t>
            </w:r>
          </w:p>
        </w:tc>
        <w:tc>
          <w:tcPr>
            <w:tcW w:w="1562" w:type="dxa"/>
            <w:tcBorders>
              <w:top w:val="nil"/>
              <w:left w:val="single" w:color="auto" w:sz="4" w:space="0"/>
              <w:bottom w:val="single" w:color="auto" w:sz="4" w:space="0"/>
              <w:right w:val="single" w:color="auto" w:sz="4" w:space="0"/>
            </w:tcBorders>
            <w:shd w:val="clear" w:color="auto" w:fill="auto"/>
            <w:noWrap/>
            <w:vAlign w:val="bottom"/>
            <w:hideMark/>
          </w:tcPr>
          <w:p w:rsidRPr="00387AB6" w:rsidR="007A2950" w:rsidP="007A2950" w:rsidRDefault="007A2950" w14:paraId="4BC707EC"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494" w:type="dxa"/>
            <w:tcBorders>
              <w:top w:val="nil"/>
              <w:left w:val="nil"/>
              <w:bottom w:val="single" w:color="auto" w:sz="4" w:space="0"/>
              <w:right w:val="double" w:color="auto" w:sz="6" w:space="0"/>
            </w:tcBorders>
            <w:shd w:val="clear" w:color="auto" w:fill="auto"/>
            <w:noWrap/>
            <w:vAlign w:val="bottom"/>
            <w:hideMark/>
          </w:tcPr>
          <w:p w:rsidRPr="00387AB6" w:rsidR="007A2950" w:rsidP="007A2950" w:rsidRDefault="007A2950" w14:paraId="2D87CFFD"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62" w:type="dxa"/>
            <w:tcBorders>
              <w:top w:val="nil"/>
              <w:left w:val="nil"/>
              <w:bottom w:val="single" w:color="auto" w:sz="4" w:space="0"/>
              <w:right w:val="nil"/>
            </w:tcBorders>
            <w:shd w:val="clear" w:color="auto" w:fill="auto"/>
            <w:noWrap/>
            <w:vAlign w:val="bottom"/>
            <w:hideMark/>
          </w:tcPr>
          <w:p w:rsidRPr="00387AB6" w:rsidR="007A2950" w:rsidP="007A2950" w:rsidRDefault="007A2950" w14:paraId="4E42DBED"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494" w:type="dxa"/>
            <w:tcBorders>
              <w:top w:val="nil"/>
              <w:left w:val="nil"/>
              <w:bottom w:val="single" w:color="auto" w:sz="4" w:space="0"/>
              <w:right w:val="nil"/>
            </w:tcBorders>
            <w:shd w:val="clear" w:color="auto" w:fill="auto"/>
            <w:noWrap/>
            <w:vAlign w:val="bottom"/>
            <w:hideMark/>
          </w:tcPr>
          <w:p w:rsidRPr="00387AB6" w:rsidR="007A2950" w:rsidP="007A2950" w:rsidRDefault="007A2950" w14:paraId="75FBE3B8"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62" w:type="dxa"/>
            <w:tcBorders>
              <w:top w:val="nil"/>
              <w:left w:val="double" w:color="auto" w:sz="6" w:space="0"/>
              <w:bottom w:val="single" w:color="auto" w:sz="4" w:space="0"/>
              <w:right w:val="single" w:color="auto" w:sz="4" w:space="0"/>
            </w:tcBorders>
            <w:shd w:val="clear" w:color="auto" w:fill="auto"/>
            <w:noWrap/>
            <w:vAlign w:val="bottom"/>
            <w:hideMark/>
          </w:tcPr>
          <w:p w:rsidRPr="00387AB6" w:rsidR="007A2950" w:rsidP="007A2950" w:rsidRDefault="007A2950" w14:paraId="5B5BF4C4"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494" w:type="dxa"/>
            <w:tcBorders>
              <w:top w:val="nil"/>
              <w:left w:val="nil"/>
              <w:bottom w:val="single" w:color="auto" w:sz="4" w:space="0"/>
              <w:right w:val="double" w:color="auto" w:sz="6" w:space="0"/>
            </w:tcBorders>
            <w:shd w:val="clear" w:color="auto" w:fill="auto"/>
            <w:noWrap/>
            <w:vAlign w:val="bottom"/>
            <w:hideMark/>
          </w:tcPr>
          <w:p w:rsidRPr="00387AB6" w:rsidR="007A2950" w:rsidP="007A2950" w:rsidRDefault="007A2950" w14:paraId="71C9E4D5"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62" w:type="dxa"/>
            <w:tcBorders>
              <w:top w:val="nil"/>
              <w:left w:val="nil"/>
              <w:bottom w:val="single" w:color="auto" w:sz="4" w:space="0"/>
              <w:right w:val="single" w:color="auto" w:sz="4" w:space="0"/>
            </w:tcBorders>
            <w:shd w:val="clear" w:color="auto" w:fill="auto"/>
            <w:noWrap/>
            <w:vAlign w:val="bottom"/>
            <w:hideMark/>
          </w:tcPr>
          <w:p w:rsidRPr="00387AB6" w:rsidR="007A2950" w:rsidP="007A2950" w:rsidRDefault="007A2950" w14:paraId="695CB337"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494" w:type="dxa"/>
            <w:tcBorders>
              <w:top w:val="nil"/>
              <w:left w:val="nil"/>
              <w:bottom w:val="single" w:color="auto" w:sz="4" w:space="0"/>
              <w:right w:val="single" w:color="auto" w:sz="8" w:space="0"/>
            </w:tcBorders>
            <w:shd w:val="clear" w:color="auto" w:fill="auto"/>
            <w:noWrap/>
            <w:vAlign w:val="bottom"/>
            <w:hideMark/>
          </w:tcPr>
          <w:p w:rsidRPr="00387AB6" w:rsidR="007A2950" w:rsidP="007A2950" w:rsidRDefault="007A2950" w14:paraId="24543E4B"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r>
      <w:tr w:rsidRPr="00387AB6" w:rsidR="007A2950" w:rsidTr="007A2950" w14:paraId="75012A16" w14:textId="77777777">
        <w:trPr>
          <w:trHeight w:val="307"/>
        </w:trPr>
        <w:tc>
          <w:tcPr>
            <w:tcW w:w="4606"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87AB6" w:rsidR="007A2950" w:rsidP="007A2950" w:rsidRDefault="007A2950" w14:paraId="7AD583D5"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[Add Rows as needed]</w:t>
            </w:r>
          </w:p>
        </w:tc>
        <w:tc>
          <w:tcPr>
            <w:tcW w:w="1562" w:type="dxa"/>
            <w:tcBorders>
              <w:top w:val="nil"/>
              <w:left w:val="single" w:color="auto" w:sz="4" w:space="0"/>
              <w:bottom w:val="single" w:color="auto" w:sz="4" w:space="0"/>
              <w:right w:val="single" w:color="auto" w:sz="4" w:space="0"/>
            </w:tcBorders>
            <w:shd w:val="clear" w:color="auto" w:fill="auto"/>
            <w:noWrap/>
            <w:vAlign w:val="bottom"/>
            <w:hideMark/>
          </w:tcPr>
          <w:p w:rsidRPr="00387AB6" w:rsidR="007A2950" w:rsidP="007A2950" w:rsidRDefault="007A2950" w14:paraId="6C2F7ADC"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494" w:type="dxa"/>
            <w:tcBorders>
              <w:top w:val="nil"/>
              <w:left w:val="nil"/>
              <w:bottom w:val="single" w:color="auto" w:sz="4" w:space="0"/>
              <w:right w:val="double" w:color="auto" w:sz="6" w:space="0"/>
            </w:tcBorders>
            <w:shd w:val="clear" w:color="auto" w:fill="auto"/>
            <w:noWrap/>
            <w:vAlign w:val="bottom"/>
            <w:hideMark/>
          </w:tcPr>
          <w:p w:rsidRPr="00387AB6" w:rsidR="007A2950" w:rsidP="007A2950" w:rsidRDefault="007A2950" w14:paraId="74894D1E"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62" w:type="dxa"/>
            <w:tcBorders>
              <w:top w:val="nil"/>
              <w:left w:val="nil"/>
              <w:bottom w:val="single" w:color="auto" w:sz="4" w:space="0"/>
              <w:right w:val="nil"/>
            </w:tcBorders>
            <w:shd w:val="clear" w:color="auto" w:fill="auto"/>
            <w:noWrap/>
            <w:vAlign w:val="bottom"/>
            <w:hideMark/>
          </w:tcPr>
          <w:p w:rsidRPr="00387AB6" w:rsidR="007A2950" w:rsidP="007A2950" w:rsidRDefault="007A2950" w14:paraId="52607A33"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494" w:type="dxa"/>
            <w:tcBorders>
              <w:top w:val="nil"/>
              <w:left w:val="nil"/>
              <w:bottom w:val="single" w:color="auto" w:sz="4" w:space="0"/>
              <w:right w:val="nil"/>
            </w:tcBorders>
            <w:shd w:val="clear" w:color="auto" w:fill="auto"/>
            <w:noWrap/>
            <w:vAlign w:val="bottom"/>
            <w:hideMark/>
          </w:tcPr>
          <w:p w:rsidRPr="00387AB6" w:rsidR="007A2950" w:rsidP="007A2950" w:rsidRDefault="007A2950" w14:paraId="5A3CCB92"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62" w:type="dxa"/>
            <w:tcBorders>
              <w:top w:val="nil"/>
              <w:left w:val="double" w:color="auto" w:sz="6" w:space="0"/>
              <w:bottom w:val="single" w:color="auto" w:sz="4" w:space="0"/>
              <w:right w:val="single" w:color="auto" w:sz="4" w:space="0"/>
            </w:tcBorders>
            <w:shd w:val="clear" w:color="auto" w:fill="auto"/>
            <w:noWrap/>
            <w:vAlign w:val="bottom"/>
            <w:hideMark/>
          </w:tcPr>
          <w:p w:rsidRPr="00387AB6" w:rsidR="007A2950" w:rsidP="007A2950" w:rsidRDefault="007A2950" w14:paraId="695A8018"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494" w:type="dxa"/>
            <w:tcBorders>
              <w:top w:val="nil"/>
              <w:left w:val="nil"/>
              <w:bottom w:val="single" w:color="auto" w:sz="4" w:space="0"/>
              <w:right w:val="double" w:color="auto" w:sz="6" w:space="0"/>
            </w:tcBorders>
            <w:shd w:val="clear" w:color="auto" w:fill="auto"/>
            <w:noWrap/>
            <w:vAlign w:val="bottom"/>
            <w:hideMark/>
          </w:tcPr>
          <w:p w:rsidRPr="00387AB6" w:rsidR="007A2950" w:rsidP="007A2950" w:rsidRDefault="007A2950" w14:paraId="4FF113AD"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62" w:type="dxa"/>
            <w:tcBorders>
              <w:top w:val="nil"/>
              <w:left w:val="nil"/>
              <w:bottom w:val="single" w:color="auto" w:sz="4" w:space="0"/>
              <w:right w:val="single" w:color="auto" w:sz="4" w:space="0"/>
            </w:tcBorders>
            <w:shd w:val="clear" w:color="auto" w:fill="auto"/>
            <w:noWrap/>
            <w:vAlign w:val="bottom"/>
            <w:hideMark/>
          </w:tcPr>
          <w:p w:rsidRPr="00387AB6" w:rsidR="007A2950" w:rsidP="007A2950" w:rsidRDefault="007A2950" w14:paraId="6E8CB075"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494" w:type="dxa"/>
            <w:tcBorders>
              <w:top w:val="nil"/>
              <w:left w:val="nil"/>
              <w:bottom w:val="single" w:color="auto" w:sz="4" w:space="0"/>
              <w:right w:val="single" w:color="auto" w:sz="8" w:space="0"/>
            </w:tcBorders>
            <w:shd w:val="clear" w:color="auto" w:fill="auto"/>
            <w:noWrap/>
            <w:vAlign w:val="bottom"/>
            <w:hideMark/>
          </w:tcPr>
          <w:p w:rsidRPr="00387AB6" w:rsidR="007A2950" w:rsidP="007A2950" w:rsidRDefault="007A2950" w14:paraId="265A65D4"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r>
      <w:tr w:rsidRPr="00387AB6" w:rsidR="007A2950" w:rsidTr="007A2950" w14:paraId="170FAC36" w14:textId="77777777">
        <w:trPr>
          <w:trHeight w:val="307"/>
        </w:trPr>
        <w:tc>
          <w:tcPr>
            <w:tcW w:w="4606" w:type="dxa"/>
            <w:tcBorders>
              <w:top w:val="single" w:color="auto" w:sz="4" w:space="0"/>
              <w:left w:val="single" w:color="auto" w:sz="4" w:space="0"/>
              <w:bottom w:val="single" w:color="auto" w:sz="4" w:space="0"/>
              <w:right w:val="single" w:color="auto" w:sz="4" w:space="0"/>
            </w:tcBorders>
            <w:shd w:val="clear" w:color="000000" w:fill="BFBFBF"/>
            <w:noWrap/>
            <w:vAlign w:val="bottom"/>
            <w:hideMark/>
          </w:tcPr>
          <w:p w:rsidRPr="00387AB6" w:rsidR="007A2950" w:rsidP="007A2950" w:rsidRDefault="007A2950" w14:paraId="48B89769"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Solar PV Customers</w:t>
            </w:r>
          </w:p>
        </w:tc>
        <w:tc>
          <w:tcPr>
            <w:tcW w:w="1562" w:type="dxa"/>
            <w:tcBorders>
              <w:top w:val="nil"/>
              <w:left w:val="single" w:color="auto" w:sz="4" w:space="0"/>
              <w:bottom w:val="single" w:color="auto" w:sz="4" w:space="0"/>
              <w:right w:val="nil"/>
            </w:tcBorders>
            <w:shd w:val="clear" w:color="000000" w:fill="BFBFBF"/>
            <w:noWrap/>
            <w:vAlign w:val="bottom"/>
            <w:hideMark/>
          </w:tcPr>
          <w:p w:rsidRPr="00387AB6" w:rsidR="007A2950" w:rsidP="007A2950" w:rsidRDefault="007A2950" w14:paraId="6C957614"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 </w:t>
            </w:r>
          </w:p>
        </w:tc>
        <w:tc>
          <w:tcPr>
            <w:tcW w:w="1494" w:type="dxa"/>
            <w:tcBorders>
              <w:top w:val="nil"/>
              <w:left w:val="nil"/>
              <w:bottom w:val="single" w:color="auto" w:sz="4" w:space="0"/>
              <w:right w:val="nil"/>
            </w:tcBorders>
            <w:shd w:val="clear" w:color="000000" w:fill="BFBFBF"/>
            <w:noWrap/>
            <w:vAlign w:val="bottom"/>
            <w:hideMark/>
          </w:tcPr>
          <w:p w:rsidRPr="00387AB6" w:rsidR="007A2950" w:rsidP="007A2950" w:rsidRDefault="007A2950" w14:paraId="3CDFBC6D"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 </w:t>
            </w:r>
          </w:p>
        </w:tc>
        <w:tc>
          <w:tcPr>
            <w:tcW w:w="1562" w:type="dxa"/>
            <w:tcBorders>
              <w:top w:val="nil"/>
              <w:left w:val="nil"/>
              <w:bottom w:val="single" w:color="auto" w:sz="4" w:space="0"/>
              <w:right w:val="nil"/>
            </w:tcBorders>
            <w:shd w:val="clear" w:color="000000" w:fill="BFBFBF"/>
            <w:noWrap/>
            <w:vAlign w:val="bottom"/>
            <w:hideMark/>
          </w:tcPr>
          <w:p w:rsidRPr="00387AB6" w:rsidR="007A2950" w:rsidP="007A2950" w:rsidRDefault="007A2950" w14:paraId="6E4C6F72"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 </w:t>
            </w:r>
          </w:p>
        </w:tc>
        <w:tc>
          <w:tcPr>
            <w:tcW w:w="1494" w:type="dxa"/>
            <w:tcBorders>
              <w:top w:val="nil"/>
              <w:left w:val="nil"/>
              <w:bottom w:val="single" w:color="auto" w:sz="4" w:space="0"/>
              <w:right w:val="nil"/>
            </w:tcBorders>
            <w:shd w:val="clear" w:color="000000" w:fill="BFBFBF"/>
            <w:noWrap/>
            <w:vAlign w:val="bottom"/>
            <w:hideMark/>
          </w:tcPr>
          <w:p w:rsidRPr="00387AB6" w:rsidR="007A2950" w:rsidP="007A2950" w:rsidRDefault="007A2950" w14:paraId="055C5E0E"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 </w:t>
            </w:r>
          </w:p>
        </w:tc>
        <w:tc>
          <w:tcPr>
            <w:tcW w:w="1562" w:type="dxa"/>
            <w:tcBorders>
              <w:top w:val="nil"/>
              <w:left w:val="nil"/>
              <w:bottom w:val="single" w:color="auto" w:sz="4" w:space="0"/>
              <w:right w:val="nil"/>
            </w:tcBorders>
            <w:shd w:val="clear" w:color="000000" w:fill="BFBFBF"/>
            <w:noWrap/>
            <w:vAlign w:val="bottom"/>
            <w:hideMark/>
          </w:tcPr>
          <w:p w:rsidRPr="00387AB6" w:rsidR="007A2950" w:rsidP="007A2950" w:rsidRDefault="007A2950" w14:paraId="4390F975"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 </w:t>
            </w:r>
          </w:p>
        </w:tc>
        <w:tc>
          <w:tcPr>
            <w:tcW w:w="1494" w:type="dxa"/>
            <w:tcBorders>
              <w:top w:val="nil"/>
              <w:left w:val="nil"/>
              <w:bottom w:val="single" w:color="auto" w:sz="4" w:space="0"/>
              <w:right w:val="nil"/>
            </w:tcBorders>
            <w:shd w:val="clear" w:color="000000" w:fill="BFBFBF"/>
            <w:noWrap/>
            <w:vAlign w:val="bottom"/>
            <w:hideMark/>
          </w:tcPr>
          <w:p w:rsidRPr="00387AB6" w:rsidR="007A2950" w:rsidP="007A2950" w:rsidRDefault="007A2950" w14:paraId="2BBEC417"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 </w:t>
            </w:r>
          </w:p>
        </w:tc>
        <w:tc>
          <w:tcPr>
            <w:tcW w:w="1562" w:type="dxa"/>
            <w:tcBorders>
              <w:top w:val="nil"/>
              <w:left w:val="nil"/>
              <w:bottom w:val="single" w:color="auto" w:sz="4" w:space="0"/>
              <w:right w:val="nil"/>
            </w:tcBorders>
            <w:shd w:val="clear" w:color="000000" w:fill="BFBFBF"/>
            <w:noWrap/>
            <w:vAlign w:val="bottom"/>
            <w:hideMark/>
          </w:tcPr>
          <w:p w:rsidRPr="00387AB6" w:rsidR="007A2950" w:rsidP="007A2950" w:rsidRDefault="007A2950" w14:paraId="50755DE0"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 </w:t>
            </w:r>
          </w:p>
        </w:tc>
        <w:tc>
          <w:tcPr>
            <w:tcW w:w="1494" w:type="dxa"/>
            <w:tcBorders>
              <w:top w:val="nil"/>
              <w:left w:val="nil"/>
              <w:bottom w:val="single" w:color="auto" w:sz="4" w:space="0"/>
              <w:right w:val="nil"/>
            </w:tcBorders>
            <w:shd w:val="clear" w:color="000000" w:fill="BFBFBF"/>
            <w:noWrap/>
            <w:vAlign w:val="bottom"/>
            <w:hideMark/>
          </w:tcPr>
          <w:p w:rsidRPr="00387AB6" w:rsidR="007A2950" w:rsidP="007A2950" w:rsidRDefault="007A2950" w14:paraId="419F4B11"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 </w:t>
            </w:r>
          </w:p>
        </w:tc>
      </w:tr>
      <w:tr w:rsidRPr="00387AB6" w:rsidR="007A2950" w:rsidTr="007A2950" w14:paraId="7DB868F8" w14:textId="77777777">
        <w:trPr>
          <w:trHeight w:val="305"/>
        </w:trPr>
        <w:tc>
          <w:tcPr>
            <w:tcW w:w="4606"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387AB6" w:rsidR="007A2950" w:rsidP="007A2950" w:rsidRDefault="007A2950" w14:paraId="4F4E4FB6"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Customers with Onsite Solar Generation</w:t>
            </w:r>
          </w:p>
        </w:tc>
        <w:tc>
          <w:tcPr>
            <w:tcW w:w="1562" w:type="dxa"/>
            <w:tcBorders>
              <w:top w:val="nil"/>
              <w:left w:val="single" w:color="auto" w:sz="4" w:space="0"/>
              <w:bottom w:val="single" w:color="auto" w:sz="4" w:space="0"/>
              <w:right w:val="single" w:color="auto" w:sz="4" w:space="0"/>
            </w:tcBorders>
            <w:shd w:val="clear" w:color="auto" w:fill="auto"/>
            <w:noWrap/>
            <w:vAlign w:val="bottom"/>
            <w:hideMark/>
          </w:tcPr>
          <w:p w:rsidRPr="00387AB6" w:rsidR="007A2950" w:rsidP="007A2950" w:rsidRDefault="007A2950" w14:paraId="0A54C686"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494" w:type="dxa"/>
            <w:tcBorders>
              <w:top w:val="nil"/>
              <w:left w:val="nil"/>
              <w:bottom w:val="single" w:color="auto" w:sz="4" w:space="0"/>
              <w:right w:val="double" w:color="auto" w:sz="6" w:space="0"/>
            </w:tcBorders>
            <w:shd w:val="clear" w:color="auto" w:fill="auto"/>
            <w:noWrap/>
            <w:vAlign w:val="bottom"/>
            <w:hideMark/>
          </w:tcPr>
          <w:p w:rsidRPr="00387AB6" w:rsidR="007A2950" w:rsidP="007A2950" w:rsidRDefault="007A2950" w14:paraId="7150A824"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62" w:type="dxa"/>
            <w:tcBorders>
              <w:top w:val="nil"/>
              <w:left w:val="nil"/>
              <w:bottom w:val="single" w:color="auto" w:sz="4" w:space="0"/>
              <w:right w:val="nil"/>
            </w:tcBorders>
            <w:shd w:val="clear" w:color="auto" w:fill="auto"/>
            <w:noWrap/>
            <w:vAlign w:val="bottom"/>
            <w:hideMark/>
          </w:tcPr>
          <w:p w:rsidRPr="00387AB6" w:rsidR="007A2950" w:rsidP="007A2950" w:rsidRDefault="007A2950" w14:paraId="3E4F6663"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494" w:type="dxa"/>
            <w:tcBorders>
              <w:top w:val="nil"/>
              <w:left w:val="nil"/>
              <w:bottom w:val="single" w:color="auto" w:sz="4" w:space="0"/>
              <w:right w:val="nil"/>
            </w:tcBorders>
            <w:shd w:val="clear" w:color="auto" w:fill="auto"/>
            <w:noWrap/>
            <w:vAlign w:val="bottom"/>
            <w:hideMark/>
          </w:tcPr>
          <w:p w:rsidRPr="00387AB6" w:rsidR="007A2950" w:rsidP="007A2950" w:rsidRDefault="007A2950" w14:paraId="0717C0CE"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62" w:type="dxa"/>
            <w:tcBorders>
              <w:top w:val="nil"/>
              <w:left w:val="double" w:color="auto" w:sz="6" w:space="0"/>
              <w:bottom w:val="single" w:color="auto" w:sz="4" w:space="0"/>
              <w:right w:val="single" w:color="auto" w:sz="4" w:space="0"/>
            </w:tcBorders>
            <w:shd w:val="clear" w:color="auto" w:fill="auto"/>
            <w:noWrap/>
            <w:vAlign w:val="bottom"/>
            <w:hideMark/>
          </w:tcPr>
          <w:p w:rsidRPr="00387AB6" w:rsidR="007A2950" w:rsidP="007A2950" w:rsidRDefault="007A2950" w14:paraId="354C5456"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494" w:type="dxa"/>
            <w:tcBorders>
              <w:top w:val="nil"/>
              <w:left w:val="nil"/>
              <w:bottom w:val="single" w:color="auto" w:sz="4" w:space="0"/>
              <w:right w:val="double" w:color="auto" w:sz="6" w:space="0"/>
            </w:tcBorders>
            <w:shd w:val="clear" w:color="auto" w:fill="auto"/>
            <w:noWrap/>
            <w:vAlign w:val="bottom"/>
            <w:hideMark/>
          </w:tcPr>
          <w:p w:rsidRPr="00387AB6" w:rsidR="007A2950" w:rsidP="007A2950" w:rsidRDefault="007A2950" w14:paraId="4C4C353E"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62" w:type="dxa"/>
            <w:tcBorders>
              <w:top w:val="nil"/>
              <w:left w:val="nil"/>
              <w:bottom w:val="single" w:color="auto" w:sz="4" w:space="0"/>
              <w:right w:val="single" w:color="auto" w:sz="4" w:space="0"/>
            </w:tcBorders>
            <w:shd w:val="clear" w:color="auto" w:fill="auto"/>
            <w:noWrap/>
            <w:vAlign w:val="bottom"/>
            <w:hideMark/>
          </w:tcPr>
          <w:p w:rsidRPr="00387AB6" w:rsidR="007A2950" w:rsidP="007A2950" w:rsidRDefault="007A2950" w14:paraId="22A368BD"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494" w:type="dxa"/>
            <w:tcBorders>
              <w:top w:val="nil"/>
              <w:left w:val="nil"/>
              <w:bottom w:val="single" w:color="auto" w:sz="4" w:space="0"/>
              <w:right w:val="single" w:color="auto" w:sz="8" w:space="0"/>
            </w:tcBorders>
            <w:shd w:val="clear" w:color="auto" w:fill="auto"/>
            <w:noWrap/>
            <w:vAlign w:val="bottom"/>
            <w:hideMark/>
          </w:tcPr>
          <w:p w:rsidRPr="00387AB6" w:rsidR="007A2950" w:rsidP="007A2950" w:rsidRDefault="007A2950" w14:paraId="71F5CCA2"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r>
      <w:tr w:rsidRPr="00387AB6" w:rsidR="007A2950" w:rsidTr="007A2950" w14:paraId="3019E5E8" w14:textId="77777777">
        <w:trPr>
          <w:trHeight w:val="548"/>
        </w:trPr>
        <w:tc>
          <w:tcPr>
            <w:tcW w:w="4606"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387AB6" w:rsidR="007A2950" w:rsidP="007A2950" w:rsidRDefault="007A2950" w14:paraId="269FF7B1"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Customers with Onsite Solar +Battery storage</w:t>
            </w:r>
          </w:p>
        </w:tc>
        <w:tc>
          <w:tcPr>
            <w:tcW w:w="1562" w:type="dxa"/>
            <w:tcBorders>
              <w:top w:val="nil"/>
              <w:left w:val="single" w:color="auto" w:sz="4" w:space="0"/>
              <w:bottom w:val="nil"/>
              <w:right w:val="single" w:color="auto" w:sz="4" w:space="0"/>
            </w:tcBorders>
            <w:shd w:val="clear" w:color="auto" w:fill="auto"/>
            <w:noWrap/>
            <w:vAlign w:val="bottom"/>
            <w:hideMark/>
          </w:tcPr>
          <w:p w:rsidRPr="00387AB6" w:rsidR="007A2950" w:rsidP="007A2950" w:rsidRDefault="007A2950" w14:paraId="61EE160B"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494" w:type="dxa"/>
            <w:tcBorders>
              <w:top w:val="nil"/>
              <w:left w:val="nil"/>
              <w:bottom w:val="nil"/>
              <w:right w:val="double" w:color="auto" w:sz="6" w:space="0"/>
            </w:tcBorders>
            <w:shd w:val="clear" w:color="auto" w:fill="auto"/>
            <w:noWrap/>
            <w:vAlign w:val="bottom"/>
            <w:hideMark/>
          </w:tcPr>
          <w:p w:rsidRPr="00387AB6" w:rsidR="007A2950" w:rsidP="007A2950" w:rsidRDefault="007A2950" w14:paraId="05D08E8C"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62" w:type="dxa"/>
            <w:tcBorders>
              <w:top w:val="nil"/>
              <w:left w:val="nil"/>
              <w:bottom w:val="nil"/>
              <w:right w:val="nil"/>
            </w:tcBorders>
            <w:shd w:val="clear" w:color="auto" w:fill="auto"/>
            <w:noWrap/>
            <w:vAlign w:val="bottom"/>
            <w:hideMark/>
          </w:tcPr>
          <w:p w:rsidRPr="00387AB6" w:rsidR="007A2950" w:rsidP="007A2950" w:rsidRDefault="007A2950" w14:paraId="2CF94F93" w14:textId="77777777">
            <w:pPr>
              <w:rPr>
                <w:rFonts w:ascii="Palatino Linotype" w:hAnsi="Palatino Linotype" w:cs="Calibri"/>
                <w:color w:val="000000"/>
                <w:sz w:val="24"/>
                <w:szCs w:val="24"/>
              </w:rPr>
            </w:pPr>
          </w:p>
        </w:tc>
        <w:tc>
          <w:tcPr>
            <w:tcW w:w="1494" w:type="dxa"/>
            <w:tcBorders>
              <w:top w:val="nil"/>
              <w:left w:val="nil"/>
              <w:bottom w:val="nil"/>
              <w:right w:val="nil"/>
            </w:tcBorders>
            <w:shd w:val="clear" w:color="auto" w:fill="auto"/>
            <w:noWrap/>
            <w:vAlign w:val="bottom"/>
            <w:hideMark/>
          </w:tcPr>
          <w:p w:rsidRPr="00387AB6" w:rsidR="007A2950" w:rsidP="007A2950" w:rsidRDefault="007A2950" w14:paraId="736E9583" w14:textId="77777777">
            <w:pPr>
              <w:rPr>
                <w:rFonts w:ascii="Palatino Linotype" w:hAnsi="Palatino Linotype"/>
                <w:sz w:val="24"/>
                <w:szCs w:val="24"/>
              </w:rPr>
            </w:pPr>
          </w:p>
        </w:tc>
        <w:tc>
          <w:tcPr>
            <w:tcW w:w="1562" w:type="dxa"/>
            <w:tcBorders>
              <w:top w:val="nil"/>
              <w:left w:val="double" w:color="auto" w:sz="6" w:space="0"/>
              <w:bottom w:val="nil"/>
              <w:right w:val="single" w:color="auto" w:sz="4" w:space="0"/>
            </w:tcBorders>
            <w:shd w:val="clear" w:color="auto" w:fill="auto"/>
            <w:noWrap/>
            <w:vAlign w:val="bottom"/>
            <w:hideMark/>
          </w:tcPr>
          <w:p w:rsidRPr="00387AB6" w:rsidR="007A2950" w:rsidP="007A2950" w:rsidRDefault="007A2950" w14:paraId="746ABDFE"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494" w:type="dxa"/>
            <w:tcBorders>
              <w:top w:val="nil"/>
              <w:left w:val="nil"/>
              <w:bottom w:val="nil"/>
              <w:right w:val="double" w:color="auto" w:sz="6" w:space="0"/>
            </w:tcBorders>
            <w:shd w:val="clear" w:color="auto" w:fill="auto"/>
            <w:noWrap/>
            <w:vAlign w:val="bottom"/>
            <w:hideMark/>
          </w:tcPr>
          <w:p w:rsidRPr="00387AB6" w:rsidR="007A2950" w:rsidP="007A2950" w:rsidRDefault="007A2950" w14:paraId="3E07BFC5"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62" w:type="dxa"/>
            <w:tcBorders>
              <w:top w:val="nil"/>
              <w:left w:val="nil"/>
              <w:bottom w:val="nil"/>
              <w:right w:val="single" w:color="auto" w:sz="4" w:space="0"/>
            </w:tcBorders>
            <w:shd w:val="clear" w:color="auto" w:fill="auto"/>
            <w:noWrap/>
            <w:vAlign w:val="bottom"/>
            <w:hideMark/>
          </w:tcPr>
          <w:p w:rsidRPr="00387AB6" w:rsidR="007A2950" w:rsidP="007A2950" w:rsidRDefault="007A2950" w14:paraId="4A54C434"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494" w:type="dxa"/>
            <w:tcBorders>
              <w:top w:val="nil"/>
              <w:left w:val="nil"/>
              <w:bottom w:val="nil"/>
              <w:right w:val="single" w:color="auto" w:sz="8" w:space="0"/>
            </w:tcBorders>
            <w:shd w:val="clear" w:color="auto" w:fill="auto"/>
            <w:noWrap/>
            <w:vAlign w:val="bottom"/>
            <w:hideMark/>
          </w:tcPr>
          <w:p w:rsidRPr="00387AB6" w:rsidR="007A2950" w:rsidP="007A2950" w:rsidRDefault="007A2950" w14:paraId="30F7DE5A"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r>
      <w:tr w:rsidRPr="00387AB6" w:rsidR="007A2950" w:rsidTr="007A2950" w14:paraId="2ED6A299" w14:textId="77777777">
        <w:trPr>
          <w:trHeight w:val="215"/>
        </w:trPr>
        <w:tc>
          <w:tcPr>
            <w:tcW w:w="4606"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387AB6" w:rsidR="007A2950" w:rsidP="007A2950" w:rsidRDefault="007A2950" w14:paraId="6C95CC7F"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ESA Program participants (last 7 years)</w:t>
            </w:r>
          </w:p>
        </w:tc>
        <w:tc>
          <w:tcPr>
            <w:tcW w:w="1562" w:type="dxa"/>
            <w:tcBorders>
              <w:top w:val="single" w:color="auto" w:sz="4" w:space="0"/>
              <w:left w:val="single" w:color="auto" w:sz="4" w:space="0"/>
              <w:bottom w:val="nil"/>
              <w:right w:val="single" w:color="auto" w:sz="4" w:space="0"/>
            </w:tcBorders>
            <w:shd w:val="clear" w:color="auto" w:fill="auto"/>
            <w:noWrap/>
            <w:vAlign w:val="bottom"/>
            <w:hideMark/>
          </w:tcPr>
          <w:p w:rsidRPr="00387AB6" w:rsidR="007A2950" w:rsidP="007A2950" w:rsidRDefault="007A2950" w14:paraId="49D30E76"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494" w:type="dxa"/>
            <w:tcBorders>
              <w:top w:val="single" w:color="auto" w:sz="4" w:space="0"/>
              <w:left w:val="nil"/>
              <w:bottom w:val="nil"/>
              <w:right w:val="double" w:color="auto" w:sz="6" w:space="0"/>
            </w:tcBorders>
            <w:shd w:val="clear" w:color="auto" w:fill="auto"/>
            <w:noWrap/>
            <w:vAlign w:val="bottom"/>
            <w:hideMark/>
          </w:tcPr>
          <w:p w:rsidRPr="00387AB6" w:rsidR="007A2950" w:rsidP="007A2950" w:rsidRDefault="007A2950" w14:paraId="40DE951E"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62" w:type="dxa"/>
            <w:tcBorders>
              <w:top w:val="single" w:color="auto" w:sz="4" w:space="0"/>
              <w:left w:val="nil"/>
              <w:bottom w:val="nil"/>
              <w:right w:val="nil"/>
            </w:tcBorders>
            <w:shd w:val="clear" w:color="auto" w:fill="auto"/>
            <w:noWrap/>
            <w:vAlign w:val="bottom"/>
            <w:hideMark/>
          </w:tcPr>
          <w:p w:rsidRPr="00387AB6" w:rsidR="007A2950" w:rsidP="007A2950" w:rsidRDefault="007A2950" w14:paraId="360B67FB"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494" w:type="dxa"/>
            <w:tcBorders>
              <w:top w:val="single" w:color="auto" w:sz="4" w:space="0"/>
              <w:left w:val="nil"/>
              <w:bottom w:val="nil"/>
              <w:right w:val="nil"/>
            </w:tcBorders>
            <w:shd w:val="clear" w:color="auto" w:fill="auto"/>
            <w:noWrap/>
            <w:vAlign w:val="bottom"/>
            <w:hideMark/>
          </w:tcPr>
          <w:p w:rsidRPr="00387AB6" w:rsidR="007A2950" w:rsidP="007A2950" w:rsidRDefault="007A2950" w14:paraId="6EA0D7FB"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62" w:type="dxa"/>
            <w:tcBorders>
              <w:top w:val="single" w:color="auto" w:sz="4" w:space="0"/>
              <w:left w:val="double" w:color="auto" w:sz="6" w:space="0"/>
              <w:bottom w:val="nil"/>
              <w:right w:val="single" w:color="auto" w:sz="4" w:space="0"/>
            </w:tcBorders>
            <w:shd w:val="clear" w:color="auto" w:fill="auto"/>
            <w:noWrap/>
            <w:vAlign w:val="bottom"/>
            <w:hideMark/>
          </w:tcPr>
          <w:p w:rsidRPr="00387AB6" w:rsidR="007A2950" w:rsidP="007A2950" w:rsidRDefault="007A2950" w14:paraId="2B8AA32F"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494" w:type="dxa"/>
            <w:tcBorders>
              <w:top w:val="single" w:color="auto" w:sz="4" w:space="0"/>
              <w:left w:val="nil"/>
              <w:bottom w:val="nil"/>
              <w:right w:val="double" w:color="auto" w:sz="6" w:space="0"/>
            </w:tcBorders>
            <w:shd w:val="clear" w:color="auto" w:fill="auto"/>
            <w:noWrap/>
            <w:vAlign w:val="bottom"/>
            <w:hideMark/>
          </w:tcPr>
          <w:p w:rsidRPr="00387AB6" w:rsidR="007A2950" w:rsidP="007A2950" w:rsidRDefault="007A2950" w14:paraId="00A3043D"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62" w:type="dxa"/>
            <w:tcBorders>
              <w:top w:val="single" w:color="auto" w:sz="4" w:space="0"/>
              <w:left w:val="nil"/>
              <w:bottom w:val="nil"/>
              <w:right w:val="single" w:color="auto" w:sz="4" w:space="0"/>
            </w:tcBorders>
            <w:shd w:val="clear" w:color="auto" w:fill="auto"/>
            <w:noWrap/>
            <w:vAlign w:val="bottom"/>
            <w:hideMark/>
          </w:tcPr>
          <w:p w:rsidRPr="00387AB6" w:rsidR="007A2950" w:rsidP="007A2950" w:rsidRDefault="007A2950" w14:paraId="08E65A8D"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494" w:type="dxa"/>
            <w:tcBorders>
              <w:top w:val="single" w:color="auto" w:sz="4" w:space="0"/>
              <w:left w:val="nil"/>
              <w:bottom w:val="nil"/>
              <w:right w:val="single" w:color="auto" w:sz="8" w:space="0"/>
            </w:tcBorders>
            <w:shd w:val="clear" w:color="auto" w:fill="auto"/>
            <w:noWrap/>
            <w:vAlign w:val="bottom"/>
            <w:hideMark/>
          </w:tcPr>
          <w:p w:rsidRPr="00387AB6" w:rsidR="007A2950" w:rsidP="007A2950" w:rsidRDefault="007A2950" w14:paraId="082C8428"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r>
      <w:tr w:rsidRPr="00387AB6" w:rsidR="007A2950" w:rsidTr="007A2950" w14:paraId="45F9A3B5" w14:textId="77777777">
        <w:trPr>
          <w:trHeight w:val="307"/>
        </w:trPr>
        <w:tc>
          <w:tcPr>
            <w:tcW w:w="4606" w:type="dxa"/>
            <w:tcBorders>
              <w:top w:val="single" w:color="auto" w:sz="4" w:space="0"/>
              <w:left w:val="single" w:color="auto" w:sz="4" w:space="0"/>
              <w:bottom w:val="single" w:color="auto" w:sz="4" w:space="0"/>
              <w:right w:val="single" w:color="auto" w:sz="4" w:space="0"/>
            </w:tcBorders>
            <w:shd w:val="clear" w:color="000000" w:fill="BFBFBF"/>
            <w:vAlign w:val="bottom"/>
            <w:hideMark/>
          </w:tcPr>
          <w:p w:rsidRPr="00387AB6" w:rsidR="007A2950" w:rsidP="007A2950" w:rsidRDefault="007A2950" w14:paraId="7B28A248"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Master-metered Customers</w:t>
            </w:r>
          </w:p>
        </w:tc>
        <w:tc>
          <w:tcPr>
            <w:tcW w:w="1562" w:type="dxa"/>
            <w:tcBorders>
              <w:top w:val="single" w:color="auto" w:sz="4" w:space="0"/>
              <w:left w:val="single" w:color="auto" w:sz="4" w:space="0"/>
              <w:bottom w:val="single" w:color="auto" w:sz="4" w:space="0"/>
              <w:right w:val="single" w:color="auto" w:sz="4" w:space="0"/>
            </w:tcBorders>
            <w:shd w:val="clear" w:color="000000" w:fill="BFBFBF"/>
            <w:noWrap/>
            <w:vAlign w:val="bottom"/>
            <w:hideMark/>
          </w:tcPr>
          <w:p w:rsidRPr="00387AB6" w:rsidR="007A2950" w:rsidP="007A2950" w:rsidRDefault="007A2950" w14:paraId="60E68C6B"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494" w:type="dxa"/>
            <w:tcBorders>
              <w:top w:val="single" w:color="auto" w:sz="4" w:space="0"/>
              <w:left w:val="nil"/>
              <w:bottom w:val="single" w:color="auto" w:sz="4" w:space="0"/>
              <w:right w:val="double" w:color="auto" w:sz="6" w:space="0"/>
            </w:tcBorders>
            <w:shd w:val="clear" w:color="000000" w:fill="BFBFBF"/>
            <w:noWrap/>
            <w:vAlign w:val="bottom"/>
            <w:hideMark/>
          </w:tcPr>
          <w:p w:rsidRPr="00387AB6" w:rsidR="007A2950" w:rsidP="007A2950" w:rsidRDefault="007A2950" w14:paraId="07A5C874"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62" w:type="dxa"/>
            <w:tcBorders>
              <w:top w:val="single" w:color="auto" w:sz="4" w:space="0"/>
              <w:left w:val="nil"/>
              <w:bottom w:val="single" w:color="auto" w:sz="4" w:space="0"/>
              <w:right w:val="nil"/>
            </w:tcBorders>
            <w:shd w:val="clear" w:color="000000" w:fill="BFBFBF"/>
            <w:noWrap/>
            <w:vAlign w:val="bottom"/>
            <w:hideMark/>
          </w:tcPr>
          <w:p w:rsidRPr="00387AB6" w:rsidR="007A2950" w:rsidP="007A2950" w:rsidRDefault="007A2950" w14:paraId="7E07CCF9"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494" w:type="dxa"/>
            <w:tcBorders>
              <w:top w:val="single" w:color="auto" w:sz="4" w:space="0"/>
              <w:left w:val="nil"/>
              <w:bottom w:val="single" w:color="auto" w:sz="4" w:space="0"/>
              <w:right w:val="nil"/>
            </w:tcBorders>
            <w:shd w:val="clear" w:color="000000" w:fill="BFBFBF"/>
            <w:noWrap/>
            <w:vAlign w:val="bottom"/>
            <w:hideMark/>
          </w:tcPr>
          <w:p w:rsidRPr="00387AB6" w:rsidR="007A2950" w:rsidP="007A2950" w:rsidRDefault="007A2950" w14:paraId="0C4F6D90"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62" w:type="dxa"/>
            <w:tcBorders>
              <w:top w:val="single" w:color="auto" w:sz="4" w:space="0"/>
              <w:left w:val="double" w:color="auto" w:sz="6" w:space="0"/>
              <w:bottom w:val="single" w:color="auto" w:sz="4" w:space="0"/>
              <w:right w:val="single" w:color="auto" w:sz="4" w:space="0"/>
            </w:tcBorders>
            <w:shd w:val="clear" w:color="000000" w:fill="BFBFBF"/>
            <w:noWrap/>
            <w:vAlign w:val="bottom"/>
            <w:hideMark/>
          </w:tcPr>
          <w:p w:rsidRPr="00387AB6" w:rsidR="007A2950" w:rsidP="007A2950" w:rsidRDefault="007A2950" w14:paraId="5E2ADF96"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494" w:type="dxa"/>
            <w:tcBorders>
              <w:top w:val="single" w:color="auto" w:sz="4" w:space="0"/>
              <w:left w:val="nil"/>
              <w:bottom w:val="single" w:color="auto" w:sz="4" w:space="0"/>
              <w:right w:val="double" w:color="auto" w:sz="6" w:space="0"/>
            </w:tcBorders>
            <w:shd w:val="clear" w:color="000000" w:fill="BFBFBF"/>
            <w:noWrap/>
            <w:vAlign w:val="bottom"/>
            <w:hideMark/>
          </w:tcPr>
          <w:p w:rsidRPr="00387AB6" w:rsidR="007A2950" w:rsidP="007A2950" w:rsidRDefault="007A2950" w14:paraId="2DD07920"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62" w:type="dxa"/>
            <w:tcBorders>
              <w:top w:val="single" w:color="auto" w:sz="4" w:space="0"/>
              <w:left w:val="nil"/>
              <w:bottom w:val="single" w:color="auto" w:sz="4" w:space="0"/>
              <w:right w:val="single" w:color="auto" w:sz="4" w:space="0"/>
            </w:tcBorders>
            <w:shd w:val="clear" w:color="000000" w:fill="BFBFBF"/>
            <w:noWrap/>
            <w:vAlign w:val="bottom"/>
            <w:hideMark/>
          </w:tcPr>
          <w:p w:rsidRPr="00387AB6" w:rsidR="007A2950" w:rsidP="007A2950" w:rsidRDefault="007A2950" w14:paraId="31C38F3A"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494" w:type="dxa"/>
            <w:tcBorders>
              <w:top w:val="single" w:color="auto" w:sz="4" w:space="0"/>
              <w:left w:val="nil"/>
              <w:bottom w:val="single" w:color="auto" w:sz="4" w:space="0"/>
              <w:right w:val="single" w:color="auto" w:sz="8" w:space="0"/>
            </w:tcBorders>
            <w:shd w:val="clear" w:color="000000" w:fill="BFBFBF"/>
            <w:noWrap/>
            <w:vAlign w:val="bottom"/>
            <w:hideMark/>
          </w:tcPr>
          <w:p w:rsidRPr="00387AB6" w:rsidR="007A2950" w:rsidP="007A2950" w:rsidRDefault="007A2950" w14:paraId="365A6C4D"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r>
      <w:tr w:rsidRPr="00387AB6" w:rsidR="007A2950" w:rsidTr="007A2950" w14:paraId="19E80A36" w14:textId="77777777">
        <w:trPr>
          <w:trHeight w:val="307"/>
        </w:trPr>
        <w:tc>
          <w:tcPr>
            <w:tcW w:w="4606"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387AB6" w:rsidR="007A2950" w:rsidP="007A2950" w:rsidRDefault="007A2950" w14:paraId="150A3983"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Master-metered customers</w:t>
            </w:r>
          </w:p>
        </w:tc>
        <w:tc>
          <w:tcPr>
            <w:tcW w:w="1562" w:type="dxa"/>
            <w:tcBorders>
              <w:top w:val="nil"/>
              <w:left w:val="single" w:color="auto" w:sz="4" w:space="0"/>
              <w:bottom w:val="single" w:color="auto" w:sz="4" w:space="0"/>
              <w:right w:val="single" w:color="auto" w:sz="4" w:space="0"/>
            </w:tcBorders>
            <w:shd w:val="clear" w:color="auto" w:fill="auto"/>
            <w:noWrap/>
            <w:vAlign w:val="bottom"/>
            <w:hideMark/>
          </w:tcPr>
          <w:p w:rsidRPr="00387AB6" w:rsidR="007A2950" w:rsidP="007A2950" w:rsidRDefault="007A2950" w14:paraId="444D1980"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494" w:type="dxa"/>
            <w:tcBorders>
              <w:top w:val="nil"/>
              <w:left w:val="nil"/>
              <w:bottom w:val="single" w:color="auto" w:sz="4" w:space="0"/>
              <w:right w:val="double" w:color="auto" w:sz="6" w:space="0"/>
            </w:tcBorders>
            <w:shd w:val="clear" w:color="auto" w:fill="auto"/>
            <w:noWrap/>
            <w:vAlign w:val="bottom"/>
            <w:hideMark/>
          </w:tcPr>
          <w:p w:rsidRPr="00387AB6" w:rsidR="007A2950" w:rsidP="007A2950" w:rsidRDefault="007A2950" w14:paraId="5CD82534"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62" w:type="dxa"/>
            <w:tcBorders>
              <w:top w:val="nil"/>
              <w:left w:val="nil"/>
              <w:bottom w:val="single" w:color="auto" w:sz="4" w:space="0"/>
              <w:right w:val="nil"/>
            </w:tcBorders>
            <w:shd w:val="clear" w:color="auto" w:fill="auto"/>
            <w:noWrap/>
            <w:vAlign w:val="bottom"/>
            <w:hideMark/>
          </w:tcPr>
          <w:p w:rsidRPr="00387AB6" w:rsidR="007A2950" w:rsidP="007A2950" w:rsidRDefault="007A2950" w14:paraId="6B1836B2"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494" w:type="dxa"/>
            <w:tcBorders>
              <w:top w:val="nil"/>
              <w:left w:val="nil"/>
              <w:bottom w:val="single" w:color="auto" w:sz="4" w:space="0"/>
              <w:right w:val="nil"/>
            </w:tcBorders>
            <w:shd w:val="clear" w:color="auto" w:fill="auto"/>
            <w:noWrap/>
            <w:vAlign w:val="bottom"/>
            <w:hideMark/>
          </w:tcPr>
          <w:p w:rsidRPr="00387AB6" w:rsidR="007A2950" w:rsidP="007A2950" w:rsidRDefault="007A2950" w14:paraId="1AF73FB4"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62" w:type="dxa"/>
            <w:tcBorders>
              <w:top w:val="nil"/>
              <w:left w:val="double" w:color="auto" w:sz="6" w:space="0"/>
              <w:bottom w:val="single" w:color="auto" w:sz="4" w:space="0"/>
              <w:right w:val="single" w:color="auto" w:sz="4" w:space="0"/>
            </w:tcBorders>
            <w:shd w:val="clear" w:color="auto" w:fill="auto"/>
            <w:noWrap/>
            <w:vAlign w:val="bottom"/>
            <w:hideMark/>
          </w:tcPr>
          <w:p w:rsidRPr="00387AB6" w:rsidR="007A2950" w:rsidP="007A2950" w:rsidRDefault="007A2950" w14:paraId="1A53ABBE"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494" w:type="dxa"/>
            <w:tcBorders>
              <w:top w:val="nil"/>
              <w:left w:val="nil"/>
              <w:bottom w:val="single" w:color="auto" w:sz="4" w:space="0"/>
              <w:right w:val="double" w:color="auto" w:sz="6" w:space="0"/>
            </w:tcBorders>
            <w:shd w:val="clear" w:color="auto" w:fill="auto"/>
            <w:noWrap/>
            <w:vAlign w:val="bottom"/>
            <w:hideMark/>
          </w:tcPr>
          <w:p w:rsidRPr="00387AB6" w:rsidR="007A2950" w:rsidP="007A2950" w:rsidRDefault="007A2950" w14:paraId="16F05937"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62" w:type="dxa"/>
            <w:tcBorders>
              <w:top w:val="nil"/>
              <w:left w:val="nil"/>
              <w:bottom w:val="single" w:color="auto" w:sz="4" w:space="0"/>
              <w:right w:val="single" w:color="auto" w:sz="4" w:space="0"/>
            </w:tcBorders>
            <w:shd w:val="clear" w:color="auto" w:fill="auto"/>
            <w:noWrap/>
            <w:vAlign w:val="bottom"/>
            <w:hideMark/>
          </w:tcPr>
          <w:p w:rsidRPr="00387AB6" w:rsidR="007A2950" w:rsidP="007A2950" w:rsidRDefault="007A2950" w14:paraId="1D9B4782"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494" w:type="dxa"/>
            <w:tcBorders>
              <w:top w:val="nil"/>
              <w:left w:val="nil"/>
              <w:bottom w:val="single" w:color="auto" w:sz="4" w:space="0"/>
              <w:right w:val="single" w:color="auto" w:sz="8" w:space="0"/>
            </w:tcBorders>
            <w:shd w:val="clear" w:color="auto" w:fill="auto"/>
            <w:noWrap/>
            <w:vAlign w:val="bottom"/>
            <w:hideMark/>
          </w:tcPr>
          <w:p w:rsidRPr="00387AB6" w:rsidR="007A2950" w:rsidP="007A2950" w:rsidRDefault="007A2950" w14:paraId="6913065D"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r>
    </w:tbl>
    <w:p w:rsidRPr="00387AB6" w:rsidR="007A2950" w:rsidP="007A2950" w:rsidRDefault="007A2950" w14:paraId="37E3C3F9" w14:textId="0C325191">
      <w:pPr>
        <w:rPr>
          <w:rFonts w:ascii="Palatino Linotype" w:hAnsi="Palatino Linotype"/>
          <w:sz w:val="24"/>
          <w:szCs w:val="24"/>
        </w:rPr>
      </w:pPr>
      <w:r w:rsidRPr="00387AB6">
        <w:rPr>
          <w:rFonts w:ascii="Palatino Linotype" w:hAnsi="Palatino Linotype"/>
          <w:sz w:val="24"/>
          <w:szCs w:val="24"/>
        </w:rPr>
        <w:br w:type="page"/>
      </w:r>
    </w:p>
    <w:p w:rsidRPr="00387AB6" w:rsidR="00387AB6" w:rsidP="007A2950" w:rsidRDefault="00387AB6" w14:paraId="016FD1DD" w14:textId="77777777">
      <w:pPr>
        <w:rPr>
          <w:rFonts w:ascii="Palatino Linotype" w:hAnsi="Palatino Linotype"/>
          <w:sz w:val="24"/>
          <w:szCs w:val="24"/>
        </w:rPr>
      </w:pPr>
    </w:p>
    <w:tbl>
      <w:tblPr>
        <w:tblW w:w="17335" w:type="dxa"/>
        <w:tblLook w:val="04A0" w:firstRow="1" w:lastRow="0" w:firstColumn="1" w:lastColumn="0" w:noHBand="0" w:noVBand="1"/>
      </w:tblPr>
      <w:tblGrid>
        <w:gridCol w:w="4124"/>
        <w:gridCol w:w="1728"/>
        <w:gridCol w:w="1609"/>
        <w:gridCol w:w="1683"/>
        <w:gridCol w:w="1609"/>
        <w:gridCol w:w="1681"/>
        <w:gridCol w:w="1610"/>
        <w:gridCol w:w="1681"/>
        <w:gridCol w:w="1610"/>
      </w:tblGrid>
      <w:tr w:rsidRPr="00387AB6" w:rsidR="006E00D4" w:rsidTr="006E00D4" w14:paraId="5E9017F7" w14:textId="77777777">
        <w:trPr>
          <w:trHeight w:val="356"/>
        </w:trPr>
        <w:tc>
          <w:tcPr>
            <w:tcW w:w="9144" w:type="dxa"/>
            <w:gridSpan w:val="4"/>
            <w:tcBorders>
              <w:top w:val="single" w:color="auto" w:sz="4" w:space="0"/>
              <w:left w:val="single" w:color="auto" w:sz="4" w:space="0"/>
              <w:bottom w:val="single" w:color="auto" w:sz="8" w:space="0"/>
              <w:right w:val="nil"/>
            </w:tcBorders>
            <w:shd w:val="clear" w:color="000000" w:fill="A9D08E"/>
            <w:noWrap/>
            <w:vAlign w:val="bottom"/>
            <w:hideMark/>
          </w:tcPr>
          <w:p w:rsidRPr="00387AB6" w:rsidR="006E00D4" w:rsidP="006E00D4" w:rsidRDefault="006E00D4" w14:paraId="7E78B367" w14:textId="77777777">
            <w:pPr>
              <w:rPr>
                <w:rFonts w:ascii="Palatino Linotype" w:hAnsi="Palatino Linotype" w:cs="Calibri"/>
                <w:b/>
                <w:bCs/>
                <w:color w:val="000000"/>
                <w:sz w:val="24"/>
                <w:szCs w:val="24"/>
              </w:rPr>
            </w:pPr>
            <w:r w:rsidRPr="00387AB6">
              <w:rPr>
                <w:rFonts w:ascii="Palatino Linotype" w:hAnsi="Palatino Linotype" w:cs="Calibri"/>
                <w:b/>
                <w:bCs/>
                <w:color w:val="000000"/>
                <w:sz w:val="24"/>
                <w:szCs w:val="24"/>
              </w:rPr>
              <w:t>CARE Customer Average Energy Usage by Rate Schedule</w:t>
            </w:r>
          </w:p>
        </w:tc>
        <w:tc>
          <w:tcPr>
            <w:tcW w:w="1609" w:type="dxa"/>
            <w:tcBorders>
              <w:top w:val="single" w:color="auto" w:sz="4" w:space="0"/>
              <w:left w:val="nil"/>
              <w:bottom w:val="single" w:color="auto" w:sz="8" w:space="0"/>
              <w:right w:val="nil"/>
            </w:tcBorders>
            <w:shd w:val="clear" w:color="000000" w:fill="A9D08E"/>
            <w:noWrap/>
            <w:vAlign w:val="bottom"/>
            <w:hideMark/>
          </w:tcPr>
          <w:p w:rsidRPr="00387AB6" w:rsidR="006E00D4" w:rsidP="006E00D4" w:rsidRDefault="006E00D4" w14:paraId="77876EC0" w14:textId="77777777">
            <w:pPr>
              <w:rPr>
                <w:rFonts w:ascii="Palatino Linotype" w:hAnsi="Palatino Linotype" w:cs="Calibri"/>
                <w:b/>
                <w:bCs/>
                <w:color w:val="000000"/>
                <w:sz w:val="24"/>
                <w:szCs w:val="24"/>
              </w:rPr>
            </w:pPr>
            <w:r w:rsidRPr="00387AB6">
              <w:rPr>
                <w:rFonts w:ascii="Palatino Linotype" w:hAnsi="Palatino Linotype" w:cs="Calibri"/>
                <w:b/>
                <w:bCs/>
                <w:color w:val="000000"/>
                <w:sz w:val="24"/>
                <w:szCs w:val="24"/>
              </w:rPr>
              <w:t> </w:t>
            </w:r>
          </w:p>
        </w:tc>
        <w:tc>
          <w:tcPr>
            <w:tcW w:w="1681" w:type="dxa"/>
            <w:tcBorders>
              <w:top w:val="single" w:color="auto" w:sz="4" w:space="0"/>
              <w:left w:val="nil"/>
              <w:bottom w:val="single" w:color="auto" w:sz="8" w:space="0"/>
              <w:right w:val="nil"/>
            </w:tcBorders>
            <w:shd w:val="clear" w:color="000000" w:fill="A9D08E"/>
            <w:noWrap/>
            <w:vAlign w:val="bottom"/>
            <w:hideMark/>
          </w:tcPr>
          <w:p w:rsidRPr="00387AB6" w:rsidR="006E00D4" w:rsidP="006E00D4" w:rsidRDefault="006E00D4" w14:paraId="21B0B12A" w14:textId="77777777">
            <w:pPr>
              <w:rPr>
                <w:rFonts w:ascii="Palatino Linotype" w:hAnsi="Palatino Linotype" w:cs="Calibri"/>
                <w:b/>
                <w:bCs/>
                <w:color w:val="000000"/>
                <w:sz w:val="24"/>
                <w:szCs w:val="24"/>
              </w:rPr>
            </w:pPr>
            <w:r w:rsidRPr="00387AB6">
              <w:rPr>
                <w:rFonts w:ascii="Palatino Linotype" w:hAnsi="Palatino Linotype" w:cs="Calibri"/>
                <w:b/>
                <w:bCs/>
                <w:color w:val="000000"/>
                <w:sz w:val="24"/>
                <w:szCs w:val="24"/>
              </w:rPr>
              <w:t> </w:t>
            </w:r>
          </w:p>
        </w:tc>
        <w:tc>
          <w:tcPr>
            <w:tcW w:w="1609" w:type="dxa"/>
            <w:tcBorders>
              <w:top w:val="single" w:color="auto" w:sz="4" w:space="0"/>
              <w:left w:val="nil"/>
              <w:bottom w:val="single" w:color="auto" w:sz="8" w:space="0"/>
              <w:right w:val="nil"/>
            </w:tcBorders>
            <w:shd w:val="clear" w:color="000000" w:fill="A9D08E"/>
            <w:noWrap/>
            <w:vAlign w:val="bottom"/>
            <w:hideMark/>
          </w:tcPr>
          <w:p w:rsidRPr="00387AB6" w:rsidR="006E00D4" w:rsidP="006E00D4" w:rsidRDefault="006E00D4" w14:paraId="12896403" w14:textId="77777777">
            <w:pPr>
              <w:rPr>
                <w:rFonts w:ascii="Palatino Linotype" w:hAnsi="Palatino Linotype" w:cs="Calibri"/>
                <w:b/>
                <w:bCs/>
                <w:color w:val="000000"/>
                <w:sz w:val="24"/>
                <w:szCs w:val="24"/>
              </w:rPr>
            </w:pPr>
            <w:r w:rsidRPr="00387AB6">
              <w:rPr>
                <w:rFonts w:ascii="Palatino Linotype" w:hAnsi="Palatino Linotype" w:cs="Calibri"/>
                <w:b/>
                <w:bCs/>
                <w:color w:val="000000"/>
                <w:sz w:val="24"/>
                <w:szCs w:val="24"/>
              </w:rPr>
              <w:t> </w:t>
            </w:r>
          </w:p>
        </w:tc>
        <w:tc>
          <w:tcPr>
            <w:tcW w:w="1681" w:type="dxa"/>
            <w:tcBorders>
              <w:top w:val="single" w:color="auto" w:sz="4" w:space="0"/>
              <w:left w:val="nil"/>
              <w:bottom w:val="single" w:color="auto" w:sz="8" w:space="0"/>
              <w:right w:val="nil"/>
            </w:tcBorders>
            <w:shd w:val="clear" w:color="000000" w:fill="A9D08E"/>
            <w:noWrap/>
            <w:vAlign w:val="bottom"/>
            <w:hideMark/>
          </w:tcPr>
          <w:p w:rsidRPr="00387AB6" w:rsidR="006E00D4" w:rsidP="006E00D4" w:rsidRDefault="006E00D4" w14:paraId="3BCE9311" w14:textId="77777777">
            <w:pPr>
              <w:rPr>
                <w:rFonts w:ascii="Palatino Linotype" w:hAnsi="Palatino Linotype" w:cs="Calibri"/>
                <w:b/>
                <w:bCs/>
                <w:color w:val="000000"/>
                <w:sz w:val="24"/>
                <w:szCs w:val="24"/>
              </w:rPr>
            </w:pPr>
            <w:r w:rsidRPr="00387AB6">
              <w:rPr>
                <w:rFonts w:ascii="Palatino Linotype" w:hAnsi="Palatino Linotype" w:cs="Calibri"/>
                <w:b/>
                <w:bCs/>
                <w:color w:val="000000"/>
                <w:sz w:val="24"/>
                <w:szCs w:val="24"/>
              </w:rPr>
              <w:t> </w:t>
            </w:r>
          </w:p>
        </w:tc>
        <w:tc>
          <w:tcPr>
            <w:tcW w:w="1609" w:type="dxa"/>
            <w:tcBorders>
              <w:top w:val="single" w:color="auto" w:sz="4" w:space="0"/>
              <w:left w:val="nil"/>
              <w:bottom w:val="single" w:color="auto" w:sz="8" w:space="0"/>
              <w:right w:val="single" w:color="auto" w:sz="4" w:space="0"/>
            </w:tcBorders>
            <w:shd w:val="clear" w:color="000000" w:fill="A9D08E"/>
            <w:noWrap/>
            <w:vAlign w:val="bottom"/>
            <w:hideMark/>
          </w:tcPr>
          <w:p w:rsidRPr="00387AB6" w:rsidR="006E00D4" w:rsidP="006E00D4" w:rsidRDefault="006E00D4" w14:paraId="7EECD40E" w14:textId="77777777">
            <w:pPr>
              <w:rPr>
                <w:rFonts w:ascii="Palatino Linotype" w:hAnsi="Palatino Linotype" w:cs="Calibri"/>
                <w:b/>
                <w:bCs/>
                <w:color w:val="000000"/>
                <w:sz w:val="24"/>
                <w:szCs w:val="24"/>
              </w:rPr>
            </w:pPr>
            <w:r w:rsidRPr="00387AB6">
              <w:rPr>
                <w:rFonts w:ascii="Palatino Linotype" w:hAnsi="Palatino Linotype" w:cs="Calibri"/>
                <w:b/>
                <w:bCs/>
                <w:color w:val="000000"/>
                <w:sz w:val="24"/>
                <w:szCs w:val="24"/>
              </w:rPr>
              <w:t> </w:t>
            </w:r>
          </w:p>
        </w:tc>
      </w:tr>
      <w:tr w:rsidRPr="00387AB6" w:rsidR="006E00D4" w:rsidTr="006E00D4" w14:paraId="77B35FA5" w14:textId="77777777">
        <w:trPr>
          <w:trHeight w:val="339"/>
        </w:trPr>
        <w:tc>
          <w:tcPr>
            <w:tcW w:w="4124" w:type="dxa"/>
            <w:tcBorders>
              <w:top w:val="nil"/>
              <w:left w:val="single" w:color="auto" w:sz="4" w:space="0"/>
              <w:bottom w:val="single" w:color="auto" w:sz="4" w:space="0"/>
              <w:right w:val="nil"/>
            </w:tcBorders>
            <w:shd w:val="clear" w:color="auto" w:fill="auto"/>
            <w:noWrap/>
            <w:vAlign w:val="bottom"/>
            <w:hideMark/>
          </w:tcPr>
          <w:p w:rsidRPr="00387AB6" w:rsidR="006E00D4" w:rsidP="006E00D4" w:rsidRDefault="006E00D4" w14:paraId="58F45ABC" w14:textId="77777777">
            <w:pPr>
              <w:rPr>
                <w:rFonts w:ascii="Palatino Linotype" w:hAnsi="Palatino Linotype" w:cs="Calibri"/>
                <w:b/>
                <w:bCs/>
                <w:color w:val="000000"/>
                <w:sz w:val="24"/>
                <w:szCs w:val="24"/>
              </w:rPr>
            </w:pPr>
            <w:r w:rsidRPr="00387AB6">
              <w:rPr>
                <w:rFonts w:ascii="Palatino Linotype" w:hAnsi="Palatino Linotype" w:cs="Calibri"/>
                <w:b/>
                <w:bCs/>
                <w:color w:val="000000"/>
                <w:sz w:val="24"/>
                <w:szCs w:val="24"/>
              </w:rPr>
              <w:t xml:space="preserve">Climate Zone </w:t>
            </w:r>
            <w:r w:rsidRPr="00387AB6">
              <w:rPr>
                <w:rFonts w:ascii="Times New Roman" w:hAnsi="Times New Roman"/>
                <w:b/>
                <w:bCs/>
                <w:color w:val="000000"/>
                <w:sz w:val="24"/>
                <w:szCs w:val="24"/>
              </w:rPr>
              <w:t>→</w:t>
            </w:r>
          </w:p>
        </w:tc>
        <w:tc>
          <w:tcPr>
            <w:tcW w:w="13211" w:type="dxa"/>
            <w:gridSpan w:val="8"/>
            <w:tcBorders>
              <w:top w:val="single" w:color="auto" w:sz="8" w:space="0"/>
              <w:left w:val="single" w:color="auto" w:sz="8" w:space="0"/>
              <w:bottom w:val="nil"/>
              <w:right w:val="single" w:color="auto" w:sz="4" w:space="0"/>
            </w:tcBorders>
            <w:shd w:val="clear" w:color="auto" w:fill="auto"/>
            <w:noWrap/>
            <w:vAlign w:val="bottom"/>
            <w:hideMark/>
          </w:tcPr>
          <w:p w:rsidRPr="00387AB6" w:rsidR="006E00D4" w:rsidP="006E00D4" w:rsidRDefault="00573A19" w14:paraId="3149CFBD" w14:textId="41FF5B9D">
            <w:pPr>
              <w:jc w:val="center"/>
              <w:rPr>
                <w:rFonts w:ascii="Palatino Linotype" w:hAnsi="Palatino Linotype" w:cs="Calibri"/>
                <w:b/>
                <w:bCs/>
                <w:color w:val="000000"/>
                <w:sz w:val="24"/>
                <w:szCs w:val="24"/>
              </w:rPr>
            </w:pPr>
            <w:r w:rsidRPr="00387AB6">
              <w:rPr>
                <w:rFonts w:ascii="Palatino Linotype" w:hAnsi="Palatino Linotype" w:cs="Calibri"/>
                <w:b/>
                <w:bCs/>
                <w:color w:val="000000"/>
                <w:sz w:val="24"/>
                <w:szCs w:val="24"/>
              </w:rPr>
              <w:t xml:space="preserve">CZ [-]    </w:t>
            </w:r>
            <w:r w:rsidRPr="00387AB6">
              <w:rPr>
                <w:rFonts w:ascii="Palatino Linotype" w:hAnsi="Palatino Linotype" w:cs="Calibri"/>
                <w:b/>
                <w:bCs/>
                <w:i/>
                <w:iCs/>
                <w:color w:val="000000"/>
                <w:sz w:val="24"/>
                <w:szCs w:val="24"/>
              </w:rPr>
              <w:t>(Add Columns for CZs in your service territory)</w:t>
            </w:r>
          </w:p>
        </w:tc>
      </w:tr>
      <w:tr w:rsidRPr="00387AB6" w:rsidR="006E00D4" w:rsidTr="006E00D4" w14:paraId="2D98DC0E" w14:textId="77777777">
        <w:trPr>
          <w:trHeight w:val="339"/>
        </w:trPr>
        <w:tc>
          <w:tcPr>
            <w:tcW w:w="4124" w:type="dxa"/>
            <w:tcBorders>
              <w:top w:val="nil"/>
              <w:left w:val="single" w:color="auto" w:sz="4" w:space="0"/>
              <w:bottom w:val="single" w:color="auto" w:sz="4" w:space="0"/>
              <w:right w:val="nil"/>
            </w:tcBorders>
            <w:shd w:val="clear" w:color="auto" w:fill="auto"/>
            <w:noWrap/>
            <w:vAlign w:val="bottom"/>
            <w:hideMark/>
          </w:tcPr>
          <w:p w:rsidRPr="00387AB6" w:rsidR="006E00D4" w:rsidP="006E00D4" w:rsidRDefault="006E00D4" w14:paraId="376942EA"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 </w:t>
            </w:r>
          </w:p>
        </w:tc>
        <w:tc>
          <w:tcPr>
            <w:tcW w:w="3337" w:type="dxa"/>
            <w:gridSpan w:val="2"/>
            <w:tcBorders>
              <w:top w:val="single" w:color="auto" w:sz="4" w:space="0"/>
              <w:left w:val="single" w:color="auto" w:sz="8" w:space="0"/>
              <w:bottom w:val="single" w:color="auto" w:sz="4" w:space="0"/>
              <w:right w:val="single" w:color="auto" w:sz="4" w:space="0"/>
            </w:tcBorders>
            <w:shd w:val="clear" w:color="auto" w:fill="auto"/>
            <w:noWrap/>
            <w:vAlign w:val="bottom"/>
            <w:hideMark/>
          </w:tcPr>
          <w:p w:rsidRPr="00387AB6" w:rsidR="006E00D4" w:rsidP="006E00D4" w:rsidRDefault="006E00D4" w14:paraId="5C38DC27"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All-Electric</w:t>
            </w:r>
          </w:p>
        </w:tc>
        <w:tc>
          <w:tcPr>
            <w:tcW w:w="3291" w:type="dxa"/>
            <w:gridSpan w:val="2"/>
            <w:tcBorders>
              <w:top w:val="single" w:color="auto" w:sz="4" w:space="0"/>
              <w:left w:val="nil"/>
              <w:bottom w:val="single" w:color="auto" w:sz="4" w:space="0"/>
              <w:right w:val="single" w:color="000000" w:sz="4" w:space="0"/>
            </w:tcBorders>
            <w:shd w:val="clear" w:color="auto" w:fill="auto"/>
            <w:noWrap/>
            <w:vAlign w:val="bottom"/>
            <w:hideMark/>
          </w:tcPr>
          <w:p w:rsidRPr="00387AB6" w:rsidR="006E00D4" w:rsidP="006E00D4" w:rsidRDefault="006E00D4" w14:paraId="0C62B982"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Electric Space Heating</w:t>
            </w:r>
          </w:p>
        </w:tc>
        <w:tc>
          <w:tcPr>
            <w:tcW w:w="3291" w:type="dxa"/>
            <w:gridSpan w:val="2"/>
            <w:tcBorders>
              <w:top w:val="single" w:color="auto" w:sz="4" w:space="0"/>
              <w:left w:val="nil"/>
              <w:bottom w:val="single" w:color="auto" w:sz="4" w:space="0"/>
              <w:right w:val="single" w:color="auto" w:sz="4" w:space="0"/>
            </w:tcBorders>
            <w:shd w:val="clear" w:color="auto" w:fill="auto"/>
            <w:noWrap/>
            <w:vAlign w:val="bottom"/>
            <w:hideMark/>
          </w:tcPr>
          <w:p w:rsidRPr="00387AB6" w:rsidR="006E00D4" w:rsidP="006E00D4" w:rsidRDefault="006E00D4" w14:paraId="427374F0"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Dual Fuel</w:t>
            </w:r>
          </w:p>
        </w:tc>
        <w:tc>
          <w:tcPr>
            <w:tcW w:w="3291" w:type="dxa"/>
            <w:gridSpan w:val="2"/>
            <w:tcBorders>
              <w:top w:val="single" w:color="auto" w:sz="4" w:space="0"/>
              <w:left w:val="nil"/>
              <w:bottom w:val="single" w:color="auto" w:sz="4" w:space="0"/>
              <w:right w:val="single" w:color="auto" w:sz="4" w:space="0"/>
            </w:tcBorders>
            <w:shd w:val="clear" w:color="auto" w:fill="auto"/>
            <w:noWrap/>
            <w:vAlign w:val="bottom"/>
            <w:hideMark/>
          </w:tcPr>
          <w:p w:rsidRPr="00387AB6" w:rsidR="006E00D4" w:rsidP="006E00D4" w:rsidRDefault="006E00D4" w14:paraId="6259E451"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Gas Only</w:t>
            </w:r>
          </w:p>
        </w:tc>
      </w:tr>
      <w:tr w:rsidRPr="00387AB6" w:rsidR="006E00D4" w:rsidTr="006E00D4" w14:paraId="08399C7C" w14:textId="77777777">
        <w:trPr>
          <w:trHeight w:val="339"/>
        </w:trPr>
        <w:tc>
          <w:tcPr>
            <w:tcW w:w="4124" w:type="dxa"/>
            <w:tcBorders>
              <w:top w:val="nil"/>
              <w:left w:val="single" w:color="auto" w:sz="4" w:space="0"/>
              <w:bottom w:val="nil"/>
              <w:right w:val="nil"/>
            </w:tcBorders>
            <w:shd w:val="clear" w:color="auto" w:fill="auto"/>
            <w:noWrap/>
            <w:vAlign w:val="bottom"/>
            <w:hideMark/>
          </w:tcPr>
          <w:p w:rsidRPr="00387AB6" w:rsidR="006E00D4" w:rsidP="006E00D4" w:rsidRDefault="006E00D4" w14:paraId="5C3EDCC0" w14:textId="77777777">
            <w:pPr>
              <w:rPr>
                <w:rFonts w:ascii="Palatino Linotype" w:hAnsi="Palatino Linotype" w:cs="Calibri"/>
                <w:b/>
                <w:bCs/>
                <w:color w:val="000000"/>
                <w:sz w:val="24"/>
                <w:szCs w:val="24"/>
              </w:rPr>
            </w:pPr>
            <w:r w:rsidRPr="00387AB6">
              <w:rPr>
                <w:rFonts w:ascii="Palatino Linotype" w:hAnsi="Palatino Linotype" w:cs="Calibri"/>
                <w:b/>
                <w:bCs/>
                <w:color w:val="000000"/>
                <w:sz w:val="24"/>
                <w:szCs w:val="24"/>
              </w:rPr>
              <w:t xml:space="preserve">Rate Schedule </w:t>
            </w:r>
            <w:r w:rsidRPr="00387AB6">
              <w:rPr>
                <w:rFonts w:ascii="Times New Roman" w:hAnsi="Times New Roman"/>
                <w:b/>
                <w:bCs/>
                <w:color w:val="000000"/>
                <w:sz w:val="24"/>
                <w:szCs w:val="24"/>
              </w:rPr>
              <w:t>↓</w:t>
            </w:r>
          </w:p>
        </w:tc>
        <w:tc>
          <w:tcPr>
            <w:tcW w:w="1728" w:type="dxa"/>
            <w:tcBorders>
              <w:top w:val="nil"/>
              <w:left w:val="single" w:color="auto" w:sz="8" w:space="0"/>
              <w:bottom w:val="nil"/>
              <w:right w:val="single" w:color="auto" w:sz="4" w:space="0"/>
            </w:tcBorders>
            <w:shd w:val="clear" w:color="auto" w:fill="auto"/>
            <w:noWrap/>
            <w:vAlign w:val="bottom"/>
            <w:hideMark/>
          </w:tcPr>
          <w:p w:rsidRPr="00387AB6" w:rsidR="006E00D4" w:rsidP="006E00D4" w:rsidRDefault="006E00D4" w14:paraId="72A79F84"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Singlefamily</w:t>
            </w:r>
          </w:p>
        </w:tc>
        <w:tc>
          <w:tcPr>
            <w:tcW w:w="1609" w:type="dxa"/>
            <w:tcBorders>
              <w:top w:val="nil"/>
              <w:left w:val="nil"/>
              <w:bottom w:val="single" w:color="auto" w:sz="4" w:space="0"/>
              <w:right w:val="nil"/>
            </w:tcBorders>
            <w:shd w:val="clear" w:color="auto" w:fill="auto"/>
            <w:noWrap/>
            <w:vAlign w:val="bottom"/>
            <w:hideMark/>
          </w:tcPr>
          <w:p w:rsidRPr="00387AB6" w:rsidR="006E00D4" w:rsidP="006E00D4" w:rsidRDefault="006E00D4" w14:paraId="239F8F21"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Multifamily</w:t>
            </w:r>
          </w:p>
        </w:tc>
        <w:tc>
          <w:tcPr>
            <w:tcW w:w="1681" w:type="dxa"/>
            <w:tcBorders>
              <w:top w:val="nil"/>
              <w:left w:val="single" w:color="auto" w:sz="4" w:space="0"/>
              <w:bottom w:val="single" w:color="auto" w:sz="4" w:space="0"/>
              <w:right w:val="single" w:color="auto" w:sz="4" w:space="0"/>
            </w:tcBorders>
            <w:shd w:val="clear" w:color="auto" w:fill="auto"/>
            <w:noWrap/>
            <w:vAlign w:val="bottom"/>
            <w:hideMark/>
          </w:tcPr>
          <w:p w:rsidRPr="00387AB6" w:rsidR="006E00D4" w:rsidP="006E00D4" w:rsidRDefault="006E00D4" w14:paraId="3B42A859"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Singlefamily</w:t>
            </w:r>
          </w:p>
        </w:tc>
        <w:tc>
          <w:tcPr>
            <w:tcW w:w="1609" w:type="dxa"/>
            <w:tcBorders>
              <w:top w:val="nil"/>
              <w:left w:val="nil"/>
              <w:bottom w:val="single" w:color="auto" w:sz="4" w:space="0"/>
              <w:right w:val="single" w:color="auto" w:sz="4" w:space="0"/>
            </w:tcBorders>
            <w:shd w:val="clear" w:color="auto" w:fill="auto"/>
            <w:noWrap/>
            <w:vAlign w:val="bottom"/>
            <w:hideMark/>
          </w:tcPr>
          <w:p w:rsidRPr="00387AB6" w:rsidR="006E00D4" w:rsidP="006E00D4" w:rsidRDefault="006E00D4" w14:paraId="0741437D"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Multifamily</w:t>
            </w:r>
          </w:p>
        </w:tc>
        <w:tc>
          <w:tcPr>
            <w:tcW w:w="1681" w:type="dxa"/>
            <w:tcBorders>
              <w:top w:val="nil"/>
              <w:left w:val="nil"/>
              <w:bottom w:val="nil"/>
              <w:right w:val="single" w:color="auto" w:sz="4" w:space="0"/>
            </w:tcBorders>
            <w:shd w:val="clear" w:color="auto" w:fill="auto"/>
            <w:noWrap/>
            <w:vAlign w:val="bottom"/>
            <w:hideMark/>
          </w:tcPr>
          <w:p w:rsidRPr="00387AB6" w:rsidR="006E00D4" w:rsidP="006E00D4" w:rsidRDefault="006E00D4" w14:paraId="6DC6CE20"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Singlefamily</w:t>
            </w:r>
          </w:p>
        </w:tc>
        <w:tc>
          <w:tcPr>
            <w:tcW w:w="1609" w:type="dxa"/>
            <w:tcBorders>
              <w:top w:val="nil"/>
              <w:left w:val="nil"/>
              <w:bottom w:val="nil"/>
              <w:right w:val="double" w:color="auto" w:sz="6" w:space="0"/>
            </w:tcBorders>
            <w:shd w:val="clear" w:color="auto" w:fill="auto"/>
            <w:noWrap/>
            <w:vAlign w:val="bottom"/>
            <w:hideMark/>
          </w:tcPr>
          <w:p w:rsidRPr="00387AB6" w:rsidR="006E00D4" w:rsidP="006E00D4" w:rsidRDefault="006E00D4" w14:paraId="7EDE98E8"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Multifamily</w:t>
            </w:r>
          </w:p>
        </w:tc>
        <w:tc>
          <w:tcPr>
            <w:tcW w:w="1681" w:type="dxa"/>
            <w:tcBorders>
              <w:top w:val="nil"/>
              <w:left w:val="nil"/>
              <w:bottom w:val="single" w:color="auto" w:sz="4" w:space="0"/>
              <w:right w:val="single" w:color="auto" w:sz="4" w:space="0"/>
            </w:tcBorders>
            <w:shd w:val="clear" w:color="auto" w:fill="auto"/>
            <w:noWrap/>
            <w:vAlign w:val="bottom"/>
            <w:hideMark/>
          </w:tcPr>
          <w:p w:rsidRPr="00387AB6" w:rsidR="006E00D4" w:rsidP="006E00D4" w:rsidRDefault="006E00D4" w14:paraId="3C9D0314"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Singlefamily</w:t>
            </w:r>
          </w:p>
        </w:tc>
        <w:tc>
          <w:tcPr>
            <w:tcW w:w="1609" w:type="dxa"/>
            <w:tcBorders>
              <w:top w:val="nil"/>
              <w:left w:val="nil"/>
              <w:bottom w:val="single" w:color="auto" w:sz="4" w:space="0"/>
              <w:right w:val="single" w:color="auto" w:sz="4" w:space="0"/>
            </w:tcBorders>
            <w:shd w:val="clear" w:color="auto" w:fill="auto"/>
            <w:noWrap/>
            <w:vAlign w:val="bottom"/>
            <w:hideMark/>
          </w:tcPr>
          <w:p w:rsidRPr="00387AB6" w:rsidR="006E00D4" w:rsidP="006E00D4" w:rsidRDefault="006E00D4" w14:paraId="6E8BE769"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Multifamily</w:t>
            </w:r>
          </w:p>
        </w:tc>
      </w:tr>
      <w:tr w:rsidRPr="00387AB6" w:rsidR="006E00D4" w:rsidTr="006E00D4" w14:paraId="5D3E2C56" w14:textId="77777777">
        <w:trPr>
          <w:trHeight w:val="339"/>
        </w:trPr>
        <w:tc>
          <w:tcPr>
            <w:tcW w:w="4124" w:type="dxa"/>
            <w:tcBorders>
              <w:top w:val="single" w:color="auto" w:sz="4" w:space="0"/>
              <w:left w:val="single" w:color="auto" w:sz="4" w:space="0"/>
              <w:bottom w:val="single" w:color="auto" w:sz="4" w:space="0"/>
              <w:right w:val="nil"/>
            </w:tcBorders>
            <w:shd w:val="clear" w:color="000000" w:fill="D0CECE"/>
            <w:noWrap/>
            <w:vAlign w:val="bottom"/>
            <w:hideMark/>
          </w:tcPr>
          <w:p w:rsidRPr="00387AB6" w:rsidR="006E00D4" w:rsidP="006E00D4" w:rsidRDefault="006E00D4" w14:paraId="253505E8"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Non-TOU rates</w:t>
            </w:r>
          </w:p>
        </w:tc>
        <w:tc>
          <w:tcPr>
            <w:tcW w:w="1728" w:type="dxa"/>
            <w:tcBorders>
              <w:top w:val="single" w:color="auto" w:sz="4" w:space="0"/>
              <w:left w:val="single" w:color="auto" w:sz="8" w:space="0"/>
              <w:bottom w:val="single" w:color="auto" w:sz="4" w:space="0"/>
              <w:right w:val="nil"/>
            </w:tcBorders>
            <w:shd w:val="clear" w:color="000000" w:fill="D0CECE"/>
            <w:noWrap/>
            <w:vAlign w:val="bottom"/>
            <w:hideMark/>
          </w:tcPr>
          <w:p w:rsidRPr="00387AB6" w:rsidR="006E00D4" w:rsidP="006E00D4" w:rsidRDefault="006E00D4" w14:paraId="7E306C58"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 </w:t>
            </w:r>
          </w:p>
        </w:tc>
        <w:tc>
          <w:tcPr>
            <w:tcW w:w="1609" w:type="dxa"/>
            <w:tcBorders>
              <w:top w:val="nil"/>
              <w:left w:val="nil"/>
              <w:bottom w:val="single" w:color="auto" w:sz="4" w:space="0"/>
              <w:right w:val="nil"/>
            </w:tcBorders>
            <w:shd w:val="clear" w:color="000000" w:fill="D0CECE"/>
            <w:noWrap/>
            <w:vAlign w:val="bottom"/>
            <w:hideMark/>
          </w:tcPr>
          <w:p w:rsidRPr="00387AB6" w:rsidR="006E00D4" w:rsidP="006E00D4" w:rsidRDefault="006E00D4" w14:paraId="22B96EB9"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 </w:t>
            </w:r>
          </w:p>
        </w:tc>
        <w:tc>
          <w:tcPr>
            <w:tcW w:w="1681" w:type="dxa"/>
            <w:tcBorders>
              <w:top w:val="nil"/>
              <w:left w:val="nil"/>
              <w:bottom w:val="single" w:color="auto" w:sz="4" w:space="0"/>
              <w:right w:val="nil"/>
            </w:tcBorders>
            <w:shd w:val="clear" w:color="000000" w:fill="D0CECE"/>
            <w:noWrap/>
            <w:vAlign w:val="bottom"/>
            <w:hideMark/>
          </w:tcPr>
          <w:p w:rsidRPr="00387AB6" w:rsidR="006E00D4" w:rsidP="006E00D4" w:rsidRDefault="006E00D4" w14:paraId="3ED96156"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 </w:t>
            </w:r>
          </w:p>
        </w:tc>
        <w:tc>
          <w:tcPr>
            <w:tcW w:w="1609" w:type="dxa"/>
            <w:tcBorders>
              <w:top w:val="nil"/>
              <w:left w:val="nil"/>
              <w:bottom w:val="single" w:color="auto" w:sz="4" w:space="0"/>
              <w:right w:val="nil"/>
            </w:tcBorders>
            <w:shd w:val="clear" w:color="000000" w:fill="D0CECE"/>
            <w:noWrap/>
            <w:vAlign w:val="bottom"/>
            <w:hideMark/>
          </w:tcPr>
          <w:p w:rsidRPr="00387AB6" w:rsidR="006E00D4" w:rsidP="006E00D4" w:rsidRDefault="006E00D4" w14:paraId="3477E793"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 </w:t>
            </w:r>
          </w:p>
        </w:tc>
        <w:tc>
          <w:tcPr>
            <w:tcW w:w="1681" w:type="dxa"/>
            <w:tcBorders>
              <w:top w:val="single" w:color="auto" w:sz="4" w:space="0"/>
              <w:left w:val="nil"/>
              <w:bottom w:val="single" w:color="auto" w:sz="4" w:space="0"/>
              <w:right w:val="nil"/>
            </w:tcBorders>
            <w:shd w:val="clear" w:color="000000" w:fill="D0CECE"/>
            <w:noWrap/>
            <w:vAlign w:val="bottom"/>
            <w:hideMark/>
          </w:tcPr>
          <w:p w:rsidRPr="00387AB6" w:rsidR="006E00D4" w:rsidP="006E00D4" w:rsidRDefault="006E00D4" w14:paraId="76FBC93E"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 </w:t>
            </w:r>
          </w:p>
        </w:tc>
        <w:tc>
          <w:tcPr>
            <w:tcW w:w="1609" w:type="dxa"/>
            <w:tcBorders>
              <w:top w:val="single" w:color="auto" w:sz="4" w:space="0"/>
              <w:left w:val="nil"/>
              <w:bottom w:val="single" w:color="auto" w:sz="4" w:space="0"/>
              <w:right w:val="nil"/>
            </w:tcBorders>
            <w:shd w:val="clear" w:color="000000" w:fill="D0CECE"/>
            <w:noWrap/>
            <w:vAlign w:val="bottom"/>
            <w:hideMark/>
          </w:tcPr>
          <w:p w:rsidRPr="00387AB6" w:rsidR="006E00D4" w:rsidP="006E00D4" w:rsidRDefault="006E00D4" w14:paraId="34643D5F"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 </w:t>
            </w:r>
          </w:p>
        </w:tc>
        <w:tc>
          <w:tcPr>
            <w:tcW w:w="1681" w:type="dxa"/>
            <w:tcBorders>
              <w:top w:val="nil"/>
              <w:left w:val="nil"/>
              <w:bottom w:val="single" w:color="auto" w:sz="4" w:space="0"/>
              <w:right w:val="nil"/>
            </w:tcBorders>
            <w:shd w:val="clear" w:color="000000" w:fill="D0CECE"/>
            <w:noWrap/>
            <w:vAlign w:val="bottom"/>
            <w:hideMark/>
          </w:tcPr>
          <w:p w:rsidRPr="00387AB6" w:rsidR="006E00D4" w:rsidP="006E00D4" w:rsidRDefault="006E00D4" w14:paraId="04932415"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 </w:t>
            </w:r>
          </w:p>
        </w:tc>
        <w:tc>
          <w:tcPr>
            <w:tcW w:w="1609" w:type="dxa"/>
            <w:tcBorders>
              <w:top w:val="nil"/>
              <w:left w:val="nil"/>
              <w:bottom w:val="single" w:color="auto" w:sz="4" w:space="0"/>
              <w:right w:val="single" w:color="auto" w:sz="4" w:space="0"/>
            </w:tcBorders>
            <w:shd w:val="clear" w:color="000000" w:fill="D0CECE"/>
            <w:noWrap/>
            <w:vAlign w:val="bottom"/>
            <w:hideMark/>
          </w:tcPr>
          <w:p w:rsidRPr="00387AB6" w:rsidR="006E00D4" w:rsidP="006E00D4" w:rsidRDefault="006E00D4" w14:paraId="1BDBE072"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 </w:t>
            </w:r>
          </w:p>
        </w:tc>
      </w:tr>
      <w:tr w:rsidRPr="00387AB6" w:rsidR="006E00D4" w:rsidTr="006E00D4" w14:paraId="6A8C7AA2" w14:textId="77777777">
        <w:trPr>
          <w:trHeight w:val="339"/>
        </w:trPr>
        <w:tc>
          <w:tcPr>
            <w:tcW w:w="4124" w:type="dxa"/>
            <w:tcBorders>
              <w:top w:val="nil"/>
              <w:left w:val="single" w:color="auto" w:sz="4" w:space="0"/>
              <w:bottom w:val="single" w:color="auto" w:sz="4" w:space="0"/>
              <w:right w:val="nil"/>
            </w:tcBorders>
            <w:shd w:val="clear" w:color="auto" w:fill="auto"/>
            <w:noWrap/>
            <w:vAlign w:val="bottom"/>
            <w:hideMark/>
          </w:tcPr>
          <w:p w:rsidRPr="00387AB6" w:rsidR="006E00D4" w:rsidP="006E00D4" w:rsidRDefault="006E00D4" w14:paraId="3537BE8D"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E.g. E-1</w:t>
            </w:r>
          </w:p>
        </w:tc>
        <w:tc>
          <w:tcPr>
            <w:tcW w:w="1728" w:type="dxa"/>
            <w:tcBorders>
              <w:top w:val="nil"/>
              <w:left w:val="single" w:color="auto" w:sz="8" w:space="0"/>
              <w:bottom w:val="single" w:color="auto" w:sz="4" w:space="0"/>
              <w:right w:val="single" w:color="auto" w:sz="4" w:space="0"/>
            </w:tcBorders>
            <w:shd w:val="clear" w:color="auto" w:fill="auto"/>
            <w:vAlign w:val="bottom"/>
            <w:hideMark/>
          </w:tcPr>
          <w:p w:rsidRPr="00387AB6" w:rsidR="006E00D4" w:rsidP="006E00D4" w:rsidRDefault="006E00D4" w14:paraId="369602DC"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09" w:type="dxa"/>
            <w:tcBorders>
              <w:top w:val="nil"/>
              <w:left w:val="nil"/>
              <w:bottom w:val="single" w:color="auto" w:sz="4" w:space="0"/>
              <w:right w:val="double" w:color="auto" w:sz="6" w:space="0"/>
            </w:tcBorders>
            <w:shd w:val="clear" w:color="auto" w:fill="auto"/>
            <w:noWrap/>
            <w:vAlign w:val="bottom"/>
            <w:hideMark/>
          </w:tcPr>
          <w:p w:rsidRPr="00387AB6" w:rsidR="006E00D4" w:rsidP="006E00D4" w:rsidRDefault="006E00D4" w14:paraId="33F89162"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81" w:type="dxa"/>
            <w:tcBorders>
              <w:top w:val="nil"/>
              <w:left w:val="nil"/>
              <w:bottom w:val="single" w:color="auto" w:sz="4" w:space="0"/>
              <w:right w:val="nil"/>
            </w:tcBorders>
            <w:shd w:val="clear" w:color="auto" w:fill="auto"/>
            <w:noWrap/>
            <w:vAlign w:val="bottom"/>
            <w:hideMark/>
          </w:tcPr>
          <w:p w:rsidRPr="00387AB6" w:rsidR="006E00D4" w:rsidP="006E00D4" w:rsidRDefault="006E00D4" w14:paraId="61EE1FCF"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09" w:type="dxa"/>
            <w:tcBorders>
              <w:top w:val="nil"/>
              <w:left w:val="nil"/>
              <w:bottom w:val="single" w:color="auto" w:sz="4" w:space="0"/>
              <w:right w:val="nil"/>
            </w:tcBorders>
            <w:shd w:val="clear" w:color="auto" w:fill="auto"/>
            <w:noWrap/>
            <w:vAlign w:val="bottom"/>
            <w:hideMark/>
          </w:tcPr>
          <w:p w:rsidRPr="00387AB6" w:rsidR="006E00D4" w:rsidP="006E00D4" w:rsidRDefault="006E00D4" w14:paraId="074745C8"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81" w:type="dxa"/>
            <w:tcBorders>
              <w:top w:val="nil"/>
              <w:left w:val="double" w:color="auto" w:sz="6" w:space="0"/>
              <w:bottom w:val="single" w:color="auto" w:sz="4" w:space="0"/>
              <w:right w:val="single" w:color="auto" w:sz="4" w:space="0"/>
            </w:tcBorders>
            <w:shd w:val="clear" w:color="auto" w:fill="auto"/>
            <w:noWrap/>
            <w:vAlign w:val="bottom"/>
            <w:hideMark/>
          </w:tcPr>
          <w:p w:rsidRPr="00387AB6" w:rsidR="006E00D4" w:rsidP="006E00D4" w:rsidRDefault="006E00D4" w14:paraId="544CCD9E"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09" w:type="dxa"/>
            <w:tcBorders>
              <w:top w:val="nil"/>
              <w:left w:val="nil"/>
              <w:bottom w:val="single" w:color="auto" w:sz="4" w:space="0"/>
              <w:right w:val="double" w:color="auto" w:sz="6" w:space="0"/>
            </w:tcBorders>
            <w:shd w:val="clear" w:color="auto" w:fill="auto"/>
            <w:noWrap/>
            <w:vAlign w:val="bottom"/>
            <w:hideMark/>
          </w:tcPr>
          <w:p w:rsidRPr="00387AB6" w:rsidR="006E00D4" w:rsidP="006E00D4" w:rsidRDefault="006E00D4" w14:paraId="2178F693"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81" w:type="dxa"/>
            <w:tcBorders>
              <w:top w:val="nil"/>
              <w:left w:val="nil"/>
              <w:bottom w:val="single" w:color="auto" w:sz="4" w:space="0"/>
              <w:right w:val="single" w:color="auto" w:sz="4" w:space="0"/>
            </w:tcBorders>
            <w:shd w:val="clear" w:color="auto" w:fill="auto"/>
            <w:noWrap/>
            <w:vAlign w:val="bottom"/>
            <w:hideMark/>
          </w:tcPr>
          <w:p w:rsidRPr="00387AB6" w:rsidR="006E00D4" w:rsidP="006E00D4" w:rsidRDefault="006E00D4" w14:paraId="38982684"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09" w:type="dxa"/>
            <w:tcBorders>
              <w:top w:val="nil"/>
              <w:left w:val="nil"/>
              <w:bottom w:val="single" w:color="auto" w:sz="4" w:space="0"/>
              <w:right w:val="single" w:color="auto" w:sz="4" w:space="0"/>
            </w:tcBorders>
            <w:shd w:val="clear" w:color="auto" w:fill="auto"/>
            <w:noWrap/>
            <w:vAlign w:val="bottom"/>
            <w:hideMark/>
          </w:tcPr>
          <w:p w:rsidRPr="00387AB6" w:rsidR="006E00D4" w:rsidP="006E00D4" w:rsidRDefault="006E00D4" w14:paraId="400A69E0"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r>
      <w:tr w:rsidRPr="00387AB6" w:rsidR="006E00D4" w:rsidTr="006E00D4" w14:paraId="1614B68F" w14:textId="77777777">
        <w:trPr>
          <w:trHeight w:val="339"/>
        </w:trPr>
        <w:tc>
          <w:tcPr>
            <w:tcW w:w="4124" w:type="dxa"/>
            <w:tcBorders>
              <w:top w:val="nil"/>
              <w:left w:val="single" w:color="auto" w:sz="4" w:space="0"/>
              <w:bottom w:val="single" w:color="auto" w:sz="4" w:space="0"/>
              <w:right w:val="nil"/>
            </w:tcBorders>
            <w:shd w:val="clear" w:color="auto" w:fill="auto"/>
            <w:noWrap/>
            <w:vAlign w:val="bottom"/>
            <w:hideMark/>
          </w:tcPr>
          <w:p w:rsidRPr="00387AB6" w:rsidR="006E00D4" w:rsidP="006E00D4" w:rsidRDefault="006E00D4" w14:paraId="2A4984E6"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[Add rows as needed]</w:t>
            </w:r>
          </w:p>
        </w:tc>
        <w:tc>
          <w:tcPr>
            <w:tcW w:w="1728" w:type="dxa"/>
            <w:tcBorders>
              <w:top w:val="nil"/>
              <w:left w:val="single" w:color="auto" w:sz="8" w:space="0"/>
              <w:bottom w:val="single" w:color="auto" w:sz="4" w:space="0"/>
              <w:right w:val="single" w:color="auto" w:sz="4" w:space="0"/>
            </w:tcBorders>
            <w:shd w:val="clear" w:color="auto" w:fill="auto"/>
            <w:vAlign w:val="bottom"/>
            <w:hideMark/>
          </w:tcPr>
          <w:p w:rsidRPr="00387AB6" w:rsidR="006E00D4" w:rsidP="006E00D4" w:rsidRDefault="006E00D4" w14:paraId="617C428B"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09" w:type="dxa"/>
            <w:tcBorders>
              <w:top w:val="nil"/>
              <w:left w:val="nil"/>
              <w:bottom w:val="single" w:color="auto" w:sz="4" w:space="0"/>
              <w:right w:val="double" w:color="auto" w:sz="6" w:space="0"/>
            </w:tcBorders>
            <w:shd w:val="clear" w:color="auto" w:fill="auto"/>
            <w:noWrap/>
            <w:vAlign w:val="bottom"/>
            <w:hideMark/>
          </w:tcPr>
          <w:p w:rsidRPr="00387AB6" w:rsidR="006E00D4" w:rsidP="006E00D4" w:rsidRDefault="006E00D4" w14:paraId="7711CA46"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81" w:type="dxa"/>
            <w:tcBorders>
              <w:top w:val="nil"/>
              <w:left w:val="nil"/>
              <w:bottom w:val="single" w:color="auto" w:sz="4" w:space="0"/>
              <w:right w:val="nil"/>
            </w:tcBorders>
            <w:shd w:val="clear" w:color="auto" w:fill="auto"/>
            <w:noWrap/>
            <w:vAlign w:val="bottom"/>
            <w:hideMark/>
          </w:tcPr>
          <w:p w:rsidRPr="00387AB6" w:rsidR="006E00D4" w:rsidP="006E00D4" w:rsidRDefault="006E00D4" w14:paraId="0089E255"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09" w:type="dxa"/>
            <w:tcBorders>
              <w:top w:val="nil"/>
              <w:left w:val="nil"/>
              <w:bottom w:val="single" w:color="auto" w:sz="4" w:space="0"/>
              <w:right w:val="nil"/>
            </w:tcBorders>
            <w:shd w:val="clear" w:color="auto" w:fill="auto"/>
            <w:noWrap/>
            <w:vAlign w:val="bottom"/>
            <w:hideMark/>
          </w:tcPr>
          <w:p w:rsidRPr="00387AB6" w:rsidR="006E00D4" w:rsidP="006E00D4" w:rsidRDefault="006E00D4" w14:paraId="44BC96F1"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81" w:type="dxa"/>
            <w:tcBorders>
              <w:top w:val="nil"/>
              <w:left w:val="double" w:color="auto" w:sz="6" w:space="0"/>
              <w:bottom w:val="single" w:color="auto" w:sz="4" w:space="0"/>
              <w:right w:val="single" w:color="auto" w:sz="4" w:space="0"/>
            </w:tcBorders>
            <w:shd w:val="clear" w:color="auto" w:fill="auto"/>
            <w:noWrap/>
            <w:vAlign w:val="bottom"/>
            <w:hideMark/>
          </w:tcPr>
          <w:p w:rsidRPr="00387AB6" w:rsidR="006E00D4" w:rsidP="006E00D4" w:rsidRDefault="006E00D4" w14:paraId="11F78102"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09" w:type="dxa"/>
            <w:tcBorders>
              <w:top w:val="nil"/>
              <w:left w:val="nil"/>
              <w:bottom w:val="single" w:color="auto" w:sz="4" w:space="0"/>
              <w:right w:val="double" w:color="auto" w:sz="6" w:space="0"/>
            </w:tcBorders>
            <w:shd w:val="clear" w:color="auto" w:fill="auto"/>
            <w:noWrap/>
            <w:vAlign w:val="bottom"/>
            <w:hideMark/>
          </w:tcPr>
          <w:p w:rsidRPr="00387AB6" w:rsidR="006E00D4" w:rsidP="006E00D4" w:rsidRDefault="006E00D4" w14:paraId="5F1CE66B"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81" w:type="dxa"/>
            <w:tcBorders>
              <w:top w:val="nil"/>
              <w:left w:val="nil"/>
              <w:bottom w:val="single" w:color="auto" w:sz="4" w:space="0"/>
              <w:right w:val="single" w:color="auto" w:sz="4" w:space="0"/>
            </w:tcBorders>
            <w:shd w:val="clear" w:color="auto" w:fill="auto"/>
            <w:noWrap/>
            <w:vAlign w:val="bottom"/>
            <w:hideMark/>
          </w:tcPr>
          <w:p w:rsidRPr="00387AB6" w:rsidR="006E00D4" w:rsidP="006E00D4" w:rsidRDefault="006E00D4" w14:paraId="72C075A7"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09" w:type="dxa"/>
            <w:tcBorders>
              <w:top w:val="nil"/>
              <w:left w:val="nil"/>
              <w:bottom w:val="single" w:color="auto" w:sz="4" w:space="0"/>
              <w:right w:val="single" w:color="auto" w:sz="4" w:space="0"/>
            </w:tcBorders>
            <w:shd w:val="clear" w:color="auto" w:fill="auto"/>
            <w:noWrap/>
            <w:vAlign w:val="bottom"/>
            <w:hideMark/>
          </w:tcPr>
          <w:p w:rsidRPr="00387AB6" w:rsidR="006E00D4" w:rsidP="006E00D4" w:rsidRDefault="006E00D4" w14:paraId="5C6E7F41"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r>
      <w:tr w:rsidRPr="00387AB6" w:rsidR="006E00D4" w:rsidTr="006E00D4" w14:paraId="18ED7F43" w14:textId="77777777">
        <w:trPr>
          <w:trHeight w:val="339"/>
        </w:trPr>
        <w:tc>
          <w:tcPr>
            <w:tcW w:w="4124" w:type="dxa"/>
            <w:tcBorders>
              <w:top w:val="nil"/>
              <w:left w:val="single" w:color="auto" w:sz="4" w:space="0"/>
              <w:bottom w:val="single" w:color="auto" w:sz="4" w:space="0"/>
              <w:right w:val="nil"/>
            </w:tcBorders>
            <w:shd w:val="clear" w:color="000000" w:fill="D0CECE"/>
            <w:noWrap/>
            <w:vAlign w:val="bottom"/>
            <w:hideMark/>
          </w:tcPr>
          <w:p w:rsidRPr="00387AB6" w:rsidR="006E00D4" w:rsidP="006E00D4" w:rsidRDefault="006E00D4" w14:paraId="33AC4C8A"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TOU Rates</w:t>
            </w:r>
          </w:p>
        </w:tc>
        <w:tc>
          <w:tcPr>
            <w:tcW w:w="1728" w:type="dxa"/>
            <w:tcBorders>
              <w:top w:val="nil"/>
              <w:left w:val="single" w:color="auto" w:sz="8" w:space="0"/>
              <w:bottom w:val="single" w:color="auto" w:sz="4" w:space="0"/>
              <w:right w:val="nil"/>
            </w:tcBorders>
            <w:shd w:val="clear" w:color="000000" w:fill="D0CECE"/>
            <w:noWrap/>
            <w:vAlign w:val="bottom"/>
            <w:hideMark/>
          </w:tcPr>
          <w:p w:rsidRPr="00387AB6" w:rsidR="006E00D4" w:rsidP="006E00D4" w:rsidRDefault="006E00D4" w14:paraId="740113A2"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 </w:t>
            </w:r>
          </w:p>
        </w:tc>
        <w:tc>
          <w:tcPr>
            <w:tcW w:w="1609" w:type="dxa"/>
            <w:tcBorders>
              <w:top w:val="nil"/>
              <w:left w:val="nil"/>
              <w:bottom w:val="single" w:color="auto" w:sz="4" w:space="0"/>
              <w:right w:val="nil"/>
            </w:tcBorders>
            <w:shd w:val="clear" w:color="000000" w:fill="D0CECE"/>
            <w:noWrap/>
            <w:vAlign w:val="bottom"/>
            <w:hideMark/>
          </w:tcPr>
          <w:p w:rsidRPr="00387AB6" w:rsidR="006E00D4" w:rsidP="006E00D4" w:rsidRDefault="006E00D4" w14:paraId="685B3552"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 </w:t>
            </w:r>
          </w:p>
        </w:tc>
        <w:tc>
          <w:tcPr>
            <w:tcW w:w="1681" w:type="dxa"/>
            <w:tcBorders>
              <w:top w:val="nil"/>
              <w:left w:val="nil"/>
              <w:bottom w:val="single" w:color="auto" w:sz="4" w:space="0"/>
              <w:right w:val="nil"/>
            </w:tcBorders>
            <w:shd w:val="clear" w:color="000000" w:fill="D0CECE"/>
            <w:noWrap/>
            <w:vAlign w:val="bottom"/>
            <w:hideMark/>
          </w:tcPr>
          <w:p w:rsidRPr="00387AB6" w:rsidR="006E00D4" w:rsidP="006E00D4" w:rsidRDefault="006E00D4" w14:paraId="0E197437"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 </w:t>
            </w:r>
          </w:p>
        </w:tc>
        <w:tc>
          <w:tcPr>
            <w:tcW w:w="1609" w:type="dxa"/>
            <w:tcBorders>
              <w:top w:val="nil"/>
              <w:left w:val="nil"/>
              <w:bottom w:val="single" w:color="auto" w:sz="4" w:space="0"/>
              <w:right w:val="nil"/>
            </w:tcBorders>
            <w:shd w:val="clear" w:color="000000" w:fill="D0CECE"/>
            <w:noWrap/>
            <w:vAlign w:val="bottom"/>
            <w:hideMark/>
          </w:tcPr>
          <w:p w:rsidRPr="00387AB6" w:rsidR="006E00D4" w:rsidP="006E00D4" w:rsidRDefault="006E00D4" w14:paraId="018C2B44"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 </w:t>
            </w:r>
          </w:p>
        </w:tc>
        <w:tc>
          <w:tcPr>
            <w:tcW w:w="1681" w:type="dxa"/>
            <w:tcBorders>
              <w:top w:val="nil"/>
              <w:left w:val="nil"/>
              <w:bottom w:val="single" w:color="auto" w:sz="4" w:space="0"/>
              <w:right w:val="nil"/>
            </w:tcBorders>
            <w:shd w:val="clear" w:color="000000" w:fill="D0CECE"/>
            <w:noWrap/>
            <w:vAlign w:val="bottom"/>
            <w:hideMark/>
          </w:tcPr>
          <w:p w:rsidRPr="00387AB6" w:rsidR="006E00D4" w:rsidP="006E00D4" w:rsidRDefault="006E00D4" w14:paraId="7964758A"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 </w:t>
            </w:r>
          </w:p>
        </w:tc>
        <w:tc>
          <w:tcPr>
            <w:tcW w:w="1609" w:type="dxa"/>
            <w:tcBorders>
              <w:top w:val="nil"/>
              <w:left w:val="nil"/>
              <w:bottom w:val="single" w:color="auto" w:sz="4" w:space="0"/>
              <w:right w:val="nil"/>
            </w:tcBorders>
            <w:shd w:val="clear" w:color="000000" w:fill="D0CECE"/>
            <w:noWrap/>
            <w:vAlign w:val="bottom"/>
            <w:hideMark/>
          </w:tcPr>
          <w:p w:rsidRPr="00387AB6" w:rsidR="006E00D4" w:rsidP="006E00D4" w:rsidRDefault="006E00D4" w14:paraId="1DFE24EC"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 </w:t>
            </w:r>
          </w:p>
        </w:tc>
        <w:tc>
          <w:tcPr>
            <w:tcW w:w="1681" w:type="dxa"/>
            <w:tcBorders>
              <w:top w:val="nil"/>
              <w:left w:val="nil"/>
              <w:bottom w:val="single" w:color="auto" w:sz="4" w:space="0"/>
              <w:right w:val="nil"/>
            </w:tcBorders>
            <w:shd w:val="clear" w:color="000000" w:fill="D0CECE"/>
            <w:noWrap/>
            <w:vAlign w:val="bottom"/>
            <w:hideMark/>
          </w:tcPr>
          <w:p w:rsidRPr="00387AB6" w:rsidR="006E00D4" w:rsidP="006E00D4" w:rsidRDefault="006E00D4" w14:paraId="39DB456E"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 </w:t>
            </w:r>
          </w:p>
        </w:tc>
        <w:tc>
          <w:tcPr>
            <w:tcW w:w="1609" w:type="dxa"/>
            <w:tcBorders>
              <w:top w:val="nil"/>
              <w:left w:val="nil"/>
              <w:bottom w:val="single" w:color="auto" w:sz="4" w:space="0"/>
              <w:right w:val="single" w:color="auto" w:sz="4" w:space="0"/>
            </w:tcBorders>
            <w:shd w:val="clear" w:color="000000" w:fill="D0CECE"/>
            <w:noWrap/>
            <w:vAlign w:val="bottom"/>
            <w:hideMark/>
          </w:tcPr>
          <w:p w:rsidRPr="00387AB6" w:rsidR="006E00D4" w:rsidP="006E00D4" w:rsidRDefault="006E00D4" w14:paraId="2C0362AE"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 </w:t>
            </w:r>
          </w:p>
        </w:tc>
      </w:tr>
      <w:tr w:rsidRPr="00387AB6" w:rsidR="006E00D4" w:rsidTr="006E00D4" w14:paraId="6A23F7CE" w14:textId="77777777">
        <w:trPr>
          <w:trHeight w:val="339"/>
        </w:trPr>
        <w:tc>
          <w:tcPr>
            <w:tcW w:w="4124" w:type="dxa"/>
            <w:tcBorders>
              <w:top w:val="nil"/>
              <w:left w:val="single" w:color="auto" w:sz="4" w:space="0"/>
              <w:bottom w:val="single" w:color="auto" w:sz="4" w:space="0"/>
              <w:right w:val="nil"/>
            </w:tcBorders>
            <w:shd w:val="clear" w:color="auto" w:fill="auto"/>
            <w:noWrap/>
            <w:vAlign w:val="bottom"/>
            <w:hideMark/>
          </w:tcPr>
          <w:p w:rsidRPr="00387AB6" w:rsidR="006E00D4" w:rsidP="006E00D4" w:rsidRDefault="006E00D4" w14:paraId="6A37DCD8"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E.g. E-6</w:t>
            </w:r>
          </w:p>
        </w:tc>
        <w:tc>
          <w:tcPr>
            <w:tcW w:w="1728" w:type="dxa"/>
            <w:tcBorders>
              <w:top w:val="nil"/>
              <w:left w:val="single" w:color="auto" w:sz="8" w:space="0"/>
              <w:bottom w:val="single" w:color="auto" w:sz="4" w:space="0"/>
              <w:right w:val="single" w:color="auto" w:sz="4" w:space="0"/>
            </w:tcBorders>
            <w:shd w:val="clear" w:color="auto" w:fill="auto"/>
            <w:noWrap/>
            <w:vAlign w:val="bottom"/>
            <w:hideMark/>
          </w:tcPr>
          <w:p w:rsidRPr="00387AB6" w:rsidR="006E00D4" w:rsidP="006E00D4" w:rsidRDefault="006E00D4" w14:paraId="7C202A73"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09" w:type="dxa"/>
            <w:tcBorders>
              <w:top w:val="nil"/>
              <w:left w:val="nil"/>
              <w:bottom w:val="single" w:color="auto" w:sz="4" w:space="0"/>
              <w:right w:val="double" w:color="auto" w:sz="6" w:space="0"/>
            </w:tcBorders>
            <w:shd w:val="clear" w:color="auto" w:fill="auto"/>
            <w:noWrap/>
            <w:vAlign w:val="bottom"/>
            <w:hideMark/>
          </w:tcPr>
          <w:p w:rsidRPr="00387AB6" w:rsidR="006E00D4" w:rsidP="006E00D4" w:rsidRDefault="006E00D4" w14:paraId="790971C3"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81" w:type="dxa"/>
            <w:tcBorders>
              <w:top w:val="nil"/>
              <w:left w:val="nil"/>
              <w:bottom w:val="single" w:color="auto" w:sz="4" w:space="0"/>
              <w:right w:val="nil"/>
            </w:tcBorders>
            <w:shd w:val="clear" w:color="auto" w:fill="auto"/>
            <w:noWrap/>
            <w:vAlign w:val="bottom"/>
            <w:hideMark/>
          </w:tcPr>
          <w:p w:rsidRPr="00387AB6" w:rsidR="006E00D4" w:rsidP="006E00D4" w:rsidRDefault="006E00D4" w14:paraId="7A5E4CEF"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09" w:type="dxa"/>
            <w:tcBorders>
              <w:top w:val="nil"/>
              <w:left w:val="nil"/>
              <w:bottom w:val="single" w:color="auto" w:sz="4" w:space="0"/>
              <w:right w:val="nil"/>
            </w:tcBorders>
            <w:shd w:val="clear" w:color="auto" w:fill="auto"/>
            <w:noWrap/>
            <w:vAlign w:val="bottom"/>
            <w:hideMark/>
          </w:tcPr>
          <w:p w:rsidRPr="00387AB6" w:rsidR="006E00D4" w:rsidP="006E00D4" w:rsidRDefault="006E00D4" w14:paraId="0EBA59D9"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81" w:type="dxa"/>
            <w:tcBorders>
              <w:top w:val="nil"/>
              <w:left w:val="double" w:color="auto" w:sz="6" w:space="0"/>
              <w:bottom w:val="single" w:color="auto" w:sz="4" w:space="0"/>
              <w:right w:val="single" w:color="auto" w:sz="4" w:space="0"/>
            </w:tcBorders>
            <w:shd w:val="clear" w:color="auto" w:fill="auto"/>
            <w:noWrap/>
            <w:vAlign w:val="bottom"/>
            <w:hideMark/>
          </w:tcPr>
          <w:p w:rsidRPr="00387AB6" w:rsidR="006E00D4" w:rsidP="006E00D4" w:rsidRDefault="006E00D4" w14:paraId="1E159866"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09" w:type="dxa"/>
            <w:tcBorders>
              <w:top w:val="nil"/>
              <w:left w:val="nil"/>
              <w:bottom w:val="single" w:color="auto" w:sz="4" w:space="0"/>
              <w:right w:val="double" w:color="auto" w:sz="6" w:space="0"/>
            </w:tcBorders>
            <w:shd w:val="clear" w:color="auto" w:fill="auto"/>
            <w:noWrap/>
            <w:vAlign w:val="bottom"/>
            <w:hideMark/>
          </w:tcPr>
          <w:p w:rsidRPr="00387AB6" w:rsidR="006E00D4" w:rsidP="006E00D4" w:rsidRDefault="006E00D4" w14:paraId="3D844E3B"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81" w:type="dxa"/>
            <w:tcBorders>
              <w:top w:val="nil"/>
              <w:left w:val="nil"/>
              <w:bottom w:val="single" w:color="auto" w:sz="4" w:space="0"/>
              <w:right w:val="single" w:color="auto" w:sz="4" w:space="0"/>
            </w:tcBorders>
            <w:shd w:val="clear" w:color="auto" w:fill="auto"/>
            <w:noWrap/>
            <w:vAlign w:val="bottom"/>
            <w:hideMark/>
          </w:tcPr>
          <w:p w:rsidRPr="00387AB6" w:rsidR="006E00D4" w:rsidP="006E00D4" w:rsidRDefault="006E00D4" w14:paraId="17BA0AB9"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09" w:type="dxa"/>
            <w:tcBorders>
              <w:top w:val="nil"/>
              <w:left w:val="nil"/>
              <w:bottom w:val="single" w:color="auto" w:sz="4" w:space="0"/>
              <w:right w:val="single" w:color="auto" w:sz="4" w:space="0"/>
            </w:tcBorders>
            <w:shd w:val="clear" w:color="auto" w:fill="auto"/>
            <w:noWrap/>
            <w:vAlign w:val="bottom"/>
            <w:hideMark/>
          </w:tcPr>
          <w:p w:rsidRPr="00387AB6" w:rsidR="006E00D4" w:rsidP="006E00D4" w:rsidRDefault="006E00D4" w14:paraId="573A1427"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r>
      <w:tr w:rsidRPr="00387AB6" w:rsidR="006E00D4" w:rsidTr="006E00D4" w14:paraId="7D883BD3" w14:textId="77777777">
        <w:trPr>
          <w:trHeight w:val="339"/>
        </w:trPr>
        <w:tc>
          <w:tcPr>
            <w:tcW w:w="4124" w:type="dxa"/>
            <w:tcBorders>
              <w:top w:val="nil"/>
              <w:left w:val="single" w:color="auto" w:sz="4" w:space="0"/>
              <w:bottom w:val="single" w:color="auto" w:sz="4" w:space="0"/>
              <w:right w:val="nil"/>
            </w:tcBorders>
            <w:shd w:val="clear" w:color="auto" w:fill="auto"/>
            <w:noWrap/>
            <w:vAlign w:val="bottom"/>
            <w:hideMark/>
          </w:tcPr>
          <w:p w:rsidRPr="00387AB6" w:rsidR="006E00D4" w:rsidP="006E00D4" w:rsidRDefault="006E00D4" w14:paraId="00E6794C"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E-TOU-A</w:t>
            </w:r>
          </w:p>
        </w:tc>
        <w:tc>
          <w:tcPr>
            <w:tcW w:w="1728" w:type="dxa"/>
            <w:tcBorders>
              <w:top w:val="nil"/>
              <w:left w:val="single" w:color="auto" w:sz="8" w:space="0"/>
              <w:bottom w:val="single" w:color="auto" w:sz="4" w:space="0"/>
              <w:right w:val="single" w:color="auto" w:sz="4" w:space="0"/>
            </w:tcBorders>
            <w:shd w:val="clear" w:color="auto" w:fill="auto"/>
            <w:noWrap/>
            <w:vAlign w:val="bottom"/>
            <w:hideMark/>
          </w:tcPr>
          <w:p w:rsidRPr="00387AB6" w:rsidR="006E00D4" w:rsidP="006E00D4" w:rsidRDefault="006E00D4" w14:paraId="24C81BD2"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09" w:type="dxa"/>
            <w:tcBorders>
              <w:top w:val="nil"/>
              <w:left w:val="nil"/>
              <w:bottom w:val="single" w:color="auto" w:sz="4" w:space="0"/>
              <w:right w:val="double" w:color="auto" w:sz="6" w:space="0"/>
            </w:tcBorders>
            <w:shd w:val="clear" w:color="auto" w:fill="auto"/>
            <w:noWrap/>
            <w:vAlign w:val="bottom"/>
            <w:hideMark/>
          </w:tcPr>
          <w:p w:rsidRPr="00387AB6" w:rsidR="006E00D4" w:rsidP="006E00D4" w:rsidRDefault="006E00D4" w14:paraId="2BE01E82"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81" w:type="dxa"/>
            <w:tcBorders>
              <w:top w:val="nil"/>
              <w:left w:val="nil"/>
              <w:bottom w:val="single" w:color="auto" w:sz="4" w:space="0"/>
              <w:right w:val="nil"/>
            </w:tcBorders>
            <w:shd w:val="clear" w:color="auto" w:fill="auto"/>
            <w:noWrap/>
            <w:vAlign w:val="bottom"/>
            <w:hideMark/>
          </w:tcPr>
          <w:p w:rsidRPr="00387AB6" w:rsidR="006E00D4" w:rsidP="006E00D4" w:rsidRDefault="006E00D4" w14:paraId="4FFF30B0"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09" w:type="dxa"/>
            <w:tcBorders>
              <w:top w:val="nil"/>
              <w:left w:val="nil"/>
              <w:bottom w:val="single" w:color="auto" w:sz="4" w:space="0"/>
              <w:right w:val="nil"/>
            </w:tcBorders>
            <w:shd w:val="clear" w:color="auto" w:fill="auto"/>
            <w:noWrap/>
            <w:vAlign w:val="bottom"/>
            <w:hideMark/>
          </w:tcPr>
          <w:p w:rsidRPr="00387AB6" w:rsidR="006E00D4" w:rsidP="006E00D4" w:rsidRDefault="006E00D4" w14:paraId="0BFBAEC3"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81" w:type="dxa"/>
            <w:tcBorders>
              <w:top w:val="nil"/>
              <w:left w:val="double" w:color="auto" w:sz="6" w:space="0"/>
              <w:bottom w:val="single" w:color="auto" w:sz="4" w:space="0"/>
              <w:right w:val="single" w:color="auto" w:sz="4" w:space="0"/>
            </w:tcBorders>
            <w:shd w:val="clear" w:color="auto" w:fill="auto"/>
            <w:noWrap/>
            <w:vAlign w:val="bottom"/>
            <w:hideMark/>
          </w:tcPr>
          <w:p w:rsidRPr="00387AB6" w:rsidR="006E00D4" w:rsidP="006E00D4" w:rsidRDefault="006E00D4" w14:paraId="516C3054"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09" w:type="dxa"/>
            <w:tcBorders>
              <w:top w:val="nil"/>
              <w:left w:val="nil"/>
              <w:bottom w:val="single" w:color="auto" w:sz="4" w:space="0"/>
              <w:right w:val="double" w:color="auto" w:sz="6" w:space="0"/>
            </w:tcBorders>
            <w:shd w:val="clear" w:color="auto" w:fill="auto"/>
            <w:noWrap/>
            <w:vAlign w:val="bottom"/>
            <w:hideMark/>
          </w:tcPr>
          <w:p w:rsidRPr="00387AB6" w:rsidR="006E00D4" w:rsidP="006E00D4" w:rsidRDefault="006E00D4" w14:paraId="3E86D6EA"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81" w:type="dxa"/>
            <w:tcBorders>
              <w:top w:val="nil"/>
              <w:left w:val="nil"/>
              <w:bottom w:val="single" w:color="auto" w:sz="4" w:space="0"/>
              <w:right w:val="single" w:color="auto" w:sz="4" w:space="0"/>
            </w:tcBorders>
            <w:shd w:val="clear" w:color="auto" w:fill="auto"/>
            <w:noWrap/>
            <w:vAlign w:val="bottom"/>
            <w:hideMark/>
          </w:tcPr>
          <w:p w:rsidRPr="00387AB6" w:rsidR="006E00D4" w:rsidP="006E00D4" w:rsidRDefault="006E00D4" w14:paraId="55EFA506"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09" w:type="dxa"/>
            <w:tcBorders>
              <w:top w:val="nil"/>
              <w:left w:val="nil"/>
              <w:bottom w:val="single" w:color="auto" w:sz="4" w:space="0"/>
              <w:right w:val="single" w:color="auto" w:sz="4" w:space="0"/>
            </w:tcBorders>
            <w:shd w:val="clear" w:color="auto" w:fill="auto"/>
            <w:noWrap/>
            <w:vAlign w:val="bottom"/>
            <w:hideMark/>
          </w:tcPr>
          <w:p w:rsidRPr="00387AB6" w:rsidR="006E00D4" w:rsidP="006E00D4" w:rsidRDefault="006E00D4" w14:paraId="659AC519"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r>
      <w:tr w:rsidRPr="00387AB6" w:rsidR="006E00D4" w:rsidTr="006E00D4" w14:paraId="2DC42BE6" w14:textId="77777777">
        <w:trPr>
          <w:trHeight w:val="339"/>
        </w:trPr>
        <w:tc>
          <w:tcPr>
            <w:tcW w:w="4124" w:type="dxa"/>
            <w:tcBorders>
              <w:top w:val="nil"/>
              <w:left w:val="single" w:color="auto" w:sz="4" w:space="0"/>
              <w:bottom w:val="single" w:color="auto" w:sz="4" w:space="0"/>
              <w:right w:val="nil"/>
            </w:tcBorders>
            <w:shd w:val="clear" w:color="auto" w:fill="auto"/>
            <w:noWrap/>
            <w:vAlign w:val="bottom"/>
            <w:hideMark/>
          </w:tcPr>
          <w:p w:rsidRPr="00387AB6" w:rsidR="006E00D4" w:rsidP="006E00D4" w:rsidRDefault="006E00D4" w14:paraId="6E6C157F"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TOU Prime</w:t>
            </w:r>
          </w:p>
        </w:tc>
        <w:tc>
          <w:tcPr>
            <w:tcW w:w="1728" w:type="dxa"/>
            <w:tcBorders>
              <w:top w:val="nil"/>
              <w:left w:val="single" w:color="auto" w:sz="8" w:space="0"/>
              <w:bottom w:val="single" w:color="auto" w:sz="4" w:space="0"/>
              <w:right w:val="single" w:color="auto" w:sz="4" w:space="0"/>
            </w:tcBorders>
            <w:shd w:val="clear" w:color="auto" w:fill="auto"/>
            <w:noWrap/>
            <w:vAlign w:val="bottom"/>
            <w:hideMark/>
          </w:tcPr>
          <w:p w:rsidRPr="00387AB6" w:rsidR="006E00D4" w:rsidP="006E00D4" w:rsidRDefault="006E00D4" w14:paraId="43818F1D"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09" w:type="dxa"/>
            <w:tcBorders>
              <w:top w:val="nil"/>
              <w:left w:val="nil"/>
              <w:bottom w:val="single" w:color="auto" w:sz="4" w:space="0"/>
              <w:right w:val="double" w:color="auto" w:sz="6" w:space="0"/>
            </w:tcBorders>
            <w:shd w:val="clear" w:color="auto" w:fill="auto"/>
            <w:noWrap/>
            <w:vAlign w:val="bottom"/>
            <w:hideMark/>
          </w:tcPr>
          <w:p w:rsidRPr="00387AB6" w:rsidR="006E00D4" w:rsidP="006E00D4" w:rsidRDefault="006E00D4" w14:paraId="5C5C2D9D"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81" w:type="dxa"/>
            <w:tcBorders>
              <w:top w:val="nil"/>
              <w:left w:val="nil"/>
              <w:bottom w:val="single" w:color="auto" w:sz="4" w:space="0"/>
              <w:right w:val="nil"/>
            </w:tcBorders>
            <w:shd w:val="clear" w:color="auto" w:fill="auto"/>
            <w:noWrap/>
            <w:vAlign w:val="bottom"/>
            <w:hideMark/>
          </w:tcPr>
          <w:p w:rsidRPr="00387AB6" w:rsidR="006E00D4" w:rsidP="006E00D4" w:rsidRDefault="006E00D4" w14:paraId="574ED752"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09" w:type="dxa"/>
            <w:tcBorders>
              <w:top w:val="nil"/>
              <w:left w:val="nil"/>
              <w:bottom w:val="single" w:color="auto" w:sz="4" w:space="0"/>
              <w:right w:val="nil"/>
            </w:tcBorders>
            <w:shd w:val="clear" w:color="auto" w:fill="auto"/>
            <w:noWrap/>
            <w:vAlign w:val="bottom"/>
            <w:hideMark/>
          </w:tcPr>
          <w:p w:rsidRPr="00387AB6" w:rsidR="006E00D4" w:rsidP="006E00D4" w:rsidRDefault="006E00D4" w14:paraId="06A7453A"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81" w:type="dxa"/>
            <w:tcBorders>
              <w:top w:val="nil"/>
              <w:left w:val="double" w:color="auto" w:sz="6" w:space="0"/>
              <w:bottom w:val="single" w:color="auto" w:sz="4" w:space="0"/>
              <w:right w:val="single" w:color="auto" w:sz="4" w:space="0"/>
            </w:tcBorders>
            <w:shd w:val="clear" w:color="auto" w:fill="auto"/>
            <w:noWrap/>
            <w:vAlign w:val="bottom"/>
            <w:hideMark/>
          </w:tcPr>
          <w:p w:rsidRPr="00387AB6" w:rsidR="006E00D4" w:rsidP="006E00D4" w:rsidRDefault="006E00D4" w14:paraId="5A176CC7"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09" w:type="dxa"/>
            <w:tcBorders>
              <w:top w:val="nil"/>
              <w:left w:val="nil"/>
              <w:bottom w:val="single" w:color="auto" w:sz="4" w:space="0"/>
              <w:right w:val="double" w:color="auto" w:sz="6" w:space="0"/>
            </w:tcBorders>
            <w:shd w:val="clear" w:color="auto" w:fill="auto"/>
            <w:noWrap/>
            <w:vAlign w:val="bottom"/>
            <w:hideMark/>
          </w:tcPr>
          <w:p w:rsidRPr="00387AB6" w:rsidR="006E00D4" w:rsidP="006E00D4" w:rsidRDefault="006E00D4" w14:paraId="4FB4FCA9"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81" w:type="dxa"/>
            <w:tcBorders>
              <w:top w:val="nil"/>
              <w:left w:val="nil"/>
              <w:bottom w:val="single" w:color="auto" w:sz="4" w:space="0"/>
              <w:right w:val="single" w:color="auto" w:sz="4" w:space="0"/>
            </w:tcBorders>
            <w:shd w:val="clear" w:color="auto" w:fill="auto"/>
            <w:noWrap/>
            <w:vAlign w:val="bottom"/>
            <w:hideMark/>
          </w:tcPr>
          <w:p w:rsidRPr="00387AB6" w:rsidR="006E00D4" w:rsidP="006E00D4" w:rsidRDefault="006E00D4" w14:paraId="6D4DCE96"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09" w:type="dxa"/>
            <w:tcBorders>
              <w:top w:val="nil"/>
              <w:left w:val="nil"/>
              <w:bottom w:val="single" w:color="auto" w:sz="4" w:space="0"/>
              <w:right w:val="single" w:color="auto" w:sz="4" w:space="0"/>
            </w:tcBorders>
            <w:shd w:val="clear" w:color="auto" w:fill="auto"/>
            <w:noWrap/>
            <w:vAlign w:val="bottom"/>
            <w:hideMark/>
          </w:tcPr>
          <w:p w:rsidRPr="00387AB6" w:rsidR="006E00D4" w:rsidP="006E00D4" w:rsidRDefault="006E00D4" w14:paraId="5CFB3F9C"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r>
      <w:tr w:rsidRPr="00387AB6" w:rsidR="006E00D4" w:rsidTr="006E00D4" w14:paraId="5B617FBF" w14:textId="77777777">
        <w:trPr>
          <w:trHeight w:val="339"/>
        </w:trPr>
        <w:tc>
          <w:tcPr>
            <w:tcW w:w="4124" w:type="dxa"/>
            <w:tcBorders>
              <w:top w:val="nil"/>
              <w:left w:val="single" w:color="auto" w:sz="4" w:space="0"/>
              <w:bottom w:val="single" w:color="auto" w:sz="4" w:space="0"/>
              <w:right w:val="nil"/>
            </w:tcBorders>
            <w:shd w:val="clear" w:color="auto" w:fill="auto"/>
            <w:noWrap/>
            <w:vAlign w:val="bottom"/>
            <w:hideMark/>
          </w:tcPr>
          <w:p w:rsidRPr="00387AB6" w:rsidR="006E00D4" w:rsidP="006E00D4" w:rsidRDefault="006E00D4" w14:paraId="59D4E36E"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[Add Rows as needed]</w:t>
            </w:r>
          </w:p>
        </w:tc>
        <w:tc>
          <w:tcPr>
            <w:tcW w:w="1728" w:type="dxa"/>
            <w:tcBorders>
              <w:top w:val="nil"/>
              <w:left w:val="single" w:color="auto" w:sz="8" w:space="0"/>
              <w:bottom w:val="single" w:color="auto" w:sz="4" w:space="0"/>
              <w:right w:val="single" w:color="auto" w:sz="4" w:space="0"/>
            </w:tcBorders>
            <w:shd w:val="clear" w:color="auto" w:fill="auto"/>
            <w:noWrap/>
            <w:vAlign w:val="bottom"/>
            <w:hideMark/>
          </w:tcPr>
          <w:p w:rsidRPr="00387AB6" w:rsidR="006E00D4" w:rsidP="006E00D4" w:rsidRDefault="006E00D4" w14:paraId="5725DABC"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09" w:type="dxa"/>
            <w:tcBorders>
              <w:top w:val="nil"/>
              <w:left w:val="nil"/>
              <w:bottom w:val="single" w:color="auto" w:sz="4" w:space="0"/>
              <w:right w:val="double" w:color="auto" w:sz="6" w:space="0"/>
            </w:tcBorders>
            <w:shd w:val="clear" w:color="auto" w:fill="auto"/>
            <w:noWrap/>
            <w:vAlign w:val="bottom"/>
            <w:hideMark/>
          </w:tcPr>
          <w:p w:rsidRPr="00387AB6" w:rsidR="006E00D4" w:rsidP="006E00D4" w:rsidRDefault="006E00D4" w14:paraId="62454E17"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81" w:type="dxa"/>
            <w:tcBorders>
              <w:top w:val="nil"/>
              <w:left w:val="nil"/>
              <w:bottom w:val="single" w:color="auto" w:sz="4" w:space="0"/>
              <w:right w:val="nil"/>
            </w:tcBorders>
            <w:shd w:val="clear" w:color="auto" w:fill="auto"/>
            <w:noWrap/>
            <w:vAlign w:val="bottom"/>
            <w:hideMark/>
          </w:tcPr>
          <w:p w:rsidRPr="00387AB6" w:rsidR="006E00D4" w:rsidP="006E00D4" w:rsidRDefault="006E00D4" w14:paraId="17D1A27F"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09" w:type="dxa"/>
            <w:tcBorders>
              <w:top w:val="nil"/>
              <w:left w:val="nil"/>
              <w:bottom w:val="single" w:color="auto" w:sz="4" w:space="0"/>
              <w:right w:val="nil"/>
            </w:tcBorders>
            <w:shd w:val="clear" w:color="auto" w:fill="auto"/>
            <w:noWrap/>
            <w:vAlign w:val="bottom"/>
            <w:hideMark/>
          </w:tcPr>
          <w:p w:rsidRPr="00387AB6" w:rsidR="006E00D4" w:rsidP="006E00D4" w:rsidRDefault="006E00D4" w14:paraId="6053A951"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81" w:type="dxa"/>
            <w:tcBorders>
              <w:top w:val="nil"/>
              <w:left w:val="double" w:color="auto" w:sz="6" w:space="0"/>
              <w:bottom w:val="single" w:color="auto" w:sz="4" w:space="0"/>
              <w:right w:val="single" w:color="auto" w:sz="4" w:space="0"/>
            </w:tcBorders>
            <w:shd w:val="clear" w:color="auto" w:fill="auto"/>
            <w:noWrap/>
            <w:vAlign w:val="bottom"/>
            <w:hideMark/>
          </w:tcPr>
          <w:p w:rsidRPr="00387AB6" w:rsidR="006E00D4" w:rsidP="006E00D4" w:rsidRDefault="006E00D4" w14:paraId="049377B3"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09" w:type="dxa"/>
            <w:tcBorders>
              <w:top w:val="nil"/>
              <w:left w:val="nil"/>
              <w:bottom w:val="single" w:color="auto" w:sz="4" w:space="0"/>
              <w:right w:val="double" w:color="auto" w:sz="6" w:space="0"/>
            </w:tcBorders>
            <w:shd w:val="clear" w:color="auto" w:fill="auto"/>
            <w:noWrap/>
            <w:vAlign w:val="bottom"/>
            <w:hideMark/>
          </w:tcPr>
          <w:p w:rsidRPr="00387AB6" w:rsidR="006E00D4" w:rsidP="006E00D4" w:rsidRDefault="006E00D4" w14:paraId="2863B764"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81" w:type="dxa"/>
            <w:tcBorders>
              <w:top w:val="nil"/>
              <w:left w:val="nil"/>
              <w:bottom w:val="single" w:color="auto" w:sz="4" w:space="0"/>
              <w:right w:val="single" w:color="auto" w:sz="4" w:space="0"/>
            </w:tcBorders>
            <w:shd w:val="clear" w:color="auto" w:fill="auto"/>
            <w:noWrap/>
            <w:vAlign w:val="bottom"/>
            <w:hideMark/>
          </w:tcPr>
          <w:p w:rsidRPr="00387AB6" w:rsidR="006E00D4" w:rsidP="006E00D4" w:rsidRDefault="006E00D4" w14:paraId="147F34FF"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09" w:type="dxa"/>
            <w:tcBorders>
              <w:top w:val="nil"/>
              <w:left w:val="nil"/>
              <w:bottom w:val="single" w:color="auto" w:sz="4" w:space="0"/>
              <w:right w:val="single" w:color="auto" w:sz="4" w:space="0"/>
            </w:tcBorders>
            <w:shd w:val="clear" w:color="auto" w:fill="auto"/>
            <w:noWrap/>
            <w:vAlign w:val="bottom"/>
            <w:hideMark/>
          </w:tcPr>
          <w:p w:rsidRPr="00387AB6" w:rsidR="006E00D4" w:rsidP="006E00D4" w:rsidRDefault="006E00D4" w14:paraId="6F20E0EB"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r>
      <w:tr w:rsidRPr="00387AB6" w:rsidR="006E00D4" w:rsidTr="00387AB6" w14:paraId="00E63BA8" w14:textId="77777777">
        <w:trPr>
          <w:trHeight w:val="339"/>
        </w:trPr>
        <w:tc>
          <w:tcPr>
            <w:tcW w:w="4124" w:type="dxa"/>
            <w:tcBorders>
              <w:top w:val="nil"/>
              <w:left w:val="single" w:color="auto" w:sz="4" w:space="0"/>
              <w:bottom w:val="single" w:color="auto" w:sz="4" w:space="0"/>
              <w:right w:val="nil"/>
            </w:tcBorders>
            <w:shd w:val="clear" w:color="000000" w:fill="BFBFBF"/>
            <w:noWrap/>
            <w:vAlign w:val="bottom"/>
            <w:hideMark/>
          </w:tcPr>
          <w:p w:rsidRPr="00387AB6" w:rsidR="006E00D4" w:rsidP="006E00D4" w:rsidRDefault="006E00D4" w14:paraId="466E9D46"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Solar PV Customers</w:t>
            </w:r>
          </w:p>
        </w:tc>
        <w:tc>
          <w:tcPr>
            <w:tcW w:w="1728" w:type="dxa"/>
            <w:tcBorders>
              <w:top w:val="nil"/>
              <w:left w:val="nil"/>
              <w:bottom w:val="single" w:color="auto" w:sz="4" w:space="0"/>
              <w:right w:val="nil"/>
            </w:tcBorders>
            <w:shd w:val="clear" w:color="000000" w:fill="BFBFBF"/>
            <w:noWrap/>
            <w:vAlign w:val="bottom"/>
            <w:hideMark/>
          </w:tcPr>
          <w:p w:rsidRPr="00387AB6" w:rsidR="006E00D4" w:rsidP="006E00D4" w:rsidRDefault="006E00D4" w14:paraId="1C946CEF"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 </w:t>
            </w:r>
          </w:p>
        </w:tc>
        <w:tc>
          <w:tcPr>
            <w:tcW w:w="1609" w:type="dxa"/>
            <w:tcBorders>
              <w:top w:val="nil"/>
              <w:left w:val="nil"/>
              <w:bottom w:val="single" w:color="auto" w:sz="4" w:space="0"/>
              <w:right w:val="nil"/>
            </w:tcBorders>
            <w:shd w:val="clear" w:color="000000" w:fill="BFBFBF"/>
            <w:noWrap/>
            <w:vAlign w:val="bottom"/>
            <w:hideMark/>
          </w:tcPr>
          <w:p w:rsidRPr="00387AB6" w:rsidR="006E00D4" w:rsidP="006E00D4" w:rsidRDefault="006E00D4" w14:paraId="0523D2E3"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 </w:t>
            </w:r>
          </w:p>
        </w:tc>
        <w:tc>
          <w:tcPr>
            <w:tcW w:w="1681" w:type="dxa"/>
            <w:tcBorders>
              <w:top w:val="nil"/>
              <w:left w:val="nil"/>
              <w:bottom w:val="single" w:color="auto" w:sz="4" w:space="0"/>
              <w:right w:val="nil"/>
            </w:tcBorders>
            <w:shd w:val="clear" w:color="000000" w:fill="BFBFBF"/>
            <w:noWrap/>
            <w:vAlign w:val="bottom"/>
            <w:hideMark/>
          </w:tcPr>
          <w:p w:rsidRPr="00387AB6" w:rsidR="006E00D4" w:rsidP="006E00D4" w:rsidRDefault="006E00D4" w14:paraId="4A5DFB92"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 </w:t>
            </w:r>
          </w:p>
        </w:tc>
        <w:tc>
          <w:tcPr>
            <w:tcW w:w="1609" w:type="dxa"/>
            <w:tcBorders>
              <w:top w:val="nil"/>
              <w:left w:val="nil"/>
              <w:bottom w:val="single" w:color="auto" w:sz="4" w:space="0"/>
              <w:right w:val="nil"/>
            </w:tcBorders>
            <w:shd w:val="clear" w:color="000000" w:fill="BFBFBF"/>
            <w:noWrap/>
            <w:vAlign w:val="bottom"/>
            <w:hideMark/>
          </w:tcPr>
          <w:p w:rsidRPr="00387AB6" w:rsidR="006E00D4" w:rsidP="006E00D4" w:rsidRDefault="006E00D4" w14:paraId="1288F738"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 </w:t>
            </w:r>
          </w:p>
        </w:tc>
        <w:tc>
          <w:tcPr>
            <w:tcW w:w="1681" w:type="dxa"/>
            <w:tcBorders>
              <w:top w:val="nil"/>
              <w:left w:val="nil"/>
              <w:bottom w:val="single" w:color="auto" w:sz="4" w:space="0"/>
              <w:right w:val="nil"/>
            </w:tcBorders>
            <w:shd w:val="clear" w:color="000000" w:fill="BFBFBF"/>
            <w:noWrap/>
            <w:vAlign w:val="bottom"/>
            <w:hideMark/>
          </w:tcPr>
          <w:p w:rsidRPr="00387AB6" w:rsidR="006E00D4" w:rsidP="006E00D4" w:rsidRDefault="006E00D4" w14:paraId="2B80D764"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 </w:t>
            </w:r>
          </w:p>
        </w:tc>
        <w:tc>
          <w:tcPr>
            <w:tcW w:w="1609" w:type="dxa"/>
            <w:tcBorders>
              <w:top w:val="nil"/>
              <w:left w:val="nil"/>
              <w:bottom w:val="single" w:color="auto" w:sz="4" w:space="0"/>
              <w:right w:val="nil"/>
            </w:tcBorders>
            <w:shd w:val="clear" w:color="000000" w:fill="BFBFBF"/>
            <w:noWrap/>
            <w:vAlign w:val="bottom"/>
            <w:hideMark/>
          </w:tcPr>
          <w:p w:rsidRPr="00387AB6" w:rsidR="006E00D4" w:rsidP="006E00D4" w:rsidRDefault="006E00D4" w14:paraId="08D3EC13"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 </w:t>
            </w:r>
          </w:p>
        </w:tc>
        <w:tc>
          <w:tcPr>
            <w:tcW w:w="1681" w:type="dxa"/>
            <w:tcBorders>
              <w:top w:val="nil"/>
              <w:left w:val="nil"/>
              <w:bottom w:val="single" w:color="auto" w:sz="4" w:space="0"/>
              <w:right w:val="nil"/>
            </w:tcBorders>
            <w:shd w:val="clear" w:color="000000" w:fill="BFBFBF"/>
            <w:noWrap/>
            <w:vAlign w:val="bottom"/>
            <w:hideMark/>
          </w:tcPr>
          <w:p w:rsidRPr="00387AB6" w:rsidR="006E00D4" w:rsidP="006E00D4" w:rsidRDefault="006E00D4" w14:paraId="45145916"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 </w:t>
            </w:r>
          </w:p>
        </w:tc>
        <w:tc>
          <w:tcPr>
            <w:tcW w:w="1609" w:type="dxa"/>
            <w:tcBorders>
              <w:top w:val="nil"/>
              <w:left w:val="nil"/>
              <w:bottom w:val="single" w:color="auto" w:sz="4" w:space="0"/>
              <w:right w:val="single" w:color="auto" w:sz="4" w:space="0"/>
            </w:tcBorders>
            <w:shd w:val="clear" w:color="000000" w:fill="BFBFBF"/>
            <w:noWrap/>
            <w:vAlign w:val="bottom"/>
            <w:hideMark/>
          </w:tcPr>
          <w:p w:rsidRPr="00387AB6" w:rsidR="006E00D4" w:rsidP="006E00D4" w:rsidRDefault="006E00D4" w14:paraId="38AA8612"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 </w:t>
            </w:r>
          </w:p>
        </w:tc>
      </w:tr>
      <w:tr w:rsidRPr="00387AB6" w:rsidR="006E00D4" w:rsidTr="00387AB6" w14:paraId="1D5DC4F0" w14:textId="77777777">
        <w:trPr>
          <w:trHeight w:val="678"/>
        </w:trPr>
        <w:tc>
          <w:tcPr>
            <w:tcW w:w="4124"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387AB6" w:rsidR="006E00D4" w:rsidP="006E00D4" w:rsidRDefault="006E00D4" w14:paraId="1B8B4AB7"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Customers with Onsite Solar Generation</w:t>
            </w:r>
          </w:p>
        </w:tc>
        <w:tc>
          <w:tcPr>
            <w:tcW w:w="1728" w:type="dxa"/>
            <w:tcBorders>
              <w:top w:val="nil"/>
              <w:left w:val="single" w:color="auto" w:sz="4" w:space="0"/>
              <w:bottom w:val="single" w:color="auto" w:sz="4" w:space="0"/>
              <w:right w:val="single" w:color="auto" w:sz="4" w:space="0"/>
            </w:tcBorders>
            <w:shd w:val="clear" w:color="auto" w:fill="auto"/>
            <w:noWrap/>
            <w:vAlign w:val="bottom"/>
            <w:hideMark/>
          </w:tcPr>
          <w:p w:rsidRPr="00387AB6" w:rsidR="006E00D4" w:rsidP="006E00D4" w:rsidRDefault="006E00D4" w14:paraId="49BE082D"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09" w:type="dxa"/>
            <w:tcBorders>
              <w:top w:val="nil"/>
              <w:left w:val="nil"/>
              <w:bottom w:val="single" w:color="auto" w:sz="4" w:space="0"/>
              <w:right w:val="double" w:color="auto" w:sz="6" w:space="0"/>
            </w:tcBorders>
            <w:shd w:val="clear" w:color="auto" w:fill="auto"/>
            <w:noWrap/>
            <w:vAlign w:val="bottom"/>
            <w:hideMark/>
          </w:tcPr>
          <w:p w:rsidRPr="00387AB6" w:rsidR="006E00D4" w:rsidP="006E00D4" w:rsidRDefault="006E00D4" w14:paraId="1A4C8672"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81" w:type="dxa"/>
            <w:tcBorders>
              <w:top w:val="nil"/>
              <w:left w:val="nil"/>
              <w:bottom w:val="single" w:color="auto" w:sz="4" w:space="0"/>
              <w:right w:val="nil"/>
            </w:tcBorders>
            <w:shd w:val="clear" w:color="auto" w:fill="auto"/>
            <w:noWrap/>
            <w:vAlign w:val="bottom"/>
            <w:hideMark/>
          </w:tcPr>
          <w:p w:rsidRPr="00387AB6" w:rsidR="006E00D4" w:rsidP="006E00D4" w:rsidRDefault="006E00D4" w14:paraId="04CE885A"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09" w:type="dxa"/>
            <w:tcBorders>
              <w:top w:val="nil"/>
              <w:left w:val="nil"/>
              <w:bottom w:val="single" w:color="auto" w:sz="4" w:space="0"/>
              <w:right w:val="nil"/>
            </w:tcBorders>
            <w:shd w:val="clear" w:color="auto" w:fill="auto"/>
            <w:noWrap/>
            <w:vAlign w:val="bottom"/>
            <w:hideMark/>
          </w:tcPr>
          <w:p w:rsidRPr="00387AB6" w:rsidR="006E00D4" w:rsidP="006E00D4" w:rsidRDefault="006E00D4" w14:paraId="02519C5F"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81" w:type="dxa"/>
            <w:tcBorders>
              <w:top w:val="nil"/>
              <w:left w:val="double" w:color="auto" w:sz="6" w:space="0"/>
              <w:bottom w:val="single" w:color="auto" w:sz="4" w:space="0"/>
              <w:right w:val="single" w:color="auto" w:sz="4" w:space="0"/>
            </w:tcBorders>
            <w:shd w:val="clear" w:color="auto" w:fill="auto"/>
            <w:noWrap/>
            <w:vAlign w:val="bottom"/>
            <w:hideMark/>
          </w:tcPr>
          <w:p w:rsidRPr="00387AB6" w:rsidR="006E00D4" w:rsidP="006E00D4" w:rsidRDefault="006E00D4" w14:paraId="0FE89A6B"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09" w:type="dxa"/>
            <w:tcBorders>
              <w:top w:val="nil"/>
              <w:left w:val="nil"/>
              <w:bottom w:val="single" w:color="auto" w:sz="4" w:space="0"/>
              <w:right w:val="double" w:color="auto" w:sz="6" w:space="0"/>
            </w:tcBorders>
            <w:shd w:val="clear" w:color="auto" w:fill="auto"/>
            <w:noWrap/>
            <w:vAlign w:val="bottom"/>
            <w:hideMark/>
          </w:tcPr>
          <w:p w:rsidRPr="00387AB6" w:rsidR="006E00D4" w:rsidP="006E00D4" w:rsidRDefault="006E00D4" w14:paraId="6978AD4C"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81" w:type="dxa"/>
            <w:tcBorders>
              <w:top w:val="nil"/>
              <w:left w:val="nil"/>
              <w:bottom w:val="single" w:color="auto" w:sz="4" w:space="0"/>
              <w:right w:val="single" w:color="auto" w:sz="4" w:space="0"/>
            </w:tcBorders>
            <w:shd w:val="clear" w:color="auto" w:fill="auto"/>
            <w:noWrap/>
            <w:vAlign w:val="bottom"/>
            <w:hideMark/>
          </w:tcPr>
          <w:p w:rsidRPr="00387AB6" w:rsidR="006E00D4" w:rsidP="006E00D4" w:rsidRDefault="006E00D4" w14:paraId="559D36D1"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09" w:type="dxa"/>
            <w:tcBorders>
              <w:top w:val="nil"/>
              <w:left w:val="nil"/>
              <w:bottom w:val="single" w:color="auto" w:sz="4" w:space="0"/>
              <w:right w:val="single" w:color="auto" w:sz="4" w:space="0"/>
            </w:tcBorders>
            <w:shd w:val="clear" w:color="auto" w:fill="auto"/>
            <w:noWrap/>
            <w:vAlign w:val="bottom"/>
            <w:hideMark/>
          </w:tcPr>
          <w:p w:rsidRPr="00387AB6" w:rsidR="006E00D4" w:rsidP="006E00D4" w:rsidRDefault="006E00D4" w14:paraId="0B4CD395"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r>
      <w:tr w:rsidRPr="00387AB6" w:rsidR="006E00D4" w:rsidTr="00387AB6" w14:paraId="6F9AA53D" w14:textId="77777777">
        <w:trPr>
          <w:trHeight w:val="678"/>
        </w:trPr>
        <w:tc>
          <w:tcPr>
            <w:tcW w:w="4124"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387AB6" w:rsidR="006E00D4" w:rsidP="006E00D4" w:rsidRDefault="006E00D4" w14:paraId="3158DB71"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Customers with Onsite Solar +Battery storage</w:t>
            </w:r>
          </w:p>
        </w:tc>
        <w:tc>
          <w:tcPr>
            <w:tcW w:w="1728" w:type="dxa"/>
            <w:tcBorders>
              <w:top w:val="nil"/>
              <w:left w:val="single" w:color="auto" w:sz="4" w:space="0"/>
              <w:bottom w:val="nil"/>
              <w:right w:val="single" w:color="auto" w:sz="4" w:space="0"/>
            </w:tcBorders>
            <w:shd w:val="clear" w:color="auto" w:fill="auto"/>
            <w:noWrap/>
            <w:vAlign w:val="bottom"/>
            <w:hideMark/>
          </w:tcPr>
          <w:p w:rsidRPr="00387AB6" w:rsidR="006E00D4" w:rsidP="006E00D4" w:rsidRDefault="006E00D4" w14:paraId="38E756FE"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09" w:type="dxa"/>
            <w:tcBorders>
              <w:top w:val="nil"/>
              <w:left w:val="nil"/>
              <w:bottom w:val="nil"/>
              <w:right w:val="double" w:color="auto" w:sz="6" w:space="0"/>
            </w:tcBorders>
            <w:shd w:val="clear" w:color="auto" w:fill="auto"/>
            <w:noWrap/>
            <w:vAlign w:val="bottom"/>
            <w:hideMark/>
          </w:tcPr>
          <w:p w:rsidRPr="00387AB6" w:rsidR="006E00D4" w:rsidP="006E00D4" w:rsidRDefault="006E00D4" w14:paraId="1E01190E"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81" w:type="dxa"/>
            <w:tcBorders>
              <w:top w:val="nil"/>
              <w:left w:val="nil"/>
              <w:bottom w:val="nil"/>
              <w:right w:val="nil"/>
            </w:tcBorders>
            <w:shd w:val="clear" w:color="auto" w:fill="auto"/>
            <w:noWrap/>
            <w:vAlign w:val="bottom"/>
            <w:hideMark/>
          </w:tcPr>
          <w:p w:rsidRPr="00387AB6" w:rsidR="006E00D4" w:rsidP="006E00D4" w:rsidRDefault="006E00D4" w14:paraId="2B2AEC34" w14:textId="77777777">
            <w:pPr>
              <w:rPr>
                <w:rFonts w:ascii="Palatino Linotype" w:hAnsi="Palatino Linotype" w:cs="Calibri"/>
                <w:color w:val="000000"/>
                <w:sz w:val="24"/>
                <w:szCs w:val="24"/>
              </w:rPr>
            </w:pPr>
          </w:p>
        </w:tc>
        <w:tc>
          <w:tcPr>
            <w:tcW w:w="1609" w:type="dxa"/>
            <w:tcBorders>
              <w:top w:val="nil"/>
              <w:left w:val="nil"/>
              <w:bottom w:val="nil"/>
              <w:right w:val="nil"/>
            </w:tcBorders>
            <w:shd w:val="clear" w:color="auto" w:fill="auto"/>
            <w:noWrap/>
            <w:vAlign w:val="bottom"/>
            <w:hideMark/>
          </w:tcPr>
          <w:p w:rsidRPr="00387AB6" w:rsidR="006E00D4" w:rsidP="006E00D4" w:rsidRDefault="006E00D4" w14:paraId="28B4509F" w14:textId="77777777">
            <w:pPr>
              <w:rPr>
                <w:rFonts w:ascii="Palatino Linotype" w:hAnsi="Palatino Linotype"/>
                <w:sz w:val="24"/>
                <w:szCs w:val="24"/>
              </w:rPr>
            </w:pPr>
          </w:p>
        </w:tc>
        <w:tc>
          <w:tcPr>
            <w:tcW w:w="1681" w:type="dxa"/>
            <w:tcBorders>
              <w:top w:val="nil"/>
              <w:left w:val="double" w:color="auto" w:sz="6" w:space="0"/>
              <w:bottom w:val="nil"/>
              <w:right w:val="single" w:color="auto" w:sz="4" w:space="0"/>
            </w:tcBorders>
            <w:shd w:val="clear" w:color="auto" w:fill="auto"/>
            <w:noWrap/>
            <w:vAlign w:val="bottom"/>
            <w:hideMark/>
          </w:tcPr>
          <w:p w:rsidRPr="00387AB6" w:rsidR="006E00D4" w:rsidP="006E00D4" w:rsidRDefault="006E00D4" w14:paraId="2885B36A"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09" w:type="dxa"/>
            <w:tcBorders>
              <w:top w:val="nil"/>
              <w:left w:val="nil"/>
              <w:bottom w:val="nil"/>
              <w:right w:val="double" w:color="auto" w:sz="6" w:space="0"/>
            </w:tcBorders>
            <w:shd w:val="clear" w:color="auto" w:fill="auto"/>
            <w:noWrap/>
            <w:vAlign w:val="bottom"/>
            <w:hideMark/>
          </w:tcPr>
          <w:p w:rsidRPr="00387AB6" w:rsidR="006E00D4" w:rsidP="006E00D4" w:rsidRDefault="006E00D4" w14:paraId="2C40A035"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81" w:type="dxa"/>
            <w:tcBorders>
              <w:top w:val="nil"/>
              <w:left w:val="nil"/>
              <w:bottom w:val="nil"/>
              <w:right w:val="single" w:color="auto" w:sz="4" w:space="0"/>
            </w:tcBorders>
            <w:shd w:val="clear" w:color="auto" w:fill="auto"/>
            <w:noWrap/>
            <w:vAlign w:val="bottom"/>
            <w:hideMark/>
          </w:tcPr>
          <w:p w:rsidRPr="00387AB6" w:rsidR="006E00D4" w:rsidP="006E00D4" w:rsidRDefault="006E00D4" w14:paraId="464EDBA8"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09" w:type="dxa"/>
            <w:tcBorders>
              <w:top w:val="nil"/>
              <w:left w:val="nil"/>
              <w:bottom w:val="nil"/>
              <w:right w:val="single" w:color="auto" w:sz="4" w:space="0"/>
            </w:tcBorders>
            <w:shd w:val="clear" w:color="auto" w:fill="auto"/>
            <w:noWrap/>
            <w:vAlign w:val="bottom"/>
            <w:hideMark/>
          </w:tcPr>
          <w:p w:rsidRPr="00387AB6" w:rsidR="006E00D4" w:rsidP="006E00D4" w:rsidRDefault="006E00D4" w14:paraId="5A4DA408"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r>
      <w:tr w:rsidRPr="00387AB6" w:rsidR="006E00D4" w:rsidTr="00387AB6" w14:paraId="481B7E58" w14:textId="77777777">
        <w:trPr>
          <w:trHeight w:val="678"/>
        </w:trPr>
        <w:tc>
          <w:tcPr>
            <w:tcW w:w="4124"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387AB6" w:rsidR="006E00D4" w:rsidP="006E00D4" w:rsidRDefault="006E00D4" w14:paraId="1AC2094D"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ESA program participants (last 7 years)</w:t>
            </w:r>
          </w:p>
        </w:tc>
        <w:tc>
          <w:tcPr>
            <w:tcW w:w="1728" w:type="dxa"/>
            <w:tcBorders>
              <w:top w:val="single" w:color="auto" w:sz="4" w:space="0"/>
              <w:left w:val="single" w:color="auto" w:sz="4" w:space="0"/>
              <w:bottom w:val="nil"/>
              <w:right w:val="single" w:color="auto" w:sz="4" w:space="0"/>
            </w:tcBorders>
            <w:shd w:val="clear" w:color="auto" w:fill="auto"/>
            <w:noWrap/>
            <w:vAlign w:val="bottom"/>
            <w:hideMark/>
          </w:tcPr>
          <w:p w:rsidRPr="00387AB6" w:rsidR="006E00D4" w:rsidP="006E00D4" w:rsidRDefault="006E00D4" w14:paraId="20EB976E"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09" w:type="dxa"/>
            <w:tcBorders>
              <w:top w:val="single" w:color="auto" w:sz="4" w:space="0"/>
              <w:left w:val="nil"/>
              <w:bottom w:val="nil"/>
              <w:right w:val="double" w:color="auto" w:sz="6" w:space="0"/>
            </w:tcBorders>
            <w:shd w:val="clear" w:color="auto" w:fill="auto"/>
            <w:noWrap/>
            <w:vAlign w:val="bottom"/>
            <w:hideMark/>
          </w:tcPr>
          <w:p w:rsidRPr="00387AB6" w:rsidR="006E00D4" w:rsidP="006E00D4" w:rsidRDefault="006E00D4" w14:paraId="091D233E"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81" w:type="dxa"/>
            <w:tcBorders>
              <w:top w:val="single" w:color="auto" w:sz="4" w:space="0"/>
              <w:left w:val="nil"/>
              <w:bottom w:val="nil"/>
              <w:right w:val="nil"/>
            </w:tcBorders>
            <w:shd w:val="clear" w:color="auto" w:fill="auto"/>
            <w:noWrap/>
            <w:vAlign w:val="bottom"/>
            <w:hideMark/>
          </w:tcPr>
          <w:p w:rsidRPr="00387AB6" w:rsidR="006E00D4" w:rsidP="006E00D4" w:rsidRDefault="006E00D4" w14:paraId="3DDDB18E"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09" w:type="dxa"/>
            <w:tcBorders>
              <w:top w:val="single" w:color="auto" w:sz="4" w:space="0"/>
              <w:left w:val="nil"/>
              <w:bottom w:val="nil"/>
              <w:right w:val="nil"/>
            </w:tcBorders>
            <w:shd w:val="clear" w:color="auto" w:fill="auto"/>
            <w:noWrap/>
            <w:vAlign w:val="bottom"/>
            <w:hideMark/>
          </w:tcPr>
          <w:p w:rsidRPr="00387AB6" w:rsidR="006E00D4" w:rsidP="006E00D4" w:rsidRDefault="006E00D4" w14:paraId="7CF1589E"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81" w:type="dxa"/>
            <w:tcBorders>
              <w:top w:val="single" w:color="auto" w:sz="4" w:space="0"/>
              <w:left w:val="double" w:color="auto" w:sz="6" w:space="0"/>
              <w:bottom w:val="nil"/>
              <w:right w:val="single" w:color="auto" w:sz="4" w:space="0"/>
            </w:tcBorders>
            <w:shd w:val="clear" w:color="auto" w:fill="auto"/>
            <w:noWrap/>
            <w:vAlign w:val="bottom"/>
            <w:hideMark/>
          </w:tcPr>
          <w:p w:rsidRPr="00387AB6" w:rsidR="006E00D4" w:rsidP="006E00D4" w:rsidRDefault="006E00D4" w14:paraId="51E1A2E7"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09" w:type="dxa"/>
            <w:tcBorders>
              <w:top w:val="single" w:color="auto" w:sz="4" w:space="0"/>
              <w:left w:val="nil"/>
              <w:bottom w:val="nil"/>
              <w:right w:val="double" w:color="auto" w:sz="6" w:space="0"/>
            </w:tcBorders>
            <w:shd w:val="clear" w:color="auto" w:fill="auto"/>
            <w:noWrap/>
            <w:vAlign w:val="bottom"/>
            <w:hideMark/>
          </w:tcPr>
          <w:p w:rsidRPr="00387AB6" w:rsidR="006E00D4" w:rsidP="006E00D4" w:rsidRDefault="006E00D4" w14:paraId="58335B59"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81" w:type="dxa"/>
            <w:tcBorders>
              <w:top w:val="single" w:color="auto" w:sz="4" w:space="0"/>
              <w:left w:val="nil"/>
              <w:bottom w:val="nil"/>
              <w:right w:val="single" w:color="auto" w:sz="4" w:space="0"/>
            </w:tcBorders>
            <w:shd w:val="clear" w:color="auto" w:fill="auto"/>
            <w:noWrap/>
            <w:vAlign w:val="bottom"/>
            <w:hideMark/>
          </w:tcPr>
          <w:p w:rsidRPr="00387AB6" w:rsidR="006E00D4" w:rsidP="006E00D4" w:rsidRDefault="006E00D4" w14:paraId="45444098"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09" w:type="dxa"/>
            <w:tcBorders>
              <w:top w:val="single" w:color="auto" w:sz="4" w:space="0"/>
              <w:left w:val="nil"/>
              <w:bottom w:val="nil"/>
              <w:right w:val="single" w:color="auto" w:sz="4" w:space="0"/>
            </w:tcBorders>
            <w:shd w:val="clear" w:color="auto" w:fill="auto"/>
            <w:noWrap/>
            <w:vAlign w:val="bottom"/>
            <w:hideMark/>
          </w:tcPr>
          <w:p w:rsidRPr="00387AB6" w:rsidR="006E00D4" w:rsidP="006E00D4" w:rsidRDefault="006E00D4" w14:paraId="666EEA32"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r>
      <w:tr w:rsidRPr="00387AB6" w:rsidR="006E00D4" w:rsidTr="00387AB6" w14:paraId="5229C84D" w14:textId="77777777">
        <w:trPr>
          <w:trHeight w:val="339"/>
        </w:trPr>
        <w:tc>
          <w:tcPr>
            <w:tcW w:w="4124" w:type="dxa"/>
            <w:tcBorders>
              <w:top w:val="single" w:color="auto" w:sz="4" w:space="0"/>
              <w:left w:val="single" w:color="auto" w:sz="4" w:space="0"/>
              <w:bottom w:val="single" w:color="auto" w:sz="4" w:space="0"/>
              <w:right w:val="nil"/>
            </w:tcBorders>
            <w:shd w:val="clear" w:color="000000" w:fill="BFBFBF"/>
            <w:noWrap/>
            <w:vAlign w:val="bottom"/>
            <w:hideMark/>
          </w:tcPr>
          <w:p w:rsidRPr="00387AB6" w:rsidR="006E00D4" w:rsidP="006E00D4" w:rsidRDefault="006E00D4" w14:paraId="61CACB4F"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Master-metered Customers</w:t>
            </w:r>
          </w:p>
        </w:tc>
        <w:tc>
          <w:tcPr>
            <w:tcW w:w="1728" w:type="dxa"/>
            <w:tcBorders>
              <w:top w:val="single" w:color="auto" w:sz="4" w:space="0"/>
              <w:left w:val="nil"/>
              <w:bottom w:val="single" w:color="auto" w:sz="4" w:space="0"/>
              <w:right w:val="nil"/>
            </w:tcBorders>
            <w:shd w:val="clear" w:color="000000" w:fill="BFBFBF"/>
            <w:noWrap/>
            <w:vAlign w:val="bottom"/>
            <w:hideMark/>
          </w:tcPr>
          <w:p w:rsidRPr="00387AB6" w:rsidR="006E00D4" w:rsidP="006E00D4" w:rsidRDefault="006E00D4" w14:paraId="3BE691A2"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 </w:t>
            </w:r>
          </w:p>
        </w:tc>
        <w:tc>
          <w:tcPr>
            <w:tcW w:w="1609" w:type="dxa"/>
            <w:tcBorders>
              <w:top w:val="single" w:color="auto" w:sz="4" w:space="0"/>
              <w:left w:val="nil"/>
              <w:bottom w:val="single" w:color="auto" w:sz="4" w:space="0"/>
              <w:right w:val="nil"/>
            </w:tcBorders>
            <w:shd w:val="clear" w:color="000000" w:fill="BFBFBF"/>
            <w:noWrap/>
            <w:vAlign w:val="bottom"/>
            <w:hideMark/>
          </w:tcPr>
          <w:p w:rsidRPr="00387AB6" w:rsidR="006E00D4" w:rsidP="006E00D4" w:rsidRDefault="006E00D4" w14:paraId="176DB7F7"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 </w:t>
            </w:r>
          </w:p>
        </w:tc>
        <w:tc>
          <w:tcPr>
            <w:tcW w:w="1681" w:type="dxa"/>
            <w:tcBorders>
              <w:top w:val="single" w:color="auto" w:sz="4" w:space="0"/>
              <w:left w:val="nil"/>
              <w:bottom w:val="single" w:color="auto" w:sz="4" w:space="0"/>
              <w:right w:val="nil"/>
            </w:tcBorders>
            <w:shd w:val="clear" w:color="000000" w:fill="BFBFBF"/>
            <w:noWrap/>
            <w:vAlign w:val="bottom"/>
            <w:hideMark/>
          </w:tcPr>
          <w:p w:rsidRPr="00387AB6" w:rsidR="006E00D4" w:rsidP="006E00D4" w:rsidRDefault="006E00D4" w14:paraId="6737367A"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 </w:t>
            </w:r>
          </w:p>
        </w:tc>
        <w:tc>
          <w:tcPr>
            <w:tcW w:w="1609" w:type="dxa"/>
            <w:tcBorders>
              <w:top w:val="single" w:color="auto" w:sz="4" w:space="0"/>
              <w:left w:val="nil"/>
              <w:bottom w:val="single" w:color="auto" w:sz="4" w:space="0"/>
              <w:right w:val="nil"/>
            </w:tcBorders>
            <w:shd w:val="clear" w:color="000000" w:fill="BFBFBF"/>
            <w:noWrap/>
            <w:vAlign w:val="bottom"/>
            <w:hideMark/>
          </w:tcPr>
          <w:p w:rsidRPr="00387AB6" w:rsidR="006E00D4" w:rsidP="006E00D4" w:rsidRDefault="006E00D4" w14:paraId="4C31C58E"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 </w:t>
            </w:r>
          </w:p>
        </w:tc>
        <w:tc>
          <w:tcPr>
            <w:tcW w:w="1681" w:type="dxa"/>
            <w:tcBorders>
              <w:top w:val="single" w:color="auto" w:sz="4" w:space="0"/>
              <w:left w:val="nil"/>
              <w:bottom w:val="single" w:color="auto" w:sz="4" w:space="0"/>
              <w:right w:val="nil"/>
            </w:tcBorders>
            <w:shd w:val="clear" w:color="000000" w:fill="BFBFBF"/>
            <w:noWrap/>
            <w:vAlign w:val="bottom"/>
            <w:hideMark/>
          </w:tcPr>
          <w:p w:rsidRPr="00387AB6" w:rsidR="006E00D4" w:rsidP="006E00D4" w:rsidRDefault="006E00D4" w14:paraId="2C74AD42"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 </w:t>
            </w:r>
          </w:p>
        </w:tc>
        <w:tc>
          <w:tcPr>
            <w:tcW w:w="1609" w:type="dxa"/>
            <w:tcBorders>
              <w:top w:val="single" w:color="auto" w:sz="4" w:space="0"/>
              <w:left w:val="nil"/>
              <w:bottom w:val="single" w:color="auto" w:sz="4" w:space="0"/>
              <w:right w:val="nil"/>
            </w:tcBorders>
            <w:shd w:val="clear" w:color="000000" w:fill="BFBFBF"/>
            <w:noWrap/>
            <w:vAlign w:val="bottom"/>
            <w:hideMark/>
          </w:tcPr>
          <w:p w:rsidRPr="00387AB6" w:rsidR="006E00D4" w:rsidP="006E00D4" w:rsidRDefault="006E00D4" w14:paraId="13277A32"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 </w:t>
            </w:r>
          </w:p>
        </w:tc>
        <w:tc>
          <w:tcPr>
            <w:tcW w:w="1681" w:type="dxa"/>
            <w:tcBorders>
              <w:top w:val="single" w:color="auto" w:sz="4" w:space="0"/>
              <w:left w:val="nil"/>
              <w:bottom w:val="single" w:color="auto" w:sz="4" w:space="0"/>
              <w:right w:val="nil"/>
            </w:tcBorders>
            <w:shd w:val="clear" w:color="000000" w:fill="BFBFBF"/>
            <w:noWrap/>
            <w:vAlign w:val="bottom"/>
            <w:hideMark/>
          </w:tcPr>
          <w:p w:rsidRPr="00387AB6" w:rsidR="006E00D4" w:rsidP="006E00D4" w:rsidRDefault="006E00D4" w14:paraId="6C8792FF"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 </w:t>
            </w:r>
          </w:p>
        </w:tc>
        <w:tc>
          <w:tcPr>
            <w:tcW w:w="1609" w:type="dxa"/>
            <w:tcBorders>
              <w:top w:val="single" w:color="auto" w:sz="4" w:space="0"/>
              <w:left w:val="nil"/>
              <w:bottom w:val="single" w:color="auto" w:sz="4" w:space="0"/>
              <w:right w:val="single" w:color="auto" w:sz="4" w:space="0"/>
            </w:tcBorders>
            <w:shd w:val="clear" w:color="000000" w:fill="BFBFBF"/>
            <w:noWrap/>
            <w:vAlign w:val="bottom"/>
            <w:hideMark/>
          </w:tcPr>
          <w:p w:rsidRPr="00387AB6" w:rsidR="006E00D4" w:rsidP="006E00D4" w:rsidRDefault="006E00D4" w14:paraId="281F41BD"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 </w:t>
            </w:r>
          </w:p>
        </w:tc>
      </w:tr>
      <w:tr w:rsidRPr="00387AB6" w:rsidR="006E00D4" w:rsidTr="006E00D4" w14:paraId="333C2325" w14:textId="77777777">
        <w:trPr>
          <w:trHeight w:val="356"/>
        </w:trPr>
        <w:tc>
          <w:tcPr>
            <w:tcW w:w="4124" w:type="dxa"/>
            <w:tcBorders>
              <w:top w:val="nil"/>
              <w:left w:val="single" w:color="auto" w:sz="4" w:space="0"/>
              <w:bottom w:val="single" w:color="auto" w:sz="4" w:space="0"/>
              <w:right w:val="nil"/>
            </w:tcBorders>
            <w:shd w:val="clear" w:color="auto" w:fill="auto"/>
            <w:vAlign w:val="bottom"/>
            <w:hideMark/>
          </w:tcPr>
          <w:p w:rsidRPr="00387AB6" w:rsidR="006E00D4" w:rsidP="006E00D4" w:rsidRDefault="006E00D4" w14:paraId="27F6073E"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Master-metered customers</w:t>
            </w:r>
          </w:p>
        </w:tc>
        <w:tc>
          <w:tcPr>
            <w:tcW w:w="1728" w:type="dxa"/>
            <w:tcBorders>
              <w:top w:val="nil"/>
              <w:left w:val="single" w:color="auto" w:sz="8" w:space="0"/>
              <w:bottom w:val="single" w:color="auto" w:sz="4" w:space="0"/>
              <w:right w:val="single" w:color="auto" w:sz="4" w:space="0"/>
            </w:tcBorders>
            <w:shd w:val="clear" w:color="auto" w:fill="auto"/>
            <w:noWrap/>
            <w:vAlign w:val="bottom"/>
            <w:hideMark/>
          </w:tcPr>
          <w:p w:rsidRPr="00387AB6" w:rsidR="006E00D4" w:rsidP="006E00D4" w:rsidRDefault="006E00D4" w14:paraId="2480A420"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09" w:type="dxa"/>
            <w:tcBorders>
              <w:top w:val="nil"/>
              <w:left w:val="nil"/>
              <w:bottom w:val="single" w:color="auto" w:sz="4" w:space="0"/>
              <w:right w:val="double" w:color="auto" w:sz="6" w:space="0"/>
            </w:tcBorders>
            <w:shd w:val="clear" w:color="auto" w:fill="auto"/>
            <w:noWrap/>
            <w:vAlign w:val="bottom"/>
            <w:hideMark/>
          </w:tcPr>
          <w:p w:rsidRPr="00387AB6" w:rsidR="006E00D4" w:rsidP="006E00D4" w:rsidRDefault="006E00D4" w14:paraId="762527DA"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81" w:type="dxa"/>
            <w:tcBorders>
              <w:top w:val="nil"/>
              <w:left w:val="nil"/>
              <w:bottom w:val="single" w:color="auto" w:sz="4" w:space="0"/>
              <w:right w:val="nil"/>
            </w:tcBorders>
            <w:shd w:val="clear" w:color="auto" w:fill="auto"/>
            <w:noWrap/>
            <w:vAlign w:val="bottom"/>
            <w:hideMark/>
          </w:tcPr>
          <w:p w:rsidRPr="00387AB6" w:rsidR="006E00D4" w:rsidP="006E00D4" w:rsidRDefault="006E00D4" w14:paraId="0A76DA4C"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09" w:type="dxa"/>
            <w:tcBorders>
              <w:top w:val="nil"/>
              <w:left w:val="nil"/>
              <w:bottom w:val="single" w:color="auto" w:sz="4" w:space="0"/>
              <w:right w:val="nil"/>
            </w:tcBorders>
            <w:shd w:val="clear" w:color="auto" w:fill="auto"/>
            <w:noWrap/>
            <w:vAlign w:val="bottom"/>
            <w:hideMark/>
          </w:tcPr>
          <w:p w:rsidRPr="00387AB6" w:rsidR="006E00D4" w:rsidP="006E00D4" w:rsidRDefault="006E00D4" w14:paraId="0CA15214"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81" w:type="dxa"/>
            <w:tcBorders>
              <w:top w:val="nil"/>
              <w:left w:val="double" w:color="auto" w:sz="6" w:space="0"/>
              <w:bottom w:val="single" w:color="auto" w:sz="4" w:space="0"/>
              <w:right w:val="single" w:color="auto" w:sz="4" w:space="0"/>
            </w:tcBorders>
            <w:shd w:val="clear" w:color="auto" w:fill="auto"/>
            <w:noWrap/>
            <w:vAlign w:val="bottom"/>
            <w:hideMark/>
          </w:tcPr>
          <w:p w:rsidRPr="00387AB6" w:rsidR="006E00D4" w:rsidP="006E00D4" w:rsidRDefault="006E00D4" w14:paraId="23D69326"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09" w:type="dxa"/>
            <w:tcBorders>
              <w:top w:val="nil"/>
              <w:left w:val="nil"/>
              <w:bottom w:val="single" w:color="auto" w:sz="4" w:space="0"/>
              <w:right w:val="double" w:color="auto" w:sz="6" w:space="0"/>
            </w:tcBorders>
            <w:shd w:val="clear" w:color="auto" w:fill="auto"/>
            <w:noWrap/>
            <w:vAlign w:val="bottom"/>
            <w:hideMark/>
          </w:tcPr>
          <w:p w:rsidRPr="00387AB6" w:rsidR="006E00D4" w:rsidP="006E00D4" w:rsidRDefault="006E00D4" w14:paraId="79D7D006"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81" w:type="dxa"/>
            <w:tcBorders>
              <w:top w:val="nil"/>
              <w:left w:val="nil"/>
              <w:bottom w:val="single" w:color="auto" w:sz="4" w:space="0"/>
              <w:right w:val="single" w:color="auto" w:sz="4" w:space="0"/>
            </w:tcBorders>
            <w:shd w:val="clear" w:color="auto" w:fill="auto"/>
            <w:noWrap/>
            <w:vAlign w:val="bottom"/>
            <w:hideMark/>
          </w:tcPr>
          <w:p w:rsidRPr="00387AB6" w:rsidR="006E00D4" w:rsidP="006E00D4" w:rsidRDefault="006E00D4" w14:paraId="6754715C"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09" w:type="dxa"/>
            <w:tcBorders>
              <w:top w:val="nil"/>
              <w:left w:val="nil"/>
              <w:bottom w:val="single" w:color="auto" w:sz="4" w:space="0"/>
              <w:right w:val="single" w:color="auto" w:sz="4" w:space="0"/>
            </w:tcBorders>
            <w:shd w:val="clear" w:color="auto" w:fill="auto"/>
            <w:noWrap/>
            <w:vAlign w:val="bottom"/>
            <w:hideMark/>
          </w:tcPr>
          <w:p w:rsidRPr="00387AB6" w:rsidR="006E00D4" w:rsidP="006E00D4" w:rsidRDefault="006E00D4" w14:paraId="2D8DC7F1"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r>
    </w:tbl>
    <w:p w:rsidRPr="00387AB6" w:rsidR="007A2950" w:rsidP="007A2950" w:rsidRDefault="007A2950" w14:paraId="1FC3F63F" w14:textId="47400BC8">
      <w:pPr>
        <w:rPr>
          <w:rFonts w:ascii="Palatino Linotype" w:hAnsi="Palatino Linotype"/>
          <w:sz w:val="24"/>
          <w:szCs w:val="24"/>
        </w:rPr>
      </w:pPr>
    </w:p>
    <w:p w:rsidRPr="00387AB6" w:rsidR="006E00D4" w:rsidP="007A2950" w:rsidRDefault="006E00D4" w14:paraId="7F10E0DA" w14:textId="458F0C4C">
      <w:pPr>
        <w:rPr>
          <w:rFonts w:ascii="Palatino Linotype" w:hAnsi="Palatino Linotype"/>
          <w:sz w:val="24"/>
          <w:szCs w:val="24"/>
        </w:rPr>
      </w:pPr>
    </w:p>
    <w:p w:rsidRPr="00387AB6" w:rsidR="006E00D4" w:rsidP="007A2950" w:rsidRDefault="006E00D4" w14:paraId="1BD79841" w14:textId="38F8A485">
      <w:pPr>
        <w:rPr>
          <w:rFonts w:ascii="Palatino Linotype" w:hAnsi="Palatino Linotype"/>
          <w:sz w:val="24"/>
          <w:szCs w:val="24"/>
        </w:rPr>
      </w:pPr>
    </w:p>
    <w:p w:rsidRPr="00387AB6" w:rsidR="006E00D4" w:rsidP="007A2950" w:rsidRDefault="006E00D4" w14:paraId="35CC50EB" w14:textId="7A490F99">
      <w:pPr>
        <w:rPr>
          <w:rFonts w:ascii="Palatino Linotype" w:hAnsi="Palatino Linotype"/>
          <w:sz w:val="24"/>
          <w:szCs w:val="24"/>
        </w:rPr>
      </w:pPr>
    </w:p>
    <w:p w:rsidRPr="00387AB6" w:rsidR="006E00D4" w:rsidP="007A2950" w:rsidRDefault="006E00D4" w14:paraId="5FE864AE" w14:textId="716B4A0A">
      <w:pPr>
        <w:rPr>
          <w:rFonts w:ascii="Palatino Linotype" w:hAnsi="Palatino Linotype"/>
          <w:sz w:val="24"/>
          <w:szCs w:val="24"/>
        </w:rPr>
      </w:pPr>
    </w:p>
    <w:p w:rsidRPr="00387AB6" w:rsidR="006E00D4" w:rsidP="007A2950" w:rsidRDefault="006E00D4" w14:paraId="3C0451E0" w14:textId="0CC5DC1D">
      <w:pPr>
        <w:rPr>
          <w:rFonts w:ascii="Palatino Linotype" w:hAnsi="Palatino Linotype"/>
          <w:sz w:val="24"/>
          <w:szCs w:val="24"/>
        </w:rPr>
      </w:pPr>
    </w:p>
    <w:tbl>
      <w:tblPr>
        <w:tblW w:w="17198" w:type="dxa"/>
        <w:tblLook w:val="04A0" w:firstRow="1" w:lastRow="0" w:firstColumn="1" w:lastColumn="0" w:noHBand="0" w:noVBand="1"/>
      </w:tblPr>
      <w:tblGrid>
        <w:gridCol w:w="4148"/>
        <w:gridCol w:w="1666"/>
        <w:gridCol w:w="1595"/>
        <w:gridCol w:w="1666"/>
        <w:gridCol w:w="1598"/>
        <w:gridCol w:w="1666"/>
        <w:gridCol w:w="1595"/>
        <w:gridCol w:w="1666"/>
        <w:gridCol w:w="1598"/>
      </w:tblGrid>
      <w:tr w:rsidRPr="00387AB6" w:rsidR="006E00D4" w:rsidTr="00387AB6" w14:paraId="4FCC7E09" w14:textId="77777777">
        <w:trPr>
          <w:trHeight w:val="361"/>
        </w:trPr>
        <w:tc>
          <w:tcPr>
            <w:tcW w:w="10673" w:type="dxa"/>
            <w:gridSpan w:val="5"/>
            <w:tcBorders>
              <w:top w:val="single" w:color="auto" w:sz="4" w:space="0"/>
              <w:left w:val="single" w:color="auto" w:sz="4" w:space="0"/>
              <w:bottom w:val="single" w:color="auto" w:sz="4" w:space="0"/>
              <w:right w:val="single" w:color="auto" w:sz="4" w:space="0"/>
            </w:tcBorders>
            <w:shd w:val="clear" w:color="000000" w:fill="F8CBAD"/>
            <w:noWrap/>
            <w:vAlign w:val="bottom"/>
            <w:hideMark/>
          </w:tcPr>
          <w:p w:rsidRPr="00387AB6" w:rsidR="006E00D4" w:rsidP="006E00D4" w:rsidRDefault="006E00D4" w14:paraId="6ABE331A" w14:textId="77777777">
            <w:pPr>
              <w:rPr>
                <w:rFonts w:ascii="Palatino Linotype" w:hAnsi="Palatino Linotype" w:cs="Calibri"/>
                <w:b/>
                <w:bCs/>
                <w:color w:val="000000"/>
                <w:sz w:val="24"/>
                <w:szCs w:val="24"/>
              </w:rPr>
            </w:pPr>
            <w:r w:rsidRPr="00387AB6">
              <w:rPr>
                <w:rFonts w:ascii="Palatino Linotype" w:hAnsi="Palatino Linotype" w:cs="Calibri"/>
                <w:b/>
                <w:bCs/>
                <w:color w:val="000000"/>
                <w:sz w:val="24"/>
                <w:szCs w:val="24"/>
              </w:rPr>
              <w:t>Medical Baseline Customer Average Energy Usage by Rate Schedule</w:t>
            </w:r>
          </w:p>
        </w:tc>
        <w:tc>
          <w:tcPr>
            <w:tcW w:w="1666" w:type="dxa"/>
            <w:tcBorders>
              <w:top w:val="single" w:color="auto" w:sz="4" w:space="0"/>
              <w:left w:val="single" w:color="auto" w:sz="4" w:space="0"/>
              <w:bottom w:val="single" w:color="auto" w:sz="4" w:space="0"/>
              <w:right w:val="single" w:color="auto" w:sz="4" w:space="0"/>
            </w:tcBorders>
            <w:shd w:val="clear" w:color="000000" w:fill="F8CBAD"/>
            <w:noWrap/>
            <w:vAlign w:val="bottom"/>
            <w:hideMark/>
          </w:tcPr>
          <w:p w:rsidRPr="00387AB6" w:rsidR="006E00D4" w:rsidP="006E00D4" w:rsidRDefault="006E00D4" w14:paraId="1DBB587F" w14:textId="77777777">
            <w:pPr>
              <w:rPr>
                <w:rFonts w:ascii="Palatino Linotype" w:hAnsi="Palatino Linotype" w:cs="Calibri"/>
                <w:b/>
                <w:bCs/>
                <w:color w:val="000000"/>
                <w:sz w:val="24"/>
                <w:szCs w:val="24"/>
              </w:rPr>
            </w:pPr>
            <w:r w:rsidRPr="00387AB6">
              <w:rPr>
                <w:rFonts w:ascii="Palatino Linotype" w:hAnsi="Palatino Linotype" w:cs="Calibri"/>
                <w:b/>
                <w:bCs/>
                <w:color w:val="000000"/>
                <w:sz w:val="24"/>
                <w:szCs w:val="24"/>
              </w:rPr>
              <w:t> </w:t>
            </w:r>
          </w:p>
        </w:tc>
        <w:tc>
          <w:tcPr>
            <w:tcW w:w="1595" w:type="dxa"/>
            <w:tcBorders>
              <w:top w:val="single" w:color="auto" w:sz="4" w:space="0"/>
              <w:left w:val="single" w:color="auto" w:sz="4" w:space="0"/>
              <w:bottom w:val="single" w:color="auto" w:sz="4" w:space="0"/>
              <w:right w:val="single" w:color="auto" w:sz="4" w:space="0"/>
            </w:tcBorders>
            <w:shd w:val="clear" w:color="000000" w:fill="F8CBAD"/>
            <w:noWrap/>
            <w:vAlign w:val="bottom"/>
            <w:hideMark/>
          </w:tcPr>
          <w:p w:rsidRPr="00387AB6" w:rsidR="006E00D4" w:rsidP="006E00D4" w:rsidRDefault="006E00D4" w14:paraId="373EB0C4" w14:textId="77777777">
            <w:pPr>
              <w:rPr>
                <w:rFonts w:ascii="Palatino Linotype" w:hAnsi="Palatino Linotype" w:cs="Calibri"/>
                <w:b/>
                <w:bCs/>
                <w:color w:val="000000"/>
                <w:sz w:val="24"/>
                <w:szCs w:val="24"/>
              </w:rPr>
            </w:pPr>
            <w:r w:rsidRPr="00387AB6">
              <w:rPr>
                <w:rFonts w:ascii="Palatino Linotype" w:hAnsi="Palatino Linotype" w:cs="Calibri"/>
                <w:b/>
                <w:bCs/>
                <w:color w:val="000000"/>
                <w:sz w:val="24"/>
                <w:szCs w:val="24"/>
              </w:rPr>
              <w:t> </w:t>
            </w:r>
          </w:p>
        </w:tc>
        <w:tc>
          <w:tcPr>
            <w:tcW w:w="1666" w:type="dxa"/>
            <w:tcBorders>
              <w:top w:val="single" w:color="auto" w:sz="4" w:space="0"/>
              <w:left w:val="single" w:color="auto" w:sz="4" w:space="0"/>
              <w:bottom w:val="single" w:color="auto" w:sz="4" w:space="0"/>
              <w:right w:val="single" w:color="auto" w:sz="4" w:space="0"/>
            </w:tcBorders>
            <w:shd w:val="clear" w:color="000000" w:fill="F8CBAD"/>
            <w:noWrap/>
            <w:vAlign w:val="bottom"/>
            <w:hideMark/>
          </w:tcPr>
          <w:p w:rsidRPr="00387AB6" w:rsidR="006E00D4" w:rsidP="006E00D4" w:rsidRDefault="006E00D4" w14:paraId="7B10249E" w14:textId="77777777">
            <w:pPr>
              <w:rPr>
                <w:rFonts w:ascii="Palatino Linotype" w:hAnsi="Palatino Linotype" w:cs="Calibri"/>
                <w:b/>
                <w:bCs/>
                <w:color w:val="000000"/>
                <w:sz w:val="24"/>
                <w:szCs w:val="24"/>
              </w:rPr>
            </w:pPr>
            <w:r w:rsidRPr="00387AB6">
              <w:rPr>
                <w:rFonts w:ascii="Palatino Linotype" w:hAnsi="Palatino Linotype" w:cs="Calibri"/>
                <w:b/>
                <w:bCs/>
                <w:color w:val="000000"/>
                <w:sz w:val="24"/>
                <w:szCs w:val="24"/>
              </w:rPr>
              <w:t> </w:t>
            </w:r>
          </w:p>
        </w:tc>
        <w:tc>
          <w:tcPr>
            <w:tcW w:w="1597" w:type="dxa"/>
            <w:tcBorders>
              <w:top w:val="single" w:color="auto" w:sz="4" w:space="0"/>
              <w:left w:val="single" w:color="auto" w:sz="4" w:space="0"/>
              <w:bottom w:val="single" w:color="auto" w:sz="4" w:space="0"/>
              <w:right w:val="single" w:color="auto" w:sz="4" w:space="0"/>
            </w:tcBorders>
            <w:shd w:val="clear" w:color="000000" w:fill="F8CBAD"/>
            <w:noWrap/>
            <w:vAlign w:val="bottom"/>
            <w:hideMark/>
          </w:tcPr>
          <w:p w:rsidRPr="00387AB6" w:rsidR="006E00D4" w:rsidP="006E00D4" w:rsidRDefault="006E00D4" w14:paraId="3559C44D" w14:textId="77777777">
            <w:pPr>
              <w:rPr>
                <w:rFonts w:ascii="Palatino Linotype" w:hAnsi="Palatino Linotype" w:cs="Calibri"/>
                <w:b/>
                <w:bCs/>
                <w:color w:val="000000"/>
                <w:sz w:val="24"/>
                <w:szCs w:val="24"/>
              </w:rPr>
            </w:pPr>
            <w:r w:rsidRPr="00387AB6">
              <w:rPr>
                <w:rFonts w:ascii="Palatino Linotype" w:hAnsi="Palatino Linotype" w:cs="Calibri"/>
                <w:b/>
                <w:bCs/>
                <w:color w:val="000000"/>
                <w:sz w:val="24"/>
                <w:szCs w:val="24"/>
              </w:rPr>
              <w:t> </w:t>
            </w:r>
          </w:p>
        </w:tc>
      </w:tr>
      <w:tr w:rsidRPr="00387AB6" w:rsidR="006E00D4" w:rsidTr="00387AB6" w14:paraId="2DAAECFD" w14:textId="77777777">
        <w:trPr>
          <w:trHeight w:val="344"/>
        </w:trPr>
        <w:tc>
          <w:tcPr>
            <w:tcW w:w="4148" w:type="dxa"/>
            <w:tcBorders>
              <w:top w:val="single" w:color="auto" w:sz="4" w:space="0"/>
              <w:left w:val="single" w:color="auto" w:sz="8" w:space="0"/>
              <w:bottom w:val="single" w:color="auto" w:sz="4" w:space="0"/>
              <w:right w:val="nil"/>
            </w:tcBorders>
            <w:shd w:val="clear" w:color="auto" w:fill="auto"/>
            <w:noWrap/>
            <w:vAlign w:val="bottom"/>
            <w:hideMark/>
          </w:tcPr>
          <w:p w:rsidRPr="00387AB6" w:rsidR="006E00D4" w:rsidP="006E00D4" w:rsidRDefault="006E00D4" w14:paraId="730C04B8" w14:textId="77777777">
            <w:pPr>
              <w:rPr>
                <w:rFonts w:ascii="Palatino Linotype" w:hAnsi="Palatino Linotype" w:cs="Calibri"/>
                <w:b/>
                <w:bCs/>
                <w:color w:val="000000"/>
                <w:sz w:val="24"/>
                <w:szCs w:val="24"/>
              </w:rPr>
            </w:pPr>
            <w:r w:rsidRPr="00387AB6">
              <w:rPr>
                <w:rFonts w:ascii="Palatino Linotype" w:hAnsi="Palatino Linotype" w:cs="Calibri"/>
                <w:b/>
                <w:bCs/>
                <w:color w:val="000000"/>
                <w:sz w:val="24"/>
                <w:szCs w:val="24"/>
              </w:rPr>
              <w:t xml:space="preserve">Climate Zone </w:t>
            </w:r>
            <w:r w:rsidRPr="00387AB6">
              <w:rPr>
                <w:rFonts w:ascii="Times New Roman" w:hAnsi="Times New Roman"/>
                <w:b/>
                <w:bCs/>
                <w:color w:val="000000"/>
                <w:sz w:val="24"/>
                <w:szCs w:val="24"/>
              </w:rPr>
              <w:t>→</w:t>
            </w:r>
          </w:p>
        </w:tc>
        <w:tc>
          <w:tcPr>
            <w:tcW w:w="13050" w:type="dxa"/>
            <w:gridSpan w:val="8"/>
            <w:tcBorders>
              <w:top w:val="single" w:color="auto" w:sz="4" w:space="0"/>
              <w:left w:val="single" w:color="auto" w:sz="8" w:space="0"/>
              <w:bottom w:val="nil"/>
              <w:right w:val="single" w:color="000000" w:sz="8" w:space="0"/>
            </w:tcBorders>
            <w:shd w:val="clear" w:color="auto" w:fill="auto"/>
            <w:noWrap/>
            <w:vAlign w:val="bottom"/>
            <w:hideMark/>
          </w:tcPr>
          <w:p w:rsidRPr="00387AB6" w:rsidR="006E00D4" w:rsidP="006E00D4" w:rsidRDefault="00573A19" w14:paraId="2F1E04CD" w14:textId="1558847F">
            <w:pPr>
              <w:jc w:val="center"/>
              <w:rPr>
                <w:rFonts w:ascii="Palatino Linotype" w:hAnsi="Palatino Linotype" w:cs="Calibri"/>
                <w:b/>
                <w:bCs/>
                <w:color w:val="000000"/>
                <w:sz w:val="24"/>
                <w:szCs w:val="24"/>
              </w:rPr>
            </w:pPr>
            <w:r w:rsidRPr="00387AB6">
              <w:rPr>
                <w:rFonts w:ascii="Palatino Linotype" w:hAnsi="Palatino Linotype" w:cs="Calibri"/>
                <w:b/>
                <w:bCs/>
                <w:color w:val="000000"/>
                <w:sz w:val="24"/>
                <w:szCs w:val="24"/>
              </w:rPr>
              <w:t xml:space="preserve">CZ [-]    </w:t>
            </w:r>
            <w:r w:rsidRPr="00387AB6">
              <w:rPr>
                <w:rFonts w:ascii="Palatino Linotype" w:hAnsi="Palatino Linotype" w:cs="Calibri"/>
                <w:b/>
                <w:bCs/>
                <w:i/>
                <w:iCs/>
                <w:color w:val="000000"/>
                <w:sz w:val="24"/>
                <w:szCs w:val="24"/>
              </w:rPr>
              <w:t>(Add Columns for CZs in your service territory)</w:t>
            </w:r>
          </w:p>
        </w:tc>
      </w:tr>
      <w:tr w:rsidRPr="00387AB6" w:rsidR="006E00D4" w:rsidTr="006E00D4" w14:paraId="1CD4D1BA" w14:textId="77777777">
        <w:trPr>
          <w:trHeight w:val="344"/>
        </w:trPr>
        <w:tc>
          <w:tcPr>
            <w:tcW w:w="4148" w:type="dxa"/>
            <w:tcBorders>
              <w:top w:val="nil"/>
              <w:left w:val="single" w:color="auto" w:sz="8" w:space="0"/>
              <w:bottom w:val="single" w:color="auto" w:sz="4" w:space="0"/>
              <w:right w:val="nil"/>
            </w:tcBorders>
            <w:shd w:val="clear" w:color="auto" w:fill="auto"/>
            <w:noWrap/>
            <w:vAlign w:val="bottom"/>
            <w:hideMark/>
          </w:tcPr>
          <w:p w:rsidRPr="00387AB6" w:rsidR="006E00D4" w:rsidP="006E00D4" w:rsidRDefault="006E00D4" w14:paraId="11526873"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 </w:t>
            </w:r>
          </w:p>
        </w:tc>
        <w:tc>
          <w:tcPr>
            <w:tcW w:w="3261" w:type="dxa"/>
            <w:gridSpan w:val="2"/>
            <w:tcBorders>
              <w:top w:val="single" w:color="auto" w:sz="4" w:space="0"/>
              <w:left w:val="single" w:color="auto" w:sz="8" w:space="0"/>
              <w:bottom w:val="single" w:color="auto" w:sz="4" w:space="0"/>
              <w:right w:val="single" w:color="auto" w:sz="4" w:space="0"/>
            </w:tcBorders>
            <w:shd w:val="clear" w:color="auto" w:fill="auto"/>
            <w:noWrap/>
            <w:vAlign w:val="bottom"/>
            <w:hideMark/>
          </w:tcPr>
          <w:p w:rsidRPr="00387AB6" w:rsidR="006E00D4" w:rsidP="006E00D4" w:rsidRDefault="006E00D4" w14:paraId="217DC2A5"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All-Electric</w:t>
            </w:r>
          </w:p>
        </w:tc>
        <w:tc>
          <w:tcPr>
            <w:tcW w:w="3262" w:type="dxa"/>
            <w:gridSpan w:val="2"/>
            <w:tcBorders>
              <w:top w:val="single" w:color="auto" w:sz="4" w:space="0"/>
              <w:left w:val="nil"/>
              <w:bottom w:val="single" w:color="auto" w:sz="4" w:space="0"/>
              <w:right w:val="single" w:color="000000" w:sz="4" w:space="0"/>
            </w:tcBorders>
            <w:shd w:val="clear" w:color="auto" w:fill="auto"/>
            <w:noWrap/>
            <w:vAlign w:val="bottom"/>
            <w:hideMark/>
          </w:tcPr>
          <w:p w:rsidRPr="00387AB6" w:rsidR="006E00D4" w:rsidP="006E00D4" w:rsidRDefault="006E00D4" w14:paraId="70A0F6A0"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Electric Space Heating</w:t>
            </w:r>
          </w:p>
        </w:tc>
        <w:tc>
          <w:tcPr>
            <w:tcW w:w="3261" w:type="dxa"/>
            <w:gridSpan w:val="2"/>
            <w:tcBorders>
              <w:top w:val="single" w:color="auto" w:sz="4" w:space="0"/>
              <w:left w:val="nil"/>
              <w:bottom w:val="single" w:color="auto" w:sz="4" w:space="0"/>
              <w:right w:val="single" w:color="auto" w:sz="4" w:space="0"/>
            </w:tcBorders>
            <w:shd w:val="clear" w:color="auto" w:fill="auto"/>
            <w:noWrap/>
            <w:vAlign w:val="bottom"/>
            <w:hideMark/>
          </w:tcPr>
          <w:p w:rsidRPr="00387AB6" w:rsidR="006E00D4" w:rsidP="006E00D4" w:rsidRDefault="006E00D4" w14:paraId="6A224B4A"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Dual Fuel</w:t>
            </w:r>
          </w:p>
        </w:tc>
        <w:tc>
          <w:tcPr>
            <w:tcW w:w="3263" w:type="dxa"/>
            <w:gridSpan w:val="2"/>
            <w:tcBorders>
              <w:top w:val="single" w:color="auto" w:sz="4" w:space="0"/>
              <w:left w:val="nil"/>
              <w:bottom w:val="single" w:color="auto" w:sz="4" w:space="0"/>
              <w:right w:val="single" w:color="000000" w:sz="8" w:space="0"/>
            </w:tcBorders>
            <w:shd w:val="clear" w:color="auto" w:fill="auto"/>
            <w:noWrap/>
            <w:vAlign w:val="bottom"/>
            <w:hideMark/>
          </w:tcPr>
          <w:p w:rsidRPr="00387AB6" w:rsidR="006E00D4" w:rsidP="006E00D4" w:rsidRDefault="006E00D4" w14:paraId="40AF36C4"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Gas Only</w:t>
            </w:r>
          </w:p>
        </w:tc>
      </w:tr>
      <w:tr w:rsidRPr="00387AB6" w:rsidR="006E00D4" w:rsidTr="006E00D4" w14:paraId="64593FFC" w14:textId="77777777">
        <w:trPr>
          <w:trHeight w:val="344"/>
        </w:trPr>
        <w:tc>
          <w:tcPr>
            <w:tcW w:w="4148" w:type="dxa"/>
            <w:tcBorders>
              <w:top w:val="nil"/>
              <w:left w:val="single" w:color="auto" w:sz="8" w:space="0"/>
              <w:bottom w:val="nil"/>
              <w:right w:val="nil"/>
            </w:tcBorders>
            <w:shd w:val="clear" w:color="auto" w:fill="auto"/>
            <w:noWrap/>
            <w:vAlign w:val="bottom"/>
            <w:hideMark/>
          </w:tcPr>
          <w:p w:rsidRPr="00387AB6" w:rsidR="006E00D4" w:rsidP="006E00D4" w:rsidRDefault="006E00D4" w14:paraId="2B7E7BDA" w14:textId="77777777">
            <w:pPr>
              <w:rPr>
                <w:rFonts w:ascii="Palatino Linotype" w:hAnsi="Palatino Linotype" w:cs="Calibri"/>
                <w:b/>
                <w:bCs/>
                <w:color w:val="000000"/>
                <w:sz w:val="24"/>
                <w:szCs w:val="24"/>
              </w:rPr>
            </w:pPr>
            <w:r w:rsidRPr="00387AB6">
              <w:rPr>
                <w:rFonts w:ascii="Palatino Linotype" w:hAnsi="Palatino Linotype" w:cs="Calibri"/>
                <w:b/>
                <w:bCs/>
                <w:color w:val="000000"/>
                <w:sz w:val="24"/>
                <w:szCs w:val="24"/>
              </w:rPr>
              <w:t xml:space="preserve">Rate Schedule </w:t>
            </w:r>
            <w:r w:rsidRPr="00387AB6">
              <w:rPr>
                <w:rFonts w:ascii="Times New Roman" w:hAnsi="Times New Roman"/>
                <w:b/>
                <w:bCs/>
                <w:color w:val="000000"/>
                <w:sz w:val="24"/>
                <w:szCs w:val="24"/>
              </w:rPr>
              <w:t>↓</w:t>
            </w:r>
          </w:p>
        </w:tc>
        <w:tc>
          <w:tcPr>
            <w:tcW w:w="1666" w:type="dxa"/>
            <w:tcBorders>
              <w:top w:val="nil"/>
              <w:left w:val="single" w:color="auto" w:sz="8" w:space="0"/>
              <w:bottom w:val="nil"/>
              <w:right w:val="single" w:color="auto" w:sz="4" w:space="0"/>
            </w:tcBorders>
            <w:shd w:val="clear" w:color="auto" w:fill="auto"/>
            <w:noWrap/>
            <w:vAlign w:val="bottom"/>
            <w:hideMark/>
          </w:tcPr>
          <w:p w:rsidRPr="00387AB6" w:rsidR="006E00D4" w:rsidP="006E00D4" w:rsidRDefault="006E00D4" w14:paraId="2E622546"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Singlefamily</w:t>
            </w:r>
          </w:p>
        </w:tc>
        <w:tc>
          <w:tcPr>
            <w:tcW w:w="1595" w:type="dxa"/>
            <w:tcBorders>
              <w:top w:val="nil"/>
              <w:left w:val="nil"/>
              <w:bottom w:val="single" w:color="auto" w:sz="4" w:space="0"/>
              <w:right w:val="nil"/>
            </w:tcBorders>
            <w:shd w:val="clear" w:color="auto" w:fill="auto"/>
            <w:noWrap/>
            <w:vAlign w:val="bottom"/>
            <w:hideMark/>
          </w:tcPr>
          <w:p w:rsidRPr="00387AB6" w:rsidR="006E00D4" w:rsidP="006E00D4" w:rsidRDefault="006E00D4" w14:paraId="063CC86C"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Multifamily</w:t>
            </w:r>
          </w:p>
        </w:tc>
        <w:tc>
          <w:tcPr>
            <w:tcW w:w="1666" w:type="dxa"/>
            <w:tcBorders>
              <w:top w:val="nil"/>
              <w:left w:val="single" w:color="auto" w:sz="4" w:space="0"/>
              <w:bottom w:val="single" w:color="auto" w:sz="4" w:space="0"/>
              <w:right w:val="single" w:color="auto" w:sz="4" w:space="0"/>
            </w:tcBorders>
            <w:shd w:val="clear" w:color="auto" w:fill="auto"/>
            <w:noWrap/>
            <w:vAlign w:val="bottom"/>
            <w:hideMark/>
          </w:tcPr>
          <w:p w:rsidRPr="00387AB6" w:rsidR="006E00D4" w:rsidP="006E00D4" w:rsidRDefault="006E00D4" w14:paraId="64E1907A"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Singlefamily</w:t>
            </w:r>
          </w:p>
        </w:tc>
        <w:tc>
          <w:tcPr>
            <w:tcW w:w="1596" w:type="dxa"/>
            <w:tcBorders>
              <w:top w:val="nil"/>
              <w:left w:val="nil"/>
              <w:bottom w:val="single" w:color="auto" w:sz="4" w:space="0"/>
              <w:right w:val="single" w:color="auto" w:sz="4" w:space="0"/>
            </w:tcBorders>
            <w:shd w:val="clear" w:color="auto" w:fill="auto"/>
            <w:noWrap/>
            <w:vAlign w:val="bottom"/>
            <w:hideMark/>
          </w:tcPr>
          <w:p w:rsidRPr="00387AB6" w:rsidR="006E00D4" w:rsidP="006E00D4" w:rsidRDefault="006E00D4" w14:paraId="3C708FD5"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Multifamily</w:t>
            </w:r>
          </w:p>
        </w:tc>
        <w:tc>
          <w:tcPr>
            <w:tcW w:w="1666" w:type="dxa"/>
            <w:tcBorders>
              <w:top w:val="nil"/>
              <w:left w:val="nil"/>
              <w:bottom w:val="nil"/>
              <w:right w:val="single" w:color="auto" w:sz="4" w:space="0"/>
            </w:tcBorders>
            <w:shd w:val="clear" w:color="auto" w:fill="auto"/>
            <w:noWrap/>
            <w:vAlign w:val="bottom"/>
            <w:hideMark/>
          </w:tcPr>
          <w:p w:rsidRPr="00387AB6" w:rsidR="006E00D4" w:rsidP="006E00D4" w:rsidRDefault="006E00D4" w14:paraId="454AAD5A"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Singlefamily</w:t>
            </w:r>
          </w:p>
        </w:tc>
        <w:tc>
          <w:tcPr>
            <w:tcW w:w="1595" w:type="dxa"/>
            <w:tcBorders>
              <w:top w:val="nil"/>
              <w:left w:val="nil"/>
              <w:bottom w:val="nil"/>
              <w:right w:val="double" w:color="auto" w:sz="6" w:space="0"/>
            </w:tcBorders>
            <w:shd w:val="clear" w:color="auto" w:fill="auto"/>
            <w:noWrap/>
            <w:vAlign w:val="bottom"/>
            <w:hideMark/>
          </w:tcPr>
          <w:p w:rsidRPr="00387AB6" w:rsidR="006E00D4" w:rsidP="006E00D4" w:rsidRDefault="006E00D4" w14:paraId="5CE940C4"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Multifamily</w:t>
            </w:r>
          </w:p>
        </w:tc>
        <w:tc>
          <w:tcPr>
            <w:tcW w:w="1666" w:type="dxa"/>
            <w:tcBorders>
              <w:top w:val="nil"/>
              <w:left w:val="nil"/>
              <w:bottom w:val="single" w:color="auto" w:sz="4" w:space="0"/>
              <w:right w:val="single" w:color="auto" w:sz="4" w:space="0"/>
            </w:tcBorders>
            <w:shd w:val="clear" w:color="auto" w:fill="auto"/>
            <w:noWrap/>
            <w:vAlign w:val="bottom"/>
            <w:hideMark/>
          </w:tcPr>
          <w:p w:rsidRPr="00387AB6" w:rsidR="006E00D4" w:rsidP="006E00D4" w:rsidRDefault="006E00D4" w14:paraId="7B668EB1"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Singlefamily</w:t>
            </w:r>
          </w:p>
        </w:tc>
        <w:tc>
          <w:tcPr>
            <w:tcW w:w="1597" w:type="dxa"/>
            <w:tcBorders>
              <w:top w:val="nil"/>
              <w:left w:val="nil"/>
              <w:bottom w:val="single" w:color="auto" w:sz="4" w:space="0"/>
              <w:right w:val="single" w:color="auto" w:sz="8" w:space="0"/>
            </w:tcBorders>
            <w:shd w:val="clear" w:color="auto" w:fill="auto"/>
            <w:noWrap/>
            <w:vAlign w:val="bottom"/>
            <w:hideMark/>
          </w:tcPr>
          <w:p w:rsidRPr="00387AB6" w:rsidR="006E00D4" w:rsidP="006E00D4" w:rsidRDefault="006E00D4" w14:paraId="287D274B"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Multifamily</w:t>
            </w:r>
          </w:p>
        </w:tc>
      </w:tr>
      <w:tr w:rsidRPr="00387AB6" w:rsidR="006E00D4" w:rsidTr="006E00D4" w14:paraId="6C6F6B8E" w14:textId="77777777">
        <w:trPr>
          <w:trHeight w:val="344"/>
        </w:trPr>
        <w:tc>
          <w:tcPr>
            <w:tcW w:w="4148" w:type="dxa"/>
            <w:tcBorders>
              <w:top w:val="single" w:color="auto" w:sz="4" w:space="0"/>
              <w:left w:val="single" w:color="auto" w:sz="8" w:space="0"/>
              <w:bottom w:val="single" w:color="auto" w:sz="4" w:space="0"/>
              <w:right w:val="nil"/>
            </w:tcBorders>
            <w:shd w:val="clear" w:color="000000" w:fill="D0CECE"/>
            <w:noWrap/>
            <w:vAlign w:val="bottom"/>
            <w:hideMark/>
          </w:tcPr>
          <w:p w:rsidRPr="00387AB6" w:rsidR="006E00D4" w:rsidP="006E00D4" w:rsidRDefault="006E00D4" w14:paraId="4EF89B49"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Non-TOU rates</w:t>
            </w:r>
          </w:p>
        </w:tc>
        <w:tc>
          <w:tcPr>
            <w:tcW w:w="1666" w:type="dxa"/>
            <w:tcBorders>
              <w:top w:val="single" w:color="auto" w:sz="4" w:space="0"/>
              <w:left w:val="single" w:color="auto" w:sz="8" w:space="0"/>
              <w:bottom w:val="single" w:color="auto" w:sz="4" w:space="0"/>
              <w:right w:val="nil"/>
            </w:tcBorders>
            <w:shd w:val="clear" w:color="000000" w:fill="D0CECE"/>
            <w:noWrap/>
            <w:vAlign w:val="bottom"/>
            <w:hideMark/>
          </w:tcPr>
          <w:p w:rsidRPr="00387AB6" w:rsidR="006E00D4" w:rsidP="006E00D4" w:rsidRDefault="006E00D4" w14:paraId="326A1936"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 </w:t>
            </w:r>
          </w:p>
        </w:tc>
        <w:tc>
          <w:tcPr>
            <w:tcW w:w="1595" w:type="dxa"/>
            <w:tcBorders>
              <w:top w:val="nil"/>
              <w:left w:val="nil"/>
              <w:bottom w:val="single" w:color="auto" w:sz="4" w:space="0"/>
              <w:right w:val="nil"/>
            </w:tcBorders>
            <w:shd w:val="clear" w:color="000000" w:fill="D0CECE"/>
            <w:noWrap/>
            <w:vAlign w:val="bottom"/>
            <w:hideMark/>
          </w:tcPr>
          <w:p w:rsidRPr="00387AB6" w:rsidR="006E00D4" w:rsidP="006E00D4" w:rsidRDefault="006E00D4" w14:paraId="2B55F05B"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 </w:t>
            </w:r>
          </w:p>
        </w:tc>
        <w:tc>
          <w:tcPr>
            <w:tcW w:w="1666" w:type="dxa"/>
            <w:tcBorders>
              <w:top w:val="nil"/>
              <w:left w:val="nil"/>
              <w:bottom w:val="single" w:color="auto" w:sz="4" w:space="0"/>
              <w:right w:val="nil"/>
            </w:tcBorders>
            <w:shd w:val="clear" w:color="000000" w:fill="D0CECE"/>
            <w:noWrap/>
            <w:vAlign w:val="bottom"/>
            <w:hideMark/>
          </w:tcPr>
          <w:p w:rsidRPr="00387AB6" w:rsidR="006E00D4" w:rsidP="006E00D4" w:rsidRDefault="006E00D4" w14:paraId="1AF28E54"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 </w:t>
            </w:r>
          </w:p>
        </w:tc>
        <w:tc>
          <w:tcPr>
            <w:tcW w:w="1596" w:type="dxa"/>
            <w:tcBorders>
              <w:top w:val="nil"/>
              <w:left w:val="nil"/>
              <w:bottom w:val="single" w:color="auto" w:sz="4" w:space="0"/>
              <w:right w:val="nil"/>
            </w:tcBorders>
            <w:shd w:val="clear" w:color="000000" w:fill="D0CECE"/>
            <w:noWrap/>
            <w:vAlign w:val="bottom"/>
            <w:hideMark/>
          </w:tcPr>
          <w:p w:rsidRPr="00387AB6" w:rsidR="006E00D4" w:rsidP="006E00D4" w:rsidRDefault="006E00D4" w14:paraId="664AF9FD"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 </w:t>
            </w:r>
          </w:p>
        </w:tc>
        <w:tc>
          <w:tcPr>
            <w:tcW w:w="1666" w:type="dxa"/>
            <w:tcBorders>
              <w:top w:val="single" w:color="auto" w:sz="4" w:space="0"/>
              <w:left w:val="nil"/>
              <w:bottom w:val="single" w:color="auto" w:sz="4" w:space="0"/>
              <w:right w:val="nil"/>
            </w:tcBorders>
            <w:shd w:val="clear" w:color="000000" w:fill="D0CECE"/>
            <w:noWrap/>
            <w:vAlign w:val="bottom"/>
            <w:hideMark/>
          </w:tcPr>
          <w:p w:rsidRPr="00387AB6" w:rsidR="006E00D4" w:rsidP="006E00D4" w:rsidRDefault="006E00D4" w14:paraId="65655811"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 </w:t>
            </w:r>
          </w:p>
        </w:tc>
        <w:tc>
          <w:tcPr>
            <w:tcW w:w="1595" w:type="dxa"/>
            <w:tcBorders>
              <w:top w:val="single" w:color="auto" w:sz="4" w:space="0"/>
              <w:left w:val="nil"/>
              <w:bottom w:val="single" w:color="auto" w:sz="4" w:space="0"/>
              <w:right w:val="nil"/>
            </w:tcBorders>
            <w:shd w:val="clear" w:color="000000" w:fill="D0CECE"/>
            <w:noWrap/>
            <w:vAlign w:val="bottom"/>
            <w:hideMark/>
          </w:tcPr>
          <w:p w:rsidRPr="00387AB6" w:rsidR="006E00D4" w:rsidP="006E00D4" w:rsidRDefault="006E00D4" w14:paraId="7BF0795C"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 </w:t>
            </w:r>
          </w:p>
        </w:tc>
        <w:tc>
          <w:tcPr>
            <w:tcW w:w="1666" w:type="dxa"/>
            <w:tcBorders>
              <w:top w:val="nil"/>
              <w:left w:val="nil"/>
              <w:bottom w:val="single" w:color="auto" w:sz="4" w:space="0"/>
              <w:right w:val="nil"/>
            </w:tcBorders>
            <w:shd w:val="clear" w:color="000000" w:fill="D0CECE"/>
            <w:noWrap/>
            <w:vAlign w:val="bottom"/>
            <w:hideMark/>
          </w:tcPr>
          <w:p w:rsidRPr="00387AB6" w:rsidR="006E00D4" w:rsidP="006E00D4" w:rsidRDefault="006E00D4" w14:paraId="536CC1EC"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 </w:t>
            </w:r>
          </w:p>
        </w:tc>
        <w:tc>
          <w:tcPr>
            <w:tcW w:w="1597" w:type="dxa"/>
            <w:tcBorders>
              <w:top w:val="nil"/>
              <w:left w:val="nil"/>
              <w:bottom w:val="single" w:color="auto" w:sz="4" w:space="0"/>
              <w:right w:val="single" w:color="auto" w:sz="8" w:space="0"/>
            </w:tcBorders>
            <w:shd w:val="clear" w:color="000000" w:fill="D0CECE"/>
            <w:noWrap/>
            <w:vAlign w:val="bottom"/>
            <w:hideMark/>
          </w:tcPr>
          <w:p w:rsidRPr="00387AB6" w:rsidR="006E00D4" w:rsidP="006E00D4" w:rsidRDefault="006E00D4" w14:paraId="0E584C2F"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 </w:t>
            </w:r>
          </w:p>
        </w:tc>
      </w:tr>
      <w:tr w:rsidRPr="00387AB6" w:rsidR="006E00D4" w:rsidTr="006E00D4" w14:paraId="72E017DC" w14:textId="77777777">
        <w:trPr>
          <w:trHeight w:val="344"/>
        </w:trPr>
        <w:tc>
          <w:tcPr>
            <w:tcW w:w="4148" w:type="dxa"/>
            <w:tcBorders>
              <w:top w:val="nil"/>
              <w:left w:val="single" w:color="auto" w:sz="8" w:space="0"/>
              <w:bottom w:val="single" w:color="auto" w:sz="4" w:space="0"/>
              <w:right w:val="nil"/>
            </w:tcBorders>
            <w:shd w:val="clear" w:color="auto" w:fill="auto"/>
            <w:noWrap/>
            <w:vAlign w:val="bottom"/>
            <w:hideMark/>
          </w:tcPr>
          <w:p w:rsidRPr="00387AB6" w:rsidR="006E00D4" w:rsidP="006E00D4" w:rsidRDefault="006E00D4" w14:paraId="097E278B"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E.g. E-1</w:t>
            </w:r>
          </w:p>
        </w:tc>
        <w:tc>
          <w:tcPr>
            <w:tcW w:w="1666" w:type="dxa"/>
            <w:tcBorders>
              <w:top w:val="nil"/>
              <w:left w:val="single" w:color="auto" w:sz="8" w:space="0"/>
              <w:bottom w:val="single" w:color="auto" w:sz="4" w:space="0"/>
              <w:right w:val="single" w:color="auto" w:sz="4" w:space="0"/>
            </w:tcBorders>
            <w:shd w:val="clear" w:color="auto" w:fill="auto"/>
            <w:vAlign w:val="bottom"/>
            <w:hideMark/>
          </w:tcPr>
          <w:p w:rsidRPr="00387AB6" w:rsidR="006E00D4" w:rsidP="006E00D4" w:rsidRDefault="006E00D4" w14:paraId="47BFA3D6"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5" w:type="dxa"/>
            <w:tcBorders>
              <w:top w:val="nil"/>
              <w:left w:val="nil"/>
              <w:bottom w:val="single" w:color="auto" w:sz="4" w:space="0"/>
              <w:right w:val="double" w:color="auto" w:sz="6" w:space="0"/>
            </w:tcBorders>
            <w:shd w:val="clear" w:color="auto" w:fill="auto"/>
            <w:noWrap/>
            <w:vAlign w:val="bottom"/>
            <w:hideMark/>
          </w:tcPr>
          <w:p w:rsidRPr="00387AB6" w:rsidR="006E00D4" w:rsidP="006E00D4" w:rsidRDefault="006E00D4" w14:paraId="1DFD2641"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66" w:type="dxa"/>
            <w:tcBorders>
              <w:top w:val="nil"/>
              <w:left w:val="nil"/>
              <w:bottom w:val="single" w:color="auto" w:sz="4" w:space="0"/>
              <w:right w:val="nil"/>
            </w:tcBorders>
            <w:shd w:val="clear" w:color="auto" w:fill="auto"/>
            <w:noWrap/>
            <w:vAlign w:val="bottom"/>
            <w:hideMark/>
          </w:tcPr>
          <w:p w:rsidRPr="00387AB6" w:rsidR="006E00D4" w:rsidP="006E00D4" w:rsidRDefault="006E00D4" w14:paraId="13B15978"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6" w:type="dxa"/>
            <w:tcBorders>
              <w:top w:val="nil"/>
              <w:left w:val="nil"/>
              <w:bottom w:val="single" w:color="auto" w:sz="4" w:space="0"/>
              <w:right w:val="nil"/>
            </w:tcBorders>
            <w:shd w:val="clear" w:color="auto" w:fill="auto"/>
            <w:noWrap/>
            <w:vAlign w:val="bottom"/>
            <w:hideMark/>
          </w:tcPr>
          <w:p w:rsidRPr="00387AB6" w:rsidR="006E00D4" w:rsidP="006E00D4" w:rsidRDefault="006E00D4" w14:paraId="15C1F982"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66" w:type="dxa"/>
            <w:tcBorders>
              <w:top w:val="nil"/>
              <w:left w:val="double" w:color="auto" w:sz="6" w:space="0"/>
              <w:bottom w:val="single" w:color="auto" w:sz="4" w:space="0"/>
              <w:right w:val="single" w:color="auto" w:sz="4" w:space="0"/>
            </w:tcBorders>
            <w:shd w:val="clear" w:color="auto" w:fill="auto"/>
            <w:noWrap/>
            <w:vAlign w:val="bottom"/>
            <w:hideMark/>
          </w:tcPr>
          <w:p w:rsidRPr="00387AB6" w:rsidR="006E00D4" w:rsidP="006E00D4" w:rsidRDefault="006E00D4" w14:paraId="4D8DAA72"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5" w:type="dxa"/>
            <w:tcBorders>
              <w:top w:val="nil"/>
              <w:left w:val="nil"/>
              <w:bottom w:val="single" w:color="auto" w:sz="4" w:space="0"/>
              <w:right w:val="double" w:color="auto" w:sz="6" w:space="0"/>
            </w:tcBorders>
            <w:shd w:val="clear" w:color="auto" w:fill="auto"/>
            <w:noWrap/>
            <w:vAlign w:val="bottom"/>
            <w:hideMark/>
          </w:tcPr>
          <w:p w:rsidRPr="00387AB6" w:rsidR="006E00D4" w:rsidP="006E00D4" w:rsidRDefault="006E00D4" w14:paraId="4ED0B66C"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66" w:type="dxa"/>
            <w:tcBorders>
              <w:top w:val="nil"/>
              <w:left w:val="nil"/>
              <w:bottom w:val="single" w:color="auto" w:sz="4" w:space="0"/>
              <w:right w:val="single" w:color="auto" w:sz="4" w:space="0"/>
            </w:tcBorders>
            <w:shd w:val="clear" w:color="auto" w:fill="auto"/>
            <w:noWrap/>
            <w:vAlign w:val="bottom"/>
            <w:hideMark/>
          </w:tcPr>
          <w:p w:rsidRPr="00387AB6" w:rsidR="006E00D4" w:rsidP="006E00D4" w:rsidRDefault="006E00D4" w14:paraId="37F3335D"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7" w:type="dxa"/>
            <w:tcBorders>
              <w:top w:val="nil"/>
              <w:left w:val="nil"/>
              <w:bottom w:val="single" w:color="auto" w:sz="4" w:space="0"/>
              <w:right w:val="single" w:color="auto" w:sz="8" w:space="0"/>
            </w:tcBorders>
            <w:shd w:val="clear" w:color="auto" w:fill="auto"/>
            <w:noWrap/>
            <w:vAlign w:val="bottom"/>
            <w:hideMark/>
          </w:tcPr>
          <w:p w:rsidRPr="00387AB6" w:rsidR="006E00D4" w:rsidP="006E00D4" w:rsidRDefault="006E00D4" w14:paraId="0806405E"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r>
      <w:tr w:rsidRPr="00387AB6" w:rsidR="006E00D4" w:rsidTr="006E00D4" w14:paraId="21D026DA" w14:textId="77777777">
        <w:trPr>
          <w:trHeight w:val="344"/>
        </w:trPr>
        <w:tc>
          <w:tcPr>
            <w:tcW w:w="4148" w:type="dxa"/>
            <w:tcBorders>
              <w:top w:val="nil"/>
              <w:left w:val="single" w:color="auto" w:sz="8" w:space="0"/>
              <w:bottom w:val="single" w:color="auto" w:sz="4" w:space="0"/>
              <w:right w:val="nil"/>
            </w:tcBorders>
            <w:shd w:val="clear" w:color="auto" w:fill="auto"/>
            <w:noWrap/>
            <w:vAlign w:val="bottom"/>
            <w:hideMark/>
          </w:tcPr>
          <w:p w:rsidRPr="00387AB6" w:rsidR="006E00D4" w:rsidP="006E00D4" w:rsidRDefault="006E00D4" w14:paraId="1A00383A"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[Add rows as needed]</w:t>
            </w:r>
          </w:p>
        </w:tc>
        <w:tc>
          <w:tcPr>
            <w:tcW w:w="1666" w:type="dxa"/>
            <w:tcBorders>
              <w:top w:val="nil"/>
              <w:left w:val="single" w:color="auto" w:sz="8" w:space="0"/>
              <w:bottom w:val="single" w:color="auto" w:sz="4" w:space="0"/>
              <w:right w:val="single" w:color="auto" w:sz="4" w:space="0"/>
            </w:tcBorders>
            <w:shd w:val="clear" w:color="auto" w:fill="auto"/>
            <w:vAlign w:val="bottom"/>
            <w:hideMark/>
          </w:tcPr>
          <w:p w:rsidRPr="00387AB6" w:rsidR="006E00D4" w:rsidP="006E00D4" w:rsidRDefault="006E00D4" w14:paraId="1579D2BA"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5" w:type="dxa"/>
            <w:tcBorders>
              <w:top w:val="nil"/>
              <w:left w:val="nil"/>
              <w:bottom w:val="single" w:color="auto" w:sz="4" w:space="0"/>
              <w:right w:val="double" w:color="auto" w:sz="6" w:space="0"/>
            </w:tcBorders>
            <w:shd w:val="clear" w:color="auto" w:fill="auto"/>
            <w:noWrap/>
            <w:vAlign w:val="bottom"/>
            <w:hideMark/>
          </w:tcPr>
          <w:p w:rsidRPr="00387AB6" w:rsidR="006E00D4" w:rsidP="006E00D4" w:rsidRDefault="006E00D4" w14:paraId="7D95F23F"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66" w:type="dxa"/>
            <w:tcBorders>
              <w:top w:val="nil"/>
              <w:left w:val="nil"/>
              <w:bottom w:val="single" w:color="auto" w:sz="4" w:space="0"/>
              <w:right w:val="nil"/>
            </w:tcBorders>
            <w:shd w:val="clear" w:color="auto" w:fill="auto"/>
            <w:noWrap/>
            <w:vAlign w:val="bottom"/>
            <w:hideMark/>
          </w:tcPr>
          <w:p w:rsidRPr="00387AB6" w:rsidR="006E00D4" w:rsidP="006E00D4" w:rsidRDefault="006E00D4" w14:paraId="7C7B626E"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6" w:type="dxa"/>
            <w:tcBorders>
              <w:top w:val="nil"/>
              <w:left w:val="nil"/>
              <w:bottom w:val="single" w:color="auto" w:sz="4" w:space="0"/>
              <w:right w:val="nil"/>
            </w:tcBorders>
            <w:shd w:val="clear" w:color="auto" w:fill="auto"/>
            <w:noWrap/>
            <w:vAlign w:val="bottom"/>
            <w:hideMark/>
          </w:tcPr>
          <w:p w:rsidRPr="00387AB6" w:rsidR="006E00D4" w:rsidP="006E00D4" w:rsidRDefault="006E00D4" w14:paraId="247C066E"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66" w:type="dxa"/>
            <w:tcBorders>
              <w:top w:val="nil"/>
              <w:left w:val="double" w:color="auto" w:sz="6" w:space="0"/>
              <w:bottom w:val="single" w:color="auto" w:sz="4" w:space="0"/>
              <w:right w:val="single" w:color="auto" w:sz="4" w:space="0"/>
            </w:tcBorders>
            <w:shd w:val="clear" w:color="auto" w:fill="auto"/>
            <w:noWrap/>
            <w:vAlign w:val="bottom"/>
            <w:hideMark/>
          </w:tcPr>
          <w:p w:rsidRPr="00387AB6" w:rsidR="006E00D4" w:rsidP="006E00D4" w:rsidRDefault="006E00D4" w14:paraId="450F762A"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5" w:type="dxa"/>
            <w:tcBorders>
              <w:top w:val="nil"/>
              <w:left w:val="nil"/>
              <w:bottom w:val="single" w:color="auto" w:sz="4" w:space="0"/>
              <w:right w:val="double" w:color="auto" w:sz="6" w:space="0"/>
            </w:tcBorders>
            <w:shd w:val="clear" w:color="auto" w:fill="auto"/>
            <w:noWrap/>
            <w:vAlign w:val="bottom"/>
            <w:hideMark/>
          </w:tcPr>
          <w:p w:rsidRPr="00387AB6" w:rsidR="006E00D4" w:rsidP="006E00D4" w:rsidRDefault="006E00D4" w14:paraId="7D34F8AE"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66" w:type="dxa"/>
            <w:tcBorders>
              <w:top w:val="nil"/>
              <w:left w:val="nil"/>
              <w:bottom w:val="single" w:color="auto" w:sz="4" w:space="0"/>
              <w:right w:val="single" w:color="auto" w:sz="4" w:space="0"/>
            </w:tcBorders>
            <w:shd w:val="clear" w:color="auto" w:fill="auto"/>
            <w:noWrap/>
            <w:vAlign w:val="bottom"/>
            <w:hideMark/>
          </w:tcPr>
          <w:p w:rsidRPr="00387AB6" w:rsidR="006E00D4" w:rsidP="006E00D4" w:rsidRDefault="006E00D4" w14:paraId="743519BA"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7" w:type="dxa"/>
            <w:tcBorders>
              <w:top w:val="nil"/>
              <w:left w:val="nil"/>
              <w:bottom w:val="single" w:color="auto" w:sz="4" w:space="0"/>
              <w:right w:val="single" w:color="auto" w:sz="8" w:space="0"/>
            </w:tcBorders>
            <w:shd w:val="clear" w:color="auto" w:fill="auto"/>
            <w:noWrap/>
            <w:vAlign w:val="bottom"/>
            <w:hideMark/>
          </w:tcPr>
          <w:p w:rsidRPr="00387AB6" w:rsidR="006E00D4" w:rsidP="006E00D4" w:rsidRDefault="006E00D4" w14:paraId="3428F1C7"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r>
      <w:tr w:rsidRPr="00387AB6" w:rsidR="006E00D4" w:rsidTr="006E00D4" w14:paraId="3E852A49" w14:textId="77777777">
        <w:trPr>
          <w:trHeight w:val="344"/>
        </w:trPr>
        <w:tc>
          <w:tcPr>
            <w:tcW w:w="4148" w:type="dxa"/>
            <w:tcBorders>
              <w:top w:val="nil"/>
              <w:left w:val="single" w:color="auto" w:sz="8" w:space="0"/>
              <w:bottom w:val="single" w:color="auto" w:sz="4" w:space="0"/>
              <w:right w:val="nil"/>
            </w:tcBorders>
            <w:shd w:val="clear" w:color="000000" w:fill="D0CECE"/>
            <w:noWrap/>
            <w:vAlign w:val="bottom"/>
            <w:hideMark/>
          </w:tcPr>
          <w:p w:rsidRPr="00387AB6" w:rsidR="006E00D4" w:rsidP="006E00D4" w:rsidRDefault="006E00D4" w14:paraId="496F3E94"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TOU Rates</w:t>
            </w:r>
          </w:p>
        </w:tc>
        <w:tc>
          <w:tcPr>
            <w:tcW w:w="1666" w:type="dxa"/>
            <w:tcBorders>
              <w:top w:val="nil"/>
              <w:left w:val="single" w:color="auto" w:sz="8" w:space="0"/>
              <w:bottom w:val="single" w:color="auto" w:sz="4" w:space="0"/>
              <w:right w:val="nil"/>
            </w:tcBorders>
            <w:shd w:val="clear" w:color="000000" w:fill="D0CECE"/>
            <w:noWrap/>
            <w:vAlign w:val="bottom"/>
            <w:hideMark/>
          </w:tcPr>
          <w:p w:rsidRPr="00387AB6" w:rsidR="006E00D4" w:rsidP="006E00D4" w:rsidRDefault="006E00D4" w14:paraId="4BC0953F"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 </w:t>
            </w:r>
          </w:p>
        </w:tc>
        <w:tc>
          <w:tcPr>
            <w:tcW w:w="1595" w:type="dxa"/>
            <w:tcBorders>
              <w:top w:val="nil"/>
              <w:left w:val="nil"/>
              <w:bottom w:val="single" w:color="auto" w:sz="4" w:space="0"/>
              <w:right w:val="nil"/>
            </w:tcBorders>
            <w:shd w:val="clear" w:color="000000" w:fill="D0CECE"/>
            <w:noWrap/>
            <w:vAlign w:val="bottom"/>
            <w:hideMark/>
          </w:tcPr>
          <w:p w:rsidRPr="00387AB6" w:rsidR="006E00D4" w:rsidP="006E00D4" w:rsidRDefault="006E00D4" w14:paraId="362A77CA"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 </w:t>
            </w:r>
          </w:p>
        </w:tc>
        <w:tc>
          <w:tcPr>
            <w:tcW w:w="1666" w:type="dxa"/>
            <w:tcBorders>
              <w:top w:val="nil"/>
              <w:left w:val="nil"/>
              <w:bottom w:val="single" w:color="auto" w:sz="4" w:space="0"/>
              <w:right w:val="nil"/>
            </w:tcBorders>
            <w:shd w:val="clear" w:color="000000" w:fill="D0CECE"/>
            <w:noWrap/>
            <w:vAlign w:val="bottom"/>
            <w:hideMark/>
          </w:tcPr>
          <w:p w:rsidRPr="00387AB6" w:rsidR="006E00D4" w:rsidP="006E00D4" w:rsidRDefault="006E00D4" w14:paraId="16425B6C"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 </w:t>
            </w:r>
          </w:p>
        </w:tc>
        <w:tc>
          <w:tcPr>
            <w:tcW w:w="1596" w:type="dxa"/>
            <w:tcBorders>
              <w:top w:val="nil"/>
              <w:left w:val="nil"/>
              <w:bottom w:val="single" w:color="auto" w:sz="4" w:space="0"/>
              <w:right w:val="nil"/>
            </w:tcBorders>
            <w:shd w:val="clear" w:color="000000" w:fill="D0CECE"/>
            <w:noWrap/>
            <w:vAlign w:val="bottom"/>
            <w:hideMark/>
          </w:tcPr>
          <w:p w:rsidRPr="00387AB6" w:rsidR="006E00D4" w:rsidP="006E00D4" w:rsidRDefault="006E00D4" w14:paraId="0ABA0C50"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 </w:t>
            </w:r>
          </w:p>
        </w:tc>
        <w:tc>
          <w:tcPr>
            <w:tcW w:w="1666" w:type="dxa"/>
            <w:tcBorders>
              <w:top w:val="nil"/>
              <w:left w:val="nil"/>
              <w:bottom w:val="single" w:color="auto" w:sz="4" w:space="0"/>
              <w:right w:val="nil"/>
            </w:tcBorders>
            <w:shd w:val="clear" w:color="000000" w:fill="D0CECE"/>
            <w:noWrap/>
            <w:vAlign w:val="bottom"/>
            <w:hideMark/>
          </w:tcPr>
          <w:p w:rsidRPr="00387AB6" w:rsidR="006E00D4" w:rsidP="006E00D4" w:rsidRDefault="006E00D4" w14:paraId="1E7716E1"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 </w:t>
            </w:r>
          </w:p>
        </w:tc>
        <w:tc>
          <w:tcPr>
            <w:tcW w:w="1595" w:type="dxa"/>
            <w:tcBorders>
              <w:top w:val="nil"/>
              <w:left w:val="nil"/>
              <w:bottom w:val="single" w:color="auto" w:sz="4" w:space="0"/>
              <w:right w:val="nil"/>
            </w:tcBorders>
            <w:shd w:val="clear" w:color="000000" w:fill="D0CECE"/>
            <w:noWrap/>
            <w:vAlign w:val="bottom"/>
            <w:hideMark/>
          </w:tcPr>
          <w:p w:rsidRPr="00387AB6" w:rsidR="006E00D4" w:rsidP="006E00D4" w:rsidRDefault="006E00D4" w14:paraId="59B589F5"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 </w:t>
            </w:r>
          </w:p>
        </w:tc>
        <w:tc>
          <w:tcPr>
            <w:tcW w:w="1666" w:type="dxa"/>
            <w:tcBorders>
              <w:top w:val="nil"/>
              <w:left w:val="nil"/>
              <w:bottom w:val="single" w:color="auto" w:sz="4" w:space="0"/>
              <w:right w:val="nil"/>
            </w:tcBorders>
            <w:shd w:val="clear" w:color="000000" w:fill="D0CECE"/>
            <w:noWrap/>
            <w:vAlign w:val="bottom"/>
            <w:hideMark/>
          </w:tcPr>
          <w:p w:rsidRPr="00387AB6" w:rsidR="006E00D4" w:rsidP="006E00D4" w:rsidRDefault="006E00D4" w14:paraId="247A5C24"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 </w:t>
            </w:r>
          </w:p>
        </w:tc>
        <w:tc>
          <w:tcPr>
            <w:tcW w:w="1597" w:type="dxa"/>
            <w:tcBorders>
              <w:top w:val="nil"/>
              <w:left w:val="nil"/>
              <w:bottom w:val="single" w:color="auto" w:sz="4" w:space="0"/>
              <w:right w:val="single" w:color="auto" w:sz="8" w:space="0"/>
            </w:tcBorders>
            <w:shd w:val="clear" w:color="000000" w:fill="D0CECE"/>
            <w:noWrap/>
            <w:vAlign w:val="bottom"/>
            <w:hideMark/>
          </w:tcPr>
          <w:p w:rsidRPr="00387AB6" w:rsidR="006E00D4" w:rsidP="006E00D4" w:rsidRDefault="006E00D4" w14:paraId="052D8648"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 </w:t>
            </w:r>
          </w:p>
        </w:tc>
      </w:tr>
      <w:tr w:rsidRPr="00387AB6" w:rsidR="006E00D4" w:rsidTr="006E00D4" w14:paraId="26ACB6D2" w14:textId="77777777">
        <w:trPr>
          <w:trHeight w:val="344"/>
        </w:trPr>
        <w:tc>
          <w:tcPr>
            <w:tcW w:w="4148" w:type="dxa"/>
            <w:tcBorders>
              <w:top w:val="nil"/>
              <w:left w:val="single" w:color="auto" w:sz="8" w:space="0"/>
              <w:bottom w:val="single" w:color="auto" w:sz="4" w:space="0"/>
              <w:right w:val="nil"/>
            </w:tcBorders>
            <w:shd w:val="clear" w:color="auto" w:fill="auto"/>
            <w:noWrap/>
            <w:vAlign w:val="bottom"/>
            <w:hideMark/>
          </w:tcPr>
          <w:p w:rsidRPr="00387AB6" w:rsidR="006E00D4" w:rsidP="006E00D4" w:rsidRDefault="006E00D4" w14:paraId="15B3F9DB"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E.g. E-6</w:t>
            </w:r>
          </w:p>
        </w:tc>
        <w:tc>
          <w:tcPr>
            <w:tcW w:w="1666" w:type="dxa"/>
            <w:tcBorders>
              <w:top w:val="nil"/>
              <w:left w:val="single" w:color="auto" w:sz="8" w:space="0"/>
              <w:bottom w:val="single" w:color="auto" w:sz="4" w:space="0"/>
              <w:right w:val="single" w:color="auto" w:sz="4" w:space="0"/>
            </w:tcBorders>
            <w:shd w:val="clear" w:color="auto" w:fill="auto"/>
            <w:noWrap/>
            <w:vAlign w:val="bottom"/>
            <w:hideMark/>
          </w:tcPr>
          <w:p w:rsidRPr="00387AB6" w:rsidR="006E00D4" w:rsidP="006E00D4" w:rsidRDefault="006E00D4" w14:paraId="3484F70A"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5" w:type="dxa"/>
            <w:tcBorders>
              <w:top w:val="nil"/>
              <w:left w:val="nil"/>
              <w:bottom w:val="single" w:color="auto" w:sz="4" w:space="0"/>
              <w:right w:val="double" w:color="auto" w:sz="6" w:space="0"/>
            </w:tcBorders>
            <w:shd w:val="clear" w:color="auto" w:fill="auto"/>
            <w:noWrap/>
            <w:vAlign w:val="bottom"/>
            <w:hideMark/>
          </w:tcPr>
          <w:p w:rsidRPr="00387AB6" w:rsidR="006E00D4" w:rsidP="006E00D4" w:rsidRDefault="006E00D4" w14:paraId="6C06021D"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66" w:type="dxa"/>
            <w:tcBorders>
              <w:top w:val="nil"/>
              <w:left w:val="nil"/>
              <w:bottom w:val="single" w:color="auto" w:sz="4" w:space="0"/>
              <w:right w:val="nil"/>
            </w:tcBorders>
            <w:shd w:val="clear" w:color="auto" w:fill="auto"/>
            <w:noWrap/>
            <w:vAlign w:val="bottom"/>
            <w:hideMark/>
          </w:tcPr>
          <w:p w:rsidRPr="00387AB6" w:rsidR="006E00D4" w:rsidP="006E00D4" w:rsidRDefault="006E00D4" w14:paraId="3D8BF750"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6" w:type="dxa"/>
            <w:tcBorders>
              <w:top w:val="nil"/>
              <w:left w:val="nil"/>
              <w:bottom w:val="single" w:color="auto" w:sz="4" w:space="0"/>
              <w:right w:val="nil"/>
            </w:tcBorders>
            <w:shd w:val="clear" w:color="auto" w:fill="auto"/>
            <w:noWrap/>
            <w:vAlign w:val="bottom"/>
            <w:hideMark/>
          </w:tcPr>
          <w:p w:rsidRPr="00387AB6" w:rsidR="006E00D4" w:rsidP="006E00D4" w:rsidRDefault="006E00D4" w14:paraId="3D9B9DBE"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66" w:type="dxa"/>
            <w:tcBorders>
              <w:top w:val="nil"/>
              <w:left w:val="double" w:color="auto" w:sz="6" w:space="0"/>
              <w:bottom w:val="single" w:color="auto" w:sz="4" w:space="0"/>
              <w:right w:val="single" w:color="auto" w:sz="4" w:space="0"/>
            </w:tcBorders>
            <w:shd w:val="clear" w:color="auto" w:fill="auto"/>
            <w:noWrap/>
            <w:vAlign w:val="bottom"/>
            <w:hideMark/>
          </w:tcPr>
          <w:p w:rsidRPr="00387AB6" w:rsidR="006E00D4" w:rsidP="006E00D4" w:rsidRDefault="006E00D4" w14:paraId="15FF4829"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5" w:type="dxa"/>
            <w:tcBorders>
              <w:top w:val="nil"/>
              <w:left w:val="nil"/>
              <w:bottom w:val="single" w:color="auto" w:sz="4" w:space="0"/>
              <w:right w:val="double" w:color="auto" w:sz="6" w:space="0"/>
            </w:tcBorders>
            <w:shd w:val="clear" w:color="auto" w:fill="auto"/>
            <w:noWrap/>
            <w:vAlign w:val="bottom"/>
            <w:hideMark/>
          </w:tcPr>
          <w:p w:rsidRPr="00387AB6" w:rsidR="006E00D4" w:rsidP="006E00D4" w:rsidRDefault="006E00D4" w14:paraId="7D8000F7"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66" w:type="dxa"/>
            <w:tcBorders>
              <w:top w:val="nil"/>
              <w:left w:val="nil"/>
              <w:bottom w:val="single" w:color="auto" w:sz="4" w:space="0"/>
              <w:right w:val="single" w:color="auto" w:sz="4" w:space="0"/>
            </w:tcBorders>
            <w:shd w:val="clear" w:color="auto" w:fill="auto"/>
            <w:noWrap/>
            <w:vAlign w:val="bottom"/>
            <w:hideMark/>
          </w:tcPr>
          <w:p w:rsidRPr="00387AB6" w:rsidR="006E00D4" w:rsidP="006E00D4" w:rsidRDefault="006E00D4" w14:paraId="32B20D26"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7" w:type="dxa"/>
            <w:tcBorders>
              <w:top w:val="nil"/>
              <w:left w:val="nil"/>
              <w:bottom w:val="single" w:color="auto" w:sz="4" w:space="0"/>
              <w:right w:val="single" w:color="auto" w:sz="8" w:space="0"/>
            </w:tcBorders>
            <w:shd w:val="clear" w:color="auto" w:fill="auto"/>
            <w:noWrap/>
            <w:vAlign w:val="bottom"/>
            <w:hideMark/>
          </w:tcPr>
          <w:p w:rsidRPr="00387AB6" w:rsidR="006E00D4" w:rsidP="006E00D4" w:rsidRDefault="006E00D4" w14:paraId="73AF49BC"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r>
      <w:tr w:rsidRPr="00387AB6" w:rsidR="006E00D4" w:rsidTr="006E00D4" w14:paraId="378AB818" w14:textId="77777777">
        <w:trPr>
          <w:trHeight w:val="344"/>
        </w:trPr>
        <w:tc>
          <w:tcPr>
            <w:tcW w:w="4148" w:type="dxa"/>
            <w:tcBorders>
              <w:top w:val="nil"/>
              <w:left w:val="single" w:color="auto" w:sz="8" w:space="0"/>
              <w:bottom w:val="single" w:color="auto" w:sz="4" w:space="0"/>
              <w:right w:val="nil"/>
            </w:tcBorders>
            <w:shd w:val="clear" w:color="auto" w:fill="auto"/>
            <w:noWrap/>
            <w:vAlign w:val="bottom"/>
            <w:hideMark/>
          </w:tcPr>
          <w:p w:rsidRPr="00387AB6" w:rsidR="006E00D4" w:rsidP="006E00D4" w:rsidRDefault="006E00D4" w14:paraId="4AEE6424"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E-TOU-A</w:t>
            </w:r>
          </w:p>
        </w:tc>
        <w:tc>
          <w:tcPr>
            <w:tcW w:w="1666" w:type="dxa"/>
            <w:tcBorders>
              <w:top w:val="nil"/>
              <w:left w:val="single" w:color="auto" w:sz="8" w:space="0"/>
              <w:bottom w:val="single" w:color="auto" w:sz="4" w:space="0"/>
              <w:right w:val="single" w:color="auto" w:sz="4" w:space="0"/>
            </w:tcBorders>
            <w:shd w:val="clear" w:color="auto" w:fill="auto"/>
            <w:noWrap/>
            <w:vAlign w:val="bottom"/>
            <w:hideMark/>
          </w:tcPr>
          <w:p w:rsidRPr="00387AB6" w:rsidR="006E00D4" w:rsidP="006E00D4" w:rsidRDefault="006E00D4" w14:paraId="3684885A"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5" w:type="dxa"/>
            <w:tcBorders>
              <w:top w:val="nil"/>
              <w:left w:val="nil"/>
              <w:bottom w:val="single" w:color="auto" w:sz="4" w:space="0"/>
              <w:right w:val="double" w:color="auto" w:sz="6" w:space="0"/>
            </w:tcBorders>
            <w:shd w:val="clear" w:color="auto" w:fill="auto"/>
            <w:noWrap/>
            <w:vAlign w:val="bottom"/>
            <w:hideMark/>
          </w:tcPr>
          <w:p w:rsidRPr="00387AB6" w:rsidR="006E00D4" w:rsidP="006E00D4" w:rsidRDefault="006E00D4" w14:paraId="156FC548"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66" w:type="dxa"/>
            <w:tcBorders>
              <w:top w:val="nil"/>
              <w:left w:val="nil"/>
              <w:bottom w:val="single" w:color="auto" w:sz="4" w:space="0"/>
              <w:right w:val="nil"/>
            </w:tcBorders>
            <w:shd w:val="clear" w:color="auto" w:fill="auto"/>
            <w:noWrap/>
            <w:vAlign w:val="bottom"/>
            <w:hideMark/>
          </w:tcPr>
          <w:p w:rsidRPr="00387AB6" w:rsidR="006E00D4" w:rsidP="006E00D4" w:rsidRDefault="006E00D4" w14:paraId="7BF013CC"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6" w:type="dxa"/>
            <w:tcBorders>
              <w:top w:val="nil"/>
              <w:left w:val="nil"/>
              <w:bottom w:val="single" w:color="auto" w:sz="4" w:space="0"/>
              <w:right w:val="nil"/>
            </w:tcBorders>
            <w:shd w:val="clear" w:color="auto" w:fill="auto"/>
            <w:noWrap/>
            <w:vAlign w:val="bottom"/>
            <w:hideMark/>
          </w:tcPr>
          <w:p w:rsidRPr="00387AB6" w:rsidR="006E00D4" w:rsidP="006E00D4" w:rsidRDefault="006E00D4" w14:paraId="4434859A"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66" w:type="dxa"/>
            <w:tcBorders>
              <w:top w:val="nil"/>
              <w:left w:val="double" w:color="auto" w:sz="6" w:space="0"/>
              <w:bottom w:val="single" w:color="auto" w:sz="4" w:space="0"/>
              <w:right w:val="single" w:color="auto" w:sz="4" w:space="0"/>
            </w:tcBorders>
            <w:shd w:val="clear" w:color="auto" w:fill="auto"/>
            <w:noWrap/>
            <w:vAlign w:val="bottom"/>
            <w:hideMark/>
          </w:tcPr>
          <w:p w:rsidRPr="00387AB6" w:rsidR="006E00D4" w:rsidP="006E00D4" w:rsidRDefault="006E00D4" w14:paraId="2DF62E9A"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5" w:type="dxa"/>
            <w:tcBorders>
              <w:top w:val="nil"/>
              <w:left w:val="nil"/>
              <w:bottom w:val="single" w:color="auto" w:sz="4" w:space="0"/>
              <w:right w:val="double" w:color="auto" w:sz="6" w:space="0"/>
            </w:tcBorders>
            <w:shd w:val="clear" w:color="auto" w:fill="auto"/>
            <w:noWrap/>
            <w:vAlign w:val="bottom"/>
            <w:hideMark/>
          </w:tcPr>
          <w:p w:rsidRPr="00387AB6" w:rsidR="006E00D4" w:rsidP="006E00D4" w:rsidRDefault="006E00D4" w14:paraId="586692A0"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66" w:type="dxa"/>
            <w:tcBorders>
              <w:top w:val="nil"/>
              <w:left w:val="nil"/>
              <w:bottom w:val="single" w:color="auto" w:sz="4" w:space="0"/>
              <w:right w:val="single" w:color="auto" w:sz="4" w:space="0"/>
            </w:tcBorders>
            <w:shd w:val="clear" w:color="auto" w:fill="auto"/>
            <w:noWrap/>
            <w:vAlign w:val="bottom"/>
            <w:hideMark/>
          </w:tcPr>
          <w:p w:rsidRPr="00387AB6" w:rsidR="006E00D4" w:rsidP="006E00D4" w:rsidRDefault="006E00D4" w14:paraId="7213E54E"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7" w:type="dxa"/>
            <w:tcBorders>
              <w:top w:val="nil"/>
              <w:left w:val="nil"/>
              <w:bottom w:val="single" w:color="auto" w:sz="4" w:space="0"/>
              <w:right w:val="single" w:color="auto" w:sz="8" w:space="0"/>
            </w:tcBorders>
            <w:shd w:val="clear" w:color="auto" w:fill="auto"/>
            <w:noWrap/>
            <w:vAlign w:val="bottom"/>
            <w:hideMark/>
          </w:tcPr>
          <w:p w:rsidRPr="00387AB6" w:rsidR="006E00D4" w:rsidP="006E00D4" w:rsidRDefault="006E00D4" w14:paraId="0050D1BC"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r>
      <w:tr w:rsidRPr="00387AB6" w:rsidR="006E00D4" w:rsidTr="006E00D4" w14:paraId="14134C47" w14:textId="77777777">
        <w:trPr>
          <w:trHeight w:val="344"/>
        </w:trPr>
        <w:tc>
          <w:tcPr>
            <w:tcW w:w="4148" w:type="dxa"/>
            <w:tcBorders>
              <w:top w:val="nil"/>
              <w:left w:val="single" w:color="auto" w:sz="8" w:space="0"/>
              <w:bottom w:val="single" w:color="auto" w:sz="4" w:space="0"/>
              <w:right w:val="nil"/>
            </w:tcBorders>
            <w:shd w:val="clear" w:color="auto" w:fill="auto"/>
            <w:noWrap/>
            <w:vAlign w:val="bottom"/>
            <w:hideMark/>
          </w:tcPr>
          <w:p w:rsidRPr="00387AB6" w:rsidR="006E00D4" w:rsidP="006E00D4" w:rsidRDefault="006E00D4" w14:paraId="5FC53D4C"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TOU Prime</w:t>
            </w:r>
          </w:p>
        </w:tc>
        <w:tc>
          <w:tcPr>
            <w:tcW w:w="1666" w:type="dxa"/>
            <w:tcBorders>
              <w:top w:val="nil"/>
              <w:left w:val="single" w:color="auto" w:sz="8" w:space="0"/>
              <w:bottom w:val="single" w:color="auto" w:sz="4" w:space="0"/>
              <w:right w:val="single" w:color="auto" w:sz="4" w:space="0"/>
            </w:tcBorders>
            <w:shd w:val="clear" w:color="auto" w:fill="auto"/>
            <w:noWrap/>
            <w:vAlign w:val="bottom"/>
            <w:hideMark/>
          </w:tcPr>
          <w:p w:rsidRPr="00387AB6" w:rsidR="006E00D4" w:rsidP="006E00D4" w:rsidRDefault="006E00D4" w14:paraId="2CCD66E6"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5" w:type="dxa"/>
            <w:tcBorders>
              <w:top w:val="nil"/>
              <w:left w:val="nil"/>
              <w:bottom w:val="single" w:color="auto" w:sz="4" w:space="0"/>
              <w:right w:val="double" w:color="auto" w:sz="6" w:space="0"/>
            </w:tcBorders>
            <w:shd w:val="clear" w:color="auto" w:fill="auto"/>
            <w:noWrap/>
            <w:vAlign w:val="bottom"/>
            <w:hideMark/>
          </w:tcPr>
          <w:p w:rsidRPr="00387AB6" w:rsidR="006E00D4" w:rsidP="006E00D4" w:rsidRDefault="006E00D4" w14:paraId="5EF15AAC"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66" w:type="dxa"/>
            <w:tcBorders>
              <w:top w:val="nil"/>
              <w:left w:val="nil"/>
              <w:bottom w:val="single" w:color="auto" w:sz="4" w:space="0"/>
              <w:right w:val="nil"/>
            </w:tcBorders>
            <w:shd w:val="clear" w:color="auto" w:fill="auto"/>
            <w:noWrap/>
            <w:vAlign w:val="bottom"/>
            <w:hideMark/>
          </w:tcPr>
          <w:p w:rsidRPr="00387AB6" w:rsidR="006E00D4" w:rsidP="006E00D4" w:rsidRDefault="006E00D4" w14:paraId="6C305F82"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6" w:type="dxa"/>
            <w:tcBorders>
              <w:top w:val="nil"/>
              <w:left w:val="nil"/>
              <w:bottom w:val="single" w:color="auto" w:sz="4" w:space="0"/>
              <w:right w:val="nil"/>
            </w:tcBorders>
            <w:shd w:val="clear" w:color="auto" w:fill="auto"/>
            <w:noWrap/>
            <w:vAlign w:val="bottom"/>
            <w:hideMark/>
          </w:tcPr>
          <w:p w:rsidRPr="00387AB6" w:rsidR="006E00D4" w:rsidP="006E00D4" w:rsidRDefault="006E00D4" w14:paraId="16CCF511"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66" w:type="dxa"/>
            <w:tcBorders>
              <w:top w:val="nil"/>
              <w:left w:val="double" w:color="auto" w:sz="6" w:space="0"/>
              <w:bottom w:val="single" w:color="auto" w:sz="4" w:space="0"/>
              <w:right w:val="single" w:color="auto" w:sz="4" w:space="0"/>
            </w:tcBorders>
            <w:shd w:val="clear" w:color="auto" w:fill="auto"/>
            <w:noWrap/>
            <w:vAlign w:val="bottom"/>
            <w:hideMark/>
          </w:tcPr>
          <w:p w:rsidRPr="00387AB6" w:rsidR="006E00D4" w:rsidP="006E00D4" w:rsidRDefault="006E00D4" w14:paraId="4FE243F3"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5" w:type="dxa"/>
            <w:tcBorders>
              <w:top w:val="nil"/>
              <w:left w:val="nil"/>
              <w:bottom w:val="single" w:color="auto" w:sz="4" w:space="0"/>
              <w:right w:val="double" w:color="auto" w:sz="6" w:space="0"/>
            </w:tcBorders>
            <w:shd w:val="clear" w:color="auto" w:fill="auto"/>
            <w:noWrap/>
            <w:vAlign w:val="bottom"/>
            <w:hideMark/>
          </w:tcPr>
          <w:p w:rsidRPr="00387AB6" w:rsidR="006E00D4" w:rsidP="006E00D4" w:rsidRDefault="006E00D4" w14:paraId="365592A6"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66" w:type="dxa"/>
            <w:tcBorders>
              <w:top w:val="nil"/>
              <w:left w:val="nil"/>
              <w:bottom w:val="single" w:color="auto" w:sz="4" w:space="0"/>
              <w:right w:val="single" w:color="auto" w:sz="4" w:space="0"/>
            </w:tcBorders>
            <w:shd w:val="clear" w:color="auto" w:fill="auto"/>
            <w:noWrap/>
            <w:vAlign w:val="bottom"/>
            <w:hideMark/>
          </w:tcPr>
          <w:p w:rsidRPr="00387AB6" w:rsidR="006E00D4" w:rsidP="006E00D4" w:rsidRDefault="006E00D4" w14:paraId="0BE7CE30"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7" w:type="dxa"/>
            <w:tcBorders>
              <w:top w:val="nil"/>
              <w:left w:val="nil"/>
              <w:bottom w:val="single" w:color="auto" w:sz="4" w:space="0"/>
              <w:right w:val="single" w:color="auto" w:sz="8" w:space="0"/>
            </w:tcBorders>
            <w:shd w:val="clear" w:color="auto" w:fill="auto"/>
            <w:noWrap/>
            <w:vAlign w:val="bottom"/>
            <w:hideMark/>
          </w:tcPr>
          <w:p w:rsidRPr="00387AB6" w:rsidR="006E00D4" w:rsidP="006E00D4" w:rsidRDefault="006E00D4" w14:paraId="56DDBFC8"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r>
      <w:tr w:rsidRPr="00387AB6" w:rsidR="006E00D4" w:rsidTr="006E00D4" w14:paraId="7AEF2987" w14:textId="77777777">
        <w:trPr>
          <w:trHeight w:val="344"/>
        </w:trPr>
        <w:tc>
          <w:tcPr>
            <w:tcW w:w="4148" w:type="dxa"/>
            <w:tcBorders>
              <w:top w:val="nil"/>
              <w:left w:val="single" w:color="auto" w:sz="8" w:space="0"/>
              <w:bottom w:val="single" w:color="auto" w:sz="4" w:space="0"/>
              <w:right w:val="nil"/>
            </w:tcBorders>
            <w:shd w:val="clear" w:color="auto" w:fill="auto"/>
            <w:noWrap/>
            <w:vAlign w:val="bottom"/>
            <w:hideMark/>
          </w:tcPr>
          <w:p w:rsidRPr="00387AB6" w:rsidR="006E00D4" w:rsidP="006E00D4" w:rsidRDefault="006E00D4" w14:paraId="4361F37E"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[Add Rows as needed]</w:t>
            </w:r>
          </w:p>
        </w:tc>
        <w:tc>
          <w:tcPr>
            <w:tcW w:w="1666" w:type="dxa"/>
            <w:tcBorders>
              <w:top w:val="nil"/>
              <w:left w:val="single" w:color="auto" w:sz="8" w:space="0"/>
              <w:bottom w:val="single" w:color="auto" w:sz="4" w:space="0"/>
              <w:right w:val="single" w:color="auto" w:sz="4" w:space="0"/>
            </w:tcBorders>
            <w:shd w:val="clear" w:color="auto" w:fill="auto"/>
            <w:noWrap/>
            <w:vAlign w:val="bottom"/>
            <w:hideMark/>
          </w:tcPr>
          <w:p w:rsidRPr="00387AB6" w:rsidR="006E00D4" w:rsidP="006E00D4" w:rsidRDefault="006E00D4" w14:paraId="1FC70F5A"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5" w:type="dxa"/>
            <w:tcBorders>
              <w:top w:val="nil"/>
              <w:left w:val="nil"/>
              <w:bottom w:val="single" w:color="auto" w:sz="4" w:space="0"/>
              <w:right w:val="double" w:color="auto" w:sz="6" w:space="0"/>
            </w:tcBorders>
            <w:shd w:val="clear" w:color="auto" w:fill="auto"/>
            <w:noWrap/>
            <w:vAlign w:val="bottom"/>
            <w:hideMark/>
          </w:tcPr>
          <w:p w:rsidRPr="00387AB6" w:rsidR="006E00D4" w:rsidP="006E00D4" w:rsidRDefault="006E00D4" w14:paraId="32A4BCB9"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66" w:type="dxa"/>
            <w:tcBorders>
              <w:top w:val="nil"/>
              <w:left w:val="nil"/>
              <w:bottom w:val="single" w:color="auto" w:sz="4" w:space="0"/>
              <w:right w:val="nil"/>
            </w:tcBorders>
            <w:shd w:val="clear" w:color="auto" w:fill="auto"/>
            <w:noWrap/>
            <w:vAlign w:val="bottom"/>
            <w:hideMark/>
          </w:tcPr>
          <w:p w:rsidRPr="00387AB6" w:rsidR="006E00D4" w:rsidP="006E00D4" w:rsidRDefault="006E00D4" w14:paraId="74E8D48E"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6" w:type="dxa"/>
            <w:tcBorders>
              <w:top w:val="nil"/>
              <w:left w:val="nil"/>
              <w:bottom w:val="single" w:color="auto" w:sz="4" w:space="0"/>
              <w:right w:val="nil"/>
            </w:tcBorders>
            <w:shd w:val="clear" w:color="auto" w:fill="auto"/>
            <w:noWrap/>
            <w:vAlign w:val="bottom"/>
            <w:hideMark/>
          </w:tcPr>
          <w:p w:rsidRPr="00387AB6" w:rsidR="006E00D4" w:rsidP="006E00D4" w:rsidRDefault="006E00D4" w14:paraId="232F3324"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66" w:type="dxa"/>
            <w:tcBorders>
              <w:top w:val="nil"/>
              <w:left w:val="double" w:color="auto" w:sz="6" w:space="0"/>
              <w:bottom w:val="single" w:color="auto" w:sz="4" w:space="0"/>
              <w:right w:val="single" w:color="auto" w:sz="4" w:space="0"/>
            </w:tcBorders>
            <w:shd w:val="clear" w:color="auto" w:fill="auto"/>
            <w:noWrap/>
            <w:vAlign w:val="bottom"/>
            <w:hideMark/>
          </w:tcPr>
          <w:p w:rsidRPr="00387AB6" w:rsidR="006E00D4" w:rsidP="006E00D4" w:rsidRDefault="006E00D4" w14:paraId="64C9A0C0"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5" w:type="dxa"/>
            <w:tcBorders>
              <w:top w:val="nil"/>
              <w:left w:val="nil"/>
              <w:bottom w:val="single" w:color="auto" w:sz="4" w:space="0"/>
              <w:right w:val="double" w:color="auto" w:sz="6" w:space="0"/>
            </w:tcBorders>
            <w:shd w:val="clear" w:color="auto" w:fill="auto"/>
            <w:noWrap/>
            <w:vAlign w:val="bottom"/>
            <w:hideMark/>
          </w:tcPr>
          <w:p w:rsidRPr="00387AB6" w:rsidR="006E00D4" w:rsidP="006E00D4" w:rsidRDefault="006E00D4" w14:paraId="2628DA31"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66" w:type="dxa"/>
            <w:tcBorders>
              <w:top w:val="nil"/>
              <w:left w:val="nil"/>
              <w:bottom w:val="single" w:color="auto" w:sz="4" w:space="0"/>
              <w:right w:val="single" w:color="auto" w:sz="4" w:space="0"/>
            </w:tcBorders>
            <w:shd w:val="clear" w:color="auto" w:fill="auto"/>
            <w:noWrap/>
            <w:vAlign w:val="bottom"/>
            <w:hideMark/>
          </w:tcPr>
          <w:p w:rsidRPr="00387AB6" w:rsidR="006E00D4" w:rsidP="006E00D4" w:rsidRDefault="006E00D4" w14:paraId="0847479F"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7" w:type="dxa"/>
            <w:tcBorders>
              <w:top w:val="nil"/>
              <w:left w:val="nil"/>
              <w:bottom w:val="single" w:color="auto" w:sz="4" w:space="0"/>
              <w:right w:val="single" w:color="auto" w:sz="8" w:space="0"/>
            </w:tcBorders>
            <w:shd w:val="clear" w:color="auto" w:fill="auto"/>
            <w:noWrap/>
            <w:vAlign w:val="bottom"/>
            <w:hideMark/>
          </w:tcPr>
          <w:p w:rsidRPr="00387AB6" w:rsidR="006E00D4" w:rsidP="006E00D4" w:rsidRDefault="006E00D4" w14:paraId="31934C9E"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r>
      <w:tr w:rsidRPr="00387AB6" w:rsidR="006E00D4" w:rsidTr="00387AB6" w14:paraId="1A67A267" w14:textId="77777777">
        <w:trPr>
          <w:trHeight w:val="344"/>
        </w:trPr>
        <w:tc>
          <w:tcPr>
            <w:tcW w:w="4148" w:type="dxa"/>
            <w:tcBorders>
              <w:top w:val="nil"/>
              <w:left w:val="single" w:color="auto" w:sz="8" w:space="0"/>
              <w:bottom w:val="single" w:color="auto" w:sz="4" w:space="0"/>
              <w:right w:val="nil"/>
            </w:tcBorders>
            <w:shd w:val="clear" w:color="000000" w:fill="BFBFBF"/>
            <w:noWrap/>
            <w:vAlign w:val="bottom"/>
            <w:hideMark/>
          </w:tcPr>
          <w:p w:rsidRPr="00387AB6" w:rsidR="006E00D4" w:rsidP="006E00D4" w:rsidRDefault="006E00D4" w14:paraId="441921F8"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Solar PV Customers</w:t>
            </w:r>
          </w:p>
        </w:tc>
        <w:tc>
          <w:tcPr>
            <w:tcW w:w="1666" w:type="dxa"/>
            <w:tcBorders>
              <w:top w:val="nil"/>
              <w:left w:val="nil"/>
              <w:bottom w:val="single" w:color="auto" w:sz="4" w:space="0"/>
              <w:right w:val="nil"/>
            </w:tcBorders>
            <w:shd w:val="clear" w:color="000000" w:fill="BFBFBF"/>
            <w:noWrap/>
            <w:vAlign w:val="bottom"/>
            <w:hideMark/>
          </w:tcPr>
          <w:p w:rsidRPr="00387AB6" w:rsidR="006E00D4" w:rsidP="006E00D4" w:rsidRDefault="006E00D4" w14:paraId="1338FFBD"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 </w:t>
            </w:r>
          </w:p>
        </w:tc>
        <w:tc>
          <w:tcPr>
            <w:tcW w:w="1595" w:type="dxa"/>
            <w:tcBorders>
              <w:top w:val="nil"/>
              <w:left w:val="nil"/>
              <w:bottom w:val="single" w:color="auto" w:sz="4" w:space="0"/>
              <w:right w:val="nil"/>
            </w:tcBorders>
            <w:shd w:val="clear" w:color="000000" w:fill="BFBFBF"/>
            <w:noWrap/>
            <w:vAlign w:val="bottom"/>
            <w:hideMark/>
          </w:tcPr>
          <w:p w:rsidRPr="00387AB6" w:rsidR="006E00D4" w:rsidP="006E00D4" w:rsidRDefault="006E00D4" w14:paraId="0CB7A492"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 </w:t>
            </w:r>
          </w:p>
        </w:tc>
        <w:tc>
          <w:tcPr>
            <w:tcW w:w="1666" w:type="dxa"/>
            <w:tcBorders>
              <w:top w:val="nil"/>
              <w:left w:val="nil"/>
              <w:bottom w:val="single" w:color="auto" w:sz="4" w:space="0"/>
              <w:right w:val="nil"/>
            </w:tcBorders>
            <w:shd w:val="clear" w:color="000000" w:fill="BFBFBF"/>
            <w:noWrap/>
            <w:vAlign w:val="bottom"/>
            <w:hideMark/>
          </w:tcPr>
          <w:p w:rsidRPr="00387AB6" w:rsidR="006E00D4" w:rsidP="006E00D4" w:rsidRDefault="006E00D4" w14:paraId="7C311D46"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 </w:t>
            </w:r>
          </w:p>
        </w:tc>
        <w:tc>
          <w:tcPr>
            <w:tcW w:w="1596" w:type="dxa"/>
            <w:tcBorders>
              <w:top w:val="nil"/>
              <w:left w:val="nil"/>
              <w:bottom w:val="single" w:color="auto" w:sz="4" w:space="0"/>
              <w:right w:val="nil"/>
            </w:tcBorders>
            <w:shd w:val="clear" w:color="000000" w:fill="BFBFBF"/>
            <w:noWrap/>
            <w:vAlign w:val="bottom"/>
            <w:hideMark/>
          </w:tcPr>
          <w:p w:rsidRPr="00387AB6" w:rsidR="006E00D4" w:rsidP="006E00D4" w:rsidRDefault="006E00D4" w14:paraId="033CF507"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 </w:t>
            </w:r>
          </w:p>
        </w:tc>
        <w:tc>
          <w:tcPr>
            <w:tcW w:w="1666" w:type="dxa"/>
            <w:tcBorders>
              <w:top w:val="nil"/>
              <w:left w:val="nil"/>
              <w:bottom w:val="single" w:color="auto" w:sz="4" w:space="0"/>
              <w:right w:val="nil"/>
            </w:tcBorders>
            <w:shd w:val="clear" w:color="000000" w:fill="BFBFBF"/>
            <w:noWrap/>
            <w:vAlign w:val="bottom"/>
            <w:hideMark/>
          </w:tcPr>
          <w:p w:rsidRPr="00387AB6" w:rsidR="006E00D4" w:rsidP="006E00D4" w:rsidRDefault="006E00D4" w14:paraId="5490C4EA"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 </w:t>
            </w:r>
          </w:p>
        </w:tc>
        <w:tc>
          <w:tcPr>
            <w:tcW w:w="1595" w:type="dxa"/>
            <w:tcBorders>
              <w:top w:val="nil"/>
              <w:left w:val="nil"/>
              <w:bottom w:val="single" w:color="auto" w:sz="4" w:space="0"/>
              <w:right w:val="nil"/>
            </w:tcBorders>
            <w:shd w:val="clear" w:color="000000" w:fill="BFBFBF"/>
            <w:noWrap/>
            <w:vAlign w:val="bottom"/>
            <w:hideMark/>
          </w:tcPr>
          <w:p w:rsidRPr="00387AB6" w:rsidR="006E00D4" w:rsidP="006E00D4" w:rsidRDefault="006E00D4" w14:paraId="50DF27C4"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 </w:t>
            </w:r>
          </w:p>
        </w:tc>
        <w:tc>
          <w:tcPr>
            <w:tcW w:w="1666" w:type="dxa"/>
            <w:tcBorders>
              <w:top w:val="nil"/>
              <w:left w:val="nil"/>
              <w:bottom w:val="single" w:color="auto" w:sz="4" w:space="0"/>
              <w:right w:val="nil"/>
            </w:tcBorders>
            <w:shd w:val="clear" w:color="000000" w:fill="BFBFBF"/>
            <w:noWrap/>
            <w:vAlign w:val="bottom"/>
            <w:hideMark/>
          </w:tcPr>
          <w:p w:rsidRPr="00387AB6" w:rsidR="006E00D4" w:rsidP="006E00D4" w:rsidRDefault="006E00D4" w14:paraId="1C05641F"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 </w:t>
            </w:r>
          </w:p>
        </w:tc>
        <w:tc>
          <w:tcPr>
            <w:tcW w:w="1597" w:type="dxa"/>
            <w:tcBorders>
              <w:top w:val="nil"/>
              <w:left w:val="nil"/>
              <w:bottom w:val="single" w:color="auto" w:sz="4" w:space="0"/>
              <w:right w:val="nil"/>
            </w:tcBorders>
            <w:shd w:val="clear" w:color="000000" w:fill="BFBFBF"/>
            <w:noWrap/>
            <w:vAlign w:val="bottom"/>
            <w:hideMark/>
          </w:tcPr>
          <w:p w:rsidRPr="00387AB6" w:rsidR="006E00D4" w:rsidP="006E00D4" w:rsidRDefault="006E00D4" w14:paraId="15DEAB8B"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 </w:t>
            </w:r>
          </w:p>
        </w:tc>
      </w:tr>
      <w:tr w:rsidRPr="00387AB6" w:rsidR="006E00D4" w:rsidTr="00387AB6" w14:paraId="54C7FAB6" w14:textId="77777777">
        <w:trPr>
          <w:trHeight w:val="689"/>
        </w:trPr>
        <w:tc>
          <w:tcPr>
            <w:tcW w:w="4148"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387AB6" w:rsidR="006E00D4" w:rsidP="006E00D4" w:rsidRDefault="006E00D4" w14:paraId="14CE1805"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Customers with Onsite Solar Generation</w:t>
            </w:r>
          </w:p>
        </w:tc>
        <w:tc>
          <w:tcPr>
            <w:tcW w:w="1666" w:type="dxa"/>
            <w:tcBorders>
              <w:top w:val="nil"/>
              <w:left w:val="single" w:color="auto" w:sz="4" w:space="0"/>
              <w:bottom w:val="single" w:color="auto" w:sz="4" w:space="0"/>
              <w:right w:val="single" w:color="auto" w:sz="4" w:space="0"/>
            </w:tcBorders>
            <w:shd w:val="clear" w:color="auto" w:fill="auto"/>
            <w:noWrap/>
            <w:vAlign w:val="bottom"/>
            <w:hideMark/>
          </w:tcPr>
          <w:p w:rsidRPr="00387AB6" w:rsidR="006E00D4" w:rsidP="006E00D4" w:rsidRDefault="006E00D4" w14:paraId="417C400C"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5" w:type="dxa"/>
            <w:tcBorders>
              <w:top w:val="nil"/>
              <w:left w:val="nil"/>
              <w:bottom w:val="single" w:color="auto" w:sz="4" w:space="0"/>
              <w:right w:val="double" w:color="auto" w:sz="6" w:space="0"/>
            </w:tcBorders>
            <w:shd w:val="clear" w:color="auto" w:fill="auto"/>
            <w:noWrap/>
            <w:vAlign w:val="bottom"/>
            <w:hideMark/>
          </w:tcPr>
          <w:p w:rsidRPr="00387AB6" w:rsidR="006E00D4" w:rsidP="006E00D4" w:rsidRDefault="006E00D4" w14:paraId="56B1EA18"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66" w:type="dxa"/>
            <w:tcBorders>
              <w:top w:val="nil"/>
              <w:left w:val="nil"/>
              <w:bottom w:val="single" w:color="auto" w:sz="4" w:space="0"/>
              <w:right w:val="nil"/>
            </w:tcBorders>
            <w:shd w:val="clear" w:color="auto" w:fill="auto"/>
            <w:noWrap/>
            <w:vAlign w:val="bottom"/>
            <w:hideMark/>
          </w:tcPr>
          <w:p w:rsidRPr="00387AB6" w:rsidR="006E00D4" w:rsidP="006E00D4" w:rsidRDefault="006E00D4" w14:paraId="026E7D7A"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6" w:type="dxa"/>
            <w:tcBorders>
              <w:top w:val="nil"/>
              <w:left w:val="nil"/>
              <w:bottom w:val="single" w:color="auto" w:sz="4" w:space="0"/>
              <w:right w:val="nil"/>
            </w:tcBorders>
            <w:shd w:val="clear" w:color="auto" w:fill="auto"/>
            <w:noWrap/>
            <w:vAlign w:val="bottom"/>
            <w:hideMark/>
          </w:tcPr>
          <w:p w:rsidRPr="00387AB6" w:rsidR="006E00D4" w:rsidP="006E00D4" w:rsidRDefault="006E00D4" w14:paraId="63D0743B"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66" w:type="dxa"/>
            <w:tcBorders>
              <w:top w:val="nil"/>
              <w:left w:val="double" w:color="auto" w:sz="6" w:space="0"/>
              <w:bottom w:val="single" w:color="auto" w:sz="4" w:space="0"/>
              <w:right w:val="single" w:color="auto" w:sz="4" w:space="0"/>
            </w:tcBorders>
            <w:shd w:val="clear" w:color="auto" w:fill="auto"/>
            <w:noWrap/>
            <w:vAlign w:val="bottom"/>
            <w:hideMark/>
          </w:tcPr>
          <w:p w:rsidRPr="00387AB6" w:rsidR="006E00D4" w:rsidP="006E00D4" w:rsidRDefault="006E00D4" w14:paraId="4F07DD24"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5" w:type="dxa"/>
            <w:tcBorders>
              <w:top w:val="nil"/>
              <w:left w:val="nil"/>
              <w:bottom w:val="single" w:color="auto" w:sz="4" w:space="0"/>
              <w:right w:val="double" w:color="auto" w:sz="6" w:space="0"/>
            </w:tcBorders>
            <w:shd w:val="clear" w:color="auto" w:fill="auto"/>
            <w:noWrap/>
            <w:vAlign w:val="bottom"/>
            <w:hideMark/>
          </w:tcPr>
          <w:p w:rsidRPr="00387AB6" w:rsidR="006E00D4" w:rsidP="006E00D4" w:rsidRDefault="006E00D4" w14:paraId="7BBB9986"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66" w:type="dxa"/>
            <w:tcBorders>
              <w:top w:val="nil"/>
              <w:left w:val="nil"/>
              <w:bottom w:val="single" w:color="auto" w:sz="4" w:space="0"/>
              <w:right w:val="single" w:color="auto" w:sz="4" w:space="0"/>
            </w:tcBorders>
            <w:shd w:val="clear" w:color="auto" w:fill="auto"/>
            <w:noWrap/>
            <w:vAlign w:val="bottom"/>
            <w:hideMark/>
          </w:tcPr>
          <w:p w:rsidRPr="00387AB6" w:rsidR="006E00D4" w:rsidP="006E00D4" w:rsidRDefault="006E00D4" w14:paraId="66FD95A6"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7" w:type="dxa"/>
            <w:tcBorders>
              <w:top w:val="nil"/>
              <w:left w:val="nil"/>
              <w:bottom w:val="single" w:color="auto" w:sz="4" w:space="0"/>
              <w:right w:val="single" w:color="auto" w:sz="8" w:space="0"/>
            </w:tcBorders>
            <w:shd w:val="clear" w:color="auto" w:fill="auto"/>
            <w:noWrap/>
            <w:vAlign w:val="bottom"/>
            <w:hideMark/>
          </w:tcPr>
          <w:p w:rsidRPr="00387AB6" w:rsidR="006E00D4" w:rsidP="006E00D4" w:rsidRDefault="006E00D4" w14:paraId="2962F7C5"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r>
      <w:tr w:rsidRPr="00387AB6" w:rsidR="006E00D4" w:rsidTr="00387AB6" w14:paraId="53AEC5E5" w14:textId="77777777">
        <w:trPr>
          <w:trHeight w:val="689"/>
        </w:trPr>
        <w:tc>
          <w:tcPr>
            <w:tcW w:w="4148"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387AB6" w:rsidR="006E00D4" w:rsidP="006E00D4" w:rsidRDefault="006E00D4" w14:paraId="16E9F029"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Customers with Onsite Solar +Battery storage</w:t>
            </w:r>
          </w:p>
        </w:tc>
        <w:tc>
          <w:tcPr>
            <w:tcW w:w="1666" w:type="dxa"/>
            <w:tcBorders>
              <w:top w:val="nil"/>
              <w:left w:val="single" w:color="auto" w:sz="4" w:space="0"/>
              <w:bottom w:val="nil"/>
              <w:right w:val="single" w:color="auto" w:sz="4" w:space="0"/>
            </w:tcBorders>
            <w:shd w:val="clear" w:color="auto" w:fill="auto"/>
            <w:noWrap/>
            <w:vAlign w:val="bottom"/>
            <w:hideMark/>
          </w:tcPr>
          <w:p w:rsidRPr="00387AB6" w:rsidR="006E00D4" w:rsidP="006E00D4" w:rsidRDefault="006E00D4" w14:paraId="27AF18C8"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5" w:type="dxa"/>
            <w:tcBorders>
              <w:top w:val="nil"/>
              <w:left w:val="nil"/>
              <w:bottom w:val="nil"/>
              <w:right w:val="double" w:color="auto" w:sz="6" w:space="0"/>
            </w:tcBorders>
            <w:shd w:val="clear" w:color="auto" w:fill="auto"/>
            <w:noWrap/>
            <w:vAlign w:val="bottom"/>
            <w:hideMark/>
          </w:tcPr>
          <w:p w:rsidRPr="00387AB6" w:rsidR="006E00D4" w:rsidP="006E00D4" w:rsidRDefault="006E00D4" w14:paraId="035679DD"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66" w:type="dxa"/>
            <w:tcBorders>
              <w:top w:val="nil"/>
              <w:left w:val="nil"/>
              <w:bottom w:val="nil"/>
              <w:right w:val="nil"/>
            </w:tcBorders>
            <w:shd w:val="clear" w:color="auto" w:fill="auto"/>
            <w:noWrap/>
            <w:vAlign w:val="bottom"/>
            <w:hideMark/>
          </w:tcPr>
          <w:p w:rsidRPr="00387AB6" w:rsidR="006E00D4" w:rsidP="006E00D4" w:rsidRDefault="006E00D4" w14:paraId="278DD885"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6" w:type="dxa"/>
            <w:tcBorders>
              <w:top w:val="nil"/>
              <w:left w:val="nil"/>
              <w:bottom w:val="nil"/>
              <w:right w:val="nil"/>
            </w:tcBorders>
            <w:shd w:val="clear" w:color="auto" w:fill="auto"/>
            <w:noWrap/>
            <w:vAlign w:val="bottom"/>
            <w:hideMark/>
          </w:tcPr>
          <w:p w:rsidRPr="00387AB6" w:rsidR="006E00D4" w:rsidP="006E00D4" w:rsidRDefault="006E00D4" w14:paraId="07B839DD"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66" w:type="dxa"/>
            <w:tcBorders>
              <w:top w:val="nil"/>
              <w:left w:val="double" w:color="auto" w:sz="6" w:space="0"/>
              <w:bottom w:val="nil"/>
              <w:right w:val="single" w:color="auto" w:sz="4" w:space="0"/>
            </w:tcBorders>
            <w:shd w:val="clear" w:color="auto" w:fill="auto"/>
            <w:noWrap/>
            <w:vAlign w:val="bottom"/>
            <w:hideMark/>
          </w:tcPr>
          <w:p w:rsidRPr="00387AB6" w:rsidR="006E00D4" w:rsidP="006E00D4" w:rsidRDefault="006E00D4" w14:paraId="41909B11"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5" w:type="dxa"/>
            <w:tcBorders>
              <w:top w:val="nil"/>
              <w:left w:val="nil"/>
              <w:bottom w:val="nil"/>
              <w:right w:val="double" w:color="auto" w:sz="6" w:space="0"/>
            </w:tcBorders>
            <w:shd w:val="clear" w:color="auto" w:fill="auto"/>
            <w:noWrap/>
            <w:vAlign w:val="bottom"/>
            <w:hideMark/>
          </w:tcPr>
          <w:p w:rsidRPr="00387AB6" w:rsidR="006E00D4" w:rsidP="006E00D4" w:rsidRDefault="006E00D4" w14:paraId="6399B576"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66" w:type="dxa"/>
            <w:tcBorders>
              <w:top w:val="nil"/>
              <w:left w:val="nil"/>
              <w:bottom w:val="nil"/>
              <w:right w:val="single" w:color="auto" w:sz="4" w:space="0"/>
            </w:tcBorders>
            <w:shd w:val="clear" w:color="auto" w:fill="auto"/>
            <w:noWrap/>
            <w:vAlign w:val="bottom"/>
            <w:hideMark/>
          </w:tcPr>
          <w:p w:rsidRPr="00387AB6" w:rsidR="006E00D4" w:rsidP="006E00D4" w:rsidRDefault="006E00D4" w14:paraId="1AD36B5A"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7" w:type="dxa"/>
            <w:tcBorders>
              <w:top w:val="nil"/>
              <w:left w:val="nil"/>
              <w:bottom w:val="nil"/>
              <w:right w:val="single" w:color="auto" w:sz="8" w:space="0"/>
            </w:tcBorders>
            <w:shd w:val="clear" w:color="auto" w:fill="auto"/>
            <w:noWrap/>
            <w:vAlign w:val="bottom"/>
            <w:hideMark/>
          </w:tcPr>
          <w:p w:rsidRPr="00387AB6" w:rsidR="006E00D4" w:rsidP="006E00D4" w:rsidRDefault="006E00D4" w14:paraId="3BCA1C5C"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r>
      <w:tr w:rsidRPr="00387AB6" w:rsidR="006E00D4" w:rsidTr="00387AB6" w14:paraId="6EC8708C" w14:textId="77777777">
        <w:trPr>
          <w:trHeight w:val="344"/>
        </w:trPr>
        <w:tc>
          <w:tcPr>
            <w:tcW w:w="4148" w:type="dxa"/>
            <w:tcBorders>
              <w:top w:val="single" w:color="auto" w:sz="4" w:space="0"/>
              <w:left w:val="single" w:color="auto" w:sz="8" w:space="0"/>
              <w:bottom w:val="single" w:color="auto" w:sz="4" w:space="0"/>
              <w:right w:val="nil"/>
            </w:tcBorders>
            <w:shd w:val="clear" w:color="000000" w:fill="BFBFBF"/>
            <w:vAlign w:val="bottom"/>
            <w:hideMark/>
          </w:tcPr>
          <w:p w:rsidRPr="00387AB6" w:rsidR="006E00D4" w:rsidP="006E00D4" w:rsidRDefault="006E00D4" w14:paraId="72EABF2D"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Master-metered Customers</w:t>
            </w:r>
          </w:p>
        </w:tc>
        <w:tc>
          <w:tcPr>
            <w:tcW w:w="1666" w:type="dxa"/>
            <w:tcBorders>
              <w:top w:val="single" w:color="auto" w:sz="4" w:space="0"/>
              <w:left w:val="nil"/>
              <w:bottom w:val="single" w:color="auto" w:sz="4" w:space="0"/>
              <w:right w:val="nil"/>
            </w:tcBorders>
            <w:shd w:val="clear" w:color="000000" w:fill="BFBFBF"/>
            <w:vAlign w:val="bottom"/>
            <w:hideMark/>
          </w:tcPr>
          <w:p w:rsidRPr="00387AB6" w:rsidR="006E00D4" w:rsidP="006E00D4" w:rsidRDefault="006E00D4" w14:paraId="32B50B26"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 </w:t>
            </w:r>
          </w:p>
        </w:tc>
        <w:tc>
          <w:tcPr>
            <w:tcW w:w="1595" w:type="dxa"/>
            <w:tcBorders>
              <w:top w:val="single" w:color="auto" w:sz="4" w:space="0"/>
              <w:left w:val="nil"/>
              <w:bottom w:val="single" w:color="auto" w:sz="4" w:space="0"/>
              <w:right w:val="nil"/>
            </w:tcBorders>
            <w:shd w:val="clear" w:color="000000" w:fill="BFBFBF"/>
            <w:vAlign w:val="bottom"/>
            <w:hideMark/>
          </w:tcPr>
          <w:p w:rsidRPr="00387AB6" w:rsidR="006E00D4" w:rsidP="006E00D4" w:rsidRDefault="006E00D4" w14:paraId="66797690"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 </w:t>
            </w:r>
          </w:p>
        </w:tc>
        <w:tc>
          <w:tcPr>
            <w:tcW w:w="1666" w:type="dxa"/>
            <w:tcBorders>
              <w:top w:val="single" w:color="auto" w:sz="4" w:space="0"/>
              <w:left w:val="nil"/>
              <w:bottom w:val="single" w:color="auto" w:sz="4" w:space="0"/>
              <w:right w:val="nil"/>
            </w:tcBorders>
            <w:shd w:val="clear" w:color="000000" w:fill="BFBFBF"/>
            <w:vAlign w:val="bottom"/>
            <w:hideMark/>
          </w:tcPr>
          <w:p w:rsidRPr="00387AB6" w:rsidR="006E00D4" w:rsidP="006E00D4" w:rsidRDefault="006E00D4" w14:paraId="5CC65045"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 </w:t>
            </w:r>
          </w:p>
        </w:tc>
        <w:tc>
          <w:tcPr>
            <w:tcW w:w="1596" w:type="dxa"/>
            <w:tcBorders>
              <w:top w:val="single" w:color="auto" w:sz="4" w:space="0"/>
              <w:left w:val="nil"/>
              <w:bottom w:val="single" w:color="auto" w:sz="4" w:space="0"/>
              <w:right w:val="nil"/>
            </w:tcBorders>
            <w:shd w:val="clear" w:color="000000" w:fill="BFBFBF"/>
            <w:vAlign w:val="bottom"/>
            <w:hideMark/>
          </w:tcPr>
          <w:p w:rsidRPr="00387AB6" w:rsidR="006E00D4" w:rsidP="006E00D4" w:rsidRDefault="006E00D4" w14:paraId="3F025EBA"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 </w:t>
            </w:r>
          </w:p>
        </w:tc>
        <w:tc>
          <w:tcPr>
            <w:tcW w:w="1666" w:type="dxa"/>
            <w:tcBorders>
              <w:top w:val="single" w:color="auto" w:sz="4" w:space="0"/>
              <w:left w:val="nil"/>
              <w:bottom w:val="single" w:color="auto" w:sz="4" w:space="0"/>
              <w:right w:val="nil"/>
            </w:tcBorders>
            <w:shd w:val="clear" w:color="000000" w:fill="BFBFBF"/>
            <w:vAlign w:val="bottom"/>
            <w:hideMark/>
          </w:tcPr>
          <w:p w:rsidRPr="00387AB6" w:rsidR="006E00D4" w:rsidP="006E00D4" w:rsidRDefault="006E00D4" w14:paraId="58F8E27B"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 </w:t>
            </w:r>
          </w:p>
        </w:tc>
        <w:tc>
          <w:tcPr>
            <w:tcW w:w="1595" w:type="dxa"/>
            <w:tcBorders>
              <w:top w:val="single" w:color="auto" w:sz="4" w:space="0"/>
              <w:left w:val="nil"/>
              <w:bottom w:val="single" w:color="auto" w:sz="4" w:space="0"/>
              <w:right w:val="nil"/>
            </w:tcBorders>
            <w:shd w:val="clear" w:color="000000" w:fill="BFBFBF"/>
            <w:vAlign w:val="bottom"/>
            <w:hideMark/>
          </w:tcPr>
          <w:p w:rsidRPr="00387AB6" w:rsidR="006E00D4" w:rsidP="006E00D4" w:rsidRDefault="006E00D4" w14:paraId="5F156B83"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 </w:t>
            </w:r>
          </w:p>
        </w:tc>
        <w:tc>
          <w:tcPr>
            <w:tcW w:w="1666" w:type="dxa"/>
            <w:tcBorders>
              <w:top w:val="single" w:color="auto" w:sz="4" w:space="0"/>
              <w:left w:val="nil"/>
              <w:bottom w:val="single" w:color="auto" w:sz="4" w:space="0"/>
              <w:right w:val="nil"/>
            </w:tcBorders>
            <w:shd w:val="clear" w:color="000000" w:fill="BFBFBF"/>
            <w:vAlign w:val="bottom"/>
            <w:hideMark/>
          </w:tcPr>
          <w:p w:rsidRPr="00387AB6" w:rsidR="006E00D4" w:rsidP="006E00D4" w:rsidRDefault="006E00D4" w14:paraId="53CA70D5"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 </w:t>
            </w:r>
          </w:p>
        </w:tc>
        <w:tc>
          <w:tcPr>
            <w:tcW w:w="1597" w:type="dxa"/>
            <w:tcBorders>
              <w:top w:val="single" w:color="auto" w:sz="4" w:space="0"/>
              <w:left w:val="nil"/>
              <w:bottom w:val="single" w:color="auto" w:sz="4" w:space="0"/>
              <w:right w:val="nil"/>
            </w:tcBorders>
            <w:shd w:val="clear" w:color="000000" w:fill="BFBFBF"/>
            <w:vAlign w:val="bottom"/>
            <w:hideMark/>
          </w:tcPr>
          <w:p w:rsidRPr="00387AB6" w:rsidR="006E00D4" w:rsidP="006E00D4" w:rsidRDefault="006E00D4" w14:paraId="185778F8"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 </w:t>
            </w:r>
          </w:p>
        </w:tc>
      </w:tr>
      <w:tr w:rsidRPr="00387AB6" w:rsidR="006E00D4" w:rsidTr="006E00D4" w14:paraId="5F77F703" w14:textId="77777777">
        <w:trPr>
          <w:trHeight w:val="361"/>
        </w:trPr>
        <w:tc>
          <w:tcPr>
            <w:tcW w:w="4148" w:type="dxa"/>
            <w:tcBorders>
              <w:top w:val="nil"/>
              <w:left w:val="single" w:color="auto" w:sz="8" w:space="0"/>
              <w:bottom w:val="single" w:color="auto" w:sz="8" w:space="0"/>
              <w:right w:val="nil"/>
            </w:tcBorders>
            <w:shd w:val="clear" w:color="auto" w:fill="auto"/>
            <w:vAlign w:val="bottom"/>
            <w:hideMark/>
          </w:tcPr>
          <w:p w:rsidRPr="00387AB6" w:rsidR="006E00D4" w:rsidP="006E00D4" w:rsidRDefault="006E00D4" w14:paraId="1A929C61"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Master-metered customers</w:t>
            </w:r>
          </w:p>
        </w:tc>
        <w:tc>
          <w:tcPr>
            <w:tcW w:w="1666" w:type="dxa"/>
            <w:tcBorders>
              <w:top w:val="nil"/>
              <w:left w:val="single" w:color="auto" w:sz="8" w:space="0"/>
              <w:bottom w:val="single" w:color="auto" w:sz="8" w:space="0"/>
              <w:right w:val="single" w:color="auto" w:sz="4" w:space="0"/>
            </w:tcBorders>
            <w:shd w:val="clear" w:color="auto" w:fill="auto"/>
            <w:noWrap/>
            <w:vAlign w:val="bottom"/>
            <w:hideMark/>
          </w:tcPr>
          <w:p w:rsidRPr="00387AB6" w:rsidR="006E00D4" w:rsidP="006E00D4" w:rsidRDefault="006E00D4" w14:paraId="0585EFE9"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5" w:type="dxa"/>
            <w:tcBorders>
              <w:top w:val="nil"/>
              <w:left w:val="nil"/>
              <w:bottom w:val="single" w:color="auto" w:sz="8" w:space="0"/>
              <w:right w:val="double" w:color="auto" w:sz="6" w:space="0"/>
            </w:tcBorders>
            <w:shd w:val="clear" w:color="auto" w:fill="auto"/>
            <w:noWrap/>
            <w:vAlign w:val="bottom"/>
            <w:hideMark/>
          </w:tcPr>
          <w:p w:rsidRPr="00387AB6" w:rsidR="006E00D4" w:rsidP="006E00D4" w:rsidRDefault="006E00D4" w14:paraId="7E5179BC"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66" w:type="dxa"/>
            <w:tcBorders>
              <w:top w:val="nil"/>
              <w:left w:val="nil"/>
              <w:bottom w:val="single" w:color="auto" w:sz="8" w:space="0"/>
              <w:right w:val="nil"/>
            </w:tcBorders>
            <w:shd w:val="clear" w:color="auto" w:fill="auto"/>
            <w:noWrap/>
            <w:vAlign w:val="bottom"/>
            <w:hideMark/>
          </w:tcPr>
          <w:p w:rsidRPr="00387AB6" w:rsidR="006E00D4" w:rsidP="006E00D4" w:rsidRDefault="006E00D4" w14:paraId="16B81510"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6" w:type="dxa"/>
            <w:tcBorders>
              <w:top w:val="nil"/>
              <w:left w:val="nil"/>
              <w:bottom w:val="single" w:color="auto" w:sz="8" w:space="0"/>
              <w:right w:val="nil"/>
            </w:tcBorders>
            <w:shd w:val="clear" w:color="auto" w:fill="auto"/>
            <w:noWrap/>
            <w:vAlign w:val="bottom"/>
            <w:hideMark/>
          </w:tcPr>
          <w:p w:rsidRPr="00387AB6" w:rsidR="006E00D4" w:rsidP="006E00D4" w:rsidRDefault="006E00D4" w14:paraId="2F0CD2B7"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66" w:type="dxa"/>
            <w:tcBorders>
              <w:top w:val="nil"/>
              <w:left w:val="double" w:color="auto" w:sz="6" w:space="0"/>
              <w:bottom w:val="single" w:color="auto" w:sz="8" w:space="0"/>
              <w:right w:val="single" w:color="auto" w:sz="4" w:space="0"/>
            </w:tcBorders>
            <w:shd w:val="clear" w:color="auto" w:fill="auto"/>
            <w:noWrap/>
            <w:vAlign w:val="bottom"/>
            <w:hideMark/>
          </w:tcPr>
          <w:p w:rsidRPr="00387AB6" w:rsidR="006E00D4" w:rsidP="006E00D4" w:rsidRDefault="006E00D4" w14:paraId="19FC9066"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5" w:type="dxa"/>
            <w:tcBorders>
              <w:top w:val="nil"/>
              <w:left w:val="nil"/>
              <w:bottom w:val="single" w:color="auto" w:sz="8" w:space="0"/>
              <w:right w:val="double" w:color="auto" w:sz="6" w:space="0"/>
            </w:tcBorders>
            <w:shd w:val="clear" w:color="auto" w:fill="auto"/>
            <w:noWrap/>
            <w:vAlign w:val="bottom"/>
            <w:hideMark/>
          </w:tcPr>
          <w:p w:rsidRPr="00387AB6" w:rsidR="006E00D4" w:rsidP="006E00D4" w:rsidRDefault="006E00D4" w14:paraId="093C4B56"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66" w:type="dxa"/>
            <w:tcBorders>
              <w:top w:val="nil"/>
              <w:left w:val="nil"/>
              <w:bottom w:val="single" w:color="auto" w:sz="8" w:space="0"/>
              <w:right w:val="single" w:color="auto" w:sz="4" w:space="0"/>
            </w:tcBorders>
            <w:shd w:val="clear" w:color="auto" w:fill="auto"/>
            <w:noWrap/>
            <w:vAlign w:val="bottom"/>
            <w:hideMark/>
          </w:tcPr>
          <w:p w:rsidRPr="00387AB6" w:rsidR="006E00D4" w:rsidP="006E00D4" w:rsidRDefault="006E00D4" w14:paraId="6922D125"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7" w:type="dxa"/>
            <w:tcBorders>
              <w:top w:val="nil"/>
              <w:left w:val="nil"/>
              <w:bottom w:val="single" w:color="auto" w:sz="8" w:space="0"/>
              <w:right w:val="single" w:color="auto" w:sz="8" w:space="0"/>
            </w:tcBorders>
            <w:shd w:val="clear" w:color="auto" w:fill="auto"/>
            <w:noWrap/>
            <w:vAlign w:val="bottom"/>
            <w:hideMark/>
          </w:tcPr>
          <w:p w:rsidRPr="00387AB6" w:rsidR="006E00D4" w:rsidP="006E00D4" w:rsidRDefault="006E00D4" w14:paraId="77BE6D67"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r>
    </w:tbl>
    <w:p w:rsidRPr="00387AB6" w:rsidR="006E00D4" w:rsidP="007A2950" w:rsidRDefault="006E00D4" w14:paraId="1D9A00EE" w14:textId="4719C8AE">
      <w:pPr>
        <w:rPr>
          <w:rFonts w:ascii="Palatino Linotype" w:hAnsi="Palatino Linotype"/>
          <w:sz w:val="24"/>
          <w:szCs w:val="24"/>
        </w:rPr>
      </w:pPr>
      <w:r w:rsidRPr="00387AB6">
        <w:rPr>
          <w:rFonts w:ascii="Palatino Linotype" w:hAnsi="Palatino Linotype"/>
          <w:sz w:val="24"/>
          <w:szCs w:val="24"/>
        </w:rPr>
        <w:br w:type="page"/>
      </w:r>
    </w:p>
    <w:p w:rsidRPr="00387AB6" w:rsidR="006E00D4" w:rsidP="00387AB6" w:rsidRDefault="006E00D4" w14:paraId="43348B4F" w14:textId="4C3DBD30">
      <w:pPr>
        <w:pStyle w:val="Heading2"/>
      </w:pPr>
      <w:r w:rsidRPr="00387AB6">
        <w:lastRenderedPageBreak/>
        <w:t>“Energy Age CZ” Worksheet</w:t>
      </w:r>
    </w:p>
    <w:p w:rsidRPr="00387AB6" w:rsidR="006E00D4" w:rsidP="006E00D4" w:rsidRDefault="006E00D4" w14:paraId="778FAC08" w14:textId="5DC7A7B0">
      <w:pPr>
        <w:rPr>
          <w:rFonts w:ascii="Palatino Linotype" w:hAnsi="Palatino Linotype"/>
          <w:sz w:val="24"/>
          <w:szCs w:val="24"/>
        </w:rPr>
      </w:pPr>
    </w:p>
    <w:tbl>
      <w:tblPr>
        <w:tblW w:w="17126" w:type="dxa"/>
        <w:tblLook w:val="04A0" w:firstRow="1" w:lastRow="0" w:firstColumn="1" w:lastColumn="0" w:noHBand="0" w:noVBand="1"/>
      </w:tblPr>
      <w:tblGrid>
        <w:gridCol w:w="3927"/>
        <w:gridCol w:w="1789"/>
        <w:gridCol w:w="1599"/>
        <w:gridCol w:w="1671"/>
        <w:gridCol w:w="1600"/>
        <w:gridCol w:w="1671"/>
        <w:gridCol w:w="1599"/>
        <w:gridCol w:w="1671"/>
        <w:gridCol w:w="1599"/>
      </w:tblGrid>
      <w:tr w:rsidRPr="00387AB6" w:rsidR="006E00D4" w:rsidTr="00387AB6" w14:paraId="33A1DD10" w14:textId="77777777">
        <w:trPr>
          <w:trHeight w:val="366"/>
        </w:trPr>
        <w:tc>
          <w:tcPr>
            <w:tcW w:w="10586" w:type="dxa"/>
            <w:gridSpan w:val="5"/>
            <w:tcBorders>
              <w:top w:val="single" w:color="auto" w:sz="4" w:space="0"/>
              <w:left w:val="single" w:color="auto" w:sz="4" w:space="0"/>
              <w:bottom w:val="single" w:color="auto" w:sz="4" w:space="0"/>
              <w:right w:val="nil"/>
            </w:tcBorders>
            <w:shd w:val="clear" w:color="000000" w:fill="8EA9DB"/>
            <w:noWrap/>
            <w:vAlign w:val="bottom"/>
            <w:hideMark/>
          </w:tcPr>
          <w:p w:rsidRPr="00387AB6" w:rsidR="006E00D4" w:rsidP="006E00D4" w:rsidRDefault="006E00D4" w14:paraId="50E8C8D3" w14:textId="77777777">
            <w:pPr>
              <w:rPr>
                <w:rFonts w:ascii="Palatino Linotype" w:hAnsi="Palatino Linotype" w:cs="Calibri"/>
                <w:b/>
                <w:bCs/>
                <w:color w:val="000000"/>
                <w:sz w:val="24"/>
                <w:szCs w:val="24"/>
              </w:rPr>
            </w:pPr>
            <w:r w:rsidRPr="00387AB6">
              <w:rPr>
                <w:rFonts w:ascii="Palatino Linotype" w:hAnsi="Palatino Linotype" w:cs="Calibri"/>
                <w:b/>
                <w:bCs/>
                <w:color w:val="000000"/>
                <w:sz w:val="24"/>
                <w:szCs w:val="24"/>
              </w:rPr>
              <w:t>Number of Customers by Age of Dwelling (Year of Meter Installation)</w:t>
            </w:r>
          </w:p>
        </w:tc>
        <w:tc>
          <w:tcPr>
            <w:tcW w:w="1671" w:type="dxa"/>
            <w:tcBorders>
              <w:top w:val="single" w:color="auto" w:sz="4" w:space="0"/>
              <w:left w:val="nil"/>
              <w:bottom w:val="single" w:color="auto" w:sz="4" w:space="0"/>
              <w:right w:val="nil"/>
            </w:tcBorders>
            <w:shd w:val="clear" w:color="000000" w:fill="8EA9DB"/>
            <w:noWrap/>
            <w:vAlign w:val="bottom"/>
            <w:hideMark/>
          </w:tcPr>
          <w:p w:rsidRPr="00387AB6" w:rsidR="006E00D4" w:rsidP="006E00D4" w:rsidRDefault="006E00D4" w14:paraId="0D6D23A4" w14:textId="77777777">
            <w:pPr>
              <w:rPr>
                <w:rFonts w:ascii="Palatino Linotype" w:hAnsi="Palatino Linotype" w:cs="Calibri"/>
                <w:b/>
                <w:bCs/>
                <w:color w:val="000000"/>
                <w:sz w:val="24"/>
                <w:szCs w:val="24"/>
              </w:rPr>
            </w:pPr>
            <w:r w:rsidRPr="00387AB6">
              <w:rPr>
                <w:rFonts w:ascii="Palatino Linotype" w:hAnsi="Palatino Linotype" w:cs="Calibri"/>
                <w:b/>
                <w:bCs/>
                <w:color w:val="000000"/>
                <w:sz w:val="24"/>
                <w:szCs w:val="24"/>
              </w:rPr>
              <w:t> </w:t>
            </w:r>
          </w:p>
        </w:tc>
        <w:tc>
          <w:tcPr>
            <w:tcW w:w="1599" w:type="dxa"/>
            <w:tcBorders>
              <w:top w:val="single" w:color="auto" w:sz="4" w:space="0"/>
              <w:left w:val="nil"/>
              <w:bottom w:val="single" w:color="auto" w:sz="4" w:space="0"/>
              <w:right w:val="nil"/>
            </w:tcBorders>
            <w:shd w:val="clear" w:color="000000" w:fill="8EA9DB"/>
            <w:noWrap/>
            <w:vAlign w:val="bottom"/>
            <w:hideMark/>
          </w:tcPr>
          <w:p w:rsidRPr="00387AB6" w:rsidR="006E00D4" w:rsidP="006E00D4" w:rsidRDefault="006E00D4" w14:paraId="2EFD0E04" w14:textId="77777777">
            <w:pPr>
              <w:rPr>
                <w:rFonts w:ascii="Palatino Linotype" w:hAnsi="Palatino Linotype" w:cs="Calibri"/>
                <w:b/>
                <w:bCs/>
                <w:color w:val="000000"/>
                <w:sz w:val="24"/>
                <w:szCs w:val="24"/>
              </w:rPr>
            </w:pPr>
            <w:r w:rsidRPr="00387AB6">
              <w:rPr>
                <w:rFonts w:ascii="Palatino Linotype" w:hAnsi="Palatino Linotype" w:cs="Calibri"/>
                <w:b/>
                <w:bCs/>
                <w:color w:val="000000"/>
                <w:sz w:val="24"/>
                <w:szCs w:val="24"/>
              </w:rPr>
              <w:t> </w:t>
            </w:r>
          </w:p>
        </w:tc>
        <w:tc>
          <w:tcPr>
            <w:tcW w:w="1671" w:type="dxa"/>
            <w:tcBorders>
              <w:top w:val="single" w:color="auto" w:sz="4" w:space="0"/>
              <w:left w:val="nil"/>
              <w:bottom w:val="single" w:color="auto" w:sz="4" w:space="0"/>
              <w:right w:val="nil"/>
            </w:tcBorders>
            <w:shd w:val="clear" w:color="000000" w:fill="8EA9DB"/>
            <w:noWrap/>
            <w:vAlign w:val="bottom"/>
            <w:hideMark/>
          </w:tcPr>
          <w:p w:rsidRPr="00387AB6" w:rsidR="006E00D4" w:rsidP="006E00D4" w:rsidRDefault="006E00D4" w14:paraId="3D0F7536" w14:textId="77777777">
            <w:pPr>
              <w:rPr>
                <w:rFonts w:ascii="Palatino Linotype" w:hAnsi="Palatino Linotype" w:cs="Calibri"/>
                <w:b/>
                <w:bCs/>
                <w:color w:val="000000"/>
                <w:sz w:val="24"/>
                <w:szCs w:val="24"/>
              </w:rPr>
            </w:pPr>
            <w:r w:rsidRPr="00387AB6">
              <w:rPr>
                <w:rFonts w:ascii="Palatino Linotype" w:hAnsi="Palatino Linotype" w:cs="Calibri"/>
                <w:b/>
                <w:bCs/>
                <w:color w:val="000000"/>
                <w:sz w:val="24"/>
                <w:szCs w:val="24"/>
              </w:rPr>
              <w:t> </w:t>
            </w:r>
          </w:p>
        </w:tc>
        <w:tc>
          <w:tcPr>
            <w:tcW w:w="1599" w:type="dxa"/>
            <w:tcBorders>
              <w:top w:val="single" w:color="auto" w:sz="4" w:space="0"/>
              <w:left w:val="nil"/>
              <w:bottom w:val="single" w:color="auto" w:sz="4" w:space="0"/>
              <w:right w:val="single" w:color="auto" w:sz="4" w:space="0"/>
            </w:tcBorders>
            <w:shd w:val="clear" w:color="000000" w:fill="8EA9DB"/>
            <w:noWrap/>
            <w:vAlign w:val="bottom"/>
            <w:hideMark/>
          </w:tcPr>
          <w:p w:rsidRPr="00387AB6" w:rsidR="006E00D4" w:rsidP="006E00D4" w:rsidRDefault="006E00D4" w14:paraId="15107695" w14:textId="77777777">
            <w:pPr>
              <w:rPr>
                <w:rFonts w:ascii="Palatino Linotype" w:hAnsi="Palatino Linotype" w:cs="Calibri"/>
                <w:b/>
                <w:bCs/>
                <w:color w:val="000000"/>
                <w:sz w:val="24"/>
                <w:szCs w:val="24"/>
              </w:rPr>
            </w:pPr>
            <w:r w:rsidRPr="00387AB6">
              <w:rPr>
                <w:rFonts w:ascii="Palatino Linotype" w:hAnsi="Palatino Linotype" w:cs="Calibri"/>
                <w:b/>
                <w:bCs/>
                <w:color w:val="000000"/>
                <w:sz w:val="24"/>
                <w:szCs w:val="24"/>
              </w:rPr>
              <w:t> </w:t>
            </w:r>
          </w:p>
        </w:tc>
      </w:tr>
      <w:tr w:rsidRPr="00387AB6" w:rsidR="006E00D4" w:rsidTr="00387AB6" w14:paraId="5E7D1883" w14:textId="77777777">
        <w:trPr>
          <w:trHeight w:val="349"/>
        </w:trPr>
        <w:tc>
          <w:tcPr>
            <w:tcW w:w="3927" w:type="dxa"/>
            <w:tcBorders>
              <w:top w:val="single" w:color="auto" w:sz="4" w:space="0"/>
              <w:left w:val="single" w:color="auto" w:sz="8" w:space="0"/>
              <w:bottom w:val="single" w:color="auto" w:sz="4" w:space="0"/>
              <w:right w:val="nil"/>
            </w:tcBorders>
            <w:shd w:val="clear" w:color="auto" w:fill="auto"/>
            <w:noWrap/>
            <w:vAlign w:val="bottom"/>
            <w:hideMark/>
          </w:tcPr>
          <w:p w:rsidRPr="00387AB6" w:rsidR="006E00D4" w:rsidP="006E00D4" w:rsidRDefault="006E00D4" w14:paraId="63AA8BB9" w14:textId="77777777">
            <w:pPr>
              <w:rPr>
                <w:rFonts w:ascii="Palatino Linotype" w:hAnsi="Palatino Linotype" w:cs="Calibri"/>
                <w:b/>
                <w:bCs/>
                <w:color w:val="000000"/>
                <w:sz w:val="24"/>
                <w:szCs w:val="24"/>
              </w:rPr>
            </w:pPr>
            <w:r w:rsidRPr="00387AB6">
              <w:rPr>
                <w:rFonts w:ascii="Palatino Linotype" w:hAnsi="Palatino Linotype" w:cs="Calibri"/>
                <w:b/>
                <w:bCs/>
                <w:color w:val="000000"/>
                <w:sz w:val="24"/>
                <w:szCs w:val="24"/>
              </w:rPr>
              <w:t xml:space="preserve">Climate Zone </w:t>
            </w:r>
            <w:r w:rsidRPr="00387AB6">
              <w:rPr>
                <w:rFonts w:ascii="Times New Roman" w:hAnsi="Times New Roman"/>
                <w:b/>
                <w:bCs/>
                <w:color w:val="000000"/>
                <w:sz w:val="24"/>
                <w:szCs w:val="24"/>
              </w:rPr>
              <w:t>→</w:t>
            </w:r>
          </w:p>
        </w:tc>
        <w:tc>
          <w:tcPr>
            <w:tcW w:w="13199" w:type="dxa"/>
            <w:gridSpan w:val="8"/>
            <w:tcBorders>
              <w:top w:val="single" w:color="auto" w:sz="4" w:space="0"/>
              <w:left w:val="single" w:color="auto" w:sz="8" w:space="0"/>
              <w:bottom w:val="nil"/>
              <w:right w:val="single" w:color="000000" w:sz="8" w:space="0"/>
            </w:tcBorders>
            <w:shd w:val="clear" w:color="auto" w:fill="auto"/>
            <w:noWrap/>
            <w:vAlign w:val="bottom"/>
            <w:hideMark/>
          </w:tcPr>
          <w:p w:rsidRPr="00387AB6" w:rsidR="006E00D4" w:rsidP="006E00D4" w:rsidRDefault="00573A19" w14:paraId="20BF1B0A" w14:textId="52801994">
            <w:pPr>
              <w:jc w:val="center"/>
              <w:rPr>
                <w:rFonts w:ascii="Palatino Linotype" w:hAnsi="Palatino Linotype" w:cs="Calibri"/>
                <w:b/>
                <w:bCs/>
                <w:color w:val="000000"/>
                <w:sz w:val="24"/>
                <w:szCs w:val="24"/>
              </w:rPr>
            </w:pPr>
            <w:r w:rsidRPr="00387AB6">
              <w:rPr>
                <w:rFonts w:ascii="Palatino Linotype" w:hAnsi="Palatino Linotype" w:cs="Calibri"/>
                <w:b/>
                <w:bCs/>
                <w:color w:val="000000"/>
                <w:sz w:val="24"/>
                <w:szCs w:val="24"/>
              </w:rPr>
              <w:t xml:space="preserve">CZ [-]    </w:t>
            </w:r>
            <w:r w:rsidRPr="00387AB6">
              <w:rPr>
                <w:rFonts w:ascii="Palatino Linotype" w:hAnsi="Palatino Linotype" w:cs="Calibri"/>
                <w:b/>
                <w:bCs/>
                <w:i/>
                <w:iCs/>
                <w:color w:val="000000"/>
                <w:sz w:val="24"/>
                <w:szCs w:val="24"/>
              </w:rPr>
              <w:t>(Add Columns for CZs in your service territory)</w:t>
            </w:r>
          </w:p>
        </w:tc>
      </w:tr>
      <w:tr w:rsidRPr="00387AB6" w:rsidR="006E00D4" w:rsidTr="006E00D4" w14:paraId="5656D62B" w14:textId="77777777">
        <w:trPr>
          <w:trHeight w:val="349"/>
        </w:trPr>
        <w:tc>
          <w:tcPr>
            <w:tcW w:w="3927" w:type="dxa"/>
            <w:tcBorders>
              <w:top w:val="nil"/>
              <w:left w:val="single" w:color="auto" w:sz="8" w:space="0"/>
              <w:bottom w:val="single" w:color="auto" w:sz="4" w:space="0"/>
              <w:right w:val="nil"/>
            </w:tcBorders>
            <w:shd w:val="clear" w:color="auto" w:fill="auto"/>
            <w:noWrap/>
            <w:vAlign w:val="bottom"/>
            <w:hideMark/>
          </w:tcPr>
          <w:p w:rsidRPr="00387AB6" w:rsidR="006E00D4" w:rsidP="006E00D4" w:rsidRDefault="006E00D4" w14:paraId="0022372E"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 </w:t>
            </w:r>
          </w:p>
        </w:tc>
        <w:tc>
          <w:tcPr>
            <w:tcW w:w="3388" w:type="dxa"/>
            <w:gridSpan w:val="2"/>
            <w:tcBorders>
              <w:top w:val="single" w:color="auto" w:sz="4" w:space="0"/>
              <w:left w:val="single" w:color="auto" w:sz="8" w:space="0"/>
              <w:bottom w:val="single" w:color="auto" w:sz="4" w:space="0"/>
              <w:right w:val="single" w:color="auto" w:sz="4" w:space="0"/>
            </w:tcBorders>
            <w:shd w:val="clear" w:color="auto" w:fill="auto"/>
            <w:noWrap/>
            <w:vAlign w:val="bottom"/>
            <w:hideMark/>
          </w:tcPr>
          <w:p w:rsidRPr="00387AB6" w:rsidR="006E00D4" w:rsidP="006E00D4" w:rsidRDefault="006E00D4" w14:paraId="3BAB8E2B"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All-Electric</w:t>
            </w:r>
          </w:p>
        </w:tc>
        <w:tc>
          <w:tcPr>
            <w:tcW w:w="3270" w:type="dxa"/>
            <w:gridSpan w:val="2"/>
            <w:tcBorders>
              <w:top w:val="single" w:color="auto" w:sz="4" w:space="0"/>
              <w:left w:val="nil"/>
              <w:bottom w:val="single" w:color="auto" w:sz="4" w:space="0"/>
              <w:right w:val="single" w:color="000000" w:sz="4" w:space="0"/>
            </w:tcBorders>
            <w:shd w:val="clear" w:color="auto" w:fill="auto"/>
            <w:noWrap/>
            <w:vAlign w:val="bottom"/>
            <w:hideMark/>
          </w:tcPr>
          <w:p w:rsidRPr="00387AB6" w:rsidR="006E00D4" w:rsidP="006E00D4" w:rsidRDefault="006E00D4" w14:paraId="3F79D2C7"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Electric Space Heating</w:t>
            </w:r>
          </w:p>
        </w:tc>
        <w:tc>
          <w:tcPr>
            <w:tcW w:w="3270" w:type="dxa"/>
            <w:gridSpan w:val="2"/>
            <w:tcBorders>
              <w:top w:val="single" w:color="auto" w:sz="4" w:space="0"/>
              <w:left w:val="nil"/>
              <w:bottom w:val="single" w:color="auto" w:sz="4" w:space="0"/>
              <w:right w:val="single" w:color="auto" w:sz="4" w:space="0"/>
            </w:tcBorders>
            <w:shd w:val="clear" w:color="auto" w:fill="auto"/>
            <w:noWrap/>
            <w:vAlign w:val="bottom"/>
            <w:hideMark/>
          </w:tcPr>
          <w:p w:rsidRPr="00387AB6" w:rsidR="006E00D4" w:rsidP="006E00D4" w:rsidRDefault="006E00D4" w14:paraId="3F97E546"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Dual Fuel</w:t>
            </w:r>
          </w:p>
        </w:tc>
        <w:tc>
          <w:tcPr>
            <w:tcW w:w="3270" w:type="dxa"/>
            <w:gridSpan w:val="2"/>
            <w:tcBorders>
              <w:top w:val="single" w:color="auto" w:sz="4" w:space="0"/>
              <w:left w:val="nil"/>
              <w:bottom w:val="single" w:color="auto" w:sz="4" w:space="0"/>
              <w:right w:val="single" w:color="000000" w:sz="8" w:space="0"/>
            </w:tcBorders>
            <w:shd w:val="clear" w:color="auto" w:fill="auto"/>
            <w:noWrap/>
            <w:vAlign w:val="bottom"/>
            <w:hideMark/>
          </w:tcPr>
          <w:p w:rsidRPr="00387AB6" w:rsidR="006E00D4" w:rsidP="006E00D4" w:rsidRDefault="006E00D4" w14:paraId="4143851F"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Gas Only</w:t>
            </w:r>
          </w:p>
        </w:tc>
      </w:tr>
      <w:tr w:rsidRPr="00387AB6" w:rsidR="006E00D4" w:rsidTr="006E00D4" w14:paraId="228BC646" w14:textId="77777777">
        <w:trPr>
          <w:trHeight w:val="349"/>
        </w:trPr>
        <w:tc>
          <w:tcPr>
            <w:tcW w:w="3927"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87AB6" w:rsidR="006E00D4" w:rsidP="006E00D4" w:rsidRDefault="006E00D4" w14:paraId="5C631CA4" w14:textId="77777777">
            <w:pPr>
              <w:rPr>
                <w:rFonts w:ascii="Palatino Linotype" w:hAnsi="Palatino Linotype" w:cs="Calibri"/>
                <w:b/>
                <w:bCs/>
                <w:color w:val="000000"/>
                <w:sz w:val="24"/>
                <w:szCs w:val="24"/>
              </w:rPr>
            </w:pPr>
            <w:r w:rsidRPr="00387AB6">
              <w:rPr>
                <w:rFonts w:ascii="Palatino Linotype" w:hAnsi="Palatino Linotype" w:cs="Calibri"/>
                <w:b/>
                <w:bCs/>
                <w:color w:val="000000"/>
                <w:sz w:val="24"/>
                <w:szCs w:val="24"/>
              </w:rPr>
              <w:t xml:space="preserve">Year of Meter Installation </w:t>
            </w:r>
            <w:r w:rsidRPr="00387AB6">
              <w:rPr>
                <w:rFonts w:ascii="Times New Roman" w:hAnsi="Times New Roman"/>
                <w:b/>
                <w:bCs/>
                <w:color w:val="000000"/>
                <w:sz w:val="24"/>
                <w:szCs w:val="24"/>
              </w:rPr>
              <w:t>↓</w:t>
            </w:r>
          </w:p>
        </w:tc>
        <w:tc>
          <w:tcPr>
            <w:tcW w:w="1789" w:type="dxa"/>
            <w:tcBorders>
              <w:top w:val="nil"/>
              <w:left w:val="single" w:color="auto" w:sz="4" w:space="0"/>
              <w:bottom w:val="nil"/>
              <w:right w:val="single" w:color="auto" w:sz="4" w:space="0"/>
            </w:tcBorders>
            <w:shd w:val="clear" w:color="auto" w:fill="auto"/>
            <w:noWrap/>
            <w:vAlign w:val="bottom"/>
            <w:hideMark/>
          </w:tcPr>
          <w:p w:rsidRPr="00387AB6" w:rsidR="006E00D4" w:rsidP="006E00D4" w:rsidRDefault="006E00D4" w14:paraId="614EA46E"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Singlefamily</w:t>
            </w:r>
          </w:p>
        </w:tc>
        <w:tc>
          <w:tcPr>
            <w:tcW w:w="1599" w:type="dxa"/>
            <w:tcBorders>
              <w:top w:val="nil"/>
              <w:left w:val="nil"/>
              <w:bottom w:val="single" w:color="auto" w:sz="4" w:space="0"/>
              <w:right w:val="nil"/>
            </w:tcBorders>
            <w:shd w:val="clear" w:color="auto" w:fill="auto"/>
            <w:noWrap/>
            <w:vAlign w:val="bottom"/>
            <w:hideMark/>
          </w:tcPr>
          <w:p w:rsidRPr="00387AB6" w:rsidR="006E00D4" w:rsidP="006E00D4" w:rsidRDefault="006E00D4" w14:paraId="2106FC89"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Multifamily</w:t>
            </w:r>
          </w:p>
        </w:tc>
        <w:tc>
          <w:tcPr>
            <w:tcW w:w="1671" w:type="dxa"/>
            <w:tcBorders>
              <w:top w:val="nil"/>
              <w:left w:val="single" w:color="auto" w:sz="4" w:space="0"/>
              <w:bottom w:val="single" w:color="auto" w:sz="4" w:space="0"/>
              <w:right w:val="single" w:color="auto" w:sz="4" w:space="0"/>
            </w:tcBorders>
            <w:shd w:val="clear" w:color="auto" w:fill="auto"/>
            <w:noWrap/>
            <w:vAlign w:val="bottom"/>
            <w:hideMark/>
          </w:tcPr>
          <w:p w:rsidRPr="00387AB6" w:rsidR="006E00D4" w:rsidP="006E00D4" w:rsidRDefault="006E00D4" w14:paraId="2412CED1"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Singlefamily</w:t>
            </w:r>
          </w:p>
        </w:tc>
        <w:tc>
          <w:tcPr>
            <w:tcW w:w="1599" w:type="dxa"/>
            <w:tcBorders>
              <w:top w:val="nil"/>
              <w:left w:val="nil"/>
              <w:bottom w:val="single" w:color="auto" w:sz="4" w:space="0"/>
              <w:right w:val="single" w:color="auto" w:sz="4" w:space="0"/>
            </w:tcBorders>
            <w:shd w:val="clear" w:color="auto" w:fill="auto"/>
            <w:noWrap/>
            <w:vAlign w:val="bottom"/>
            <w:hideMark/>
          </w:tcPr>
          <w:p w:rsidRPr="00387AB6" w:rsidR="006E00D4" w:rsidP="006E00D4" w:rsidRDefault="006E00D4" w14:paraId="0094E080"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Multifamily</w:t>
            </w:r>
          </w:p>
        </w:tc>
        <w:tc>
          <w:tcPr>
            <w:tcW w:w="1671" w:type="dxa"/>
            <w:tcBorders>
              <w:top w:val="nil"/>
              <w:left w:val="nil"/>
              <w:bottom w:val="nil"/>
              <w:right w:val="single" w:color="auto" w:sz="4" w:space="0"/>
            </w:tcBorders>
            <w:shd w:val="clear" w:color="auto" w:fill="auto"/>
            <w:noWrap/>
            <w:vAlign w:val="bottom"/>
            <w:hideMark/>
          </w:tcPr>
          <w:p w:rsidRPr="00387AB6" w:rsidR="006E00D4" w:rsidP="006E00D4" w:rsidRDefault="006E00D4" w14:paraId="6A75474B"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Singlefamily</w:t>
            </w:r>
          </w:p>
        </w:tc>
        <w:tc>
          <w:tcPr>
            <w:tcW w:w="1599" w:type="dxa"/>
            <w:tcBorders>
              <w:top w:val="nil"/>
              <w:left w:val="nil"/>
              <w:bottom w:val="nil"/>
              <w:right w:val="double" w:color="auto" w:sz="6" w:space="0"/>
            </w:tcBorders>
            <w:shd w:val="clear" w:color="auto" w:fill="auto"/>
            <w:noWrap/>
            <w:vAlign w:val="bottom"/>
            <w:hideMark/>
          </w:tcPr>
          <w:p w:rsidRPr="00387AB6" w:rsidR="006E00D4" w:rsidP="006E00D4" w:rsidRDefault="006E00D4" w14:paraId="303CFC50"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Multifamily</w:t>
            </w:r>
          </w:p>
        </w:tc>
        <w:tc>
          <w:tcPr>
            <w:tcW w:w="1671" w:type="dxa"/>
            <w:tcBorders>
              <w:top w:val="nil"/>
              <w:left w:val="nil"/>
              <w:bottom w:val="single" w:color="auto" w:sz="4" w:space="0"/>
              <w:right w:val="single" w:color="auto" w:sz="4" w:space="0"/>
            </w:tcBorders>
            <w:shd w:val="clear" w:color="auto" w:fill="auto"/>
            <w:noWrap/>
            <w:vAlign w:val="bottom"/>
            <w:hideMark/>
          </w:tcPr>
          <w:p w:rsidRPr="00387AB6" w:rsidR="006E00D4" w:rsidP="006E00D4" w:rsidRDefault="006E00D4" w14:paraId="2EA855DE"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Singlefamily</w:t>
            </w:r>
          </w:p>
        </w:tc>
        <w:tc>
          <w:tcPr>
            <w:tcW w:w="1599" w:type="dxa"/>
            <w:tcBorders>
              <w:top w:val="nil"/>
              <w:left w:val="nil"/>
              <w:bottom w:val="single" w:color="auto" w:sz="4" w:space="0"/>
              <w:right w:val="single" w:color="auto" w:sz="8" w:space="0"/>
            </w:tcBorders>
            <w:shd w:val="clear" w:color="auto" w:fill="auto"/>
            <w:noWrap/>
            <w:vAlign w:val="bottom"/>
            <w:hideMark/>
          </w:tcPr>
          <w:p w:rsidRPr="00387AB6" w:rsidR="006E00D4" w:rsidP="006E00D4" w:rsidRDefault="006E00D4" w14:paraId="0AF2E019"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Multifamily</w:t>
            </w:r>
          </w:p>
        </w:tc>
      </w:tr>
      <w:tr w:rsidRPr="00387AB6" w:rsidR="006E00D4" w:rsidTr="00453A47" w14:paraId="61E03F5A" w14:textId="77777777">
        <w:trPr>
          <w:trHeight w:val="224"/>
        </w:trPr>
        <w:tc>
          <w:tcPr>
            <w:tcW w:w="3927"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87AB6" w:rsidR="006E00D4" w:rsidP="006E00D4" w:rsidRDefault="006E00D4" w14:paraId="67421ED4"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2020 and after</w:t>
            </w:r>
          </w:p>
        </w:tc>
        <w:tc>
          <w:tcPr>
            <w:tcW w:w="1789"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387AB6" w:rsidR="006E00D4" w:rsidP="006E00D4" w:rsidRDefault="006E00D4" w14:paraId="6EA59C14"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of Customers]</w:t>
            </w:r>
          </w:p>
        </w:tc>
        <w:tc>
          <w:tcPr>
            <w:tcW w:w="1599" w:type="dxa"/>
            <w:tcBorders>
              <w:top w:val="nil"/>
              <w:left w:val="nil"/>
              <w:bottom w:val="single" w:color="auto" w:sz="4" w:space="0"/>
              <w:right w:val="double" w:color="auto" w:sz="6" w:space="0"/>
            </w:tcBorders>
            <w:shd w:val="clear" w:color="auto" w:fill="auto"/>
            <w:noWrap/>
            <w:vAlign w:val="bottom"/>
            <w:hideMark/>
          </w:tcPr>
          <w:p w:rsidRPr="00387AB6" w:rsidR="006E00D4" w:rsidP="006E00D4" w:rsidRDefault="006E00D4" w14:paraId="6261AF23"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71" w:type="dxa"/>
            <w:tcBorders>
              <w:top w:val="nil"/>
              <w:left w:val="nil"/>
              <w:bottom w:val="single" w:color="auto" w:sz="4" w:space="0"/>
              <w:right w:val="nil"/>
            </w:tcBorders>
            <w:shd w:val="clear" w:color="auto" w:fill="auto"/>
            <w:noWrap/>
            <w:vAlign w:val="bottom"/>
            <w:hideMark/>
          </w:tcPr>
          <w:p w:rsidRPr="00387AB6" w:rsidR="006E00D4" w:rsidP="006E00D4" w:rsidRDefault="006E00D4" w14:paraId="5888C5ED"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9" w:type="dxa"/>
            <w:tcBorders>
              <w:top w:val="nil"/>
              <w:left w:val="nil"/>
              <w:bottom w:val="single" w:color="auto" w:sz="4" w:space="0"/>
              <w:right w:val="nil"/>
            </w:tcBorders>
            <w:shd w:val="clear" w:color="auto" w:fill="auto"/>
            <w:noWrap/>
            <w:vAlign w:val="bottom"/>
            <w:hideMark/>
          </w:tcPr>
          <w:p w:rsidRPr="00387AB6" w:rsidR="006E00D4" w:rsidP="006E00D4" w:rsidRDefault="006E00D4" w14:paraId="121E0ABD"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71" w:type="dxa"/>
            <w:tcBorders>
              <w:top w:val="single" w:color="auto" w:sz="4" w:space="0"/>
              <w:left w:val="double" w:color="auto" w:sz="6" w:space="0"/>
              <w:bottom w:val="single" w:color="auto" w:sz="4" w:space="0"/>
              <w:right w:val="single" w:color="auto" w:sz="4" w:space="0"/>
            </w:tcBorders>
            <w:shd w:val="clear" w:color="auto" w:fill="auto"/>
            <w:noWrap/>
            <w:vAlign w:val="bottom"/>
            <w:hideMark/>
          </w:tcPr>
          <w:p w:rsidRPr="00387AB6" w:rsidR="006E00D4" w:rsidP="006E00D4" w:rsidRDefault="006E00D4" w14:paraId="258EAEE2"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9" w:type="dxa"/>
            <w:tcBorders>
              <w:top w:val="single" w:color="auto" w:sz="4" w:space="0"/>
              <w:left w:val="nil"/>
              <w:bottom w:val="single" w:color="auto" w:sz="4" w:space="0"/>
              <w:right w:val="double" w:color="auto" w:sz="6" w:space="0"/>
            </w:tcBorders>
            <w:shd w:val="clear" w:color="auto" w:fill="auto"/>
            <w:noWrap/>
            <w:vAlign w:val="bottom"/>
            <w:hideMark/>
          </w:tcPr>
          <w:p w:rsidRPr="00387AB6" w:rsidR="006E00D4" w:rsidP="006E00D4" w:rsidRDefault="006E00D4" w14:paraId="6DD7CCBF"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71" w:type="dxa"/>
            <w:tcBorders>
              <w:top w:val="nil"/>
              <w:left w:val="nil"/>
              <w:bottom w:val="single" w:color="auto" w:sz="4" w:space="0"/>
              <w:right w:val="single" w:color="auto" w:sz="4" w:space="0"/>
            </w:tcBorders>
            <w:shd w:val="clear" w:color="auto" w:fill="auto"/>
            <w:noWrap/>
            <w:vAlign w:val="bottom"/>
            <w:hideMark/>
          </w:tcPr>
          <w:p w:rsidRPr="00387AB6" w:rsidR="006E00D4" w:rsidP="006E00D4" w:rsidRDefault="006E00D4" w14:paraId="0AD6A184"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9" w:type="dxa"/>
            <w:tcBorders>
              <w:top w:val="nil"/>
              <w:left w:val="nil"/>
              <w:bottom w:val="single" w:color="auto" w:sz="4" w:space="0"/>
              <w:right w:val="single" w:color="auto" w:sz="8" w:space="0"/>
            </w:tcBorders>
            <w:shd w:val="clear" w:color="auto" w:fill="auto"/>
            <w:noWrap/>
            <w:vAlign w:val="bottom"/>
            <w:hideMark/>
          </w:tcPr>
          <w:p w:rsidRPr="00387AB6" w:rsidR="006E00D4" w:rsidP="006E00D4" w:rsidRDefault="006E00D4" w14:paraId="66FF0E9B"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r>
      <w:tr w:rsidRPr="00387AB6" w:rsidR="006E00D4" w:rsidTr="006E00D4" w14:paraId="59D732BB" w14:textId="77777777">
        <w:trPr>
          <w:trHeight w:val="349"/>
        </w:trPr>
        <w:tc>
          <w:tcPr>
            <w:tcW w:w="3927"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87AB6" w:rsidR="006E00D4" w:rsidP="006E00D4" w:rsidRDefault="006E00D4" w14:paraId="72EB40E0"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2014-2019</w:t>
            </w:r>
          </w:p>
        </w:tc>
        <w:tc>
          <w:tcPr>
            <w:tcW w:w="1789" w:type="dxa"/>
            <w:tcBorders>
              <w:top w:val="nil"/>
              <w:left w:val="single" w:color="auto" w:sz="4" w:space="0"/>
              <w:bottom w:val="single" w:color="auto" w:sz="4" w:space="0"/>
              <w:right w:val="single" w:color="auto" w:sz="4" w:space="0"/>
            </w:tcBorders>
            <w:shd w:val="clear" w:color="auto" w:fill="auto"/>
            <w:vAlign w:val="bottom"/>
            <w:hideMark/>
          </w:tcPr>
          <w:p w:rsidRPr="00387AB6" w:rsidR="006E00D4" w:rsidP="006E00D4" w:rsidRDefault="006E00D4" w14:paraId="4624C1C4"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9" w:type="dxa"/>
            <w:tcBorders>
              <w:top w:val="nil"/>
              <w:left w:val="nil"/>
              <w:bottom w:val="single" w:color="auto" w:sz="4" w:space="0"/>
              <w:right w:val="double" w:color="auto" w:sz="6" w:space="0"/>
            </w:tcBorders>
            <w:shd w:val="clear" w:color="auto" w:fill="auto"/>
            <w:noWrap/>
            <w:vAlign w:val="bottom"/>
            <w:hideMark/>
          </w:tcPr>
          <w:p w:rsidRPr="00387AB6" w:rsidR="006E00D4" w:rsidP="006E00D4" w:rsidRDefault="006E00D4" w14:paraId="0B2A67BB"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71" w:type="dxa"/>
            <w:tcBorders>
              <w:top w:val="nil"/>
              <w:left w:val="nil"/>
              <w:bottom w:val="single" w:color="auto" w:sz="4" w:space="0"/>
              <w:right w:val="nil"/>
            </w:tcBorders>
            <w:shd w:val="clear" w:color="auto" w:fill="auto"/>
            <w:noWrap/>
            <w:vAlign w:val="bottom"/>
            <w:hideMark/>
          </w:tcPr>
          <w:p w:rsidRPr="00387AB6" w:rsidR="006E00D4" w:rsidP="006E00D4" w:rsidRDefault="006E00D4" w14:paraId="74DA1725"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9" w:type="dxa"/>
            <w:tcBorders>
              <w:top w:val="nil"/>
              <w:left w:val="nil"/>
              <w:bottom w:val="single" w:color="auto" w:sz="4" w:space="0"/>
              <w:right w:val="nil"/>
            </w:tcBorders>
            <w:shd w:val="clear" w:color="auto" w:fill="auto"/>
            <w:noWrap/>
            <w:vAlign w:val="bottom"/>
            <w:hideMark/>
          </w:tcPr>
          <w:p w:rsidRPr="00387AB6" w:rsidR="006E00D4" w:rsidP="006E00D4" w:rsidRDefault="006E00D4" w14:paraId="6DB6D8B4"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71" w:type="dxa"/>
            <w:tcBorders>
              <w:top w:val="nil"/>
              <w:left w:val="double" w:color="auto" w:sz="6" w:space="0"/>
              <w:bottom w:val="single" w:color="auto" w:sz="4" w:space="0"/>
              <w:right w:val="single" w:color="auto" w:sz="4" w:space="0"/>
            </w:tcBorders>
            <w:shd w:val="clear" w:color="auto" w:fill="auto"/>
            <w:noWrap/>
            <w:vAlign w:val="bottom"/>
            <w:hideMark/>
          </w:tcPr>
          <w:p w:rsidRPr="00387AB6" w:rsidR="006E00D4" w:rsidP="006E00D4" w:rsidRDefault="006E00D4" w14:paraId="1AA471BF"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9" w:type="dxa"/>
            <w:tcBorders>
              <w:top w:val="nil"/>
              <w:left w:val="nil"/>
              <w:bottom w:val="single" w:color="auto" w:sz="4" w:space="0"/>
              <w:right w:val="double" w:color="auto" w:sz="6" w:space="0"/>
            </w:tcBorders>
            <w:shd w:val="clear" w:color="auto" w:fill="auto"/>
            <w:noWrap/>
            <w:vAlign w:val="bottom"/>
            <w:hideMark/>
          </w:tcPr>
          <w:p w:rsidRPr="00387AB6" w:rsidR="006E00D4" w:rsidP="006E00D4" w:rsidRDefault="006E00D4" w14:paraId="31AC65B5"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71" w:type="dxa"/>
            <w:tcBorders>
              <w:top w:val="nil"/>
              <w:left w:val="nil"/>
              <w:bottom w:val="single" w:color="auto" w:sz="4" w:space="0"/>
              <w:right w:val="single" w:color="auto" w:sz="4" w:space="0"/>
            </w:tcBorders>
            <w:shd w:val="clear" w:color="auto" w:fill="auto"/>
            <w:noWrap/>
            <w:vAlign w:val="bottom"/>
            <w:hideMark/>
          </w:tcPr>
          <w:p w:rsidRPr="00387AB6" w:rsidR="006E00D4" w:rsidP="006E00D4" w:rsidRDefault="006E00D4" w14:paraId="3DC6A8DF"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9" w:type="dxa"/>
            <w:tcBorders>
              <w:top w:val="nil"/>
              <w:left w:val="nil"/>
              <w:bottom w:val="single" w:color="auto" w:sz="4" w:space="0"/>
              <w:right w:val="single" w:color="auto" w:sz="8" w:space="0"/>
            </w:tcBorders>
            <w:shd w:val="clear" w:color="auto" w:fill="auto"/>
            <w:noWrap/>
            <w:vAlign w:val="bottom"/>
            <w:hideMark/>
          </w:tcPr>
          <w:p w:rsidRPr="00387AB6" w:rsidR="006E00D4" w:rsidP="006E00D4" w:rsidRDefault="006E00D4" w14:paraId="09493DDE"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r>
      <w:tr w:rsidRPr="00387AB6" w:rsidR="006E00D4" w:rsidTr="006E00D4" w14:paraId="7086E51B" w14:textId="77777777">
        <w:trPr>
          <w:trHeight w:val="349"/>
        </w:trPr>
        <w:tc>
          <w:tcPr>
            <w:tcW w:w="3927"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87AB6" w:rsidR="006E00D4" w:rsidP="006E00D4" w:rsidRDefault="006E00D4" w14:paraId="2FC21BE8"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2008-2013</w:t>
            </w:r>
          </w:p>
        </w:tc>
        <w:tc>
          <w:tcPr>
            <w:tcW w:w="1789" w:type="dxa"/>
            <w:tcBorders>
              <w:top w:val="nil"/>
              <w:left w:val="single" w:color="auto" w:sz="4" w:space="0"/>
              <w:bottom w:val="single" w:color="auto" w:sz="4" w:space="0"/>
              <w:right w:val="single" w:color="auto" w:sz="4" w:space="0"/>
            </w:tcBorders>
            <w:shd w:val="clear" w:color="auto" w:fill="auto"/>
            <w:vAlign w:val="bottom"/>
            <w:hideMark/>
          </w:tcPr>
          <w:p w:rsidRPr="00387AB6" w:rsidR="006E00D4" w:rsidP="006E00D4" w:rsidRDefault="006E00D4" w14:paraId="44B5634E"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9" w:type="dxa"/>
            <w:tcBorders>
              <w:top w:val="nil"/>
              <w:left w:val="nil"/>
              <w:bottom w:val="single" w:color="auto" w:sz="4" w:space="0"/>
              <w:right w:val="double" w:color="auto" w:sz="6" w:space="0"/>
            </w:tcBorders>
            <w:shd w:val="clear" w:color="auto" w:fill="auto"/>
            <w:noWrap/>
            <w:vAlign w:val="bottom"/>
            <w:hideMark/>
          </w:tcPr>
          <w:p w:rsidRPr="00387AB6" w:rsidR="006E00D4" w:rsidP="006E00D4" w:rsidRDefault="006E00D4" w14:paraId="7DAF80DF"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71" w:type="dxa"/>
            <w:tcBorders>
              <w:top w:val="nil"/>
              <w:left w:val="nil"/>
              <w:bottom w:val="single" w:color="auto" w:sz="4" w:space="0"/>
              <w:right w:val="nil"/>
            </w:tcBorders>
            <w:shd w:val="clear" w:color="auto" w:fill="auto"/>
            <w:noWrap/>
            <w:vAlign w:val="bottom"/>
            <w:hideMark/>
          </w:tcPr>
          <w:p w:rsidRPr="00387AB6" w:rsidR="006E00D4" w:rsidP="006E00D4" w:rsidRDefault="006E00D4" w14:paraId="50EFED89"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9" w:type="dxa"/>
            <w:tcBorders>
              <w:top w:val="nil"/>
              <w:left w:val="nil"/>
              <w:bottom w:val="single" w:color="auto" w:sz="4" w:space="0"/>
              <w:right w:val="nil"/>
            </w:tcBorders>
            <w:shd w:val="clear" w:color="auto" w:fill="auto"/>
            <w:noWrap/>
            <w:vAlign w:val="bottom"/>
            <w:hideMark/>
          </w:tcPr>
          <w:p w:rsidRPr="00387AB6" w:rsidR="006E00D4" w:rsidP="006E00D4" w:rsidRDefault="006E00D4" w14:paraId="1F788ACC"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71" w:type="dxa"/>
            <w:tcBorders>
              <w:top w:val="nil"/>
              <w:left w:val="double" w:color="auto" w:sz="6" w:space="0"/>
              <w:bottom w:val="single" w:color="auto" w:sz="4" w:space="0"/>
              <w:right w:val="single" w:color="auto" w:sz="4" w:space="0"/>
            </w:tcBorders>
            <w:shd w:val="clear" w:color="auto" w:fill="auto"/>
            <w:noWrap/>
            <w:vAlign w:val="bottom"/>
            <w:hideMark/>
          </w:tcPr>
          <w:p w:rsidRPr="00387AB6" w:rsidR="006E00D4" w:rsidP="006E00D4" w:rsidRDefault="006E00D4" w14:paraId="6E716868"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9" w:type="dxa"/>
            <w:tcBorders>
              <w:top w:val="nil"/>
              <w:left w:val="nil"/>
              <w:bottom w:val="single" w:color="auto" w:sz="4" w:space="0"/>
              <w:right w:val="double" w:color="auto" w:sz="6" w:space="0"/>
            </w:tcBorders>
            <w:shd w:val="clear" w:color="auto" w:fill="auto"/>
            <w:noWrap/>
            <w:vAlign w:val="bottom"/>
            <w:hideMark/>
          </w:tcPr>
          <w:p w:rsidRPr="00387AB6" w:rsidR="006E00D4" w:rsidP="006E00D4" w:rsidRDefault="006E00D4" w14:paraId="0FBF55BF"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71" w:type="dxa"/>
            <w:tcBorders>
              <w:top w:val="nil"/>
              <w:left w:val="nil"/>
              <w:bottom w:val="single" w:color="auto" w:sz="4" w:space="0"/>
              <w:right w:val="single" w:color="auto" w:sz="4" w:space="0"/>
            </w:tcBorders>
            <w:shd w:val="clear" w:color="auto" w:fill="auto"/>
            <w:noWrap/>
            <w:vAlign w:val="bottom"/>
            <w:hideMark/>
          </w:tcPr>
          <w:p w:rsidRPr="00387AB6" w:rsidR="006E00D4" w:rsidP="006E00D4" w:rsidRDefault="006E00D4" w14:paraId="3A492C85"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9" w:type="dxa"/>
            <w:tcBorders>
              <w:top w:val="nil"/>
              <w:left w:val="nil"/>
              <w:bottom w:val="single" w:color="auto" w:sz="4" w:space="0"/>
              <w:right w:val="single" w:color="auto" w:sz="8" w:space="0"/>
            </w:tcBorders>
            <w:shd w:val="clear" w:color="auto" w:fill="auto"/>
            <w:noWrap/>
            <w:vAlign w:val="bottom"/>
            <w:hideMark/>
          </w:tcPr>
          <w:p w:rsidRPr="00387AB6" w:rsidR="006E00D4" w:rsidP="006E00D4" w:rsidRDefault="006E00D4" w14:paraId="243DC3A2"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r>
      <w:tr w:rsidRPr="00387AB6" w:rsidR="006E00D4" w:rsidTr="006E00D4" w14:paraId="0A11E701" w14:textId="77777777">
        <w:trPr>
          <w:trHeight w:val="349"/>
        </w:trPr>
        <w:tc>
          <w:tcPr>
            <w:tcW w:w="3927"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87AB6" w:rsidR="006E00D4" w:rsidP="006E00D4" w:rsidRDefault="006E00D4" w14:paraId="0210330D"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2002-2007</w:t>
            </w:r>
          </w:p>
        </w:tc>
        <w:tc>
          <w:tcPr>
            <w:tcW w:w="1789" w:type="dxa"/>
            <w:tcBorders>
              <w:top w:val="nil"/>
              <w:left w:val="single" w:color="auto" w:sz="4" w:space="0"/>
              <w:bottom w:val="single" w:color="auto" w:sz="4" w:space="0"/>
              <w:right w:val="single" w:color="auto" w:sz="4" w:space="0"/>
            </w:tcBorders>
            <w:shd w:val="clear" w:color="auto" w:fill="auto"/>
            <w:noWrap/>
            <w:vAlign w:val="bottom"/>
            <w:hideMark/>
          </w:tcPr>
          <w:p w:rsidRPr="00387AB6" w:rsidR="006E00D4" w:rsidP="006E00D4" w:rsidRDefault="006E00D4" w14:paraId="42831F1D"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9" w:type="dxa"/>
            <w:tcBorders>
              <w:top w:val="nil"/>
              <w:left w:val="nil"/>
              <w:bottom w:val="single" w:color="auto" w:sz="4" w:space="0"/>
              <w:right w:val="double" w:color="auto" w:sz="6" w:space="0"/>
            </w:tcBorders>
            <w:shd w:val="clear" w:color="auto" w:fill="auto"/>
            <w:noWrap/>
            <w:vAlign w:val="bottom"/>
            <w:hideMark/>
          </w:tcPr>
          <w:p w:rsidRPr="00387AB6" w:rsidR="006E00D4" w:rsidP="006E00D4" w:rsidRDefault="006E00D4" w14:paraId="3B4D6784"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71" w:type="dxa"/>
            <w:tcBorders>
              <w:top w:val="nil"/>
              <w:left w:val="nil"/>
              <w:bottom w:val="single" w:color="auto" w:sz="4" w:space="0"/>
              <w:right w:val="nil"/>
            </w:tcBorders>
            <w:shd w:val="clear" w:color="auto" w:fill="auto"/>
            <w:noWrap/>
            <w:vAlign w:val="bottom"/>
            <w:hideMark/>
          </w:tcPr>
          <w:p w:rsidRPr="00387AB6" w:rsidR="006E00D4" w:rsidP="006E00D4" w:rsidRDefault="006E00D4" w14:paraId="2389047A"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9" w:type="dxa"/>
            <w:tcBorders>
              <w:top w:val="nil"/>
              <w:left w:val="nil"/>
              <w:bottom w:val="single" w:color="auto" w:sz="4" w:space="0"/>
              <w:right w:val="nil"/>
            </w:tcBorders>
            <w:shd w:val="clear" w:color="auto" w:fill="auto"/>
            <w:noWrap/>
            <w:vAlign w:val="bottom"/>
            <w:hideMark/>
          </w:tcPr>
          <w:p w:rsidRPr="00387AB6" w:rsidR="006E00D4" w:rsidP="006E00D4" w:rsidRDefault="006E00D4" w14:paraId="5A7D87C6"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71" w:type="dxa"/>
            <w:tcBorders>
              <w:top w:val="nil"/>
              <w:left w:val="double" w:color="auto" w:sz="6" w:space="0"/>
              <w:bottom w:val="single" w:color="auto" w:sz="4" w:space="0"/>
              <w:right w:val="single" w:color="auto" w:sz="4" w:space="0"/>
            </w:tcBorders>
            <w:shd w:val="clear" w:color="auto" w:fill="auto"/>
            <w:noWrap/>
            <w:vAlign w:val="bottom"/>
            <w:hideMark/>
          </w:tcPr>
          <w:p w:rsidRPr="00387AB6" w:rsidR="006E00D4" w:rsidP="006E00D4" w:rsidRDefault="006E00D4" w14:paraId="1CCE8D66"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9" w:type="dxa"/>
            <w:tcBorders>
              <w:top w:val="nil"/>
              <w:left w:val="nil"/>
              <w:bottom w:val="single" w:color="auto" w:sz="4" w:space="0"/>
              <w:right w:val="double" w:color="auto" w:sz="6" w:space="0"/>
            </w:tcBorders>
            <w:shd w:val="clear" w:color="auto" w:fill="auto"/>
            <w:noWrap/>
            <w:vAlign w:val="bottom"/>
            <w:hideMark/>
          </w:tcPr>
          <w:p w:rsidRPr="00387AB6" w:rsidR="006E00D4" w:rsidP="006E00D4" w:rsidRDefault="006E00D4" w14:paraId="3B134D0F"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71" w:type="dxa"/>
            <w:tcBorders>
              <w:top w:val="nil"/>
              <w:left w:val="nil"/>
              <w:bottom w:val="single" w:color="auto" w:sz="4" w:space="0"/>
              <w:right w:val="single" w:color="auto" w:sz="4" w:space="0"/>
            </w:tcBorders>
            <w:shd w:val="clear" w:color="auto" w:fill="auto"/>
            <w:noWrap/>
            <w:vAlign w:val="bottom"/>
            <w:hideMark/>
          </w:tcPr>
          <w:p w:rsidRPr="00387AB6" w:rsidR="006E00D4" w:rsidP="006E00D4" w:rsidRDefault="006E00D4" w14:paraId="6E800B78"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9" w:type="dxa"/>
            <w:tcBorders>
              <w:top w:val="nil"/>
              <w:left w:val="nil"/>
              <w:bottom w:val="single" w:color="auto" w:sz="4" w:space="0"/>
              <w:right w:val="single" w:color="auto" w:sz="8" w:space="0"/>
            </w:tcBorders>
            <w:shd w:val="clear" w:color="auto" w:fill="auto"/>
            <w:noWrap/>
            <w:vAlign w:val="bottom"/>
            <w:hideMark/>
          </w:tcPr>
          <w:p w:rsidRPr="00387AB6" w:rsidR="006E00D4" w:rsidP="006E00D4" w:rsidRDefault="006E00D4" w14:paraId="4144DE53"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r>
      <w:tr w:rsidRPr="00387AB6" w:rsidR="006E00D4" w:rsidTr="006E00D4" w14:paraId="073368B0" w14:textId="77777777">
        <w:trPr>
          <w:trHeight w:val="349"/>
        </w:trPr>
        <w:tc>
          <w:tcPr>
            <w:tcW w:w="3927"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87AB6" w:rsidR="006E00D4" w:rsidP="006E00D4" w:rsidRDefault="006E00D4" w14:paraId="6BD7C476"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1996-2001</w:t>
            </w:r>
          </w:p>
        </w:tc>
        <w:tc>
          <w:tcPr>
            <w:tcW w:w="1789" w:type="dxa"/>
            <w:tcBorders>
              <w:top w:val="nil"/>
              <w:left w:val="single" w:color="auto" w:sz="4" w:space="0"/>
              <w:bottom w:val="single" w:color="auto" w:sz="4" w:space="0"/>
              <w:right w:val="single" w:color="auto" w:sz="4" w:space="0"/>
            </w:tcBorders>
            <w:shd w:val="clear" w:color="auto" w:fill="auto"/>
            <w:noWrap/>
            <w:vAlign w:val="bottom"/>
            <w:hideMark/>
          </w:tcPr>
          <w:p w:rsidRPr="00387AB6" w:rsidR="006E00D4" w:rsidP="006E00D4" w:rsidRDefault="006E00D4" w14:paraId="4F98DE6C"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9" w:type="dxa"/>
            <w:tcBorders>
              <w:top w:val="nil"/>
              <w:left w:val="nil"/>
              <w:bottom w:val="single" w:color="auto" w:sz="4" w:space="0"/>
              <w:right w:val="double" w:color="auto" w:sz="6" w:space="0"/>
            </w:tcBorders>
            <w:shd w:val="clear" w:color="auto" w:fill="auto"/>
            <w:noWrap/>
            <w:vAlign w:val="bottom"/>
            <w:hideMark/>
          </w:tcPr>
          <w:p w:rsidRPr="00387AB6" w:rsidR="006E00D4" w:rsidP="006E00D4" w:rsidRDefault="006E00D4" w14:paraId="3699C34E"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71" w:type="dxa"/>
            <w:tcBorders>
              <w:top w:val="nil"/>
              <w:left w:val="nil"/>
              <w:bottom w:val="single" w:color="auto" w:sz="4" w:space="0"/>
              <w:right w:val="nil"/>
            </w:tcBorders>
            <w:shd w:val="clear" w:color="auto" w:fill="auto"/>
            <w:noWrap/>
            <w:vAlign w:val="bottom"/>
            <w:hideMark/>
          </w:tcPr>
          <w:p w:rsidRPr="00387AB6" w:rsidR="006E00D4" w:rsidP="006E00D4" w:rsidRDefault="006E00D4" w14:paraId="43E65AA8"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9" w:type="dxa"/>
            <w:tcBorders>
              <w:top w:val="nil"/>
              <w:left w:val="nil"/>
              <w:bottom w:val="single" w:color="auto" w:sz="4" w:space="0"/>
              <w:right w:val="nil"/>
            </w:tcBorders>
            <w:shd w:val="clear" w:color="auto" w:fill="auto"/>
            <w:noWrap/>
            <w:vAlign w:val="bottom"/>
            <w:hideMark/>
          </w:tcPr>
          <w:p w:rsidRPr="00387AB6" w:rsidR="006E00D4" w:rsidP="006E00D4" w:rsidRDefault="006E00D4" w14:paraId="7730B845"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71" w:type="dxa"/>
            <w:tcBorders>
              <w:top w:val="nil"/>
              <w:left w:val="double" w:color="auto" w:sz="6" w:space="0"/>
              <w:bottom w:val="single" w:color="auto" w:sz="4" w:space="0"/>
              <w:right w:val="single" w:color="auto" w:sz="4" w:space="0"/>
            </w:tcBorders>
            <w:shd w:val="clear" w:color="auto" w:fill="auto"/>
            <w:noWrap/>
            <w:vAlign w:val="bottom"/>
            <w:hideMark/>
          </w:tcPr>
          <w:p w:rsidRPr="00387AB6" w:rsidR="006E00D4" w:rsidP="006E00D4" w:rsidRDefault="006E00D4" w14:paraId="231A15B8"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9" w:type="dxa"/>
            <w:tcBorders>
              <w:top w:val="nil"/>
              <w:left w:val="nil"/>
              <w:bottom w:val="single" w:color="auto" w:sz="4" w:space="0"/>
              <w:right w:val="double" w:color="auto" w:sz="6" w:space="0"/>
            </w:tcBorders>
            <w:shd w:val="clear" w:color="auto" w:fill="auto"/>
            <w:noWrap/>
            <w:vAlign w:val="bottom"/>
            <w:hideMark/>
          </w:tcPr>
          <w:p w:rsidRPr="00387AB6" w:rsidR="006E00D4" w:rsidP="006E00D4" w:rsidRDefault="006E00D4" w14:paraId="3AC007FD"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71" w:type="dxa"/>
            <w:tcBorders>
              <w:top w:val="nil"/>
              <w:left w:val="nil"/>
              <w:bottom w:val="single" w:color="auto" w:sz="4" w:space="0"/>
              <w:right w:val="single" w:color="auto" w:sz="4" w:space="0"/>
            </w:tcBorders>
            <w:shd w:val="clear" w:color="auto" w:fill="auto"/>
            <w:noWrap/>
            <w:vAlign w:val="bottom"/>
            <w:hideMark/>
          </w:tcPr>
          <w:p w:rsidRPr="00387AB6" w:rsidR="006E00D4" w:rsidP="006E00D4" w:rsidRDefault="006E00D4" w14:paraId="73FF4E12"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9" w:type="dxa"/>
            <w:tcBorders>
              <w:top w:val="nil"/>
              <w:left w:val="nil"/>
              <w:bottom w:val="single" w:color="auto" w:sz="4" w:space="0"/>
              <w:right w:val="single" w:color="auto" w:sz="8" w:space="0"/>
            </w:tcBorders>
            <w:shd w:val="clear" w:color="auto" w:fill="auto"/>
            <w:noWrap/>
            <w:vAlign w:val="bottom"/>
            <w:hideMark/>
          </w:tcPr>
          <w:p w:rsidRPr="00387AB6" w:rsidR="006E00D4" w:rsidP="006E00D4" w:rsidRDefault="006E00D4" w14:paraId="24630E96"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r>
      <w:tr w:rsidRPr="00387AB6" w:rsidR="006E00D4" w:rsidTr="006E00D4" w14:paraId="6ADF542F" w14:textId="77777777">
        <w:trPr>
          <w:trHeight w:val="349"/>
        </w:trPr>
        <w:tc>
          <w:tcPr>
            <w:tcW w:w="3927"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87AB6" w:rsidR="006E00D4" w:rsidP="006E00D4" w:rsidRDefault="006E00D4" w14:paraId="5A43D365"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1990-1995</w:t>
            </w:r>
          </w:p>
        </w:tc>
        <w:tc>
          <w:tcPr>
            <w:tcW w:w="1789" w:type="dxa"/>
            <w:tcBorders>
              <w:top w:val="nil"/>
              <w:left w:val="single" w:color="auto" w:sz="4" w:space="0"/>
              <w:bottom w:val="single" w:color="auto" w:sz="4" w:space="0"/>
              <w:right w:val="single" w:color="auto" w:sz="4" w:space="0"/>
            </w:tcBorders>
            <w:shd w:val="clear" w:color="auto" w:fill="auto"/>
            <w:noWrap/>
            <w:vAlign w:val="bottom"/>
            <w:hideMark/>
          </w:tcPr>
          <w:p w:rsidRPr="00387AB6" w:rsidR="006E00D4" w:rsidP="006E00D4" w:rsidRDefault="006E00D4" w14:paraId="7711B104"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9" w:type="dxa"/>
            <w:tcBorders>
              <w:top w:val="nil"/>
              <w:left w:val="nil"/>
              <w:bottom w:val="single" w:color="auto" w:sz="4" w:space="0"/>
              <w:right w:val="double" w:color="auto" w:sz="6" w:space="0"/>
            </w:tcBorders>
            <w:shd w:val="clear" w:color="auto" w:fill="auto"/>
            <w:noWrap/>
            <w:vAlign w:val="bottom"/>
            <w:hideMark/>
          </w:tcPr>
          <w:p w:rsidRPr="00387AB6" w:rsidR="006E00D4" w:rsidP="006E00D4" w:rsidRDefault="006E00D4" w14:paraId="7CC0D2CC"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71" w:type="dxa"/>
            <w:tcBorders>
              <w:top w:val="nil"/>
              <w:left w:val="nil"/>
              <w:bottom w:val="single" w:color="auto" w:sz="4" w:space="0"/>
              <w:right w:val="nil"/>
            </w:tcBorders>
            <w:shd w:val="clear" w:color="auto" w:fill="auto"/>
            <w:noWrap/>
            <w:vAlign w:val="bottom"/>
            <w:hideMark/>
          </w:tcPr>
          <w:p w:rsidRPr="00387AB6" w:rsidR="006E00D4" w:rsidP="006E00D4" w:rsidRDefault="006E00D4" w14:paraId="0C63CF21"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9" w:type="dxa"/>
            <w:tcBorders>
              <w:top w:val="nil"/>
              <w:left w:val="nil"/>
              <w:bottom w:val="single" w:color="auto" w:sz="4" w:space="0"/>
              <w:right w:val="nil"/>
            </w:tcBorders>
            <w:shd w:val="clear" w:color="auto" w:fill="auto"/>
            <w:noWrap/>
            <w:vAlign w:val="bottom"/>
            <w:hideMark/>
          </w:tcPr>
          <w:p w:rsidRPr="00387AB6" w:rsidR="006E00D4" w:rsidP="006E00D4" w:rsidRDefault="006E00D4" w14:paraId="6C0DD191"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71" w:type="dxa"/>
            <w:tcBorders>
              <w:top w:val="nil"/>
              <w:left w:val="double" w:color="auto" w:sz="6" w:space="0"/>
              <w:bottom w:val="single" w:color="auto" w:sz="4" w:space="0"/>
              <w:right w:val="single" w:color="auto" w:sz="4" w:space="0"/>
            </w:tcBorders>
            <w:shd w:val="clear" w:color="auto" w:fill="auto"/>
            <w:noWrap/>
            <w:vAlign w:val="bottom"/>
            <w:hideMark/>
          </w:tcPr>
          <w:p w:rsidRPr="00387AB6" w:rsidR="006E00D4" w:rsidP="006E00D4" w:rsidRDefault="006E00D4" w14:paraId="692DAACC"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9" w:type="dxa"/>
            <w:tcBorders>
              <w:top w:val="nil"/>
              <w:left w:val="nil"/>
              <w:bottom w:val="single" w:color="auto" w:sz="4" w:space="0"/>
              <w:right w:val="double" w:color="auto" w:sz="6" w:space="0"/>
            </w:tcBorders>
            <w:shd w:val="clear" w:color="auto" w:fill="auto"/>
            <w:noWrap/>
            <w:vAlign w:val="bottom"/>
            <w:hideMark/>
          </w:tcPr>
          <w:p w:rsidRPr="00387AB6" w:rsidR="006E00D4" w:rsidP="006E00D4" w:rsidRDefault="006E00D4" w14:paraId="17FE4F85"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71" w:type="dxa"/>
            <w:tcBorders>
              <w:top w:val="nil"/>
              <w:left w:val="nil"/>
              <w:bottom w:val="single" w:color="auto" w:sz="4" w:space="0"/>
              <w:right w:val="single" w:color="auto" w:sz="4" w:space="0"/>
            </w:tcBorders>
            <w:shd w:val="clear" w:color="auto" w:fill="auto"/>
            <w:noWrap/>
            <w:vAlign w:val="bottom"/>
            <w:hideMark/>
          </w:tcPr>
          <w:p w:rsidRPr="00387AB6" w:rsidR="006E00D4" w:rsidP="006E00D4" w:rsidRDefault="006E00D4" w14:paraId="123D5B04"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9" w:type="dxa"/>
            <w:tcBorders>
              <w:top w:val="nil"/>
              <w:left w:val="nil"/>
              <w:bottom w:val="single" w:color="auto" w:sz="4" w:space="0"/>
              <w:right w:val="single" w:color="auto" w:sz="8" w:space="0"/>
            </w:tcBorders>
            <w:shd w:val="clear" w:color="auto" w:fill="auto"/>
            <w:noWrap/>
            <w:vAlign w:val="bottom"/>
            <w:hideMark/>
          </w:tcPr>
          <w:p w:rsidRPr="00387AB6" w:rsidR="006E00D4" w:rsidP="006E00D4" w:rsidRDefault="006E00D4" w14:paraId="56D956AF"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r>
      <w:tr w:rsidRPr="00387AB6" w:rsidR="006E00D4" w:rsidTr="006E00D4" w14:paraId="5B432A9D" w14:textId="77777777">
        <w:trPr>
          <w:trHeight w:val="349"/>
        </w:trPr>
        <w:tc>
          <w:tcPr>
            <w:tcW w:w="3927"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87AB6" w:rsidR="006E00D4" w:rsidP="006E00D4" w:rsidRDefault="006E00D4" w14:paraId="14AD7C66"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1978-1989</w:t>
            </w:r>
          </w:p>
        </w:tc>
        <w:tc>
          <w:tcPr>
            <w:tcW w:w="1789" w:type="dxa"/>
            <w:tcBorders>
              <w:top w:val="nil"/>
              <w:left w:val="single" w:color="auto" w:sz="4" w:space="0"/>
              <w:bottom w:val="single" w:color="auto" w:sz="4" w:space="0"/>
              <w:right w:val="single" w:color="auto" w:sz="4" w:space="0"/>
            </w:tcBorders>
            <w:shd w:val="clear" w:color="auto" w:fill="auto"/>
            <w:noWrap/>
            <w:vAlign w:val="bottom"/>
            <w:hideMark/>
          </w:tcPr>
          <w:p w:rsidRPr="00387AB6" w:rsidR="006E00D4" w:rsidP="006E00D4" w:rsidRDefault="006E00D4" w14:paraId="5E8A0921"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9" w:type="dxa"/>
            <w:tcBorders>
              <w:top w:val="nil"/>
              <w:left w:val="nil"/>
              <w:bottom w:val="single" w:color="auto" w:sz="4" w:space="0"/>
              <w:right w:val="double" w:color="auto" w:sz="6" w:space="0"/>
            </w:tcBorders>
            <w:shd w:val="clear" w:color="auto" w:fill="auto"/>
            <w:noWrap/>
            <w:vAlign w:val="bottom"/>
            <w:hideMark/>
          </w:tcPr>
          <w:p w:rsidRPr="00387AB6" w:rsidR="006E00D4" w:rsidP="006E00D4" w:rsidRDefault="006E00D4" w14:paraId="708D1A0A"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71" w:type="dxa"/>
            <w:tcBorders>
              <w:top w:val="nil"/>
              <w:left w:val="nil"/>
              <w:bottom w:val="single" w:color="auto" w:sz="4" w:space="0"/>
              <w:right w:val="nil"/>
            </w:tcBorders>
            <w:shd w:val="clear" w:color="auto" w:fill="auto"/>
            <w:noWrap/>
            <w:vAlign w:val="bottom"/>
            <w:hideMark/>
          </w:tcPr>
          <w:p w:rsidRPr="00387AB6" w:rsidR="006E00D4" w:rsidP="006E00D4" w:rsidRDefault="006E00D4" w14:paraId="702CF6C7"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9" w:type="dxa"/>
            <w:tcBorders>
              <w:top w:val="nil"/>
              <w:left w:val="nil"/>
              <w:bottom w:val="single" w:color="auto" w:sz="4" w:space="0"/>
              <w:right w:val="nil"/>
            </w:tcBorders>
            <w:shd w:val="clear" w:color="auto" w:fill="auto"/>
            <w:noWrap/>
            <w:vAlign w:val="bottom"/>
            <w:hideMark/>
          </w:tcPr>
          <w:p w:rsidRPr="00387AB6" w:rsidR="006E00D4" w:rsidP="006E00D4" w:rsidRDefault="006E00D4" w14:paraId="080427F5"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71" w:type="dxa"/>
            <w:tcBorders>
              <w:top w:val="nil"/>
              <w:left w:val="double" w:color="auto" w:sz="6" w:space="0"/>
              <w:bottom w:val="single" w:color="auto" w:sz="4" w:space="0"/>
              <w:right w:val="single" w:color="auto" w:sz="4" w:space="0"/>
            </w:tcBorders>
            <w:shd w:val="clear" w:color="auto" w:fill="auto"/>
            <w:noWrap/>
            <w:vAlign w:val="bottom"/>
            <w:hideMark/>
          </w:tcPr>
          <w:p w:rsidRPr="00387AB6" w:rsidR="006E00D4" w:rsidP="006E00D4" w:rsidRDefault="006E00D4" w14:paraId="227D98A1"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9" w:type="dxa"/>
            <w:tcBorders>
              <w:top w:val="nil"/>
              <w:left w:val="nil"/>
              <w:bottom w:val="single" w:color="auto" w:sz="4" w:space="0"/>
              <w:right w:val="double" w:color="auto" w:sz="6" w:space="0"/>
            </w:tcBorders>
            <w:shd w:val="clear" w:color="auto" w:fill="auto"/>
            <w:noWrap/>
            <w:vAlign w:val="bottom"/>
            <w:hideMark/>
          </w:tcPr>
          <w:p w:rsidRPr="00387AB6" w:rsidR="006E00D4" w:rsidP="006E00D4" w:rsidRDefault="006E00D4" w14:paraId="47551BEC"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71" w:type="dxa"/>
            <w:tcBorders>
              <w:top w:val="nil"/>
              <w:left w:val="nil"/>
              <w:bottom w:val="single" w:color="auto" w:sz="4" w:space="0"/>
              <w:right w:val="single" w:color="auto" w:sz="4" w:space="0"/>
            </w:tcBorders>
            <w:shd w:val="clear" w:color="auto" w:fill="auto"/>
            <w:noWrap/>
            <w:vAlign w:val="bottom"/>
            <w:hideMark/>
          </w:tcPr>
          <w:p w:rsidRPr="00387AB6" w:rsidR="006E00D4" w:rsidP="006E00D4" w:rsidRDefault="006E00D4" w14:paraId="271D18DC"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9" w:type="dxa"/>
            <w:tcBorders>
              <w:top w:val="nil"/>
              <w:left w:val="nil"/>
              <w:bottom w:val="single" w:color="auto" w:sz="4" w:space="0"/>
              <w:right w:val="single" w:color="auto" w:sz="8" w:space="0"/>
            </w:tcBorders>
            <w:shd w:val="clear" w:color="auto" w:fill="auto"/>
            <w:noWrap/>
            <w:vAlign w:val="bottom"/>
            <w:hideMark/>
          </w:tcPr>
          <w:p w:rsidRPr="00387AB6" w:rsidR="006E00D4" w:rsidP="006E00D4" w:rsidRDefault="006E00D4" w14:paraId="224F6785"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r>
      <w:tr w:rsidRPr="00387AB6" w:rsidR="006E00D4" w:rsidTr="006E00D4" w14:paraId="1B0FCA98" w14:textId="77777777">
        <w:trPr>
          <w:trHeight w:val="349"/>
        </w:trPr>
        <w:tc>
          <w:tcPr>
            <w:tcW w:w="3927"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87AB6" w:rsidR="006E00D4" w:rsidP="006E00D4" w:rsidRDefault="006E00D4" w14:paraId="3AC6A5F2"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1977-1961</w:t>
            </w:r>
          </w:p>
        </w:tc>
        <w:tc>
          <w:tcPr>
            <w:tcW w:w="1789" w:type="dxa"/>
            <w:tcBorders>
              <w:top w:val="nil"/>
              <w:left w:val="single" w:color="auto" w:sz="4" w:space="0"/>
              <w:bottom w:val="single" w:color="auto" w:sz="4" w:space="0"/>
              <w:right w:val="single" w:color="auto" w:sz="4" w:space="0"/>
            </w:tcBorders>
            <w:shd w:val="clear" w:color="auto" w:fill="auto"/>
            <w:noWrap/>
            <w:vAlign w:val="bottom"/>
            <w:hideMark/>
          </w:tcPr>
          <w:p w:rsidRPr="00387AB6" w:rsidR="006E00D4" w:rsidP="006E00D4" w:rsidRDefault="006E00D4" w14:paraId="71D917BE"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9" w:type="dxa"/>
            <w:tcBorders>
              <w:top w:val="nil"/>
              <w:left w:val="nil"/>
              <w:bottom w:val="single" w:color="auto" w:sz="4" w:space="0"/>
              <w:right w:val="double" w:color="auto" w:sz="6" w:space="0"/>
            </w:tcBorders>
            <w:shd w:val="clear" w:color="auto" w:fill="auto"/>
            <w:noWrap/>
            <w:vAlign w:val="bottom"/>
            <w:hideMark/>
          </w:tcPr>
          <w:p w:rsidRPr="00387AB6" w:rsidR="006E00D4" w:rsidP="006E00D4" w:rsidRDefault="006E00D4" w14:paraId="3070C444"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71" w:type="dxa"/>
            <w:tcBorders>
              <w:top w:val="nil"/>
              <w:left w:val="nil"/>
              <w:bottom w:val="single" w:color="auto" w:sz="4" w:space="0"/>
              <w:right w:val="nil"/>
            </w:tcBorders>
            <w:shd w:val="clear" w:color="auto" w:fill="auto"/>
            <w:noWrap/>
            <w:vAlign w:val="bottom"/>
            <w:hideMark/>
          </w:tcPr>
          <w:p w:rsidRPr="00387AB6" w:rsidR="006E00D4" w:rsidP="006E00D4" w:rsidRDefault="006E00D4" w14:paraId="71264270"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9" w:type="dxa"/>
            <w:tcBorders>
              <w:top w:val="nil"/>
              <w:left w:val="nil"/>
              <w:bottom w:val="single" w:color="auto" w:sz="4" w:space="0"/>
              <w:right w:val="nil"/>
            </w:tcBorders>
            <w:shd w:val="clear" w:color="auto" w:fill="auto"/>
            <w:noWrap/>
            <w:vAlign w:val="bottom"/>
            <w:hideMark/>
          </w:tcPr>
          <w:p w:rsidRPr="00387AB6" w:rsidR="006E00D4" w:rsidP="006E00D4" w:rsidRDefault="006E00D4" w14:paraId="63CFA571"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71" w:type="dxa"/>
            <w:tcBorders>
              <w:top w:val="nil"/>
              <w:left w:val="double" w:color="auto" w:sz="6" w:space="0"/>
              <w:bottom w:val="single" w:color="auto" w:sz="4" w:space="0"/>
              <w:right w:val="single" w:color="auto" w:sz="4" w:space="0"/>
            </w:tcBorders>
            <w:shd w:val="clear" w:color="auto" w:fill="auto"/>
            <w:noWrap/>
            <w:vAlign w:val="bottom"/>
            <w:hideMark/>
          </w:tcPr>
          <w:p w:rsidRPr="00387AB6" w:rsidR="006E00D4" w:rsidP="006E00D4" w:rsidRDefault="006E00D4" w14:paraId="300AC97A"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9" w:type="dxa"/>
            <w:tcBorders>
              <w:top w:val="nil"/>
              <w:left w:val="nil"/>
              <w:bottom w:val="single" w:color="auto" w:sz="4" w:space="0"/>
              <w:right w:val="double" w:color="auto" w:sz="6" w:space="0"/>
            </w:tcBorders>
            <w:shd w:val="clear" w:color="auto" w:fill="auto"/>
            <w:noWrap/>
            <w:vAlign w:val="bottom"/>
            <w:hideMark/>
          </w:tcPr>
          <w:p w:rsidRPr="00387AB6" w:rsidR="006E00D4" w:rsidP="006E00D4" w:rsidRDefault="006E00D4" w14:paraId="28E0169A"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71" w:type="dxa"/>
            <w:tcBorders>
              <w:top w:val="nil"/>
              <w:left w:val="nil"/>
              <w:bottom w:val="single" w:color="auto" w:sz="4" w:space="0"/>
              <w:right w:val="single" w:color="auto" w:sz="4" w:space="0"/>
            </w:tcBorders>
            <w:shd w:val="clear" w:color="auto" w:fill="auto"/>
            <w:noWrap/>
            <w:vAlign w:val="bottom"/>
            <w:hideMark/>
          </w:tcPr>
          <w:p w:rsidRPr="00387AB6" w:rsidR="006E00D4" w:rsidP="006E00D4" w:rsidRDefault="006E00D4" w14:paraId="37CFDE26"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9" w:type="dxa"/>
            <w:tcBorders>
              <w:top w:val="nil"/>
              <w:left w:val="nil"/>
              <w:bottom w:val="single" w:color="auto" w:sz="4" w:space="0"/>
              <w:right w:val="single" w:color="auto" w:sz="8" w:space="0"/>
            </w:tcBorders>
            <w:shd w:val="clear" w:color="auto" w:fill="auto"/>
            <w:noWrap/>
            <w:vAlign w:val="bottom"/>
            <w:hideMark/>
          </w:tcPr>
          <w:p w:rsidRPr="00387AB6" w:rsidR="006E00D4" w:rsidP="006E00D4" w:rsidRDefault="006E00D4" w14:paraId="3C8A273B"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r>
      <w:tr w:rsidRPr="00387AB6" w:rsidR="006E00D4" w:rsidTr="006E00D4" w14:paraId="34750840" w14:textId="77777777">
        <w:trPr>
          <w:trHeight w:val="366"/>
        </w:trPr>
        <w:tc>
          <w:tcPr>
            <w:tcW w:w="3927"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87AB6" w:rsidR="006E00D4" w:rsidP="006E00D4" w:rsidRDefault="006E00D4" w14:paraId="47DBD99F"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1960 and before</w:t>
            </w:r>
          </w:p>
        </w:tc>
        <w:tc>
          <w:tcPr>
            <w:tcW w:w="1789" w:type="dxa"/>
            <w:tcBorders>
              <w:top w:val="nil"/>
              <w:left w:val="single" w:color="auto" w:sz="4" w:space="0"/>
              <w:bottom w:val="single" w:color="auto" w:sz="8" w:space="0"/>
              <w:right w:val="single" w:color="auto" w:sz="4" w:space="0"/>
            </w:tcBorders>
            <w:shd w:val="clear" w:color="auto" w:fill="auto"/>
            <w:noWrap/>
            <w:vAlign w:val="bottom"/>
            <w:hideMark/>
          </w:tcPr>
          <w:p w:rsidRPr="00387AB6" w:rsidR="006E00D4" w:rsidP="006E00D4" w:rsidRDefault="006E00D4" w14:paraId="58388FA3"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9" w:type="dxa"/>
            <w:tcBorders>
              <w:top w:val="nil"/>
              <w:left w:val="nil"/>
              <w:bottom w:val="single" w:color="auto" w:sz="8" w:space="0"/>
              <w:right w:val="double" w:color="auto" w:sz="6" w:space="0"/>
            </w:tcBorders>
            <w:shd w:val="clear" w:color="auto" w:fill="auto"/>
            <w:noWrap/>
            <w:vAlign w:val="bottom"/>
            <w:hideMark/>
          </w:tcPr>
          <w:p w:rsidRPr="00387AB6" w:rsidR="006E00D4" w:rsidP="006E00D4" w:rsidRDefault="006E00D4" w14:paraId="0CEB491E"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71" w:type="dxa"/>
            <w:tcBorders>
              <w:top w:val="nil"/>
              <w:left w:val="nil"/>
              <w:bottom w:val="single" w:color="auto" w:sz="8" w:space="0"/>
              <w:right w:val="nil"/>
            </w:tcBorders>
            <w:shd w:val="clear" w:color="auto" w:fill="auto"/>
            <w:noWrap/>
            <w:vAlign w:val="bottom"/>
            <w:hideMark/>
          </w:tcPr>
          <w:p w:rsidRPr="00387AB6" w:rsidR="006E00D4" w:rsidP="006E00D4" w:rsidRDefault="006E00D4" w14:paraId="3960C2C4"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9" w:type="dxa"/>
            <w:tcBorders>
              <w:top w:val="nil"/>
              <w:left w:val="nil"/>
              <w:bottom w:val="single" w:color="auto" w:sz="8" w:space="0"/>
              <w:right w:val="nil"/>
            </w:tcBorders>
            <w:shd w:val="clear" w:color="auto" w:fill="auto"/>
            <w:noWrap/>
            <w:vAlign w:val="bottom"/>
            <w:hideMark/>
          </w:tcPr>
          <w:p w:rsidRPr="00387AB6" w:rsidR="006E00D4" w:rsidP="006E00D4" w:rsidRDefault="006E00D4" w14:paraId="501C9BE3"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71" w:type="dxa"/>
            <w:tcBorders>
              <w:top w:val="nil"/>
              <w:left w:val="double" w:color="auto" w:sz="6" w:space="0"/>
              <w:bottom w:val="single" w:color="auto" w:sz="8" w:space="0"/>
              <w:right w:val="single" w:color="auto" w:sz="4" w:space="0"/>
            </w:tcBorders>
            <w:shd w:val="clear" w:color="auto" w:fill="auto"/>
            <w:noWrap/>
            <w:vAlign w:val="bottom"/>
            <w:hideMark/>
          </w:tcPr>
          <w:p w:rsidRPr="00387AB6" w:rsidR="006E00D4" w:rsidP="006E00D4" w:rsidRDefault="006E00D4" w14:paraId="749546A0"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9" w:type="dxa"/>
            <w:tcBorders>
              <w:top w:val="nil"/>
              <w:left w:val="nil"/>
              <w:bottom w:val="single" w:color="auto" w:sz="8" w:space="0"/>
              <w:right w:val="double" w:color="auto" w:sz="6" w:space="0"/>
            </w:tcBorders>
            <w:shd w:val="clear" w:color="auto" w:fill="auto"/>
            <w:noWrap/>
            <w:vAlign w:val="bottom"/>
            <w:hideMark/>
          </w:tcPr>
          <w:p w:rsidRPr="00387AB6" w:rsidR="006E00D4" w:rsidP="006E00D4" w:rsidRDefault="006E00D4" w14:paraId="1DC36F4C"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71" w:type="dxa"/>
            <w:tcBorders>
              <w:top w:val="nil"/>
              <w:left w:val="nil"/>
              <w:bottom w:val="single" w:color="auto" w:sz="8" w:space="0"/>
              <w:right w:val="single" w:color="auto" w:sz="4" w:space="0"/>
            </w:tcBorders>
            <w:shd w:val="clear" w:color="auto" w:fill="auto"/>
            <w:noWrap/>
            <w:vAlign w:val="bottom"/>
            <w:hideMark/>
          </w:tcPr>
          <w:p w:rsidRPr="00387AB6" w:rsidR="006E00D4" w:rsidP="006E00D4" w:rsidRDefault="006E00D4" w14:paraId="6D918428"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9" w:type="dxa"/>
            <w:tcBorders>
              <w:top w:val="nil"/>
              <w:left w:val="nil"/>
              <w:bottom w:val="single" w:color="auto" w:sz="8" w:space="0"/>
              <w:right w:val="single" w:color="auto" w:sz="8" w:space="0"/>
            </w:tcBorders>
            <w:shd w:val="clear" w:color="auto" w:fill="auto"/>
            <w:noWrap/>
            <w:vAlign w:val="bottom"/>
            <w:hideMark/>
          </w:tcPr>
          <w:p w:rsidRPr="00387AB6" w:rsidR="006E00D4" w:rsidP="006E00D4" w:rsidRDefault="006E00D4" w14:paraId="0287F2AA"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r>
    </w:tbl>
    <w:p w:rsidRPr="00387AB6" w:rsidR="00453A47" w:rsidP="006E00D4" w:rsidRDefault="00453A47" w14:paraId="5A06D66C" w14:textId="39D2C8E0">
      <w:pPr>
        <w:rPr>
          <w:rFonts w:ascii="Palatino Linotype" w:hAnsi="Palatino Linotype"/>
          <w:sz w:val="24"/>
          <w:szCs w:val="24"/>
        </w:rPr>
      </w:pPr>
      <w:r w:rsidRPr="00387AB6">
        <w:rPr>
          <w:rFonts w:ascii="Palatino Linotype" w:hAnsi="Palatino Linotype"/>
          <w:sz w:val="24"/>
          <w:szCs w:val="24"/>
        </w:rPr>
        <w:br w:type="page"/>
      </w:r>
    </w:p>
    <w:p w:rsidRPr="00387AB6" w:rsidR="00387AB6" w:rsidP="006E00D4" w:rsidRDefault="00387AB6" w14:paraId="66711F0D" w14:textId="77777777">
      <w:pPr>
        <w:rPr>
          <w:rFonts w:ascii="Palatino Linotype" w:hAnsi="Palatino Linotype"/>
          <w:sz w:val="24"/>
          <w:szCs w:val="24"/>
        </w:rPr>
      </w:pPr>
    </w:p>
    <w:tbl>
      <w:tblPr>
        <w:tblW w:w="17052" w:type="dxa"/>
        <w:tblLook w:val="04A0" w:firstRow="1" w:lastRow="0" w:firstColumn="1" w:lastColumn="0" w:noHBand="0" w:noVBand="1"/>
      </w:tblPr>
      <w:tblGrid>
        <w:gridCol w:w="3607"/>
        <w:gridCol w:w="1707"/>
        <w:gridCol w:w="1657"/>
        <w:gridCol w:w="1703"/>
        <w:gridCol w:w="1657"/>
        <w:gridCol w:w="1705"/>
        <w:gridCol w:w="1656"/>
        <w:gridCol w:w="1703"/>
        <w:gridCol w:w="1657"/>
      </w:tblGrid>
      <w:tr w:rsidRPr="00387AB6" w:rsidR="00453A47" w:rsidTr="00387AB6" w14:paraId="46C62501" w14:textId="77777777">
        <w:trPr>
          <w:trHeight w:val="359"/>
        </w:trPr>
        <w:tc>
          <w:tcPr>
            <w:tcW w:w="12036" w:type="dxa"/>
            <w:gridSpan w:val="6"/>
            <w:tcBorders>
              <w:top w:val="single" w:color="auto" w:sz="4" w:space="0"/>
              <w:left w:val="single" w:color="auto" w:sz="4" w:space="0"/>
              <w:bottom w:val="single" w:color="auto" w:sz="4" w:space="0"/>
            </w:tcBorders>
            <w:shd w:val="clear" w:color="000000" w:fill="A9D08E"/>
            <w:noWrap/>
            <w:vAlign w:val="bottom"/>
            <w:hideMark/>
          </w:tcPr>
          <w:p w:rsidRPr="00387AB6" w:rsidR="00453A47" w:rsidP="00453A47" w:rsidRDefault="00453A47" w14:paraId="1A6D57EB" w14:textId="77777777">
            <w:pPr>
              <w:rPr>
                <w:rFonts w:ascii="Palatino Linotype" w:hAnsi="Palatino Linotype" w:cs="Calibri"/>
                <w:b/>
                <w:bCs/>
                <w:color w:val="000000"/>
                <w:sz w:val="24"/>
                <w:szCs w:val="24"/>
              </w:rPr>
            </w:pPr>
            <w:r w:rsidRPr="00387AB6">
              <w:rPr>
                <w:rFonts w:ascii="Palatino Linotype" w:hAnsi="Palatino Linotype" w:cs="Calibri"/>
                <w:b/>
                <w:bCs/>
                <w:color w:val="000000"/>
                <w:sz w:val="24"/>
                <w:szCs w:val="24"/>
              </w:rPr>
              <w:t>Number of CARE Customers by Age of Dwelling (Year of Meter Installation)</w:t>
            </w:r>
          </w:p>
        </w:tc>
        <w:tc>
          <w:tcPr>
            <w:tcW w:w="1656" w:type="dxa"/>
            <w:tcBorders>
              <w:top w:val="single" w:color="auto" w:sz="4" w:space="0"/>
              <w:bottom w:val="single" w:color="auto" w:sz="4" w:space="0"/>
            </w:tcBorders>
            <w:shd w:val="clear" w:color="000000" w:fill="A9D08E"/>
            <w:noWrap/>
            <w:vAlign w:val="bottom"/>
            <w:hideMark/>
          </w:tcPr>
          <w:p w:rsidRPr="00387AB6" w:rsidR="00453A47" w:rsidP="00453A47" w:rsidRDefault="00453A47" w14:paraId="6FD2932E" w14:textId="77777777">
            <w:pPr>
              <w:rPr>
                <w:rFonts w:ascii="Palatino Linotype" w:hAnsi="Palatino Linotype" w:cs="Calibri"/>
                <w:b/>
                <w:bCs/>
                <w:color w:val="000000"/>
                <w:sz w:val="24"/>
                <w:szCs w:val="24"/>
              </w:rPr>
            </w:pPr>
            <w:r w:rsidRPr="00387AB6">
              <w:rPr>
                <w:rFonts w:ascii="Palatino Linotype" w:hAnsi="Palatino Linotype" w:cs="Calibri"/>
                <w:b/>
                <w:bCs/>
                <w:color w:val="000000"/>
                <w:sz w:val="24"/>
                <w:szCs w:val="24"/>
              </w:rPr>
              <w:t> </w:t>
            </w:r>
          </w:p>
        </w:tc>
        <w:tc>
          <w:tcPr>
            <w:tcW w:w="1703" w:type="dxa"/>
            <w:tcBorders>
              <w:top w:val="single" w:color="auto" w:sz="4" w:space="0"/>
              <w:bottom w:val="single" w:color="auto" w:sz="4" w:space="0"/>
            </w:tcBorders>
            <w:shd w:val="clear" w:color="000000" w:fill="A9D08E"/>
            <w:noWrap/>
            <w:vAlign w:val="bottom"/>
            <w:hideMark/>
          </w:tcPr>
          <w:p w:rsidRPr="00387AB6" w:rsidR="00453A47" w:rsidP="00453A47" w:rsidRDefault="00453A47" w14:paraId="7C65507B" w14:textId="77777777">
            <w:pPr>
              <w:rPr>
                <w:rFonts w:ascii="Palatino Linotype" w:hAnsi="Palatino Linotype" w:cs="Calibri"/>
                <w:b/>
                <w:bCs/>
                <w:color w:val="000000"/>
                <w:sz w:val="24"/>
                <w:szCs w:val="24"/>
              </w:rPr>
            </w:pPr>
            <w:r w:rsidRPr="00387AB6">
              <w:rPr>
                <w:rFonts w:ascii="Palatino Linotype" w:hAnsi="Palatino Linotype" w:cs="Calibri"/>
                <w:b/>
                <w:bCs/>
                <w:color w:val="000000"/>
                <w:sz w:val="24"/>
                <w:szCs w:val="24"/>
              </w:rPr>
              <w:t> </w:t>
            </w:r>
          </w:p>
        </w:tc>
        <w:tc>
          <w:tcPr>
            <w:tcW w:w="1656" w:type="dxa"/>
            <w:tcBorders>
              <w:top w:val="single" w:color="auto" w:sz="4" w:space="0"/>
              <w:bottom w:val="single" w:color="auto" w:sz="4" w:space="0"/>
              <w:right w:val="single" w:color="auto" w:sz="4" w:space="0"/>
            </w:tcBorders>
            <w:shd w:val="clear" w:color="000000" w:fill="A9D08E"/>
            <w:noWrap/>
            <w:vAlign w:val="bottom"/>
            <w:hideMark/>
          </w:tcPr>
          <w:p w:rsidRPr="00387AB6" w:rsidR="00453A47" w:rsidP="00453A47" w:rsidRDefault="00453A47" w14:paraId="55CD79CA" w14:textId="77777777">
            <w:pPr>
              <w:rPr>
                <w:rFonts w:ascii="Palatino Linotype" w:hAnsi="Palatino Linotype" w:cs="Calibri"/>
                <w:b/>
                <w:bCs/>
                <w:color w:val="000000"/>
                <w:sz w:val="24"/>
                <w:szCs w:val="24"/>
              </w:rPr>
            </w:pPr>
            <w:r w:rsidRPr="00387AB6">
              <w:rPr>
                <w:rFonts w:ascii="Palatino Linotype" w:hAnsi="Palatino Linotype" w:cs="Calibri"/>
                <w:b/>
                <w:bCs/>
                <w:color w:val="000000"/>
                <w:sz w:val="24"/>
                <w:szCs w:val="24"/>
              </w:rPr>
              <w:t> </w:t>
            </w:r>
          </w:p>
        </w:tc>
      </w:tr>
      <w:tr w:rsidRPr="00387AB6" w:rsidR="00453A47" w:rsidTr="00387AB6" w14:paraId="31995622" w14:textId="77777777">
        <w:trPr>
          <w:trHeight w:val="342"/>
        </w:trPr>
        <w:tc>
          <w:tcPr>
            <w:tcW w:w="3607" w:type="dxa"/>
            <w:tcBorders>
              <w:top w:val="single" w:color="auto" w:sz="4" w:space="0"/>
              <w:left w:val="single" w:color="auto" w:sz="8" w:space="0"/>
              <w:bottom w:val="single" w:color="auto" w:sz="4" w:space="0"/>
              <w:right w:val="nil"/>
            </w:tcBorders>
            <w:shd w:val="clear" w:color="auto" w:fill="auto"/>
            <w:noWrap/>
            <w:vAlign w:val="bottom"/>
            <w:hideMark/>
          </w:tcPr>
          <w:p w:rsidRPr="00387AB6" w:rsidR="00453A47" w:rsidP="00453A47" w:rsidRDefault="00453A47" w14:paraId="3A868369" w14:textId="77777777">
            <w:pPr>
              <w:rPr>
                <w:rFonts w:ascii="Palatino Linotype" w:hAnsi="Palatino Linotype" w:cs="Calibri"/>
                <w:b/>
                <w:bCs/>
                <w:color w:val="000000"/>
                <w:sz w:val="24"/>
                <w:szCs w:val="24"/>
              </w:rPr>
            </w:pPr>
            <w:r w:rsidRPr="00387AB6">
              <w:rPr>
                <w:rFonts w:ascii="Palatino Linotype" w:hAnsi="Palatino Linotype" w:cs="Calibri"/>
                <w:b/>
                <w:bCs/>
                <w:color w:val="000000"/>
                <w:sz w:val="24"/>
                <w:szCs w:val="24"/>
              </w:rPr>
              <w:t xml:space="preserve">Climate Zone </w:t>
            </w:r>
            <w:r w:rsidRPr="00387AB6">
              <w:rPr>
                <w:rFonts w:ascii="Times New Roman" w:hAnsi="Times New Roman"/>
                <w:b/>
                <w:bCs/>
                <w:color w:val="000000"/>
                <w:sz w:val="24"/>
                <w:szCs w:val="24"/>
              </w:rPr>
              <w:t>→</w:t>
            </w:r>
          </w:p>
        </w:tc>
        <w:tc>
          <w:tcPr>
            <w:tcW w:w="13445" w:type="dxa"/>
            <w:gridSpan w:val="8"/>
            <w:tcBorders>
              <w:top w:val="single" w:color="auto" w:sz="4" w:space="0"/>
              <w:left w:val="single" w:color="auto" w:sz="8" w:space="0"/>
              <w:bottom w:val="nil"/>
              <w:right w:val="single" w:color="000000" w:sz="8" w:space="0"/>
            </w:tcBorders>
            <w:shd w:val="clear" w:color="auto" w:fill="auto"/>
            <w:noWrap/>
            <w:vAlign w:val="bottom"/>
            <w:hideMark/>
          </w:tcPr>
          <w:p w:rsidRPr="00387AB6" w:rsidR="00453A47" w:rsidP="00453A47" w:rsidRDefault="00573A19" w14:paraId="556C2A23" w14:textId="4D11F1DB">
            <w:pPr>
              <w:jc w:val="center"/>
              <w:rPr>
                <w:rFonts w:ascii="Palatino Linotype" w:hAnsi="Palatino Linotype" w:cs="Calibri"/>
                <w:b/>
                <w:bCs/>
                <w:color w:val="000000"/>
                <w:sz w:val="24"/>
                <w:szCs w:val="24"/>
              </w:rPr>
            </w:pPr>
            <w:r w:rsidRPr="00387AB6">
              <w:rPr>
                <w:rFonts w:ascii="Palatino Linotype" w:hAnsi="Palatino Linotype" w:cs="Calibri"/>
                <w:b/>
                <w:bCs/>
                <w:color w:val="000000"/>
                <w:sz w:val="24"/>
                <w:szCs w:val="24"/>
              </w:rPr>
              <w:t xml:space="preserve">CZ [-]    </w:t>
            </w:r>
            <w:r w:rsidRPr="00387AB6">
              <w:rPr>
                <w:rFonts w:ascii="Palatino Linotype" w:hAnsi="Palatino Linotype" w:cs="Calibri"/>
                <w:b/>
                <w:bCs/>
                <w:i/>
                <w:iCs/>
                <w:color w:val="000000"/>
                <w:sz w:val="24"/>
                <w:szCs w:val="24"/>
              </w:rPr>
              <w:t>(Add Columns for CZs in your service territory)</w:t>
            </w:r>
          </w:p>
        </w:tc>
      </w:tr>
      <w:tr w:rsidRPr="00387AB6" w:rsidR="00453A47" w:rsidTr="00387AB6" w14:paraId="61A460E4" w14:textId="77777777">
        <w:trPr>
          <w:trHeight w:val="342"/>
        </w:trPr>
        <w:tc>
          <w:tcPr>
            <w:tcW w:w="3607"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87AB6" w:rsidR="00453A47" w:rsidP="00453A47" w:rsidRDefault="00453A47" w14:paraId="628A32E3"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 </w:t>
            </w:r>
          </w:p>
        </w:tc>
        <w:tc>
          <w:tcPr>
            <w:tcW w:w="3364"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87AB6" w:rsidR="00453A47" w:rsidP="00453A47" w:rsidRDefault="00453A47" w14:paraId="6ACF14D1"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All-Electric</w:t>
            </w:r>
          </w:p>
        </w:tc>
        <w:tc>
          <w:tcPr>
            <w:tcW w:w="3360" w:type="dxa"/>
            <w:gridSpan w:val="2"/>
            <w:tcBorders>
              <w:top w:val="single" w:color="auto" w:sz="4" w:space="0"/>
              <w:left w:val="nil"/>
              <w:bottom w:val="single" w:color="auto" w:sz="4" w:space="0"/>
              <w:right w:val="single" w:color="000000" w:sz="4" w:space="0"/>
            </w:tcBorders>
            <w:shd w:val="clear" w:color="auto" w:fill="auto"/>
            <w:noWrap/>
            <w:vAlign w:val="bottom"/>
            <w:hideMark/>
          </w:tcPr>
          <w:p w:rsidRPr="00387AB6" w:rsidR="00453A47" w:rsidP="00453A47" w:rsidRDefault="00453A47" w14:paraId="255E746A"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Electric Space Heating</w:t>
            </w:r>
          </w:p>
        </w:tc>
        <w:tc>
          <w:tcPr>
            <w:tcW w:w="3360" w:type="dxa"/>
            <w:gridSpan w:val="2"/>
            <w:tcBorders>
              <w:top w:val="single" w:color="auto" w:sz="4" w:space="0"/>
              <w:left w:val="nil"/>
              <w:bottom w:val="single" w:color="auto" w:sz="4" w:space="0"/>
              <w:right w:val="single" w:color="auto" w:sz="4" w:space="0"/>
            </w:tcBorders>
            <w:shd w:val="clear" w:color="auto" w:fill="auto"/>
            <w:noWrap/>
            <w:vAlign w:val="bottom"/>
            <w:hideMark/>
          </w:tcPr>
          <w:p w:rsidRPr="00387AB6" w:rsidR="00453A47" w:rsidP="00453A47" w:rsidRDefault="00453A47" w14:paraId="33A4BBEF"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Dual Fuel</w:t>
            </w:r>
          </w:p>
        </w:tc>
        <w:tc>
          <w:tcPr>
            <w:tcW w:w="3360" w:type="dxa"/>
            <w:gridSpan w:val="2"/>
            <w:tcBorders>
              <w:top w:val="single" w:color="auto" w:sz="4" w:space="0"/>
              <w:left w:val="nil"/>
              <w:bottom w:val="single" w:color="auto" w:sz="4" w:space="0"/>
              <w:right w:val="single" w:color="000000" w:sz="8" w:space="0"/>
            </w:tcBorders>
            <w:shd w:val="clear" w:color="auto" w:fill="auto"/>
            <w:noWrap/>
            <w:vAlign w:val="bottom"/>
            <w:hideMark/>
          </w:tcPr>
          <w:p w:rsidRPr="00387AB6" w:rsidR="00453A47" w:rsidP="00453A47" w:rsidRDefault="00453A47" w14:paraId="51CA86DB"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Gas Only</w:t>
            </w:r>
          </w:p>
        </w:tc>
      </w:tr>
      <w:tr w:rsidRPr="00387AB6" w:rsidR="00453A47" w:rsidTr="00387AB6" w14:paraId="0A39F074" w14:textId="77777777">
        <w:trPr>
          <w:trHeight w:val="342"/>
        </w:trPr>
        <w:tc>
          <w:tcPr>
            <w:tcW w:w="3607"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87AB6" w:rsidR="00453A47" w:rsidP="00453A47" w:rsidRDefault="00453A47" w14:paraId="7A25E2CA" w14:textId="77777777">
            <w:pPr>
              <w:rPr>
                <w:rFonts w:ascii="Palatino Linotype" w:hAnsi="Palatino Linotype" w:cs="Calibri"/>
                <w:b/>
                <w:bCs/>
                <w:color w:val="000000"/>
                <w:sz w:val="24"/>
                <w:szCs w:val="24"/>
              </w:rPr>
            </w:pPr>
            <w:r w:rsidRPr="00387AB6">
              <w:rPr>
                <w:rFonts w:ascii="Palatino Linotype" w:hAnsi="Palatino Linotype" w:cs="Calibri"/>
                <w:b/>
                <w:bCs/>
                <w:color w:val="000000"/>
                <w:sz w:val="24"/>
                <w:szCs w:val="24"/>
              </w:rPr>
              <w:t xml:space="preserve">Year of Meter Installation </w:t>
            </w:r>
            <w:r w:rsidRPr="00387AB6">
              <w:rPr>
                <w:rFonts w:ascii="Times New Roman" w:hAnsi="Times New Roman"/>
                <w:b/>
                <w:bCs/>
                <w:color w:val="000000"/>
                <w:sz w:val="24"/>
                <w:szCs w:val="24"/>
              </w:rPr>
              <w:t>↓</w:t>
            </w:r>
          </w:p>
        </w:tc>
        <w:tc>
          <w:tcPr>
            <w:tcW w:w="1707" w:type="dxa"/>
            <w:tcBorders>
              <w:top w:val="nil"/>
              <w:left w:val="single" w:color="auto" w:sz="4" w:space="0"/>
              <w:bottom w:val="nil"/>
              <w:right w:val="single" w:color="auto" w:sz="4" w:space="0"/>
            </w:tcBorders>
            <w:shd w:val="clear" w:color="auto" w:fill="auto"/>
            <w:noWrap/>
            <w:vAlign w:val="bottom"/>
            <w:hideMark/>
          </w:tcPr>
          <w:p w:rsidRPr="00387AB6" w:rsidR="00453A47" w:rsidP="00453A47" w:rsidRDefault="00453A47" w14:paraId="1A7A6907"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Singlefamily</w:t>
            </w:r>
          </w:p>
        </w:tc>
        <w:tc>
          <w:tcPr>
            <w:tcW w:w="1656" w:type="dxa"/>
            <w:tcBorders>
              <w:top w:val="nil"/>
              <w:left w:val="nil"/>
              <w:bottom w:val="single" w:color="auto" w:sz="4" w:space="0"/>
              <w:right w:val="nil"/>
            </w:tcBorders>
            <w:shd w:val="clear" w:color="auto" w:fill="auto"/>
            <w:noWrap/>
            <w:vAlign w:val="bottom"/>
            <w:hideMark/>
          </w:tcPr>
          <w:p w:rsidRPr="00387AB6" w:rsidR="00453A47" w:rsidP="00453A47" w:rsidRDefault="00453A47" w14:paraId="651BFEF1"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Multifamily</w:t>
            </w:r>
          </w:p>
        </w:tc>
        <w:tc>
          <w:tcPr>
            <w:tcW w:w="1703" w:type="dxa"/>
            <w:tcBorders>
              <w:top w:val="nil"/>
              <w:left w:val="single" w:color="auto" w:sz="4" w:space="0"/>
              <w:bottom w:val="single" w:color="auto" w:sz="4" w:space="0"/>
              <w:right w:val="single" w:color="auto" w:sz="4" w:space="0"/>
            </w:tcBorders>
            <w:shd w:val="clear" w:color="auto" w:fill="auto"/>
            <w:noWrap/>
            <w:vAlign w:val="bottom"/>
            <w:hideMark/>
          </w:tcPr>
          <w:p w:rsidRPr="00387AB6" w:rsidR="00453A47" w:rsidP="00453A47" w:rsidRDefault="00453A47" w14:paraId="7E1055BD"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Singlefamily</w:t>
            </w:r>
          </w:p>
        </w:tc>
        <w:tc>
          <w:tcPr>
            <w:tcW w:w="1656" w:type="dxa"/>
            <w:tcBorders>
              <w:top w:val="nil"/>
              <w:left w:val="nil"/>
              <w:bottom w:val="single" w:color="auto" w:sz="4" w:space="0"/>
              <w:right w:val="single" w:color="auto" w:sz="4" w:space="0"/>
            </w:tcBorders>
            <w:shd w:val="clear" w:color="auto" w:fill="auto"/>
            <w:noWrap/>
            <w:vAlign w:val="bottom"/>
            <w:hideMark/>
          </w:tcPr>
          <w:p w:rsidRPr="00387AB6" w:rsidR="00453A47" w:rsidP="00453A47" w:rsidRDefault="00453A47" w14:paraId="53B62CF8"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Multifamily</w:t>
            </w:r>
          </w:p>
        </w:tc>
        <w:tc>
          <w:tcPr>
            <w:tcW w:w="1703" w:type="dxa"/>
            <w:tcBorders>
              <w:top w:val="nil"/>
              <w:left w:val="nil"/>
              <w:bottom w:val="nil"/>
              <w:right w:val="single" w:color="auto" w:sz="4" w:space="0"/>
            </w:tcBorders>
            <w:shd w:val="clear" w:color="auto" w:fill="auto"/>
            <w:noWrap/>
            <w:vAlign w:val="bottom"/>
            <w:hideMark/>
          </w:tcPr>
          <w:p w:rsidRPr="00387AB6" w:rsidR="00453A47" w:rsidP="00453A47" w:rsidRDefault="00453A47" w14:paraId="0EE802EF"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Singlefamily</w:t>
            </w:r>
          </w:p>
        </w:tc>
        <w:tc>
          <w:tcPr>
            <w:tcW w:w="1656" w:type="dxa"/>
            <w:tcBorders>
              <w:top w:val="nil"/>
              <w:left w:val="nil"/>
              <w:bottom w:val="nil"/>
              <w:right w:val="double" w:color="auto" w:sz="6" w:space="0"/>
            </w:tcBorders>
            <w:shd w:val="clear" w:color="auto" w:fill="auto"/>
            <w:noWrap/>
            <w:vAlign w:val="bottom"/>
            <w:hideMark/>
          </w:tcPr>
          <w:p w:rsidRPr="00387AB6" w:rsidR="00453A47" w:rsidP="00453A47" w:rsidRDefault="00453A47" w14:paraId="75C54052"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Multifamily</w:t>
            </w:r>
          </w:p>
        </w:tc>
        <w:tc>
          <w:tcPr>
            <w:tcW w:w="1703" w:type="dxa"/>
            <w:tcBorders>
              <w:top w:val="nil"/>
              <w:left w:val="nil"/>
              <w:bottom w:val="single" w:color="auto" w:sz="4" w:space="0"/>
              <w:right w:val="single" w:color="auto" w:sz="4" w:space="0"/>
            </w:tcBorders>
            <w:shd w:val="clear" w:color="auto" w:fill="auto"/>
            <w:noWrap/>
            <w:vAlign w:val="bottom"/>
            <w:hideMark/>
          </w:tcPr>
          <w:p w:rsidRPr="00387AB6" w:rsidR="00453A47" w:rsidP="00453A47" w:rsidRDefault="00453A47" w14:paraId="2B417E27"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Singlefamily</w:t>
            </w:r>
          </w:p>
        </w:tc>
        <w:tc>
          <w:tcPr>
            <w:tcW w:w="1656" w:type="dxa"/>
            <w:tcBorders>
              <w:top w:val="nil"/>
              <w:left w:val="nil"/>
              <w:bottom w:val="single" w:color="auto" w:sz="4" w:space="0"/>
              <w:right w:val="single" w:color="auto" w:sz="8" w:space="0"/>
            </w:tcBorders>
            <w:shd w:val="clear" w:color="auto" w:fill="auto"/>
            <w:noWrap/>
            <w:vAlign w:val="bottom"/>
            <w:hideMark/>
          </w:tcPr>
          <w:p w:rsidRPr="00387AB6" w:rsidR="00453A47" w:rsidP="00453A47" w:rsidRDefault="00453A47" w14:paraId="0A917B75"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Multifamily</w:t>
            </w:r>
          </w:p>
        </w:tc>
      </w:tr>
      <w:tr w:rsidRPr="00387AB6" w:rsidR="00453A47" w:rsidTr="00387AB6" w14:paraId="2C8311F9" w14:textId="77777777">
        <w:trPr>
          <w:trHeight w:val="685"/>
        </w:trPr>
        <w:tc>
          <w:tcPr>
            <w:tcW w:w="3607"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87AB6" w:rsidR="00453A47" w:rsidP="00453A47" w:rsidRDefault="00453A47" w14:paraId="6BCA476A"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2020 and after</w:t>
            </w:r>
          </w:p>
        </w:tc>
        <w:tc>
          <w:tcPr>
            <w:tcW w:w="1707"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387AB6" w:rsidR="00453A47" w:rsidP="00453A47" w:rsidRDefault="00453A47" w14:paraId="4A228CF7"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of Customers]</w:t>
            </w:r>
          </w:p>
        </w:tc>
        <w:tc>
          <w:tcPr>
            <w:tcW w:w="1656" w:type="dxa"/>
            <w:tcBorders>
              <w:top w:val="nil"/>
              <w:left w:val="nil"/>
              <w:bottom w:val="single" w:color="auto" w:sz="4" w:space="0"/>
              <w:right w:val="double" w:color="auto" w:sz="6" w:space="0"/>
            </w:tcBorders>
            <w:shd w:val="clear" w:color="auto" w:fill="auto"/>
            <w:noWrap/>
            <w:vAlign w:val="bottom"/>
            <w:hideMark/>
          </w:tcPr>
          <w:p w:rsidRPr="00387AB6" w:rsidR="00453A47" w:rsidP="00453A47" w:rsidRDefault="00453A47" w14:paraId="2A86C975"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703" w:type="dxa"/>
            <w:tcBorders>
              <w:top w:val="nil"/>
              <w:left w:val="nil"/>
              <w:bottom w:val="single" w:color="auto" w:sz="4" w:space="0"/>
              <w:right w:val="nil"/>
            </w:tcBorders>
            <w:shd w:val="clear" w:color="auto" w:fill="auto"/>
            <w:noWrap/>
            <w:vAlign w:val="bottom"/>
            <w:hideMark/>
          </w:tcPr>
          <w:p w:rsidRPr="00387AB6" w:rsidR="00453A47" w:rsidP="00453A47" w:rsidRDefault="00453A47" w14:paraId="0FEB4C4C"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56" w:type="dxa"/>
            <w:tcBorders>
              <w:top w:val="nil"/>
              <w:left w:val="nil"/>
              <w:bottom w:val="single" w:color="auto" w:sz="4" w:space="0"/>
              <w:right w:val="nil"/>
            </w:tcBorders>
            <w:shd w:val="clear" w:color="auto" w:fill="auto"/>
            <w:noWrap/>
            <w:vAlign w:val="bottom"/>
            <w:hideMark/>
          </w:tcPr>
          <w:p w:rsidRPr="00387AB6" w:rsidR="00453A47" w:rsidP="00453A47" w:rsidRDefault="00453A47" w14:paraId="50DABB54"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703" w:type="dxa"/>
            <w:tcBorders>
              <w:top w:val="single" w:color="auto" w:sz="4" w:space="0"/>
              <w:left w:val="double" w:color="auto" w:sz="6" w:space="0"/>
              <w:bottom w:val="single" w:color="auto" w:sz="4" w:space="0"/>
              <w:right w:val="single" w:color="auto" w:sz="4" w:space="0"/>
            </w:tcBorders>
            <w:shd w:val="clear" w:color="auto" w:fill="auto"/>
            <w:noWrap/>
            <w:vAlign w:val="bottom"/>
            <w:hideMark/>
          </w:tcPr>
          <w:p w:rsidRPr="00387AB6" w:rsidR="00453A47" w:rsidP="00453A47" w:rsidRDefault="00453A47" w14:paraId="7251566F"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56" w:type="dxa"/>
            <w:tcBorders>
              <w:top w:val="single" w:color="auto" w:sz="4" w:space="0"/>
              <w:left w:val="nil"/>
              <w:bottom w:val="single" w:color="auto" w:sz="4" w:space="0"/>
              <w:right w:val="double" w:color="auto" w:sz="6" w:space="0"/>
            </w:tcBorders>
            <w:shd w:val="clear" w:color="auto" w:fill="auto"/>
            <w:noWrap/>
            <w:vAlign w:val="bottom"/>
            <w:hideMark/>
          </w:tcPr>
          <w:p w:rsidRPr="00387AB6" w:rsidR="00453A47" w:rsidP="00453A47" w:rsidRDefault="00453A47" w14:paraId="356DE71F"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703" w:type="dxa"/>
            <w:tcBorders>
              <w:top w:val="nil"/>
              <w:left w:val="nil"/>
              <w:bottom w:val="single" w:color="auto" w:sz="4" w:space="0"/>
              <w:right w:val="single" w:color="auto" w:sz="4" w:space="0"/>
            </w:tcBorders>
            <w:shd w:val="clear" w:color="auto" w:fill="auto"/>
            <w:noWrap/>
            <w:vAlign w:val="bottom"/>
            <w:hideMark/>
          </w:tcPr>
          <w:p w:rsidRPr="00387AB6" w:rsidR="00453A47" w:rsidP="00453A47" w:rsidRDefault="00453A47" w14:paraId="54486168"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56" w:type="dxa"/>
            <w:tcBorders>
              <w:top w:val="nil"/>
              <w:left w:val="nil"/>
              <w:bottom w:val="single" w:color="auto" w:sz="4" w:space="0"/>
              <w:right w:val="single" w:color="auto" w:sz="8" w:space="0"/>
            </w:tcBorders>
            <w:shd w:val="clear" w:color="auto" w:fill="auto"/>
            <w:noWrap/>
            <w:vAlign w:val="bottom"/>
            <w:hideMark/>
          </w:tcPr>
          <w:p w:rsidRPr="00387AB6" w:rsidR="00453A47" w:rsidP="00453A47" w:rsidRDefault="00453A47" w14:paraId="77CDC81E"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r>
      <w:tr w:rsidRPr="00387AB6" w:rsidR="00453A47" w:rsidTr="00387AB6" w14:paraId="5F4D82FC" w14:textId="77777777">
        <w:trPr>
          <w:trHeight w:val="342"/>
        </w:trPr>
        <w:tc>
          <w:tcPr>
            <w:tcW w:w="3607"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87AB6" w:rsidR="00453A47" w:rsidP="00453A47" w:rsidRDefault="00453A47" w14:paraId="3B5546AA"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2014-2019</w:t>
            </w:r>
          </w:p>
        </w:tc>
        <w:tc>
          <w:tcPr>
            <w:tcW w:w="1707" w:type="dxa"/>
            <w:tcBorders>
              <w:top w:val="nil"/>
              <w:left w:val="single" w:color="auto" w:sz="4" w:space="0"/>
              <w:bottom w:val="single" w:color="auto" w:sz="4" w:space="0"/>
              <w:right w:val="single" w:color="auto" w:sz="4" w:space="0"/>
            </w:tcBorders>
            <w:shd w:val="clear" w:color="auto" w:fill="auto"/>
            <w:vAlign w:val="bottom"/>
            <w:hideMark/>
          </w:tcPr>
          <w:p w:rsidRPr="00387AB6" w:rsidR="00453A47" w:rsidP="00453A47" w:rsidRDefault="00453A47" w14:paraId="5184ACFE"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56" w:type="dxa"/>
            <w:tcBorders>
              <w:top w:val="nil"/>
              <w:left w:val="nil"/>
              <w:bottom w:val="single" w:color="auto" w:sz="4" w:space="0"/>
              <w:right w:val="double" w:color="auto" w:sz="6" w:space="0"/>
            </w:tcBorders>
            <w:shd w:val="clear" w:color="auto" w:fill="auto"/>
            <w:noWrap/>
            <w:vAlign w:val="bottom"/>
            <w:hideMark/>
          </w:tcPr>
          <w:p w:rsidRPr="00387AB6" w:rsidR="00453A47" w:rsidP="00453A47" w:rsidRDefault="00453A47" w14:paraId="69ED5FD1"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703" w:type="dxa"/>
            <w:tcBorders>
              <w:top w:val="nil"/>
              <w:left w:val="nil"/>
              <w:bottom w:val="single" w:color="auto" w:sz="4" w:space="0"/>
              <w:right w:val="nil"/>
            </w:tcBorders>
            <w:shd w:val="clear" w:color="auto" w:fill="auto"/>
            <w:noWrap/>
            <w:vAlign w:val="bottom"/>
            <w:hideMark/>
          </w:tcPr>
          <w:p w:rsidRPr="00387AB6" w:rsidR="00453A47" w:rsidP="00453A47" w:rsidRDefault="00453A47" w14:paraId="5281C312"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56" w:type="dxa"/>
            <w:tcBorders>
              <w:top w:val="nil"/>
              <w:left w:val="nil"/>
              <w:bottom w:val="single" w:color="auto" w:sz="4" w:space="0"/>
              <w:right w:val="nil"/>
            </w:tcBorders>
            <w:shd w:val="clear" w:color="auto" w:fill="auto"/>
            <w:noWrap/>
            <w:vAlign w:val="bottom"/>
            <w:hideMark/>
          </w:tcPr>
          <w:p w:rsidRPr="00387AB6" w:rsidR="00453A47" w:rsidP="00453A47" w:rsidRDefault="00453A47" w14:paraId="572563D4"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703" w:type="dxa"/>
            <w:tcBorders>
              <w:top w:val="nil"/>
              <w:left w:val="double" w:color="auto" w:sz="6" w:space="0"/>
              <w:bottom w:val="single" w:color="auto" w:sz="4" w:space="0"/>
              <w:right w:val="single" w:color="auto" w:sz="4" w:space="0"/>
            </w:tcBorders>
            <w:shd w:val="clear" w:color="auto" w:fill="auto"/>
            <w:noWrap/>
            <w:vAlign w:val="bottom"/>
            <w:hideMark/>
          </w:tcPr>
          <w:p w:rsidRPr="00387AB6" w:rsidR="00453A47" w:rsidP="00453A47" w:rsidRDefault="00453A47" w14:paraId="50739122"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56" w:type="dxa"/>
            <w:tcBorders>
              <w:top w:val="nil"/>
              <w:left w:val="nil"/>
              <w:bottom w:val="single" w:color="auto" w:sz="4" w:space="0"/>
              <w:right w:val="double" w:color="auto" w:sz="6" w:space="0"/>
            </w:tcBorders>
            <w:shd w:val="clear" w:color="auto" w:fill="auto"/>
            <w:noWrap/>
            <w:vAlign w:val="bottom"/>
            <w:hideMark/>
          </w:tcPr>
          <w:p w:rsidRPr="00387AB6" w:rsidR="00453A47" w:rsidP="00453A47" w:rsidRDefault="00453A47" w14:paraId="7C93AC60"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703" w:type="dxa"/>
            <w:tcBorders>
              <w:top w:val="nil"/>
              <w:left w:val="nil"/>
              <w:bottom w:val="single" w:color="auto" w:sz="4" w:space="0"/>
              <w:right w:val="single" w:color="auto" w:sz="4" w:space="0"/>
            </w:tcBorders>
            <w:shd w:val="clear" w:color="auto" w:fill="auto"/>
            <w:noWrap/>
            <w:vAlign w:val="bottom"/>
            <w:hideMark/>
          </w:tcPr>
          <w:p w:rsidRPr="00387AB6" w:rsidR="00453A47" w:rsidP="00453A47" w:rsidRDefault="00453A47" w14:paraId="4848D5B6"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56" w:type="dxa"/>
            <w:tcBorders>
              <w:top w:val="nil"/>
              <w:left w:val="nil"/>
              <w:bottom w:val="single" w:color="auto" w:sz="4" w:space="0"/>
              <w:right w:val="single" w:color="auto" w:sz="8" w:space="0"/>
            </w:tcBorders>
            <w:shd w:val="clear" w:color="auto" w:fill="auto"/>
            <w:noWrap/>
            <w:vAlign w:val="bottom"/>
            <w:hideMark/>
          </w:tcPr>
          <w:p w:rsidRPr="00387AB6" w:rsidR="00453A47" w:rsidP="00453A47" w:rsidRDefault="00453A47" w14:paraId="2D3B8441"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r>
      <w:tr w:rsidRPr="00387AB6" w:rsidR="00453A47" w:rsidTr="00387AB6" w14:paraId="7A064FB8" w14:textId="77777777">
        <w:trPr>
          <w:trHeight w:val="342"/>
        </w:trPr>
        <w:tc>
          <w:tcPr>
            <w:tcW w:w="3607"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87AB6" w:rsidR="00453A47" w:rsidP="00453A47" w:rsidRDefault="00453A47" w14:paraId="3BA6E16D"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2008-2013</w:t>
            </w:r>
          </w:p>
        </w:tc>
        <w:tc>
          <w:tcPr>
            <w:tcW w:w="1707" w:type="dxa"/>
            <w:tcBorders>
              <w:top w:val="nil"/>
              <w:left w:val="single" w:color="auto" w:sz="4" w:space="0"/>
              <w:bottom w:val="single" w:color="auto" w:sz="4" w:space="0"/>
              <w:right w:val="single" w:color="auto" w:sz="4" w:space="0"/>
            </w:tcBorders>
            <w:shd w:val="clear" w:color="auto" w:fill="auto"/>
            <w:vAlign w:val="bottom"/>
            <w:hideMark/>
          </w:tcPr>
          <w:p w:rsidRPr="00387AB6" w:rsidR="00453A47" w:rsidP="00453A47" w:rsidRDefault="00453A47" w14:paraId="0C22F14F"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56" w:type="dxa"/>
            <w:tcBorders>
              <w:top w:val="nil"/>
              <w:left w:val="nil"/>
              <w:bottom w:val="single" w:color="auto" w:sz="4" w:space="0"/>
              <w:right w:val="double" w:color="auto" w:sz="6" w:space="0"/>
            </w:tcBorders>
            <w:shd w:val="clear" w:color="auto" w:fill="auto"/>
            <w:noWrap/>
            <w:vAlign w:val="bottom"/>
            <w:hideMark/>
          </w:tcPr>
          <w:p w:rsidRPr="00387AB6" w:rsidR="00453A47" w:rsidP="00453A47" w:rsidRDefault="00453A47" w14:paraId="33902DF4"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703" w:type="dxa"/>
            <w:tcBorders>
              <w:top w:val="nil"/>
              <w:left w:val="nil"/>
              <w:bottom w:val="single" w:color="auto" w:sz="4" w:space="0"/>
              <w:right w:val="nil"/>
            </w:tcBorders>
            <w:shd w:val="clear" w:color="auto" w:fill="auto"/>
            <w:noWrap/>
            <w:vAlign w:val="bottom"/>
            <w:hideMark/>
          </w:tcPr>
          <w:p w:rsidRPr="00387AB6" w:rsidR="00453A47" w:rsidP="00453A47" w:rsidRDefault="00453A47" w14:paraId="3D3FC3B4"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56" w:type="dxa"/>
            <w:tcBorders>
              <w:top w:val="nil"/>
              <w:left w:val="nil"/>
              <w:bottom w:val="single" w:color="auto" w:sz="4" w:space="0"/>
              <w:right w:val="nil"/>
            </w:tcBorders>
            <w:shd w:val="clear" w:color="auto" w:fill="auto"/>
            <w:noWrap/>
            <w:vAlign w:val="bottom"/>
            <w:hideMark/>
          </w:tcPr>
          <w:p w:rsidRPr="00387AB6" w:rsidR="00453A47" w:rsidP="00453A47" w:rsidRDefault="00453A47" w14:paraId="5243B6F7"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703" w:type="dxa"/>
            <w:tcBorders>
              <w:top w:val="nil"/>
              <w:left w:val="double" w:color="auto" w:sz="6" w:space="0"/>
              <w:bottom w:val="single" w:color="auto" w:sz="4" w:space="0"/>
              <w:right w:val="single" w:color="auto" w:sz="4" w:space="0"/>
            </w:tcBorders>
            <w:shd w:val="clear" w:color="auto" w:fill="auto"/>
            <w:noWrap/>
            <w:vAlign w:val="bottom"/>
            <w:hideMark/>
          </w:tcPr>
          <w:p w:rsidRPr="00387AB6" w:rsidR="00453A47" w:rsidP="00453A47" w:rsidRDefault="00453A47" w14:paraId="0ACF1520"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56" w:type="dxa"/>
            <w:tcBorders>
              <w:top w:val="nil"/>
              <w:left w:val="nil"/>
              <w:bottom w:val="single" w:color="auto" w:sz="4" w:space="0"/>
              <w:right w:val="double" w:color="auto" w:sz="6" w:space="0"/>
            </w:tcBorders>
            <w:shd w:val="clear" w:color="auto" w:fill="auto"/>
            <w:noWrap/>
            <w:vAlign w:val="bottom"/>
            <w:hideMark/>
          </w:tcPr>
          <w:p w:rsidRPr="00387AB6" w:rsidR="00453A47" w:rsidP="00453A47" w:rsidRDefault="00453A47" w14:paraId="456A159C"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703" w:type="dxa"/>
            <w:tcBorders>
              <w:top w:val="nil"/>
              <w:left w:val="nil"/>
              <w:bottom w:val="single" w:color="auto" w:sz="4" w:space="0"/>
              <w:right w:val="single" w:color="auto" w:sz="4" w:space="0"/>
            </w:tcBorders>
            <w:shd w:val="clear" w:color="auto" w:fill="auto"/>
            <w:noWrap/>
            <w:vAlign w:val="bottom"/>
            <w:hideMark/>
          </w:tcPr>
          <w:p w:rsidRPr="00387AB6" w:rsidR="00453A47" w:rsidP="00453A47" w:rsidRDefault="00453A47" w14:paraId="11CBE93A"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56" w:type="dxa"/>
            <w:tcBorders>
              <w:top w:val="nil"/>
              <w:left w:val="nil"/>
              <w:bottom w:val="single" w:color="auto" w:sz="4" w:space="0"/>
              <w:right w:val="single" w:color="auto" w:sz="8" w:space="0"/>
            </w:tcBorders>
            <w:shd w:val="clear" w:color="auto" w:fill="auto"/>
            <w:noWrap/>
            <w:vAlign w:val="bottom"/>
            <w:hideMark/>
          </w:tcPr>
          <w:p w:rsidRPr="00387AB6" w:rsidR="00453A47" w:rsidP="00453A47" w:rsidRDefault="00453A47" w14:paraId="56BF0A98"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r>
      <w:tr w:rsidRPr="00387AB6" w:rsidR="00453A47" w:rsidTr="00387AB6" w14:paraId="5E06B0D3" w14:textId="77777777">
        <w:trPr>
          <w:trHeight w:val="342"/>
        </w:trPr>
        <w:tc>
          <w:tcPr>
            <w:tcW w:w="3607"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87AB6" w:rsidR="00453A47" w:rsidP="00453A47" w:rsidRDefault="00453A47" w14:paraId="5F2D3243"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2002-2007</w:t>
            </w:r>
          </w:p>
        </w:tc>
        <w:tc>
          <w:tcPr>
            <w:tcW w:w="1707" w:type="dxa"/>
            <w:tcBorders>
              <w:top w:val="nil"/>
              <w:left w:val="single" w:color="auto" w:sz="4" w:space="0"/>
              <w:bottom w:val="single" w:color="auto" w:sz="4" w:space="0"/>
              <w:right w:val="single" w:color="auto" w:sz="4" w:space="0"/>
            </w:tcBorders>
            <w:shd w:val="clear" w:color="auto" w:fill="auto"/>
            <w:noWrap/>
            <w:vAlign w:val="bottom"/>
            <w:hideMark/>
          </w:tcPr>
          <w:p w:rsidRPr="00387AB6" w:rsidR="00453A47" w:rsidP="00453A47" w:rsidRDefault="00453A47" w14:paraId="63EE2E3F"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56" w:type="dxa"/>
            <w:tcBorders>
              <w:top w:val="nil"/>
              <w:left w:val="nil"/>
              <w:bottom w:val="single" w:color="auto" w:sz="4" w:space="0"/>
              <w:right w:val="double" w:color="auto" w:sz="6" w:space="0"/>
            </w:tcBorders>
            <w:shd w:val="clear" w:color="auto" w:fill="auto"/>
            <w:noWrap/>
            <w:vAlign w:val="bottom"/>
            <w:hideMark/>
          </w:tcPr>
          <w:p w:rsidRPr="00387AB6" w:rsidR="00453A47" w:rsidP="00453A47" w:rsidRDefault="00453A47" w14:paraId="43711508"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703" w:type="dxa"/>
            <w:tcBorders>
              <w:top w:val="nil"/>
              <w:left w:val="nil"/>
              <w:bottom w:val="single" w:color="auto" w:sz="4" w:space="0"/>
              <w:right w:val="nil"/>
            </w:tcBorders>
            <w:shd w:val="clear" w:color="auto" w:fill="auto"/>
            <w:noWrap/>
            <w:vAlign w:val="bottom"/>
            <w:hideMark/>
          </w:tcPr>
          <w:p w:rsidRPr="00387AB6" w:rsidR="00453A47" w:rsidP="00453A47" w:rsidRDefault="00453A47" w14:paraId="6440AE31"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56" w:type="dxa"/>
            <w:tcBorders>
              <w:top w:val="nil"/>
              <w:left w:val="nil"/>
              <w:bottom w:val="single" w:color="auto" w:sz="4" w:space="0"/>
              <w:right w:val="nil"/>
            </w:tcBorders>
            <w:shd w:val="clear" w:color="auto" w:fill="auto"/>
            <w:noWrap/>
            <w:vAlign w:val="bottom"/>
            <w:hideMark/>
          </w:tcPr>
          <w:p w:rsidRPr="00387AB6" w:rsidR="00453A47" w:rsidP="00453A47" w:rsidRDefault="00453A47" w14:paraId="20678949"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703" w:type="dxa"/>
            <w:tcBorders>
              <w:top w:val="nil"/>
              <w:left w:val="double" w:color="auto" w:sz="6" w:space="0"/>
              <w:bottom w:val="single" w:color="auto" w:sz="4" w:space="0"/>
              <w:right w:val="single" w:color="auto" w:sz="4" w:space="0"/>
            </w:tcBorders>
            <w:shd w:val="clear" w:color="auto" w:fill="auto"/>
            <w:noWrap/>
            <w:vAlign w:val="bottom"/>
            <w:hideMark/>
          </w:tcPr>
          <w:p w:rsidRPr="00387AB6" w:rsidR="00453A47" w:rsidP="00453A47" w:rsidRDefault="00453A47" w14:paraId="3F0A762F"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56" w:type="dxa"/>
            <w:tcBorders>
              <w:top w:val="nil"/>
              <w:left w:val="nil"/>
              <w:bottom w:val="single" w:color="auto" w:sz="4" w:space="0"/>
              <w:right w:val="double" w:color="auto" w:sz="6" w:space="0"/>
            </w:tcBorders>
            <w:shd w:val="clear" w:color="auto" w:fill="auto"/>
            <w:noWrap/>
            <w:vAlign w:val="bottom"/>
            <w:hideMark/>
          </w:tcPr>
          <w:p w:rsidRPr="00387AB6" w:rsidR="00453A47" w:rsidP="00453A47" w:rsidRDefault="00453A47" w14:paraId="0F64B98D"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703" w:type="dxa"/>
            <w:tcBorders>
              <w:top w:val="nil"/>
              <w:left w:val="nil"/>
              <w:bottom w:val="single" w:color="auto" w:sz="4" w:space="0"/>
              <w:right w:val="single" w:color="auto" w:sz="4" w:space="0"/>
            </w:tcBorders>
            <w:shd w:val="clear" w:color="auto" w:fill="auto"/>
            <w:noWrap/>
            <w:vAlign w:val="bottom"/>
            <w:hideMark/>
          </w:tcPr>
          <w:p w:rsidRPr="00387AB6" w:rsidR="00453A47" w:rsidP="00453A47" w:rsidRDefault="00453A47" w14:paraId="262F0CD9"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56" w:type="dxa"/>
            <w:tcBorders>
              <w:top w:val="nil"/>
              <w:left w:val="nil"/>
              <w:bottom w:val="single" w:color="auto" w:sz="4" w:space="0"/>
              <w:right w:val="single" w:color="auto" w:sz="8" w:space="0"/>
            </w:tcBorders>
            <w:shd w:val="clear" w:color="auto" w:fill="auto"/>
            <w:noWrap/>
            <w:vAlign w:val="bottom"/>
            <w:hideMark/>
          </w:tcPr>
          <w:p w:rsidRPr="00387AB6" w:rsidR="00453A47" w:rsidP="00453A47" w:rsidRDefault="00453A47" w14:paraId="760CA444"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r>
      <w:tr w:rsidRPr="00387AB6" w:rsidR="00453A47" w:rsidTr="00387AB6" w14:paraId="0B55A7A1" w14:textId="77777777">
        <w:trPr>
          <w:trHeight w:val="342"/>
        </w:trPr>
        <w:tc>
          <w:tcPr>
            <w:tcW w:w="3607"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87AB6" w:rsidR="00453A47" w:rsidP="00453A47" w:rsidRDefault="00453A47" w14:paraId="41BA6CB0"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1996-2001</w:t>
            </w:r>
          </w:p>
        </w:tc>
        <w:tc>
          <w:tcPr>
            <w:tcW w:w="1707" w:type="dxa"/>
            <w:tcBorders>
              <w:top w:val="nil"/>
              <w:left w:val="single" w:color="auto" w:sz="4" w:space="0"/>
              <w:bottom w:val="single" w:color="auto" w:sz="4" w:space="0"/>
              <w:right w:val="single" w:color="auto" w:sz="4" w:space="0"/>
            </w:tcBorders>
            <w:shd w:val="clear" w:color="auto" w:fill="auto"/>
            <w:noWrap/>
            <w:vAlign w:val="bottom"/>
            <w:hideMark/>
          </w:tcPr>
          <w:p w:rsidRPr="00387AB6" w:rsidR="00453A47" w:rsidP="00453A47" w:rsidRDefault="00453A47" w14:paraId="27E87434"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56" w:type="dxa"/>
            <w:tcBorders>
              <w:top w:val="nil"/>
              <w:left w:val="nil"/>
              <w:bottom w:val="single" w:color="auto" w:sz="4" w:space="0"/>
              <w:right w:val="double" w:color="auto" w:sz="6" w:space="0"/>
            </w:tcBorders>
            <w:shd w:val="clear" w:color="auto" w:fill="auto"/>
            <w:noWrap/>
            <w:vAlign w:val="bottom"/>
            <w:hideMark/>
          </w:tcPr>
          <w:p w:rsidRPr="00387AB6" w:rsidR="00453A47" w:rsidP="00453A47" w:rsidRDefault="00453A47" w14:paraId="1BBEC7AF"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703" w:type="dxa"/>
            <w:tcBorders>
              <w:top w:val="nil"/>
              <w:left w:val="nil"/>
              <w:bottom w:val="single" w:color="auto" w:sz="4" w:space="0"/>
              <w:right w:val="nil"/>
            </w:tcBorders>
            <w:shd w:val="clear" w:color="auto" w:fill="auto"/>
            <w:noWrap/>
            <w:vAlign w:val="bottom"/>
            <w:hideMark/>
          </w:tcPr>
          <w:p w:rsidRPr="00387AB6" w:rsidR="00453A47" w:rsidP="00453A47" w:rsidRDefault="00453A47" w14:paraId="00FF416C"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56" w:type="dxa"/>
            <w:tcBorders>
              <w:top w:val="nil"/>
              <w:left w:val="nil"/>
              <w:bottom w:val="single" w:color="auto" w:sz="4" w:space="0"/>
              <w:right w:val="nil"/>
            </w:tcBorders>
            <w:shd w:val="clear" w:color="auto" w:fill="auto"/>
            <w:noWrap/>
            <w:vAlign w:val="bottom"/>
            <w:hideMark/>
          </w:tcPr>
          <w:p w:rsidRPr="00387AB6" w:rsidR="00453A47" w:rsidP="00453A47" w:rsidRDefault="00453A47" w14:paraId="5B7D6C3A"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703" w:type="dxa"/>
            <w:tcBorders>
              <w:top w:val="nil"/>
              <w:left w:val="double" w:color="auto" w:sz="6" w:space="0"/>
              <w:bottom w:val="single" w:color="auto" w:sz="4" w:space="0"/>
              <w:right w:val="single" w:color="auto" w:sz="4" w:space="0"/>
            </w:tcBorders>
            <w:shd w:val="clear" w:color="auto" w:fill="auto"/>
            <w:noWrap/>
            <w:vAlign w:val="bottom"/>
            <w:hideMark/>
          </w:tcPr>
          <w:p w:rsidRPr="00387AB6" w:rsidR="00453A47" w:rsidP="00453A47" w:rsidRDefault="00453A47" w14:paraId="75ADDC69"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56" w:type="dxa"/>
            <w:tcBorders>
              <w:top w:val="nil"/>
              <w:left w:val="nil"/>
              <w:bottom w:val="single" w:color="auto" w:sz="4" w:space="0"/>
              <w:right w:val="double" w:color="auto" w:sz="6" w:space="0"/>
            </w:tcBorders>
            <w:shd w:val="clear" w:color="auto" w:fill="auto"/>
            <w:noWrap/>
            <w:vAlign w:val="bottom"/>
            <w:hideMark/>
          </w:tcPr>
          <w:p w:rsidRPr="00387AB6" w:rsidR="00453A47" w:rsidP="00453A47" w:rsidRDefault="00453A47" w14:paraId="29EDB0AA"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703" w:type="dxa"/>
            <w:tcBorders>
              <w:top w:val="nil"/>
              <w:left w:val="nil"/>
              <w:bottom w:val="single" w:color="auto" w:sz="4" w:space="0"/>
              <w:right w:val="single" w:color="auto" w:sz="4" w:space="0"/>
            </w:tcBorders>
            <w:shd w:val="clear" w:color="auto" w:fill="auto"/>
            <w:noWrap/>
            <w:vAlign w:val="bottom"/>
            <w:hideMark/>
          </w:tcPr>
          <w:p w:rsidRPr="00387AB6" w:rsidR="00453A47" w:rsidP="00453A47" w:rsidRDefault="00453A47" w14:paraId="1E9F41CD"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56" w:type="dxa"/>
            <w:tcBorders>
              <w:top w:val="nil"/>
              <w:left w:val="nil"/>
              <w:bottom w:val="single" w:color="auto" w:sz="4" w:space="0"/>
              <w:right w:val="single" w:color="auto" w:sz="8" w:space="0"/>
            </w:tcBorders>
            <w:shd w:val="clear" w:color="auto" w:fill="auto"/>
            <w:noWrap/>
            <w:vAlign w:val="bottom"/>
            <w:hideMark/>
          </w:tcPr>
          <w:p w:rsidRPr="00387AB6" w:rsidR="00453A47" w:rsidP="00453A47" w:rsidRDefault="00453A47" w14:paraId="5EAC195B"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r>
      <w:tr w:rsidRPr="00387AB6" w:rsidR="00453A47" w:rsidTr="00387AB6" w14:paraId="7A03F4E0" w14:textId="77777777">
        <w:trPr>
          <w:trHeight w:val="342"/>
        </w:trPr>
        <w:tc>
          <w:tcPr>
            <w:tcW w:w="3607"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87AB6" w:rsidR="00453A47" w:rsidP="00453A47" w:rsidRDefault="00453A47" w14:paraId="700C90B8"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1990-1995</w:t>
            </w:r>
          </w:p>
        </w:tc>
        <w:tc>
          <w:tcPr>
            <w:tcW w:w="1707" w:type="dxa"/>
            <w:tcBorders>
              <w:top w:val="nil"/>
              <w:left w:val="single" w:color="auto" w:sz="4" w:space="0"/>
              <w:bottom w:val="single" w:color="auto" w:sz="4" w:space="0"/>
              <w:right w:val="single" w:color="auto" w:sz="4" w:space="0"/>
            </w:tcBorders>
            <w:shd w:val="clear" w:color="auto" w:fill="auto"/>
            <w:noWrap/>
            <w:vAlign w:val="bottom"/>
            <w:hideMark/>
          </w:tcPr>
          <w:p w:rsidRPr="00387AB6" w:rsidR="00453A47" w:rsidP="00453A47" w:rsidRDefault="00453A47" w14:paraId="2D18DCC1"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56" w:type="dxa"/>
            <w:tcBorders>
              <w:top w:val="nil"/>
              <w:left w:val="nil"/>
              <w:bottom w:val="single" w:color="auto" w:sz="4" w:space="0"/>
              <w:right w:val="double" w:color="auto" w:sz="6" w:space="0"/>
            </w:tcBorders>
            <w:shd w:val="clear" w:color="auto" w:fill="auto"/>
            <w:noWrap/>
            <w:vAlign w:val="bottom"/>
            <w:hideMark/>
          </w:tcPr>
          <w:p w:rsidRPr="00387AB6" w:rsidR="00453A47" w:rsidP="00453A47" w:rsidRDefault="00453A47" w14:paraId="2DD99FF9"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703" w:type="dxa"/>
            <w:tcBorders>
              <w:top w:val="nil"/>
              <w:left w:val="nil"/>
              <w:bottom w:val="single" w:color="auto" w:sz="4" w:space="0"/>
              <w:right w:val="nil"/>
            </w:tcBorders>
            <w:shd w:val="clear" w:color="auto" w:fill="auto"/>
            <w:noWrap/>
            <w:vAlign w:val="bottom"/>
            <w:hideMark/>
          </w:tcPr>
          <w:p w:rsidRPr="00387AB6" w:rsidR="00453A47" w:rsidP="00453A47" w:rsidRDefault="00453A47" w14:paraId="10DACE5B"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56" w:type="dxa"/>
            <w:tcBorders>
              <w:top w:val="nil"/>
              <w:left w:val="nil"/>
              <w:bottom w:val="single" w:color="auto" w:sz="4" w:space="0"/>
              <w:right w:val="nil"/>
            </w:tcBorders>
            <w:shd w:val="clear" w:color="auto" w:fill="auto"/>
            <w:noWrap/>
            <w:vAlign w:val="bottom"/>
            <w:hideMark/>
          </w:tcPr>
          <w:p w:rsidRPr="00387AB6" w:rsidR="00453A47" w:rsidP="00453A47" w:rsidRDefault="00453A47" w14:paraId="352B23B2"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703" w:type="dxa"/>
            <w:tcBorders>
              <w:top w:val="nil"/>
              <w:left w:val="double" w:color="auto" w:sz="6" w:space="0"/>
              <w:bottom w:val="single" w:color="auto" w:sz="4" w:space="0"/>
              <w:right w:val="single" w:color="auto" w:sz="4" w:space="0"/>
            </w:tcBorders>
            <w:shd w:val="clear" w:color="auto" w:fill="auto"/>
            <w:noWrap/>
            <w:vAlign w:val="bottom"/>
            <w:hideMark/>
          </w:tcPr>
          <w:p w:rsidRPr="00387AB6" w:rsidR="00453A47" w:rsidP="00453A47" w:rsidRDefault="00453A47" w14:paraId="530524B3"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56" w:type="dxa"/>
            <w:tcBorders>
              <w:top w:val="nil"/>
              <w:left w:val="nil"/>
              <w:bottom w:val="single" w:color="auto" w:sz="4" w:space="0"/>
              <w:right w:val="double" w:color="auto" w:sz="6" w:space="0"/>
            </w:tcBorders>
            <w:shd w:val="clear" w:color="auto" w:fill="auto"/>
            <w:noWrap/>
            <w:vAlign w:val="bottom"/>
            <w:hideMark/>
          </w:tcPr>
          <w:p w:rsidRPr="00387AB6" w:rsidR="00453A47" w:rsidP="00453A47" w:rsidRDefault="00453A47" w14:paraId="075DDA59"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703" w:type="dxa"/>
            <w:tcBorders>
              <w:top w:val="nil"/>
              <w:left w:val="nil"/>
              <w:bottom w:val="single" w:color="auto" w:sz="4" w:space="0"/>
              <w:right w:val="single" w:color="auto" w:sz="4" w:space="0"/>
            </w:tcBorders>
            <w:shd w:val="clear" w:color="auto" w:fill="auto"/>
            <w:noWrap/>
            <w:vAlign w:val="bottom"/>
            <w:hideMark/>
          </w:tcPr>
          <w:p w:rsidRPr="00387AB6" w:rsidR="00453A47" w:rsidP="00453A47" w:rsidRDefault="00453A47" w14:paraId="368E2A5A"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56" w:type="dxa"/>
            <w:tcBorders>
              <w:top w:val="nil"/>
              <w:left w:val="nil"/>
              <w:bottom w:val="single" w:color="auto" w:sz="4" w:space="0"/>
              <w:right w:val="single" w:color="auto" w:sz="8" w:space="0"/>
            </w:tcBorders>
            <w:shd w:val="clear" w:color="auto" w:fill="auto"/>
            <w:noWrap/>
            <w:vAlign w:val="bottom"/>
            <w:hideMark/>
          </w:tcPr>
          <w:p w:rsidRPr="00387AB6" w:rsidR="00453A47" w:rsidP="00453A47" w:rsidRDefault="00453A47" w14:paraId="06FB8402"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r>
      <w:tr w:rsidRPr="00387AB6" w:rsidR="00453A47" w:rsidTr="00387AB6" w14:paraId="3EB070FB" w14:textId="77777777">
        <w:trPr>
          <w:trHeight w:val="342"/>
        </w:trPr>
        <w:tc>
          <w:tcPr>
            <w:tcW w:w="3607"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87AB6" w:rsidR="00453A47" w:rsidP="00453A47" w:rsidRDefault="00453A47" w14:paraId="04D61F67"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1978-1989</w:t>
            </w:r>
          </w:p>
        </w:tc>
        <w:tc>
          <w:tcPr>
            <w:tcW w:w="1707" w:type="dxa"/>
            <w:tcBorders>
              <w:top w:val="nil"/>
              <w:left w:val="single" w:color="auto" w:sz="4" w:space="0"/>
              <w:bottom w:val="single" w:color="auto" w:sz="4" w:space="0"/>
              <w:right w:val="single" w:color="auto" w:sz="4" w:space="0"/>
            </w:tcBorders>
            <w:shd w:val="clear" w:color="auto" w:fill="auto"/>
            <w:noWrap/>
            <w:vAlign w:val="bottom"/>
            <w:hideMark/>
          </w:tcPr>
          <w:p w:rsidRPr="00387AB6" w:rsidR="00453A47" w:rsidP="00453A47" w:rsidRDefault="00453A47" w14:paraId="257F66CB"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56" w:type="dxa"/>
            <w:tcBorders>
              <w:top w:val="nil"/>
              <w:left w:val="nil"/>
              <w:bottom w:val="single" w:color="auto" w:sz="4" w:space="0"/>
              <w:right w:val="double" w:color="auto" w:sz="6" w:space="0"/>
            </w:tcBorders>
            <w:shd w:val="clear" w:color="auto" w:fill="auto"/>
            <w:noWrap/>
            <w:vAlign w:val="bottom"/>
            <w:hideMark/>
          </w:tcPr>
          <w:p w:rsidRPr="00387AB6" w:rsidR="00453A47" w:rsidP="00453A47" w:rsidRDefault="00453A47" w14:paraId="23975250"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703" w:type="dxa"/>
            <w:tcBorders>
              <w:top w:val="nil"/>
              <w:left w:val="nil"/>
              <w:bottom w:val="single" w:color="auto" w:sz="4" w:space="0"/>
              <w:right w:val="nil"/>
            </w:tcBorders>
            <w:shd w:val="clear" w:color="auto" w:fill="auto"/>
            <w:noWrap/>
            <w:vAlign w:val="bottom"/>
            <w:hideMark/>
          </w:tcPr>
          <w:p w:rsidRPr="00387AB6" w:rsidR="00453A47" w:rsidP="00453A47" w:rsidRDefault="00453A47" w14:paraId="7F3D955C"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56" w:type="dxa"/>
            <w:tcBorders>
              <w:top w:val="nil"/>
              <w:left w:val="nil"/>
              <w:bottom w:val="single" w:color="auto" w:sz="4" w:space="0"/>
              <w:right w:val="nil"/>
            </w:tcBorders>
            <w:shd w:val="clear" w:color="auto" w:fill="auto"/>
            <w:noWrap/>
            <w:vAlign w:val="bottom"/>
            <w:hideMark/>
          </w:tcPr>
          <w:p w:rsidRPr="00387AB6" w:rsidR="00453A47" w:rsidP="00453A47" w:rsidRDefault="00453A47" w14:paraId="7897E381"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703" w:type="dxa"/>
            <w:tcBorders>
              <w:top w:val="nil"/>
              <w:left w:val="double" w:color="auto" w:sz="6" w:space="0"/>
              <w:bottom w:val="single" w:color="auto" w:sz="4" w:space="0"/>
              <w:right w:val="single" w:color="auto" w:sz="4" w:space="0"/>
            </w:tcBorders>
            <w:shd w:val="clear" w:color="auto" w:fill="auto"/>
            <w:noWrap/>
            <w:vAlign w:val="bottom"/>
            <w:hideMark/>
          </w:tcPr>
          <w:p w:rsidRPr="00387AB6" w:rsidR="00453A47" w:rsidP="00453A47" w:rsidRDefault="00453A47" w14:paraId="75FFBA14"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56" w:type="dxa"/>
            <w:tcBorders>
              <w:top w:val="nil"/>
              <w:left w:val="nil"/>
              <w:bottom w:val="single" w:color="auto" w:sz="4" w:space="0"/>
              <w:right w:val="double" w:color="auto" w:sz="6" w:space="0"/>
            </w:tcBorders>
            <w:shd w:val="clear" w:color="auto" w:fill="auto"/>
            <w:noWrap/>
            <w:vAlign w:val="bottom"/>
            <w:hideMark/>
          </w:tcPr>
          <w:p w:rsidRPr="00387AB6" w:rsidR="00453A47" w:rsidP="00453A47" w:rsidRDefault="00453A47" w14:paraId="6E9298F5"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703" w:type="dxa"/>
            <w:tcBorders>
              <w:top w:val="nil"/>
              <w:left w:val="nil"/>
              <w:bottom w:val="single" w:color="auto" w:sz="4" w:space="0"/>
              <w:right w:val="single" w:color="auto" w:sz="4" w:space="0"/>
            </w:tcBorders>
            <w:shd w:val="clear" w:color="auto" w:fill="auto"/>
            <w:noWrap/>
            <w:vAlign w:val="bottom"/>
            <w:hideMark/>
          </w:tcPr>
          <w:p w:rsidRPr="00387AB6" w:rsidR="00453A47" w:rsidP="00453A47" w:rsidRDefault="00453A47" w14:paraId="0902ED69"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56" w:type="dxa"/>
            <w:tcBorders>
              <w:top w:val="nil"/>
              <w:left w:val="nil"/>
              <w:bottom w:val="single" w:color="auto" w:sz="4" w:space="0"/>
              <w:right w:val="single" w:color="auto" w:sz="8" w:space="0"/>
            </w:tcBorders>
            <w:shd w:val="clear" w:color="auto" w:fill="auto"/>
            <w:noWrap/>
            <w:vAlign w:val="bottom"/>
            <w:hideMark/>
          </w:tcPr>
          <w:p w:rsidRPr="00387AB6" w:rsidR="00453A47" w:rsidP="00453A47" w:rsidRDefault="00453A47" w14:paraId="505A991B"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r>
      <w:tr w:rsidRPr="00387AB6" w:rsidR="00453A47" w:rsidTr="00387AB6" w14:paraId="53215121" w14:textId="77777777">
        <w:trPr>
          <w:trHeight w:val="342"/>
        </w:trPr>
        <w:tc>
          <w:tcPr>
            <w:tcW w:w="3607"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87AB6" w:rsidR="00453A47" w:rsidP="00453A47" w:rsidRDefault="00453A47" w14:paraId="11EB34AA"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1977-1961</w:t>
            </w:r>
          </w:p>
        </w:tc>
        <w:tc>
          <w:tcPr>
            <w:tcW w:w="1707" w:type="dxa"/>
            <w:tcBorders>
              <w:top w:val="nil"/>
              <w:left w:val="single" w:color="auto" w:sz="4" w:space="0"/>
              <w:bottom w:val="single" w:color="auto" w:sz="4" w:space="0"/>
              <w:right w:val="single" w:color="auto" w:sz="4" w:space="0"/>
            </w:tcBorders>
            <w:shd w:val="clear" w:color="auto" w:fill="auto"/>
            <w:noWrap/>
            <w:vAlign w:val="bottom"/>
            <w:hideMark/>
          </w:tcPr>
          <w:p w:rsidRPr="00387AB6" w:rsidR="00453A47" w:rsidP="00453A47" w:rsidRDefault="00453A47" w14:paraId="07500B51"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56" w:type="dxa"/>
            <w:tcBorders>
              <w:top w:val="nil"/>
              <w:left w:val="nil"/>
              <w:bottom w:val="single" w:color="auto" w:sz="4" w:space="0"/>
              <w:right w:val="double" w:color="auto" w:sz="6" w:space="0"/>
            </w:tcBorders>
            <w:shd w:val="clear" w:color="auto" w:fill="auto"/>
            <w:noWrap/>
            <w:vAlign w:val="bottom"/>
            <w:hideMark/>
          </w:tcPr>
          <w:p w:rsidRPr="00387AB6" w:rsidR="00453A47" w:rsidP="00453A47" w:rsidRDefault="00453A47" w14:paraId="24CEE6B0"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703" w:type="dxa"/>
            <w:tcBorders>
              <w:top w:val="nil"/>
              <w:left w:val="nil"/>
              <w:bottom w:val="single" w:color="auto" w:sz="4" w:space="0"/>
              <w:right w:val="nil"/>
            </w:tcBorders>
            <w:shd w:val="clear" w:color="auto" w:fill="auto"/>
            <w:noWrap/>
            <w:vAlign w:val="bottom"/>
            <w:hideMark/>
          </w:tcPr>
          <w:p w:rsidRPr="00387AB6" w:rsidR="00453A47" w:rsidP="00453A47" w:rsidRDefault="00453A47" w14:paraId="3074B39F"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56" w:type="dxa"/>
            <w:tcBorders>
              <w:top w:val="nil"/>
              <w:left w:val="nil"/>
              <w:bottom w:val="single" w:color="auto" w:sz="4" w:space="0"/>
              <w:right w:val="nil"/>
            </w:tcBorders>
            <w:shd w:val="clear" w:color="auto" w:fill="auto"/>
            <w:noWrap/>
            <w:vAlign w:val="bottom"/>
            <w:hideMark/>
          </w:tcPr>
          <w:p w:rsidRPr="00387AB6" w:rsidR="00453A47" w:rsidP="00453A47" w:rsidRDefault="00453A47" w14:paraId="081BB1C2"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703" w:type="dxa"/>
            <w:tcBorders>
              <w:top w:val="nil"/>
              <w:left w:val="double" w:color="auto" w:sz="6" w:space="0"/>
              <w:bottom w:val="single" w:color="auto" w:sz="4" w:space="0"/>
              <w:right w:val="single" w:color="auto" w:sz="4" w:space="0"/>
            </w:tcBorders>
            <w:shd w:val="clear" w:color="auto" w:fill="auto"/>
            <w:noWrap/>
            <w:vAlign w:val="bottom"/>
            <w:hideMark/>
          </w:tcPr>
          <w:p w:rsidRPr="00387AB6" w:rsidR="00453A47" w:rsidP="00453A47" w:rsidRDefault="00453A47" w14:paraId="297F0E89"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56" w:type="dxa"/>
            <w:tcBorders>
              <w:top w:val="nil"/>
              <w:left w:val="nil"/>
              <w:bottom w:val="single" w:color="auto" w:sz="4" w:space="0"/>
              <w:right w:val="double" w:color="auto" w:sz="6" w:space="0"/>
            </w:tcBorders>
            <w:shd w:val="clear" w:color="auto" w:fill="auto"/>
            <w:noWrap/>
            <w:vAlign w:val="bottom"/>
            <w:hideMark/>
          </w:tcPr>
          <w:p w:rsidRPr="00387AB6" w:rsidR="00453A47" w:rsidP="00453A47" w:rsidRDefault="00453A47" w14:paraId="0A5D53F2"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703" w:type="dxa"/>
            <w:tcBorders>
              <w:top w:val="nil"/>
              <w:left w:val="nil"/>
              <w:bottom w:val="single" w:color="auto" w:sz="4" w:space="0"/>
              <w:right w:val="single" w:color="auto" w:sz="4" w:space="0"/>
            </w:tcBorders>
            <w:shd w:val="clear" w:color="auto" w:fill="auto"/>
            <w:noWrap/>
            <w:vAlign w:val="bottom"/>
            <w:hideMark/>
          </w:tcPr>
          <w:p w:rsidRPr="00387AB6" w:rsidR="00453A47" w:rsidP="00453A47" w:rsidRDefault="00453A47" w14:paraId="396A2AE7"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56" w:type="dxa"/>
            <w:tcBorders>
              <w:top w:val="nil"/>
              <w:left w:val="nil"/>
              <w:bottom w:val="single" w:color="auto" w:sz="4" w:space="0"/>
              <w:right w:val="single" w:color="auto" w:sz="8" w:space="0"/>
            </w:tcBorders>
            <w:shd w:val="clear" w:color="auto" w:fill="auto"/>
            <w:noWrap/>
            <w:vAlign w:val="bottom"/>
            <w:hideMark/>
          </w:tcPr>
          <w:p w:rsidRPr="00387AB6" w:rsidR="00453A47" w:rsidP="00453A47" w:rsidRDefault="00453A47" w14:paraId="38FCBE67"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r>
      <w:tr w:rsidRPr="00387AB6" w:rsidR="00453A47" w:rsidTr="00387AB6" w14:paraId="2B5A8435" w14:textId="77777777">
        <w:trPr>
          <w:trHeight w:val="359"/>
        </w:trPr>
        <w:tc>
          <w:tcPr>
            <w:tcW w:w="3607"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87AB6" w:rsidR="00453A47" w:rsidP="00453A47" w:rsidRDefault="00453A47" w14:paraId="4032456A"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1960 and before</w:t>
            </w:r>
          </w:p>
        </w:tc>
        <w:tc>
          <w:tcPr>
            <w:tcW w:w="1707" w:type="dxa"/>
            <w:tcBorders>
              <w:top w:val="nil"/>
              <w:left w:val="single" w:color="auto" w:sz="4" w:space="0"/>
              <w:bottom w:val="single" w:color="auto" w:sz="8" w:space="0"/>
              <w:right w:val="single" w:color="auto" w:sz="4" w:space="0"/>
            </w:tcBorders>
            <w:shd w:val="clear" w:color="auto" w:fill="auto"/>
            <w:noWrap/>
            <w:vAlign w:val="bottom"/>
            <w:hideMark/>
          </w:tcPr>
          <w:p w:rsidRPr="00387AB6" w:rsidR="00453A47" w:rsidP="00453A47" w:rsidRDefault="00453A47" w14:paraId="639DD8F5"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56" w:type="dxa"/>
            <w:tcBorders>
              <w:top w:val="nil"/>
              <w:left w:val="nil"/>
              <w:bottom w:val="single" w:color="auto" w:sz="8" w:space="0"/>
              <w:right w:val="double" w:color="auto" w:sz="6" w:space="0"/>
            </w:tcBorders>
            <w:shd w:val="clear" w:color="auto" w:fill="auto"/>
            <w:noWrap/>
            <w:vAlign w:val="bottom"/>
            <w:hideMark/>
          </w:tcPr>
          <w:p w:rsidRPr="00387AB6" w:rsidR="00453A47" w:rsidP="00453A47" w:rsidRDefault="00453A47" w14:paraId="39992CF6"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703" w:type="dxa"/>
            <w:tcBorders>
              <w:top w:val="nil"/>
              <w:left w:val="nil"/>
              <w:bottom w:val="single" w:color="auto" w:sz="8" w:space="0"/>
              <w:right w:val="nil"/>
            </w:tcBorders>
            <w:shd w:val="clear" w:color="auto" w:fill="auto"/>
            <w:noWrap/>
            <w:vAlign w:val="bottom"/>
            <w:hideMark/>
          </w:tcPr>
          <w:p w:rsidRPr="00387AB6" w:rsidR="00453A47" w:rsidP="00453A47" w:rsidRDefault="00453A47" w14:paraId="445E99CE"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56" w:type="dxa"/>
            <w:tcBorders>
              <w:top w:val="nil"/>
              <w:left w:val="nil"/>
              <w:bottom w:val="single" w:color="auto" w:sz="8" w:space="0"/>
              <w:right w:val="nil"/>
            </w:tcBorders>
            <w:shd w:val="clear" w:color="auto" w:fill="auto"/>
            <w:noWrap/>
            <w:vAlign w:val="bottom"/>
            <w:hideMark/>
          </w:tcPr>
          <w:p w:rsidRPr="00387AB6" w:rsidR="00453A47" w:rsidP="00453A47" w:rsidRDefault="00453A47" w14:paraId="7C3F55C4"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703" w:type="dxa"/>
            <w:tcBorders>
              <w:top w:val="nil"/>
              <w:left w:val="double" w:color="auto" w:sz="6" w:space="0"/>
              <w:bottom w:val="single" w:color="auto" w:sz="8" w:space="0"/>
              <w:right w:val="single" w:color="auto" w:sz="4" w:space="0"/>
            </w:tcBorders>
            <w:shd w:val="clear" w:color="auto" w:fill="auto"/>
            <w:noWrap/>
            <w:vAlign w:val="bottom"/>
            <w:hideMark/>
          </w:tcPr>
          <w:p w:rsidRPr="00387AB6" w:rsidR="00453A47" w:rsidP="00453A47" w:rsidRDefault="00453A47" w14:paraId="24CA298E"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56" w:type="dxa"/>
            <w:tcBorders>
              <w:top w:val="nil"/>
              <w:left w:val="nil"/>
              <w:bottom w:val="single" w:color="auto" w:sz="8" w:space="0"/>
              <w:right w:val="double" w:color="auto" w:sz="6" w:space="0"/>
            </w:tcBorders>
            <w:shd w:val="clear" w:color="auto" w:fill="auto"/>
            <w:noWrap/>
            <w:vAlign w:val="bottom"/>
            <w:hideMark/>
          </w:tcPr>
          <w:p w:rsidRPr="00387AB6" w:rsidR="00453A47" w:rsidP="00453A47" w:rsidRDefault="00453A47" w14:paraId="7AA8EF0B"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703" w:type="dxa"/>
            <w:tcBorders>
              <w:top w:val="nil"/>
              <w:left w:val="nil"/>
              <w:bottom w:val="single" w:color="auto" w:sz="8" w:space="0"/>
              <w:right w:val="single" w:color="auto" w:sz="4" w:space="0"/>
            </w:tcBorders>
            <w:shd w:val="clear" w:color="auto" w:fill="auto"/>
            <w:noWrap/>
            <w:vAlign w:val="bottom"/>
            <w:hideMark/>
          </w:tcPr>
          <w:p w:rsidRPr="00387AB6" w:rsidR="00453A47" w:rsidP="00453A47" w:rsidRDefault="00453A47" w14:paraId="3DE77D9F"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56" w:type="dxa"/>
            <w:tcBorders>
              <w:top w:val="nil"/>
              <w:left w:val="nil"/>
              <w:bottom w:val="single" w:color="auto" w:sz="8" w:space="0"/>
              <w:right w:val="single" w:color="auto" w:sz="8" w:space="0"/>
            </w:tcBorders>
            <w:shd w:val="clear" w:color="auto" w:fill="auto"/>
            <w:noWrap/>
            <w:vAlign w:val="bottom"/>
            <w:hideMark/>
          </w:tcPr>
          <w:p w:rsidRPr="00387AB6" w:rsidR="00453A47" w:rsidP="00453A47" w:rsidRDefault="00453A47" w14:paraId="74CB03B7"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r>
    </w:tbl>
    <w:p w:rsidRPr="00387AB6" w:rsidR="00453A47" w:rsidP="006E00D4" w:rsidRDefault="00453A47" w14:paraId="7987025B" w14:textId="5A93BD8E">
      <w:pPr>
        <w:rPr>
          <w:rFonts w:ascii="Palatino Linotype" w:hAnsi="Palatino Linotype"/>
          <w:sz w:val="24"/>
          <w:szCs w:val="24"/>
        </w:rPr>
      </w:pPr>
      <w:r w:rsidRPr="00387AB6">
        <w:rPr>
          <w:rFonts w:ascii="Palatino Linotype" w:hAnsi="Palatino Linotype"/>
          <w:sz w:val="24"/>
          <w:szCs w:val="24"/>
        </w:rPr>
        <w:br w:type="page"/>
      </w:r>
    </w:p>
    <w:tbl>
      <w:tblPr>
        <w:tblW w:w="17263" w:type="dxa"/>
        <w:tblLook w:val="04A0" w:firstRow="1" w:lastRow="0" w:firstColumn="1" w:lastColumn="0" w:noHBand="0" w:noVBand="1"/>
      </w:tblPr>
      <w:tblGrid>
        <w:gridCol w:w="3647"/>
        <w:gridCol w:w="1729"/>
        <w:gridCol w:w="1677"/>
        <w:gridCol w:w="1725"/>
        <w:gridCol w:w="1678"/>
        <w:gridCol w:w="1725"/>
        <w:gridCol w:w="1679"/>
        <w:gridCol w:w="1725"/>
        <w:gridCol w:w="1678"/>
      </w:tblGrid>
      <w:tr w:rsidRPr="00387AB6" w:rsidR="00453A47" w:rsidTr="00387AB6" w14:paraId="0D969753" w14:textId="77777777">
        <w:trPr>
          <w:trHeight w:val="373"/>
        </w:trPr>
        <w:tc>
          <w:tcPr>
            <w:tcW w:w="13860" w:type="dxa"/>
            <w:gridSpan w:val="7"/>
            <w:tcBorders>
              <w:top w:val="single" w:color="auto" w:sz="4" w:space="0"/>
              <w:left w:val="single" w:color="auto" w:sz="4" w:space="0"/>
              <w:bottom w:val="single" w:color="auto" w:sz="4" w:space="0"/>
              <w:right w:val="single" w:color="auto" w:sz="4" w:space="0"/>
            </w:tcBorders>
            <w:shd w:val="clear" w:color="000000" w:fill="F8CBAD"/>
            <w:noWrap/>
            <w:vAlign w:val="bottom"/>
            <w:hideMark/>
          </w:tcPr>
          <w:p w:rsidRPr="00387AB6" w:rsidR="00453A47" w:rsidP="00453A47" w:rsidRDefault="00453A47" w14:paraId="10B7373D" w14:textId="77777777">
            <w:pPr>
              <w:rPr>
                <w:rFonts w:ascii="Palatino Linotype" w:hAnsi="Palatino Linotype" w:cs="Calibri"/>
                <w:b/>
                <w:bCs/>
                <w:color w:val="000000"/>
                <w:sz w:val="24"/>
                <w:szCs w:val="24"/>
              </w:rPr>
            </w:pPr>
            <w:r w:rsidRPr="00387AB6">
              <w:rPr>
                <w:rFonts w:ascii="Palatino Linotype" w:hAnsi="Palatino Linotype" w:cs="Calibri"/>
                <w:b/>
                <w:bCs/>
                <w:color w:val="000000"/>
                <w:sz w:val="24"/>
                <w:szCs w:val="24"/>
              </w:rPr>
              <w:lastRenderedPageBreak/>
              <w:t>Number of Medical Baseline Customers by Age of Dwelling (Year of Meter Installation)</w:t>
            </w:r>
          </w:p>
        </w:tc>
        <w:tc>
          <w:tcPr>
            <w:tcW w:w="1725" w:type="dxa"/>
            <w:tcBorders>
              <w:top w:val="single" w:color="auto" w:sz="4" w:space="0"/>
              <w:left w:val="single" w:color="auto" w:sz="4" w:space="0"/>
              <w:bottom w:val="single" w:color="auto" w:sz="4" w:space="0"/>
              <w:right w:val="single" w:color="auto" w:sz="4" w:space="0"/>
            </w:tcBorders>
            <w:shd w:val="clear" w:color="000000" w:fill="F8CBAD"/>
            <w:noWrap/>
            <w:vAlign w:val="bottom"/>
            <w:hideMark/>
          </w:tcPr>
          <w:p w:rsidRPr="00387AB6" w:rsidR="00453A47" w:rsidP="00453A47" w:rsidRDefault="00453A47" w14:paraId="5FCECEE3" w14:textId="77777777">
            <w:pPr>
              <w:rPr>
                <w:rFonts w:ascii="Palatino Linotype" w:hAnsi="Palatino Linotype" w:cs="Calibri"/>
                <w:b/>
                <w:bCs/>
                <w:color w:val="000000"/>
                <w:sz w:val="24"/>
                <w:szCs w:val="24"/>
              </w:rPr>
            </w:pPr>
            <w:r w:rsidRPr="00387AB6">
              <w:rPr>
                <w:rFonts w:ascii="Palatino Linotype" w:hAnsi="Palatino Linotype" w:cs="Calibri"/>
                <w:b/>
                <w:bCs/>
                <w:color w:val="000000"/>
                <w:sz w:val="24"/>
                <w:szCs w:val="24"/>
              </w:rPr>
              <w:t> </w:t>
            </w:r>
          </w:p>
        </w:tc>
        <w:tc>
          <w:tcPr>
            <w:tcW w:w="1677" w:type="dxa"/>
            <w:tcBorders>
              <w:top w:val="single" w:color="auto" w:sz="4" w:space="0"/>
              <w:left w:val="single" w:color="auto" w:sz="4" w:space="0"/>
              <w:bottom w:val="single" w:color="auto" w:sz="4" w:space="0"/>
              <w:right w:val="single" w:color="auto" w:sz="4" w:space="0"/>
            </w:tcBorders>
            <w:shd w:val="clear" w:color="000000" w:fill="F8CBAD"/>
            <w:noWrap/>
            <w:vAlign w:val="bottom"/>
            <w:hideMark/>
          </w:tcPr>
          <w:p w:rsidRPr="00387AB6" w:rsidR="00453A47" w:rsidP="00453A47" w:rsidRDefault="00453A47" w14:paraId="1BE3CF5B" w14:textId="77777777">
            <w:pPr>
              <w:rPr>
                <w:rFonts w:ascii="Palatino Linotype" w:hAnsi="Palatino Linotype" w:cs="Calibri"/>
                <w:b/>
                <w:bCs/>
                <w:color w:val="000000"/>
                <w:sz w:val="24"/>
                <w:szCs w:val="24"/>
              </w:rPr>
            </w:pPr>
            <w:r w:rsidRPr="00387AB6">
              <w:rPr>
                <w:rFonts w:ascii="Palatino Linotype" w:hAnsi="Palatino Linotype" w:cs="Calibri"/>
                <w:b/>
                <w:bCs/>
                <w:color w:val="000000"/>
                <w:sz w:val="24"/>
                <w:szCs w:val="24"/>
              </w:rPr>
              <w:t> </w:t>
            </w:r>
          </w:p>
        </w:tc>
      </w:tr>
      <w:tr w:rsidRPr="00387AB6" w:rsidR="00453A47" w:rsidTr="00387AB6" w14:paraId="5C559895" w14:textId="77777777">
        <w:trPr>
          <w:trHeight w:val="355"/>
        </w:trPr>
        <w:tc>
          <w:tcPr>
            <w:tcW w:w="3647" w:type="dxa"/>
            <w:tcBorders>
              <w:top w:val="single" w:color="auto" w:sz="4" w:space="0"/>
              <w:left w:val="single" w:color="auto" w:sz="8" w:space="0"/>
              <w:bottom w:val="single" w:color="auto" w:sz="4" w:space="0"/>
              <w:right w:val="nil"/>
            </w:tcBorders>
            <w:shd w:val="clear" w:color="auto" w:fill="auto"/>
            <w:noWrap/>
            <w:vAlign w:val="bottom"/>
            <w:hideMark/>
          </w:tcPr>
          <w:p w:rsidRPr="00387AB6" w:rsidR="00453A47" w:rsidP="00453A47" w:rsidRDefault="00453A47" w14:paraId="653806A5" w14:textId="77777777">
            <w:pPr>
              <w:rPr>
                <w:rFonts w:ascii="Palatino Linotype" w:hAnsi="Palatino Linotype" w:cs="Calibri"/>
                <w:b/>
                <w:bCs/>
                <w:color w:val="000000"/>
                <w:sz w:val="24"/>
                <w:szCs w:val="24"/>
              </w:rPr>
            </w:pPr>
            <w:r w:rsidRPr="00387AB6">
              <w:rPr>
                <w:rFonts w:ascii="Palatino Linotype" w:hAnsi="Palatino Linotype" w:cs="Calibri"/>
                <w:b/>
                <w:bCs/>
                <w:color w:val="000000"/>
                <w:sz w:val="24"/>
                <w:szCs w:val="24"/>
              </w:rPr>
              <w:t xml:space="preserve">Climate Zone </w:t>
            </w:r>
            <w:r w:rsidRPr="00387AB6">
              <w:rPr>
                <w:rFonts w:ascii="Times New Roman" w:hAnsi="Times New Roman"/>
                <w:b/>
                <w:bCs/>
                <w:color w:val="000000"/>
                <w:sz w:val="24"/>
                <w:szCs w:val="24"/>
              </w:rPr>
              <w:t>→</w:t>
            </w:r>
          </w:p>
        </w:tc>
        <w:tc>
          <w:tcPr>
            <w:tcW w:w="13616" w:type="dxa"/>
            <w:gridSpan w:val="8"/>
            <w:tcBorders>
              <w:top w:val="single" w:color="auto" w:sz="4" w:space="0"/>
              <w:left w:val="single" w:color="auto" w:sz="8" w:space="0"/>
              <w:bottom w:val="nil"/>
              <w:right w:val="single" w:color="000000" w:sz="8" w:space="0"/>
            </w:tcBorders>
            <w:shd w:val="clear" w:color="auto" w:fill="auto"/>
            <w:noWrap/>
            <w:vAlign w:val="bottom"/>
            <w:hideMark/>
          </w:tcPr>
          <w:p w:rsidRPr="00387AB6" w:rsidR="00453A47" w:rsidP="00453A47" w:rsidRDefault="00573A19" w14:paraId="3163CA53" w14:textId="0B447BC0">
            <w:pPr>
              <w:jc w:val="center"/>
              <w:rPr>
                <w:rFonts w:ascii="Palatino Linotype" w:hAnsi="Palatino Linotype" w:cs="Calibri"/>
                <w:b/>
                <w:bCs/>
                <w:color w:val="000000"/>
                <w:sz w:val="24"/>
                <w:szCs w:val="24"/>
              </w:rPr>
            </w:pPr>
            <w:r w:rsidRPr="00387AB6">
              <w:rPr>
                <w:rFonts w:ascii="Palatino Linotype" w:hAnsi="Palatino Linotype" w:cs="Calibri"/>
                <w:b/>
                <w:bCs/>
                <w:color w:val="000000"/>
                <w:sz w:val="24"/>
                <w:szCs w:val="24"/>
              </w:rPr>
              <w:t xml:space="preserve">CZ [-]    </w:t>
            </w:r>
            <w:r w:rsidRPr="00387AB6">
              <w:rPr>
                <w:rFonts w:ascii="Palatino Linotype" w:hAnsi="Palatino Linotype" w:cs="Calibri"/>
                <w:b/>
                <w:bCs/>
                <w:i/>
                <w:iCs/>
                <w:color w:val="000000"/>
                <w:sz w:val="24"/>
                <w:szCs w:val="24"/>
              </w:rPr>
              <w:t>(Add Columns for CZs in your service territory)</w:t>
            </w:r>
          </w:p>
        </w:tc>
      </w:tr>
      <w:tr w:rsidRPr="00387AB6" w:rsidR="00453A47" w:rsidTr="00387AB6" w14:paraId="08E6CC0D" w14:textId="77777777">
        <w:trPr>
          <w:trHeight w:val="355"/>
        </w:trPr>
        <w:tc>
          <w:tcPr>
            <w:tcW w:w="3647"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87AB6" w:rsidR="00453A47" w:rsidP="00453A47" w:rsidRDefault="00453A47" w14:paraId="5ACB8270"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 </w:t>
            </w:r>
          </w:p>
        </w:tc>
        <w:tc>
          <w:tcPr>
            <w:tcW w:w="3406"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87AB6" w:rsidR="00453A47" w:rsidP="00453A47" w:rsidRDefault="00453A47" w14:paraId="4C57FB9F"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All-Electric</w:t>
            </w:r>
          </w:p>
        </w:tc>
        <w:tc>
          <w:tcPr>
            <w:tcW w:w="3403" w:type="dxa"/>
            <w:gridSpan w:val="2"/>
            <w:tcBorders>
              <w:top w:val="single" w:color="auto" w:sz="4" w:space="0"/>
              <w:left w:val="nil"/>
              <w:bottom w:val="single" w:color="auto" w:sz="4" w:space="0"/>
              <w:right w:val="single" w:color="000000" w:sz="4" w:space="0"/>
            </w:tcBorders>
            <w:shd w:val="clear" w:color="auto" w:fill="auto"/>
            <w:noWrap/>
            <w:vAlign w:val="bottom"/>
            <w:hideMark/>
          </w:tcPr>
          <w:p w:rsidRPr="00387AB6" w:rsidR="00453A47" w:rsidP="00453A47" w:rsidRDefault="00453A47" w14:paraId="665CE30B"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Electric Space Heating</w:t>
            </w:r>
          </w:p>
        </w:tc>
        <w:tc>
          <w:tcPr>
            <w:tcW w:w="3403" w:type="dxa"/>
            <w:gridSpan w:val="2"/>
            <w:tcBorders>
              <w:top w:val="single" w:color="auto" w:sz="4" w:space="0"/>
              <w:left w:val="nil"/>
              <w:bottom w:val="single" w:color="auto" w:sz="4" w:space="0"/>
              <w:right w:val="single" w:color="auto" w:sz="4" w:space="0"/>
            </w:tcBorders>
            <w:shd w:val="clear" w:color="auto" w:fill="auto"/>
            <w:noWrap/>
            <w:vAlign w:val="bottom"/>
            <w:hideMark/>
          </w:tcPr>
          <w:p w:rsidRPr="00387AB6" w:rsidR="00453A47" w:rsidP="00453A47" w:rsidRDefault="00453A47" w14:paraId="147F0680"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Dual Fuel</w:t>
            </w:r>
          </w:p>
        </w:tc>
        <w:tc>
          <w:tcPr>
            <w:tcW w:w="3403" w:type="dxa"/>
            <w:gridSpan w:val="2"/>
            <w:tcBorders>
              <w:top w:val="single" w:color="auto" w:sz="4" w:space="0"/>
              <w:left w:val="nil"/>
              <w:bottom w:val="single" w:color="auto" w:sz="4" w:space="0"/>
              <w:right w:val="single" w:color="000000" w:sz="8" w:space="0"/>
            </w:tcBorders>
            <w:shd w:val="clear" w:color="auto" w:fill="auto"/>
            <w:noWrap/>
            <w:vAlign w:val="bottom"/>
            <w:hideMark/>
          </w:tcPr>
          <w:p w:rsidRPr="00387AB6" w:rsidR="00453A47" w:rsidP="00453A47" w:rsidRDefault="00453A47" w14:paraId="68290662"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Gas Only</w:t>
            </w:r>
          </w:p>
        </w:tc>
      </w:tr>
      <w:tr w:rsidRPr="00387AB6" w:rsidR="00453A47" w:rsidTr="00387AB6" w14:paraId="51A567DF" w14:textId="77777777">
        <w:trPr>
          <w:trHeight w:val="355"/>
        </w:trPr>
        <w:tc>
          <w:tcPr>
            <w:tcW w:w="3647"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87AB6" w:rsidR="00453A47" w:rsidP="00453A47" w:rsidRDefault="00453A47" w14:paraId="192EB829" w14:textId="77777777">
            <w:pPr>
              <w:rPr>
                <w:rFonts w:ascii="Palatino Linotype" w:hAnsi="Palatino Linotype" w:cs="Calibri"/>
                <w:b/>
                <w:bCs/>
                <w:color w:val="000000"/>
                <w:sz w:val="24"/>
                <w:szCs w:val="24"/>
              </w:rPr>
            </w:pPr>
            <w:r w:rsidRPr="00387AB6">
              <w:rPr>
                <w:rFonts w:ascii="Palatino Linotype" w:hAnsi="Palatino Linotype" w:cs="Calibri"/>
                <w:b/>
                <w:bCs/>
                <w:color w:val="000000"/>
                <w:sz w:val="24"/>
                <w:szCs w:val="24"/>
              </w:rPr>
              <w:t xml:space="preserve">Year of Meter Installation </w:t>
            </w:r>
            <w:r w:rsidRPr="00387AB6">
              <w:rPr>
                <w:rFonts w:ascii="Times New Roman" w:hAnsi="Times New Roman"/>
                <w:b/>
                <w:bCs/>
                <w:color w:val="000000"/>
                <w:sz w:val="24"/>
                <w:szCs w:val="24"/>
              </w:rPr>
              <w:t>↓</w:t>
            </w:r>
          </w:p>
        </w:tc>
        <w:tc>
          <w:tcPr>
            <w:tcW w:w="1729" w:type="dxa"/>
            <w:tcBorders>
              <w:top w:val="nil"/>
              <w:left w:val="single" w:color="auto" w:sz="4" w:space="0"/>
              <w:bottom w:val="nil"/>
              <w:right w:val="single" w:color="auto" w:sz="4" w:space="0"/>
            </w:tcBorders>
            <w:shd w:val="clear" w:color="auto" w:fill="auto"/>
            <w:noWrap/>
            <w:vAlign w:val="bottom"/>
            <w:hideMark/>
          </w:tcPr>
          <w:p w:rsidRPr="00387AB6" w:rsidR="00453A47" w:rsidP="00453A47" w:rsidRDefault="00453A47" w14:paraId="305BC188"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Singlefamily</w:t>
            </w:r>
          </w:p>
        </w:tc>
        <w:tc>
          <w:tcPr>
            <w:tcW w:w="1677" w:type="dxa"/>
            <w:tcBorders>
              <w:top w:val="nil"/>
              <w:left w:val="nil"/>
              <w:bottom w:val="single" w:color="auto" w:sz="4" w:space="0"/>
              <w:right w:val="nil"/>
            </w:tcBorders>
            <w:shd w:val="clear" w:color="auto" w:fill="auto"/>
            <w:noWrap/>
            <w:vAlign w:val="bottom"/>
            <w:hideMark/>
          </w:tcPr>
          <w:p w:rsidRPr="00387AB6" w:rsidR="00453A47" w:rsidP="00453A47" w:rsidRDefault="00453A47" w14:paraId="4B1C4091"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Multifamily</w:t>
            </w:r>
          </w:p>
        </w:tc>
        <w:tc>
          <w:tcPr>
            <w:tcW w:w="1725" w:type="dxa"/>
            <w:tcBorders>
              <w:top w:val="nil"/>
              <w:left w:val="single" w:color="auto" w:sz="4" w:space="0"/>
              <w:bottom w:val="single" w:color="auto" w:sz="4" w:space="0"/>
              <w:right w:val="single" w:color="auto" w:sz="4" w:space="0"/>
            </w:tcBorders>
            <w:shd w:val="clear" w:color="auto" w:fill="auto"/>
            <w:noWrap/>
            <w:vAlign w:val="bottom"/>
            <w:hideMark/>
          </w:tcPr>
          <w:p w:rsidRPr="00387AB6" w:rsidR="00453A47" w:rsidP="00453A47" w:rsidRDefault="00453A47" w14:paraId="15E5E36E"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Singlefamily</w:t>
            </w:r>
          </w:p>
        </w:tc>
        <w:tc>
          <w:tcPr>
            <w:tcW w:w="1677" w:type="dxa"/>
            <w:tcBorders>
              <w:top w:val="nil"/>
              <w:left w:val="nil"/>
              <w:bottom w:val="single" w:color="auto" w:sz="4" w:space="0"/>
              <w:right w:val="single" w:color="auto" w:sz="4" w:space="0"/>
            </w:tcBorders>
            <w:shd w:val="clear" w:color="auto" w:fill="auto"/>
            <w:noWrap/>
            <w:vAlign w:val="bottom"/>
            <w:hideMark/>
          </w:tcPr>
          <w:p w:rsidRPr="00387AB6" w:rsidR="00453A47" w:rsidP="00453A47" w:rsidRDefault="00453A47" w14:paraId="2F52A3E4"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Multifamily</w:t>
            </w:r>
          </w:p>
        </w:tc>
        <w:tc>
          <w:tcPr>
            <w:tcW w:w="1725" w:type="dxa"/>
            <w:tcBorders>
              <w:top w:val="nil"/>
              <w:left w:val="nil"/>
              <w:bottom w:val="nil"/>
              <w:right w:val="single" w:color="auto" w:sz="4" w:space="0"/>
            </w:tcBorders>
            <w:shd w:val="clear" w:color="auto" w:fill="auto"/>
            <w:noWrap/>
            <w:vAlign w:val="bottom"/>
            <w:hideMark/>
          </w:tcPr>
          <w:p w:rsidRPr="00387AB6" w:rsidR="00453A47" w:rsidP="00453A47" w:rsidRDefault="00453A47" w14:paraId="10662CC2"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Singlefamily</w:t>
            </w:r>
          </w:p>
        </w:tc>
        <w:tc>
          <w:tcPr>
            <w:tcW w:w="1677" w:type="dxa"/>
            <w:tcBorders>
              <w:top w:val="nil"/>
              <w:left w:val="nil"/>
              <w:bottom w:val="nil"/>
              <w:right w:val="double" w:color="auto" w:sz="6" w:space="0"/>
            </w:tcBorders>
            <w:shd w:val="clear" w:color="auto" w:fill="auto"/>
            <w:noWrap/>
            <w:vAlign w:val="bottom"/>
            <w:hideMark/>
          </w:tcPr>
          <w:p w:rsidRPr="00387AB6" w:rsidR="00453A47" w:rsidP="00453A47" w:rsidRDefault="00453A47" w14:paraId="3ACFDA88"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Multifamily</w:t>
            </w:r>
          </w:p>
        </w:tc>
        <w:tc>
          <w:tcPr>
            <w:tcW w:w="1725" w:type="dxa"/>
            <w:tcBorders>
              <w:top w:val="nil"/>
              <w:left w:val="nil"/>
              <w:bottom w:val="single" w:color="auto" w:sz="4" w:space="0"/>
              <w:right w:val="single" w:color="auto" w:sz="4" w:space="0"/>
            </w:tcBorders>
            <w:shd w:val="clear" w:color="auto" w:fill="auto"/>
            <w:noWrap/>
            <w:vAlign w:val="bottom"/>
            <w:hideMark/>
          </w:tcPr>
          <w:p w:rsidRPr="00387AB6" w:rsidR="00453A47" w:rsidP="00453A47" w:rsidRDefault="00453A47" w14:paraId="52FF54E5"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Singlefamily</w:t>
            </w:r>
          </w:p>
        </w:tc>
        <w:tc>
          <w:tcPr>
            <w:tcW w:w="1677" w:type="dxa"/>
            <w:tcBorders>
              <w:top w:val="nil"/>
              <w:left w:val="nil"/>
              <w:bottom w:val="single" w:color="auto" w:sz="4" w:space="0"/>
              <w:right w:val="single" w:color="auto" w:sz="8" w:space="0"/>
            </w:tcBorders>
            <w:shd w:val="clear" w:color="auto" w:fill="auto"/>
            <w:noWrap/>
            <w:vAlign w:val="bottom"/>
            <w:hideMark/>
          </w:tcPr>
          <w:p w:rsidRPr="00387AB6" w:rsidR="00453A47" w:rsidP="00453A47" w:rsidRDefault="00453A47" w14:paraId="2868A597"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Multifamily</w:t>
            </w:r>
          </w:p>
        </w:tc>
      </w:tr>
      <w:tr w:rsidRPr="00387AB6" w:rsidR="00453A47" w:rsidTr="00387AB6" w14:paraId="3A4088AE" w14:textId="77777777">
        <w:trPr>
          <w:trHeight w:val="711"/>
        </w:trPr>
        <w:tc>
          <w:tcPr>
            <w:tcW w:w="3647"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87AB6" w:rsidR="00453A47" w:rsidP="00453A47" w:rsidRDefault="00453A47" w14:paraId="518EC3EE"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2020 and after</w:t>
            </w:r>
          </w:p>
        </w:tc>
        <w:tc>
          <w:tcPr>
            <w:tcW w:w="1729"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387AB6" w:rsidR="00453A47" w:rsidP="00453A47" w:rsidRDefault="00453A47" w14:paraId="6CFF6D35"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of Customers]</w:t>
            </w:r>
          </w:p>
        </w:tc>
        <w:tc>
          <w:tcPr>
            <w:tcW w:w="1677" w:type="dxa"/>
            <w:tcBorders>
              <w:top w:val="nil"/>
              <w:left w:val="nil"/>
              <w:bottom w:val="single" w:color="auto" w:sz="4" w:space="0"/>
              <w:right w:val="double" w:color="auto" w:sz="6" w:space="0"/>
            </w:tcBorders>
            <w:shd w:val="clear" w:color="auto" w:fill="auto"/>
            <w:noWrap/>
            <w:vAlign w:val="bottom"/>
            <w:hideMark/>
          </w:tcPr>
          <w:p w:rsidRPr="00387AB6" w:rsidR="00453A47" w:rsidP="00453A47" w:rsidRDefault="00453A47" w14:paraId="1E0D6BBD"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725" w:type="dxa"/>
            <w:tcBorders>
              <w:top w:val="nil"/>
              <w:left w:val="nil"/>
              <w:bottom w:val="single" w:color="auto" w:sz="4" w:space="0"/>
              <w:right w:val="nil"/>
            </w:tcBorders>
            <w:shd w:val="clear" w:color="auto" w:fill="auto"/>
            <w:noWrap/>
            <w:vAlign w:val="bottom"/>
            <w:hideMark/>
          </w:tcPr>
          <w:p w:rsidRPr="00387AB6" w:rsidR="00453A47" w:rsidP="00453A47" w:rsidRDefault="00453A47" w14:paraId="03EAF147"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77" w:type="dxa"/>
            <w:tcBorders>
              <w:top w:val="nil"/>
              <w:left w:val="nil"/>
              <w:bottom w:val="single" w:color="auto" w:sz="4" w:space="0"/>
              <w:right w:val="nil"/>
            </w:tcBorders>
            <w:shd w:val="clear" w:color="auto" w:fill="auto"/>
            <w:noWrap/>
            <w:vAlign w:val="bottom"/>
            <w:hideMark/>
          </w:tcPr>
          <w:p w:rsidRPr="00387AB6" w:rsidR="00453A47" w:rsidP="00453A47" w:rsidRDefault="00453A47" w14:paraId="6736EC6F"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725" w:type="dxa"/>
            <w:tcBorders>
              <w:top w:val="single" w:color="auto" w:sz="4" w:space="0"/>
              <w:left w:val="double" w:color="auto" w:sz="6" w:space="0"/>
              <w:bottom w:val="single" w:color="auto" w:sz="4" w:space="0"/>
              <w:right w:val="single" w:color="auto" w:sz="4" w:space="0"/>
            </w:tcBorders>
            <w:shd w:val="clear" w:color="auto" w:fill="auto"/>
            <w:noWrap/>
            <w:vAlign w:val="bottom"/>
            <w:hideMark/>
          </w:tcPr>
          <w:p w:rsidRPr="00387AB6" w:rsidR="00453A47" w:rsidP="00453A47" w:rsidRDefault="00453A47" w14:paraId="41194EA4"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77" w:type="dxa"/>
            <w:tcBorders>
              <w:top w:val="single" w:color="auto" w:sz="4" w:space="0"/>
              <w:left w:val="nil"/>
              <w:bottom w:val="single" w:color="auto" w:sz="4" w:space="0"/>
              <w:right w:val="double" w:color="auto" w:sz="6" w:space="0"/>
            </w:tcBorders>
            <w:shd w:val="clear" w:color="auto" w:fill="auto"/>
            <w:noWrap/>
            <w:vAlign w:val="bottom"/>
            <w:hideMark/>
          </w:tcPr>
          <w:p w:rsidRPr="00387AB6" w:rsidR="00453A47" w:rsidP="00453A47" w:rsidRDefault="00453A47" w14:paraId="02EACE23"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725" w:type="dxa"/>
            <w:tcBorders>
              <w:top w:val="nil"/>
              <w:left w:val="nil"/>
              <w:bottom w:val="single" w:color="auto" w:sz="4" w:space="0"/>
              <w:right w:val="single" w:color="auto" w:sz="4" w:space="0"/>
            </w:tcBorders>
            <w:shd w:val="clear" w:color="auto" w:fill="auto"/>
            <w:noWrap/>
            <w:vAlign w:val="bottom"/>
            <w:hideMark/>
          </w:tcPr>
          <w:p w:rsidRPr="00387AB6" w:rsidR="00453A47" w:rsidP="00453A47" w:rsidRDefault="00453A47" w14:paraId="04F2BF0E"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77" w:type="dxa"/>
            <w:tcBorders>
              <w:top w:val="nil"/>
              <w:left w:val="nil"/>
              <w:bottom w:val="single" w:color="auto" w:sz="4" w:space="0"/>
              <w:right w:val="single" w:color="auto" w:sz="8" w:space="0"/>
            </w:tcBorders>
            <w:shd w:val="clear" w:color="auto" w:fill="auto"/>
            <w:noWrap/>
            <w:vAlign w:val="bottom"/>
            <w:hideMark/>
          </w:tcPr>
          <w:p w:rsidRPr="00387AB6" w:rsidR="00453A47" w:rsidP="00453A47" w:rsidRDefault="00453A47" w14:paraId="6F982140"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r>
      <w:tr w:rsidRPr="00387AB6" w:rsidR="00453A47" w:rsidTr="00387AB6" w14:paraId="63B89D2B" w14:textId="77777777">
        <w:trPr>
          <w:trHeight w:val="355"/>
        </w:trPr>
        <w:tc>
          <w:tcPr>
            <w:tcW w:w="3647"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87AB6" w:rsidR="00453A47" w:rsidP="00453A47" w:rsidRDefault="00453A47" w14:paraId="58C85041"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2014-2019</w:t>
            </w:r>
          </w:p>
        </w:tc>
        <w:tc>
          <w:tcPr>
            <w:tcW w:w="1729" w:type="dxa"/>
            <w:tcBorders>
              <w:top w:val="nil"/>
              <w:left w:val="single" w:color="auto" w:sz="4" w:space="0"/>
              <w:bottom w:val="single" w:color="auto" w:sz="4" w:space="0"/>
              <w:right w:val="single" w:color="auto" w:sz="4" w:space="0"/>
            </w:tcBorders>
            <w:shd w:val="clear" w:color="auto" w:fill="auto"/>
            <w:vAlign w:val="bottom"/>
            <w:hideMark/>
          </w:tcPr>
          <w:p w:rsidRPr="00387AB6" w:rsidR="00453A47" w:rsidP="00453A47" w:rsidRDefault="00453A47" w14:paraId="17BBADAD"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77" w:type="dxa"/>
            <w:tcBorders>
              <w:top w:val="nil"/>
              <w:left w:val="nil"/>
              <w:bottom w:val="single" w:color="auto" w:sz="4" w:space="0"/>
              <w:right w:val="double" w:color="auto" w:sz="6" w:space="0"/>
            </w:tcBorders>
            <w:shd w:val="clear" w:color="auto" w:fill="auto"/>
            <w:noWrap/>
            <w:vAlign w:val="bottom"/>
            <w:hideMark/>
          </w:tcPr>
          <w:p w:rsidRPr="00387AB6" w:rsidR="00453A47" w:rsidP="00453A47" w:rsidRDefault="00453A47" w14:paraId="16027415"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725" w:type="dxa"/>
            <w:tcBorders>
              <w:top w:val="nil"/>
              <w:left w:val="nil"/>
              <w:bottom w:val="single" w:color="auto" w:sz="4" w:space="0"/>
              <w:right w:val="nil"/>
            </w:tcBorders>
            <w:shd w:val="clear" w:color="auto" w:fill="auto"/>
            <w:noWrap/>
            <w:vAlign w:val="bottom"/>
            <w:hideMark/>
          </w:tcPr>
          <w:p w:rsidRPr="00387AB6" w:rsidR="00453A47" w:rsidP="00453A47" w:rsidRDefault="00453A47" w14:paraId="772BFFE0"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77" w:type="dxa"/>
            <w:tcBorders>
              <w:top w:val="nil"/>
              <w:left w:val="nil"/>
              <w:bottom w:val="single" w:color="auto" w:sz="4" w:space="0"/>
              <w:right w:val="nil"/>
            </w:tcBorders>
            <w:shd w:val="clear" w:color="auto" w:fill="auto"/>
            <w:noWrap/>
            <w:vAlign w:val="bottom"/>
            <w:hideMark/>
          </w:tcPr>
          <w:p w:rsidRPr="00387AB6" w:rsidR="00453A47" w:rsidP="00453A47" w:rsidRDefault="00453A47" w14:paraId="6E0421B1"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725" w:type="dxa"/>
            <w:tcBorders>
              <w:top w:val="nil"/>
              <w:left w:val="double" w:color="auto" w:sz="6" w:space="0"/>
              <w:bottom w:val="single" w:color="auto" w:sz="4" w:space="0"/>
              <w:right w:val="single" w:color="auto" w:sz="4" w:space="0"/>
            </w:tcBorders>
            <w:shd w:val="clear" w:color="auto" w:fill="auto"/>
            <w:noWrap/>
            <w:vAlign w:val="bottom"/>
            <w:hideMark/>
          </w:tcPr>
          <w:p w:rsidRPr="00387AB6" w:rsidR="00453A47" w:rsidP="00453A47" w:rsidRDefault="00453A47" w14:paraId="2F8D841B"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77" w:type="dxa"/>
            <w:tcBorders>
              <w:top w:val="nil"/>
              <w:left w:val="nil"/>
              <w:bottom w:val="single" w:color="auto" w:sz="4" w:space="0"/>
              <w:right w:val="double" w:color="auto" w:sz="6" w:space="0"/>
            </w:tcBorders>
            <w:shd w:val="clear" w:color="auto" w:fill="auto"/>
            <w:noWrap/>
            <w:vAlign w:val="bottom"/>
            <w:hideMark/>
          </w:tcPr>
          <w:p w:rsidRPr="00387AB6" w:rsidR="00453A47" w:rsidP="00453A47" w:rsidRDefault="00453A47" w14:paraId="6311BC93"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725" w:type="dxa"/>
            <w:tcBorders>
              <w:top w:val="nil"/>
              <w:left w:val="nil"/>
              <w:bottom w:val="single" w:color="auto" w:sz="4" w:space="0"/>
              <w:right w:val="single" w:color="auto" w:sz="4" w:space="0"/>
            </w:tcBorders>
            <w:shd w:val="clear" w:color="auto" w:fill="auto"/>
            <w:noWrap/>
            <w:vAlign w:val="bottom"/>
            <w:hideMark/>
          </w:tcPr>
          <w:p w:rsidRPr="00387AB6" w:rsidR="00453A47" w:rsidP="00453A47" w:rsidRDefault="00453A47" w14:paraId="3A7C3928"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77" w:type="dxa"/>
            <w:tcBorders>
              <w:top w:val="nil"/>
              <w:left w:val="nil"/>
              <w:bottom w:val="single" w:color="auto" w:sz="4" w:space="0"/>
              <w:right w:val="single" w:color="auto" w:sz="8" w:space="0"/>
            </w:tcBorders>
            <w:shd w:val="clear" w:color="auto" w:fill="auto"/>
            <w:noWrap/>
            <w:vAlign w:val="bottom"/>
            <w:hideMark/>
          </w:tcPr>
          <w:p w:rsidRPr="00387AB6" w:rsidR="00453A47" w:rsidP="00453A47" w:rsidRDefault="00453A47" w14:paraId="4AA980A2"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r>
      <w:tr w:rsidRPr="00387AB6" w:rsidR="00453A47" w:rsidTr="00387AB6" w14:paraId="418FDF25" w14:textId="77777777">
        <w:trPr>
          <w:trHeight w:val="355"/>
        </w:trPr>
        <w:tc>
          <w:tcPr>
            <w:tcW w:w="3647"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87AB6" w:rsidR="00453A47" w:rsidP="00453A47" w:rsidRDefault="00453A47" w14:paraId="3C725E0D"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2008-2013</w:t>
            </w:r>
          </w:p>
        </w:tc>
        <w:tc>
          <w:tcPr>
            <w:tcW w:w="1729" w:type="dxa"/>
            <w:tcBorders>
              <w:top w:val="nil"/>
              <w:left w:val="single" w:color="auto" w:sz="4" w:space="0"/>
              <w:bottom w:val="single" w:color="auto" w:sz="4" w:space="0"/>
              <w:right w:val="single" w:color="auto" w:sz="4" w:space="0"/>
            </w:tcBorders>
            <w:shd w:val="clear" w:color="auto" w:fill="auto"/>
            <w:vAlign w:val="bottom"/>
            <w:hideMark/>
          </w:tcPr>
          <w:p w:rsidRPr="00387AB6" w:rsidR="00453A47" w:rsidP="00453A47" w:rsidRDefault="00453A47" w14:paraId="0A8EF3FD"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77" w:type="dxa"/>
            <w:tcBorders>
              <w:top w:val="nil"/>
              <w:left w:val="nil"/>
              <w:bottom w:val="single" w:color="auto" w:sz="4" w:space="0"/>
              <w:right w:val="double" w:color="auto" w:sz="6" w:space="0"/>
            </w:tcBorders>
            <w:shd w:val="clear" w:color="auto" w:fill="auto"/>
            <w:noWrap/>
            <w:vAlign w:val="bottom"/>
            <w:hideMark/>
          </w:tcPr>
          <w:p w:rsidRPr="00387AB6" w:rsidR="00453A47" w:rsidP="00453A47" w:rsidRDefault="00453A47" w14:paraId="2932ED87"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725" w:type="dxa"/>
            <w:tcBorders>
              <w:top w:val="nil"/>
              <w:left w:val="nil"/>
              <w:bottom w:val="single" w:color="auto" w:sz="4" w:space="0"/>
              <w:right w:val="nil"/>
            </w:tcBorders>
            <w:shd w:val="clear" w:color="auto" w:fill="auto"/>
            <w:noWrap/>
            <w:vAlign w:val="bottom"/>
            <w:hideMark/>
          </w:tcPr>
          <w:p w:rsidRPr="00387AB6" w:rsidR="00453A47" w:rsidP="00453A47" w:rsidRDefault="00453A47" w14:paraId="21CF2BDC"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77" w:type="dxa"/>
            <w:tcBorders>
              <w:top w:val="nil"/>
              <w:left w:val="nil"/>
              <w:bottom w:val="single" w:color="auto" w:sz="4" w:space="0"/>
              <w:right w:val="nil"/>
            </w:tcBorders>
            <w:shd w:val="clear" w:color="auto" w:fill="auto"/>
            <w:noWrap/>
            <w:vAlign w:val="bottom"/>
            <w:hideMark/>
          </w:tcPr>
          <w:p w:rsidRPr="00387AB6" w:rsidR="00453A47" w:rsidP="00453A47" w:rsidRDefault="00453A47" w14:paraId="23D26C44"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725" w:type="dxa"/>
            <w:tcBorders>
              <w:top w:val="nil"/>
              <w:left w:val="double" w:color="auto" w:sz="6" w:space="0"/>
              <w:bottom w:val="single" w:color="auto" w:sz="4" w:space="0"/>
              <w:right w:val="single" w:color="auto" w:sz="4" w:space="0"/>
            </w:tcBorders>
            <w:shd w:val="clear" w:color="auto" w:fill="auto"/>
            <w:noWrap/>
            <w:vAlign w:val="bottom"/>
            <w:hideMark/>
          </w:tcPr>
          <w:p w:rsidRPr="00387AB6" w:rsidR="00453A47" w:rsidP="00453A47" w:rsidRDefault="00453A47" w14:paraId="5A904245"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77" w:type="dxa"/>
            <w:tcBorders>
              <w:top w:val="nil"/>
              <w:left w:val="nil"/>
              <w:bottom w:val="single" w:color="auto" w:sz="4" w:space="0"/>
              <w:right w:val="double" w:color="auto" w:sz="6" w:space="0"/>
            </w:tcBorders>
            <w:shd w:val="clear" w:color="auto" w:fill="auto"/>
            <w:noWrap/>
            <w:vAlign w:val="bottom"/>
            <w:hideMark/>
          </w:tcPr>
          <w:p w:rsidRPr="00387AB6" w:rsidR="00453A47" w:rsidP="00453A47" w:rsidRDefault="00453A47" w14:paraId="6B4B3B8A"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725" w:type="dxa"/>
            <w:tcBorders>
              <w:top w:val="nil"/>
              <w:left w:val="nil"/>
              <w:bottom w:val="single" w:color="auto" w:sz="4" w:space="0"/>
              <w:right w:val="single" w:color="auto" w:sz="4" w:space="0"/>
            </w:tcBorders>
            <w:shd w:val="clear" w:color="auto" w:fill="auto"/>
            <w:noWrap/>
            <w:vAlign w:val="bottom"/>
            <w:hideMark/>
          </w:tcPr>
          <w:p w:rsidRPr="00387AB6" w:rsidR="00453A47" w:rsidP="00453A47" w:rsidRDefault="00453A47" w14:paraId="4037FB3E"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77" w:type="dxa"/>
            <w:tcBorders>
              <w:top w:val="nil"/>
              <w:left w:val="nil"/>
              <w:bottom w:val="single" w:color="auto" w:sz="4" w:space="0"/>
              <w:right w:val="single" w:color="auto" w:sz="8" w:space="0"/>
            </w:tcBorders>
            <w:shd w:val="clear" w:color="auto" w:fill="auto"/>
            <w:noWrap/>
            <w:vAlign w:val="bottom"/>
            <w:hideMark/>
          </w:tcPr>
          <w:p w:rsidRPr="00387AB6" w:rsidR="00453A47" w:rsidP="00453A47" w:rsidRDefault="00453A47" w14:paraId="3EAE58C2"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r>
      <w:tr w:rsidRPr="00387AB6" w:rsidR="00453A47" w:rsidTr="00387AB6" w14:paraId="2AE83F87" w14:textId="77777777">
        <w:trPr>
          <w:trHeight w:val="355"/>
        </w:trPr>
        <w:tc>
          <w:tcPr>
            <w:tcW w:w="3647"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87AB6" w:rsidR="00453A47" w:rsidP="00453A47" w:rsidRDefault="00453A47" w14:paraId="47707205"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2002-2007</w:t>
            </w:r>
          </w:p>
        </w:tc>
        <w:tc>
          <w:tcPr>
            <w:tcW w:w="1729" w:type="dxa"/>
            <w:tcBorders>
              <w:top w:val="nil"/>
              <w:left w:val="single" w:color="auto" w:sz="4" w:space="0"/>
              <w:bottom w:val="single" w:color="auto" w:sz="4" w:space="0"/>
              <w:right w:val="single" w:color="auto" w:sz="4" w:space="0"/>
            </w:tcBorders>
            <w:shd w:val="clear" w:color="auto" w:fill="auto"/>
            <w:noWrap/>
            <w:vAlign w:val="bottom"/>
            <w:hideMark/>
          </w:tcPr>
          <w:p w:rsidRPr="00387AB6" w:rsidR="00453A47" w:rsidP="00453A47" w:rsidRDefault="00453A47" w14:paraId="3FD31304"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77" w:type="dxa"/>
            <w:tcBorders>
              <w:top w:val="nil"/>
              <w:left w:val="nil"/>
              <w:bottom w:val="single" w:color="auto" w:sz="4" w:space="0"/>
              <w:right w:val="double" w:color="auto" w:sz="6" w:space="0"/>
            </w:tcBorders>
            <w:shd w:val="clear" w:color="auto" w:fill="auto"/>
            <w:noWrap/>
            <w:vAlign w:val="bottom"/>
            <w:hideMark/>
          </w:tcPr>
          <w:p w:rsidRPr="00387AB6" w:rsidR="00453A47" w:rsidP="00453A47" w:rsidRDefault="00453A47" w14:paraId="1F8D5B32"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725" w:type="dxa"/>
            <w:tcBorders>
              <w:top w:val="nil"/>
              <w:left w:val="nil"/>
              <w:bottom w:val="single" w:color="auto" w:sz="4" w:space="0"/>
              <w:right w:val="nil"/>
            </w:tcBorders>
            <w:shd w:val="clear" w:color="auto" w:fill="auto"/>
            <w:noWrap/>
            <w:vAlign w:val="bottom"/>
            <w:hideMark/>
          </w:tcPr>
          <w:p w:rsidRPr="00387AB6" w:rsidR="00453A47" w:rsidP="00453A47" w:rsidRDefault="00453A47" w14:paraId="0CF03F5F"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77" w:type="dxa"/>
            <w:tcBorders>
              <w:top w:val="nil"/>
              <w:left w:val="nil"/>
              <w:bottom w:val="single" w:color="auto" w:sz="4" w:space="0"/>
              <w:right w:val="nil"/>
            </w:tcBorders>
            <w:shd w:val="clear" w:color="auto" w:fill="auto"/>
            <w:noWrap/>
            <w:vAlign w:val="bottom"/>
            <w:hideMark/>
          </w:tcPr>
          <w:p w:rsidRPr="00387AB6" w:rsidR="00453A47" w:rsidP="00453A47" w:rsidRDefault="00453A47" w14:paraId="77BBC772"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725" w:type="dxa"/>
            <w:tcBorders>
              <w:top w:val="nil"/>
              <w:left w:val="double" w:color="auto" w:sz="6" w:space="0"/>
              <w:bottom w:val="single" w:color="auto" w:sz="4" w:space="0"/>
              <w:right w:val="single" w:color="auto" w:sz="4" w:space="0"/>
            </w:tcBorders>
            <w:shd w:val="clear" w:color="auto" w:fill="auto"/>
            <w:noWrap/>
            <w:vAlign w:val="bottom"/>
            <w:hideMark/>
          </w:tcPr>
          <w:p w:rsidRPr="00387AB6" w:rsidR="00453A47" w:rsidP="00453A47" w:rsidRDefault="00453A47" w14:paraId="79DF597F"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77" w:type="dxa"/>
            <w:tcBorders>
              <w:top w:val="nil"/>
              <w:left w:val="nil"/>
              <w:bottom w:val="single" w:color="auto" w:sz="4" w:space="0"/>
              <w:right w:val="double" w:color="auto" w:sz="6" w:space="0"/>
            </w:tcBorders>
            <w:shd w:val="clear" w:color="auto" w:fill="auto"/>
            <w:noWrap/>
            <w:vAlign w:val="bottom"/>
            <w:hideMark/>
          </w:tcPr>
          <w:p w:rsidRPr="00387AB6" w:rsidR="00453A47" w:rsidP="00453A47" w:rsidRDefault="00453A47" w14:paraId="08794B5C"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725" w:type="dxa"/>
            <w:tcBorders>
              <w:top w:val="nil"/>
              <w:left w:val="nil"/>
              <w:bottom w:val="single" w:color="auto" w:sz="4" w:space="0"/>
              <w:right w:val="single" w:color="auto" w:sz="4" w:space="0"/>
            </w:tcBorders>
            <w:shd w:val="clear" w:color="auto" w:fill="auto"/>
            <w:noWrap/>
            <w:vAlign w:val="bottom"/>
            <w:hideMark/>
          </w:tcPr>
          <w:p w:rsidRPr="00387AB6" w:rsidR="00453A47" w:rsidP="00453A47" w:rsidRDefault="00453A47" w14:paraId="304CC364"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77" w:type="dxa"/>
            <w:tcBorders>
              <w:top w:val="nil"/>
              <w:left w:val="nil"/>
              <w:bottom w:val="single" w:color="auto" w:sz="4" w:space="0"/>
              <w:right w:val="single" w:color="auto" w:sz="8" w:space="0"/>
            </w:tcBorders>
            <w:shd w:val="clear" w:color="auto" w:fill="auto"/>
            <w:noWrap/>
            <w:vAlign w:val="bottom"/>
            <w:hideMark/>
          </w:tcPr>
          <w:p w:rsidRPr="00387AB6" w:rsidR="00453A47" w:rsidP="00453A47" w:rsidRDefault="00453A47" w14:paraId="0BF0AB4C"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r>
      <w:tr w:rsidRPr="00387AB6" w:rsidR="00453A47" w:rsidTr="00387AB6" w14:paraId="038E2AA3" w14:textId="77777777">
        <w:trPr>
          <w:trHeight w:val="355"/>
        </w:trPr>
        <w:tc>
          <w:tcPr>
            <w:tcW w:w="3647"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87AB6" w:rsidR="00453A47" w:rsidP="00453A47" w:rsidRDefault="00453A47" w14:paraId="2AD9EB5F"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1996-2001</w:t>
            </w:r>
          </w:p>
        </w:tc>
        <w:tc>
          <w:tcPr>
            <w:tcW w:w="1729" w:type="dxa"/>
            <w:tcBorders>
              <w:top w:val="nil"/>
              <w:left w:val="single" w:color="auto" w:sz="4" w:space="0"/>
              <w:bottom w:val="single" w:color="auto" w:sz="4" w:space="0"/>
              <w:right w:val="single" w:color="auto" w:sz="4" w:space="0"/>
            </w:tcBorders>
            <w:shd w:val="clear" w:color="auto" w:fill="auto"/>
            <w:noWrap/>
            <w:vAlign w:val="bottom"/>
            <w:hideMark/>
          </w:tcPr>
          <w:p w:rsidRPr="00387AB6" w:rsidR="00453A47" w:rsidP="00453A47" w:rsidRDefault="00453A47" w14:paraId="05276060"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77" w:type="dxa"/>
            <w:tcBorders>
              <w:top w:val="nil"/>
              <w:left w:val="nil"/>
              <w:bottom w:val="single" w:color="auto" w:sz="4" w:space="0"/>
              <w:right w:val="double" w:color="auto" w:sz="6" w:space="0"/>
            </w:tcBorders>
            <w:shd w:val="clear" w:color="auto" w:fill="auto"/>
            <w:noWrap/>
            <w:vAlign w:val="bottom"/>
            <w:hideMark/>
          </w:tcPr>
          <w:p w:rsidRPr="00387AB6" w:rsidR="00453A47" w:rsidP="00453A47" w:rsidRDefault="00453A47" w14:paraId="52A8F394"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725" w:type="dxa"/>
            <w:tcBorders>
              <w:top w:val="nil"/>
              <w:left w:val="nil"/>
              <w:bottom w:val="single" w:color="auto" w:sz="4" w:space="0"/>
              <w:right w:val="nil"/>
            </w:tcBorders>
            <w:shd w:val="clear" w:color="auto" w:fill="auto"/>
            <w:noWrap/>
            <w:vAlign w:val="bottom"/>
            <w:hideMark/>
          </w:tcPr>
          <w:p w:rsidRPr="00387AB6" w:rsidR="00453A47" w:rsidP="00453A47" w:rsidRDefault="00453A47" w14:paraId="36955127"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77" w:type="dxa"/>
            <w:tcBorders>
              <w:top w:val="nil"/>
              <w:left w:val="nil"/>
              <w:bottom w:val="single" w:color="auto" w:sz="4" w:space="0"/>
              <w:right w:val="nil"/>
            </w:tcBorders>
            <w:shd w:val="clear" w:color="auto" w:fill="auto"/>
            <w:noWrap/>
            <w:vAlign w:val="bottom"/>
            <w:hideMark/>
          </w:tcPr>
          <w:p w:rsidRPr="00387AB6" w:rsidR="00453A47" w:rsidP="00453A47" w:rsidRDefault="00453A47" w14:paraId="19571D96"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725" w:type="dxa"/>
            <w:tcBorders>
              <w:top w:val="nil"/>
              <w:left w:val="double" w:color="auto" w:sz="6" w:space="0"/>
              <w:bottom w:val="single" w:color="auto" w:sz="4" w:space="0"/>
              <w:right w:val="single" w:color="auto" w:sz="4" w:space="0"/>
            </w:tcBorders>
            <w:shd w:val="clear" w:color="auto" w:fill="auto"/>
            <w:noWrap/>
            <w:vAlign w:val="bottom"/>
            <w:hideMark/>
          </w:tcPr>
          <w:p w:rsidRPr="00387AB6" w:rsidR="00453A47" w:rsidP="00453A47" w:rsidRDefault="00453A47" w14:paraId="3E16C3DB"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77" w:type="dxa"/>
            <w:tcBorders>
              <w:top w:val="nil"/>
              <w:left w:val="nil"/>
              <w:bottom w:val="single" w:color="auto" w:sz="4" w:space="0"/>
              <w:right w:val="double" w:color="auto" w:sz="6" w:space="0"/>
            </w:tcBorders>
            <w:shd w:val="clear" w:color="auto" w:fill="auto"/>
            <w:noWrap/>
            <w:vAlign w:val="bottom"/>
            <w:hideMark/>
          </w:tcPr>
          <w:p w:rsidRPr="00387AB6" w:rsidR="00453A47" w:rsidP="00453A47" w:rsidRDefault="00453A47" w14:paraId="0A648386"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725" w:type="dxa"/>
            <w:tcBorders>
              <w:top w:val="nil"/>
              <w:left w:val="nil"/>
              <w:bottom w:val="single" w:color="auto" w:sz="4" w:space="0"/>
              <w:right w:val="single" w:color="auto" w:sz="4" w:space="0"/>
            </w:tcBorders>
            <w:shd w:val="clear" w:color="auto" w:fill="auto"/>
            <w:noWrap/>
            <w:vAlign w:val="bottom"/>
            <w:hideMark/>
          </w:tcPr>
          <w:p w:rsidRPr="00387AB6" w:rsidR="00453A47" w:rsidP="00453A47" w:rsidRDefault="00453A47" w14:paraId="4D1672C9"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77" w:type="dxa"/>
            <w:tcBorders>
              <w:top w:val="nil"/>
              <w:left w:val="nil"/>
              <w:bottom w:val="single" w:color="auto" w:sz="4" w:space="0"/>
              <w:right w:val="single" w:color="auto" w:sz="8" w:space="0"/>
            </w:tcBorders>
            <w:shd w:val="clear" w:color="auto" w:fill="auto"/>
            <w:noWrap/>
            <w:vAlign w:val="bottom"/>
            <w:hideMark/>
          </w:tcPr>
          <w:p w:rsidRPr="00387AB6" w:rsidR="00453A47" w:rsidP="00453A47" w:rsidRDefault="00453A47" w14:paraId="713E7151"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r>
      <w:tr w:rsidRPr="00387AB6" w:rsidR="00453A47" w:rsidTr="00387AB6" w14:paraId="7742AC75" w14:textId="77777777">
        <w:trPr>
          <w:trHeight w:val="355"/>
        </w:trPr>
        <w:tc>
          <w:tcPr>
            <w:tcW w:w="3647"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87AB6" w:rsidR="00453A47" w:rsidP="00453A47" w:rsidRDefault="00453A47" w14:paraId="00066C96"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1990-1995</w:t>
            </w:r>
          </w:p>
        </w:tc>
        <w:tc>
          <w:tcPr>
            <w:tcW w:w="1729" w:type="dxa"/>
            <w:tcBorders>
              <w:top w:val="nil"/>
              <w:left w:val="single" w:color="auto" w:sz="4" w:space="0"/>
              <w:bottom w:val="single" w:color="auto" w:sz="4" w:space="0"/>
              <w:right w:val="single" w:color="auto" w:sz="4" w:space="0"/>
            </w:tcBorders>
            <w:shd w:val="clear" w:color="auto" w:fill="auto"/>
            <w:noWrap/>
            <w:vAlign w:val="bottom"/>
            <w:hideMark/>
          </w:tcPr>
          <w:p w:rsidRPr="00387AB6" w:rsidR="00453A47" w:rsidP="00453A47" w:rsidRDefault="00453A47" w14:paraId="118060E8"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77" w:type="dxa"/>
            <w:tcBorders>
              <w:top w:val="nil"/>
              <w:left w:val="nil"/>
              <w:bottom w:val="single" w:color="auto" w:sz="4" w:space="0"/>
              <w:right w:val="double" w:color="auto" w:sz="6" w:space="0"/>
            </w:tcBorders>
            <w:shd w:val="clear" w:color="auto" w:fill="auto"/>
            <w:noWrap/>
            <w:vAlign w:val="bottom"/>
            <w:hideMark/>
          </w:tcPr>
          <w:p w:rsidRPr="00387AB6" w:rsidR="00453A47" w:rsidP="00453A47" w:rsidRDefault="00453A47" w14:paraId="0512506B"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725" w:type="dxa"/>
            <w:tcBorders>
              <w:top w:val="nil"/>
              <w:left w:val="nil"/>
              <w:bottom w:val="single" w:color="auto" w:sz="4" w:space="0"/>
              <w:right w:val="nil"/>
            </w:tcBorders>
            <w:shd w:val="clear" w:color="auto" w:fill="auto"/>
            <w:noWrap/>
            <w:vAlign w:val="bottom"/>
            <w:hideMark/>
          </w:tcPr>
          <w:p w:rsidRPr="00387AB6" w:rsidR="00453A47" w:rsidP="00453A47" w:rsidRDefault="00453A47" w14:paraId="2AA3D97B"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77" w:type="dxa"/>
            <w:tcBorders>
              <w:top w:val="nil"/>
              <w:left w:val="nil"/>
              <w:bottom w:val="single" w:color="auto" w:sz="4" w:space="0"/>
              <w:right w:val="nil"/>
            </w:tcBorders>
            <w:shd w:val="clear" w:color="auto" w:fill="auto"/>
            <w:noWrap/>
            <w:vAlign w:val="bottom"/>
            <w:hideMark/>
          </w:tcPr>
          <w:p w:rsidRPr="00387AB6" w:rsidR="00453A47" w:rsidP="00453A47" w:rsidRDefault="00453A47" w14:paraId="6ADB0556"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725" w:type="dxa"/>
            <w:tcBorders>
              <w:top w:val="nil"/>
              <w:left w:val="double" w:color="auto" w:sz="6" w:space="0"/>
              <w:bottom w:val="single" w:color="auto" w:sz="4" w:space="0"/>
              <w:right w:val="single" w:color="auto" w:sz="4" w:space="0"/>
            </w:tcBorders>
            <w:shd w:val="clear" w:color="auto" w:fill="auto"/>
            <w:noWrap/>
            <w:vAlign w:val="bottom"/>
            <w:hideMark/>
          </w:tcPr>
          <w:p w:rsidRPr="00387AB6" w:rsidR="00453A47" w:rsidP="00453A47" w:rsidRDefault="00453A47" w14:paraId="6F68B112"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77" w:type="dxa"/>
            <w:tcBorders>
              <w:top w:val="nil"/>
              <w:left w:val="nil"/>
              <w:bottom w:val="single" w:color="auto" w:sz="4" w:space="0"/>
              <w:right w:val="double" w:color="auto" w:sz="6" w:space="0"/>
            </w:tcBorders>
            <w:shd w:val="clear" w:color="auto" w:fill="auto"/>
            <w:noWrap/>
            <w:vAlign w:val="bottom"/>
            <w:hideMark/>
          </w:tcPr>
          <w:p w:rsidRPr="00387AB6" w:rsidR="00453A47" w:rsidP="00453A47" w:rsidRDefault="00453A47" w14:paraId="1E5DF10F"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725" w:type="dxa"/>
            <w:tcBorders>
              <w:top w:val="nil"/>
              <w:left w:val="nil"/>
              <w:bottom w:val="single" w:color="auto" w:sz="4" w:space="0"/>
              <w:right w:val="single" w:color="auto" w:sz="4" w:space="0"/>
            </w:tcBorders>
            <w:shd w:val="clear" w:color="auto" w:fill="auto"/>
            <w:noWrap/>
            <w:vAlign w:val="bottom"/>
            <w:hideMark/>
          </w:tcPr>
          <w:p w:rsidRPr="00387AB6" w:rsidR="00453A47" w:rsidP="00453A47" w:rsidRDefault="00453A47" w14:paraId="14F5871F"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77" w:type="dxa"/>
            <w:tcBorders>
              <w:top w:val="nil"/>
              <w:left w:val="nil"/>
              <w:bottom w:val="single" w:color="auto" w:sz="4" w:space="0"/>
              <w:right w:val="single" w:color="auto" w:sz="8" w:space="0"/>
            </w:tcBorders>
            <w:shd w:val="clear" w:color="auto" w:fill="auto"/>
            <w:noWrap/>
            <w:vAlign w:val="bottom"/>
            <w:hideMark/>
          </w:tcPr>
          <w:p w:rsidRPr="00387AB6" w:rsidR="00453A47" w:rsidP="00453A47" w:rsidRDefault="00453A47" w14:paraId="2A4D6C5B"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r>
      <w:tr w:rsidRPr="00387AB6" w:rsidR="00453A47" w:rsidTr="00387AB6" w14:paraId="63C7BC27" w14:textId="77777777">
        <w:trPr>
          <w:trHeight w:val="355"/>
        </w:trPr>
        <w:tc>
          <w:tcPr>
            <w:tcW w:w="3647"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87AB6" w:rsidR="00453A47" w:rsidP="00453A47" w:rsidRDefault="00453A47" w14:paraId="53DEF6B2"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1978-1989</w:t>
            </w:r>
          </w:p>
        </w:tc>
        <w:tc>
          <w:tcPr>
            <w:tcW w:w="1729" w:type="dxa"/>
            <w:tcBorders>
              <w:top w:val="nil"/>
              <w:left w:val="single" w:color="auto" w:sz="4" w:space="0"/>
              <w:bottom w:val="single" w:color="auto" w:sz="4" w:space="0"/>
              <w:right w:val="single" w:color="auto" w:sz="4" w:space="0"/>
            </w:tcBorders>
            <w:shd w:val="clear" w:color="auto" w:fill="auto"/>
            <w:noWrap/>
            <w:vAlign w:val="bottom"/>
            <w:hideMark/>
          </w:tcPr>
          <w:p w:rsidRPr="00387AB6" w:rsidR="00453A47" w:rsidP="00453A47" w:rsidRDefault="00453A47" w14:paraId="2BAADD9C"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77" w:type="dxa"/>
            <w:tcBorders>
              <w:top w:val="nil"/>
              <w:left w:val="nil"/>
              <w:bottom w:val="single" w:color="auto" w:sz="4" w:space="0"/>
              <w:right w:val="double" w:color="auto" w:sz="6" w:space="0"/>
            </w:tcBorders>
            <w:shd w:val="clear" w:color="auto" w:fill="auto"/>
            <w:noWrap/>
            <w:vAlign w:val="bottom"/>
            <w:hideMark/>
          </w:tcPr>
          <w:p w:rsidRPr="00387AB6" w:rsidR="00453A47" w:rsidP="00453A47" w:rsidRDefault="00453A47" w14:paraId="5504866F"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725" w:type="dxa"/>
            <w:tcBorders>
              <w:top w:val="nil"/>
              <w:left w:val="nil"/>
              <w:bottom w:val="single" w:color="auto" w:sz="4" w:space="0"/>
              <w:right w:val="nil"/>
            </w:tcBorders>
            <w:shd w:val="clear" w:color="auto" w:fill="auto"/>
            <w:noWrap/>
            <w:vAlign w:val="bottom"/>
            <w:hideMark/>
          </w:tcPr>
          <w:p w:rsidRPr="00387AB6" w:rsidR="00453A47" w:rsidP="00453A47" w:rsidRDefault="00453A47" w14:paraId="29A62538"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77" w:type="dxa"/>
            <w:tcBorders>
              <w:top w:val="nil"/>
              <w:left w:val="nil"/>
              <w:bottom w:val="single" w:color="auto" w:sz="4" w:space="0"/>
              <w:right w:val="nil"/>
            </w:tcBorders>
            <w:shd w:val="clear" w:color="auto" w:fill="auto"/>
            <w:noWrap/>
            <w:vAlign w:val="bottom"/>
            <w:hideMark/>
          </w:tcPr>
          <w:p w:rsidRPr="00387AB6" w:rsidR="00453A47" w:rsidP="00453A47" w:rsidRDefault="00453A47" w14:paraId="65EEA777"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725" w:type="dxa"/>
            <w:tcBorders>
              <w:top w:val="nil"/>
              <w:left w:val="double" w:color="auto" w:sz="6" w:space="0"/>
              <w:bottom w:val="single" w:color="auto" w:sz="4" w:space="0"/>
              <w:right w:val="single" w:color="auto" w:sz="4" w:space="0"/>
            </w:tcBorders>
            <w:shd w:val="clear" w:color="auto" w:fill="auto"/>
            <w:noWrap/>
            <w:vAlign w:val="bottom"/>
            <w:hideMark/>
          </w:tcPr>
          <w:p w:rsidRPr="00387AB6" w:rsidR="00453A47" w:rsidP="00453A47" w:rsidRDefault="00453A47" w14:paraId="0F9B5D12"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77" w:type="dxa"/>
            <w:tcBorders>
              <w:top w:val="nil"/>
              <w:left w:val="nil"/>
              <w:bottom w:val="single" w:color="auto" w:sz="4" w:space="0"/>
              <w:right w:val="double" w:color="auto" w:sz="6" w:space="0"/>
            </w:tcBorders>
            <w:shd w:val="clear" w:color="auto" w:fill="auto"/>
            <w:noWrap/>
            <w:vAlign w:val="bottom"/>
            <w:hideMark/>
          </w:tcPr>
          <w:p w:rsidRPr="00387AB6" w:rsidR="00453A47" w:rsidP="00453A47" w:rsidRDefault="00453A47" w14:paraId="564E3109"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725" w:type="dxa"/>
            <w:tcBorders>
              <w:top w:val="nil"/>
              <w:left w:val="nil"/>
              <w:bottom w:val="single" w:color="auto" w:sz="4" w:space="0"/>
              <w:right w:val="single" w:color="auto" w:sz="4" w:space="0"/>
            </w:tcBorders>
            <w:shd w:val="clear" w:color="auto" w:fill="auto"/>
            <w:noWrap/>
            <w:vAlign w:val="bottom"/>
            <w:hideMark/>
          </w:tcPr>
          <w:p w:rsidRPr="00387AB6" w:rsidR="00453A47" w:rsidP="00453A47" w:rsidRDefault="00453A47" w14:paraId="10BC1AA3"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77" w:type="dxa"/>
            <w:tcBorders>
              <w:top w:val="nil"/>
              <w:left w:val="nil"/>
              <w:bottom w:val="single" w:color="auto" w:sz="4" w:space="0"/>
              <w:right w:val="single" w:color="auto" w:sz="8" w:space="0"/>
            </w:tcBorders>
            <w:shd w:val="clear" w:color="auto" w:fill="auto"/>
            <w:noWrap/>
            <w:vAlign w:val="bottom"/>
            <w:hideMark/>
          </w:tcPr>
          <w:p w:rsidRPr="00387AB6" w:rsidR="00453A47" w:rsidP="00453A47" w:rsidRDefault="00453A47" w14:paraId="1B569611"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r>
      <w:tr w:rsidRPr="00387AB6" w:rsidR="00453A47" w:rsidTr="00387AB6" w14:paraId="5E217CEA" w14:textId="77777777">
        <w:trPr>
          <w:trHeight w:val="355"/>
        </w:trPr>
        <w:tc>
          <w:tcPr>
            <w:tcW w:w="3647"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87AB6" w:rsidR="00453A47" w:rsidP="00453A47" w:rsidRDefault="00453A47" w14:paraId="008A03EE"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1977-1961</w:t>
            </w:r>
          </w:p>
        </w:tc>
        <w:tc>
          <w:tcPr>
            <w:tcW w:w="1729" w:type="dxa"/>
            <w:tcBorders>
              <w:top w:val="nil"/>
              <w:left w:val="single" w:color="auto" w:sz="4" w:space="0"/>
              <w:bottom w:val="single" w:color="auto" w:sz="4" w:space="0"/>
              <w:right w:val="single" w:color="auto" w:sz="4" w:space="0"/>
            </w:tcBorders>
            <w:shd w:val="clear" w:color="auto" w:fill="auto"/>
            <w:noWrap/>
            <w:vAlign w:val="bottom"/>
            <w:hideMark/>
          </w:tcPr>
          <w:p w:rsidRPr="00387AB6" w:rsidR="00453A47" w:rsidP="00453A47" w:rsidRDefault="00453A47" w14:paraId="49C57A2E"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77" w:type="dxa"/>
            <w:tcBorders>
              <w:top w:val="nil"/>
              <w:left w:val="nil"/>
              <w:bottom w:val="single" w:color="auto" w:sz="4" w:space="0"/>
              <w:right w:val="double" w:color="auto" w:sz="6" w:space="0"/>
            </w:tcBorders>
            <w:shd w:val="clear" w:color="auto" w:fill="auto"/>
            <w:noWrap/>
            <w:vAlign w:val="bottom"/>
            <w:hideMark/>
          </w:tcPr>
          <w:p w:rsidRPr="00387AB6" w:rsidR="00453A47" w:rsidP="00453A47" w:rsidRDefault="00453A47" w14:paraId="37ED23CF"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725" w:type="dxa"/>
            <w:tcBorders>
              <w:top w:val="nil"/>
              <w:left w:val="nil"/>
              <w:bottom w:val="single" w:color="auto" w:sz="4" w:space="0"/>
              <w:right w:val="nil"/>
            </w:tcBorders>
            <w:shd w:val="clear" w:color="auto" w:fill="auto"/>
            <w:noWrap/>
            <w:vAlign w:val="bottom"/>
            <w:hideMark/>
          </w:tcPr>
          <w:p w:rsidRPr="00387AB6" w:rsidR="00453A47" w:rsidP="00453A47" w:rsidRDefault="00453A47" w14:paraId="1F838D20"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77" w:type="dxa"/>
            <w:tcBorders>
              <w:top w:val="nil"/>
              <w:left w:val="nil"/>
              <w:bottom w:val="single" w:color="auto" w:sz="4" w:space="0"/>
              <w:right w:val="nil"/>
            </w:tcBorders>
            <w:shd w:val="clear" w:color="auto" w:fill="auto"/>
            <w:noWrap/>
            <w:vAlign w:val="bottom"/>
            <w:hideMark/>
          </w:tcPr>
          <w:p w:rsidRPr="00387AB6" w:rsidR="00453A47" w:rsidP="00453A47" w:rsidRDefault="00453A47" w14:paraId="14C9BEB3"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725" w:type="dxa"/>
            <w:tcBorders>
              <w:top w:val="nil"/>
              <w:left w:val="double" w:color="auto" w:sz="6" w:space="0"/>
              <w:bottom w:val="single" w:color="auto" w:sz="4" w:space="0"/>
              <w:right w:val="single" w:color="auto" w:sz="4" w:space="0"/>
            </w:tcBorders>
            <w:shd w:val="clear" w:color="auto" w:fill="auto"/>
            <w:noWrap/>
            <w:vAlign w:val="bottom"/>
            <w:hideMark/>
          </w:tcPr>
          <w:p w:rsidRPr="00387AB6" w:rsidR="00453A47" w:rsidP="00453A47" w:rsidRDefault="00453A47" w14:paraId="1AA583BD"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77" w:type="dxa"/>
            <w:tcBorders>
              <w:top w:val="nil"/>
              <w:left w:val="nil"/>
              <w:bottom w:val="single" w:color="auto" w:sz="4" w:space="0"/>
              <w:right w:val="double" w:color="auto" w:sz="6" w:space="0"/>
            </w:tcBorders>
            <w:shd w:val="clear" w:color="auto" w:fill="auto"/>
            <w:noWrap/>
            <w:vAlign w:val="bottom"/>
            <w:hideMark/>
          </w:tcPr>
          <w:p w:rsidRPr="00387AB6" w:rsidR="00453A47" w:rsidP="00453A47" w:rsidRDefault="00453A47" w14:paraId="5ABBB1AA"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725" w:type="dxa"/>
            <w:tcBorders>
              <w:top w:val="nil"/>
              <w:left w:val="nil"/>
              <w:bottom w:val="single" w:color="auto" w:sz="4" w:space="0"/>
              <w:right w:val="single" w:color="auto" w:sz="4" w:space="0"/>
            </w:tcBorders>
            <w:shd w:val="clear" w:color="auto" w:fill="auto"/>
            <w:noWrap/>
            <w:vAlign w:val="bottom"/>
            <w:hideMark/>
          </w:tcPr>
          <w:p w:rsidRPr="00387AB6" w:rsidR="00453A47" w:rsidP="00453A47" w:rsidRDefault="00453A47" w14:paraId="6D9BB5F3"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77" w:type="dxa"/>
            <w:tcBorders>
              <w:top w:val="nil"/>
              <w:left w:val="nil"/>
              <w:bottom w:val="single" w:color="auto" w:sz="4" w:space="0"/>
              <w:right w:val="single" w:color="auto" w:sz="8" w:space="0"/>
            </w:tcBorders>
            <w:shd w:val="clear" w:color="auto" w:fill="auto"/>
            <w:noWrap/>
            <w:vAlign w:val="bottom"/>
            <w:hideMark/>
          </w:tcPr>
          <w:p w:rsidRPr="00387AB6" w:rsidR="00453A47" w:rsidP="00453A47" w:rsidRDefault="00453A47" w14:paraId="09A01A66"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r>
      <w:tr w:rsidRPr="00387AB6" w:rsidR="00453A47" w:rsidTr="00387AB6" w14:paraId="738779CC" w14:textId="77777777">
        <w:trPr>
          <w:trHeight w:val="373"/>
        </w:trPr>
        <w:tc>
          <w:tcPr>
            <w:tcW w:w="3647"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87AB6" w:rsidR="00453A47" w:rsidP="00453A47" w:rsidRDefault="00453A47" w14:paraId="45C2103F"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1960 and before</w:t>
            </w:r>
          </w:p>
        </w:tc>
        <w:tc>
          <w:tcPr>
            <w:tcW w:w="1729" w:type="dxa"/>
            <w:tcBorders>
              <w:top w:val="nil"/>
              <w:left w:val="single" w:color="auto" w:sz="4" w:space="0"/>
              <w:bottom w:val="single" w:color="auto" w:sz="8" w:space="0"/>
              <w:right w:val="single" w:color="auto" w:sz="4" w:space="0"/>
            </w:tcBorders>
            <w:shd w:val="clear" w:color="auto" w:fill="auto"/>
            <w:noWrap/>
            <w:vAlign w:val="bottom"/>
            <w:hideMark/>
          </w:tcPr>
          <w:p w:rsidRPr="00387AB6" w:rsidR="00453A47" w:rsidP="00453A47" w:rsidRDefault="00453A47" w14:paraId="40F628AA"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77" w:type="dxa"/>
            <w:tcBorders>
              <w:top w:val="nil"/>
              <w:left w:val="nil"/>
              <w:bottom w:val="single" w:color="auto" w:sz="8" w:space="0"/>
              <w:right w:val="double" w:color="auto" w:sz="6" w:space="0"/>
            </w:tcBorders>
            <w:shd w:val="clear" w:color="auto" w:fill="auto"/>
            <w:noWrap/>
            <w:vAlign w:val="bottom"/>
            <w:hideMark/>
          </w:tcPr>
          <w:p w:rsidRPr="00387AB6" w:rsidR="00453A47" w:rsidP="00453A47" w:rsidRDefault="00453A47" w14:paraId="3E82CB30"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725" w:type="dxa"/>
            <w:tcBorders>
              <w:top w:val="nil"/>
              <w:left w:val="nil"/>
              <w:bottom w:val="single" w:color="auto" w:sz="8" w:space="0"/>
              <w:right w:val="nil"/>
            </w:tcBorders>
            <w:shd w:val="clear" w:color="auto" w:fill="auto"/>
            <w:noWrap/>
            <w:vAlign w:val="bottom"/>
            <w:hideMark/>
          </w:tcPr>
          <w:p w:rsidRPr="00387AB6" w:rsidR="00453A47" w:rsidP="00453A47" w:rsidRDefault="00453A47" w14:paraId="3AB9CA94"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77" w:type="dxa"/>
            <w:tcBorders>
              <w:top w:val="nil"/>
              <w:left w:val="nil"/>
              <w:bottom w:val="single" w:color="auto" w:sz="8" w:space="0"/>
              <w:right w:val="nil"/>
            </w:tcBorders>
            <w:shd w:val="clear" w:color="auto" w:fill="auto"/>
            <w:noWrap/>
            <w:vAlign w:val="bottom"/>
            <w:hideMark/>
          </w:tcPr>
          <w:p w:rsidRPr="00387AB6" w:rsidR="00453A47" w:rsidP="00453A47" w:rsidRDefault="00453A47" w14:paraId="049D56F4"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725" w:type="dxa"/>
            <w:tcBorders>
              <w:top w:val="nil"/>
              <w:left w:val="double" w:color="auto" w:sz="6" w:space="0"/>
              <w:bottom w:val="single" w:color="auto" w:sz="8" w:space="0"/>
              <w:right w:val="single" w:color="auto" w:sz="4" w:space="0"/>
            </w:tcBorders>
            <w:shd w:val="clear" w:color="auto" w:fill="auto"/>
            <w:noWrap/>
            <w:vAlign w:val="bottom"/>
            <w:hideMark/>
          </w:tcPr>
          <w:p w:rsidRPr="00387AB6" w:rsidR="00453A47" w:rsidP="00453A47" w:rsidRDefault="00453A47" w14:paraId="231D712F"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77" w:type="dxa"/>
            <w:tcBorders>
              <w:top w:val="nil"/>
              <w:left w:val="nil"/>
              <w:bottom w:val="single" w:color="auto" w:sz="8" w:space="0"/>
              <w:right w:val="double" w:color="auto" w:sz="6" w:space="0"/>
            </w:tcBorders>
            <w:shd w:val="clear" w:color="auto" w:fill="auto"/>
            <w:noWrap/>
            <w:vAlign w:val="bottom"/>
            <w:hideMark/>
          </w:tcPr>
          <w:p w:rsidRPr="00387AB6" w:rsidR="00453A47" w:rsidP="00453A47" w:rsidRDefault="00453A47" w14:paraId="3B8BE7CC"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725" w:type="dxa"/>
            <w:tcBorders>
              <w:top w:val="nil"/>
              <w:left w:val="nil"/>
              <w:bottom w:val="single" w:color="auto" w:sz="8" w:space="0"/>
              <w:right w:val="single" w:color="auto" w:sz="4" w:space="0"/>
            </w:tcBorders>
            <w:shd w:val="clear" w:color="auto" w:fill="auto"/>
            <w:noWrap/>
            <w:vAlign w:val="bottom"/>
            <w:hideMark/>
          </w:tcPr>
          <w:p w:rsidRPr="00387AB6" w:rsidR="00453A47" w:rsidP="00453A47" w:rsidRDefault="00453A47" w14:paraId="01486125"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77" w:type="dxa"/>
            <w:tcBorders>
              <w:top w:val="nil"/>
              <w:left w:val="nil"/>
              <w:bottom w:val="single" w:color="auto" w:sz="8" w:space="0"/>
              <w:right w:val="single" w:color="auto" w:sz="8" w:space="0"/>
            </w:tcBorders>
            <w:shd w:val="clear" w:color="auto" w:fill="auto"/>
            <w:noWrap/>
            <w:vAlign w:val="bottom"/>
            <w:hideMark/>
          </w:tcPr>
          <w:p w:rsidRPr="00387AB6" w:rsidR="00453A47" w:rsidP="00453A47" w:rsidRDefault="00453A47" w14:paraId="50C3685C"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r>
    </w:tbl>
    <w:p w:rsidRPr="00387AB6" w:rsidR="00453A47" w:rsidP="006E00D4" w:rsidRDefault="00453A47" w14:paraId="70DBE519" w14:textId="548F0D92">
      <w:pPr>
        <w:rPr>
          <w:rFonts w:ascii="Palatino Linotype" w:hAnsi="Palatino Linotype"/>
          <w:sz w:val="24"/>
          <w:szCs w:val="24"/>
        </w:rPr>
      </w:pPr>
      <w:r w:rsidRPr="00387AB6">
        <w:rPr>
          <w:rFonts w:ascii="Palatino Linotype" w:hAnsi="Palatino Linotype"/>
          <w:sz w:val="24"/>
          <w:szCs w:val="24"/>
        </w:rPr>
        <w:br w:type="page"/>
      </w:r>
    </w:p>
    <w:tbl>
      <w:tblPr>
        <w:tblW w:w="17203" w:type="dxa"/>
        <w:tblLook w:val="04A0" w:firstRow="1" w:lastRow="0" w:firstColumn="1" w:lastColumn="0" w:noHBand="0" w:noVBand="1"/>
      </w:tblPr>
      <w:tblGrid>
        <w:gridCol w:w="4188"/>
        <w:gridCol w:w="1662"/>
        <w:gridCol w:w="1591"/>
        <w:gridCol w:w="1662"/>
        <w:gridCol w:w="1591"/>
        <w:gridCol w:w="1662"/>
        <w:gridCol w:w="1591"/>
        <w:gridCol w:w="1662"/>
        <w:gridCol w:w="1594"/>
      </w:tblGrid>
      <w:tr w:rsidRPr="00387AB6" w:rsidR="00453A47" w:rsidTr="00453A47" w14:paraId="0134ED47" w14:textId="77777777">
        <w:trPr>
          <w:trHeight w:val="325"/>
        </w:trPr>
        <w:tc>
          <w:tcPr>
            <w:tcW w:w="17203" w:type="dxa"/>
            <w:gridSpan w:val="9"/>
            <w:tcBorders>
              <w:top w:val="single" w:color="auto" w:sz="4" w:space="0"/>
              <w:left w:val="single" w:color="auto" w:sz="4" w:space="0"/>
              <w:bottom w:val="single" w:color="auto" w:sz="4" w:space="0"/>
              <w:right w:val="single" w:color="auto" w:sz="4" w:space="0"/>
            </w:tcBorders>
            <w:shd w:val="clear" w:color="000000" w:fill="8EA9DB"/>
            <w:noWrap/>
            <w:vAlign w:val="bottom"/>
            <w:hideMark/>
          </w:tcPr>
          <w:p w:rsidRPr="00387AB6" w:rsidR="00453A47" w:rsidP="00453A47" w:rsidRDefault="00453A47" w14:paraId="1E997BF3" w14:textId="079AF2A4">
            <w:pPr>
              <w:rPr>
                <w:rFonts w:ascii="Palatino Linotype" w:hAnsi="Palatino Linotype" w:cs="Calibri"/>
                <w:b/>
                <w:bCs/>
                <w:color w:val="000000"/>
                <w:sz w:val="24"/>
                <w:szCs w:val="24"/>
              </w:rPr>
            </w:pPr>
            <w:r w:rsidRPr="00387AB6">
              <w:rPr>
                <w:rFonts w:ascii="Palatino Linotype" w:hAnsi="Palatino Linotype" w:cs="Calibri"/>
                <w:b/>
                <w:bCs/>
                <w:color w:val="000000"/>
                <w:sz w:val="24"/>
                <w:szCs w:val="24"/>
              </w:rPr>
              <w:lastRenderedPageBreak/>
              <w:t>Average Annual Energy Use by Age of Dwelling (Year of Meter Installation)</w:t>
            </w:r>
          </w:p>
        </w:tc>
      </w:tr>
      <w:tr w:rsidRPr="00387AB6" w:rsidR="00453A47" w:rsidTr="00453A47" w14:paraId="029F06D7" w14:textId="77777777">
        <w:trPr>
          <w:trHeight w:val="309"/>
        </w:trPr>
        <w:tc>
          <w:tcPr>
            <w:tcW w:w="4188" w:type="dxa"/>
            <w:tcBorders>
              <w:top w:val="nil"/>
              <w:left w:val="single" w:color="auto" w:sz="4" w:space="0"/>
              <w:bottom w:val="single" w:color="auto" w:sz="4" w:space="0"/>
              <w:right w:val="single" w:color="auto" w:sz="4" w:space="0"/>
            </w:tcBorders>
            <w:shd w:val="clear" w:color="auto" w:fill="auto"/>
            <w:noWrap/>
            <w:vAlign w:val="bottom"/>
            <w:hideMark/>
          </w:tcPr>
          <w:p w:rsidRPr="00387AB6" w:rsidR="00453A47" w:rsidP="00453A47" w:rsidRDefault="00453A47" w14:paraId="667F61A8" w14:textId="77777777">
            <w:pPr>
              <w:rPr>
                <w:rFonts w:ascii="Palatino Linotype" w:hAnsi="Palatino Linotype" w:cs="Calibri"/>
                <w:b/>
                <w:bCs/>
                <w:color w:val="000000"/>
                <w:sz w:val="24"/>
                <w:szCs w:val="24"/>
              </w:rPr>
            </w:pPr>
            <w:r w:rsidRPr="00387AB6">
              <w:rPr>
                <w:rFonts w:ascii="Palatino Linotype" w:hAnsi="Palatino Linotype" w:cs="Calibri"/>
                <w:b/>
                <w:bCs/>
                <w:color w:val="000000"/>
                <w:sz w:val="24"/>
                <w:szCs w:val="24"/>
              </w:rPr>
              <w:t xml:space="preserve">Climate Zone </w:t>
            </w:r>
            <w:r w:rsidRPr="00387AB6">
              <w:rPr>
                <w:rFonts w:ascii="Times New Roman" w:hAnsi="Times New Roman"/>
                <w:b/>
                <w:bCs/>
                <w:color w:val="000000"/>
                <w:sz w:val="24"/>
                <w:szCs w:val="24"/>
              </w:rPr>
              <w:t>→</w:t>
            </w:r>
          </w:p>
        </w:tc>
        <w:tc>
          <w:tcPr>
            <w:tcW w:w="13015" w:type="dxa"/>
            <w:gridSpan w:val="8"/>
            <w:tcBorders>
              <w:top w:val="single" w:color="auto" w:sz="8" w:space="0"/>
              <w:left w:val="single" w:color="auto" w:sz="8" w:space="0"/>
              <w:bottom w:val="nil"/>
              <w:right w:val="single" w:color="000000" w:sz="8" w:space="0"/>
            </w:tcBorders>
            <w:shd w:val="clear" w:color="auto" w:fill="auto"/>
            <w:noWrap/>
            <w:vAlign w:val="bottom"/>
            <w:hideMark/>
          </w:tcPr>
          <w:p w:rsidRPr="00387AB6" w:rsidR="00453A47" w:rsidP="00453A47" w:rsidRDefault="00573A19" w14:paraId="3FD251F5" w14:textId="012731ED">
            <w:pPr>
              <w:jc w:val="center"/>
              <w:rPr>
                <w:rFonts w:ascii="Palatino Linotype" w:hAnsi="Palatino Linotype" w:cs="Calibri"/>
                <w:b/>
                <w:bCs/>
                <w:color w:val="000000"/>
                <w:sz w:val="24"/>
                <w:szCs w:val="24"/>
              </w:rPr>
            </w:pPr>
            <w:r w:rsidRPr="00387AB6">
              <w:rPr>
                <w:rFonts w:ascii="Palatino Linotype" w:hAnsi="Palatino Linotype" w:cs="Calibri"/>
                <w:b/>
                <w:bCs/>
                <w:color w:val="000000"/>
                <w:sz w:val="24"/>
                <w:szCs w:val="24"/>
              </w:rPr>
              <w:t xml:space="preserve">CZ [-]    </w:t>
            </w:r>
            <w:r w:rsidRPr="00387AB6">
              <w:rPr>
                <w:rFonts w:ascii="Palatino Linotype" w:hAnsi="Palatino Linotype" w:cs="Calibri"/>
                <w:b/>
                <w:bCs/>
                <w:i/>
                <w:iCs/>
                <w:color w:val="000000"/>
                <w:sz w:val="24"/>
                <w:szCs w:val="24"/>
              </w:rPr>
              <w:t>(Add Columns for CZs in your service territory)</w:t>
            </w:r>
          </w:p>
        </w:tc>
      </w:tr>
      <w:tr w:rsidRPr="00387AB6" w:rsidR="00453A47" w:rsidTr="00453A47" w14:paraId="431552DD" w14:textId="77777777">
        <w:trPr>
          <w:trHeight w:val="309"/>
        </w:trPr>
        <w:tc>
          <w:tcPr>
            <w:tcW w:w="4188" w:type="dxa"/>
            <w:tcBorders>
              <w:top w:val="nil"/>
              <w:left w:val="single" w:color="auto" w:sz="4" w:space="0"/>
              <w:bottom w:val="single" w:color="auto" w:sz="4" w:space="0"/>
              <w:right w:val="single" w:color="auto" w:sz="4" w:space="0"/>
            </w:tcBorders>
            <w:shd w:val="clear" w:color="auto" w:fill="auto"/>
            <w:noWrap/>
            <w:vAlign w:val="bottom"/>
            <w:hideMark/>
          </w:tcPr>
          <w:p w:rsidRPr="00387AB6" w:rsidR="00453A47" w:rsidP="00453A47" w:rsidRDefault="00453A47" w14:paraId="29D609A0"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 </w:t>
            </w:r>
          </w:p>
        </w:tc>
        <w:tc>
          <w:tcPr>
            <w:tcW w:w="3253" w:type="dxa"/>
            <w:gridSpan w:val="2"/>
            <w:tcBorders>
              <w:top w:val="single" w:color="auto" w:sz="4" w:space="0"/>
              <w:left w:val="single" w:color="auto" w:sz="8" w:space="0"/>
              <w:bottom w:val="single" w:color="auto" w:sz="4" w:space="0"/>
              <w:right w:val="single" w:color="auto" w:sz="4" w:space="0"/>
            </w:tcBorders>
            <w:shd w:val="clear" w:color="auto" w:fill="auto"/>
            <w:noWrap/>
            <w:vAlign w:val="bottom"/>
            <w:hideMark/>
          </w:tcPr>
          <w:p w:rsidRPr="00387AB6" w:rsidR="00453A47" w:rsidP="00453A47" w:rsidRDefault="00453A47" w14:paraId="133BF65A"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All-Electric</w:t>
            </w:r>
          </w:p>
        </w:tc>
        <w:tc>
          <w:tcPr>
            <w:tcW w:w="3253" w:type="dxa"/>
            <w:gridSpan w:val="2"/>
            <w:tcBorders>
              <w:top w:val="single" w:color="auto" w:sz="4" w:space="0"/>
              <w:left w:val="nil"/>
              <w:bottom w:val="single" w:color="auto" w:sz="4" w:space="0"/>
              <w:right w:val="single" w:color="000000" w:sz="4" w:space="0"/>
            </w:tcBorders>
            <w:shd w:val="clear" w:color="auto" w:fill="auto"/>
            <w:noWrap/>
            <w:vAlign w:val="bottom"/>
            <w:hideMark/>
          </w:tcPr>
          <w:p w:rsidRPr="00387AB6" w:rsidR="00453A47" w:rsidP="00453A47" w:rsidRDefault="00453A47" w14:paraId="7E66A026"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Electric Space Heating</w:t>
            </w:r>
          </w:p>
        </w:tc>
        <w:tc>
          <w:tcPr>
            <w:tcW w:w="3253" w:type="dxa"/>
            <w:gridSpan w:val="2"/>
            <w:tcBorders>
              <w:top w:val="single" w:color="auto" w:sz="4" w:space="0"/>
              <w:left w:val="nil"/>
              <w:bottom w:val="single" w:color="auto" w:sz="4" w:space="0"/>
              <w:right w:val="single" w:color="auto" w:sz="4" w:space="0"/>
            </w:tcBorders>
            <w:shd w:val="clear" w:color="auto" w:fill="auto"/>
            <w:noWrap/>
            <w:vAlign w:val="bottom"/>
            <w:hideMark/>
          </w:tcPr>
          <w:p w:rsidRPr="00387AB6" w:rsidR="00453A47" w:rsidP="00453A47" w:rsidRDefault="00453A47" w14:paraId="421AE09E"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Dual Fuel</w:t>
            </w:r>
          </w:p>
        </w:tc>
        <w:tc>
          <w:tcPr>
            <w:tcW w:w="3253" w:type="dxa"/>
            <w:gridSpan w:val="2"/>
            <w:tcBorders>
              <w:top w:val="single" w:color="auto" w:sz="4" w:space="0"/>
              <w:left w:val="nil"/>
              <w:bottom w:val="single" w:color="auto" w:sz="4" w:space="0"/>
              <w:right w:val="single" w:color="000000" w:sz="8" w:space="0"/>
            </w:tcBorders>
            <w:shd w:val="clear" w:color="auto" w:fill="auto"/>
            <w:noWrap/>
            <w:vAlign w:val="bottom"/>
            <w:hideMark/>
          </w:tcPr>
          <w:p w:rsidRPr="00387AB6" w:rsidR="00453A47" w:rsidP="00453A47" w:rsidRDefault="00453A47" w14:paraId="1C27EF55"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Gas Only</w:t>
            </w:r>
          </w:p>
        </w:tc>
      </w:tr>
      <w:tr w:rsidRPr="00387AB6" w:rsidR="00453A47" w:rsidTr="00453A47" w14:paraId="0420370D" w14:textId="77777777">
        <w:trPr>
          <w:trHeight w:val="309"/>
        </w:trPr>
        <w:tc>
          <w:tcPr>
            <w:tcW w:w="4188" w:type="dxa"/>
            <w:tcBorders>
              <w:top w:val="nil"/>
              <w:left w:val="single" w:color="auto" w:sz="4" w:space="0"/>
              <w:bottom w:val="single" w:color="auto" w:sz="4" w:space="0"/>
              <w:right w:val="single" w:color="auto" w:sz="4" w:space="0"/>
            </w:tcBorders>
            <w:shd w:val="clear" w:color="auto" w:fill="auto"/>
            <w:noWrap/>
            <w:vAlign w:val="bottom"/>
            <w:hideMark/>
          </w:tcPr>
          <w:p w:rsidRPr="00387AB6" w:rsidR="00453A47" w:rsidP="00453A47" w:rsidRDefault="00453A47" w14:paraId="2418D0F6" w14:textId="77777777">
            <w:pPr>
              <w:rPr>
                <w:rFonts w:ascii="Palatino Linotype" w:hAnsi="Palatino Linotype" w:cs="Calibri"/>
                <w:b/>
                <w:bCs/>
                <w:color w:val="000000"/>
                <w:sz w:val="24"/>
                <w:szCs w:val="24"/>
              </w:rPr>
            </w:pPr>
            <w:r w:rsidRPr="00387AB6">
              <w:rPr>
                <w:rFonts w:ascii="Palatino Linotype" w:hAnsi="Palatino Linotype" w:cs="Calibri"/>
                <w:b/>
                <w:bCs/>
                <w:color w:val="000000"/>
                <w:sz w:val="24"/>
                <w:szCs w:val="24"/>
              </w:rPr>
              <w:t xml:space="preserve">Year of Meter Installation </w:t>
            </w:r>
            <w:r w:rsidRPr="00387AB6">
              <w:rPr>
                <w:rFonts w:ascii="Times New Roman" w:hAnsi="Times New Roman"/>
                <w:b/>
                <w:bCs/>
                <w:color w:val="000000"/>
                <w:sz w:val="24"/>
                <w:szCs w:val="24"/>
              </w:rPr>
              <w:t>↓</w:t>
            </w:r>
          </w:p>
        </w:tc>
        <w:tc>
          <w:tcPr>
            <w:tcW w:w="1662" w:type="dxa"/>
            <w:tcBorders>
              <w:top w:val="nil"/>
              <w:left w:val="nil"/>
              <w:bottom w:val="nil"/>
              <w:right w:val="single" w:color="auto" w:sz="4" w:space="0"/>
            </w:tcBorders>
            <w:shd w:val="clear" w:color="auto" w:fill="auto"/>
            <w:noWrap/>
            <w:vAlign w:val="bottom"/>
            <w:hideMark/>
          </w:tcPr>
          <w:p w:rsidRPr="00387AB6" w:rsidR="00453A47" w:rsidP="00453A47" w:rsidRDefault="00453A47" w14:paraId="67153DB0"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Singlefamily</w:t>
            </w:r>
          </w:p>
        </w:tc>
        <w:tc>
          <w:tcPr>
            <w:tcW w:w="1591" w:type="dxa"/>
            <w:tcBorders>
              <w:top w:val="nil"/>
              <w:left w:val="nil"/>
              <w:bottom w:val="single" w:color="auto" w:sz="4" w:space="0"/>
              <w:right w:val="nil"/>
            </w:tcBorders>
            <w:shd w:val="clear" w:color="auto" w:fill="auto"/>
            <w:noWrap/>
            <w:vAlign w:val="bottom"/>
            <w:hideMark/>
          </w:tcPr>
          <w:p w:rsidRPr="00387AB6" w:rsidR="00453A47" w:rsidP="00453A47" w:rsidRDefault="00453A47" w14:paraId="34EC7E5A"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Multifamily</w:t>
            </w:r>
          </w:p>
        </w:tc>
        <w:tc>
          <w:tcPr>
            <w:tcW w:w="1662" w:type="dxa"/>
            <w:tcBorders>
              <w:top w:val="nil"/>
              <w:left w:val="single" w:color="auto" w:sz="4" w:space="0"/>
              <w:bottom w:val="single" w:color="auto" w:sz="4" w:space="0"/>
              <w:right w:val="single" w:color="auto" w:sz="4" w:space="0"/>
            </w:tcBorders>
            <w:shd w:val="clear" w:color="auto" w:fill="auto"/>
            <w:noWrap/>
            <w:vAlign w:val="bottom"/>
            <w:hideMark/>
          </w:tcPr>
          <w:p w:rsidRPr="00387AB6" w:rsidR="00453A47" w:rsidP="00453A47" w:rsidRDefault="00453A47" w14:paraId="6FB80E5F"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Singlefamily</w:t>
            </w:r>
          </w:p>
        </w:tc>
        <w:tc>
          <w:tcPr>
            <w:tcW w:w="1591" w:type="dxa"/>
            <w:tcBorders>
              <w:top w:val="nil"/>
              <w:left w:val="nil"/>
              <w:bottom w:val="single" w:color="auto" w:sz="4" w:space="0"/>
              <w:right w:val="single" w:color="auto" w:sz="4" w:space="0"/>
            </w:tcBorders>
            <w:shd w:val="clear" w:color="auto" w:fill="auto"/>
            <w:noWrap/>
            <w:vAlign w:val="bottom"/>
            <w:hideMark/>
          </w:tcPr>
          <w:p w:rsidRPr="00387AB6" w:rsidR="00453A47" w:rsidP="00453A47" w:rsidRDefault="00453A47" w14:paraId="030C3DE3"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Multifamily</w:t>
            </w:r>
          </w:p>
        </w:tc>
        <w:tc>
          <w:tcPr>
            <w:tcW w:w="1662" w:type="dxa"/>
            <w:tcBorders>
              <w:top w:val="nil"/>
              <w:left w:val="nil"/>
              <w:bottom w:val="nil"/>
              <w:right w:val="single" w:color="auto" w:sz="4" w:space="0"/>
            </w:tcBorders>
            <w:shd w:val="clear" w:color="auto" w:fill="auto"/>
            <w:noWrap/>
            <w:vAlign w:val="bottom"/>
            <w:hideMark/>
          </w:tcPr>
          <w:p w:rsidRPr="00387AB6" w:rsidR="00453A47" w:rsidP="00453A47" w:rsidRDefault="00453A47" w14:paraId="07AEEC2F"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Singlefamily</w:t>
            </w:r>
          </w:p>
        </w:tc>
        <w:tc>
          <w:tcPr>
            <w:tcW w:w="1591" w:type="dxa"/>
            <w:tcBorders>
              <w:top w:val="nil"/>
              <w:left w:val="nil"/>
              <w:bottom w:val="nil"/>
              <w:right w:val="double" w:color="auto" w:sz="6" w:space="0"/>
            </w:tcBorders>
            <w:shd w:val="clear" w:color="auto" w:fill="auto"/>
            <w:noWrap/>
            <w:vAlign w:val="bottom"/>
            <w:hideMark/>
          </w:tcPr>
          <w:p w:rsidRPr="00387AB6" w:rsidR="00453A47" w:rsidP="00453A47" w:rsidRDefault="00453A47" w14:paraId="5CA77BD3"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Multifamily</w:t>
            </w:r>
          </w:p>
        </w:tc>
        <w:tc>
          <w:tcPr>
            <w:tcW w:w="1662" w:type="dxa"/>
            <w:tcBorders>
              <w:top w:val="nil"/>
              <w:left w:val="nil"/>
              <w:bottom w:val="single" w:color="auto" w:sz="4" w:space="0"/>
              <w:right w:val="single" w:color="auto" w:sz="4" w:space="0"/>
            </w:tcBorders>
            <w:shd w:val="clear" w:color="auto" w:fill="auto"/>
            <w:noWrap/>
            <w:vAlign w:val="bottom"/>
            <w:hideMark/>
          </w:tcPr>
          <w:p w:rsidRPr="00387AB6" w:rsidR="00453A47" w:rsidP="00453A47" w:rsidRDefault="00453A47" w14:paraId="204639B1"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Singlefamily</w:t>
            </w:r>
          </w:p>
        </w:tc>
        <w:tc>
          <w:tcPr>
            <w:tcW w:w="1591" w:type="dxa"/>
            <w:tcBorders>
              <w:top w:val="nil"/>
              <w:left w:val="nil"/>
              <w:bottom w:val="single" w:color="auto" w:sz="4" w:space="0"/>
              <w:right w:val="single" w:color="auto" w:sz="8" w:space="0"/>
            </w:tcBorders>
            <w:shd w:val="clear" w:color="auto" w:fill="auto"/>
            <w:noWrap/>
            <w:vAlign w:val="bottom"/>
            <w:hideMark/>
          </w:tcPr>
          <w:p w:rsidRPr="00387AB6" w:rsidR="00453A47" w:rsidP="00453A47" w:rsidRDefault="00453A47" w14:paraId="41200302"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Multifamily</w:t>
            </w:r>
          </w:p>
        </w:tc>
      </w:tr>
      <w:tr w:rsidRPr="00387AB6" w:rsidR="00453A47" w:rsidTr="00453A47" w14:paraId="7FD0F911" w14:textId="77777777">
        <w:trPr>
          <w:trHeight w:val="309"/>
        </w:trPr>
        <w:tc>
          <w:tcPr>
            <w:tcW w:w="4188" w:type="dxa"/>
            <w:tcBorders>
              <w:top w:val="nil"/>
              <w:left w:val="single" w:color="auto" w:sz="4" w:space="0"/>
              <w:bottom w:val="single" w:color="auto" w:sz="4" w:space="0"/>
              <w:right w:val="single" w:color="auto" w:sz="4" w:space="0"/>
            </w:tcBorders>
            <w:shd w:val="clear" w:color="auto" w:fill="auto"/>
            <w:noWrap/>
            <w:vAlign w:val="bottom"/>
            <w:hideMark/>
          </w:tcPr>
          <w:p w:rsidRPr="00387AB6" w:rsidR="00453A47" w:rsidP="00453A47" w:rsidRDefault="00453A47" w14:paraId="62ECA099"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2020 and after</w:t>
            </w:r>
          </w:p>
        </w:tc>
        <w:tc>
          <w:tcPr>
            <w:tcW w:w="1662" w:type="dxa"/>
            <w:tcBorders>
              <w:top w:val="single" w:color="auto" w:sz="4" w:space="0"/>
              <w:left w:val="nil"/>
              <w:bottom w:val="single" w:color="auto" w:sz="4" w:space="0"/>
              <w:right w:val="single" w:color="auto" w:sz="4" w:space="0"/>
            </w:tcBorders>
            <w:shd w:val="clear" w:color="auto" w:fill="auto"/>
            <w:vAlign w:val="bottom"/>
            <w:hideMark/>
          </w:tcPr>
          <w:p w:rsidRPr="00387AB6" w:rsidR="00453A47" w:rsidP="00453A47" w:rsidRDefault="00453A47" w14:paraId="2AD9F43C"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[kwh]</w:t>
            </w:r>
          </w:p>
        </w:tc>
        <w:tc>
          <w:tcPr>
            <w:tcW w:w="1591" w:type="dxa"/>
            <w:tcBorders>
              <w:top w:val="nil"/>
              <w:left w:val="nil"/>
              <w:bottom w:val="single" w:color="auto" w:sz="4" w:space="0"/>
              <w:right w:val="double" w:color="auto" w:sz="6" w:space="0"/>
            </w:tcBorders>
            <w:shd w:val="clear" w:color="auto" w:fill="auto"/>
            <w:noWrap/>
            <w:vAlign w:val="bottom"/>
            <w:hideMark/>
          </w:tcPr>
          <w:p w:rsidRPr="00387AB6" w:rsidR="00453A47" w:rsidP="00453A47" w:rsidRDefault="00453A47" w14:paraId="067B75CC"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62" w:type="dxa"/>
            <w:tcBorders>
              <w:top w:val="nil"/>
              <w:left w:val="nil"/>
              <w:bottom w:val="single" w:color="auto" w:sz="4" w:space="0"/>
              <w:right w:val="nil"/>
            </w:tcBorders>
            <w:shd w:val="clear" w:color="auto" w:fill="auto"/>
            <w:noWrap/>
            <w:vAlign w:val="bottom"/>
            <w:hideMark/>
          </w:tcPr>
          <w:p w:rsidRPr="00387AB6" w:rsidR="00453A47" w:rsidP="00453A47" w:rsidRDefault="00453A47" w14:paraId="4962B7F9"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1" w:type="dxa"/>
            <w:tcBorders>
              <w:top w:val="nil"/>
              <w:left w:val="nil"/>
              <w:bottom w:val="single" w:color="auto" w:sz="4" w:space="0"/>
              <w:right w:val="nil"/>
            </w:tcBorders>
            <w:shd w:val="clear" w:color="auto" w:fill="auto"/>
            <w:noWrap/>
            <w:vAlign w:val="bottom"/>
            <w:hideMark/>
          </w:tcPr>
          <w:p w:rsidRPr="00387AB6" w:rsidR="00453A47" w:rsidP="00453A47" w:rsidRDefault="00453A47" w14:paraId="6B38B361"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62" w:type="dxa"/>
            <w:tcBorders>
              <w:top w:val="single" w:color="auto" w:sz="4" w:space="0"/>
              <w:left w:val="double" w:color="auto" w:sz="6" w:space="0"/>
              <w:bottom w:val="single" w:color="auto" w:sz="4" w:space="0"/>
              <w:right w:val="single" w:color="auto" w:sz="4" w:space="0"/>
            </w:tcBorders>
            <w:shd w:val="clear" w:color="auto" w:fill="auto"/>
            <w:noWrap/>
            <w:vAlign w:val="bottom"/>
            <w:hideMark/>
          </w:tcPr>
          <w:p w:rsidRPr="00387AB6" w:rsidR="00453A47" w:rsidP="00453A47" w:rsidRDefault="00453A47" w14:paraId="79468DF7"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[mmbtu]</w:t>
            </w:r>
          </w:p>
        </w:tc>
        <w:tc>
          <w:tcPr>
            <w:tcW w:w="1591" w:type="dxa"/>
            <w:tcBorders>
              <w:top w:val="single" w:color="auto" w:sz="4" w:space="0"/>
              <w:left w:val="nil"/>
              <w:bottom w:val="single" w:color="auto" w:sz="4" w:space="0"/>
              <w:right w:val="double" w:color="auto" w:sz="6" w:space="0"/>
            </w:tcBorders>
            <w:shd w:val="clear" w:color="auto" w:fill="auto"/>
            <w:noWrap/>
            <w:vAlign w:val="bottom"/>
            <w:hideMark/>
          </w:tcPr>
          <w:p w:rsidRPr="00387AB6" w:rsidR="00453A47" w:rsidP="00453A47" w:rsidRDefault="00453A47" w14:paraId="22C13524"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62" w:type="dxa"/>
            <w:tcBorders>
              <w:top w:val="nil"/>
              <w:left w:val="nil"/>
              <w:bottom w:val="single" w:color="auto" w:sz="4" w:space="0"/>
              <w:right w:val="single" w:color="auto" w:sz="4" w:space="0"/>
            </w:tcBorders>
            <w:shd w:val="clear" w:color="auto" w:fill="auto"/>
            <w:noWrap/>
            <w:vAlign w:val="bottom"/>
            <w:hideMark/>
          </w:tcPr>
          <w:p w:rsidRPr="00387AB6" w:rsidR="00453A47" w:rsidP="00453A47" w:rsidRDefault="00453A47" w14:paraId="69207C05"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1" w:type="dxa"/>
            <w:tcBorders>
              <w:top w:val="nil"/>
              <w:left w:val="nil"/>
              <w:bottom w:val="single" w:color="auto" w:sz="4" w:space="0"/>
              <w:right w:val="single" w:color="auto" w:sz="8" w:space="0"/>
            </w:tcBorders>
            <w:shd w:val="clear" w:color="auto" w:fill="auto"/>
            <w:noWrap/>
            <w:vAlign w:val="bottom"/>
            <w:hideMark/>
          </w:tcPr>
          <w:p w:rsidRPr="00387AB6" w:rsidR="00453A47" w:rsidP="00453A47" w:rsidRDefault="00453A47" w14:paraId="1E42B2C5"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r>
      <w:tr w:rsidRPr="00387AB6" w:rsidR="00453A47" w:rsidTr="00453A47" w14:paraId="7800BFF3" w14:textId="77777777">
        <w:trPr>
          <w:trHeight w:val="309"/>
        </w:trPr>
        <w:tc>
          <w:tcPr>
            <w:tcW w:w="4188" w:type="dxa"/>
            <w:tcBorders>
              <w:top w:val="nil"/>
              <w:left w:val="single" w:color="auto" w:sz="4" w:space="0"/>
              <w:bottom w:val="single" w:color="auto" w:sz="4" w:space="0"/>
              <w:right w:val="single" w:color="auto" w:sz="4" w:space="0"/>
            </w:tcBorders>
            <w:shd w:val="clear" w:color="auto" w:fill="auto"/>
            <w:noWrap/>
            <w:vAlign w:val="bottom"/>
            <w:hideMark/>
          </w:tcPr>
          <w:p w:rsidRPr="00387AB6" w:rsidR="00453A47" w:rsidP="00453A47" w:rsidRDefault="00453A47" w14:paraId="0EF008A6"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2014-2019</w:t>
            </w:r>
          </w:p>
        </w:tc>
        <w:tc>
          <w:tcPr>
            <w:tcW w:w="1662" w:type="dxa"/>
            <w:tcBorders>
              <w:top w:val="nil"/>
              <w:left w:val="nil"/>
              <w:bottom w:val="single" w:color="auto" w:sz="4" w:space="0"/>
              <w:right w:val="single" w:color="auto" w:sz="4" w:space="0"/>
            </w:tcBorders>
            <w:shd w:val="clear" w:color="auto" w:fill="auto"/>
            <w:vAlign w:val="bottom"/>
            <w:hideMark/>
          </w:tcPr>
          <w:p w:rsidRPr="00387AB6" w:rsidR="00453A47" w:rsidP="00453A47" w:rsidRDefault="00453A47" w14:paraId="29888B5E"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1" w:type="dxa"/>
            <w:tcBorders>
              <w:top w:val="nil"/>
              <w:left w:val="nil"/>
              <w:bottom w:val="single" w:color="auto" w:sz="4" w:space="0"/>
              <w:right w:val="double" w:color="auto" w:sz="6" w:space="0"/>
            </w:tcBorders>
            <w:shd w:val="clear" w:color="auto" w:fill="auto"/>
            <w:noWrap/>
            <w:vAlign w:val="bottom"/>
            <w:hideMark/>
          </w:tcPr>
          <w:p w:rsidRPr="00387AB6" w:rsidR="00453A47" w:rsidP="00453A47" w:rsidRDefault="00453A47" w14:paraId="76575E6D"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62" w:type="dxa"/>
            <w:tcBorders>
              <w:top w:val="nil"/>
              <w:left w:val="nil"/>
              <w:bottom w:val="single" w:color="auto" w:sz="4" w:space="0"/>
              <w:right w:val="nil"/>
            </w:tcBorders>
            <w:shd w:val="clear" w:color="auto" w:fill="auto"/>
            <w:noWrap/>
            <w:vAlign w:val="bottom"/>
            <w:hideMark/>
          </w:tcPr>
          <w:p w:rsidRPr="00387AB6" w:rsidR="00453A47" w:rsidP="00453A47" w:rsidRDefault="00453A47" w14:paraId="10CE6E2B"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1" w:type="dxa"/>
            <w:tcBorders>
              <w:top w:val="nil"/>
              <w:left w:val="nil"/>
              <w:bottom w:val="single" w:color="auto" w:sz="4" w:space="0"/>
              <w:right w:val="nil"/>
            </w:tcBorders>
            <w:shd w:val="clear" w:color="auto" w:fill="auto"/>
            <w:noWrap/>
            <w:vAlign w:val="bottom"/>
            <w:hideMark/>
          </w:tcPr>
          <w:p w:rsidRPr="00387AB6" w:rsidR="00453A47" w:rsidP="00453A47" w:rsidRDefault="00453A47" w14:paraId="5A6510C1"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62" w:type="dxa"/>
            <w:tcBorders>
              <w:top w:val="nil"/>
              <w:left w:val="double" w:color="auto" w:sz="6" w:space="0"/>
              <w:bottom w:val="single" w:color="auto" w:sz="4" w:space="0"/>
              <w:right w:val="single" w:color="auto" w:sz="4" w:space="0"/>
            </w:tcBorders>
            <w:shd w:val="clear" w:color="auto" w:fill="auto"/>
            <w:noWrap/>
            <w:vAlign w:val="bottom"/>
            <w:hideMark/>
          </w:tcPr>
          <w:p w:rsidRPr="00387AB6" w:rsidR="00453A47" w:rsidP="00453A47" w:rsidRDefault="00453A47" w14:paraId="7240B199"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1" w:type="dxa"/>
            <w:tcBorders>
              <w:top w:val="nil"/>
              <w:left w:val="nil"/>
              <w:bottom w:val="single" w:color="auto" w:sz="4" w:space="0"/>
              <w:right w:val="double" w:color="auto" w:sz="6" w:space="0"/>
            </w:tcBorders>
            <w:shd w:val="clear" w:color="auto" w:fill="auto"/>
            <w:noWrap/>
            <w:vAlign w:val="bottom"/>
            <w:hideMark/>
          </w:tcPr>
          <w:p w:rsidRPr="00387AB6" w:rsidR="00453A47" w:rsidP="00453A47" w:rsidRDefault="00453A47" w14:paraId="36EA3398"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62" w:type="dxa"/>
            <w:tcBorders>
              <w:top w:val="nil"/>
              <w:left w:val="nil"/>
              <w:bottom w:val="single" w:color="auto" w:sz="4" w:space="0"/>
              <w:right w:val="single" w:color="auto" w:sz="4" w:space="0"/>
            </w:tcBorders>
            <w:shd w:val="clear" w:color="auto" w:fill="auto"/>
            <w:noWrap/>
            <w:vAlign w:val="bottom"/>
            <w:hideMark/>
          </w:tcPr>
          <w:p w:rsidRPr="00387AB6" w:rsidR="00453A47" w:rsidP="00453A47" w:rsidRDefault="00453A47" w14:paraId="51CA0F2E"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1" w:type="dxa"/>
            <w:tcBorders>
              <w:top w:val="nil"/>
              <w:left w:val="nil"/>
              <w:bottom w:val="single" w:color="auto" w:sz="4" w:space="0"/>
              <w:right w:val="single" w:color="auto" w:sz="8" w:space="0"/>
            </w:tcBorders>
            <w:shd w:val="clear" w:color="auto" w:fill="auto"/>
            <w:noWrap/>
            <w:vAlign w:val="bottom"/>
            <w:hideMark/>
          </w:tcPr>
          <w:p w:rsidRPr="00387AB6" w:rsidR="00453A47" w:rsidP="00453A47" w:rsidRDefault="00453A47" w14:paraId="4FB5440E"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r>
      <w:tr w:rsidRPr="00387AB6" w:rsidR="00453A47" w:rsidTr="00453A47" w14:paraId="6010D918" w14:textId="77777777">
        <w:trPr>
          <w:trHeight w:val="309"/>
        </w:trPr>
        <w:tc>
          <w:tcPr>
            <w:tcW w:w="4188" w:type="dxa"/>
            <w:tcBorders>
              <w:top w:val="nil"/>
              <w:left w:val="single" w:color="auto" w:sz="4" w:space="0"/>
              <w:bottom w:val="single" w:color="auto" w:sz="4" w:space="0"/>
              <w:right w:val="single" w:color="auto" w:sz="4" w:space="0"/>
            </w:tcBorders>
            <w:shd w:val="clear" w:color="auto" w:fill="auto"/>
            <w:noWrap/>
            <w:vAlign w:val="bottom"/>
            <w:hideMark/>
          </w:tcPr>
          <w:p w:rsidRPr="00387AB6" w:rsidR="00453A47" w:rsidP="00453A47" w:rsidRDefault="00453A47" w14:paraId="4FD0B893"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2008-2013</w:t>
            </w:r>
          </w:p>
        </w:tc>
        <w:tc>
          <w:tcPr>
            <w:tcW w:w="1662" w:type="dxa"/>
            <w:tcBorders>
              <w:top w:val="nil"/>
              <w:left w:val="nil"/>
              <w:bottom w:val="single" w:color="auto" w:sz="4" w:space="0"/>
              <w:right w:val="single" w:color="auto" w:sz="4" w:space="0"/>
            </w:tcBorders>
            <w:shd w:val="clear" w:color="auto" w:fill="auto"/>
            <w:vAlign w:val="bottom"/>
            <w:hideMark/>
          </w:tcPr>
          <w:p w:rsidRPr="00387AB6" w:rsidR="00453A47" w:rsidP="00453A47" w:rsidRDefault="00453A47" w14:paraId="1545BD71"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1" w:type="dxa"/>
            <w:tcBorders>
              <w:top w:val="nil"/>
              <w:left w:val="nil"/>
              <w:bottom w:val="single" w:color="auto" w:sz="4" w:space="0"/>
              <w:right w:val="double" w:color="auto" w:sz="6" w:space="0"/>
            </w:tcBorders>
            <w:shd w:val="clear" w:color="auto" w:fill="auto"/>
            <w:noWrap/>
            <w:vAlign w:val="bottom"/>
            <w:hideMark/>
          </w:tcPr>
          <w:p w:rsidRPr="00387AB6" w:rsidR="00453A47" w:rsidP="00453A47" w:rsidRDefault="00453A47" w14:paraId="2F8149F4"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62" w:type="dxa"/>
            <w:tcBorders>
              <w:top w:val="nil"/>
              <w:left w:val="nil"/>
              <w:bottom w:val="single" w:color="auto" w:sz="4" w:space="0"/>
              <w:right w:val="nil"/>
            </w:tcBorders>
            <w:shd w:val="clear" w:color="auto" w:fill="auto"/>
            <w:noWrap/>
            <w:vAlign w:val="bottom"/>
            <w:hideMark/>
          </w:tcPr>
          <w:p w:rsidRPr="00387AB6" w:rsidR="00453A47" w:rsidP="00453A47" w:rsidRDefault="00453A47" w14:paraId="0DFEEE6F"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1" w:type="dxa"/>
            <w:tcBorders>
              <w:top w:val="nil"/>
              <w:left w:val="nil"/>
              <w:bottom w:val="single" w:color="auto" w:sz="4" w:space="0"/>
              <w:right w:val="nil"/>
            </w:tcBorders>
            <w:shd w:val="clear" w:color="auto" w:fill="auto"/>
            <w:noWrap/>
            <w:vAlign w:val="bottom"/>
            <w:hideMark/>
          </w:tcPr>
          <w:p w:rsidRPr="00387AB6" w:rsidR="00453A47" w:rsidP="00453A47" w:rsidRDefault="00453A47" w14:paraId="080DD52B"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62" w:type="dxa"/>
            <w:tcBorders>
              <w:top w:val="nil"/>
              <w:left w:val="double" w:color="auto" w:sz="6" w:space="0"/>
              <w:bottom w:val="single" w:color="auto" w:sz="4" w:space="0"/>
              <w:right w:val="single" w:color="auto" w:sz="4" w:space="0"/>
            </w:tcBorders>
            <w:shd w:val="clear" w:color="auto" w:fill="auto"/>
            <w:noWrap/>
            <w:vAlign w:val="bottom"/>
            <w:hideMark/>
          </w:tcPr>
          <w:p w:rsidRPr="00387AB6" w:rsidR="00453A47" w:rsidP="00453A47" w:rsidRDefault="00453A47" w14:paraId="15B798FB"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1" w:type="dxa"/>
            <w:tcBorders>
              <w:top w:val="nil"/>
              <w:left w:val="nil"/>
              <w:bottom w:val="single" w:color="auto" w:sz="4" w:space="0"/>
              <w:right w:val="double" w:color="auto" w:sz="6" w:space="0"/>
            </w:tcBorders>
            <w:shd w:val="clear" w:color="auto" w:fill="auto"/>
            <w:noWrap/>
            <w:vAlign w:val="bottom"/>
            <w:hideMark/>
          </w:tcPr>
          <w:p w:rsidRPr="00387AB6" w:rsidR="00453A47" w:rsidP="00453A47" w:rsidRDefault="00453A47" w14:paraId="3F749E2A"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62" w:type="dxa"/>
            <w:tcBorders>
              <w:top w:val="nil"/>
              <w:left w:val="nil"/>
              <w:bottom w:val="single" w:color="auto" w:sz="4" w:space="0"/>
              <w:right w:val="single" w:color="auto" w:sz="4" w:space="0"/>
            </w:tcBorders>
            <w:shd w:val="clear" w:color="auto" w:fill="auto"/>
            <w:noWrap/>
            <w:vAlign w:val="bottom"/>
            <w:hideMark/>
          </w:tcPr>
          <w:p w:rsidRPr="00387AB6" w:rsidR="00453A47" w:rsidP="00453A47" w:rsidRDefault="00453A47" w14:paraId="77E487F2"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1" w:type="dxa"/>
            <w:tcBorders>
              <w:top w:val="nil"/>
              <w:left w:val="nil"/>
              <w:bottom w:val="single" w:color="auto" w:sz="4" w:space="0"/>
              <w:right w:val="single" w:color="auto" w:sz="8" w:space="0"/>
            </w:tcBorders>
            <w:shd w:val="clear" w:color="auto" w:fill="auto"/>
            <w:noWrap/>
            <w:vAlign w:val="bottom"/>
            <w:hideMark/>
          </w:tcPr>
          <w:p w:rsidRPr="00387AB6" w:rsidR="00453A47" w:rsidP="00453A47" w:rsidRDefault="00453A47" w14:paraId="15405530"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r>
      <w:tr w:rsidRPr="00387AB6" w:rsidR="00453A47" w:rsidTr="00453A47" w14:paraId="3D8E4779" w14:textId="77777777">
        <w:trPr>
          <w:trHeight w:val="309"/>
        </w:trPr>
        <w:tc>
          <w:tcPr>
            <w:tcW w:w="4188" w:type="dxa"/>
            <w:tcBorders>
              <w:top w:val="nil"/>
              <w:left w:val="single" w:color="auto" w:sz="4" w:space="0"/>
              <w:bottom w:val="single" w:color="auto" w:sz="4" w:space="0"/>
              <w:right w:val="single" w:color="auto" w:sz="4" w:space="0"/>
            </w:tcBorders>
            <w:shd w:val="clear" w:color="auto" w:fill="auto"/>
            <w:noWrap/>
            <w:vAlign w:val="bottom"/>
            <w:hideMark/>
          </w:tcPr>
          <w:p w:rsidRPr="00387AB6" w:rsidR="00453A47" w:rsidP="00453A47" w:rsidRDefault="00453A47" w14:paraId="01655294"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2002-2007</w:t>
            </w:r>
          </w:p>
        </w:tc>
        <w:tc>
          <w:tcPr>
            <w:tcW w:w="1662" w:type="dxa"/>
            <w:tcBorders>
              <w:top w:val="nil"/>
              <w:left w:val="nil"/>
              <w:bottom w:val="single" w:color="auto" w:sz="4" w:space="0"/>
              <w:right w:val="single" w:color="auto" w:sz="4" w:space="0"/>
            </w:tcBorders>
            <w:shd w:val="clear" w:color="auto" w:fill="auto"/>
            <w:noWrap/>
            <w:vAlign w:val="bottom"/>
            <w:hideMark/>
          </w:tcPr>
          <w:p w:rsidRPr="00387AB6" w:rsidR="00453A47" w:rsidP="00453A47" w:rsidRDefault="00453A47" w14:paraId="271D979D"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1" w:type="dxa"/>
            <w:tcBorders>
              <w:top w:val="nil"/>
              <w:left w:val="nil"/>
              <w:bottom w:val="single" w:color="auto" w:sz="4" w:space="0"/>
              <w:right w:val="double" w:color="auto" w:sz="6" w:space="0"/>
            </w:tcBorders>
            <w:shd w:val="clear" w:color="auto" w:fill="auto"/>
            <w:noWrap/>
            <w:vAlign w:val="bottom"/>
            <w:hideMark/>
          </w:tcPr>
          <w:p w:rsidRPr="00387AB6" w:rsidR="00453A47" w:rsidP="00453A47" w:rsidRDefault="00453A47" w14:paraId="354E1D15"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62" w:type="dxa"/>
            <w:tcBorders>
              <w:top w:val="nil"/>
              <w:left w:val="nil"/>
              <w:bottom w:val="single" w:color="auto" w:sz="4" w:space="0"/>
              <w:right w:val="nil"/>
            </w:tcBorders>
            <w:shd w:val="clear" w:color="auto" w:fill="auto"/>
            <w:noWrap/>
            <w:vAlign w:val="bottom"/>
            <w:hideMark/>
          </w:tcPr>
          <w:p w:rsidRPr="00387AB6" w:rsidR="00453A47" w:rsidP="00453A47" w:rsidRDefault="00453A47" w14:paraId="10BE72B4"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1" w:type="dxa"/>
            <w:tcBorders>
              <w:top w:val="nil"/>
              <w:left w:val="nil"/>
              <w:bottom w:val="single" w:color="auto" w:sz="4" w:space="0"/>
              <w:right w:val="nil"/>
            </w:tcBorders>
            <w:shd w:val="clear" w:color="auto" w:fill="auto"/>
            <w:noWrap/>
            <w:vAlign w:val="bottom"/>
            <w:hideMark/>
          </w:tcPr>
          <w:p w:rsidRPr="00387AB6" w:rsidR="00453A47" w:rsidP="00453A47" w:rsidRDefault="00453A47" w14:paraId="75432AD5"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62" w:type="dxa"/>
            <w:tcBorders>
              <w:top w:val="nil"/>
              <w:left w:val="double" w:color="auto" w:sz="6" w:space="0"/>
              <w:bottom w:val="single" w:color="auto" w:sz="4" w:space="0"/>
              <w:right w:val="single" w:color="auto" w:sz="4" w:space="0"/>
            </w:tcBorders>
            <w:shd w:val="clear" w:color="auto" w:fill="auto"/>
            <w:noWrap/>
            <w:vAlign w:val="bottom"/>
            <w:hideMark/>
          </w:tcPr>
          <w:p w:rsidRPr="00387AB6" w:rsidR="00453A47" w:rsidP="00453A47" w:rsidRDefault="00453A47" w14:paraId="2CCF21DB"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1" w:type="dxa"/>
            <w:tcBorders>
              <w:top w:val="nil"/>
              <w:left w:val="nil"/>
              <w:bottom w:val="single" w:color="auto" w:sz="4" w:space="0"/>
              <w:right w:val="double" w:color="auto" w:sz="6" w:space="0"/>
            </w:tcBorders>
            <w:shd w:val="clear" w:color="auto" w:fill="auto"/>
            <w:noWrap/>
            <w:vAlign w:val="bottom"/>
            <w:hideMark/>
          </w:tcPr>
          <w:p w:rsidRPr="00387AB6" w:rsidR="00453A47" w:rsidP="00453A47" w:rsidRDefault="00453A47" w14:paraId="2152A328"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62" w:type="dxa"/>
            <w:tcBorders>
              <w:top w:val="nil"/>
              <w:left w:val="nil"/>
              <w:bottom w:val="single" w:color="auto" w:sz="4" w:space="0"/>
              <w:right w:val="single" w:color="auto" w:sz="4" w:space="0"/>
            </w:tcBorders>
            <w:shd w:val="clear" w:color="auto" w:fill="auto"/>
            <w:noWrap/>
            <w:vAlign w:val="bottom"/>
            <w:hideMark/>
          </w:tcPr>
          <w:p w:rsidRPr="00387AB6" w:rsidR="00453A47" w:rsidP="00453A47" w:rsidRDefault="00453A47" w14:paraId="7A49EBC7"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1" w:type="dxa"/>
            <w:tcBorders>
              <w:top w:val="nil"/>
              <w:left w:val="nil"/>
              <w:bottom w:val="single" w:color="auto" w:sz="4" w:space="0"/>
              <w:right w:val="single" w:color="auto" w:sz="8" w:space="0"/>
            </w:tcBorders>
            <w:shd w:val="clear" w:color="auto" w:fill="auto"/>
            <w:noWrap/>
            <w:vAlign w:val="bottom"/>
            <w:hideMark/>
          </w:tcPr>
          <w:p w:rsidRPr="00387AB6" w:rsidR="00453A47" w:rsidP="00453A47" w:rsidRDefault="00453A47" w14:paraId="00E71E9E"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r>
      <w:tr w:rsidRPr="00387AB6" w:rsidR="00453A47" w:rsidTr="00453A47" w14:paraId="27651BD5" w14:textId="77777777">
        <w:trPr>
          <w:trHeight w:val="309"/>
        </w:trPr>
        <w:tc>
          <w:tcPr>
            <w:tcW w:w="4188" w:type="dxa"/>
            <w:tcBorders>
              <w:top w:val="nil"/>
              <w:left w:val="single" w:color="auto" w:sz="4" w:space="0"/>
              <w:bottom w:val="single" w:color="auto" w:sz="4" w:space="0"/>
              <w:right w:val="single" w:color="auto" w:sz="4" w:space="0"/>
            </w:tcBorders>
            <w:shd w:val="clear" w:color="auto" w:fill="auto"/>
            <w:noWrap/>
            <w:vAlign w:val="bottom"/>
            <w:hideMark/>
          </w:tcPr>
          <w:p w:rsidRPr="00387AB6" w:rsidR="00453A47" w:rsidP="00453A47" w:rsidRDefault="00453A47" w14:paraId="1658D004"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1996-2001</w:t>
            </w:r>
          </w:p>
        </w:tc>
        <w:tc>
          <w:tcPr>
            <w:tcW w:w="1662" w:type="dxa"/>
            <w:tcBorders>
              <w:top w:val="nil"/>
              <w:left w:val="nil"/>
              <w:bottom w:val="single" w:color="auto" w:sz="4" w:space="0"/>
              <w:right w:val="single" w:color="auto" w:sz="4" w:space="0"/>
            </w:tcBorders>
            <w:shd w:val="clear" w:color="auto" w:fill="auto"/>
            <w:noWrap/>
            <w:vAlign w:val="bottom"/>
            <w:hideMark/>
          </w:tcPr>
          <w:p w:rsidRPr="00387AB6" w:rsidR="00453A47" w:rsidP="00453A47" w:rsidRDefault="00453A47" w14:paraId="6830ED56"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1" w:type="dxa"/>
            <w:tcBorders>
              <w:top w:val="nil"/>
              <w:left w:val="nil"/>
              <w:bottom w:val="single" w:color="auto" w:sz="4" w:space="0"/>
              <w:right w:val="double" w:color="auto" w:sz="6" w:space="0"/>
            </w:tcBorders>
            <w:shd w:val="clear" w:color="auto" w:fill="auto"/>
            <w:noWrap/>
            <w:vAlign w:val="bottom"/>
            <w:hideMark/>
          </w:tcPr>
          <w:p w:rsidRPr="00387AB6" w:rsidR="00453A47" w:rsidP="00453A47" w:rsidRDefault="00453A47" w14:paraId="380DEBD0"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62" w:type="dxa"/>
            <w:tcBorders>
              <w:top w:val="nil"/>
              <w:left w:val="nil"/>
              <w:bottom w:val="single" w:color="auto" w:sz="4" w:space="0"/>
              <w:right w:val="nil"/>
            </w:tcBorders>
            <w:shd w:val="clear" w:color="auto" w:fill="auto"/>
            <w:noWrap/>
            <w:vAlign w:val="bottom"/>
            <w:hideMark/>
          </w:tcPr>
          <w:p w:rsidRPr="00387AB6" w:rsidR="00453A47" w:rsidP="00453A47" w:rsidRDefault="00453A47" w14:paraId="091C4FCD"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1" w:type="dxa"/>
            <w:tcBorders>
              <w:top w:val="nil"/>
              <w:left w:val="nil"/>
              <w:bottom w:val="single" w:color="auto" w:sz="4" w:space="0"/>
              <w:right w:val="nil"/>
            </w:tcBorders>
            <w:shd w:val="clear" w:color="auto" w:fill="auto"/>
            <w:noWrap/>
            <w:vAlign w:val="bottom"/>
            <w:hideMark/>
          </w:tcPr>
          <w:p w:rsidRPr="00387AB6" w:rsidR="00453A47" w:rsidP="00453A47" w:rsidRDefault="00453A47" w14:paraId="1E2E18A8"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62" w:type="dxa"/>
            <w:tcBorders>
              <w:top w:val="nil"/>
              <w:left w:val="double" w:color="auto" w:sz="6" w:space="0"/>
              <w:bottom w:val="single" w:color="auto" w:sz="4" w:space="0"/>
              <w:right w:val="single" w:color="auto" w:sz="4" w:space="0"/>
            </w:tcBorders>
            <w:shd w:val="clear" w:color="auto" w:fill="auto"/>
            <w:noWrap/>
            <w:vAlign w:val="bottom"/>
            <w:hideMark/>
          </w:tcPr>
          <w:p w:rsidRPr="00387AB6" w:rsidR="00453A47" w:rsidP="00453A47" w:rsidRDefault="00453A47" w14:paraId="6974ACCF"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1" w:type="dxa"/>
            <w:tcBorders>
              <w:top w:val="nil"/>
              <w:left w:val="nil"/>
              <w:bottom w:val="single" w:color="auto" w:sz="4" w:space="0"/>
              <w:right w:val="double" w:color="auto" w:sz="6" w:space="0"/>
            </w:tcBorders>
            <w:shd w:val="clear" w:color="auto" w:fill="auto"/>
            <w:noWrap/>
            <w:vAlign w:val="bottom"/>
            <w:hideMark/>
          </w:tcPr>
          <w:p w:rsidRPr="00387AB6" w:rsidR="00453A47" w:rsidP="00453A47" w:rsidRDefault="00453A47" w14:paraId="3C1681DA"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62" w:type="dxa"/>
            <w:tcBorders>
              <w:top w:val="nil"/>
              <w:left w:val="nil"/>
              <w:bottom w:val="single" w:color="auto" w:sz="4" w:space="0"/>
              <w:right w:val="single" w:color="auto" w:sz="4" w:space="0"/>
            </w:tcBorders>
            <w:shd w:val="clear" w:color="auto" w:fill="auto"/>
            <w:noWrap/>
            <w:vAlign w:val="bottom"/>
            <w:hideMark/>
          </w:tcPr>
          <w:p w:rsidRPr="00387AB6" w:rsidR="00453A47" w:rsidP="00453A47" w:rsidRDefault="00453A47" w14:paraId="46805D50"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1" w:type="dxa"/>
            <w:tcBorders>
              <w:top w:val="nil"/>
              <w:left w:val="nil"/>
              <w:bottom w:val="single" w:color="auto" w:sz="4" w:space="0"/>
              <w:right w:val="single" w:color="auto" w:sz="8" w:space="0"/>
            </w:tcBorders>
            <w:shd w:val="clear" w:color="auto" w:fill="auto"/>
            <w:noWrap/>
            <w:vAlign w:val="bottom"/>
            <w:hideMark/>
          </w:tcPr>
          <w:p w:rsidRPr="00387AB6" w:rsidR="00453A47" w:rsidP="00453A47" w:rsidRDefault="00453A47" w14:paraId="4588AD17"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r>
      <w:tr w:rsidRPr="00387AB6" w:rsidR="00453A47" w:rsidTr="00453A47" w14:paraId="370B8C94" w14:textId="77777777">
        <w:trPr>
          <w:trHeight w:val="309"/>
        </w:trPr>
        <w:tc>
          <w:tcPr>
            <w:tcW w:w="4188" w:type="dxa"/>
            <w:tcBorders>
              <w:top w:val="nil"/>
              <w:left w:val="single" w:color="auto" w:sz="4" w:space="0"/>
              <w:bottom w:val="single" w:color="auto" w:sz="4" w:space="0"/>
              <w:right w:val="single" w:color="auto" w:sz="4" w:space="0"/>
            </w:tcBorders>
            <w:shd w:val="clear" w:color="auto" w:fill="auto"/>
            <w:noWrap/>
            <w:vAlign w:val="bottom"/>
            <w:hideMark/>
          </w:tcPr>
          <w:p w:rsidRPr="00387AB6" w:rsidR="00453A47" w:rsidP="00453A47" w:rsidRDefault="00453A47" w14:paraId="6CE97100"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1990-1995</w:t>
            </w:r>
          </w:p>
        </w:tc>
        <w:tc>
          <w:tcPr>
            <w:tcW w:w="1662" w:type="dxa"/>
            <w:tcBorders>
              <w:top w:val="nil"/>
              <w:left w:val="nil"/>
              <w:bottom w:val="single" w:color="auto" w:sz="4" w:space="0"/>
              <w:right w:val="single" w:color="auto" w:sz="4" w:space="0"/>
            </w:tcBorders>
            <w:shd w:val="clear" w:color="auto" w:fill="auto"/>
            <w:noWrap/>
            <w:vAlign w:val="bottom"/>
            <w:hideMark/>
          </w:tcPr>
          <w:p w:rsidRPr="00387AB6" w:rsidR="00453A47" w:rsidP="00453A47" w:rsidRDefault="00453A47" w14:paraId="52A0F6CC"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1" w:type="dxa"/>
            <w:tcBorders>
              <w:top w:val="nil"/>
              <w:left w:val="nil"/>
              <w:bottom w:val="single" w:color="auto" w:sz="4" w:space="0"/>
              <w:right w:val="double" w:color="auto" w:sz="6" w:space="0"/>
            </w:tcBorders>
            <w:shd w:val="clear" w:color="auto" w:fill="auto"/>
            <w:noWrap/>
            <w:vAlign w:val="bottom"/>
            <w:hideMark/>
          </w:tcPr>
          <w:p w:rsidRPr="00387AB6" w:rsidR="00453A47" w:rsidP="00453A47" w:rsidRDefault="00453A47" w14:paraId="0428DC3C"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62" w:type="dxa"/>
            <w:tcBorders>
              <w:top w:val="nil"/>
              <w:left w:val="nil"/>
              <w:bottom w:val="single" w:color="auto" w:sz="4" w:space="0"/>
              <w:right w:val="nil"/>
            </w:tcBorders>
            <w:shd w:val="clear" w:color="auto" w:fill="auto"/>
            <w:noWrap/>
            <w:vAlign w:val="bottom"/>
            <w:hideMark/>
          </w:tcPr>
          <w:p w:rsidRPr="00387AB6" w:rsidR="00453A47" w:rsidP="00453A47" w:rsidRDefault="00453A47" w14:paraId="2E95A165"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1" w:type="dxa"/>
            <w:tcBorders>
              <w:top w:val="nil"/>
              <w:left w:val="nil"/>
              <w:bottom w:val="single" w:color="auto" w:sz="4" w:space="0"/>
              <w:right w:val="nil"/>
            </w:tcBorders>
            <w:shd w:val="clear" w:color="auto" w:fill="auto"/>
            <w:noWrap/>
            <w:vAlign w:val="bottom"/>
            <w:hideMark/>
          </w:tcPr>
          <w:p w:rsidRPr="00387AB6" w:rsidR="00453A47" w:rsidP="00453A47" w:rsidRDefault="00453A47" w14:paraId="3D5D70FD"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62" w:type="dxa"/>
            <w:tcBorders>
              <w:top w:val="nil"/>
              <w:left w:val="double" w:color="auto" w:sz="6" w:space="0"/>
              <w:bottom w:val="single" w:color="auto" w:sz="4" w:space="0"/>
              <w:right w:val="single" w:color="auto" w:sz="4" w:space="0"/>
            </w:tcBorders>
            <w:shd w:val="clear" w:color="auto" w:fill="auto"/>
            <w:noWrap/>
            <w:vAlign w:val="bottom"/>
            <w:hideMark/>
          </w:tcPr>
          <w:p w:rsidRPr="00387AB6" w:rsidR="00453A47" w:rsidP="00453A47" w:rsidRDefault="00453A47" w14:paraId="44C476D2"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1" w:type="dxa"/>
            <w:tcBorders>
              <w:top w:val="nil"/>
              <w:left w:val="nil"/>
              <w:bottom w:val="single" w:color="auto" w:sz="4" w:space="0"/>
              <w:right w:val="double" w:color="auto" w:sz="6" w:space="0"/>
            </w:tcBorders>
            <w:shd w:val="clear" w:color="auto" w:fill="auto"/>
            <w:noWrap/>
            <w:vAlign w:val="bottom"/>
            <w:hideMark/>
          </w:tcPr>
          <w:p w:rsidRPr="00387AB6" w:rsidR="00453A47" w:rsidP="00453A47" w:rsidRDefault="00453A47" w14:paraId="400F391F"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62" w:type="dxa"/>
            <w:tcBorders>
              <w:top w:val="nil"/>
              <w:left w:val="nil"/>
              <w:bottom w:val="single" w:color="auto" w:sz="4" w:space="0"/>
              <w:right w:val="single" w:color="auto" w:sz="4" w:space="0"/>
            </w:tcBorders>
            <w:shd w:val="clear" w:color="auto" w:fill="auto"/>
            <w:noWrap/>
            <w:vAlign w:val="bottom"/>
            <w:hideMark/>
          </w:tcPr>
          <w:p w:rsidRPr="00387AB6" w:rsidR="00453A47" w:rsidP="00453A47" w:rsidRDefault="00453A47" w14:paraId="230F2425"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1" w:type="dxa"/>
            <w:tcBorders>
              <w:top w:val="nil"/>
              <w:left w:val="nil"/>
              <w:bottom w:val="single" w:color="auto" w:sz="4" w:space="0"/>
              <w:right w:val="single" w:color="auto" w:sz="8" w:space="0"/>
            </w:tcBorders>
            <w:shd w:val="clear" w:color="auto" w:fill="auto"/>
            <w:noWrap/>
            <w:vAlign w:val="bottom"/>
            <w:hideMark/>
          </w:tcPr>
          <w:p w:rsidRPr="00387AB6" w:rsidR="00453A47" w:rsidP="00453A47" w:rsidRDefault="00453A47" w14:paraId="16EA56AB"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r>
      <w:tr w:rsidRPr="00387AB6" w:rsidR="00453A47" w:rsidTr="00453A47" w14:paraId="7AFDF22D" w14:textId="77777777">
        <w:trPr>
          <w:trHeight w:val="309"/>
        </w:trPr>
        <w:tc>
          <w:tcPr>
            <w:tcW w:w="4188" w:type="dxa"/>
            <w:tcBorders>
              <w:top w:val="nil"/>
              <w:left w:val="single" w:color="auto" w:sz="4" w:space="0"/>
              <w:bottom w:val="single" w:color="auto" w:sz="4" w:space="0"/>
              <w:right w:val="single" w:color="auto" w:sz="4" w:space="0"/>
            </w:tcBorders>
            <w:shd w:val="clear" w:color="auto" w:fill="auto"/>
            <w:noWrap/>
            <w:vAlign w:val="bottom"/>
            <w:hideMark/>
          </w:tcPr>
          <w:p w:rsidRPr="00387AB6" w:rsidR="00453A47" w:rsidP="00453A47" w:rsidRDefault="00453A47" w14:paraId="511CD4EB"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1978-1989</w:t>
            </w:r>
          </w:p>
        </w:tc>
        <w:tc>
          <w:tcPr>
            <w:tcW w:w="1662" w:type="dxa"/>
            <w:tcBorders>
              <w:top w:val="nil"/>
              <w:left w:val="nil"/>
              <w:bottom w:val="single" w:color="auto" w:sz="4" w:space="0"/>
              <w:right w:val="single" w:color="auto" w:sz="4" w:space="0"/>
            </w:tcBorders>
            <w:shd w:val="clear" w:color="auto" w:fill="auto"/>
            <w:noWrap/>
            <w:vAlign w:val="bottom"/>
            <w:hideMark/>
          </w:tcPr>
          <w:p w:rsidRPr="00387AB6" w:rsidR="00453A47" w:rsidP="00453A47" w:rsidRDefault="00453A47" w14:paraId="5A211C54"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1" w:type="dxa"/>
            <w:tcBorders>
              <w:top w:val="nil"/>
              <w:left w:val="nil"/>
              <w:bottom w:val="single" w:color="auto" w:sz="4" w:space="0"/>
              <w:right w:val="double" w:color="auto" w:sz="6" w:space="0"/>
            </w:tcBorders>
            <w:shd w:val="clear" w:color="auto" w:fill="auto"/>
            <w:noWrap/>
            <w:vAlign w:val="bottom"/>
            <w:hideMark/>
          </w:tcPr>
          <w:p w:rsidRPr="00387AB6" w:rsidR="00453A47" w:rsidP="00453A47" w:rsidRDefault="00453A47" w14:paraId="43489E01"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62" w:type="dxa"/>
            <w:tcBorders>
              <w:top w:val="nil"/>
              <w:left w:val="nil"/>
              <w:bottom w:val="single" w:color="auto" w:sz="4" w:space="0"/>
              <w:right w:val="nil"/>
            </w:tcBorders>
            <w:shd w:val="clear" w:color="auto" w:fill="auto"/>
            <w:noWrap/>
            <w:vAlign w:val="bottom"/>
            <w:hideMark/>
          </w:tcPr>
          <w:p w:rsidRPr="00387AB6" w:rsidR="00453A47" w:rsidP="00453A47" w:rsidRDefault="00453A47" w14:paraId="53E25DE2"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1" w:type="dxa"/>
            <w:tcBorders>
              <w:top w:val="nil"/>
              <w:left w:val="nil"/>
              <w:bottom w:val="single" w:color="auto" w:sz="4" w:space="0"/>
              <w:right w:val="nil"/>
            </w:tcBorders>
            <w:shd w:val="clear" w:color="auto" w:fill="auto"/>
            <w:noWrap/>
            <w:vAlign w:val="bottom"/>
            <w:hideMark/>
          </w:tcPr>
          <w:p w:rsidRPr="00387AB6" w:rsidR="00453A47" w:rsidP="00453A47" w:rsidRDefault="00453A47" w14:paraId="2E3898EB"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62" w:type="dxa"/>
            <w:tcBorders>
              <w:top w:val="nil"/>
              <w:left w:val="double" w:color="auto" w:sz="6" w:space="0"/>
              <w:bottom w:val="single" w:color="auto" w:sz="4" w:space="0"/>
              <w:right w:val="single" w:color="auto" w:sz="4" w:space="0"/>
            </w:tcBorders>
            <w:shd w:val="clear" w:color="auto" w:fill="auto"/>
            <w:noWrap/>
            <w:vAlign w:val="bottom"/>
            <w:hideMark/>
          </w:tcPr>
          <w:p w:rsidRPr="00387AB6" w:rsidR="00453A47" w:rsidP="00453A47" w:rsidRDefault="00453A47" w14:paraId="4C4F45D7"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1" w:type="dxa"/>
            <w:tcBorders>
              <w:top w:val="nil"/>
              <w:left w:val="nil"/>
              <w:bottom w:val="single" w:color="auto" w:sz="4" w:space="0"/>
              <w:right w:val="double" w:color="auto" w:sz="6" w:space="0"/>
            </w:tcBorders>
            <w:shd w:val="clear" w:color="auto" w:fill="auto"/>
            <w:noWrap/>
            <w:vAlign w:val="bottom"/>
            <w:hideMark/>
          </w:tcPr>
          <w:p w:rsidRPr="00387AB6" w:rsidR="00453A47" w:rsidP="00453A47" w:rsidRDefault="00453A47" w14:paraId="1837141D"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62" w:type="dxa"/>
            <w:tcBorders>
              <w:top w:val="nil"/>
              <w:left w:val="nil"/>
              <w:bottom w:val="single" w:color="auto" w:sz="4" w:space="0"/>
              <w:right w:val="single" w:color="auto" w:sz="4" w:space="0"/>
            </w:tcBorders>
            <w:shd w:val="clear" w:color="auto" w:fill="auto"/>
            <w:noWrap/>
            <w:vAlign w:val="bottom"/>
            <w:hideMark/>
          </w:tcPr>
          <w:p w:rsidRPr="00387AB6" w:rsidR="00453A47" w:rsidP="00453A47" w:rsidRDefault="00453A47" w14:paraId="140B4932"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1" w:type="dxa"/>
            <w:tcBorders>
              <w:top w:val="nil"/>
              <w:left w:val="nil"/>
              <w:bottom w:val="single" w:color="auto" w:sz="4" w:space="0"/>
              <w:right w:val="single" w:color="auto" w:sz="8" w:space="0"/>
            </w:tcBorders>
            <w:shd w:val="clear" w:color="auto" w:fill="auto"/>
            <w:noWrap/>
            <w:vAlign w:val="bottom"/>
            <w:hideMark/>
          </w:tcPr>
          <w:p w:rsidRPr="00387AB6" w:rsidR="00453A47" w:rsidP="00453A47" w:rsidRDefault="00453A47" w14:paraId="1003C089"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r>
      <w:tr w:rsidRPr="00387AB6" w:rsidR="00453A47" w:rsidTr="00453A47" w14:paraId="71F065CE" w14:textId="77777777">
        <w:trPr>
          <w:trHeight w:val="309"/>
        </w:trPr>
        <w:tc>
          <w:tcPr>
            <w:tcW w:w="4188" w:type="dxa"/>
            <w:tcBorders>
              <w:top w:val="nil"/>
              <w:left w:val="single" w:color="auto" w:sz="4" w:space="0"/>
              <w:bottom w:val="single" w:color="auto" w:sz="4" w:space="0"/>
              <w:right w:val="single" w:color="auto" w:sz="4" w:space="0"/>
            </w:tcBorders>
            <w:shd w:val="clear" w:color="auto" w:fill="auto"/>
            <w:noWrap/>
            <w:vAlign w:val="bottom"/>
            <w:hideMark/>
          </w:tcPr>
          <w:p w:rsidRPr="00387AB6" w:rsidR="00453A47" w:rsidP="00453A47" w:rsidRDefault="00453A47" w14:paraId="7B40A134"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1977-1961</w:t>
            </w:r>
          </w:p>
        </w:tc>
        <w:tc>
          <w:tcPr>
            <w:tcW w:w="1662" w:type="dxa"/>
            <w:tcBorders>
              <w:top w:val="nil"/>
              <w:left w:val="nil"/>
              <w:bottom w:val="single" w:color="auto" w:sz="4" w:space="0"/>
              <w:right w:val="single" w:color="auto" w:sz="4" w:space="0"/>
            </w:tcBorders>
            <w:shd w:val="clear" w:color="auto" w:fill="auto"/>
            <w:noWrap/>
            <w:vAlign w:val="bottom"/>
            <w:hideMark/>
          </w:tcPr>
          <w:p w:rsidRPr="00387AB6" w:rsidR="00453A47" w:rsidP="00453A47" w:rsidRDefault="00453A47" w14:paraId="797547A4"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1" w:type="dxa"/>
            <w:tcBorders>
              <w:top w:val="nil"/>
              <w:left w:val="nil"/>
              <w:bottom w:val="single" w:color="auto" w:sz="4" w:space="0"/>
              <w:right w:val="double" w:color="auto" w:sz="6" w:space="0"/>
            </w:tcBorders>
            <w:shd w:val="clear" w:color="auto" w:fill="auto"/>
            <w:noWrap/>
            <w:vAlign w:val="bottom"/>
            <w:hideMark/>
          </w:tcPr>
          <w:p w:rsidRPr="00387AB6" w:rsidR="00453A47" w:rsidP="00453A47" w:rsidRDefault="00453A47" w14:paraId="234A533E"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62" w:type="dxa"/>
            <w:tcBorders>
              <w:top w:val="nil"/>
              <w:left w:val="nil"/>
              <w:bottom w:val="single" w:color="auto" w:sz="4" w:space="0"/>
              <w:right w:val="nil"/>
            </w:tcBorders>
            <w:shd w:val="clear" w:color="auto" w:fill="auto"/>
            <w:noWrap/>
            <w:vAlign w:val="bottom"/>
            <w:hideMark/>
          </w:tcPr>
          <w:p w:rsidRPr="00387AB6" w:rsidR="00453A47" w:rsidP="00453A47" w:rsidRDefault="00453A47" w14:paraId="75684451"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1" w:type="dxa"/>
            <w:tcBorders>
              <w:top w:val="nil"/>
              <w:left w:val="nil"/>
              <w:bottom w:val="single" w:color="auto" w:sz="4" w:space="0"/>
              <w:right w:val="nil"/>
            </w:tcBorders>
            <w:shd w:val="clear" w:color="auto" w:fill="auto"/>
            <w:noWrap/>
            <w:vAlign w:val="bottom"/>
            <w:hideMark/>
          </w:tcPr>
          <w:p w:rsidRPr="00387AB6" w:rsidR="00453A47" w:rsidP="00453A47" w:rsidRDefault="00453A47" w14:paraId="3C11CC9D"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62" w:type="dxa"/>
            <w:tcBorders>
              <w:top w:val="nil"/>
              <w:left w:val="double" w:color="auto" w:sz="6" w:space="0"/>
              <w:bottom w:val="single" w:color="auto" w:sz="4" w:space="0"/>
              <w:right w:val="single" w:color="auto" w:sz="4" w:space="0"/>
            </w:tcBorders>
            <w:shd w:val="clear" w:color="auto" w:fill="auto"/>
            <w:noWrap/>
            <w:vAlign w:val="bottom"/>
            <w:hideMark/>
          </w:tcPr>
          <w:p w:rsidRPr="00387AB6" w:rsidR="00453A47" w:rsidP="00453A47" w:rsidRDefault="00453A47" w14:paraId="11E3802D"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1" w:type="dxa"/>
            <w:tcBorders>
              <w:top w:val="nil"/>
              <w:left w:val="nil"/>
              <w:bottom w:val="single" w:color="auto" w:sz="4" w:space="0"/>
              <w:right w:val="double" w:color="auto" w:sz="6" w:space="0"/>
            </w:tcBorders>
            <w:shd w:val="clear" w:color="auto" w:fill="auto"/>
            <w:noWrap/>
            <w:vAlign w:val="bottom"/>
            <w:hideMark/>
          </w:tcPr>
          <w:p w:rsidRPr="00387AB6" w:rsidR="00453A47" w:rsidP="00453A47" w:rsidRDefault="00453A47" w14:paraId="5FB8E95B"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62" w:type="dxa"/>
            <w:tcBorders>
              <w:top w:val="nil"/>
              <w:left w:val="nil"/>
              <w:bottom w:val="single" w:color="auto" w:sz="4" w:space="0"/>
              <w:right w:val="single" w:color="auto" w:sz="4" w:space="0"/>
            </w:tcBorders>
            <w:shd w:val="clear" w:color="auto" w:fill="auto"/>
            <w:noWrap/>
            <w:vAlign w:val="bottom"/>
            <w:hideMark/>
          </w:tcPr>
          <w:p w:rsidRPr="00387AB6" w:rsidR="00453A47" w:rsidP="00453A47" w:rsidRDefault="00453A47" w14:paraId="53DD2BF0"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1" w:type="dxa"/>
            <w:tcBorders>
              <w:top w:val="nil"/>
              <w:left w:val="nil"/>
              <w:bottom w:val="single" w:color="auto" w:sz="4" w:space="0"/>
              <w:right w:val="single" w:color="auto" w:sz="8" w:space="0"/>
            </w:tcBorders>
            <w:shd w:val="clear" w:color="auto" w:fill="auto"/>
            <w:noWrap/>
            <w:vAlign w:val="bottom"/>
            <w:hideMark/>
          </w:tcPr>
          <w:p w:rsidRPr="00387AB6" w:rsidR="00453A47" w:rsidP="00453A47" w:rsidRDefault="00453A47" w14:paraId="66EB74E5"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r>
      <w:tr w:rsidRPr="00387AB6" w:rsidR="00453A47" w:rsidTr="00453A47" w14:paraId="15ABCA95" w14:textId="77777777">
        <w:trPr>
          <w:trHeight w:val="325"/>
        </w:trPr>
        <w:tc>
          <w:tcPr>
            <w:tcW w:w="4188" w:type="dxa"/>
            <w:tcBorders>
              <w:top w:val="nil"/>
              <w:left w:val="single" w:color="auto" w:sz="4" w:space="0"/>
              <w:bottom w:val="single" w:color="auto" w:sz="4" w:space="0"/>
              <w:right w:val="single" w:color="auto" w:sz="4" w:space="0"/>
            </w:tcBorders>
            <w:shd w:val="clear" w:color="auto" w:fill="auto"/>
            <w:noWrap/>
            <w:vAlign w:val="bottom"/>
            <w:hideMark/>
          </w:tcPr>
          <w:p w:rsidRPr="00387AB6" w:rsidR="00453A47" w:rsidP="00453A47" w:rsidRDefault="00453A47" w14:paraId="2E7E9044"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1960 and before</w:t>
            </w:r>
          </w:p>
        </w:tc>
        <w:tc>
          <w:tcPr>
            <w:tcW w:w="1662" w:type="dxa"/>
            <w:tcBorders>
              <w:top w:val="nil"/>
              <w:left w:val="nil"/>
              <w:bottom w:val="single" w:color="auto" w:sz="8" w:space="0"/>
              <w:right w:val="single" w:color="auto" w:sz="4" w:space="0"/>
            </w:tcBorders>
            <w:shd w:val="clear" w:color="auto" w:fill="auto"/>
            <w:noWrap/>
            <w:vAlign w:val="bottom"/>
            <w:hideMark/>
          </w:tcPr>
          <w:p w:rsidRPr="00387AB6" w:rsidR="00453A47" w:rsidP="00453A47" w:rsidRDefault="00453A47" w14:paraId="48714111"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1" w:type="dxa"/>
            <w:tcBorders>
              <w:top w:val="nil"/>
              <w:left w:val="nil"/>
              <w:bottom w:val="single" w:color="auto" w:sz="8" w:space="0"/>
              <w:right w:val="double" w:color="auto" w:sz="6" w:space="0"/>
            </w:tcBorders>
            <w:shd w:val="clear" w:color="auto" w:fill="auto"/>
            <w:noWrap/>
            <w:vAlign w:val="bottom"/>
            <w:hideMark/>
          </w:tcPr>
          <w:p w:rsidRPr="00387AB6" w:rsidR="00453A47" w:rsidP="00453A47" w:rsidRDefault="00453A47" w14:paraId="3BDA0424"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62" w:type="dxa"/>
            <w:tcBorders>
              <w:top w:val="nil"/>
              <w:left w:val="nil"/>
              <w:bottom w:val="single" w:color="auto" w:sz="8" w:space="0"/>
              <w:right w:val="nil"/>
            </w:tcBorders>
            <w:shd w:val="clear" w:color="auto" w:fill="auto"/>
            <w:noWrap/>
            <w:vAlign w:val="bottom"/>
            <w:hideMark/>
          </w:tcPr>
          <w:p w:rsidRPr="00387AB6" w:rsidR="00453A47" w:rsidP="00453A47" w:rsidRDefault="00453A47" w14:paraId="35DDA030"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1" w:type="dxa"/>
            <w:tcBorders>
              <w:top w:val="nil"/>
              <w:left w:val="nil"/>
              <w:bottom w:val="single" w:color="auto" w:sz="8" w:space="0"/>
              <w:right w:val="nil"/>
            </w:tcBorders>
            <w:shd w:val="clear" w:color="auto" w:fill="auto"/>
            <w:noWrap/>
            <w:vAlign w:val="bottom"/>
            <w:hideMark/>
          </w:tcPr>
          <w:p w:rsidRPr="00387AB6" w:rsidR="00453A47" w:rsidP="00453A47" w:rsidRDefault="00453A47" w14:paraId="12571361"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62" w:type="dxa"/>
            <w:tcBorders>
              <w:top w:val="nil"/>
              <w:left w:val="double" w:color="auto" w:sz="6" w:space="0"/>
              <w:bottom w:val="single" w:color="auto" w:sz="8" w:space="0"/>
              <w:right w:val="single" w:color="auto" w:sz="4" w:space="0"/>
            </w:tcBorders>
            <w:shd w:val="clear" w:color="auto" w:fill="auto"/>
            <w:noWrap/>
            <w:vAlign w:val="bottom"/>
            <w:hideMark/>
          </w:tcPr>
          <w:p w:rsidRPr="00387AB6" w:rsidR="00453A47" w:rsidP="00453A47" w:rsidRDefault="00453A47" w14:paraId="318F1DB9"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1" w:type="dxa"/>
            <w:tcBorders>
              <w:top w:val="nil"/>
              <w:left w:val="nil"/>
              <w:bottom w:val="single" w:color="auto" w:sz="8" w:space="0"/>
              <w:right w:val="double" w:color="auto" w:sz="6" w:space="0"/>
            </w:tcBorders>
            <w:shd w:val="clear" w:color="auto" w:fill="auto"/>
            <w:noWrap/>
            <w:vAlign w:val="bottom"/>
            <w:hideMark/>
          </w:tcPr>
          <w:p w:rsidRPr="00387AB6" w:rsidR="00453A47" w:rsidP="00453A47" w:rsidRDefault="00453A47" w14:paraId="5A73FF7F"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62" w:type="dxa"/>
            <w:tcBorders>
              <w:top w:val="nil"/>
              <w:left w:val="nil"/>
              <w:bottom w:val="single" w:color="auto" w:sz="8" w:space="0"/>
              <w:right w:val="single" w:color="auto" w:sz="4" w:space="0"/>
            </w:tcBorders>
            <w:shd w:val="clear" w:color="auto" w:fill="auto"/>
            <w:noWrap/>
            <w:vAlign w:val="bottom"/>
            <w:hideMark/>
          </w:tcPr>
          <w:p w:rsidRPr="00387AB6" w:rsidR="00453A47" w:rsidP="00453A47" w:rsidRDefault="00453A47" w14:paraId="2F1D9B4E"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91" w:type="dxa"/>
            <w:tcBorders>
              <w:top w:val="nil"/>
              <w:left w:val="nil"/>
              <w:bottom w:val="single" w:color="auto" w:sz="8" w:space="0"/>
              <w:right w:val="single" w:color="auto" w:sz="8" w:space="0"/>
            </w:tcBorders>
            <w:shd w:val="clear" w:color="auto" w:fill="auto"/>
            <w:noWrap/>
            <w:vAlign w:val="bottom"/>
            <w:hideMark/>
          </w:tcPr>
          <w:p w:rsidRPr="00387AB6" w:rsidR="00453A47" w:rsidP="00453A47" w:rsidRDefault="00453A47" w14:paraId="1DDBD5F5"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r>
    </w:tbl>
    <w:p w:rsidRPr="00387AB6" w:rsidR="00453A47" w:rsidP="006E00D4" w:rsidRDefault="00453A47" w14:paraId="0F086D5D" w14:textId="4101C09F">
      <w:pPr>
        <w:rPr>
          <w:rFonts w:ascii="Palatino Linotype" w:hAnsi="Palatino Linotype"/>
          <w:sz w:val="24"/>
          <w:szCs w:val="24"/>
        </w:rPr>
      </w:pPr>
      <w:r w:rsidRPr="00387AB6">
        <w:rPr>
          <w:rFonts w:ascii="Palatino Linotype" w:hAnsi="Palatino Linotype"/>
          <w:sz w:val="24"/>
          <w:szCs w:val="24"/>
        </w:rPr>
        <w:br w:type="page"/>
      </w:r>
    </w:p>
    <w:tbl>
      <w:tblPr>
        <w:tblW w:w="17275" w:type="dxa"/>
        <w:tblLook w:val="04A0" w:firstRow="1" w:lastRow="0" w:firstColumn="1" w:lastColumn="0" w:noHBand="0" w:noVBand="1"/>
      </w:tblPr>
      <w:tblGrid>
        <w:gridCol w:w="3864"/>
        <w:gridCol w:w="1699"/>
        <w:gridCol w:w="1653"/>
        <w:gridCol w:w="1699"/>
        <w:gridCol w:w="1653"/>
        <w:gridCol w:w="1699"/>
        <w:gridCol w:w="1653"/>
        <w:gridCol w:w="1699"/>
        <w:gridCol w:w="1652"/>
        <w:gridCol w:w="6"/>
      </w:tblGrid>
      <w:tr w:rsidRPr="00387AB6" w:rsidR="00453A47" w:rsidTr="00387AB6" w14:paraId="1373C3B3" w14:textId="77777777">
        <w:trPr>
          <w:trHeight w:val="384"/>
        </w:trPr>
        <w:tc>
          <w:tcPr>
            <w:tcW w:w="17275" w:type="dxa"/>
            <w:gridSpan w:val="10"/>
            <w:tcBorders>
              <w:top w:val="single" w:color="auto" w:sz="4" w:space="0"/>
              <w:left w:val="single" w:color="auto" w:sz="4" w:space="0"/>
              <w:bottom w:val="single" w:color="auto" w:sz="4" w:space="0"/>
              <w:right w:val="single" w:color="auto" w:sz="4" w:space="0"/>
            </w:tcBorders>
            <w:shd w:val="clear" w:color="000000" w:fill="A9D08E"/>
            <w:noWrap/>
            <w:vAlign w:val="bottom"/>
            <w:hideMark/>
          </w:tcPr>
          <w:p w:rsidRPr="00387AB6" w:rsidR="00453A47" w:rsidP="00453A47" w:rsidRDefault="00453A47" w14:paraId="7F05900A" w14:textId="445E200E">
            <w:pPr>
              <w:rPr>
                <w:rFonts w:ascii="Palatino Linotype" w:hAnsi="Palatino Linotype" w:cs="Calibri"/>
                <w:b/>
                <w:bCs/>
                <w:color w:val="000000"/>
                <w:sz w:val="24"/>
                <w:szCs w:val="24"/>
              </w:rPr>
            </w:pPr>
            <w:r w:rsidRPr="00387AB6">
              <w:rPr>
                <w:rFonts w:ascii="Palatino Linotype" w:hAnsi="Palatino Linotype" w:cs="Calibri"/>
                <w:b/>
                <w:bCs/>
                <w:color w:val="000000"/>
                <w:sz w:val="24"/>
                <w:szCs w:val="24"/>
              </w:rPr>
              <w:lastRenderedPageBreak/>
              <w:t>Average Annual Energy Use of CARE Customers by Age of Dwelling (Year of Meter Installation)</w:t>
            </w:r>
          </w:p>
        </w:tc>
      </w:tr>
      <w:tr w:rsidRPr="00387AB6" w:rsidR="00453A47" w:rsidTr="00387AB6" w14:paraId="5F2D23D2" w14:textId="77777777">
        <w:trPr>
          <w:trHeight w:val="365"/>
        </w:trPr>
        <w:tc>
          <w:tcPr>
            <w:tcW w:w="3864" w:type="dxa"/>
            <w:tcBorders>
              <w:top w:val="nil"/>
              <w:left w:val="single" w:color="auto" w:sz="4" w:space="0"/>
              <w:bottom w:val="single" w:color="auto" w:sz="4" w:space="0"/>
              <w:right w:val="single" w:color="auto" w:sz="4" w:space="0"/>
            </w:tcBorders>
            <w:shd w:val="clear" w:color="auto" w:fill="auto"/>
            <w:noWrap/>
            <w:vAlign w:val="bottom"/>
            <w:hideMark/>
          </w:tcPr>
          <w:p w:rsidRPr="00387AB6" w:rsidR="00453A47" w:rsidP="00453A47" w:rsidRDefault="00453A47" w14:paraId="5B276B70" w14:textId="77777777">
            <w:pPr>
              <w:rPr>
                <w:rFonts w:ascii="Palatino Linotype" w:hAnsi="Palatino Linotype" w:cs="Calibri"/>
                <w:b/>
                <w:bCs/>
                <w:color w:val="000000"/>
                <w:sz w:val="24"/>
                <w:szCs w:val="24"/>
              </w:rPr>
            </w:pPr>
            <w:r w:rsidRPr="00387AB6">
              <w:rPr>
                <w:rFonts w:ascii="Palatino Linotype" w:hAnsi="Palatino Linotype" w:cs="Calibri"/>
                <w:b/>
                <w:bCs/>
                <w:color w:val="000000"/>
                <w:sz w:val="24"/>
                <w:szCs w:val="24"/>
              </w:rPr>
              <w:t xml:space="preserve">Climate Zone </w:t>
            </w:r>
            <w:r w:rsidRPr="00387AB6">
              <w:rPr>
                <w:rFonts w:ascii="Times New Roman" w:hAnsi="Times New Roman"/>
                <w:b/>
                <w:bCs/>
                <w:color w:val="000000"/>
                <w:sz w:val="24"/>
                <w:szCs w:val="24"/>
              </w:rPr>
              <w:t>→</w:t>
            </w:r>
          </w:p>
        </w:tc>
        <w:tc>
          <w:tcPr>
            <w:tcW w:w="13411" w:type="dxa"/>
            <w:gridSpan w:val="9"/>
            <w:tcBorders>
              <w:top w:val="single" w:color="auto" w:sz="8" w:space="0"/>
              <w:left w:val="single" w:color="auto" w:sz="8" w:space="0"/>
              <w:bottom w:val="nil"/>
              <w:right w:val="single" w:color="000000" w:sz="8" w:space="0"/>
            </w:tcBorders>
            <w:shd w:val="clear" w:color="auto" w:fill="auto"/>
            <w:noWrap/>
            <w:vAlign w:val="bottom"/>
            <w:hideMark/>
          </w:tcPr>
          <w:p w:rsidRPr="00387AB6" w:rsidR="00453A47" w:rsidP="00453A47" w:rsidRDefault="00573A19" w14:paraId="1251977C" w14:textId="49D1C526">
            <w:pPr>
              <w:jc w:val="center"/>
              <w:rPr>
                <w:rFonts w:ascii="Palatino Linotype" w:hAnsi="Palatino Linotype" w:cs="Calibri"/>
                <w:b/>
                <w:bCs/>
                <w:color w:val="000000"/>
                <w:sz w:val="24"/>
                <w:szCs w:val="24"/>
              </w:rPr>
            </w:pPr>
            <w:r w:rsidRPr="00387AB6">
              <w:rPr>
                <w:rFonts w:ascii="Palatino Linotype" w:hAnsi="Palatino Linotype" w:cs="Calibri"/>
                <w:b/>
                <w:bCs/>
                <w:color w:val="000000"/>
                <w:sz w:val="24"/>
                <w:szCs w:val="24"/>
              </w:rPr>
              <w:t xml:space="preserve">CZ [-]    </w:t>
            </w:r>
            <w:r w:rsidRPr="00387AB6">
              <w:rPr>
                <w:rFonts w:ascii="Palatino Linotype" w:hAnsi="Palatino Linotype" w:cs="Calibri"/>
                <w:b/>
                <w:bCs/>
                <w:i/>
                <w:iCs/>
                <w:color w:val="000000"/>
                <w:sz w:val="24"/>
                <w:szCs w:val="24"/>
              </w:rPr>
              <w:t>(Add Columns for CZs in your service territory)</w:t>
            </w:r>
          </w:p>
        </w:tc>
      </w:tr>
      <w:tr w:rsidRPr="00387AB6" w:rsidR="00453A47" w:rsidTr="00387AB6" w14:paraId="4D0960F3" w14:textId="77777777">
        <w:trPr>
          <w:trHeight w:val="365"/>
        </w:trPr>
        <w:tc>
          <w:tcPr>
            <w:tcW w:w="3864" w:type="dxa"/>
            <w:tcBorders>
              <w:top w:val="nil"/>
              <w:left w:val="single" w:color="auto" w:sz="4" w:space="0"/>
              <w:bottom w:val="single" w:color="auto" w:sz="4" w:space="0"/>
              <w:right w:val="single" w:color="auto" w:sz="4" w:space="0"/>
            </w:tcBorders>
            <w:shd w:val="clear" w:color="auto" w:fill="auto"/>
            <w:noWrap/>
            <w:vAlign w:val="bottom"/>
            <w:hideMark/>
          </w:tcPr>
          <w:p w:rsidRPr="00387AB6" w:rsidR="00453A47" w:rsidP="00453A47" w:rsidRDefault="00453A47" w14:paraId="61C41CD5"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 </w:t>
            </w:r>
          </w:p>
        </w:tc>
        <w:tc>
          <w:tcPr>
            <w:tcW w:w="3352" w:type="dxa"/>
            <w:gridSpan w:val="2"/>
            <w:tcBorders>
              <w:top w:val="single" w:color="auto" w:sz="4" w:space="0"/>
              <w:left w:val="single" w:color="auto" w:sz="8" w:space="0"/>
              <w:bottom w:val="single" w:color="auto" w:sz="4" w:space="0"/>
              <w:right w:val="single" w:color="auto" w:sz="4" w:space="0"/>
            </w:tcBorders>
            <w:shd w:val="clear" w:color="auto" w:fill="auto"/>
            <w:noWrap/>
            <w:vAlign w:val="bottom"/>
            <w:hideMark/>
          </w:tcPr>
          <w:p w:rsidRPr="00387AB6" w:rsidR="00453A47" w:rsidP="00453A47" w:rsidRDefault="00453A47" w14:paraId="3B9306A6"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All-Electric</w:t>
            </w:r>
          </w:p>
        </w:tc>
        <w:tc>
          <w:tcPr>
            <w:tcW w:w="3352" w:type="dxa"/>
            <w:gridSpan w:val="2"/>
            <w:tcBorders>
              <w:top w:val="single" w:color="auto" w:sz="4" w:space="0"/>
              <w:left w:val="nil"/>
              <w:bottom w:val="single" w:color="auto" w:sz="4" w:space="0"/>
              <w:right w:val="single" w:color="000000" w:sz="4" w:space="0"/>
            </w:tcBorders>
            <w:shd w:val="clear" w:color="auto" w:fill="auto"/>
            <w:noWrap/>
            <w:vAlign w:val="bottom"/>
            <w:hideMark/>
          </w:tcPr>
          <w:p w:rsidRPr="00387AB6" w:rsidR="00453A47" w:rsidP="00453A47" w:rsidRDefault="00453A47" w14:paraId="1272DE08"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Electric Space Heating</w:t>
            </w:r>
          </w:p>
        </w:tc>
        <w:tc>
          <w:tcPr>
            <w:tcW w:w="3352" w:type="dxa"/>
            <w:gridSpan w:val="2"/>
            <w:tcBorders>
              <w:top w:val="single" w:color="auto" w:sz="4" w:space="0"/>
              <w:left w:val="nil"/>
              <w:bottom w:val="single" w:color="auto" w:sz="4" w:space="0"/>
              <w:right w:val="single" w:color="auto" w:sz="4" w:space="0"/>
            </w:tcBorders>
            <w:shd w:val="clear" w:color="auto" w:fill="auto"/>
            <w:noWrap/>
            <w:vAlign w:val="bottom"/>
            <w:hideMark/>
          </w:tcPr>
          <w:p w:rsidRPr="00387AB6" w:rsidR="00453A47" w:rsidP="00453A47" w:rsidRDefault="00453A47" w14:paraId="5BBC9692"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Dual Fuel</w:t>
            </w:r>
          </w:p>
        </w:tc>
        <w:tc>
          <w:tcPr>
            <w:tcW w:w="3352" w:type="dxa"/>
            <w:gridSpan w:val="3"/>
            <w:tcBorders>
              <w:top w:val="single" w:color="auto" w:sz="4" w:space="0"/>
              <w:left w:val="nil"/>
              <w:bottom w:val="single" w:color="auto" w:sz="4" w:space="0"/>
              <w:right w:val="single" w:color="000000" w:sz="8" w:space="0"/>
            </w:tcBorders>
            <w:shd w:val="clear" w:color="auto" w:fill="auto"/>
            <w:noWrap/>
            <w:vAlign w:val="bottom"/>
            <w:hideMark/>
          </w:tcPr>
          <w:p w:rsidRPr="00387AB6" w:rsidR="00453A47" w:rsidP="00453A47" w:rsidRDefault="00453A47" w14:paraId="6CE94BAF"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Gas Only</w:t>
            </w:r>
          </w:p>
        </w:tc>
      </w:tr>
      <w:tr w:rsidRPr="00387AB6" w:rsidR="00453A47" w:rsidTr="00387AB6" w14:paraId="6D327BCA" w14:textId="77777777">
        <w:trPr>
          <w:gridAfter w:val="1"/>
          <w:wAfter w:w="7" w:type="dxa"/>
          <w:trHeight w:val="365"/>
        </w:trPr>
        <w:tc>
          <w:tcPr>
            <w:tcW w:w="3864" w:type="dxa"/>
            <w:tcBorders>
              <w:top w:val="nil"/>
              <w:left w:val="single" w:color="auto" w:sz="4" w:space="0"/>
              <w:bottom w:val="single" w:color="auto" w:sz="4" w:space="0"/>
              <w:right w:val="single" w:color="auto" w:sz="4" w:space="0"/>
            </w:tcBorders>
            <w:shd w:val="clear" w:color="auto" w:fill="auto"/>
            <w:noWrap/>
            <w:vAlign w:val="bottom"/>
            <w:hideMark/>
          </w:tcPr>
          <w:p w:rsidRPr="00387AB6" w:rsidR="00453A47" w:rsidP="00453A47" w:rsidRDefault="00453A47" w14:paraId="7BD92529" w14:textId="77777777">
            <w:pPr>
              <w:rPr>
                <w:rFonts w:ascii="Palatino Linotype" w:hAnsi="Palatino Linotype" w:cs="Calibri"/>
                <w:b/>
                <w:bCs/>
                <w:color w:val="000000"/>
                <w:sz w:val="24"/>
                <w:szCs w:val="24"/>
              </w:rPr>
            </w:pPr>
            <w:r w:rsidRPr="00387AB6">
              <w:rPr>
                <w:rFonts w:ascii="Palatino Linotype" w:hAnsi="Palatino Linotype" w:cs="Calibri"/>
                <w:b/>
                <w:bCs/>
                <w:color w:val="000000"/>
                <w:sz w:val="24"/>
                <w:szCs w:val="24"/>
              </w:rPr>
              <w:t xml:space="preserve">Year of Meter Installation </w:t>
            </w:r>
            <w:r w:rsidRPr="00387AB6">
              <w:rPr>
                <w:rFonts w:ascii="Times New Roman" w:hAnsi="Times New Roman"/>
                <w:b/>
                <w:bCs/>
                <w:color w:val="000000"/>
                <w:sz w:val="24"/>
                <w:szCs w:val="24"/>
              </w:rPr>
              <w:t>↓</w:t>
            </w:r>
          </w:p>
        </w:tc>
        <w:tc>
          <w:tcPr>
            <w:tcW w:w="1699" w:type="dxa"/>
            <w:tcBorders>
              <w:top w:val="nil"/>
              <w:left w:val="nil"/>
              <w:bottom w:val="nil"/>
              <w:right w:val="single" w:color="auto" w:sz="4" w:space="0"/>
            </w:tcBorders>
            <w:shd w:val="clear" w:color="auto" w:fill="auto"/>
            <w:noWrap/>
            <w:vAlign w:val="bottom"/>
            <w:hideMark/>
          </w:tcPr>
          <w:p w:rsidRPr="00387AB6" w:rsidR="00453A47" w:rsidP="00453A47" w:rsidRDefault="00453A47" w14:paraId="5473A2C2"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Singlefamily</w:t>
            </w:r>
          </w:p>
        </w:tc>
        <w:tc>
          <w:tcPr>
            <w:tcW w:w="1652" w:type="dxa"/>
            <w:tcBorders>
              <w:top w:val="nil"/>
              <w:left w:val="nil"/>
              <w:bottom w:val="single" w:color="auto" w:sz="4" w:space="0"/>
              <w:right w:val="nil"/>
            </w:tcBorders>
            <w:shd w:val="clear" w:color="auto" w:fill="auto"/>
            <w:noWrap/>
            <w:vAlign w:val="bottom"/>
            <w:hideMark/>
          </w:tcPr>
          <w:p w:rsidRPr="00387AB6" w:rsidR="00453A47" w:rsidP="00453A47" w:rsidRDefault="00453A47" w14:paraId="7337D8E5"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Multifamily</w:t>
            </w:r>
          </w:p>
        </w:tc>
        <w:tc>
          <w:tcPr>
            <w:tcW w:w="1699" w:type="dxa"/>
            <w:tcBorders>
              <w:top w:val="nil"/>
              <w:left w:val="single" w:color="auto" w:sz="4" w:space="0"/>
              <w:bottom w:val="single" w:color="auto" w:sz="4" w:space="0"/>
              <w:right w:val="single" w:color="auto" w:sz="4" w:space="0"/>
            </w:tcBorders>
            <w:shd w:val="clear" w:color="auto" w:fill="auto"/>
            <w:noWrap/>
            <w:vAlign w:val="bottom"/>
            <w:hideMark/>
          </w:tcPr>
          <w:p w:rsidRPr="00387AB6" w:rsidR="00453A47" w:rsidP="00453A47" w:rsidRDefault="00453A47" w14:paraId="4088C306"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Singlefamily</w:t>
            </w:r>
          </w:p>
        </w:tc>
        <w:tc>
          <w:tcPr>
            <w:tcW w:w="1652" w:type="dxa"/>
            <w:tcBorders>
              <w:top w:val="nil"/>
              <w:left w:val="nil"/>
              <w:bottom w:val="single" w:color="auto" w:sz="4" w:space="0"/>
              <w:right w:val="single" w:color="auto" w:sz="4" w:space="0"/>
            </w:tcBorders>
            <w:shd w:val="clear" w:color="auto" w:fill="auto"/>
            <w:noWrap/>
            <w:vAlign w:val="bottom"/>
            <w:hideMark/>
          </w:tcPr>
          <w:p w:rsidRPr="00387AB6" w:rsidR="00453A47" w:rsidP="00453A47" w:rsidRDefault="00453A47" w14:paraId="59AEA481"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Multifamily</w:t>
            </w:r>
          </w:p>
        </w:tc>
        <w:tc>
          <w:tcPr>
            <w:tcW w:w="1699" w:type="dxa"/>
            <w:tcBorders>
              <w:top w:val="nil"/>
              <w:left w:val="nil"/>
              <w:bottom w:val="nil"/>
              <w:right w:val="single" w:color="auto" w:sz="4" w:space="0"/>
            </w:tcBorders>
            <w:shd w:val="clear" w:color="auto" w:fill="auto"/>
            <w:noWrap/>
            <w:vAlign w:val="bottom"/>
            <w:hideMark/>
          </w:tcPr>
          <w:p w:rsidRPr="00387AB6" w:rsidR="00453A47" w:rsidP="00453A47" w:rsidRDefault="00453A47" w14:paraId="1BE9D536"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Singlefamily</w:t>
            </w:r>
          </w:p>
        </w:tc>
        <w:tc>
          <w:tcPr>
            <w:tcW w:w="1652" w:type="dxa"/>
            <w:tcBorders>
              <w:top w:val="nil"/>
              <w:left w:val="nil"/>
              <w:bottom w:val="nil"/>
              <w:right w:val="double" w:color="auto" w:sz="6" w:space="0"/>
            </w:tcBorders>
            <w:shd w:val="clear" w:color="auto" w:fill="auto"/>
            <w:noWrap/>
            <w:vAlign w:val="bottom"/>
            <w:hideMark/>
          </w:tcPr>
          <w:p w:rsidRPr="00387AB6" w:rsidR="00453A47" w:rsidP="00453A47" w:rsidRDefault="00453A47" w14:paraId="74A5451E"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Multifamily</w:t>
            </w:r>
          </w:p>
        </w:tc>
        <w:tc>
          <w:tcPr>
            <w:tcW w:w="1699" w:type="dxa"/>
            <w:tcBorders>
              <w:top w:val="nil"/>
              <w:left w:val="nil"/>
              <w:bottom w:val="single" w:color="auto" w:sz="4" w:space="0"/>
              <w:right w:val="single" w:color="auto" w:sz="4" w:space="0"/>
            </w:tcBorders>
            <w:shd w:val="clear" w:color="auto" w:fill="auto"/>
            <w:noWrap/>
            <w:vAlign w:val="bottom"/>
            <w:hideMark/>
          </w:tcPr>
          <w:p w:rsidRPr="00387AB6" w:rsidR="00453A47" w:rsidP="00453A47" w:rsidRDefault="00453A47" w14:paraId="03597B33"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Singlefamily</w:t>
            </w:r>
          </w:p>
        </w:tc>
        <w:tc>
          <w:tcPr>
            <w:tcW w:w="1652" w:type="dxa"/>
            <w:tcBorders>
              <w:top w:val="nil"/>
              <w:left w:val="nil"/>
              <w:bottom w:val="single" w:color="auto" w:sz="4" w:space="0"/>
              <w:right w:val="single" w:color="auto" w:sz="8" w:space="0"/>
            </w:tcBorders>
            <w:shd w:val="clear" w:color="auto" w:fill="auto"/>
            <w:noWrap/>
            <w:vAlign w:val="bottom"/>
            <w:hideMark/>
          </w:tcPr>
          <w:p w:rsidRPr="00387AB6" w:rsidR="00453A47" w:rsidP="00453A47" w:rsidRDefault="00453A47" w14:paraId="1AD80B34"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Multifamily</w:t>
            </w:r>
          </w:p>
        </w:tc>
      </w:tr>
      <w:tr w:rsidRPr="00387AB6" w:rsidR="00453A47" w:rsidTr="00387AB6" w14:paraId="164F8910" w14:textId="77777777">
        <w:trPr>
          <w:gridAfter w:val="1"/>
          <w:wAfter w:w="7" w:type="dxa"/>
          <w:trHeight w:val="365"/>
        </w:trPr>
        <w:tc>
          <w:tcPr>
            <w:tcW w:w="3864" w:type="dxa"/>
            <w:tcBorders>
              <w:top w:val="nil"/>
              <w:left w:val="single" w:color="auto" w:sz="4" w:space="0"/>
              <w:bottom w:val="single" w:color="auto" w:sz="4" w:space="0"/>
              <w:right w:val="single" w:color="auto" w:sz="4" w:space="0"/>
            </w:tcBorders>
            <w:shd w:val="clear" w:color="auto" w:fill="auto"/>
            <w:noWrap/>
            <w:vAlign w:val="bottom"/>
            <w:hideMark/>
          </w:tcPr>
          <w:p w:rsidRPr="00387AB6" w:rsidR="00453A47" w:rsidP="00453A47" w:rsidRDefault="00453A47" w14:paraId="44C3F389"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2020 and after</w:t>
            </w:r>
          </w:p>
        </w:tc>
        <w:tc>
          <w:tcPr>
            <w:tcW w:w="1699" w:type="dxa"/>
            <w:tcBorders>
              <w:top w:val="single" w:color="auto" w:sz="4" w:space="0"/>
              <w:left w:val="nil"/>
              <w:bottom w:val="single" w:color="auto" w:sz="4" w:space="0"/>
              <w:right w:val="single" w:color="auto" w:sz="4" w:space="0"/>
            </w:tcBorders>
            <w:shd w:val="clear" w:color="auto" w:fill="auto"/>
            <w:vAlign w:val="bottom"/>
            <w:hideMark/>
          </w:tcPr>
          <w:p w:rsidRPr="00387AB6" w:rsidR="00453A47" w:rsidP="00453A47" w:rsidRDefault="00453A47" w14:paraId="2C62B20D"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52" w:type="dxa"/>
            <w:tcBorders>
              <w:top w:val="nil"/>
              <w:left w:val="nil"/>
              <w:bottom w:val="single" w:color="auto" w:sz="4" w:space="0"/>
              <w:right w:val="double" w:color="auto" w:sz="6" w:space="0"/>
            </w:tcBorders>
            <w:shd w:val="clear" w:color="auto" w:fill="auto"/>
            <w:noWrap/>
            <w:vAlign w:val="bottom"/>
            <w:hideMark/>
          </w:tcPr>
          <w:p w:rsidRPr="00387AB6" w:rsidR="00453A47" w:rsidP="00453A47" w:rsidRDefault="00453A47" w14:paraId="61556A0C"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99" w:type="dxa"/>
            <w:tcBorders>
              <w:top w:val="nil"/>
              <w:left w:val="nil"/>
              <w:bottom w:val="single" w:color="auto" w:sz="4" w:space="0"/>
              <w:right w:val="nil"/>
            </w:tcBorders>
            <w:shd w:val="clear" w:color="auto" w:fill="auto"/>
            <w:noWrap/>
            <w:vAlign w:val="bottom"/>
            <w:hideMark/>
          </w:tcPr>
          <w:p w:rsidRPr="00387AB6" w:rsidR="00453A47" w:rsidP="00453A47" w:rsidRDefault="00453A47" w14:paraId="24D23995"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52" w:type="dxa"/>
            <w:tcBorders>
              <w:top w:val="nil"/>
              <w:left w:val="nil"/>
              <w:bottom w:val="single" w:color="auto" w:sz="4" w:space="0"/>
              <w:right w:val="nil"/>
            </w:tcBorders>
            <w:shd w:val="clear" w:color="auto" w:fill="auto"/>
            <w:noWrap/>
            <w:vAlign w:val="bottom"/>
            <w:hideMark/>
          </w:tcPr>
          <w:p w:rsidRPr="00387AB6" w:rsidR="00453A47" w:rsidP="00453A47" w:rsidRDefault="00453A47" w14:paraId="2FF7E032"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99" w:type="dxa"/>
            <w:tcBorders>
              <w:top w:val="single" w:color="auto" w:sz="4" w:space="0"/>
              <w:left w:val="double" w:color="auto" w:sz="6" w:space="0"/>
              <w:bottom w:val="single" w:color="auto" w:sz="4" w:space="0"/>
              <w:right w:val="single" w:color="auto" w:sz="4" w:space="0"/>
            </w:tcBorders>
            <w:shd w:val="clear" w:color="auto" w:fill="auto"/>
            <w:noWrap/>
            <w:vAlign w:val="bottom"/>
            <w:hideMark/>
          </w:tcPr>
          <w:p w:rsidRPr="00387AB6" w:rsidR="00453A47" w:rsidP="00453A47" w:rsidRDefault="00453A47" w14:paraId="5360BA8D"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52" w:type="dxa"/>
            <w:tcBorders>
              <w:top w:val="single" w:color="auto" w:sz="4" w:space="0"/>
              <w:left w:val="nil"/>
              <w:bottom w:val="single" w:color="auto" w:sz="4" w:space="0"/>
              <w:right w:val="double" w:color="auto" w:sz="6" w:space="0"/>
            </w:tcBorders>
            <w:shd w:val="clear" w:color="auto" w:fill="auto"/>
            <w:noWrap/>
            <w:vAlign w:val="bottom"/>
            <w:hideMark/>
          </w:tcPr>
          <w:p w:rsidRPr="00387AB6" w:rsidR="00453A47" w:rsidP="00453A47" w:rsidRDefault="00453A47" w14:paraId="40E18BA3"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99" w:type="dxa"/>
            <w:tcBorders>
              <w:top w:val="nil"/>
              <w:left w:val="nil"/>
              <w:bottom w:val="single" w:color="auto" w:sz="4" w:space="0"/>
              <w:right w:val="single" w:color="auto" w:sz="4" w:space="0"/>
            </w:tcBorders>
            <w:shd w:val="clear" w:color="auto" w:fill="auto"/>
            <w:noWrap/>
            <w:vAlign w:val="bottom"/>
            <w:hideMark/>
          </w:tcPr>
          <w:p w:rsidRPr="00387AB6" w:rsidR="00453A47" w:rsidP="00453A47" w:rsidRDefault="00453A47" w14:paraId="27B6D2F1"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52" w:type="dxa"/>
            <w:tcBorders>
              <w:top w:val="nil"/>
              <w:left w:val="nil"/>
              <w:bottom w:val="single" w:color="auto" w:sz="4" w:space="0"/>
              <w:right w:val="single" w:color="auto" w:sz="8" w:space="0"/>
            </w:tcBorders>
            <w:shd w:val="clear" w:color="auto" w:fill="auto"/>
            <w:noWrap/>
            <w:vAlign w:val="bottom"/>
            <w:hideMark/>
          </w:tcPr>
          <w:p w:rsidRPr="00387AB6" w:rsidR="00453A47" w:rsidP="00453A47" w:rsidRDefault="00453A47" w14:paraId="2BC74284"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r>
      <w:tr w:rsidRPr="00387AB6" w:rsidR="00453A47" w:rsidTr="00387AB6" w14:paraId="698EF690" w14:textId="77777777">
        <w:trPr>
          <w:gridAfter w:val="1"/>
          <w:wAfter w:w="7" w:type="dxa"/>
          <w:trHeight w:val="365"/>
        </w:trPr>
        <w:tc>
          <w:tcPr>
            <w:tcW w:w="3864" w:type="dxa"/>
            <w:tcBorders>
              <w:top w:val="nil"/>
              <w:left w:val="single" w:color="auto" w:sz="4" w:space="0"/>
              <w:bottom w:val="single" w:color="auto" w:sz="4" w:space="0"/>
              <w:right w:val="single" w:color="auto" w:sz="4" w:space="0"/>
            </w:tcBorders>
            <w:shd w:val="clear" w:color="auto" w:fill="auto"/>
            <w:noWrap/>
            <w:vAlign w:val="bottom"/>
            <w:hideMark/>
          </w:tcPr>
          <w:p w:rsidRPr="00387AB6" w:rsidR="00453A47" w:rsidP="00453A47" w:rsidRDefault="00453A47" w14:paraId="0449ECC1"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2014-2019</w:t>
            </w:r>
          </w:p>
        </w:tc>
        <w:tc>
          <w:tcPr>
            <w:tcW w:w="1699" w:type="dxa"/>
            <w:tcBorders>
              <w:top w:val="nil"/>
              <w:left w:val="nil"/>
              <w:bottom w:val="single" w:color="auto" w:sz="4" w:space="0"/>
              <w:right w:val="single" w:color="auto" w:sz="4" w:space="0"/>
            </w:tcBorders>
            <w:shd w:val="clear" w:color="auto" w:fill="auto"/>
            <w:vAlign w:val="bottom"/>
            <w:hideMark/>
          </w:tcPr>
          <w:p w:rsidRPr="00387AB6" w:rsidR="00453A47" w:rsidP="00453A47" w:rsidRDefault="00453A47" w14:paraId="230C5599"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52" w:type="dxa"/>
            <w:tcBorders>
              <w:top w:val="nil"/>
              <w:left w:val="nil"/>
              <w:bottom w:val="single" w:color="auto" w:sz="4" w:space="0"/>
              <w:right w:val="double" w:color="auto" w:sz="6" w:space="0"/>
            </w:tcBorders>
            <w:shd w:val="clear" w:color="auto" w:fill="auto"/>
            <w:noWrap/>
            <w:vAlign w:val="bottom"/>
            <w:hideMark/>
          </w:tcPr>
          <w:p w:rsidRPr="00387AB6" w:rsidR="00453A47" w:rsidP="00453A47" w:rsidRDefault="00453A47" w14:paraId="2B3C8BE0"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99" w:type="dxa"/>
            <w:tcBorders>
              <w:top w:val="nil"/>
              <w:left w:val="nil"/>
              <w:bottom w:val="single" w:color="auto" w:sz="4" w:space="0"/>
              <w:right w:val="nil"/>
            </w:tcBorders>
            <w:shd w:val="clear" w:color="auto" w:fill="auto"/>
            <w:noWrap/>
            <w:vAlign w:val="bottom"/>
            <w:hideMark/>
          </w:tcPr>
          <w:p w:rsidRPr="00387AB6" w:rsidR="00453A47" w:rsidP="00453A47" w:rsidRDefault="00453A47" w14:paraId="4CCEDA2E"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52" w:type="dxa"/>
            <w:tcBorders>
              <w:top w:val="nil"/>
              <w:left w:val="nil"/>
              <w:bottom w:val="single" w:color="auto" w:sz="4" w:space="0"/>
              <w:right w:val="nil"/>
            </w:tcBorders>
            <w:shd w:val="clear" w:color="auto" w:fill="auto"/>
            <w:noWrap/>
            <w:vAlign w:val="bottom"/>
            <w:hideMark/>
          </w:tcPr>
          <w:p w:rsidRPr="00387AB6" w:rsidR="00453A47" w:rsidP="00453A47" w:rsidRDefault="00453A47" w14:paraId="3694ED54"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99" w:type="dxa"/>
            <w:tcBorders>
              <w:top w:val="nil"/>
              <w:left w:val="double" w:color="auto" w:sz="6" w:space="0"/>
              <w:bottom w:val="single" w:color="auto" w:sz="4" w:space="0"/>
              <w:right w:val="single" w:color="auto" w:sz="4" w:space="0"/>
            </w:tcBorders>
            <w:shd w:val="clear" w:color="auto" w:fill="auto"/>
            <w:noWrap/>
            <w:vAlign w:val="bottom"/>
            <w:hideMark/>
          </w:tcPr>
          <w:p w:rsidRPr="00387AB6" w:rsidR="00453A47" w:rsidP="00453A47" w:rsidRDefault="00453A47" w14:paraId="0A618876"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52" w:type="dxa"/>
            <w:tcBorders>
              <w:top w:val="nil"/>
              <w:left w:val="nil"/>
              <w:bottom w:val="single" w:color="auto" w:sz="4" w:space="0"/>
              <w:right w:val="double" w:color="auto" w:sz="6" w:space="0"/>
            </w:tcBorders>
            <w:shd w:val="clear" w:color="auto" w:fill="auto"/>
            <w:noWrap/>
            <w:vAlign w:val="bottom"/>
            <w:hideMark/>
          </w:tcPr>
          <w:p w:rsidRPr="00387AB6" w:rsidR="00453A47" w:rsidP="00453A47" w:rsidRDefault="00453A47" w14:paraId="5ABCBB48"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99" w:type="dxa"/>
            <w:tcBorders>
              <w:top w:val="nil"/>
              <w:left w:val="nil"/>
              <w:bottom w:val="single" w:color="auto" w:sz="4" w:space="0"/>
              <w:right w:val="single" w:color="auto" w:sz="4" w:space="0"/>
            </w:tcBorders>
            <w:shd w:val="clear" w:color="auto" w:fill="auto"/>
            <w:noWrap/>
            <w:vAlign w:val="bottom"/>
            <w:hideMark/>
          </w:tcPr>
          <w:p w:rsidRPr="00387AB6" w:rsidR="00453A47" w:rsidP="00453A47" w:rsidRDefault="00453A47" w14:paraId="15699DA3"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52" w:type="dxa"/>
            <w:tcBorders>
              <w:top w:val="nil"/>
              <w:left w:val="nil"/>
              <w:bottom w:val="single" w:color="auto" w:sz="4" w:space="0"/>
              <w:right w:val="single" w:color="auto" w:sz="8" w:space="0"/>
            </w:tcBorders>
            <w:shd w:val="clear" w:color="auto" w:fill="auto"/>
            <w:noWrap/>
            <w:vAlign w:val="bottom"/>
            <w:hideMark/>
          </w:tcPr>
          <w:p w:rsidRPr="00387AB6" w:rsidR="00453A47" w:rsidP="00453A47" w:rsidRDefault="00453A47" w14:paraId="0FD13FF3"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r>
      <w:tr w:rsidRPr="00387AB6" w:rsidR="00453A47" w:rsidTr="00387AB6" w14:paraId="7C528428" w14:textId="77777777">
        <w:trPr>
          <w:gridAfter w:val="1"/>
          <w:wAfter w:w="7" w:type="dxa"/>
          <w:trHeight w:val="365"/>
        </w:trPr>
        <w:tc>
          <w:tcPr>
            <w:tcW w:w="3864" w:type="dxa"/>
            <w:tcBorders>
              <w:top w:val="nil"/>
              <w:left w:val="single" w:color="auto" w:sz="4" w:space="0"/>
              <w:bottom w:val="single" w:color="auto" w:sz="4" w:space="0"/>
              <w:right w:val="single" w:color="auto" w:sz="4" w:space="0"/>
            </w:tcBorders>
            <w:shd w:val="clear" w:color="auto" w:fill="auto"/>
            <w:noWrap/>
            <w:vAlign w:val="bottom"/>
            <w:hideMark/>
          </w:tcPr>
          <w:p w:rsidRPr="00387AB6" w:rsidR="00453A47" w:rsidP="00453A47" w:rsidRDefault="00453A47" w14:paraId="2C95CF60"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2008-2013</w:t>
            </w:r>
          </w:p>
        </w:tc>
        <w:tc>
          <w:tcPr>
            <w:tcW w:w="1699" w:type="dxa"/>
            <w:tcBorders>
              <w:top w:val="nil"/>
              <w:left w:val="nil"/>
              <w:bottom w:val="single" w:color="auto" w:sz="4" w:space="0"/>
              <w:right w:val="single" w:color="auto" w:sz="4" w:space="0"/>
            </w:tcBorders>
            <w:shd w:val="clear" w:color="auto" w:fill="auto"/>
            <w:vAlign w:val="bottom"/>
            <w:hideMark/>
          </w:tcPr>
          <w:p w:rsidRPr="00387AB6" w:rsidR="00453A47" w:rsidP="00453A47" w:rsidRDefault="00453A47" w14:paraId="0A416048"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52" w:type="dxa"/>
            <w:tcBorders>
              <w:top w:val="nil"/>
              <w:left w:val="nil"/>
              <w:bottom w:val="single" w:color="auto" w:sz="4" w:space="0"/>
              <w:right w:val="double" w:color="auto" w:sz="6" w:space="0"/>
            </w:tcBorders>
            <w:shd w:val="clear" w:color="auto" w:fill="auto"/>
            <w:noWrap/>
            <w:vAlign w:val="bottom"/>
            <w:hideMark/>
          </w:tcPr>
          <w:p w:rsidRPr="00387AB6" w:rsidR="00453A47" w:rsidP="00453A47" w:rsidRDefault="00453A47" w14:paraId="09176BCC"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99" w:type="dxa"/>
            <w:tcBorders>
              <w:top w:val="nil"/>
              <w:left w:val="nil"/>
              <w:bottom w:val="single" w:color="auto" w:sz="4" w:space="0"/>
              <w:right w:val="nil"/>
            </w:tcBorders>
            <w:shd w:val="clear" w:color="auto" w:fill="auto"/>
            <w:noWrap/>
            <w:vAlign w:val="bottom"/>
            <w:hideMark/>
          </w:tcPr>
          <w:p w:rsidRPr="00387AB6" w:rsidR="00453A47" w:rsidP="00453A47" w:rsidRDefault="00453A47" w14:paraId="628F2914"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52" w:type="dxa"/>
            <w:tcBorders>
              <w:top w:val="nil"/>
              <w:left w:val="nil"/>
              <w:bottom w:val="single" w:color="auto" w:sz="4" w:space="0"/>
              <w:right w:val="nil"/>
            </w:tcBorders>
            <w:shd w:val="clear" w:color="auto" w:fill="auto"/>
            <w:noWrap/>
            <w:vAlign w:val="bottom"/>
            <w:hideMark/>
          </w:tcPr>
          <w:p w:rsidRPr="00387AB6" w:rsidR="00453A47" w:rsidP="00453A47" w:rsidRDefault="00453A47" w14:paraId="2927D868"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99" w:type="dxa"/>
            <w:tcBorders>
              <w:top w:val="nil"/>
              <w:left w:val="double" w:color="auto" w:sz="6" w:space="0"/>
              <w:bottom w:val="single" w:color="auto" w:sz="4" w:space="0"/>
              <w:right w:val="single" w:color="auto" w:sz="4" w:space="0"/>
            </w:tcBorders>
            <w:shd w:val="clear" w:color="auto" w:fill="auto"/>
            <w:noWrap/>
            <w:vAlign w:val="bottom"/>
            <w:hideMark/>
          </w:tcPr>
          <w:p w:rsidRPr="00387AB6" w:rsidR="00453A47" w:rsidP="00453A47" w:rsidRDefault="00453A47" w14:paraId="78A5D615"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52" w:type="dxa"/>
            <w:tcBorders>
              <w:top w:val="nil"/>
              <w:left w:val="nil"/>
              <w:bottom w:val="single" w:color="auto" w:sz="4" w:space="0"/>
              <w:right w:val="double" w:color="auto" w:sz="6" w:space="0"/>
            </w:tcBorders>
            <w:shd w:val="clear" w:color="auto" w:fill="auto"/>
            <w:noWrap/>
            <w:vAlign w:val="bottom"/>
            <w:hideMark/>
          </w:tcPr>
          <w:p w:rsidRPr="00387AB6" w:rsidR="00453A47" w:rsidP="00453A47" w:rsidRDefault="00453A47" w14:paraId="0D12EEB3"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99" w:type="dxa"/>
            <w:tcBorders>
              <w:top w:val="nil"/>
              <w:left w:val="nil"/>
              <w:bottom w:val="single" w:color="auto" w:sz="4" w:space="0"/>
              <w:right w:val="single" w:color="auto" w:sz="4" w:space="0"/>
            </w:tcBorders>
            <w:shd w:val="clear" w:color="auto" w:fill="auto"/>
            <w:noWrap/>
            <w:vAlign w:val="bottom"/>
            <w:hideMark/>
          </w:tcPr>
          <w:p w:rsidRPr="00387AB6" w:rsidR="00453A47" w:rsidP="00453A47" w:rsidRDefault="00453A47" w14:paraId="2A5C014D"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52" w:type="dxa"/>
            <w:tcBorders>
              <w:top w:val="nil"/>
              <w:left w:val="nil"/>
              <w:bottom w:val="single" w:color="auto" w:sz="4" w:space="0"/>
              <w:right w:val="single" w:color="auto" w:sz="8" w:space="0"/>
            </w:tcBorders>
            <w:shd w:val="clear" w:color="auto" w:fill="auto"/>
            <w:noWrap/>
            <w:vAlign w:val="bottom"/>
            <w:hideMark/>
          </w:tcPr>
          <w:p w:rsidRPr="00387AB6" w:rsidR="00453A47" w:rsidP="00453A47" w:rsidRDefault="00453A47" w14:paraId="26AAAA43"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r>
      <w:tr w:rsidRPr="00387AB6" w:rsidR="00453A47" w:rsidTr="00387AB6" w14:paraId="568744EA" w14:textId="77777777">
        <w:trPr>
          <w:gridAfter w:val="1"/>
          <w:wAfter w:w="7" w:type="dxa"/>
          <w:trHeight w:val="365"/>
        </w:trPr>
        <w:tc>
          <w:tcPr>
            <w:tcW w:w="3864" w:type="dxa"/>
            <w:tcBorders>
              <w:top w:val="nil"/>
              <w:left w:val="single" w:color="auto" w:sz="4" w:space="0"/>
              <w:bottom w:val="single" w:color="auto" w:sz="4" w:space="0"/>
              <w:right w:val="single" w:color="auto" w:sz="4" w:space="0"/>
            </w:tcBorders>
            <w:shd w:val="clear" w:color="auto" w:fill="auto"/>
            <w:noWrap/>
            <w:vAlign w:val="bottom"/>
            <w:hideMark/>
          </w:tcPr>
          <w:p w:rsidRPr="00387AB6" w:rsidR="00453A47" w:rsidP="00453A47" w:rsidRDefault="00453A47" w14:paraId="04A4FF1A"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2002-2007</w:t>
            </w:r>
          </w:p>
        </w:tc>
        <w:tc>
          <w:tcPr>
            <w:tcW w:w="1699" w:type="dxa"/>
            <w:tcBorders>
              <w:top w:val="nil"/>
              <w:left w:val="nil"/>
              <w:bottom w:val="single" w:color="auto" w:sz="4" w:space="0"/>
              <w:right w:val="single" w:color="auto" w:sz="4" w:space="0"/>
            </w:tcBorders>
            <w:shd w:val="clear" w:color="auto" w:fill="auto"/>
            <w:noWrap/>
            <w:vAlign w:val="bottom"/>
            <w:hideMark/>
          </w:tcPr>
          <w:p w:rsidRPr="00387AB6" w:rsidR="00453A47" w:rsidP="00453A47" w:rsidRDefault="00453A47" w14:paraId="48DB32A1"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52" w:type="dxa"/>
            <w:tcBorders>
              <w:top w:val="nil"/>
              <w:left w:val="nil"/>
              <w:bottom w:val="single" w:color="auto" w:sz="4" w:space="0"/>
              <w:right w:val="double" w:color="auto" w:sz="6" w:space="0"/>
            </w:tcBorders>
            <w:shd w:val="clear" w:color="auto" w:fill="auto"/>
            <w:noWrap/>
            <w:vAlign w:val="bottom"/>
            <w:hideMark/>
          </w:tcPr>
          <w:p w:rsidRPr="00387AB6" w:rsidR="00453A47" w:rsidP="00453A47" w:rsidRDefault="00453A47" w14:paraId="1C322E72"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99" w:type="dxa"/>
            <w:tcBorders>
              <w:top w:val="nil"/>
              <w:left w:val="nil"/>
              <w:bottom w:val="single" w:color="auto" w:sz="4" w:space="0"/>
              <w:right w:val="nil"/>
            </w:tcBorders>
            <w:shd w:val="clear" w:color="auto" w:fill="auto"/>
            <w:noWrap/>
            <w:vAlign w:val="bottom"/>
            <w:hideMark/>
          </w:tcPr>
          <w:p w:rsidRPr="00387AB6" w:rsidR="00453A47" w:rsidP="00453A47" w:rsidRDefault="00453A47" w14:paraId="4C2C8ABA"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52" w:type="dxa"/>
            <w:tcBorders>
              <w:top w:val="nil"/>
              <w:left w:val="nil"/>
              <w:bottom w:val="single" w:color="auto" w:sz="4" w:space="0"/>
              <w:right w:val="nil"/>
            </w:tcBorders>
            <w:shd w:val="clear" w:color="auto" w:fill="auto"/>
            <w:noWrap/>
            <w:vAlign w:val="bottom"/>
            <w:hideMark/>
          </w:tcPr>
          <w:p w:rsidRPr="00387AB6" w:rsidR="00453A47" w:rsidP="00453A47" w:rsidRDefault="00453A47" w14:paraId="63D2EE11"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99" w:type="dxa"/>
            <w:tcBorders>
              <w:top w:val="nil"/>
              <w:left w:val="double" w:color="auto" w:sz="6" w:space="0"/>
              <w:bottom w:val="single" w:color="auto" w:sz="4" w:space="0"/>
              <w:right w:val="single" w:color="auto" w:sz="4" w:space="0"/>
            </w:tcBorders>
            <w:shd w:val="clear" w:color="auto" w:fill="auto"/>
            <w:noWrap/>
            <w:vAlign w:val="bottom"/>
            <w:hideMark/>
          </w:tcPr>
          <w:p w:rsidRPr="00387AB6" w:rsidR="00453A47" w:rsidP="00453A47" w:rsidRDefault="00453A47" w14:paraId="2E03DC9E"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52" w:type="dxa"/>
            <w:tcBorders>
              <w:top w:val="nil"/>
              <w:left w:val="nil"/>
              <w:bottom w:val="single" w:color="auto" w:sz="4" w:space="0"/>
              <w:right w:val="double" w:color="auto" w:sz="6" w:space="0"/>
            </w:tcBorders>
            <w:shd w:val="clear" w:color="auto" w:fill="auto"/>
            <w:noWrap/>
            <w:vAlign w:val="bottom"/>
            <w:hideMark/>
          </w:tcPr>
          <w:p w:rsidRPr="00387AB6" w:rsidR="00453A47" w:rsidP="00453A47" w:rsidRDefault="00453A47" w14:paraId="65335617"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99" w:type="dxa"/>
            <w:tcBorders>
              <w:top w:val="nil"/>
              <w:left w:val="nil"/>
              <w:bottom w:val="single" w:color="auto" w:sz="4" w:space="0"/>
              <w:right w:val="single" w:color="auto" w:sz="4" w:space="0"/>
            </w:tcBorders>
            <w:shd w:val="clear" w:color="auto" w:fill="auto"/>
            <w:noWrap/>
            <w:vAlign w:val="bottom"/>
            <w:hideMark/>
          </w:tcPr>
          <w:p w:rsidRPr="00387AB6" w:rsidR="00453A47" w:rsidP="00453A47" w:rsidRDefault="00453A47" w14:paraId="7D7A8F23"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52" w:type="dxa"/>
            <w:tcBorders>
              <w:top w:val="nil"/>
              <w:left w:val="nil"/>
              <w:bottom w:val="single" w:color="auto" w:sz="4" w:space="0"/>
              <w:right w:val="single" w:color="auto" w:sz="8" w:space="0"/>
            </w:tcBorders>
            <w:shd w:val="clear" w:color="auto" w:fill="auto"/>
            <w:noWrap/>
            <w:vAlign w:val="bottom"/>
            <w:hideMark/>
          </w:tcPr>
          <w:p w:rsidRPr="00387AB6" w:rsidR="00453A47" w:rsidP="00453A47" w:rsidRDefault="00453A47" w14:paraId="61D2294C"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r>
      <w:tr w:rsidRPr="00387AB6" w:rsidR="00453A47" w:rsidTr="00387AB6" w14:paraId="394F83D5" w14:textId="77777777">
        <w:trPr>
          <w:gridAfter w:val="1"/>
          <w:wAfter w:w="7" w:type="dxa"/>
          <w:trHeight w:val="365"/>
        </w:trPr>
        <w:tc>
          <w:tcPr>
            <w:tcW w:w="3864" w:type="dxa"/>
            <w:tcBorders>
              <w:top w:val="nil"/>
              <w:left w:val="single" w:color="auto" w:sz="4" w:space="0"/>
              <w:bottom w:val="single" w:color="auto" w:sz="4" w:space="0"/>
              <w:right w:val="single" w:color="auto" w:sz="4" w:space="0"/>
            </w:tcBorders>
            <w:shd w:val="clear" w:color="auto" w:fill="auto"/>
            <w:noWrap/>
            <w:vAlign w:val="bottom"/>
            <w:hideMark/>
          </w:tcPr>
          <w:p w:rsidRPr="00387AB6" w:rsidR="00453A47" w:rsidP="00453A47" w:rsidRDefault="00453A47" w14:paraId="1E6BABF6"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1996-2001</w:t>
            </w:r>
          </w:p>
        </w:tc>
        <w:tc>
          <w:tcPr>
            <w:tcW w:w="1699" w:type="dxa"/>
            <w:tcBorders>
              <w:top w:val="nil"/>
              <w:left w:val="nil"/>
              <w:bottom w:val="single" w:color="auto" w:sz="4" w:space="0"/>
              <w:right w:val="single" w:color="auto" w:sz="4" w:space="0"/>
            </w:tcBorders>
            <w:shd w:val="clear" w:color="auto" w:fill="auto"/>
            <w:noWrap/>
            <w:vAlign w:val="bottom"/>
            <w:hideMark/>
          </w:tcPr>
          <w:p w:rsidRPr="00387AB6" w:rsidR="00453A47" w:rsidP="00453A47" w:rsidRDefault="00453A47" w14:paraId="23B0C5E0"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52" w:type="dxa"/>
            <w:tcBorders>
              <w:top w:val="nil"/>
              <w:left w:val="nil"/>
              <w:bottom w:val="single" w:color="auto" w:sz="4" w:space="0"/>
              <w:right w:val="double" w:color="auto" w:sz="6" w:space="0"/>
            </w:tcBorders>
            <w:shd w:val="clear" w:color="auto" w:fill="auto"/>
            <w:noWrap/>
            <w:vAlign w:val="bottom"/>
            <w:hideMark/>
          </w:tcPr>
          <w:p w:rsidRPr="00387AB6" w:rsidR="00453A47" w:rsidP="00453A47" w:rsidRDefault="00453A47" w14:paraId="4FA3DD1E"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99" w:type="dxa"/>
            <w:tcBorders>
              <w:top w:val="nil"/>
              <w:left w:val="nil"/>
              <w:bottom w:val="single" w:color="auto" w:sz="4" w:space="0"/>
              <w:right w:val="nil"/>
            </w:tcBorders>
            <w:shd w:val="clear" w:color="auto" w:fill="auto"/>
            <w:noWrap/>
            <w:vAlign w:val="bottom"/>
            <w:hideMark/>
          </w:tcPr>
          <w:p w:rsidRPr="00387AB6" w:rsidR="00453A47" w:rsidP="00453A47" w:rsidRDefault="00453A47" w14:paraId="5C66B152"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52" w:type="dxa"/>
            <w:tcBorders>
              <w:top w:val="nil"/>
              <w:left w:val="nil"/>
              <w:bottom w:val="single" w:color="auto" w:sz="4" w:space="0"/>
              <w:right w:val="nil"/>
            </w:tcBorders>
            <w:shd w:val="clear" w:color="auto" w:fill="auto"/>
            <w:noWrap/>
            <w:vAlign w:val="bottom"/>
            <w:hideMark/>
          </w:tcPr>
          <w:p w:rsidRPr="00387AB6" w:rsidR="00453A47" w:rsidP="00453A47" w:rsidRDefault="00453A47" w14:paraId="6AAD866E"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99" w:type="dxa"/>
            <w:tcBorders>
              <w:top w:val="nil"/>
              <w:left w:val="double" w:color="auto" w:sz="6" w:space="0"/>
              <w:bottom w:val="single" w:color="auto" w:sz="4" w:space="0"/>
              <w:right w:val="single" w:color="auto" w:sz="4" w:space="0"/>
            </w:tcBorders>
            <w:shd w:val="clear" w:color="auto" w:fill="auto"/>
            <w:noWrap/>
            <w:vAlign w:val="bottom"/>
            <w:hideMark/>
          </w:tcPr>
          <w:p w:rsidRPr="00387AB6" w:rsidR="00453A47" w:rsidP="00453A47" w:rsidRDefault="00453A47" w14:paraId="1E0B1C87"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52" w:type="dxa"/>
            <w:tcBorders>
              <w:top w:val="nil"/>
              <w:left w:val="nil"/>
              <w:bottom w:val="single" w:color="auto" w:sz="4" w:space="0"/>
              <w:right w:val="double" w:color="auto" w:sz="6" w:space="0"/>
            </w:tcBorders>
            <w:shd w:val="clear" w:color="auto" w:fill="auto"/>
            <w:noWrap/>
            <w:vAlign w:val="bottom"/>
            <w:hideMark/>
          </w:tcPr>
          <w:p w:rsidRPr="00387AB6" w:rsidR="00453A47" w:rsidP="00453A47" w:rsidRDefault="00453A47" w14:paraId="2B523678"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99" w:type="dxa"/>
            <w:tcBorders>
              <w:top w:val="nil"/>
              <w:left w:val="nil"/>
              <w:bottom w:val="single" w:color="auto" w:sz="4" w:space="0"/>
              <w:right w:val="single" w:color="auto" w:sz="4" w:space="0"/>
            </w:tcBorders>
            <w:shd w:val="clear" w:color="auto" w:fill="auto"/>
            <w:noWrap/>
            <w:vAlign w:val="bottom"/>
            <w:hideMark/>
          </w:tcPr>
          <w:p w:rsidRPr="00387AB6" w:rsidR="00453A47" w:rsidP="00453A47" w:rsidRDefault="00453A47" w14:paraId="0C0061C1"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52" w:type="dxa"/>
            <w:tcBorders>
              <w:top w:val="nil"/>
              <w:left w:val="nil"/>
              <w:bottom w:val="single" w:color="auto" w:sz="4" w:space="0"/>
              <w:right w:val="single" w:color="auto" w:sz="8" w:space="0"/>
            </w:tcBorders>
            <w:shd w:val="clear" w:color="auto" w:fill="auto"/>
            <w:noWrap/>
            <w:vAlign w:val="bottom"/>
            <w:hideMark/>
          </w:tcPr>
          <w:p w:rsidRPr="00387AB6" w:rsidR="00453A47" w:rsidP="00453A47" w:rsidRDefault="00453A47" w14:paraId="05B2D985"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r>
      <w:tr w:rsidRPr="00387AB6" w:rsidR="00453A47" w:rsidTr="00387AB6" w14:paraId="72F91655" w14:textId="77777777">
        <w:trPr>
          <w:gridAfter w:val="1"/>
          <w:wAfter w:w="7" w:type="dxa"/>
          <w:trHeight w:val="365"/>
        </w:trPr>
        <w:tc>
          <w:tcPr>
            <w:tcW w:w="3864" w:type="dxa"/>
            <w:tcBorders>
              <w:top w:val="nil"/>
              <w:left w:val="single" w:color="auto" w:sz="4" w:space="0"/>
              <w:bottom w:val="single" w:color="auto" w:sz="4" w:space="0"/>
              <w:right w:val="single" w:color="auto" w:sz="4" w:space="0"/>
            </w:tcBorders>
            <w:shd w:val="clear" w:color="auto" w:fill="auto"/>
            <w:noWrap/>
            <w:vAlign w:val="bottom"/>
            <w:hideMark/>
          </w:tcPr>
          <w:p w:rsidRPr="00387AB6" w:rsidR="00453A47" w:rsidP="00453A47" w:rsidRDefault="00453A47" w14:paraId="3A8144EA"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1990-1995</w:t>
            </w:r>
          </w:p>
        </w:tc>
        <w:tc>
          <w:tcPr>
            <w:tcW w:w="1699" w:type="dxa"/>
            <w:tcBorders>
              <w:top w:val="nil"/>
              <w:left w:val="nil"/>
              <w:bottom w:val="single" w:color="auto" w:sz="4" w:space="0"/>
              <w:right w:val="single" w:color="auto" w:sz="4" w:space="0"/>
            </w:tcBorders>
            <w:shd w:val="clear" w:color="auto" w:fill="auto"/>
            <w:noWrap/>
            <w:vAlign w:val="bottom"/>
            <w:hideMark/>
          </w:tcPr>
          <w:p w:rsidRPr="00387AB6" w:rsidR="00453A47" w:rsidP="00453A47" w:rsidRDefault="00453A47" w14:paraId="0C3DAA3D"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52" w:type="dxa"/>
            <w:tcBorders>
              <w:top w:val="nil"/>
              <w:left w:val="nil"/>
              <w:bottom w:val="single" w:color="auto" w:sz="4" w:space="0"/>
              <w:right w:val="double" w:color="auto" w:sz="6" w:space="0"/>
            </w:tcBorders>
            <w:shd w:val="clear" w:color="auto" w:fill="auto"/>
            <w:noWrap/>
            <w:vAlign w:val="bottom"/>
            <w:hideMark/>
          </w:tcPr>
          <w:p w:rsidRPr="00387AB6" w:rsidR="00453A47" w:rsidP="00453A47" w:rsidRDefault="00453A47" w14:paraId="34B8A8D9"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99" w:type="dxa"/>
            <w:tcBorders>
              <w:top w:val="nil"/>
              <w:left w:val="nil"/>
              <w:bottom w:val="single" w:color="auto" w:sz="4" w:space="0"/>
              <w:right w:val="nil"/>
            </w:tcBorders>
            <w:shd w:val="clear" w:color="auto" w:fill="auto"/>
            <w:noWrap/>
            <w:vAlign w:val="bottom"/>
            <w:hideMark/>
          </w:tcPr>
          <w:p w:rsidRPr="00387AB6" w:rsidR="00453A47" w:rsidP="00453A47" w:rsidRDefault="00453A47" w14:paraId="2B3259A3"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52" w:type="dxa"/>
            <w:tcBorders>
              <w:top w:val="nil"/>
              <w:left w:val="nil"/>
              <w:bottom w:val="single" w:color="auto" w:sz="4" w:space="0"/>
              <w:right w:val="nil"/>
            </w:tcBorders>
            <w:shd w:val="clear" w:color="auto" w:fill="auto"/>
            <w:noWrap/>
            <w:vAlign w:val="bottom"/>
            <w:hideMark/>
          </w:tcPr>
          <w:p w:rsidRPr="00387AB6" w:rsidR="00453A47" w:rsidP="00453A47" w:rsidRDefault="00453A47" w14:paraId="45A57CA9"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99" w:type="dxa"/>
            <w:tcBorders>
              <w:top w:val="nil"/>
              <w:left w:val="double" w:color="auto" w:sz="6" w:space="0"/>
              <w:bottom w:val="single" w:color="auto" w:sz="4" w:space="0"/>
              <w:right w:val="single" w:color="auto" w:sz="4" w:space="0"/>
            </w:tcBorders>
            <w:shd w:val="clear" w:color="auto" w:fill="auto"/>
            <w:noWrap/>
            <w:vAlign w:val="bottom"/>
            <w:hideMark/>
          </w:tcPr>
          <w:p w:rsidRPr="00387AB6" w:rsidR="00453A47" w:rsidP="00453A47" w:rsidRDefault="00453A47" w14:paraId="78AC2CF1"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52" w:type="dxa"/>
            <w:tcBorders>
              <w:top w:val="nil"/>
              <w:left w:val="nil"/>
              <w:bottom w:val="single" w:color="auto" w:sz="4" w:space="0"/>
              <w:right w:val="double" w:color="auto" w:sz="6" w:space="0"/>
            </w:tcBorders>
            <w:shd w:val="clear" w:color="auto" w:fill="auto"/>
            <w:noWrap/>
            <w:vAlign w:val="bottom"/>
            <w:hideMark/>
          </w:tcPr>
          <w:p w:rsidRPr="00387AB6" w:rsidR="00453A47" w:rsidP="00453A47" w:rsidRDefault="00453A47" w14:paraId="004519AF"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99" w:type="dxa"/>
            <w:tcBorders>
              <w:top w:val="nil"/>
              <w:left w:val="nil"/>
              <w:bottom w:val="single" w:color="auto" w:sz="4" w:space="0"/>
              <w:right w:val="single" w:color="auto" w:sz="4" w:space="0"/>
            </w:tcBorders>
            <w:shd w:val="clear" w:color="auto" w:fill="auto"/>
            <w:noWrap/>
            <w:vAlign w:val="bottom"/>
            <w:hideMark/>
          </w:tcPr>
          <w:p w:rsidRPr="00387AB6" w:rsidR="00453A47" w:rsidP="00453A47" w:rsidRDefault="00453A47" w14:paraId="75F6F310"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52" w:type="dxa"/>
            <w:tcBorders>
              <w:top w:val="nil"/>
              <w:left w:val="nil"/>
              <w:bottom w:val="single" w:color="auto" w:sz="4" w:space="0"/>
              <w:right w:val="single" w:color="auto" w:sz="8" w:space="0"/>
            </w:tcBorders>
            <w:shd w:val="clear" w:color="auto" w:fill="auto"/>
            <w:noWrap/>
            <w:vAlign w:val="bottom"/>
            <w:hideMark/>
          </w:tcPr>
          <w:p w:rsidRPr="00387AB6" w:rsidR="00453A47" w:rsidP="00453A47" w:rsidRDefault="00453A47" w14:paraId="1DD79843"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r>
      <w:tr w:rsidRPr="00387AB6" w:rsidR="00453A47" w:rsidTr="00387AB6" w14:paraId="263A653A" w14:textId="77777777">
        <w:trPr>
          <w:gridAfter w:val="1"/>
          <w:wAfter w:w="7" w:type="dxa"/>
          <w:trHeight w:val="365"/>
        </w:trPr>
        <w:tc>
          <w:tcPr>
            <w:tcW w:w="3864" w:type="dxa"/>
            <w:tcBorders>
              <w:top w:val="nil"/>
              <w:left w:val="single" w:color="auto" w:sz="4" w:space="0"/>
              <w:bottom w:val="single" w:color="auto" w:sz="4" w:space="0"/>
              <w:right w:val="single" w:color="auto" w:sz="4" w:space="0"/>
            </w:tcBorders>
            <w:shd w:val="clear" w:color="auto" w:fill="auto"/>
            <w:noWrap/>
            <w:vAlign w:val="bottom"/>
            <w:hideMark/>
          </w:tcPr>
          <w:p w:rsidRPr="00387AB6" w:rsidR="00453A47" w:rsidP="00453A47" w:rsidRDefault="00453A47" w14:paraId="58DAAC78"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1978-1989</w:t>
            </w:r>
          </w:p>
        </w:tc>
        <w:tc>
          <w:tcPr>
            <w:tcW w:w="1699" w:type="dxa"/>
            <w:tcBorders>
              <w:top w:val="nil"/>
              <w:left w:val="nil"/>
              <w:bottom w:val="single" w:color="auto" w:sz="4" w:space="0"/>
              <w:right w:val="single" w:color="auto" w:sz="4" w:space="0"/>
            </w:tcBorders>
            <w:shd w:val="clear" w:color="auto" w:fill="auto"/>
            <w:noWrap/>
            <w:vAlign w:val="bottom"/>
            <w:hideMark/>
          </w:tcPr>
          <w:p w:rsidRPr="00387AB6" w:rsidR="00453A47" w:rsidP="00453A47" w:rsidRDefault="00453A47" w14:paraId="58175F85"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52" w:type="dxa"/>
            <w:tcBorders>
              <w:top w:val="nil"/>
              <w:left w:val="nil"/>
              <w:bottom w:val="single" w:color="auto" w:sz="4" w:space="0"/>
              <w:right w:val="double" w:color="auto" w:sz="6" w:space="0"/>
            </w:tcBorders>
            <w:shd w:val="clear" w:color="auto" w:fill="auto"/>
            <w:noWrap/>
            <w:vAlign w:val="bottom"/>
            <w:hideMark/>
          </w:tcPr>
          <w:p w:rsidRPr="00387AB6" w:rsidR="00453A47" w:rsidP="00453A47" w:rsidRDefault="00453A47" w14:paraId="13B848B0"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99" w:type="dxa"/>
            <w:tcBorders>
              <w:top w:val="nil"/>
              <w:left w:val="nil"/>
              <w:bottom w:val="single" w:color="auto" w:sz="4" w:space="0"/>
              <w:right w:val="nil"/>
            </w:tcBorders>
            <w:shd w:val="clear" w:color="auto" w:fill="auto"/>
            <w:noWrap/>
            <w:vAlign w:val="bottom"/>
            <w:hideMark/>
          </w:tcPr>
          <w:p w:rsidRPr="00387AB6" w:rsidR="00453A47" w:rsidP="00453A47" w:rsidRDefault="00453A47" w14:paraId="1FC93379"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52" w:type="dxa"/>
            <w:tcBorders>
              <w:top w:val="nil"/>
              <w:left w:val="nil"/>
              <w:bottom w:val="single" w:color="auto" w:sz="4" w:space="0"/>
              <w:right w:val="nil"/>
            </w:tcBorders>
            <w:shd w:val="clear" w:color="auto" w:fill="auto"/>
            <w:noWrap/>
            <w:vAlign w:val="bottom"/>
            <w:hideMark/>
          </w:tcPr>
          <w:p w:rsidRPr="00387AB6" w:rsidR="00453A47" w:rsidP="00453A47" w:rsidRDefault="00453A47" w14:paraId="04C870E4"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99" w:type="dxa"/>
            <w:tcBorders>
              <w:top w:val="nil"/>
              <w:left w:val="double" w:color="auto" w:sz="6" w:space="0"/>
              <w:bottom w:val="single" w:color="auto" w:sz="4" w:space="0"/>
              <w:right w:val="single" w:color="auto" w:sz="4" w:space="0"/>
            </w:tcBorders>
            <w:shd w:val="clear" w:color="auto" w:fill="auto"/>
            <w:noWrap/>
            <w:vAlign w:val="bottom"/>
            <w:hideMark/>
          </w:tcPr>
          <w:p w:rsidRPr="00387AB6" w:rsidR="00453A47" w:rsidP="00453A47" w:rsidRDefault="00453A47" w14:paraId="189F9CB1"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52" w:type="dxa"/>
            <w:tcBorders>
              <w:top w:val="nil"/>
              <w:left w:val="nil"/>
              <w:bottom w:val="single" w:color="auto" w:sz="4" w:space="0"/>
              <w:right w:val="double" w:color="auto" w:sz="6" w:space="0"/>
            </w:tcBorders>
            <w:shd w:val="clear" w:color="auto" w:fill="auto"/>
            <w:noWrap/>
            <w:vAlign w:val="bottom"/>
            <w:hideMark/>
          </w:tcPr>
          <w:p w:rsidRPr="00387AB6" w:rsidR="00453A47" w:rsidP="00453A47" w:rsidRDefault="00453A47" w14:paraId="3E4AFF2D"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99" w:type="dxa"/>
            <w:tcBorders>
              <w:top w:val="nil"/>
              <w:left w:val="nil"/>
              <w:bottom w:val="single" w:color="auto" w:sz="4" w:space="0"/>
              <w:right w:val="single" w:color="auto" w:sz="4" w:space="0"/>
            </w:tcBorders>
            <w:shd w:val="clear" w:color="auto" w:fill="auto"/>
            <w:noWrap/>
            <w:vAlign w:val="bottom"/>
            <w:hideMark/>
          </w:tcPr>
          <w:p w:rsidRPr="00387AB6" w:rsidR="00453A47" w:rsidP="00453A47" w:rsidRDefault="00453A47" w14:paraId="5E2C491F"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52" w:type="dxa"/>
            <w:tcBorders>
              <w:top w:val="nil"/>
              <w:left w:val="nil"/>
              <w:bottom w:val="single" w:color="auto" w:sz="4" w:space="0"/>
              <w:right w:val="single" w:color="auto" w:sz="8" w:space="0"/>
            </w:tcBorders>
            <w:shd w:val="clear" w:color="auto" w:fill="auto"/>
            <w:noWrap/>
            <w:vAlign w:val="bottom"/>
            <w:hideMark/>
          </w:tcPr>
          <w:p w:rsidRPr="00387AB6" w:rsidR="00453A47" w:rsidP="00453A47" w:rsidRDefault="00453A47" w14:paraId="63FE1A0E"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r>
      <w:tr w:rsidRPr="00387AB6" w:rsidR="00453A47" w:rsidTr="00387AB6" w14:paraId="6CE90B11" w14:textId="77777777">
        <w:trPr>
          <w:gridAfter w:val="1"/>
          <w:wAfter w:w="7" w:type="dxa"/>
          <w:trHeight w:val="365"/>
        </w:trPr>
        <w:tc>
          <w:tcPr>
            <w:tcW w:w="3864" w:type="dxa"/>
            <w:tcBorders>
              <w:top w:val="nil"/>
              <w:left w:val="single" w:color="auto" w:sz="4" w:space="0"/>
              <w:bottom w:val="single" w:color="auto" w:sz="4" w:space="0"/>
              <w:right w:val="single" w:color="auto" w:sz="4" w:space="0"/>
            </w:tcBorders>
            <w:shd w:val="clear" w:color="auto" w:fill="auto"/>
            <w:noWrap/>
            <w:vAlign w:val="bottom"/>
            <w:hideMark/>
          </w:tcPr>
          <w:p w:rsidRPr="00387AB6" w:rsidR="00453A47" w:rsidP="00453A47" w:rsidRDefault="00453A47" w14:paraId="294A2941"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1977-1961</w:t>
            </w:r>
          </w:p>
        </w:tc>
        <w:tc>
          <w:tcPr>
            <w:tcW w:w="1699" w:type="dxa"/>
            <w:tcBorders>
              <w:top w:val="nil"/>
              <w:left w:val="nil"/>
              <w:bottom w:val="single" w:color="auto" w:sz="4" w:space="0"/>
              <w:right w:val="single" w:color="auto" w:sz="4" w:space="0"/>
            </w:tcBorders>
            <w:shd w:val="clear" w:color="auto" w:fill="auto"/>
            <w:noWrap/>
            <w:vAlign w:val="bottom"/>
            <w:hideMark/>
          </w:tcPr>
          <w:p w:rsidRPr="00387AB6" w:rsidR="00453A47" w:rsidP="00453A47" w:rsidRDefault="00453A47" w14:paraId="1D1D6B85"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52" w:type="dxa"/>
            <w:tcBorders>
              <w:top w:val="nil"/>
              <w:left w:val="nil"/>
              <w:bottom w:val="single" w:color="auto" w:sz="4" w:space="0"/>
              <w:right w:val="double" w:color="auto" w:sz="6" w:space="0"/>
            </w:tcBorders>
            <w:shd w:val="clear" w:color="auto" w:fill="auto"/>
            <w:noWrap/>
            <w:vAlign w:val="bottom"/>
            <w:hideMark/>
          </w:tcPr>
          <w:p w:rsidRPr="00387AB6" w:rsidR="00453A47" w:rsidP="00453A47" w:rsidRDefault="00453A47" w14:paraId="0CB29D0B"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99" w:type="dxa"/>
            <w:tcBorders>
              <w:top w:val="nil"/>
              <w:left w:val="nil"/>
              <w:bottom w:val="single" w:color="auto" w:sz="4" w:space="0"/>
              <w:right w:val="nil"/>
            </w:tcBorders>
            <w:shd w:val="clear" w:color="auto" w:fill="auto"/>
            <w:noWrap/>
            <w:vAlign w:val="bottom"/>
            <w:hideMark/>
          </w:tcPr>
          <w:p w:rsidRPr="00387AB6" w:rsidR="00453A47" w:rsidP="00453A47" w:rsidRDefault="00453A47" w14:paraId="3B3F6CAA"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52" w:type="dxa"/>
            <w:tcBorders>
              <w:top w:val="nil"/>
              <w:left w:val="nil"/>
              <w:bottom w:val="single" w:color="auto" w:sz="4" w:space="0"/>
              <w:right w:val="nil"/>
            </w:tcBorders>
            <w:shd w:val="clear" w:color="auto" w:fill="auto"/>
            <w:noWrap/>
            <w:vAlign w:val="bottom"/>
            <w:hideMark/>
          </w:tcPr>
          <w:p w:rsidRPr="00387AB6" w:rsidR="00453A47" w:rsidP="00453A47" w:rsidRDefault="00453A47" w14:paraId="0B387C0B"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99" w:type="dxa"/>
            <w:tcBorders>
              <w:top w:val="nil"/>
              <w:left w:val="double" w:color="auto" w:sz="6" w:space="0"/>
              <w:bottom w:val="single" w:color="auto" w:sz="4" w:space="0"/>
              <w:right w:val="single" w:color="auto" w:sz="4" w:space="0"/>
            </w:tcBorders>
            <w:shd w:val="clear" w:color="auto" w:fill="auto"/>
            <w:noWrap/>
            <w:vAlign w:val="bottom"/>
            <w:hideMark/>
          </w:tcPr>
          <w:p w:rsidRPr="00387AB6" w:rsidR="00453A47" w:rsidP="00453A47" w:rsidRDefault="00453A47" w14:paraId="10FB7403"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52" w:type="dxa"/>
            <w:tcBorders>
              <w:top w:val="nil"/>
              <w:left w:val="nil"/>
              <w:bottom w:val="single" w:color="auto" w:sz="4" w:space="0"/>
              <w:right w:val="double" w:color="auto" w:sz="6" w:space="0"/>
            </w:tcBorders>
            <w:shd w:val="clear" w:color="auto" w:fill="auto"/>
            <w:noWrap/>
            <w:vAlign w:val="bottom"/>
            <w:hideMark/>
          </w:tcPr>
          <w:p w:rsidRPr="00387AB6" w:rsidR="00453A47" w:rsidP="00453A47" w:rsidRDefault="00453A47" w14:paraId="199E4B8B"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99" w:type="dxa"/>
            <w:tcBorders>
              <w:top w:val="nil"/>
              <w:left w:val="nil"/>
              <w:bottom w:val="single" w:color="auto" w:sz="4" w:space="0"/>
              <w:right w:val="single" w:color="auto" w:sz="4" w:space="0"/>
            </w:tcBorders>
            <w:shd w:val="clear" w:color="auto" w:fill="auto"/>
            <w:noWrap/>
            <w:vAlign w:val="bottom"/>
            <w:hideMark/>
          </w:tcPr>
          <w:p w:rsidRPr="00387AB6" w:rsidR="00453A47" w:rsidP="00453A47" w:rsidRDefault="00453A47" w14:paraId="68C4CCAA"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52" w:type="dxa"/>
            <w:tcBorders>
              <w:top w:val="nil"/>
              <w:left w:val="nil"/>
              <w:bottom w:val="single" w:color="auto" w:sz="4" w:space="0"/>
              <w:right w:val="single" w:color="auto" w:sz="8" w:space="0"/>
            </w:tcBorders>
            <w:shd w:val="clear" w:color="auto" w:fill="auto"/>
            <w:noWrap/>
            <w:vAlign w:val="bottom"/>
            <w:hideMark/>
          </w:tcPr>
          <w:p w:rsidRPr="00387AB6" w:rsidR="00453A47" w:rsidP="00453A47" w:rsidRDefault="00453A47" w14:paraId="60EC864C"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r>
      <w:tr w:rsidRPr="00387AB6" w:rsidR="00453A47" w:rsidTr="00387AB6" w14:paraId="68D5C069" w14:textId="77777777">
        <w:trPr>
          <w:gridAfter w:val="1"/>
          <w:wAfter w:w="7" w:type="dxa"/>
          <w:trHeight w:val="384"/>
        </w:trPr>
        <w:tc>
          <w:tcPr>
            <w:tcW w:w="3864" w:type="dxa"/>
            <w:tcBorders>
              <w:top w:val="nil"/>
              <w:left w:val="single" w:color="auto" w:sz="4" w:space="0"/>
              <w:bottom w:val="single" w:color="auto" w:sz="4" w:space="0"/>
              <w:right w:val="single" w:color="auto" w:sz="4" w:space="0"/>
            </w:tcBorders>
            <w:shd w:val="clear" w:color="auto" w:fill="auto"/>
            <w:noWrap/>
            <w:vAlign w:val="bottom"/>
            <w:hideMark/>
          </w:tcPr>
          <w:p w:rsidRPr="00387AB6" w:rsidR="00453A47" w:rsidP="00453A47" w:rsidRDefault="00453A47" w14:paraId="435A75E0"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1960 and before</w:t>
            </w:r>
          </w:p>
        </w:tc>
        <w:tc>
          <w:tcPr>
            <w:tcW w:w="1699" w:type="dxa"/>
            <w:tcBorders>
              <w:top w:val="nil"/>
              <w:left w:val="nil"/>
              <w:bottom w:val="single" w:color="auto" w:sz="8" w:space="0"/>
              <w:right w:val="single" w:color="auto" w:sz="4" w:space="0"/>
            </w:tcBorders>
            <w:shd w:val="clear" w:color="auto" w:fill="auto"/>
            <w:noWrap/>
            <w:vAlign w:val="bottom"/>
            <w:hideMark/>
          </w:tcPr>
          <w:p w:rsidRPr="00387AB6" w:rsidR="00453A47" w:rsidP="00453A47" w:rsidRDefault="00453A47" w14:paraId="0068DF08"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52" w:type="dxa"/>
            <w:tcBorders>
              <w:top w:val="nil"/>
              <w:left w:val="nil"/>
              <w:bottom w:val="single" w:color="auto" w:sz="8" w:space="0"/>
              <w:right w:val="double" w:color="auto" w:sz="6" w:space="0"/>
            </w:tcBorders>
            <w:shd w:val="clear" w:color="auto" w:fill="auto"/>
            <w:noWrap/>
            <w:vAlign w:val="bottom"/>
            <w:hideMark/>
          </w:tcPr>
          <w:p w:rsidRPr="00387AB6" w:rsidR="00453A47" w:rsidP="00453A47" w:rsidRDefault="00453A47" w14:paraId="5240E26A"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99" w:type="dxa"/>
            <w:tcBorders>
              <w:top w:val="nil"/>
              <w:left w:val="nil"/>
              <w:bottom w:val="single" w:color="auto" w:sz="8" w:space="0"/>
              <w:right w:val="nil"/>
            </w:tcBorders>
            <w:shd w:val="clear" w:color="auto" w:fill="auto"/>
            <w:noWrap/>
            <w:vAlign w:val="bottom"/>
            <w:hideMark/>
          </w:tcPr>
          <w:p w:rsidRPr="00387AB6" w:rsidR="00453A47" w:rsidP="00453A47" w:rsidRDefault="00453A47" w14:paraId="1E3AD24E"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52" w:type="dxa"/>
            <w:tcBorders>
              <w:top w:val="nil"/>
              <w:left w:val="nil"/>
              <w:bottom w:val="single" w:color="auto" w:sz="8" w:space="0"/>
              <w:right w:val="nil"/>
            </w:tcBorders>
            <w:shd w:val="clear" w:color="auto" w:fill="auto"/>
            <w:noWrap/>
            <w:vAlign w:val="bottom"/>
            <w:hideMark/>
          </w:tcPr>
          <w:p w:rsidRPr="00387AB6" w:rsidR="00453A47" w:rsidP="00453A47" w:rsidRDefault="00453A47" w14:paraId="51A2BB5F"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99" w:type="dxa"/>
            <w:tcBorders>
              <w:top w:val="nil"/>
              <w:left w:val="double" w:color="auto" w:sz="6" w:space="0"/>
              <w:bottom w:val="single" w:color="auto" w:sz="8" w:space="0"/>
              <w:right w:val="single" w:color="auto" w:sz="4" w:space="0"/>
            </w:tcBorders>
            <w:shd w:val="clear" w:color="auto" w:fill="auto"/>
            <w:noWrap/>
            <w:vAlign w:val="bottom"/>
            <w:hideMark/>
          </w:tcPr>
          <w:p w:rsidRPr="00387AB6" w:rsidR="00453A47" w:rsidP="00453A47" w:rsidRDefault="00453A47" w14:paraId="6AFB1ED3"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52" w:type="dxa"/>
            <w:tcBorders>
              <w:top w:val="nil"/>
              <w:left w:val="nil"/>
              <w:bottom w:val="single" w:color="auto" w:sz="8" w:space="0"/>
              <w:right w:val="double" w:color="auto" w:sz="6" w:space="0"/>
            </w:tcBorders>
            <w:shd w:val="clear" w:color="auto" w:fill="auto"/>
            <w:noWrap/>
            <w:vAlign w:val="bottom"/>
            <w:hideMark/>
          </w:tcPr>
          <w:p w:rsidRPr="00387AB6" w:rsidR="00453A47" w:rsidP="00453A47" w:rsidRDefault="00453A47" w14:paraId="3EDA7366"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99" w:type="dxa"/>
            <w:tcBorders>
              <w:top w:val="nil"/>
              <w:left w:val="nil"/>
              <w:bottom w:val="single" w:color="auto" w:sz="8" w:space="0"/>
              <w:right w:val="single" w:color="auto" w:sz="4" w:space="0"/>
            </w:tcBorders>
            <w:shd w:val="clear" w:color="auto" w:fill="auto"/>
            <w:noWrap/>
            <w:vAlign w:val="bottom"/>
            <w:hideMark/>
          </w:tcPr>
          <w:p w:rsidRPr="00387AB6" w:rsidR="00453A47" w:rsidP="00453A47" w:rsidRDefault="00453A47" w14:paraId="5D89D583"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52" w:type="dxa"/>
            <w:tcBorders>
              <w:top w:val="nil"/>
              <w:left w:val="nil"/>
              <w:bottom w:val="single" w:color="auto" w:sz="8" w:space="0"/>
              <w:right w:val="single" w:color="auto" w:sz="8" w:space="0"/>
            </w:tcBorders>
            <w:shd w:val="clear" w:color="auto" w:fill="auto"/>
            <w:noWrap/>
            <w:vAlign w:val="bottom"/>
            <w:hideMark/>
          </w:tcPr>
          <w:p w:rsidRPr="00387AB6" w:rsidR="00453A47" w:rsidP="00453A47" w:rsidRDefault="00453A47" w14:paraId="0BD0EB0B"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r>
    </w:tbl>
    <w:p w:rsidRPr="00387AB6" w:rsidR="00453A47" w:rsidP="006E00D4" w:rsidRDefault="00453A47" w14:paraId="7B4774CA" w14:textId="348CCEB3">
      <w:pPr>
        <w:rPr>
          <w:rFonts w:ascii="Palatino Linotype" w:hAnsi="Palatino Linotype"/>
          <w:sz w:val="24"/>
          <w:szCs w:val="24"/>
        </w:rPr>
      </w:pPr>
      <w:r w:rsidRPr="00387AB6">
        <w:rPr>
          <w:rFonts w:ascii="Palatino Linotype" w:hAnsi="Palatino Linotype"/>
          <w:sz w:val="24"/>
          <w:szCs w:val="24"/>
        </w:rPr>
        <w:br w:type="page"/>
      </w:r>
    </w:p>
    <w:tbl>
      <w:tblPr>
        <w:tblW w:w="17086" w:type="dxa"/>
        <w:tblLook w:val="04A0" w:firstRow="1" w:lastRow="0" w:firstColumn="1" w:lastColumn="0" w:noHBand="0" w:noVBand="1"/>
      </w:tblPr>
      <w:tblGrid>
        <w:gridCol w:w="4160"/>
        <w:gridCol w:w="1651"/>
        <w:gridCol w:w="1580"/>
        <w:gridCol w:w="1651"/>
        <w:gridCol w:w="1580"/>
        <w:gridCol w:w="1651"/>
        <w:gridCol w:w="1580"/>
        <w:gridCol w:w="1651"/>
        <w:gridCol w:w="1582"/>
      </w:tblGrid>
      <w:tr w:rsidRPr="00387AB6" w:rsidR="00453A47" w:rsidTr="00453A47" w14:paraId="05CA1ED8" w14:textId="77777777">
        <w:trPr>
          <w:trHeight w:val="370"/>
        </w:trPr>
        <w:tc>
          <w:tcPr>
            <w:tcW w:w="17086" w:type="dxa"/>
            <w:gridSpan w:val="9"/>
            <w:tcBorders>
              <w:top w:val="single" w:color="auto" w:sz="4" w:space="0"/>
              <w:left w:val="single" w:color="auto" w:sz="4" w:space="0"/>
              <w:bottom w:val="single" w:color="auto" w:sz="4" w:space="0"/>
              <w:right w:val="single" w:color="auto" w:sz="4" w:space="0"/>
            </w:tcBorders>
            <w:shd w:val="clear" w:color="000000" w:fill="F8CBAD"/>
            <w:noWrap/>
            <w:vAlign w:val="bottom"/>
            <w:hideMark/>
          </w:tcPr>
          <w:p w:rsidRPr="00387AB6" w:rsidR="00453A47" w:rsidP="00453A47" w:rsidRDefault="00453A47" w14:paraId="5282FA53" w14:textId="43BF8394">
            <w:pPr>
              <w:rPr>
                <w:rFonts w:ascii="Palatino Linotype" w:hAnsi="Palatino Linotype" w:cs="Calibri"/>
                <w:b/>
                <w:bCs/>
                <w:color w:val="000000"/>
                <w:sz w:val="24"/>
                <w:szCs w:val="24"/>
              </w:rPr>
            </w:pPr>
            <w:r w:rsidRPr="00387AB6">
              <w:rPr>
                <w:rFonts w:ascii="Palatino Linotype" w:hAnsi="Palatino Linotype" w:cs="Calibri"/>
                <w:b/>
                <w:bCs/>
                <w:color w:val="000000"/>
                <w:sz w:val="24"/>
                <w:szCs w:val="24"/>
              </w:rPr>
              <w:lastRenderedPageBreak/>
              <w:t>Average Annual Energy Use of Medical Baseline Customers by Age of Dwelling (Year of Meter Installation)</w:t>
            </w:r>
          </w:p>
        </w:tc>
      </w:tr>
      <w:tr w:rsidRPr="00387AB6" w:rsidR="00453A47" w:rsidTr="00453A47" w14:paraId="057B8A47" w14:textId="77777777">
        <w:trPr>
          <w:trHeight w:val="353"/>
        </w:trPr>
        <w:tc>
          <w:tcPr>
            <w:tcW w:w="4160" w:type="dxa"/>
            <w:tcBorders>
              <w:top w:val="nil"/>
              <w:left w:val="single" w:color="auto" w:sz="4" w:space="0"/>
              <w:bottom w:val="single" w:color="auto" w:sz="4" w:space="0"/>
              <w:right w:val="single" w:color="auto" w:sz="4" w:space="0"/>
            </w:tcBorders>
            <w:shd w:val="clear" w:color="auto" w:fill="auto"/>
            <w:noWrap/>
            <w:vAlign w:val="bottom"/>
            <w:hideMark/>
          </w:tcPr>
          <w:p w:rsidRPr="00387AB6" w:rsidR="00453A47" w:rsidP="00453A47" w:rsidRDefault="00453A47" w14:paraId="360DFA6B" w14:textId="77777777">
            <w:pPr>
              <w:rPr>
                <w:rFonts w:ascii="Palatino Linotype" w:hAnsi="Palatino Linotype" w:cs="Calibri"/>
                <w:b/>
                <w:bCs/>
                <w:color w:val="000000"/>
                <w:sz w:val="24"/>
                <w:szCs w:val="24"/>
              </w:rPr>
            </w:pPr>
            <w:r w:rsidRPr="00387AB6">
              <w:rPr>
                <w:rFonts w:ascii="Palatino Linotype" w:hAnsi="Palatino Linotype" w:cs="Calibri"/>
                <w:b/>
                <w:bCs/>
                <w:color w:val="000000"/>
                <w:sz w:val="24"/>
                <w:szCs w:val="24"/>
              </w:rPr>
              <w:t xml:space="preserve">Climate Zone </w:t>
            </w:r>
            <w:r w:rsidRPr="00387AB6">
              <w:rPr>
                <w:rFonts w:ascii="Times New Roman" w:hAnsi="Times New Roman"/>
                <w:b/>
                <w:bCs/>
                <w:color w:val="000000"/>
                <w:sz w:val="24"/>
                <w:szCs w:val="24"/>
              </w:rPr>
              <w:t>→</w:t>
            </w:r>
          </w:p>
        </w:tc>
        <w:tc>
          <w:tcPr>
            <w:tcW w:w="12926" w:type="dxa"/>
            <w:gridSpan w:val="8"/>
            <w:tcBorders>
              <w:top w:val="single" w:color="auto" w:sz="8" w:space="0"/>
              <w:left w:val="single" w:color="auto" w:sz="8" w:space="0"/>
              <w:bottom w:val="nil"/>
              <w:right w:val="single" w:color="000000" w:sz="8" w:space="0"/>
            </w:tcBorders>
            <w:shd w:val="clear" w:color="auto" w:fill="auto"/>
            <w:noWrap/>
            <w:vAlign w:val="bottom"/>
            <w:hideMark/>
          </w:tcPr>
          <w:p w:rsidRPr="00387AB6" w:rsidR="00453A47" w:rsidP="00453A47" w:rsidRDefault="00453A47" w14:paraId="514CAC51" w14:textId="1A1135F7">
            <w:pPr>
              <w:jc w:val="center"/>
              <w:rPr>
                <w:rFonts w:ascii="Palatino Linotype" w:hAnsi="Palatino Linotype" w:cs="Calibri"/>
                <w:b/>
                <w:bCs/>
                <w:color w:val="000000"/>
                <w:sz w:val="24"/>
                <w:szCs w:val="24"/>
              </w:rPr>
            </w:pPr>
            <w:r w:rsidRPr="00387AB6">
              <w:rPr>
                <w:rFonts w:ascii="Palatino Linotype" w:hAnsi="Palatino Linotype" w:cs="Calibri"/>
                <w:b/>
                <w:bCs/>
                <w:color w:val="000000"/>
                <w:sz w:val="24"/>
                <w:szCs w:val="24"/>
              </w:rPr>
              <w:t>CZ [</w:t>
            </w:r>
            <w:r w:rsidRPr="00387AB6" w:rsidR="00573A19">
              <w:rPr>
                <w:rFonts w:ascii="Palatino Linotype" w:hAnsi="Palatino Linotype" w:cs="Calibri"/>
                <w:b/>
                <w:bCs/>
                <w:color w:val="000000"/>
                <w:sz w:val="24"/>
                <w:szCs w:val="24"/>
              </w:rPr>
              <w:t xml:space="preserve">-]    </w:t>
            </w:r>
            <w:r w:rsidRPr="00387AB6" w:rsidR="00573A19">
              <w:rPr>
                <w:rFonts w:ascii="Palatino Linotype" w:hAnsi="Palatino Linotype" w:cs="Calibri"/>
                <w:b/>
                <w:bCs/>
                <w:i/>
                <w:iCs/>
                <w:color w:val="000000"/>
                <w:sz w:val="24"/>
                <w:szCs w:val="24"/>
              </w:rPr>
              <w:t>(Add Columns for CZs in your service territory)</w:t>
            </w:r>
          </w:p>
        </w:tc>
      </w:tr>
      <w:tr w:rsidRPr="00387AB6" w:rsidR="00453A47" w:rsidTr="00453A47" w14:paraId="5B2942B0" w14:textId="77777777">
        <w:trPr>
          <w:trHeight w:val="353"/>
        </w:trPr>
        <w:tc>
          <w:tcPr>
            <w:tcW w:w="4160" w:type="dxa"/>
            <w:tcBorders>
              <w:top w:val="nil"/>
              <w:left w:val="single" w:color="auto" w:sz="4" w:space="0"/>
              <w:bottom w:val="single" w:color="auto" w:sz="4" w:space="0"/>
              <w:right w:val="single" w:color="auto" w:sz="4" w:space="0"/>
            </w:tcBorders>
            <w:shd w:val="clear" w:color="auto" w:fill="auto"/>
            <w:noWrap/>
            <w:vAlign w:val="bottom"/>
            <w:hideMark/>
          </w:tcPr>
          <w:p w:rsidRPr="00387AB6" w:rsidR="00453A47" w:rsidP="00453A47" w:rsidRDefault="00453A47" w14:paraId="6F747A04" w14:textId="77777777">
            <w:pP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 </w:t>
            </w:r>
          </w:p>
        </w:tc>
        <w:tc>
          <w:tcPr>
            <w:tcW w:w="3231" w:type="dxa"/>
            <w:gridSpan w:val="2"/>
            <w:tcBorders>
              <w:top w:val="single" w:color="auto" w:sz="4" w:space="0"/>
              <w:left w:val="single" w:color="auto" w:sz="8" w:space="0"/>
              <w:bottom w:val="single" w:color="auto" w:sz="4" w:space="0"/>
              <w:right w:val="single" w:color="auto" w:sz="4" w:space="0"/>
            </w:tcBorders>
            <w:shd w:val="clear" w:color="auto" w:fill="auto"/>
            <w:noWrap/>
            <w:vAlign w:val="bottom"/>
            <w:hideMark/>
          </w:tcPr>
          <w:p w:rsidRPr="00387AB6" w:rsidR="00453A47" w:rsidP="00453A47" w:rsidRDefault="00453A47" w14:paraId="6279DC71"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All-Electric</w:t>
            </w:r>
          </w:p>
        </w:tc>
        <w:tc>
          <w:tcPr>
            <w:tcW w:w="3231" w:type="dxa"/>
            <w:gridSpan w:val="2"/>
            <w:tcBorders>
              <w:top w:val="single" w:color="auto" w:sz="4" w:space="0"/>
              <w:left w:val="nil"/>
              <w:bottom w:val="single" w:color="auto" w:sz="4" w:space="0"/>
              <w:right w:val="single" w:color="000000" w:sz="4" w:space="0"/>
            </w:tcBorders>
            <w:shd w:val="clear" w:color="auto" w:fill="auto"/>
            <w:noWrap/>
            <w:vAlign w:val="bottom"/>
            <w:hideMark/>
          </w:tcPr>
          <w:p w:rsidRPr="00387AB6" w:rsidR="00453A47" w:rsidP="00453A47" w:rsidRDefault="00453A47" w14:paraId="780AD7F4"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Electric Space Heating</w:t>
            </w:r>
          </w:p>
        </w:tc>
        <w:tc>
          <w:tcPr>
            <w:tcW w:w="3231" w:type="dxa"/>
            <w:gridSpan w:val="2"/>
            <w:tcBorders>
              <w:top w:val="single" w:color="auto" w:sz="4" w:space="0"/>
              <w:left w:val="nil"/>
              <w:bottom w:val="single" w:color="auto" w:sz="4" w:space="0"/>
              <w:right w:val="single" w:color="auto" w:sz="4" w:space="0"/>
            </w:tcBorders>
            <w:shd w:val="clear" w:color="auto" w:fill="auto"/>
            <w:noWrap/>
            <w:vAlign w:val="bottom"/>
            <w:hideMark/>
          </w:tcPr>
          <w:p w:rsidRPr="00387AB6" w:rsidR="00453A47" w:rsidP="00453A47" w:rsidRDefault="00453A47" w14:paraId="530BA3FA"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Dual Fuel</w:t>
            </w:r>
          </w:p>
        </w:tc>
        <w:tc>
          <w:tcPr>
            <w:tcW w:w="3231" w:type="dxa"/>
            <w:gridSpan w:val="2"/>
            <w:tcBorders>
              <w:top w:val="single" w:color="auto" w:sz="4" w:space="0"/>
              <w:left w:val="nil"/>
              <w:bottom w:val="single" w:color="auto" w:sz="4" w:space="0"/>
              <w:right w:val="single" w:color="000000" w:sz="8" w:space="0"/>
            </w:tcBorders>
            <w:shd w:val="clear" w:color="auto" w:fill="auto"/>
            <w:noWrap/>
            <w:vAlign w:val="bottom"/>
            <w:hideMark/>
          </w:tcPr>
          <w:p w:rsidRPr="00387AB6" w:rsidR="00453A47" w:rsidP="00453A47" w:rsidRDefault="00453A47" w14:paraId="009E7CE0"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Gas Only</w:t>
            </w:r>
          </w:p>
        </w:tc>
      </w:tr>
      <w:tr w:rsidRPr="00387AB6" w:rsidR="00453A47" w:rsidTr="00453A47" w14:paraId="5FF3BD40" w14:textId="77777777">
        <w:trPr>
          <w:trHeight w:val="353"/>
        </w:trPr>
        <w:tc>
          <w:tcPr>
            <w:tcW w:w="4160" w:type="dxa"/>
            <w:tcBorders>
              <w:top w:val="nil"/>
              <w:left w:val="single" w:color="auto" w:sz="4" w:space="0"/>
              <w:bottom w:val="single" w:color="auto" w:sz="4" w:space="0"/>
              <w:right w:val="single" w:color="auto" w:sz="4" w:space="0"/>
            </w:tcBorders>
            <w:shd w:val="clear" w:color="auto" w:fill="auto"/>
            <w:noWrap/>
            <w:vAlign w:val="bottom"/>
            <w:hideMark/>
          </w:tcPr>
          <w:p w:rsidRPr="00387AB6" w:rsidR="00453A47" w:rsidP="00453A47" w:rsidRDefault="00453A47" w14:paraId="58F0454F" w14:textId="77777777">
            <w:pPr>
              <w:rPr>
                <w:rFonts w:ascii="Palatino Linotype" w:hAnsi="Palatino Linotype" w:cs="Calibri"/>
                <w:b/>
                <w:bCs/>
                <w:color w:val="000000"/>
                <w:sz w:val="24"/>
                <w:szCs w:val="24"/>
              </w:rPr>
            </w:pPr>
            <w:r w:rsidRPr="00387AB6">
              <w:rPr>
                <w:rFonts w:ascii="Palatino Linotype" w:hAnsi="Palatino Linotype" w:cs="Calibri"/>
                <w:b/>
                <w:bCs/>
                <w:color w:val="000000"/>
                <w:sz w:val="24"/>
                <w:szCs w:val="24"/>
              </w:rPr>
              <w:t xml:space="preserve">Year of Meter Installation </w:t>
            </w:r>
            <w:r w:rsidRPr="00387AB6">
              <w:rPr>
                <w:rFonts w:ascii="Times New Roman" w:hAnsi="Times New Roman"/>
                <w:b/>
                <w:bCs/>
                <w:color w:val="000000"/>
                <w:sz w:val="24"/>
                <w:szCs w:val="24"/>
              </w:rPr>
              <w:t>↓</w:t>
            </w:r>
          </w:p>
        </w:tc>
        <w:tc>
          <w:tcPr>
            <w:tcW w:w="1651" w:type="dxa"/>
            <w:tcBorders>
              <w:top w:val="nil"/>
              <w:left w:val="nil"/>
              <w:bottom w:val="nil"/>
              <w:right w:val="single" w:color="auto" w:sz="4" w:space="0"/>
            </w:tcBorders>
            <w:shd w:val="clear" w:color="auto" w:fill="auto"/>
            <w:noWrap/>
            <w:vAlign w:val="bottom"/>
            <w:hideMark/>
          </w:tcPr>
          <w:p w:rsidRPr="00387AB6" w:rsidR="00453A47" w:rsidP="00453A47" w:rsidRDefault="00453A47" w14:paraId="149FD82B"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Singlefamily</w:t>
            </w:r>
          </w:p>
        </w:tc>
        <w:tc>
          <w:tcPr>
            <w:tcW w:w="1580" w:type="dxa"/>
            <w:tcBorders>
              <w:top w:val="nil"/>
              <w:left w:val="nil"/>
              <w:bottom w:val="single" w:color="auto" w:sz="4" w:space="0"/>
              <w:right w:val="nil"/>
            </w:tcBorders>
            <w:shd w:val="clear" w:color="auto" w:fill="auto"/>
            <w:noWrap/>
            <w:vAlign w:val="bottom"/>
            <w:hideMark/>
          </w:tcPr>
          <w:p w:rsidRPr="00387AB6" w:rsidR="00453A47" w:rsidP="00453A47" w:rsidRDefault="00453A47" w14:paraId="5334B5BF"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Multifamily</w:t>
            </w:r>
          </w:p>
        </w:tc>
        <w:tc>
          <w:tcPr>
            <w:tcW w:w="1651" w:type="dxa"/>
            <w:tcBorders>
              <w:top w:val="nil"/>
              <w:left w:val="single" w:color="auto" w:sz="4" w:space="0"/>
              <w:bottom w:val="single" w:color="auto" w:sz="4" w:space="0"/>
              <w:right w:val="single" w:color="auto" w:sz="4" w:space="0"/>
            </w:tcBorders>
            <w:shd w:val="clear" w:color="auto" w:fill="auto"/>
            <w:noWrap/>
            <w:vAlign w:val="bottom"/>
            <w:hideMark/>
          </w:tcPr>
          <w:p w:rsidRPr="00387AB6" w:rsidR="00453A47" w:rsidP="00453A47" w:rsidRDefault="00453A47" w14:paraId="282D4F35"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Singlefamily</w:t>
            </w:r>
          </w:p>
        </w:tc>
        <w:tc>
          <w:tcPr>
            <w:tcW w:w="1580" w:type="dxa"/>
            <w:tcBorders>
              <w:top w:val="nil"/>
              <w:left w:val="nil"/>
              <w:bottom w:val="single" w:color="auto" w:sz="4" w:space="0"/>
              <w:right w:val="single" w:color="auto" w:sz="4" w:space="0"/>
            </w:tcBorders>
            <w:shd w:val="clear" w:color="auto" w:fill="auto"/>
            <w:noWrap/>
            <w:vAlign w:val="bottom"/>
            <w:hideMark/>
          </w:tcPr>
          <w:p w:rsidRPr="00387AB6" w:rsidR="00453A47" w:rsidP="00453A47" w:rsidRDefault="00453A47" w14:paraId="6D447087"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Multifamily</w:t>
            </w:r>
          </w:p>
        </w:tc>
        <w:tc>
          <w:tcPr>
            <w:tcW w:w="1651" w:type="dxa"/>
            <w:tcBorders>
              <w:top w:val="nil"/>
              <w:left w:val="nil"/>
              <w:bottom w:val="nil"/>
              <w:right w:val="single" w:color="auto" w:sz="4" w:space="0"/>
            </w:tcBorders>
            <w:shd w:val="clear" w:color="auto" w:fill="auto"/>
            <w:noWrap/>
            <w:vAlign w:val="bottom"/>
            <w:hideMark/>
          </w:tcPr>
          <w:p w:rsidRPr="00387AB6" w:rsidR="00453A47" w:rsidP="00453A47" w:rsidRDefault="00453A47" w14:paraId="759DE7CC"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Singlefamily</w:t>
            </w:r>
          </w:p>
        </w:tc>
        <w:tc>
          <w:tcPr>
            <w:tcW w:w="1580" w:type="dxa"/>
            <w:tcBorders>
              <w:top w:val="nil"/>
              <w:left w:val="nil"/>
              <w:bottom w:val="nil"/>
              <w:right w:val="double" w:color="auto" w:sz="6" w:space="0"/>
            </w:tcBorders>
            <w:shd w:val="clear" w:color="auto" w:fill="auto"/>
            <w:noWrap/>
            <w:vAlign w:val="bottom"/>
            <w:hideMark/>
          </w:tcPr>
          <w:p w:rsidRPr="00387AB6" w:rsidR="00453A47" w:rsidP="00453A47" w:rsidRDefault="00453A47" w14:paraId="45D26795"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Multifamily</w:t>
            </w:r>
          </w:p>
        </w:tc>
        <w:tc>
          <w:tcPr>
            <w:tcW w:w="1651" w:type="dxa"/>
            <w:tcBorders>
              <w:top w:val="nil"/>
              <w:left w:val="nil"/>
              <w:bottom w:val="single" w:color="auto" w:sz="4" w:space="0"/>
              <w:right w:val="single" w:color="auto" w:sz="4" w:space="0"/>
            </w:tcBorders>
            <w:shd w:val="clear" w:color="auto" w:fill="auto"/>
            <w:noWrap/>
            <w:vAlign w:val="bottom"/>
            <w:hideMark/>
          </w:tcPr>
          <w:p w:rsidRPr="00387AB6" w:rsidR="00453A47" w:rsidP="00453A47" w:rsidRDefault="00453A47" w14:paraId="33DC9D51"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Singlefamily</w:t>
            </w:r>
          </w:p>
        </w:tc>
        <w:tc>
          <w:tcPr>
            <w:tcW w:w="1580" w:type="dxa"/>
            <w:tcBorders>
              <w:top w:val="nil"/>
              <w:left w:val="nil"/>
              <w:bottom w:val="single" w:color="auto" w:sz="4" w:space="0"/>
              <w:right w:val="single" w:color="auto" w:sz="8" w:space="0"/>
            </w:tcBorders>
            <w:shd w:val="clear" w:color="auto" w:fill="auto"/>
            <w:noWrap/>
            <w:vAlign w:val="bottom"/>
            <w:hideMark/>
          </w:tcPr>
          <w:p w:rsidRPr="00387AB6" w:rsidR="00453A47" w:rsidP="00453A47" w:rsidRDefault="00453A47" w14:paraId="318BEC44" w14:textId="77777777">
            <w:pPr>
              <w:jc w:val="center"/>
              <w:rPr>
                <w:rFonts w:ascii="Palatino Linotype" w:hAnsi="Palatino Linotype" w:cs="Calibri"/>
                <w:i/>
                <w:iCs/>
                <w:color w:val="000000"/>
                <w:sz w:val="24"/>
                <w:szCs w:val="24"/>
              </w:rPr>
            </w:pPr>
            <w:r w:rsidRPr="00387AB6">
              <w:rPr>
                <w:rFonts w:ascii="Palatino Linotype" w:hAnsi="Palatino Linotype" w:cs="Calibri"/>
                <w:i/>
                <w:iCs/>
                <w:color w:val="000000"/>
                <w:sz w:val="24"/>
                <w:szCs w:val="24"/>
              </w:rPr>
              <w:t>Multifamily</w:t>
            </w:r>
          </w:p>
        </w:tc>
      </w:tr>
      <w:tr w:rsidRPr="00387AB6" w:rsidR="00453A47" w:rsidTr="00453A47" w14:paraId="6D003CD2" w14:textId="77777777">
        <w:trPr>
          <w:trHeight w:val="353"/>
        </w:trPr>
        <w:tc>
          <w:tcPr>
            <w:tcW w:w="4160" w:type="dxa"/>
            <w:tcBorders>
              <w:top w:val="nil"/>
              <w:left w:val="single" w:color="auto" w:sz="4" w:space="0"/>
              <w:bottom w:val="single" w:color="auto" w:sz="4" w:space="0"/>
              <w:right w:val="single" w:color="auto" w:sz="4" w:space="0"/>
            </w:tcBorders>
            <w:shd w:val="clear" w:color="auto" w:fill="auto"/>
            <w:noWrap/>
            <w:vAlign w:val="bottom"/>
            <w:hideMark/>
          </w:tcPr>
          <w:p w:rsidRPr="00387AB6" w:rsidR="00453A47" w:rsidP="00453A47" w:rsidRDefault="00453A47" w14:paraId="24B02435"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2020 and after</w:t>
            </w:r>
          </w:p>
        </w:tc>
        <w:tc>
          <w:tcPr>
            <w:tcW w:w="1651" w:type="dxa"/>
            <w:tcBorders>
              <w:top w:val="single" w:color="auto" w:sz="4" w:space="0"/>
              <w:left w:val="nil"/>
              <w:bottom w:val="single" w:color="auto" w:sz="4" w:space="0"/>
              <w:right w:val="single" w:color="auto" w:sz="4" w:space="0"/>
            </w:tcBorders>
            <w:shd w:val="clear" w:color="auto" w:fill="auto"/>
            <w:vAlign w:val="bottom"/>
            <w:hideMark/>
          </w:tcPr>
          <w:p w:rsidRPr="00387AB6" w:rsidR="00453A47" w:rsidP="00453A47" w:rsidRDefault="00453A47" w14:paraId="1469C492"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80" w:type="dxa"/>
            <w:tcBorders>
              <w:top w:val="nil"/>
              <w:left w:val="nil"/>
              <w:bottom w:val="single" w:color="auto" w:sz="4" w:space="0"/>
              <w:right w:val="double" w:color="auto" w:sz="6" w:space="0"/>
            </w:tcBorders>
            <w:shd w:val="clear" w:color="auto" w:fill="auto"/>
            <w:noWrap/>
            <w:vAlign w:val="bottom"/>
            <w:hideMark/>
          </w:tcPr>
          <w:p w:rsidRPr="00387AB6" w:rsidR="00453A47" w:rsidP="00453A47" w:rsidRDefault="00453A47" w14:paraId="38A6DB2C"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51" w:type="dxa"/>
            <w:tcBorders>
              <w:top w:val="nil"/>
              <w:left w:val="nil"/>
              <w:bottom w:val="single" w:color="auto" w:sz="4" w:space="0"/>
              <w:right w:val="nil"/>
            </w:tcBorders>
            <w:shd w:val="clear" w:color="auto" w:fill="auto"/>
            <w:noWrap/>
            <w:vAlign w:val="bottom"/>
            <w:hideMark/>
          </w:tcPr>
          <w:p w:rsidRPr="00387AB6" w:rsidR="00453A47" w:rsidP="00453A47" w:rsidRDefault="00453A47" w14:paraId="7433016C"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80" w:type="dxa"/>
            <w:tcBorders>
              <w:top w:val="nil"/>
              <w:left w:val="nil"/>
              <w:bottom w:val="single" w:color="auto" w:sz="4" w:space="0"/>
              <w:right w:val="nil"/>
            </w:tcBorders>
            <w:shd w:val="clear" w:color="auto" w:fill="auto"/>
            <w:noWrap/>
            <w:vAlign w:val="bottom"/>
            <w:hideMark/>
          </w:tcPr>
          <w:p w:rsidRPr="00387AB6" w:rsidR="00453A47" w:rsidP="00453A47" w:rsidRDefault="00453A47" w14:paraId="63CA6F4A"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51" w:type="dxa"/>
            <w:tcBorders>
              <w:top w:val="single" w:color="auto" w:sz="4" w:space="0"/>
              <w:left w:val="double" w:color="auto" w:sz="6" w:space="0"/>
              <w:bottom w:val="single" w:color="auto" w:sz="4" w:space="0"/>
              <w:right w:val="single" w:color="auto" w:sz="4" w:space="0"/>
            </w:tcBorders>
            <w:shd w:val="clear" w:color="auto" w:fill="auto"/>
            <w:noWrap/>
            <w:vAlign w:val="bottom"/>
            <w:hideMark/>
          </w:tcPr>
          <w:p w:rsidRPr="00387AB6" w:rsidR="00453A47" w:rsidP="00453A47" w:rsidRDefault="00453A47" w14:paraId="681C48D1"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80" w:type="dxa"/>
            <w:tcBorders>
              <w:top w:val="single" w:color="auto" w:sz="4" w:space="0"/>
              <w:left w:val="nil"/>
              <w:bottom w:val="single" w:color="auto" w:sz="4" w:space="0"/>
              <w:right w:val="double" w:color="auto" w:sz="6" w:space="0"/>
            </w:tcBorders>
            <w:shd w:val="clear" w:color="auto" w:fill="auto"/>
            <w:noWrap/>
            <w:vAlign w:val="bottom"/>
            <w:hideMark/>
          </w:tcPr>
          <w:p w:rsidRPr="00387AB6" w:rsidR="00453A47" w:rsidP="00453A47" w:rsidRDefault="00453A47" w14:paraId="20225916"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51" w:type="dxa"/>
            <w:tcBorders>
              <w:top w:val="nil"/>
              <w:left w:val="nil"/>
              <w:bottom w:val="single" w:color="auto" w:sz="4" w:space="0"/>
              <w:right w:val="single" w:color="auto" w:sz="4" w:space="0"/>
            </w:tcBorders>
            <w:shd w:val="clear" w:color="auto" w:fill="auto"/>
            <w:noWrap/>
            <w:vAlign w:val="bottom"/>
            <w:hideMark/>
          </w:tcPr>
          <w:p w:rsidRPr="00387AB6" w:rsidR="00453A47" w:rsidP="00453A47" w:rsidRDefault="00453A47" w14:paraId="60C06EB1"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80" w:type="dxa"/>
            <w:tcBorders>
              <w:top w:val="nil"/>
              <w:left w:val="nil"/>
              <w:bottom w:val="single" w:color="auto" w:sz="4" w:space="0"/>
              <w:right w:val="single" w:color="auto" w:sz="8" w:space="0"/>
            </w:tcBorders>
            <w:shd w:val="clear" w:color="auto" w:fill="auto"/>
            <w:noWrap/>
            <w:vAlign w:val="bottom"/>
            <w:hideMark/>
          </w:tcPr>
          <w:p w:rsidRPr="00387AB6" w:rsidR="00453A47" w:rsidP="00453A47" w:rsidRDefault="00453A47" w14:paraId="51636400"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r>
      <w:tr w:rsidRPr="00387AB6" w:rsidR="00453A47" w:rsidTr="00453A47" w14:paraId="76B881D7" w14:textId="77777777">
        <w:trPr>
          <w:trHeight w:val="353"/>
        </w:trPr>
        <w:tc>
          <w:tcPr>
            <w:tcW w:w="4160" w:type="dxa"/>
            <w:tcBorders>
              <w:top w:val="nil"/>
              <w:left w:val="single" w:color="auto" w:sz="4" w:space="0"/>
              <w:bottom w:val="single" w:color="auto" w:sz="4" w:space="0"/>
              <w:right w:val="single" w:color="auto" w:sz="4" w:space="0"/>
            </w:tcBorders>
            <w:shd w:val="clear" w:color="auto" w:fill="auto"/>
            <w:noWrap/>
            <w:vAlign w:val="bottom"/>
            <w:hideMark/>
          </w:tcPr>
          <w:p w:rsidRPr="00387AB6" w:rsidR="00453A47" w:rsidP="00453A47" w:rsidRDefault="00453A47" w14:paraId="3D2A48EA"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2014-2019</w:t>
            </w:r>
          </w:p>
        </w:tc>
        <w:tc>
          <w:tcPr>
            <w:tcW w:w="1651" w:type="dxa"/>
            <w:tcBorders>
              <w:top w:val="nil"/>
              <w:left w:val="nil"/>
              <w:bottom w:val="single" w:color="auto" w:sz="4" w:space="0"/>
              <w:right w:val="single" w:color="auto" w:sz="4" w:space="0"/>
            </w:tcBorders>
            <w:shd w:val="clear" w:color="auto" w:fill="auto"/>
            <w:vAlign w:val="bottom"/>
            <w:hideMark/>
          </w:tcPr>
          <w:p w:rsidRPr="00387AB6" w:rsidR="00453A47" w:rsidP="00453A47" w:rsidRDefault="00453A47" w14:paraId="1A3BFFF8"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80" w:type="dxa"/>
            <w:tcBorders>
              <w:top w:val="nil"/>
              <w:left w:val="nil"/>
              <w:bottom w:val="single" w:color="auto" w:sz="4" w:space="0"/>
              <w:right w:val="double" w:color="auto" w:sz="6" w:space="0"/>
            </w:tcBorders>
            <w:shd w:val="clear" w:color="auto" w:fill="auto"/>
            <w:noWrap/>
            <w:vAlign w:val="bottom"/>
            <w:hideMark/>
          </w:tcPr>
          <w:p w:rsidRPr="00387AB6" w:rsidR="00453A47" w:rsidP="00453A47" w:rsidRDefault="00453A47" w14:paraId="0AD78119"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51" w:type="dxa"/>
            <w:tcBorders>
              <w:top w:val="nil"/>
              <w:left w:val="nil"/>
              <w:bottom w:val="single" w:color="auto" w:sz="4" w:space="0"/>
              <w:right w:val="nil"/>
            </w:tcBorders>
            <w:shd w:val="clear" w:color="auto" w:fill="auto"/>
            <w:noWrap/>
            <w:vAlign w:val="bottom"/>
            <w:hideMark/>
          </w:tcPr>
          <w:p w:rsidRPr="00387AB6" w:rsidR="00453A47" w:rsidP="00453A47" w:rsidRDefault="00453A47" w14:paraId="088051CF"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80" w:type="dxa"/>
            <w:tcBorders>
              <w:top w:val="nil"/>
              <w:left w:val="nil"/>
              <w:bottom w:val="single" w:color="auto" w:sz="4" w:space="0"/>
              <w:right w:val="nil"/>
            </w:tcBorders>
            <w:shd w:val="clear" w:color="auto" w:fill="auto"/>
            <w:noWrap/>
            <w:vAlign w:val="bottom"/>
            <w:hideMark/>
          </w:tcPr>
          <w:p w:rsidRPr="00387AB6" w:rsidR="00453A47" w:rsidP="00453A47" w:rsidRDefault="00453A47" w14:paraId="3DCF2EBE"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51" w:type="dxa"/>
            <w:tcBorders>
              <w:top w:val="nil"/>
              <w:left w:val="double" w:color="auto" w:sz="6" w:space="0"/>
              <w:bottom w:val="single" w:color="auto" w:sz="4" w:space="0"/>
              <w:right w:val="single" w:color="auto" w:sz="4" w:space="0"/>
            </w:tcBorders>
            <w:shd w:val="clear" w:color="auto" w:fill="auto"/>
            <w:noWrap/>
            <w:vAlign w:val="bottom"/>
            <w:hideMark/>
          </w:tcPr>
          <w:p w:rsidRPr="00387AB6" w:rsidR="00453A47" w:rsidP="00453A47" w:rsidRDefault="00453A47" w14:paraId="5040FFDF"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80" w:type="dxa"/>
            <w:tcBorders>
              <w:top w:val="nil"/>
              <w:left w:val="nil"/>
              <w:bottom w:val="single" w:color="auto" w:sz="4" w:space="0"/>
              <w:right w:val="double" w:color="auto" w:sz="6" w:space="0"/>
            </w:tcBorders>
            <w:shd w:val="clear" w:color="auto" w:fill="auto"/>
            <w:noWrap/>
            <w:vAlign w:val="bottom"/>
            <w:hideMark/>
          </w:tcPr>
          <w:p w:rsidRPr="00387AB6" w:rsidR="00453A47" w:rsidP="00453A47" w:rsidRDefault="00453A47" w14:paraId="68A4E779"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51" w:type="dxa"/>
            <w:tcBorders>
              <w:top w:val="nil"/>
              <w:left w:val="nil"/>
              <w:bottom w:val="single" w:color="auto" w:sz="4" w:space="0"/>
              <w:right w:val="single" w:color="auto" w:sz="4" w:space="0"/>
            </w:tcBorders>
            <w:shd w:val="clear" w:color="auto" w:fill="auto"/>
            <w:noWrap/>
            <w:vAlign w:val="bottom"/>
            <w:hideMark/>
          </w:tcPr>
          <w:p w:rsidRPr="00387AB6" w:rsidR="00453A47" w:rsidP="00453A47" w:rsidRDefault="00453A47" w14:paraId="19510884"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80" w:type="dxa"/>
            <w:tcBorders>
              <w:top w:val="nil"/>
              <w:left w:val="nil"/>
              <w:bottom w:val="single" w:color="auto" w:sz="4" w:space="0"/>
              <w:right w:val="single" w:color="auto" w:sz="8" w:space="0"/>
            </w:tcBorders>
            <w:shd w:val="clear" w:color="auto" w:fill="auto"/>
            <w:noWrap/>
            <w:vAlign w:val="bottom"/>
            <w:hideMark/>
          </w:tcPr>
          <w:p w:rsidRPr="00387AB6" w:rsidR="00453A47" w:rsidP="00453A47" w:rsidRDefault="00453A47" w14:paraId="54C07795"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r>
      <w:tr w:rsidRPr="00387AB6" w:rsidR="00453A47" w:rsidTr="00453A47" w14:paraId="2E0DB449" w14:textId="77777777">
        <w:trPr>
          <w:trHeight w:val="353"/>
        </w:trPr>
        <w:tc>
          <w:tcPr>
            <w:tcW w:w="4160" w:type="dxa"/>
            <w:tcBorders>
              <w:top w:val="nil"/>
              <w:left w:val="single" w:color="auto" w:sz="4" w:space="0"/>
              <w:bottom w:val="single" w:color="auto" w:sz="4" w:space="0"/>
              <w:right w:val="single" w:color="auto" w:sz="4" w:space="0"/>
            </w:tcBorders>
            <w:shd w:val="clear" w:color="auto" w:fill="auto"/>
            <w:noWrap/>
            <w:vAlign w:val="bottom"/>
            <w:hideMark/>
          </w:tcPr>
          <w:p w:rsidRPr="00387AB6" w:rsidR="00453A47" w:rsidP="00453A47" w:rsidRDefault="00453A47" w14:paraId="1F5A18D5"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2008-2013</w:t>
            </w:r>
          </w:p>
        </w:tc>
        <w:tc>
          <w:tcPr>
            <w:tcW w:w="1651" w:type="dxa"/>
            <w:tcBorders>
              <w:top w:val="nil"/>
              <w:left w:val="nil"/>
              <w:bottom w:val="single" w:color="auto" w:sz="4" w:space="0"/>
              <w:right w:val="single" w:color="auto" w:sz="4" w:space="0"/>
            </w:tcBorders>
            <w:shd w:val="clear" w:color="auto" w:fill="auto"/>
            <w:vAlign w:val="bottom"/>
            <w:hideMark/>
          </w:tcPr>
          <w:p w:rsidRPr="00387AB6" w:rsidR="00453A47" w:rsidP="00453A47" w:rsidRDefault="00453A47" w14:paraId="5E776371"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80" w:type="dxa"/>
            <w:tcBorders>
              <w:top w:val="nil"/>
              <w:left w:val="nil"/>
              <w:bottom w:val="single" w:color="auto" w:sz="4" w:space="0"/>
              <w:right w:val="double" w:color="auto" w:sz="6" w:space="0"/>
            </w:tcBorders>
            <w:shd w:val="clear" w:color="auto" w:fill="auto"/>
            <w:noWrap/>
            <w:vAlign w:val="bottom"/>
            <w:hideMark/>
          </w:tcPr>
          <w:p w:rsidRPr="00387AB6" w:rsidR="00453A47" w:rsidP="00453A47" w:rsidRDefault="00453A47" w14:paraId="252ECB81"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51" w:type="dxa"/>
            <w:tcBorders>
              <w:top w:val="nil"/>
              <w:left w:val="nil"/>
              <w:bottom w:val="single" w:color="auto" w:sz="4" w:space="0"/>
              <w:right w:val="nil"/>
            </w:tcBorders>
            <w:shd w:val="clear" w:color="auto" w:fill="auto"/>
            <w:noWrap/>
            <w:vAlign w:val="bottom"/>
            <w:hideMark/>
          </w:tcPr>
          <w:p w:rsidRPr="00387AB6" w:rsidR="00453A47" w:rsidP="00453A47" w:rsidRDefault="00453A47" w14:paraId="0F41EB75"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80" w:type="dxa"/>
            <w:tcBorders>
              <w:top w:val="nil"/>
              <w:left w:val="nil"/>
              <w:bottom w:val="single" w:color="auto" w:sz="4" w:space="0"/>
              <w:right w:val="nil"/>
            </w:tcBorders>
            <w:shd w:val="clear" w:color="auto" w:fill="auto"/>
            <w:noWrap/>
            <w:vAlign w:val="bottom"/>
            <w:hideMark/>
          </w:tcPr>
          <w:p w:rsidRPr="00387AB6" w:rsidR="00453A47" w:rsidP="00453A47" w:rsidRDefault="00453A47" w14:paraId="6EF2A7F1"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51" w:type="dxa"/>
            <w:tcBorders>
              <w:top w:val="nil"/>
              <w:left w:val="double" w:color="auto" w:sz="6" w:space="0"/>
              <w:bottom w:val="single" w:color="auto" w:sz="4" w:space="0"/>
              <w:right w:val="single" w:color="auto" w:sz="4" w:space="0"/>
            </w:tcBorders>
            <w:shd w:val="clear" w:color="auto" w:fill="auto"/>
            <w:noWrap/>
            <w:vAlign w:val="bottom"/>
            <w:hideMark/>
          </w:tcPr>
          <w:p w:rsidRPr="00387AB6" w:rsidR="00453A47" w:rsidP="00453A47" w:rsidRDefault="00453A47" w14:paraId="6E21AA7B"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80" w:type="dxa"/>
            <w:tcBorders>
              <w:top w:val="nil"/>
              <w:left w:val="nil"/>
              <w:bottom w:val="single" w:color="auto" w:sz="4" w:space="0"/>
              <w:right w:val="double" w:color="auto" w:sz="6" w:space="0"/>
            </w:tcBorders>
            <w:shd w:val="clear" w:color="auto" w:fill="auto"/>
            <w:noWrap/>
            <w:vAlign w:val="bottom"/>
            <w:hideMark/>
          </w:tcPr>
          <w:p w:rsidRPr="00387AB6" w:rsidR="00453A47" w:rsidP="00453A47" w:rsidRDefault="00453A47" w14:paraId="1C961A1C"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51" w:type="dxa"/>
            <w:tcBorders>
              <w:top w:val="nil"/>
              <w:left w:val="nil"/>
              <w:bottom w:val="single" w:color="auto" w:sz="4" w:space="0"/>
              <w:right w:val="single" w:color="auto" w:sz="4" w:space="0"/>
            </w:tcBorders>
            <w:shd w:val="clear" w:color="auto" w:fill="auto"/>
            <w:noWrap/>
            <w:vAlign w:val="bottom"/>
            <w:hideMark/>
          </w:tcPr>
          <w:p w:rsidRPr="00387AB6" w:rsidR="00453A47" w:rsidP="00453A47" w:rsidRDefault="00453A47" w14:paraId="45746D87"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80" w:type="dxa"/>
            <w:tcBorders>
              <w:top w:val="nil"/>
              <w:left w:val="nil"/>
              <w:bottom w:val="single" w:color="auto" w:sz="4" w:space="0"/>
              <w:right w:val="single" w:color="auto" w:sz="8" w:space="0"/>
            </w:tcBorders>
            <w:shd w:val="clear" w:color="auto" w:fill="auto"/>
            <w:noWrap/>
            <w:vAlign w:val="bottom"/>
            <w:hideMark/>
          </w:tcPr>
          <w:p w:rsidRPr="00387AB6" w:rsidR="00453A47" w:rsidP="00453A47" w:rsidRDefault="00453A47" w14:paraId="1E9AA737"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r>
      <w:tr w:rsidRPr="00387AB6" w:rsidR="00453A47" w:rsidTr="00453A47" w14:paraId="694865FA" w14:textId="77777777">
        <w:trPr>
          <w:trHeight w:val="353"/>
        </w:trPr>
        <w:tc>
          <w:tcPr>
            <w:tcW w:w="4160" w:type="dxa"/>
            <w:tcBorders>
              <w:top w:val="nil"/>
              <w:left w:val="single" w:color="auto" w:sz="4" w:space="0"/>
              <w:bottom w:val="single" w:color="auto" w:sz="4" w:space="0"/>
              <w:right w:val="single" w:color="auto" w:sz="4" w:space="0"/>
            </w:tcBorders>
            <w:shd w:val="clear" w:color="auto" w:fill="auto"/>
            <w:noWrap/>
            <w:vAlign w:val="bottom"/>
            <w:hideMark/>
          </w:tcPr>
          <w:p w:rsidRPr="00387AB6" w:rsidR="00453A47" w:rsidP="00453A47" w:rsidRDefault="00453A47" w14:paraId="5ECA1D0C"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2002-2007</w:t>
            </w:r>
          </w:p>
        </w:tc>
        <w:tc>
          <w:tcPr>
            <w:tcW w:w="1651" w:type="dxa"/>
            <w:tcBorders>
              <w:top w:val="nil"/>
              <w:left w:val="nil"/>
              <w:bottom w:val="single" w:color="auto" w:sz="4" w:space="0"/>
              <w:right w:val="single" w:color="auto" w:sz="4" w:space="0"/>
            </w:tcBorders>
            <w:shd w:val="clear" w:color="auto" w:fill="auto"/>
            <w:noWrap/>
            <w:vAlign w:val="bottom"/>
            <w:hideMark/>
          </w:tcPr>
          <w:p w:rsidRPr="00387AB6" w:rsidR="00453A47" w:rsidP="00453A47" w:rsidRDefault="00453A47" w14:paraId="0AC94EF9"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80" w:type="dxa"/>
            <w:tcBorders>
              <w:top w:val="nil"/>
              <w:left w:val="nil"/>
              <w:bottom w:val="single" w:color="auto" w:sz="4" w:space="0"/>
              <w:right w:val="double" w:color="auto" w:sz="6" w:space="0"/>
            </w:tcBorders>
            <w:shd w:val="clear" w:color="auto" w:fill="auto"/>
            <w:noWrap/>
            <w:vAlign w:val="bottom"/>
            <w:hideMark/>
          </w:tcPr>
          <w:p w:rsidRPr="00387AB6" w:rsidR="00453A47" w:rsidP="00453A47" w:rsidRDefault="00453A47" w14:paraId="67E7525D"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51" w:type="dxa"/>
            <w:tcBorders>
              <w:top w:val="nil"/>
              <w:left w:val="nil"/>
              <w:bottom w:val="single" w:color="auto" w:sz="4" w:space="0"/>
              <w:right w:val="nil"/>
            </w:tcBorders>
            <w:shd w:val="clear" w:color="auto" w:fill="auto"/>
            <w:noWrap/>
            <w:vAlign w:val="bottom"/>
            <w:hideMark/>
          </w:tcPr>
          <w:p w:rsidRPr="00387AB6" w:rsidR="00453A47" w:rsidP="00453A47" w:rsidRDefault="00453A47" w14:paraId="304FA48F"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80" w:type="dxa"/>
            <w:tcBorders>
              <w:top w:val="nil"/>
              <w:left w:val="nil"/>
              <w:bottom w:val="single" w:color="auto" w:sz="4" w:space="0"/>
              <w:right w:val="nil"/>
            </w:tcBorders>
            <w:shd w:val="clear" w:color="auto" w:fill="auto"/>
            <w:noWrap/>
            <w:vAlign w:val="bottom"/>
            <w:hideMark/>
          </w:tcPr>
          <w:p w:rsidRPr="00387AB6" w:rsidR="00453A47" w:rsidP="00453A47" w:rsidRDefault="00453A47" w14:paraId="7A68D591"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51" w:type="dxa"/>
            <w:tcBorders>
              <w:top w:val="nil"/>
              <w:left w:val="double" w:color="auto" w:sz="6" w:space="0"/>
              <w:bottom w:val="single" w:color="auto" w:sz="4" w:space="0"/>
              <w:right w:val="single" w:color="auto" w:sz="4" w:space="0"/>
            </w:tcBorders>
            <w:shd w:val="clear" w:color="auto" w:fill="auto"/>
            <w:noWrap/>
            <w:vAlign w:val="bottom"/>
            <w:hideMark/>
          </w:tcPr>
          <w:p w:rsidRPr="00387AB6" w:rsidR="00453A47" w:rsidP="00453A47" w:rsidRDefault="00453A47" w14:paraId="22D610CA"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80" w:type="dxa"/>
            <w:tcBorders>
              <w:top w:val="nil"/>
              <w:left w:val="nil"/>
              <w:bottom w:val="single" w:color="auto" w:sz="4" w:space="0"/>
              <w:right w:val="double" w:color="auto" w:sz="6" w:space="0"/>
            </w:tcBorders>
            <w:shd w:val="clear" w:color="auto" w:fill="auto"/>
            <w:noWrap/>
            <w:vAlign w:val="bottom"/>
            <w:hideMark/>
          </w:tcPr>
          <w:p w:rsidRPr="00387AB6" w:rsidR="00453A47" w:rsidP="00453A47" w:rsidRDefault="00453A47" w14:paraId="094EEBA1"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51" w:type="dxa"/>
            <w:tcBorders>
              <w:top w:val="nil"/>
              <w:left w:val="nil"/>
              <w:bottom w:val="single" w:color="auto" w:sz="4" w:space="0"/>
              <w:right w:val="single" w:color="auto" w:sz="4" w:space="0"/>
            </w:tcBorders>
            <w:shd w:val="clear" w:color="auto" w:fill="auto"/>
            <w:noWrap/>
            <w:vAlign w:val="bottom"/>
            <w:hideMark/>
          </w:tcPr>
          <w:p w:rsidRPr="00387AB6" w:rsidR="00453A47" w:rsidP="00453A47" w:rsidRDefault="00453A47" w14:paraId="33B23596"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80" w:type="dxa"/>
            <w:tcBorders>
              <w:top w:val="nil"/>
              <w:left w:val="nil"/>
              <w:bottom w:val="single" w:color="auto" w:sz="4" w:space="0"/>
              <w:right w:val="single" w:color="auto" w:sz="8" w:space="0"/>
            </w:tcBorders>
            <w:shd w:val="clear" w:color="auto" w:fill="auto"/>
            <w:noWrap/>
            <w:vAlign w:val="bottom"/>
            <w:hideMark/>
          </w:tcPr>
          <w:p w:rsidRPr="00387AB6" w:rsidR="00453A47" w:rsidP="00453A47" w:rsidRDefault="00453A47" w14:paraId="56BE9AE0"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r>
      <w:tr w:rsidRPr="00387AB6" w:rsidR="00453A47" w:rsidTr="00453A47" w14:paraId="4B012945" w14:textId="77777777">
        <w:trPr>
          <w:trHeight w:val="353"/>
        </w:trPr>
        <w:tc>
          <w:tcPr>
            <w:tcW w:w="4160" w:type="dxa"/>
            <w:tcBorders>
              <w:top w:val="nil"/>
              <w:left w:val="single" w:color="auto" w:sz="4" w:space="0"/>
              <w:bottom w:val="single" w:color="auto" w:sz="4" w:space="0"/>
              <w:right w:val="single" w:color="auto" w:sz="4" w:space="0"/>
            </w:tcBorders>
            <w:shd w:val="clear" w:color="auto" w:fill="auto"/>
            <w:noWrap/>
            <w:vAlign w:val="bottom"/>
            <w:hideMark/>
          </w:tcPr>
          <w:p w:rsidRPr="00387AB6" w:rsidR="00453A47" w:rsidP="00453A47" w:rsidRDefault="00453A47" w14:paraId="197D2986"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1996-2001</w:t>
            </w:r>
          </w:p>
        </w:tc>
        <w:tc>
          <w:tcPr>
            <w:tcW w:w="1651" w:type="dxa"/>
            <w:tcBorders>
              <w:top w:val="nil"/>
              <w:left w:val="nil"/>
              <w:bottom w:val="single" w:color="auto" w:sz="4" w:space="0"/>
              <w:right w:val="single" w:color="auto" w:sz="4" w:space="0"/>
            </w:tcBorders>
            <w:shd w:val="clear" w:color="auto" w:fill="auto"/>
            <w:noWrap/>
            <w:vAlign w:val="bottom"/>
            <w:hideMark/>
          </w:tcPr>
          <w:p w:rsidRPr="00387AB6" w:rsidR="00453A47" w:rsidP="00453A47" w:rsidRDefault="00453A47" w14:paraId="71AEBD43"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80" w:type="dxa"/>
            <w:tcBorders>
              <w:top w:val="nil"/>
              <w:left w:val="nil"/>
              <w:bottom w:val="single" w:color="auto" w:sz="4" w:space="0"/>
              <w:right w:val="double" w:color="auto" w:sz="6" w:space="0"/>
            </w:tcBorders>
            <w:shd w:val="clear" w:color="auto" w:fill="auto"/>
            <w:noWrap/>
            <w:vAlign w:val="bottom"/>
            <w:hideMark/>
          </w:tcPr>
          <w:p w:rsidRPr="00387AB6" w:rsidR="00453A47" w:rsidP="00453A47" w:rsidRDefault="00453A47" w14:paraId="579FAD66"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51" w:type="dxa"/>
            <w:tcBorders>
              <w:top w:val="nil"/>
              <w:left w:val="nil"/>
              <w:bottom w:val="single" w:color="auto" w:sz="4" w:space="0"/>
              <w:right w:val="nil"/>
            </w:tcBorders>
            <w:shd w:val="clear" w:color="auto" w:fill="auto"/>
            <w:noWrap/>
            <w:vAlign w:val="bottom"/>
            <w:hideMark/>
          </w:tcPr>
          <w:p w:rsidRPr="00387AB6" w:rsidR="00453A47" w:rsidP="00453A47" w:rsidRDefault="00453A47" w14:paraId="23CBF7DA"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80" w:type="dxa"/>
            <w:tcBorders>
              <w:top w:val="nil"/>
              <w:left w:val="nil"/>
              <w:bottom w:val="single" w:color="auto" w:sz="4" w:space="0"/>
              <w:right w:val="nil"/>
            </w:tcBorders>
            <w:shd w:val="clear" w:color="auto" w:fill="auto"/>
            <w:noWrap/>
            <w:vAlign w:val="bottom"/>
            <w:hideMark/>
          </w:tcPr>
          <w:p w:rsidRPr="00387AB6" w:rsidR="00453A47" w:rsidP="00453A47" w:rsidRDefault="00453A47" w14:paraId="62F018D8"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51" w:type="dxa"/>
            <w:tcBorders>
              <w:top w:val="nil"/>
              <w:left w:val="double" w:color="auto" w:sz="6" w:space="0"/>
              <w:bottom w:val="single" w:color="auto" w:sz="4" w:space="0"/>
              <w:right w:val="single" w:color="auto" w:sz="4" w:space="0"/>
            </w:tcBorders>
            <w:shd w:val="clear" w:color="auto" w:fill="auto"/>
            <w:noWrap/>
            <w:vAlign w:val="bottom"/>
            <w:hideMark/>
          </w:tcPr>
          <w:p w:rsidRPr="00387AB6" w:rsidR="00453A47" w:rsidP="00453A47" w:rsidRDefault="00453A47" w14:paraId="2FF60E95"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80" w:type="dxa"/>
            <w:tcBorders>
              <w:top w:val="nil"/>
              <w:left w:val="nil"/>
              <w:bottom w:val="single" w:color="auto" w:sz="4" w:space="0"/>
              <w:right w:val="double" w:color="auto" w:sz="6" w:space="0"/>
            </w:tcBorders>
            <w:shd w:val="clear" w:color="auto" w:fill="auto"/>
            <w:noWrap/>
            <w:vAlign w:val="bottom"/>
            <w:hideMark/>
          </w:tcPr>
          <w:p w:rsidRPr="00387AB6" w:rsidR="00453A47" w:rsidP="00453A47" w:rsidRDefault="00453A47" w14:paraId="0D9A2420"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51" w:type="dxa"/>
            <w:tcBorders>
              <w:top w:val="nil"/>
              <w:left w:val="nil"/>
              <w:bottom w:val="single" w:color="auto" w:sz="4" w:space="0"/>
              <w:right w:val="single" w:color="auto" w:sz="4" w:space="0"/>
            </w:tcBorders>
            <w:shd w:val="clear" w:color="auto" w:fill="auto"/>
            <w:noWrap/>
            <w:vAlign w:val="bottom"/>
            <w:hideMark/>
          </w:tcPr>
          <w:p w:rsidRPr="00387AB6" w:rsidR="00453A47" w:rsidP="00453A47" w:rsidRDefault="00453A47" w14:paraId="6D68A9BA"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80" w:type="dxa"/>
            <w:tcBorders>
              <w:top w:val="nil"/>
              <w:left w:val="nil"/>
              <w:bottom w:val="single" w:color="auto" w:sz="4" w:space="0"/>
              <w:right w:val="single" w:color="auto" w:sz="8" w:space="0"/>
            </w:tcBorders>
            <w:shd w:val="clear" w:color="auto" w:fill="auto"/>
            <w:noWrap/>
            <w:vAlign w:val="bottom"/>
            <w:hideMark/>
          </w:tcPr>
          <w:p w:rsidRPr="00387AB6" w:rsidR="00453A47" w:rsidP="00453A47" w:rsidRDefault="00453A47" w14:paraId="6344370F"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r>
      <w:tr w:rsidRPr="00387AB6" w:rsidR="00453A47" w:rsidTr="00453A47" w14:paraId="428E4407" w14:textId="77777777">
        <w:trPr>
          <w:trHeight w:val="353"/>
        </w:trPr>
        <w:tc>
          <w:tcPr>
            <w:tcW w:w="4160" w:type="dxa"/>
            <w:tcBorders>
              <w:top w:val="nil"/>
              <w:left w:val="single" w:color="auto" w:sz="4" w:space="0"/>
              <w:bottom w:val="single" w:color="auto" w:sz="4" w:space="0"/>
              <w:right w:val="single" w:color="auto" w:sz="4" w:space="0"/>
            </w:tcBorders>
            <w:shd w:val="clear" w:color="auto" w:fill="auto"/>
            <w:noWrap/>
            <w:vAlign w:val="bottom"/>
            <w:hideMark/>
          </w:tcPr>
          <w:p w:rsidRPr="00387AB6" w:rsidR="00453A47" w:rsidP="00453A47" w:rsidRDefault="00453A47" w14:paraId="06990859"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1990-1995</w:t>
            </w:r>
          </w:p>
        </w:tc>
        <w:tc>
          <w:tcPr>
            <w:tcW w:w="1651" w:type="dxa"/>
            <w:tcBorders>
              <w:top w:val="nil"/>
              <w:left w:val="nil"/>
              <w:bottom w:val="single" w:color="auto" w:sz="4" w:space="0"/>
              <w:right w:val="single" w:color="auto" w:sz="4" w:space="0"/>
            </w:tcBorders>
            <w:shd w:val="clear" w:color="auto" w:fill="auto"/>
            <w:noWrap/>
            <w:vAlign w:val="bottom"/>
            <w:hideMark/>
          </w:tcPr>
          <w:p w:rsidRPr="00387AB6" w:rsidR="00453A47" w:rsidP="00453A47" w:rsidRDefault="00453A47" w14:paraId="37E1EE5D"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80" w:type="dxa"/>
            <w:tcBorders>
              <w:top w:val="nil"/>
              <w:left w:val="nil"/>
              <w:bottom w:val="single" w:color="auto" w:sz="4" w:space="0"/>
              <w:right w:val="double" w:color="auto" w:sz="6" w:space="0"/>
            </w:tcBorders>
            <w:shd w:val="clear" w:color="auto" w:fill="auto"/>
            <w:noWrap/>
            <w:vAlign w:val="bottom"/>
            <w:hideMark/>
          </w:tcPr>
          <w:p w:rsidRPr="00387AB6" w:rsidR="00453A47" w:rsidP="00453A47" w:rsidRDefault="00453A47" w14:paraId="718229D1"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51" w:type="dxa"/>
            <w:tcBorders>
              <w:top w:val="nil"/>
              <w:left w:val="nil"/>
              <w:bottom w:val="single" w:color="auto" w:sz="4" w:space="0"/>
              <w:right w:val="nil"/>
            </w:tcBorders>
            <w:shd w:val="clear" w:color="auto" w:fill="auto"/>
            <w:noWrap/>
            <w:vAlign w:val="bottom"/>
            <w:hideMark/>
          </w:tcPr>
          <w:p w:rsidRPr="00387AB6" w:rsidR="00453A47" w:rsidP="00453A47" w:rsidRDefault="00453A47" w14:paraId="298B346F"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80" w:type="dxa"/>
            <w:tcBorders>
              <w:top w:val="nil"/>
              <w:left w:val="nil"/>
              <w:bottom w:val="single" w:color="auto" w:sz="4" w:space="0"/>
              <w:right w:val="nil"/>
            </w:tcBorders>
            <w:shd w:val="clear" w:color="auto" w:fill="auto"/>
            <w:noWrap/>
            <w:vAlign w:val="bottom"/>
            <w:hideMark/>
          </w:tcPr>
          <w:p w:rsidRPr="00387AB6" w:rsidR="00453A47" w:rsidP="00453A47" w:rsidRDefault="00453A47" w14:paraId="5C674364"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51" w:type="dxa"/>
            <w:tcBorders>
              <w:top w:val="nil"/>
              <w:left w:val="double" w:color="auto" w:sz="6" w:space="0"/>
              <w:bottom w:val="single" w:color="auto" w:sz="4" w:space="0"/>
              <w:right w:val="single" w:color="auto" w:sz="4" w:space="0"/>
            </w:tcBorders>
            <w:shd w:val="clear" w:color="auto" w:fill="auto"/>
            <w:noWrap/>
            <w:vAlign w:val="bottom"/>
            <w:hideMark/>
          </w:tcPr>
          <w:p w:rsidRPr="00387AB6" w:rsidR="00453A47" w:rsidP="00453A47" w:rsidRDefault="00453A47" w14:paraId="00912E98"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80" w:type="dxa"/>
            <w:tcBorders>
              <w:top w:val="nil"/>
              <w:left w:val="nil"/>
              <w:bottom w:val="single" w:color="auto" w:sz="4" w:space="0"/>
              <w:right w:val="double" w:color="auto" w:sz="6" w:space="0"/>
            </w:tcBorders>
            <w:shd w:val="clear" w:color="auto" w:fill="auto"/>
            <w:noWrap/>
            <w:vAlign w:val="bottom"/>
            <w:hideMark/>
          </w:tcPr>
          <w:p w:rsidRPr="00387AB6" w:rsidR="00453A47" w:rsidP="00453A47" w:rsidRDefault="00453A47" w14:paraId="5CB539D6"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51" w:type="dxa"/>
            <w:tcBorders>
              <w:top w:val="nil"/>
              <w:left w:val="nil"/>
              <w:bottom w:val="single" w:color="auto" w:sz="4" w:space="0"/>
              <w:right w:val="single" w:color="auto" w:sz="4" w:space="0"/>
            </w:tcBorders>
            <w:shd w:val="clear" w:color="auto" w:fill="auto"/>
            <w:noWrap/>
            <w:vAlign w:val="bottom"/>
            <w:hideMark/>
          </w:tcPr>
          <w:p w:rsidRPr="00387AB6" w:rsidR="00453A47" w:rsidP="00453A47" w:rsidRDefault="00453A47" w14:paraId="2F789E90"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80" w:type="dxa"/>
            <w:tcBorders>
              <w:top w:val="nil"/>
              <w:left w:val="nil"/>
              <w:bottom w:val="single" w:color="auto" w:sz="4" w:space="0"/>
              <w:right w:val="single" w:color="auto" w:sz="8" w:space="0"/>
            </w:tcBorders>
            <w:shd w:val="clear" w:color="auto" w:fill="auto"/>
            <w:noWrap/>
            <w:vAlign w:val="bottom"/>
            <w:hideMark/>
          </w:tcPr>
          <w:p w:rsidRPr="00387AB6" w:rsidR="00453A47" w:rsidP="00453A47" w:rsidRDefault="00453A47" w14:paraId="4167B4C2"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r>
      <w:tr w:rsidRPr="00387AB6" w:rsidR="00453A47" w:rsidTr="00453A47" w14:paraId="39721A34" w14:textId="77777777">
        <w:trPr>
          <w:trHeight w:val="353"/>
        </w:trPr>
        <w:tc>
          <w:tcPr>
            <w:tcW w:w="4160" w:type="dxa"/>
            <w:tcBorders>
              <w:top w:val="nil"/>
              <w:left w:val="single" w:color="auto" w:sz="4" w:space="0"/>
              <w:bottom w:val="single" w:color="auto" w:sz="4" w:space="0"/>
              <w:right w:val="single" w:color="auto" w:sz="4" w:space="0"/>
            </w:tcBorders>
            <w:shd w:val="clear" w:color="auto" w:fill="auto"/>
            <w:noWrap/>
            <w:vAlign w:val="bottom"/>
            <w:hideMark/>
          </w:tcPr>
          <w:p w:rsidRPr="00387AB6" w:rsidR="00453A47" w:rsidP="00453A47" w:rsidRDefault="00453A47" w14:paraId="66D49A4E"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1978-1989</w:t>
            </w:r>
          </w:p>
        </w:tc>
        <w:tc>
          <w:tcPr>
            <w:tcW w:w="1651" w:type="dxa"/>
            <w:tcBorders>
              <w:top w:val="nil"/>
              <w:left w:val="nil"/>
              <w:bottom w:val="single" w:color="auto" w:sz="4" w:space="0"/>
              <w:right w:val="single" w:color="auto" w:sz="4" w:space="0"/>
            </w:tcBorders>
            <w:shd w:val="clear" w:color="auto" w:fill="auto"/>
            <w:noWrap/>
            <w:vAlign w:val="bottom"/>
            <w:hideMark/>
          </w:tcPr>
          <w:p w:rsidRPr="00387AB6" w:rsidR="00453A47" w:rsidP="00453A47" w:rsidRDefault="00453A47" w14:paraId="05309368"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80" w:type="dxa"/>
            <w:tcBorders>
              <w:top w:val="nil"/>
              <w:left w:val="nil"/>
              <w:bottom w:val="single" w:color="auto" w:sz="4" w:space="0"/>
              <w:right w:val="double" w:color="auto" w:sz="6" w:space="0"/>
            </w:tcBorders>
            <w:shd w:val="clear" w:color="auto" w:fill="auto"/>
            <w:noWrap/>
            <w:vAlign w:val="bottom"/>
            <w:hideMark/>
          </w:tcPr>
          <w:p w:rsidRPr="00387AB6" w:rsidR="00453A47" w:rsidP="00453A47" w:rsidRDefault="00453A47" w14:paraId="3393B3EE"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51" w:type="dxa"/>
            <w:tcBorders>
              <w:top w:val="nil"/>
              <w:left w:val="nil"/>
              <w:bottom w:val="single" w:color="auto" w:sz="4" w:space="0"/>
              <w:right w:val="nil"/>
            </w:tcBorders>
            <w:shd w:val="clear" w:color="auto" w:fill="auto"/>
            <w:noWrap/>
            <w:vAlign w:val="bottom"/>
            <w:hideMark/>
          </w:tcPr>
          <w:p w:rsidRPr="00387AB6" w:rsidR="00453A47" w:rsidP="00453A47" w:rsidRDefault="00453A47" w14:paraId="446A7F50"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80" w:type="dxa"/>
            <w:tcBorders>
              <w:top w:val="nil"/>
              <w:left w:val="nil"/>
              <w:bottom w:val="single" w:color="auto" w:sz="4" w:space="0"/>
              <w:right w:val="nil"/>
            </w:tcBorders>
            <w:shd w:val="clear" w:color="auto" w:fill="auto"/>
            <w:noWrap/>
            <w:vAlign w:val="bottom"/>
            <w:hideMark/>
          </w:tcPr>
          <w:p w:rsidRPr="00387AB6" w:rsidR="00453A47" w:rsidP="00453A47" w:rsidRDefault="00453A47" w14:paraId="44A2EF56"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51" w:type="dxa"/>
            <w:tcBorders>
              <w:top w:val="nil"/>
              <w:left w:val="double" w:color="auto" w:sz="6" w:space="0"/>
              <w:bottom w:val="single" w:color="auto" w:sz="4" w:space="0"/>
              <w:right w:val="single" w:color="auto" w:sz="4" w:space="0"/>
            </w:tcBorders>
            <w:shd w:val="clear" w:color="auto" w:fill="auto"/>
            <w:noWrap/>
            <w:vAlign w:val="bottom"/>
            <w:hideMark/>
          </w:tcPr>
          <w:p w:rsidRPr="00387AB6" w:rsidR="00453A47" w:rsidP="00453A47" w:rsidRDefault="00453A47" w14:paraId="39C496D3"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80" w:type="dxa"/>
            <w:tcBorders>
              <w:top w:val="nil"/>
              <w:left w:val="nil"/>
              <w:bottom w:val="single" w:color="auto" w:sz="4" w:space="0"/>
              <w:right w:val="double" w:color="auto" w:sz="6" w:space="0"/>
            </w:tcBorders>
            <w:shd w:val="clear" w:color="auto" w:fill="auto"/>
            <w:noWrap/>
            <w:vAlign w:val="bottom"/>
            <w:hideMark/>
          </w:tcPr>
          <w:p w:rsidRPr="00387AB6" w:rsidR="00453A47" w:rsidP="00453A47" w:rsidRDefault="00453A47" w14:paraId="45DAFBA9"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51" w:type="dxa"/>
            <w:tcBorders>
              <w:top w:val="nil"/>
              <w:left w:val="nil"/>
              <w:bottom w:val="single" w:color="auto" w:sz="4" w:space="0"/>
              <w:right w:val="single" w:color="auto" w:sz="4" w:space="0"/>
            </w:tcBorders>
            <w:shd w:val="clear" w:color="auto" w:fill="auto"/>
            <w:noWrap/>
            <w:vAlign w:val="bottom"/>
            <w:hideMark/>
          </w:tcPr>
          <w:p w:rsidRPr="00387AB6" w:rsidR="00453A47" w:rsidP="00453A47" w:rsidRDefault="00453A47" w14:paraId="7CF56885"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80" w:type="dxa"/>
            <w:tcBorders>
              <w:top w:val="nil"/>
              <w:left w:val="nil"/>
              <w:bottom w:val="single" w:color="auto" w:sz="4" w:space="0"/>
              <w:right w:val="single" w:color="auto" w:sz="8" w:space="0"/>
            </w:tcBorders>
            <w:shd w:val="clear" w:color="auto" w:fill="auto"/>
            <w:noWrap/>
            <w:vAlign w:val="bottom"/>
            <w:hideMark/>
          </w:tcPr>
          <w:p w:rsidRPr="00387AB6" w:rsidR="00453A47" w:rsidP="00453A47" w:rsidRDefault="00453A47" w14:paraId="6DB7A642"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r>
      <w:tr w:rsidRPr="00387AB6" w:rsidR="00453A47" w:rsidTr="00453A47" w14:paraId="23181437" w14:textId="77777777">
        <w:trPr>
          <w:trHeight w:val="353"/>
        </w:trPr>
        <w:tc>
          <w:tcPr>
            <w:tcW w:w="4160" w:type="dxa"/>
            <w:tcBorders>
              <w:top w:val="nil"/>
              <w:left w:val="single" w:color="auto" w:sz="4" w:space="0"/>
              <w:bottom w:val="single" w:color="auto" w:sz="4" w:space="0"/>
              <w:right w:val="single" w:color="auto" w:sz="4" w:space="0"/>
            </w:tcBorders>
            <w:shd w:val="clear" w:color="auto" w:fill="auto"/>
            <w:noWrap/>
            <w:vAlign w:val="bottom"/>
            <w:hideMark/>
          </w:tcPr>
          <w:p w:rsidRPr="00387AB6" w:rsidR="00453A47" w:rsidP="00453A47" w:rsidRDefault="00453A47" w14:paraId="696409D7"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1977-1961</w:t>
            </w:r>
          </w:p>
        </w:tc>
        <w:tc>
          <w:tcPr>
            <w:tcW w:w="1651" w:type="dxa"/>
            <w:tcBorders>
              <w:top w:val="nil"/>
              <w:left w:val="nil"/>
              <w:bottom w:val="single" w:color="auto" w:sz="4" w:space="0"/>
              <w:right w:val="single" w:color="auto" w:sz="4" w:space="0"/>
            </w:tcBorders>
            <w:shd w:val="clear" w:color="auto" w:fill="auto"/>
            <w:noWrap/>
            <w:vAlign w:val="bottom"/>
            <w:hideMark/>
          </w:tcPr>
          <w:p w:rsidRPr="00387AB6" w:rsidR="00453A47" w:rsidP="00453A47" w:rsidRDefault="00453A47" w14:paraId="3DDA6BDA"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80" w:type="dxa"/>
            <w:tcBorders>
              <w:top w:val="nil"/>
              <w:left w:val="nil"/>
              <w:bottom w:val="single" w:color="auto" w:sz="4" w:space="0"/>
              <w:right w:val="double" w:color="auto" w:sz="6" w:space="0"/>
            </w:tcBorders>
            <w:shd w:val="clear" w:color="auto" w:fill="auto"/>
            <w:noWrap/>
            <w:vAlign w:val="bottom"/>
            <w:hideMark/>
          </w:tcPr>
          <w:p w:rsidRPr="00387AB6" w:rsidR="00453A47" w:rsidP="00453A47" w:rsidRDefault="00453A47" w14:paraId="7F684F80"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51" w:type="dxa"/>
            <w:tcBorders>
              <w:top w:val="nil"/>
              <w:left w:val="nil"/>
              <w:bottom w:val="single" w:color="auto" w:sz="4" w:space="0"/>
              <w:right w:val="nil"/>
            </w:tcBorders>
            <w:shd w:val="clear" w:color="auto" w:fill="auto"/>
            <w:noWrap/>
            <w:vAlign w:val="bottom"/>
            <w:hideMark/>
          </w:tcPr>
          <w:p w:rsidRPr="00387AB6" w:rsidR="00453A47" w:rsidP="00453A47" w:rsidRDefault="00453A47" w14:paraId="5FBEE260"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80" w:type="dxa"/>
            <w:tcBorders>
              <w:top w:val="nil"/>
              <w:left w:val="nil"/>
              <w:bottom w:val="single" w:color="auto" w:sz="4" w:space="0"/>
              <w:right w:val="nil"/>
            </w:tcBorders>
            <w:shd w:val="clear" w:color="auto" w:fill="auto"/>
            <w:noWrap/>
            <w:vAlign w:val="bottom"/>
            <w:hideMark/>
          </w:tcPr>
          <w:p w:rsidRPr="00387AB6" w:rsidR="00453A47" w:rsidP="00453A47" w:rsidRDefault="00453A47" w14:paraId="38FF66E6"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51" w:type="dxa"/>
            <w:tcBorders>
              <w:top w:val="nil"/>
              <w:left w:val="double" w:color="auto" w:sz="6" w:space="0"/>
              <w:bottom w:val="single" w:color="auto" w:sz="4" w:space="0"/>
              <w:right w:val="single" w:color="auto" w:sz="4" w:space="0"/>
            </w:tcBorders>
            <w:shd w:val="clear" w:color="auto" w:fill="auto"/>
            <w:noWrap/>
            <w:vAlign w:val="bottom"/>
            <w:hideMark/>
          </w:tcPr>
          <w:p w:rsidRPr="00387AB6" w:rsidR="00453A47" w:rsidP="00453A47" w:rsidRDefault="00453A47" w14:paraId="391B6038"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80" w:type="dxa"/>
            <w:tcBorders>
              <w:top w:val="nil"/>
              <w:left w:val="nil"/>
              <w:bottom w:val="single" w:color="auto" w:sz="4" w:space="0"/>
              <w:right w:val="double" w:color="auto" w:sz="6" w:space="0"/>
            </w:tcBorders>
            <w:shd w:val="clear" w:color="auto" w:fill="auto"/>
            <w:noWrap/>
            <w:vAlign w:val="bottom"/>
            <w:hideMark/>
          </w:tcPr>
          <w:p w:rsidRPr="00387AB6" w:rsidR="00453A47" w:rsidP="00453A47" w:rsidRDefault="00453A47" w14:paraId="6A4715F0"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51" w:type="dxa"/>
            <w:tcBorders>
              <w:top w:val="nil"/>
              <w:left w:val="nil"/>
              <w:bottom w:val="single" w:color="auto" w:sz="4" w:space="0"/>
              <w:right w:val="single" w:color="auto" w:sz="4" w:space="0"/>
            </w:tcBorders>
            <w:shd w:val="clear" w:color="auto" w:fill="auto"/>
            <w:noWrap/>
            <w:vAlign w:val="bottom"/>
            <w:hideMark/>
          </w:tcPr>
          <w:p w:rsidRPr="00387AB6" w:rsidR="00453A47" w:rsidP="00453A47" w:rsidRDefault="00453A47" w14:paraId="442190F9"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80" w:type="dxa"/>
            <w:tcBorders>
              <w:top w:val="nil"/>
              <w:left w:val="nil"/>
              <w:bottom w:val="single" w:color="auto" w:sz="4" w:space="0"/>
              <w:right w:val="single" w:color="auto" w:sz="8" w:space="0"/>
            </w:tcBorders>
            <w:shd w:val="clear" w:color="auto" w:fill="auto"/>
            <w:noWrap/>
            <w:vAlign w:val="bottom"/>
            <w:hideMark/>
          </w:tcPr>
          <w:p w:rsidRPr="00387AB6" w:rsidR="00453A47" w:rsidP="00453A47" w:rsidRDefault="00453A47" w14:paraId="56C372CD"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r>
      <w:tr w:rsidRPr="00387AB6" w:rsidR="00453A47" w:rsidTr="00453A47" w14:paraId="5E75A09C" w14:textId="77777777">
        <w:trPr>
          <w:trHeight w:val="370"/>
        </w:trPr>
        <w:tc>
          <w:tcPr>
            <w:tcW w:w="4160" w:type="dxa"/>
            <w:tcBorders>
              <w:top w:val="nil"/>
              <w:left w:val="single" w:color="auto" w:sz="4" w:space="0"/>
              <w:bottom w:val="single" w:color="auto" w:sz="4" w:space="0"/>
              <w:right w:val="single" w:color="auto" w:sz="4" w:space="0"/>
            </w:tcBorders>
            <w:shd w:val="clear" w:color="auto" w:fill="auto"/>
            <w:noWrap/>
            <w:vAlign w:val="bottom"/>
            <w:hideMark/>
          </w:tcPr>
          <w:p w:rsidRPr="00387AB6" w:rsidR="00453A47" w:rsidP="00453A47" w:rsidRDefault="00453A47" w14:paraId="6DCC517A"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1960 and before</w:t>
            </w:r>
          </w:p>
        </w:tc>
        <w:tc>
          <w:tcPr>
            <w:tcW w:w="1651" w:type="dxa"/>
            <w:tcBorders>
              <w:top w:val="nil"/>
              <w:left w:val="nil"/>
              <w:bottom w:val="single" w:color="auto" w:sz="8" w:space="0"/>
              <w:right w:val="single" w:color="auto" w:sz="4" w:space="0"/>
            </w:tcBorders>
            <w:shd w:val="clear" w:color="auto" w:fill="auto"/>
            <w:noWrap/>
            <w:vAlign w:val="bottom"/>
            <w:hideMark/>
          </w:tcPr>
          <w:p w:rsidRPr="00387AB6" w:rsidR="00453A47" w:rsidP="00453A47" w:rsidRDefault="00453A47" w14:paraId="525EAACF"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80" w:type="dxa"/>
            <w:tcBorders>
              <w:top w:val="nil"/>
              <w:left w:val="nil"/>
              <w:bottom w:val="single" w:color="auto" w:sz="8" w:space="0"/>
              <w:right w:val="double" w:color="auto" w:sz="6" w:space="0"/>
            </w:tcBorders>
            <w:shd w:val="clear" w:color="auto" w:fill="auto"/>
            <w:noWrap/>
            <w:vAlign w:val="bottom"/>
            <w:hideMark/>
          </w:tcPr>
          <w:p w:rsidRPr="00387AB6" w:rsidR="00453A47" w:rsidP="00453A47" w:rsidRDefault="00453A47" w14:paraId="14CB99D9"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51" w:type="dxa"/>
            <w:tcBorders>
              <w:top w:val="nil"/>
              <w:left w:val="nil"/>
              <w:bottom w:val="single" w:color="auto" w:sz="8" w:space="0"/>
              <w:right w:val="nil"/>
            </w:tcBorders>
            <w:shd w:val="clear" w:color="auto" w:fill="auto"/>
            <w:noWrap/>
            <w:vAlign w:val="bottom"/>
            <w:hideMark/>
          </w:tcPr>
          <w:p w:rsidRPr="00387AB6" w:rsidR="00453A47" w:rsidP="00453A47" w:rsidRDefault="00453A47" w14:paraId="61D9DAB8"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80" w:type="dxa"/>
            <w:tcBorders>
              <w:top w:val="nil"/>
              <w:left w:val="nil"/>
              <w:bottom w:val="single" w:color="auto" w:sz="8" w:space="0"/>
              <w:right w:val="nil"/>
            </w:tcBorders>
            <w:shd w:val="clear" w:color="auto" w:fill="auto"/>
            <w:noWrap/>
            <w:vAlign w:val="bottom"/>
            <w:hideMark/>
          </w:tcPr>
          <w:p w:rsidRPr="00387AB6" w:rsidR="00453A47" w:rsidP="00453A47" w:rsidRDefault="00453A47" w14:paraId="7DA8AA38"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51" w:type="dxa"/>
            <w:tcBorders>
              <w:top w:val="nil"/>
              <w:left w:val="double" w:color="auto" w:sz="6" w:space="0"/>
              <w:bottom w:val="single" w:color="auto" w:sz="8" w:space="0"/>
              <w:right w:val="single" w:color="auto" w:sz="4" w:space="0"/>
            </w:tcBorders>
            <w:shd w:val="clear" w:color="auto" w:fill="auto"/>
            <w:noWrap/>
            <w:vAlign w:val="bottom"/>
            <w:hideMark/>
          </w:tcPr>
          <w:p w:rsidRPr="00387AB6" w:rsidR="00453A47" w:rsidP="00453A47" w:rsidRDefault="00453A47" w14:paraId="4A971D54"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80" w:type="dxa"/>
            <w:tcBorders>
              <w:top w:val="nil"/>
              <w:left w:val="nil"/>
              <w:bottom w:val="single" w:color="auto" w:sz="8" w:space="0"/>
              <w:right w:val="double" w:color="auto" w:sz="6" w:space="0"/>
            </w:tcBorders>
            <w:shd w:val="clear" w:color="auto" w:fill="auto"/>
            <w:noWrap/>
            <w:vAlign w:val="bottom"/>
            <w:hideMark/>
          </w:tcPr>
          <w:p w:rsidRPr="00387AB6" w:rsidR="00453A47" w:rsidP="00453A47" w:rsidRDefault="00453A47" w14:paraId="224D0A71"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651" w:type="dxa"/>
            <w:tcBorders>
              <w:top w:val="nil"/>
              <w:left w:val="nil"/>
              <w:bottom w:val="single" w:color="auto" w:sz="8" w:space="0"/>
              <w:right w:val="single" w:color="auto" w:sz="4" w:space="0"/>
            </w:tcBorders>
            <w:shd w:val="clear" w:color="auto" w:fill="auto"/>
            <w:noWrap/>
            <w:vAlign w:val="bottom"/>
            <w:hideMark/>
          </w:tcPr>
          <w:p w:rsidRPr="00387AB6" w:rsidR="00453A47" w:rsidP="00453A47" w:rsidRDefault="00453A47" w14:paraId="00964C40"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c>
          <w:tcPr>
            <w:tcW w:w="1580" w:type="dxa"/>
            <w:tcBorders>
              <w:top w:val="nil"/>
              <w:left w:val="nil"/>
              <w:bottom w:val="single" w:color="auto" w:sz="8" w:space="0"/>
              <w:right w:val="single" w:color="auto" w:sz="8" w:space="0"/>
            </w:tcBorders>
            <w:shd w:val="clear" w:color="auto" w:fill="auto"/>
            <w:noWrap/>
            <w:vAlign w:val="bottom"/>
            <w:hideMark/>
          </w:tcPr>
          <w:p w:rsidRPr="00387AB6" w:rsidR="00453A47" w:rsidP="00453A47" w:rsidRDefault="00453A47" w14:paraId="20F7D365" w14:textId="77777777">
            <w:pPr>
              <w:rPr>
                <w:rFonts w:ascii="Palatino Linotype" w:hAnsi="Palatino Linotype" w:cs="Calibri"/>
                <w:color w:val="000000"/>
                <w:sz w:val="24"/>
                <w:szCs w:val="24"/>
              </w:rPr>
            </w:pPr>
            <w:r w:rsidRPr="00387AB6">
              <w:rPr>
                <w:rFonts w:ascii="Palatino Linotype" w:hAnsi="Palatino Linotype" w:cs="Calibri"/>
                <w:color w:val="000000"/>
                <w:sz w:val="24"/>
                <w:szCs w:val="24"/>
              </w:rPr>
              <w:t> </w:t>
            </w:r>
          </w:p>
        </w:tc>
      </w:tr>
    </w:tbl>
    <w:p w:rsidRPr="00387AB6" w:rsidR="00453A47" w:rsidP="006E00D4" w:rsidRDefault="00453A47" w14:paraId="18E27B87" w14:textId="480FCEF1">
      <w:pPr>
        <w:rPr>
          <w:rFonts w:ascii="Palatino Linotype" w:hAnsi="Palatino Linotype"/>
          <w:sz w:val="24"/>
          <w:szCs w:val="24"/>
        </w:rPr>
      </w:pPr>
      <w:r w:rsidRPr="00387AB6">
        <w:rPr>
          <w:rFonts w:ascii="Palatino Linotype" w:hAnsi="Palatino Linotype"/>
          <w:sz w:val="24"/>
          <w:szCs w:val="24"/>
        </w:rPr>
        <w:br w:type="page"/>
      </w:r>
    </w:p>
    <w:p w:rsidRPr="00387AB6" w:rsidR="00453A47" w:rsidP="00387AB6" w:rsidRDefault="00453A47" w14:paraId="2182C97F" w14:textId="77A9ED93">
      <w:pPr>
        <w:pStyle w:val="Heading2"/>
      </w:pPr>
      <w:r w:rsidRPr="00387AB6">
        <w:lastRenderedPageBreak/>
        <w:t>“Gas Infrastructure” Worksheet</w:t>
      </w:r>
    </w:p>
    <w:p w:rsidRPr="00387AB6" w:rsidR="00573A19" w:rsidP="00573A19" w:rsidRDefault="00573A19" w14:paraId="4D0C1657" w14:textId="77777777">
      <w:pPr>
        <w:pStyle w:val="sub1"/>
        <w:rPr>
          <w:rFonts w:ascii="Palatino Linotype" w:hAnsi="Palatino Linotype"/>
          <w:sz w:val="24"/>
          <w:szCs w:val="24"/>
        </w:rPr>
      </w:pPr>
    </w:p>
    <w:tbl>
      <w:tblPr>
        <w:tblW w:w="17180" w:type="dxa"/>
        <w:tblLook w:val="04A0" w:firstRow="1" w:lastRow="0" w:firstColumn="1" w:lastColumn="0" w:noHBand="0" w:noVBand="1"/>
      </w:tblPr>
      <w:tblGrid>
        <w:gridCol w:w="9221"/>
        <w:gridCol w:w="2956"/>
        <w:gridCol w:w="2227"/>
        <w:gridCol w:w="2776"/>
      </w:tblGrid>
      <w:tr w:rsidRPr="00573A19" w:rsidR="00573A19" w:rsidTr="00573A19" w14:paraId="41BC001D" w14:textId="77777777">
        <w:trPr>
          <w:trHeight w:val="395"/>
        </w:trPr>
        <w:tc>
          <w:tcPr>
            <w:tcW w:w="9221" w:type="dxa"/>
            <w:tcBorders>
              <w:top w:val="single" w:color="auto" w:sz="8" w:space="0"/>
              <w:left w:val="single" w:color="auto" w:sz="8" w:space="0"/>
              <w:bottom w:val="single" w:color="auto" w:sz="4" w:space="0"/>
              <w:right w:val="nil"/>
            </w:tcBorders>
            <w:shd w:val="clear" w:color="000000" w:fill="BFBFBF"/>
            <w:vAlign w:val="bottom"/>
            <w:hideMark/>
          </w:tcPr>
          <w:p w:rsidRPr="00573A19" w:rsidR="00573A19" w:rsidP="00573A19" w:rsidRDefault="00573A19" w14:paraId="5AD31D47" w14:textId="77777777">
            <w:pPr>
              <w:rPr>
                <w:rFonts w:ascii="Palatino Linotype" w:hAnsi="Palatino Linotype" w:cs="Calibri"/>
                <w:b/>
                <w:bCs/>
                <w:color w:val="000000"/>
                <w:sz w:val="24"/>
                <w:szCs w:val="24"/>
              </w:rPr>
            </w:pPr>
            <w:r w:rsidRPr="00573A19">
              <w:rPr>
                <w:rFonts w:ascii="Palatino Linotype" w:hAnsi="Palatino Linotype" w:cs="Calibri"/>
                <w:b/>
                <w:bCs/>
                <w:color w:val="000000"/>
                <w:sz w:val="24"/>
                <w:szCs w:val="24"/>
              </w:rPr>
              <w:t>Asset Information</w:t>
            </w:r>
          </w:p>
        </w:tc>
        <w:tc>
          <w:tcPr>
            <w:tcW w:w="7959" w:type="dxa"/>
            <w:gridSpan w:val="3"/>
            <w:tcBorders>
              <w:top w:val="single" w:color="auto" w:sz="8" w:space="0"/>
              <w:left w:val="single" w:color="auto" w:sz="8" w:space="0"/>
              <w:bottom w:val="single" w:color="auto" w:sz="4" w:space="0"/>
              <w:right w:val="single" w:color="000000" w:sz="8" w:space="0"/>
            </w:tcBorders>
            <w:shd w:val="clear" w:color="000000" w:fill="BFBFBF"/>
            <w:noWrap/>
            <w:vAlign w:val="bottom"/>
            <w:hideMark/>
          </w:tcPr>
          <w:p w:rsidRPr="00573A19" w:rsidR="00573A19" w:rsidP="00573A19" w:rsidRDefault="00573A19" w14:paraId="70171CE2" w14:textId="1DF459C3">
            <w:pPr>
              <w:jc w:val="center"/>
              <w:rPr>
                <w:rFonts w:ascii="Palatino Linotype" w:hAnsi="Palatino Linotype" w:cs="Calibri"/>
                <w:b/>
                <w:bCs/>
                <w:color w:val="000000"/>
                <w:sz w:val="24"/>
                <w:szCs w:val="24"/>
              </w:rPr>
            </w:pPr>
            <w:r w:rsidRPr="00573A19">
              <w:rPr>
                <w:rFonts w:ascii="Palatino Linotype" w:hAnsi="Palatino Linotype" w:cs="Calibri"/>
                <w:b/>
                <w:bCs/>
                <w:color w:val="000000"/>
                <w:sz w:val="24"/>
                <w:szCs w:val="24"/>
              </w:rPr>
              <w:t>CZ [</w:t>
            </w:r>
            <w:r w:rsidRPr="00387AB6">
              <w:rPr>
                <w:rFonts w:ascii="Palatino Linotype" w:hAnsi="Palatino Linotype" w:cs="Calibri"/>
                <w:b/>
                <w:bCs/>
                <w:color w:val="000000"/>
                <w:sz w:val="24"/>
                <w:szCs w:val="24"/>
              </w:rPr>
              <w:t>-</w:t>
            </w:r>
            <w:r w:rsidRPr="00573A19">
              <w:rPr>
                <w:rFonts w:ascii="Palatino Linotype" w:hAnsi="Palatino Linotype" w:cs="Calibri"/>
                <w:b/>
                <w:bCs/>
                <w:color w:val="000000"/>
                <w:sz w:val="24"/>
                <w:szCs w:val="24"/>
              </w:rPr>
              <w:t>]</w:t>
            </w:r>
            <w:r w:rsidRPr="00387AB6">
              <w:rPr>
                <w:rFonts w:ascii="Palatino Linotype" w:hAnsi="Palatino Linotype" w:cs="Calibri"/>
                <w:b/>
                <w:bCs/>
                <w:color w:val="000000"/>
                <w:sz w:val="24"/>
                <w:szCs w:val="24"/>
              </w:rPr>
              <w:t xml:space="preserve"> [Add Columns for CZs in your service territory]</w:t>
            </w:r>
          </w:p>
        </w:tc>
      </w:tr>
      <w:tr w:rsidRPr="00573A19" w:rsidR="00573A19" w:rsidTr="00573A19" w14:paraId="2F54134F" w14:textId="77777777">
        <w:trPr>
          <w:trHeight w:val="1185"/>
        </w:trPr>
        <w:tc>
          <w:tcPr>
            <w:tcW w:w="9221" w:type="dxa"/>
            <w:tcBorders>
              <w:top w:val="nil"/>
              <w:left w:val="single" w:color="auto" w:sz="8" w:space="0"/>
              <w:bottom w:val="single" w:color="auto" w:sz="4" w:space="0"/>
              <w:right w:val="nil"/>
            </w:tcBorders>
            <w:shd w:val="clear" w:color="000000" w:fill="BFBFBF"/>
            <w:vAlign w:val="bottom"/>
            <w:hideMark/>
          </w:tcPr>
          <w:p w:rsidRPr="00573A19" w:rsidR="00573A19" w:rsidP="00573A19" w:rsidRDefault="00573A19" w14:paraId="645D35AB" w14:textId="77777777">
            <w:pPr>
              <w:rPr>
                <w:rFonts w:ascii="Palatino Linotype" w:hAnsi="Palatino Linotype" w:cs="Calibri"/>
                <w:b/>
                <w:bCs/>
                <w:color w:val="000000"/>
                <w:sz w:val="24"/>
                <w:szCs w:val="24"/>
              </w:rPr>
            </w:pPr>
            <w:r w:rsidRPr="00573A19">
              <w:rPr>
                <w:rFonts w:ascii="Palatino Linotype" w:hAnsi="Palatino Linotype" w:cs="Calibri"/>
                <w:b/>
                <w:bCs/>
                <w:color w:val="000000"/>
                <w:sz w:val="24"/>
                <w:szCs w:val="24"/>
              </w:rPr>
              <w:t> </w:t>
            </w:r>
          </w:p>
        </w:tc>
        <w:tc>
          <w:tcPr>
            <w:tcW w:w="2956" w:type="dxa"/>
            <w:tcBorders>
              <w:top w:val="nil"/>
              <w:left w:val="single" w:color="auto" w:sz="8" w:space="0"/>
              <w:bottom w:val="single" w:color="auto" w:sz="4" w:space="0"/>
              <w:right w:val="single" w:color="auto" w:sz="4" w:space="0"/>
            </w:tcBorders>
            <w:shd w:val="clear" w:color="000000" w:fill="BFBFBF"/>
            <w:vAlign w:val="bottom"/>
            <w:hideMark/>
          </w:tcPr>
          <w:p w:rsidRPr="00573A19" w:rsidR="00573A19" w:rsidP="00573A19" w:rsidRDefault="00573A19" w14:paraId="66E0D8DB" w14:textId="77777777">
            <w:pPr>
              <w:rPr>
                <w:rFonts w:ascii="Palatino Linotype" w:hAnsi="Palatino Linotype" w:cs="Calibri"/>
                <w:b/>
                <w:bCs/>
                <w:color w:val="000000"/>
                <w:sz w:val="24"/>
                <w:szCs w:val="24"/>
              </w:rPr>
            </w:pPr>
            <w:r w:rsidRPr="00573A19">
              <w:rPr>
                <w:rFonts w:ascii="Palatino Linotype" w:hAnsi="Palatino Linotype" w:cs="Calibri"/>
                <w:b/>
                <w:bCs/>
                <w:color w:val="000000"/>
                <w:sz w:val="24"/>
                <w:szCs w:val="24"/>
              </w:rPr>
              <w:t>Vintage**</w:t>
            </w:r>
            <w:r w:rsidRPr="00573A19">
              <w:rPr>
                <w:rFonts w:ascii="Palatino Linotype" w:hAnsi="Palatino Linotype" w:cs="Calibri"/>
                <w:b/>
                <w:bCs/>
                <w:color w:val="000000"/>
                <w:sz w:val="24"/>
                <w:szCs w:val="24"/>
              </w:rPr>
              <w:br/>
              <w:t>1965-1972</w:t>
            </w:r>
          </w:p>
        </w:tc>
        <w:tc>
          <w:tcPr>
            <w:tcW w:w="2227" w:type="dxa"/>
            <w:tcBorders>
              <w:top w:val="nil"/>
              <w:left w:val="nil"/>
              <w:bottom w:val="single" w:color="auto" w:sz="4" w:space="0"/>
              <w:right w:val="single" w:color="auto" w:sz="4" w:space="0"/>
            </w:tcBorders>
            <w:shd w:val="clear" w:color="000000" w:fill="BFBFBF"/>
            <w:noWrap/>
            <w:vAlign w:val="bottom"/>
            <w:hideMark/>
          </w:tcPr>
          <w:p w:rsidRPr="00573A19" w:rsidR="00573A19" w:rsidP="00573A19" w:rsidRDefault="00573A19" w14:paraId="5AEC2D70" w14:textId="77777777">
            <w:pPr>
              <w:rPr>
                <w:rFonts w:ascii="Palatino Linotype" w:hAnsi="Palatino Linotype" w:cs="Calibri"/>
                <w:b/>
                <w:bCs/>
                <w:color w:val="000000"/>
                <w:sz w:val="24"/>
                <w:szCs w:val="24"/>
              </w:rPr>
            </w:pPr>
            <w:r w:rsidRPr="00573A19">
              <w:rPr>
                <w:rFonts w:ascii="Palatino Linotype" w:hAnsi="Palatino Linotype" w:cs="Calibri"/>
                <w:b/>
                <w:bCs/>
                <w:color w:val="000000"/>
                <w:sz w:val="24"/>
                <w:szCs w:val="24"/>
              </w:rPr>
              <w:t>1973-1985</w:t>
            </w:r>
          </w:p>
        </w:tc>
        <w:tc>
          <w:tcPr>
            <w:tcW w:w="2775" w:type="dxa"/>
            <w:tcBorders>
              <w:top w:val="nil"/>
              <w:left w:val="nil"/>
              <w:bottom w:val="single" w:color="auto" w:sz="4" w:space="0"/>
              <w:right w:val="single" w:color="auto" w:sz="8" w:space="0"/>
            </w:tcBorders>
            <w:shd w:val="clear" w:color="000000" w:fill="BFBFBF"/>
            <w:vAlign w:val="bottom"/>
            <w:hideMark/>
          </w:tcPr>
          <w:p w:rsidRPr="00573A19" w:rsidR="00573A19" w:rsidP="00573A19" w:rsidRDefault="00573A19" w14:paraId="31980066" w14:textId="77777777">
            <w:pPr>
              <w:rPr>
                <w:rFonts w:ascii="Palatino Linotype" w:hAnsi="Palatino Linotype" w:cs="Calibri"/>
                <w:b/>
                <w:bCs/>
                <w:color w:val="000000"/>
                <w:sz w:val="24"/>
                <w:szCs w:val="24"/>
              </w:rPr>
            </w:pPr>
            <w:r w:rsidRPr="00573A19">
              <w:rPr>
                <w:rFonts w:ascii="Palatino Linotype" w:hAnsi="Palatino Linotype" w:cs="Calibri"/>
                <w:b/>
                <w:bCs/>
                <w:color w:val="000000"/>
                <w:sz w:val="24"/>
                <w:szCs w:val="24"/>
              </w:rPr>
              <w:t>Unknown manufacturer or year</w:t>
            </w:r>
          </w:p>
        </w:tc>
      </w:tr>
      <w:tr w:rsidRPr="00573A19" w:rsidR="00573A19" w:rsidTr="00573A19" w14:paraId="01701279" w14:textId="77777777">
        <w:trPr>
          <w:trHeight w:val="395"/>
        </w:trPr>
        <w:tc>
          <w:tcPr>
            <w:tcW w:w="9221" w:type="dxa"/>
            <w:tcBorders>
              <w:top w:val="nil"/>
              <w:left w:val="single" w:color="auto" w:sz="8" w:space="0"/>
              <w:bottom w:val="single" w:color="auto" w:sz="4" w:space="0"/>
              <w:right w:val="nil"/>
            </w:tcBorders>
            <w:shd w:val="clear" w:color="auto" w:fill="auto"/>
            <w:vAlign w:val="bottom"/>
            <w:hideMark/>
          </w:tcPr>
          <w:p w:rsidRPr="00573A19" w:rsidR="00573A19" w:rsidP="00573A19" w:rsidRDefault="00573A19" w14:paraId="477597C3" w14:textId="77777777">
            <w:pPr>
              <w:rPr>
                <w:rFonts w:ascii="Palatino Linotype" w:hAnsi="Palatino Linotype" w:cs="Calibri"/>
                <w:color w:val="000000"/>
                <w:sz w:val="24"/>
                <w:szCs w:val="24"/>
              </w:rPr>
            </w:pPr>
            <w:r w:rsidRPr="00573A19">
              <w:rPr>
                <w:rFonts w:ascii="Palatino Linotype" w:hAnsi="Palatino Linotype" w:cs="Calibri"/>
                <w:color w:val="000000"/>
                <w:sz w:val="24"/>
                <w:szCs w:val="24"/>
              </w:rPr>
              <w:t>Total length of Natural Gas distribution pipelines</w:t>
            </w:r>
          </w:p>
        </w:tc>
        <w:tc>
          <w:tcPr>
            <w:tcW w:w="2956" w:type="dxa"/>
            <w:tcBorders>
              <w:top w:val="nil"/>
              <w:left w:val="single" w:color="auto" w:sz="8" w:space="0"/>
              <w:bottom w:val="single" w:color="auto" w:sz="4" w:space="0"/>
              <w:right w:val="single" w:color="auto" w:sz="4" w:space="0"/>
            </w:tcBorders>
            <w:shd w:val="clear" w:color="auto" w:fill="auto"/>
            <w:noWrap/>
            <w:vAlign w:val="bottom"/>
            <w:hideMark/>
          </w:tcPr>
          <w:p w:rsidRPr="00573A19" w:rsidR="00573A19" w:rsidP="00573A19" w:rsidRDefault="00573A19" w14:paraId="054BFA6C" w14:textId="77777777">
            <w:pPr>
              <w:rPr>
                <w:rFonts w:ascii="Palatino Linotype" w:hAnsi="Palatino Linotype" w:cs="Calibri"/>
                <w:color w:val="000000"/>
                <w:sz w:val="24"/>
                <w:szCs w:val="24"/>
              </w:rPr>
            </w:pPr>
            <w:r w:rsidRPr="00573A19">
              <w:rPr>
                <w:rFonts w:ascii="Palatino Linotype" w:hAnsi="Palatino Linotype" w:cs="Calibri"/>
                <w:color w:val="000000"/>
                <w:sz w:val="24"/>
                <w:szCs w:val="24"/>
              </w:rPr>
              <w:t>[miles]</w:t>
            </w:r>
          </w:p>
        </w:tc>
        <w:tc>
          <w:tcPr>
            <w:tcW w:w="2227" w:type="dxa"/>
            <w:tcBorders>
              <w:top w:val="nil"/>
              <w:left w:val="nil"/>
              <w:bottom w:val="single" w:color="auto" w:sz="4" w:space="0"/>
              <w:right w:val="single" w:color="auto" w:sz="4" w:space="0"/>
            </w:tcBorders>
            <w:shd w:val="clear" w:color="auto" w:fill="auto"/>
            <w:noWrap/>
            <w:vAlign w:val="bottom"/>
            <w:hideMark/>
          </w:tcPr>
          <w:p w:rsidRPr="00573A19" w:rsidR="00573A19" w:rsidP="00573A19" w:rsidRDefault="00573A19" w14:paraId="4ED2A7E6" w14:textId="77777777">
            <w:pPr>
              <w:rPr>
                <w:rFonts w:ascii="Palatino Linotype" w:hAnsi="Palatino Linotype" w:cs="Calibri"/>
                <w:color w:val="000000"/>
                <w:sz w:val="24"/>
                <w:szCs w:val="24"/>
              </w:rPr>
            </w:pPr>
            <w:r w:rsidRPr="00573A19">
              <w:rPr>
                <w:rFonts w:ascii="Palatino Linotype" w:hAnsi="Palatino Linotype" w:cs="Calibri"/>
                <w:color w:val="000000"/>
                <w:sz w:val="24"/>
                <w:szCs w:val="24"/>
              </w:rPr>
              <w:t> </w:t>
            </w:r>
          </w:p>
        </w:tc>
        <w:tc>
          <w:tcPr>
            <w:tcW w:w="2775" w:type="dxa"/>
            <w:tcBorders>
              <w:top w:val="nil"/>
              <w:left w:val="nil"/>
              <w:bottom w:val="single" w:color="auto" w:sz="4" w:space="0"/>
              <w:right w:val="single" w:color="auto" w:sz="8" w:space="0"/>
            </w:tcBorders>
            <w:shd w:val="clear" w:color="auto" w:fill="auto"/>
            <w:noWrap/>
            <w:vAlign w:val="bottom"/>
            <w:hideMark/>
          </w:tcPr>
          <w:p w:rsidRPr="00573A19" w:rsidR="00573A19" w:rsidP="00573A19" w:rsidRDefault="00573A19" w14:paraId="027FF1E8" w14:textId="77777777">
            <w:pPr>
              <w:rPr>
                <w:rFonts w:ascii="Palatino Linotype" w:hAnsi="Palatino Linotype" w:cs="Calibri"/>
                <w:color w:val="000000"/>
                <w:sz w:val="24"/>
                <w:szCs w:val="24"/>
              </w:rPr>
            </w:pPr>
            <w:r w:rsidRPr="00573A19">
              <w:rPr>
                <w:rFonts w:ascii="Palatino Linotype" w:hAnsi="Palatino Linotype" w:cs="Calibri"/>
                <w:color w:val="000000"/>
                <w:sz w:val="24"/>
                <w:szCs w:val="24"/>
              </w:rPr>
              <w:t> </w:t>
            </w:r>
          </w:p>
        </w:tc>
      </w:tr>
      <w:tr w:rsidRPr="00573A19" w:rsidR="00573A19" w:rsidTr="00573A19" w14:paraId="44119498" w14:textId="77777777">
        <w:trPr>
          <w:trHeight w:val="395"/>
        </w:trPr>
        <w:tc>
          <w:tcPr>
            <w:tcW w:w="9221" w:type="dxa"/>
            <w:tcBorders>
              <w:top w:val="nil"/>
              <w:left w:val="single" w:color="auto" w:sz="8" w:space="0"/>
              <w:bottom w:val="single" w:color="auto" w:sz="4" w:space="0"/>
              <w:right w:val="nil"/>
            </w:tcBorders>
            <w:shd w:val="clear" w:color="auto" w:fill="auto"/>
            <w:vAlign w:val="bottom"/>
            <w:hideMark/>
          </w:tcPr>
          <w:p w:rsidRPr="00573A19" w:rsidR="00573A19" w:rsidP="00573A19" w:rsidRDefault="00573A19" w14:paraId="4381607C" w14:textId="77777777">
            <w:pPr>
              <w:rPr>
                <w:rFonts w:ascii="Palatino Linotype" w:hAnsi="Palatino Linotype" w:cs="Calibri"/>
                <w:color w:val="000000"/>
                <w:sz w:val="24"/>
                <w:szCs w:val="24"/>
              </w:rPr>
            </w:pPr>
            <w:r w:rsidRPr="00573A19">
              <w:rPr>
                <w:rFonts w:ascii="Palatino Linotype" w:hAnsi="Palatino Linotype" w:cs="Calibri"/>
                <w:color w:val="000000"/>
                <w:sz w:val="24"/>
                <w:szCs w:val="24"/>
              </w:rPr>
              <w:t>Total Length of Aldyl-A pipelines</w:t>
            </w:r>
          </w:p>
        </w:tc>
        <w:tc>
          <w:tcPr>
            <w:tcW w:w="2956" w:type="dxa"/>
            <w:tcBorders>
              <w:top w:val="nil"/>
              <w:left w:val="single" w:color="auto" w:sz="8" w:space="0"/>
              <w:bottom w:val="single" w:color="auto" w:sz="4" w:space="0"/>
              <w:right w:val="single" w:color="auto" w:sz="4" w:space="0"/>
            </w:tcBorders>
            <w:shd w:val="clear" w:color="auto" w:fill="auto"/>
            <w:noWrap/>
            <w:vAlign w:val="bottom"/>
            <w:hideMark/>
          </w:tcPr>
          <w:p w:rsidRPr="00573A19" w:rsidR="00573A19" w:rsidP="00573A19" w:rsidRDefault="00573A19" w14:paraId="555F4C2F" w14:textId="77777777">
            <w:pPr>
              <w:rPr>
                <w:rFonts w:ascii="Palatino Linotype" w:hAnsi="Palatino Linotype" w:cs="Calibri"/>
                <w:color w:val="000000"/>
                <w:sz w:val="24"/>
                <w:szCs w:val="24"/>
              </w:rPr>
            </w:pPr>
            <w:r w:rsidRPr="00573A19">
              <w:rPr>
                <w:rFonts w:ascii="Palatino Linotype" w:hAnsi="Palatino Linotype" w:cs="Calibri"/>
                <w:color w:val="000000"/>
                <w:sz w:val="24"/>
                <w:szCs w:val="24"/>
              </w:rPr>
              <w:t> </w:t>
            </w:r>
          </w:p>
        </w:tc>
        <w:tc>
          <w:tcPr>
            <w:tcW w:w="2227" w:type="dxa"/>
            <w:tcBorders>
              <w:top w:val="nil"/>
              <w:left w:val="nil"/>
              <w:bottom w:val="single" w:color="auto" w:sz="4" w:space="0"/>
              <w:right w:val="single" w:color="auto" w:sz="4" w:space="0"/>
            </w:tcBorders>
            <w:shd w:val="clear" w:color="auto" w:fill="auto"/>
            <w:noWrap/>
            <w:vAlign w:val="bottom"/>
            <w:hideMark/>
          </w:tcPr>
          <w:p w:rsidRPr="00573A19" w:rsidR="00573A19" w:rsidP="00573A19" w:rsidRDefault="00573A19" w14:paraId="43FA7753" w14:textId="77777777">
            <w:pPr>
              <w:rPr>
                <w:rFonts w:ascii="Palatino Linotype" w:hAnsi="Palatino Linotype" w:cs="Calibri"/>
                <w:color w:val="000000"/>
                <w:sz w:val="24"/>
                <w:szCs w:val="24"/>
              </w:rPr>
            </w:pPr>
            <w:r w:rsidRPr="00573A19">
              <w:rPr>
                <w:rFonts w:ascii="Palatino Linotype" w:hAnsi="Palatino Linotype" w:cs="Calibri"/>
                <w:color w:val="000000"/>
                <w:sz w:val="24"/>
                <w:szCs w:val="24"/>
              </w:rPr>
              <w:t> </w:t>
            </w:r>
          </w:p>
        </w:tc>
        <w:tc>
          <w:tcPr>
            <w:tcW w:w="2775" w:type="dxa"/>
            <w:tcBorders>
              <w:top w:val="nil"/>
              <w:left w:val="nil"/>
              <w:bottom w:val="single" w:color="auto" w:sz="4" w:space="0"/>
              <w:right w:val="single" w:color="auto" w:sz="8" w:space="0"/>
            </w:tcBorders>
            <w:shd w:val="clear" w:color="auto" w:fill="auto"/>
            <w:noWrap/>
            <w:vAlign w:val="bottom"/>
            <w:hideMark/>
          </w:tcPr>
          <w:p w:rsidRPr="00573A19" w:rsidR="00573A19" w:rsidP="00573A19" w:rsidRDefault="00573A19" w14:paraId="7AC0733B" w14:textId="77777777">
            <w:pPr>
              <w:rPr>
                <w:rFonts w:ascii="Palatino Linotype" w:hAnsi="Palatino Linotype" w:cs="Calibri"/>
                <w:color w:val="000000"/>
                <w:sz w:val="24"/>
                <w:szCs w:val="24"/>
              </w:rPr>
            </w:pPr>
            <w:r w:rsidRPr="00573A19">
              <w:rPr>
                <w:rFonts w:ascii="Palatino Linotype" w:hAnsi="Palatino Linotype" w:cs="Calibri"/>
                <w:color w:val="000000"/>
                <w:sz w:val="24"/>
                <w:szCs w:val="24"/>
              </w:rPr>
              <w:t> </w:t>
            </w:r>
          </w:p>
        </w:tc>
      </w:tr>
      <w:tr w:rsidRPr="00573A19" w:rsidR="00573A19" w:rsidTr="00573A19" w14:paraId="290F57D1" w14:textId="77777777">
        <w:trPr>
          <w:trHeight w:val="395"/>
        </w:trPr>
        <w:tc>
          <w:tcPr>
            <w:tcW w:w="9221" w:type="dxa"/>
            <w:tcBorders>
              <w:top w:val="nil"/>
              <w:left w:val="single" w:color="auto" w:sz="8" w:space="0"/>
              <w:bottom w:val="single" w:color="auto" w:sz="4" w:space="0"/>
              <w:right w:val="nil"/>
            </w:tcBorders>
            <w:shd w:val="clear" w:color="auto" w:fill="auto"/>
            <w:vAlign w:val="bottom"/>
            <w:hideMark/>
          </w:tcPr>
          <w:p w:rsidRPr="00573A19" w:rsidR="00573A19" w:rsidP="00573A19" w:rsidRDefault="00573A19" w14:paraId="717E764A" w14:textId="77777777">
            <w:pPr>
              <w:rPr>
                <w:rFonts w:ascii="Palatino Linotype" w:hAnsi="Palatino Linotype" w:cs="Calibri"/>
                <w:color w:val="000000"/>
                <w:sz w:val="24"/>
                <w:szCs w:val="24"/>
              </w:rPr>
            </w:pPr>
            <w:r w:rsidRPr="00573A19">
              <w:rPr>
                <w:rFonts w:ascii="Palatino Linotype" w:hAnsi="Palatino Linotype" w:cs="Calibri"/>
                <w:color w:val="000000"/>
                <w:sz w:val="24"/>
                <w:szCs w:val="24"/>
              </w:rPr>
              <w:t>Total Length of bare steel pipes</w:t>
            </w:r>
          </w:p>
        </w:tc>
        <w:tc>
          <w:tcPr>
            <w:tcW w:w="2956" w:type="dxa"/>
            <w:tcBorders>
              <w:top w:val="nil"/>
              <w:left w:val="single" w:color="auto" w:sz="8" w:space="0"/>
              <w:bottom w:val="single" w:color="auto" w:sz="4" w:space="0"/>
              <w:right w:val="single" w:color="auto" w:sz="4" w:space="0"/>
            </w:tcBorders>
            <w:shd w:val="clear" w:color="auto" w:fill="auto"/>
            <w:noWrap/>
            <w:vAlign w:val="bottom"/>
            <w:hideMark/>
          </w:tcPr>
          <w:p w:rsidRPr="00573A19" w:rsidR="00573A19" w:rsidP="00573A19" w:rsidRDefault="00573A19" w14:paraId="1B8CE461" w14:textId="77777777">
            <w:pPr>
              <w:rPr>
                <w:rFonts w:ascii="Palatino Linotype" w:hAnsi="Palatino Linotype" w:cs="Calibri"/>
                <w:color w:val="000000"/>
                <w:sz w:val="24"/>
                <w:szCs w:val="24"/>
              </w:rPr>
            </w:pPr>
            <w:r w:rsidRPr="00573A19">
              <w:rPr>
                <w:rFonts w:ascii="Palatino Linotype" w:hAnsi="Palatino Linotype" w:cs="Calibri"/>
                <w:color w:val="000000"/>
                <w:sz w:val="24"/>
                <w:szCs w:val="24"/>
              </w:rPr>
              <w:t>[report by CZ only]</w:t>
            </w:r>
          </w:p>
        </w:tc>
        <w:tc>
          <w:tcPr>
            <w:tcW w:w="2227" w:type="dxa"/>
            <w:tcBorders>
              <w:top w:val="nil"/>
              <w:left w:val="nil"/>
              <w:bottom w:val="single" w:color="auto" w:sz="4" w:space="0"/>
              <w:right w:val="single" w:color="auto" w:sz="4" w:space="0"/>
            </w:tcBorders>
            <w:shd w:val="clear" w:color="auto" w:fill="auto"/>
            <w:noWrap/>
            <w:vAlign w:val="bottom"/>
            <w:hideMark/>
          </w:tcPr>
          <w:p w:rsidRPr="00573A19" w:rsidR="00573A19" w:rsidP="00573A19" w:rsidRDefault="00573A19" w14:paraId="07221B82" w14:textId="77777777">
            <w:pPr>
              <w:rPr>
                <w:rFonts w:ascii="Palatino Linotype" w:hAnsi="Palatino Linotype" w:cs="Calibri"/>
                <w:color w:val="000000"/>
                <w:sz w:val="24"/>
                <w:szCs w:val="24"/>
              </w:rPr>
            </w:pPr>
            <w:r w:rsidRPr="00573A19">
              <w:rPr>
                <w:rFonts w:ascii="Palatino Linotype" w:hAnsi="Palatino Linotype" w:cs="Calibri"/>
                <w:color w:val="000000"/>
                <w:sz w:val="24"/>
                <w:szCs w:val="24"/>
              </w:rPr>
              <w:t> </w:t>
            </w:r>
          </w:p>
        </w:tc>
        <w:tc>
          <w:tcPr>
            <w:tcW w:w="2775" w:type="dxa"/>
            <w:tcBorders>
              <w:top w:val="nil"/>
              <w:left w:val="nil"/>
              <w:bottom w:val="single" w:color="auto" w:sz="4" w:space="0"/>
              <w:right w:val="single" w:color="auto" w:sz="8" w:space="0"/>
            </w:tcBorders>
            <w:shd w:val="clear" w:color="auto" w:fill="auto"/>
            <w:noWrap/>
            <w:vAlign w:val="bottom"/>
            <w:hideMark/>
          </w:tcPr>
          <w:p w:rsidRPr="00573A19" w:rsidR="00573A19" w:rsidP="00573A19" w:rsidRDefault="00573A19" w14:paraId="4285FB88" w14:textId="77777777">
            <w:pPr>
              <w:rPr>
                <w:rFonts w:ascii="Palatino Linotype" w:hAnsi="Palatino Linotype" w:cs="Calibri"/>
                <w:color w:val="000000"/>
                <w:sz w:val="24"/>
                <w:szCs w:val="24"/>
              </w:rPr>
            </w:pPr>
            <w:r w:rsidRPr="00573A19">
              <w:rPr>
                <w:rFonts w:ascii="Palatino Linotype" w:hAnsi="Palatino Linotype" w:cs="Calibri"/>
                <w:color w:val="000000"/>
                <w:sz w:val="24"/>
                <w:szCs w:val="24"/>
              </w:rPr>
              <w:t> </w:t>
            </w:r>
          </w:p>
        </w:tc>
      </w:tr>
      <w:tr w:rsidRPr="00573A19" w:rsidR="00573A19" w:rsidTr="00573A19" w14:paraId="563B0A16" w14:textId="77777777">
        <w:trPr>
          <w:trHeight w:val="395"/>
        </w:trPr>
        <w:tc>
          <w:tcPr>
            <w:tcW w:w="9221" w:type="dxa"/>
            <w:tcBorders>
              <w:top w:val="nil"/>
              <w:left w:val="single" w:color="auto" w:sz="8" w:space="0"/>
              <w:bottom w:val="single" w:color="auto" w:sz="4" w:space="0"/>
              <w:right w:val="nil"/>
            </w:tcBorders>
            <w:shd w:val="clear" w:color="000000" w:fill="BFBFBF"/>
            <w:vAlign w:val="bottom"/>
            <w:hideMark/>
          </w:tcPr>
          <w:p w:rsidRPr="00573A19" w:rsidR="00573A19" w:rsidP="00573A19" w:rsidRDefault="00573A19" w14:paraId="4CA8A45F" w14:textId="77777777">
            <w:pPr>
              <w:rPr>
                <w:rFonts w:ascii="Palatino Linotype" w:hAnsi="Palatino Linotype" w:cs="Calibri"/>
                <w:b/>
                <w:bCs/>
                <w:color w:val="000000"/>
                <w:sz w:val="24"/>
                <w:szCs w:val="24"/>
              </w:rPr>
            </w:pPr>
            <w:r w:rsidRPr="00573A19">
              <w:rPr>
                <w:rFonts w:ascii="Palatino Linotype" w:hAnsi="Palatino Linotype" w:cs="Calibri"/>
                <w:b/>
                <w:bCs/>
                <w:color w:val="000000"/>
                <w:sz w:val="24"/>
                <w:szCs w:val="24"/>
              </w:rPr>
              <w:t>Gas Leaks</w:t>
            </w:r>
          </w:p>
        </w:tc>
        <w:tc>
          <w:tcPr>
            <w:tcW w:w="2956" w:type="dxa"/>
            <w:tcBorders>
              <w:top w:val="nil"/>
              <w:left w:val="single" w:color="auto" w:sz="8" w:space="0"/>
              <w:bottom w:val="single" w:color="auto" w:sz="4" w:space="0"/>
              <w:right w:val="single" w:color="auto" w:sz="4" w:space="0"/>
            </w:tcBorders>
            <w:shd w:val="clear" w:color="000000" w:fill="BFBFBF"/>
            <w:noWrap/>
            <w:vAlign w:val="bottom"/>
            <w:hideMark/>
          </w:tcPr>
          <w:p w:rsidRPr="00573A19" w:rsidR="00573A19" w:rsidP="00573A19" w:rsidRDefault="00573A19" w14:paraId="7CB6BA3B" w14:textId="4D36B2F4">
            <w:pPr>
              <w:rPr>
                <w:rFonts w:ascii="Palatino Linotype" w:hAnsi="Palatino Linotype" w:cs="Calibri"/>
                <w:b/>
                <w:bCs/>
                <w:color w:val="000000"/>
                <w:sz w:val="24"/>
                <w:szCs w:val="24"/>
              </w:rPr>
            </w:pPr>
            <w:r w:rsidRPr="00573A19">
              <w:rPr>
                <w:rFonts w:ascii="Palatino Linotype" w:hAnsi="Palatino Linotype" w:cs="Calibri"/>
                <w:b/>
                <w:bCs/>
                <w:color w:val="000000"/>
                <w:sz w:val="24"/>
                <w:szCs w:val="24"/>
              </w:rPr>
              <w:t>Single</w:t>
            </w:r>
            <w:r w:rsidRPr="00387AB6">
              <w:rPr>
                <w:rFonts w:ascii="Palatino Linotype" w:hAnsi="Palatino Linotype" w:cs="Calibri"/>
                <w:b/>
                <w:bCs/>
                <w:color w:val="000000"/>
                <w:sz w:val="24"/>
                <w:szCs w:val="24"/>
              </w:rPr>
              <w:t xml:space="preserve"> </w:t>
            </w:r>
            <w:r w:rsidRPr="00573A19">
              <w:rPr>
                <w:rFonts w:ascii="Palatino Linotype" w:hAnsi="Palatino Linotype" w:cs="Calibri"/>
                <w:b/>
                <w:bCs/>
                <w:color w:val="000000"/>
                <w:sz w:val="24"/>
                <w:szCs w:val="24"/>
              </w:rPr>
              <w:t>family</w:t>
            </w:r>
          </w:p>
        </w:tc>
        <w:tc>
          <w:tcPr>
            <w:tcW w:w="2227" w:type="dxa"/>
            <w:tcBorders>
              <w:top w:val="nil"/>
              <w:left w:val="nil"/>
              <w:bottom w:val="single" w:color="auto" w:sz="4" w:space="0"/>
              <w:right w:val="single" w:color="auto" w:sz="4" w:space="0"/>
            </w:tcBorders>
            <w:shd w:val="clear" w:color="000000" w:fill="BFBFBF"/>
            <w:noWrap/>
            <w:vAlign w:val="bottom"/>
            <w:hideMark/>
          </w:tcPr>
          <w:p w:rsidRPr="00573A19" w:rsidR="00573A19" w:rsidP="00573A19" w:rsidRDefault="00573A19" w14:paraId="091374F4" w14:textId="77777777">
            <w:pPr>
              <w:rPr>
                <w:rFonts w:ascii="Palatino Linotype" w:hAnsi="Palatino Linotype" w:cs="Calibri"/>
                <w:b/>
                <w:bCs/>
                <w:color w:val="000000"/>
                <w:sz w:val="24"/>
                <w:szCs w:val="24"/>
              </w:rPr>
            </w:pPr>
            <w:r w:rsidRPr="00573A19">
              <w:rPr>
                <w:rFonts w:ascii="Palatino Linotype" w:hAnsi="Palatino Linotype" w:cs="Calibri"/>
                <w:b/>
                <w:bCs/>
                <w:color w:val="000000"/>
                <w:sz w:val="24"/>
                <w:szCs w:val="24"/>
              </w:rPr>
              <w:t>Multifamily</w:t>
            </w:r>
          </w:p>
        </w:tc>
        <w:tc>
          <w:tcPr>
            <w:tcW w:w="2775" w:type="dxa"/>
            <w:tcBorders>
              <w:top w:val="nil"/>
              <w:left w:val="nil"/>
              <w:bottom w:val="single" w:color="auto" w:sz="4" w:space="0"/>
              <w:right w:val="single" w:color="auto" w:sz="8" w:space="0"/>
            </w:tcBorders>
            <w:shd w:val="clear" w:color="000000" w:fill="BFBFBF"/>
            <w:noWrap/>
            <w:vAlign w:val="bottom"/>
            <w:hideMark/>
          </w:tcPr>
          <w:p w:rsidRPr="00573A19" w:rsidR="00573A19" w:rsidP="00573A19" w:rsidRDefault="00573A19" w14:paraId="4A7A7082" w14:textId="77777777">
            <w:pPr>
              <w:rPr>
                <w:rFonts w:ascii="Palatino Linotype" w:hAnsi="Palatino Linotype" w:cs="Calibri"/>
                <w:b/>
                <w:bCs/>
                <w:color w:val="000000"/>
                <w:sz w:val="24"/>
                <w:szCs w:val="24"/>
              </w:rPr>
            </w:pPr>
            <w:r w:rsidRPr="00573A19">
              <w:rPr>
                <w:rFonts w:ascii="Palatino Linotype" w:hAnsi="Palatino Linotype" w:cs="Calibri"/>
                <w:b/>
                <w:bCs/>
                <w:color w:val="000000"/>
                <w:sz w:val="24"/>
                <w:szCs w:val="24"/>
              </w:rPr>
              <w:t>All other</w:t>
            </w:r>
          </w:p>
        </w:tc>
      </w:tr>
      <w:tr w:rsidRPr="00573A19" w:rsidR="00573A19" w:rsidTr="00573A19" w14:paraId="3F09A4A0" w14:textId="77777777">
        <w:trPr>
          <w:trHeight w:val="414"/>
        </w:trPr>
        <w:tc>
          <w:tcPr>
            <w:tcW w:w="9221" w:type="dxa"/>
            <w:tcBorders>
              <w:top w:val="nil"/>
              <w:left w:val="single" w:color="auto" w:sz="8" w:space="0"/>
              <w:bottom w:val="single" w:color="auto" w:sz="8" w:space="0"/>
              <w:right w:val="nil"/>
            </w:tcBorders>
            <w:shd w:val="clear" w:color="auto" w:fill="auto"/>
            <w:vAlign w:val="bottom"/>
            <w:hideMark/>
          </w:tcPr>
          <w:p w:rsidRPr="00573A19" w:rsidR="00573A19" w:rsidP="00573A19" w:rsidRDefault="00573A19" w14:paraId="31FEC62F" w14:textId="77777777">
            <w:pPr>
              <w:rPr>
                <w:rFonts w:ascii="Palatino Linotype" w:hAnsi="Palatino Linotype" w:cs="Calibri"/>
                <w:color w:val="000000"/>
                <w:sz w:val="24"/>
                <w:szCs w:val="24"/>
              </w:rPr>
            </w:pPr>
            <w:r w:rsidRPr="00573A19">
              <w:rPr>
                <w:rFonts w:ascii="Palatino Linotype" w:hAnsi="Palatino Linotype" w:cs="Calibri"/>
                <w:color w:val="000000"/>
                <w:sz w:val="24"/>
                <w:szCs w:val="24"/>
              </w:rPr>
              <w:t>Number of reported gas leaks by CZ</w:t>
            </w:r>
          </w:p>
        </w:tc>
        <w:tc>
          <w:tcPr>
            <w:tcW w:w="2956" w:type="dxa"/>
            <w:tcBorders>
              <w:top w:val="nil"/>
              <w:left w:val="single" w:color="auto" w:sz="8" w:space="0"/>
              <w:bottom w:val="single" w:color="auto" w:sz="8" w:space="0"/>
              <w:right w:val="single" w:color="auto" w:sz="4" w:space="0"/>
            </w:tcBorders>
            <w:shd w:val="clear" w:color="auto" w:fill="auto"/>
            <w:noWrap/>
            <w:vAlign w:val="bottom"/>
            <w:hideMark/>
          </w:tcPr>
          <w:p w:rsidRPr="00573A19" w:rsidR="00573A19" w:rsidP="00573A19" w:rsidRDefault="00573A19" w14:paraId="1605CAE6" w14:textId="77777777">
            <w:pPr>
              <w:rPr>
                <w:rFonts w:ascii="Palatino Linotype" w:hAnsi="Palatino Linotype" w:cs="Calibri"/>
                <w:color w:val="000000"/>
                <w:sz w:val="24"/>
                <w:szCs w:val="24"/>
              </w:rPr>
            </w:pPr>
            <w:r w:rsidRPr="00573A19">
              <w:rPr>
                <w:rFonts w:ascii="Palatino Linotype" w:hAnsi="Palatino Linotype" w:cs="Calibri"/>
                <w:color w:val="000000"/>
                <w:sz w:val="24"/>
                <w:szCs w:val="24"/>
              </w:rPr>
              <w:t>[unitless]</w:t>
            </w:r>
          </w:p>
        </w:tc>
        <w:tc>
          <w:tcPr>
            <w:tcW w:w="2227" w:type="dxa"/>
            <w:tcBorders>
              <w:top w:val="nil"/>
              <w:left w:val="nil"/>
              <w:bottom w:val="single" w:color="auto" w:sz="8" w:space="0"/>
              <w:right w:val="single" w:color="auto" w:sz="4" w:space="0"/>
            </w:tcBorders>
            <w:shd w:val="clear" w:color="auto" w:fill="auto"/>
            <w:noWrap/>
            <w:vAlign w:val="bottom"/>
            <w:hideMark/>
          </w:tcPr>
          <w:p w:rsidRPr="00573A19" w:rsidR="00573A19" w:rsidP="00573A19" w:rsidRDefault="00573A19" w14:paraId="77459A84" w14:textId="77777777">
            <w:pPr>
              <w:rPr>
                <w:rFonts w:ascii="Palatino Linotype" w:hAnsi="Palatino Linotype" w:cs="Calibri"/>
                <w:color w:val="000000"/>
                <w:sz w:val="24"/>
                <w:szCs w:val="24"/>
              </w:rPr>
            </w:pPr>
            <w:r w:rsidRPr="00573A19">
              <w:rPr>
                <w:rFonts w:ascii="Palatino Linotype" w:hAnsi="Palatino Linotype" w:cs="Calibri"/>
                <w:color w:val="000000"/>
                <w:sz w:val="24"/>
                <w:szCs w:val="24"/>
              </w:rPr>
              <w:t> </w:t>
            </w:r>
          </w:p>
        </w:tc>
        <w:tc>
          <w:tcPr>
            <w:tcW w:w="2775" w:type="dxa"/>
            <w:tcBorders>
              <w:top w:val="nil"/>
              <w:left w:val="nil"/>
              <w:bottom w:val="single" w:color="auto" w:sz="8" w:space="0"/>
              <w:right w:val="single" w:color="auto" w:sz="8" w:space="0"/>
            </w:tcBorders>
            <w:shd w:val="clear" w:color="auto" w:fill="auto"/>
            <w:noWrap/>
            <w:vAlign w:val="bottom"/>
            <w:hideMark/>
          </w:tcPr>
          <w:p w:rsidRPr="00573A19" w:rsidR="00573A19" w:rsidP="00573A19" w:rsidRDefault="00573A19" w14:paraId="4445A64D" w14:textId="77777777">
            <w:pPr>
              <w:rPr>
                <w:rFonts w:ascii="Palatino Linotype" w:hAnsi="Palatino Linotype" w:cs="Calibri"/>
                <w:color w:val="000000"/>
                <w:sz w:val="24"/>
                <w:szCs w:val="24"/>
              </w:rPr>
            </w:pPr>
            <w:r w:rsidRPr="00573A19">
              <w:rPr>
                <w:rFonts w:ascii="Palatino Linotype" w:hAnsi="Palatino Linotype" w:cs="Calibri"/>
                <w:color w:val="000000"/>
                <w:sz w:val="24"/>
                <w:szCs w:val="24"/>
              </w:rPr>
              <w:t> </w:t>
            </w:r>
          </w:p>
        </w:tc>
      </w:tr>
      <w:tr w:rsidRPr="00573A19" w:rsidR="00573A19" w:rsidTr="00573A19" w14:paraId="2E41110D" w14:textId="77777777">
        <w:trPr>
          <w:trHeight w:val="395"/>
        </w:trPr>
        <w:tc>
          <w:tcPr>
            <w:tcW w:w="9221" w:type="dxa"/>
            <w:tcBorders>
              <w:top w:val="nil"/>
              <w:left w:val="single" w:color="auto" w:sz="4" w:space="0"/>
              <w:bottom w:val="single" w:color="auto" w:sz="4" w:space="0"/>
              <w:right w:val="single" w:color="auto" w:sz="4" w:space="0"/>
            </w:tcBorders>
            <w:shd w:val="clear" w:color="000000" w:fill="BFBFBF"/>
            <w:vAlign w:val="bottom"/>
            <w:hideMark/>
          </w:tcPr>
          <w:p w:rsidRPr="00573A19" w:rsidR="00573A19" w:rsidP="00573A19" w:rsidRDefault="00573A19" w14:paraId="6FFD60FE" w14:textId="77777777">
            <w:pPr>
              <w:rPr>
                <w:rFonts w:ascii="Palatino Linotype" w:hAnsi="Palatino Linotype" w:cs="Calibri"/>
                <w:color w:val="000000"/>
                <w:sz w:val="24"/>
                <w:szCs w:val="24"/>
              </w:rPr>
            </w:pPr>
            <w:r w:rsidRPr="00573A19">
              <w:rPr>
                <w:rFonts w:ascii="Palatino Linotype" w:hAnsi="Palatino Linotype" w:cs="Calibri"/>
                <w:color w:val="000000"/>
                <w:sz w:val="24"/>
                <w:szCs w:val="24"/>
              </w:rPr>
              <w:t>Planned Gas Projects</w:t>
            </w:r>
          </w:p>
        </w:tc>
        <w:tc>
          <w:tcPr>
            <w:tcW w:w="7959" w:type="dxa"/>
            <w:gridSpan w:val="3"/>
            <w:tcBorders>
              <w:top w:val="single" w:color="auto" w:sz="8" w:space="0"/>
              <w:left w:val="single" w:color="auto" w:sz="8" w:space="0"/>
              <w:bottom w:val="single" w:color="auto" w:sz="4" w:space="0"/>
              <w:right w:val="single" w:color="000000" w:sz="8" w:space="0"/>
            </w:tcBorders>
            <w:shd w:val="clear" w:color="000000" w:fill="BFBFBF"/>
            <w:noWrap/>
            <w:vAlign w:val="bottom"/>
            <w:hideMark/>
          </w:tcPr>
          <w:p w:rsidRPr="00573A19" w:rsidR="00573A19" w:rsidP="00573A19" w:rsidRDefault="00573A19" w14:paraId="667EEC6D" w14:textId="77777777">
            <w:pPr>
              <w:jc w:val="center"/>
              <w:rPr>
                <w:rFonts w:ascii="Palatino Linotype" w:hAnsi="Palatino Linotype" w:cs="Calibri"/>
                <w:b/>
                <w:bCs/>
                <w:color w:val="000000"/>
                <w:sz w:val="24"/>
                <w:szCs w:val="24"/>
              </w:rPr>
            </w:pPr>
            <w:r w:rsidRPr="00573A19">
              <w:rPr>
                <w:rFonts w:ascii="Palatino Linotype" w:hAnsi="Palatino Linotype" w:cs="Calibri"/>
                <w:b/>
                <w:bCs/>
                <w:color w:val="000000"/>
                <w:sz w:val="24"/>
                <w:szCs w:val="24"/>
              </w:rPr>
              <w:t>CZ [1]</w:t>
            </w:r>
          </w:p>
        </w:tc>
      </w:tr>
      <w:tr w:rsidRPr="00573A19" w:rsidR="00573A19" w:rsidTr="00573A19" w14:paraId="4B035EBA" w14:textId="77777777">
        <w:trPr>
          <w:trHeight w:val="454"/>
        </w:trPr>
        <w:tc>
          <w:tcPr>
            <w:tcW w:w="9221" w:type="dxa"/>
            <w:tcBorders>
              <w:top w:val="nil"/>
              <w:left w:val="single" w:color="auto" w:sz="8" w:space="0"/>
              <w:bottom w:val="single" w:color="auto" w:sz="4" w:space="0"/>
              <w:right w:val="nil"/>
            </w:tcBorders>
            <w:shd w:val="clear" w:color="auto" w:fill="auto"/>
            <w:vAlign w:val="bottom"/>
            <w:hideMark/>
          </w:tcPr>
          <w:p w:rsidRPr="00573A19" w:rsidR="00573A19" w:rsidP="00573A19" w:rsidRDefault="00573A19" w14:paraId="1137F871" w14:textId="77777777">
            <w:pPr>
              <w:rPr>
                <w:rFonts w:ascii="Palatino Linotype" w:hAnsi="Palatino Linotype" w:cs="Calibri"/>
                <w:color w:val="000000"/>
                <w:sz w:val="24"/>
                <w:szCs w:val="24"/>
              </w:rPr>
            </w:pPr>
            <w:r w:rsidRPr="00573A19">
              <w:rPr>
                <w:rFonts w:ascii="Palatino Linotype" w:hAnsi="Palatino Linotype" w:cs="Calibri"/>
                <w:color w:val="000000"/>
                <w:sz w:val="24"/>
                <w:szCs w:val="24"/>
              </w:rPr>
              <w:t>Length of Planned  Aldyl-A replacement distribution pipeline*</w:t>
            </w:r>
          </w:p>
        </w:tc>
        <w:tc>
          <w:tcPr>
            <w:tcW w:w="2956" w:type="dxa"/>
            <w:tcBorders>
              <w:top w:val="nil"/>
              <w:left w:val="single" w:color="auto" w:sz="4" w:space="0"/>
              <w:bottom w:val="single" w:color="auto" w:sz="4" w:space="0"/>
              <w:right w:val="single" w:color="auto" w:sz="4" w:space="0"/>
            </w:tcBorders>
            <w:shd w:val="clear" w:color="auto" w:fill="auto"/>
            <w:noWrap/>
            <w:vAlign w:val="bottom"/>
            <w:hideMark/>
          </w:tcPr>
          <w:p w:rsidRPr="00573A19" w:rsidR="00573A19" w:rsidP="00573A19" w:rsidRDefault="00573A19" w14:paraId="2B42BCED" w14:textId="77777777">
            <w:pPr>
              <w:rPr>
                <w:rFonts w:ascii="Palatino Linotype" w:hAnsi="Palatino Linotype" w:cs="Calibri"/>
                <w:color w:val="000000"/>
                <w:sz w:val="24"/>
                <w:szCs w:val="24"/>
              </w:rPr>
            </w:pPr>
            <w:r w:rsidRPr="00573A19">
              <w:rPr>
                <w:rFonts w:ascii="Palatino Linotype" w:hAnsi="Palatino Linotype" w:cs="Calibri"/>
                <w:color w:val="000000"/>
                <w:sz w:val="24"/>
                <w:szCs w:val="24"/>
              </w:rPr>
              <w:t> </w:t>
            </w:r>
          </w:p>
        </w:tc>
        <w:tc>
          <w:tcPr>
            <w:tcW w:w="2227" w:type="dxa"/>
            <w:tcBorders>
              <w:top w:val="nil"/>
              <w:left w:val="nil"/>
              <w:bottom w:val="single" w:color="auto" w:sz="4" w:space="0"/>
              <w:right w:val="single" w:color="auto" w:sz="4" w:space="0"/>
            </w:tcBorders>
            <w:shd w:val="clear" w:color="auto" w:fill="auto"/>
            <w:noWrap/>
            <w:vAlign w:val="bottom"/>
            <w:hideMark/>
          </w:tcPr>
          <w:p w:rsidRPr="00573A19" w:rsidR="00573A19" w:rsidP="00573A19" w:rsidRDefault="00573A19" w14:paraId="3A569A94" w14:textId="77777777">
            <w:pPr>
              <w:rPr>
                <w:rFonts w:ascii="Palatino Linotype" w:hAnsi="Palatino Linotype" w:cs="Calibri"/>
                <w:color w:val="000000"/>
                <w:sz w:val="24"/>
                <w:szCs w:val="24"/>
              </w:rPr>
            </w:pPr>
            <w:r w:rsidRPr="00573A19">
              <w:rPr>
                <w:rFonts w:ascii="Palatino Linotype" w:hAnsi="Palatino Linotype" w:cs="Calibri"/>
                <w:color w:val="000000"/>
                <w:sz w:val="24"/>
                <w:szCs w:val="24"/>
              </w:rPr>
              <w:t> </w:t>
            </w:r>
          </w:p>
        </w:tc>
        <w:tc>
          <w:tcPr>
            <w:tcW w:w="2775" w:type="dxa"/>
            <w:tcBorders>
              <w:top w:val="nil"/>
              <w:left w:val="nil"/>
              <w:bottom w:val="single" w:color="auto" w:sz="4" w:space="0"/>
              <w:right w:val="single" w:color="auto" w:sz="4" w:space="0"/>
            </w:tcBorders>
            <w:shd w:val="clear" w:color="auto" w:fill="auto"/>
            <w:noWrap/>
            <w:vAlign w:val="bottom"/>
            <w:hideMark/>
          </w:tcPr>
          <w:p w:rsidRPr="00573A19" w:rsidR="00573A19" w:rsidP="00573A19" w:rsidRDefault="00573A19" w14:paraId="2774E85F" w14:textId="77777777">
            <w:pPr>
              <w:rPr>
                <w:rFonts w:ascii="Palatino Linotype" w:hAnsi="Palatino Linotype" w:cs="Calibri"/>
                <w:color w:val="000000"/>
                <w:sz w:val="24"/>
                <w:szCs w:val="24"/>
              </w:rPr>
            </w:pPr>
            <w:r w:rsidRPr="00573A19">
              <w:rPr>
                <w:rFonts w:ascii="Palatino Linotype" w:hAnsi="Palatino Linotype" w:cs="Calibri"/>
                <w:color w:val="000000"/>
                <w:sz w:val="24"/>
                <w:szCs w:val="24"/>
              </w:rPr>
              <w:t> </w:t>
            </w:r>
          </w:p>
        </w:tc>
      </w:tr>
      <w:tr w:rsidRPr="00573A19" w:rsidR="00573A19" w:rsidTr="00573A19" w14:paraId="2DEFB4DC" w14:textId="77777777">
        <w:trPr>
          <w:trHeight w:val="454"/>
        </w:trPr>
        <w:tc>
          <w:tcPr>
            <w:tcW w:w="9221" w:type="dxa"/>
            <w:tcBorders>
              <w:top w:val="nil"/>
              <w:left w:val="single" w:color="auto" w:sz="8" w:space="0"/>
              <w:bottom w:val="single" w:color="auto" w:sz="4" w:space="0"/>
              <w:right w:val="nil"/>
            </w:tcBorders>
            <w:shd w:val="clear" w:color="auto" w:fill="auto"/>
            <w:vAlign w:val="bottom"/>
            <w:hideMark/>
          </w:tcPr>
          <w:p w:rsidRPr="00573A19" w:rsidR="00573A19" w:rsidP="00573A19" w:rsidRDefault="00573A19" w14:paraId="5B55D3B8" w14:textId="77777777">
            <w:pPr>
              <w:rPr>
                <w:rFonts w:ascii="Palatino Linotype" w:hAnsi="Palatino Linotype" w:cs="Calibri"/>
                <w:color w:val="000000"/>
                <w:sz w:val="24"/>
                <w:szCs w:val="24"/>
              </w:rPr>
            </w:pPr>
            <w:r w:rsidRPr="00573A19">
              <w:rPr>
                <w:rFonts w:ascii="Palatino Linotype" w:hAnsi="Palatino Linotype" w:cs="Calibri"/>
                <w:color w:val="000000"/>
                <w:sz w:val="24"/>
                <w:szCs w:val="24"/>
              </w:rPr>
              <w:t>Length of Planned bare steel replacement distribution pipeline</w:t>
            </w:r>
          </w:p>
        </w:tc>
        <w:tc>
          <w:tcPr>
            <w:tcW w:w="2956" w:type="dxa"/>
            <w:tcBorders>
              <w:top w:val="nil"/>
              <w:left w:val="single" w:color="auto" w:sz="4" w:space="0"/>
              <w:bottom w:val="single" w:color="auto" w:sz="4" w:space="0"/>
              <w:right w:val="single" w:color="auto" w:sz="4" w:space="0"/>
            </w:tcBorders>
            <w:shd w:val="clear" w:color="auto" w:fill="auto"/>
            <w:noWrap/>
            <w:vAlign w:val="bottom"/>
            <w:hideMark/>
          </w:tcPr>
          <w:p w:rsidRPr="00573A19" w:rsidR="00573A19" w:rsidP="00573A19" w:rsidRDefault="00573A19" w14:paraId="06A824FF" w14:textId="77777777">
            <w:pPr>
              <w:rPr>
                <w:rFonts w:ascii="Palatino Linotype" w:hAnsi="Palatino Linotype" w:cs="Calibri"/>
                <w:color w:val="000000"/>
                <w:sz w:val="24"/>
                <w:szCs w:val="24"/>
              </w:rPr>
            </w:pPr>
            <w:r w:rsidRPr="00573A19">
              <w:rPr>
                <w:rFonts w:ascii="Palatino Linotype" w:hAnsi="Palatino Linotype" w:cs="Calibri"/>
                <w:color w:val="000000"/>
                <w:sz w:val="24"/>
                <w:szCs w:val="24"/>
              </w:rPr>
              <w:t> </w:t>
            </w:r>
          </w:p>
        </w:tc>
        <w:tc>
          <w:tcPr>
            <w:tcW w:w="2227" w:type="dxa"/>
            <w:tcBorders>
              <w:top w:val="nil"/>
              <w:left w:val="nil"/>
              <w:bottom w:val="single" w:color="auto" w:sz="4" w:space="0"/>
              <w:right w:val="single" w:color="auto" w:sz="4" w:space="0"/>
            </w:tcBorders>
            <w:shd w:val="clear" w:color="auto" w:fill="auto"/>
            <w:noWrap/>
            <w:vAlign w:val="bottom"/>
            <w:hideMark/>
          </w:tcPr>
          <w:p w:rsidRPr="00573A19" w:rsidR="00573A19" w:rsidP="00573A19" w:rsidRDefault="00573A19" w14:paraId="7B9FF45E" w14:textId="77777777">
            <w:pPr>
              <w:rPr>
                <w:rFonts w:ascii="Palatino Linotype" w:hAnsi="Palatino Linotype" w:cs="Calibri"/>
                <w:color w:val="000000"/>
                <w:sz w:val="24"/>
                <w:szCs w:val="24"/>
              </w:rPr>
            </w:pPr>
            <w:r w:rsidRPr="00573A19">
              <w:rPr>
                <w:rFonts w:ascii="Palatino Linotype" w:hAnsi="Palatino Linotype" w:cs="Calibri"/>
                <w:color w:val="000000"/>
                <w:sz w:val="24"/>
                <w:szCs w:val="24"/>
              </w:rPr>
              <w:t> </w:t>
            </w:r>
          </w:p>
        </w:tc>
        <w:tc>
          <w:tcPr>
            <w:tcW w:w="2775" w:type="dxa"/>
            <w:tcBorders>
              <w:top w:val="nil"/>
              <w:left w:val="nil"/>
              <w:bottom w:val="single" w:color="auto" w:sz="4" w:space="0"/>
              <w:right w:val="single" w:color="auto" w:sz="4" w:space="0"/>
            </w:tcBorders>
            <w:shd w:val="clear" w:color="auto" w:fill="auto"/>
            <w:noWrap/>
            <w:vAlign w:val="bottom"/>
            <w:hideMark/>
          </w:tcPr>
          <w:p w:rsidRPr="00573A19" w:rsidR="00573A19" w:rsidP="00573A19" w:rsidRDefault="00573A19" w14:paraId="426EC105" w14:textId="77777777">
            <w:pPr>
              <w:rPr>
                <w:rFonts w:ascii="Palatino Linotype" w:hAnsi="Palatino Linotype" w:cs="Calibri"/>
                <w:color w:val="000000"/>
                <w:sz w:val="24"/>
                <w:szCs w:val="24"/>
              </w:rPr>
            </w:pPr>
            <w:r w:rsidRPr="00573A19">
              <w:rPr>
                <w:rFonts w:ascii="Palatino Linotype" w:hAnsi="Palatino Linotype" w:cs="Calibri"/>
                <w:color w:val="000000"/>
                <w:sz w:val="24"/>
                <w:szCs w:val="24"/>
              </w:rPr>
              <w:t> </w:t>
            </w:r>
          </w:p>
        </w:tc>
      </w:tr>
      <w:tr w:rsidRPr="00573A19" w:rsidR="00573A19" w:rsidTr="00573A19" w14:paraId="730528C7" w14:textId="77777777">
        <w:trPr>
          <w:trHeight w:val="454"/>
        </w:trPr>
        <w:tc>
          <w:tcPr>
            <w:tcW w:w="9221" w:type="dxa"/>
            <w:tcBorders>
              <w:top w:val="nil"/>
              <w:left w:val="single" w:color="auto" w:sz="8" w:space="0"/>
              <w:bottom w:val="single" w:color="auto" w:sz="4" w:space="0"/>
              <w:right w:val="nil"/>
            </w:tcBorders>
            <w:shd w:val="clear" w:color="auto" w:fill="auto"/>
            <w:vAlign w:val="bottom"/>
            <w:hideMark/>
          </w:tcPr>
          <w:p w:rsidRPr="00573A19" w:rsidR="00573A19" w:rsidP="00573A19" w:rsidRDefault="00573A19" w14:paraId="5FFA1FCE" w14:textId="77777777">
            <w:pPr>
              <w:rPr>
                <w:rFonts w:ascii="Palatino Linotype" w:hAnsi="Palatino Linotype" w:cs="Calibri"/>
                <w:color w:val="000000"/>
                <w:sz w:val="24"/>
                <w:szCs w:val="24"/>
              </w:rPr>
            </w:pPr>
            <w:r w:rsidRPr="00573A19">
              <w:rPr>
                <w:rFonts w:ascii="Palatino Linotype" w:hAnsi="Palatino Linotype" w:cs="Calibri"/>
                <w:color w:val="000000"/>
                <w:sz w:val="24"/>
                <w:szCs w:val="24"/>
              </w:rPr>
              <w:t>Budget of Planned  Aldyl-A replacement distribution pipeline*</w:t>
            </w:r>
          </w:p>
        </w:tc>
        <w:tc>
          <w:tcPr>
            <w:tcW w:w="2956" w:type="dxa"/>
            <w:tcBorders>
              <w:top w:val="nil"/>
              <w:left w:val="single" w:color="auto" w:sz="4" w:space="0"/>
              <w:bottom w:val="single" w:color="auto" w:sz="4" w:space="0"/>
              <w:right w:val="single" w:color="auto" w:sz="4" w:space="0"/>
            </w:tcBorders>
            <w:shd w:val="clear" w:color="auto" w:fill="auto"/>
            <w:noWrap/>
            <w:vAlign w:val="bottom"/>
            <w:hideMark/>
          </w:tcPr>
          <w:p w:rsidRPr="00573A19" w:rsidR="00573A19" w:rsidP="00573A19" w:rsidRDefault="00573A19" w14:paraId="19A31168" w14:textId="77777777">
            <w:pPr>
              <w:rPr>
                <w:rFonts w:ascii="Palatino Linotype" w:hAnsi="Palatino Linotype" w:cs="Calibri"/>
                <w:color w:val="000000"/>
                <w:sz w:val="24"/>
                <w:szCs w:val="24"/>
              </w:rPr>
            </w:pPr>
            <w:r w:rsidRPr="00573A19">
              <w:rPr>
                <w:rFonts w:ascii="Palatino Linotype" w:hAnsi="Palatino Linotype" w:cs="Calibri"/>
                <w:color w:val="000000"/>
                <w:sz w:val="24"/>
                <w:szCs w:val="24"/>
              </w:rPr>
              <w:t> </w:t>
            </w:r>
          </w:p>
        </w:tc>
        <w:tc>
          <w:tcPr>
            <w:tcW w:w="2227" w:type="dxa"/>
            <w:tcBorders>
              <w:top w:val="nil"/>
              <w:left w:val="nil"/>
              <w:bottom w:val="single" w:color="auto" w:sz="4" w:space="0"/>
              <w:right w:val="single" w:color="auto" w:sz="4" w:space="0"/>
            </w:tcBorders>
            <w:shd w:val="clear" w:color="auto" w:fill="auto"/>
            <w:noWrap/>
            <w:vAlign w:val="bottom"/>
            <w:hideMark/>
          </w:tcPr>
          <w:p w:rsidRPr="00573A19" w:rsidR="00573A19" w:rsidP="00573A19" w:rsidRDefault="00573A19" w14:paraId="1FDF8804" w14:textId="77777777">
            <w:pPr>
              <w:rPr>
                <w:rFonts w:ascii="Palatino Linotype" w:hAnsi="Palatino Linotype" w:cs="Calibri"/>
                <w:color w:val="000000"/>
                <w:sz w:val="24"/>
                <w:szCs w:val="24"/>
              </w:rPr>
            </w:pPr>
            <w:r w:rsidRPr="00573A19">
              <w:rPr>
                <w:rFonts w:ascii="Palatino Linotype" w:hAnsi="Palatino Linotype" w:cs="Calibri"/>
                <w:color w:val="000000"/>
                <w:sz w:val="24"/>
                <w:szCs w:val="24"/>
              </w:rPr>
              <w:t> </w:t>
            </w:r>
          </w:p>
        </w:tc>
        <w:tc>
          <w:tcPr>
            <w:tcW w:w="2775" w:type="dxa"/>
            <w:tcBorders>
              <w:top w:val="nil"/>
              <w:left w:val="nil"/>
              <w:bottom w:val="single" w:color="auto" w:sz="4" w:space="0"/>
              <w:right w:val="single" w:color="auto" w:sz="4" w:space="0"/>
            </w:tcBorders>
            <w:shd w:val="clear" w:color="auto" w:fill="auto"/>
            <w:noWrap/>
            <w:vAlign w:val="bottom"/>
            <w:hideMark/>
          </w:tcPr>
          <w:p w:rsidRPr="00573A19" w:rsidR="00573A19" w:rsidP="00573A19" w:rsidRDefault="00573A19" w14:paraId="5D71D4FF" w14:textId="77777777">
            <w:pPr>
              <w:rPr>
                <w:rFonts w:ascii="Palatino Linotype" w:hAnsi="Palatino Linotype" w:cs="Calibri"/>
                <w:color w:val="000000"/>
                <w:sz w:val="24"/>
                <w:szCs w:val="24"/>
              </w:rPr>
            </w:pPr>
            <w:r w:rsidRPr="00573A19">
              <w:rPr>
                <w:rFonts w:ascii="Palatino Linotype" w:hAnsi="Palatino Linotype" w:cs="Calibri"/>
                <w:color w:val="000000"/>
                <w:sz w:val="24"/>
                <w:szCs w:val="24"/>
              </w:rPr>
              <w:t> </w:t>
            </w:r>
          </w:p>
        </w:tc>
      </w:tr>
      <w:tr w:rsidRPr="00573A19" w:rsidR="00573A19" w:rsidTr="00573A19" w14:paraId="2092A5CD" w14:textId="77777777">
        <w:trPr>
          <w:trHeight w:val="454"/>
        </w:trPr>
        <w:tc>
          <w:tcPr>
            <w:tcW w:w="9221" w:type="dxa"/>
            <w:tcBorders>
              <w:top w:val="nil"/>
              <w:left w:val="single" w:color="auto" w:sz="8" w:space="0"/>
              <w:bottom w:val="single" w:color="auto" w:sz="4" w:space="0"/>
              <w:right w:val="nil"/>
            </w:tcBorders>
            <w:shd w:val="clear" w:color="auto" w:fill="auto"/>
            <w:vAlign w:val="bottom"/>
            <w:hideMark/>
          </w:tcPr>
          <w:p w:rsidRPr="00573A19" w:rsidR="00573A19" w:rsidP="00573A19" w:rsidRDefault="00573A19" w14:paraId="27FA5AF2" w14:textId="77777777">
            <w:pPr>
              <w:rPr>
                <w:rFonts w:ascii="Palatino Linotype" w:hAnsi="Palatino Linotype" w:cs="Calibri"/>
                <w:color w:val="000000"/>
                <w:sz w:val="24"/>
                <w:szCs w:val="24"/>
              </w:rPr>
            </w:pPr>
            <w:r w:rsidRPr="00573A19">
              <w:rPr>
                <w:rFonts w:ascii="Palatino Linotype" w:hAnsi="Palatino Linotype" w:cs="Calibri"/>
                <w:color w:val="000000"/>
                <w:sz w:val="24"/>
                <w:szCs w:val="24"/>
              </w:rPr>
              <w:t>Budget of Planned bare steel replacement distribution pipeline</w:t>
            </w:r>
          </w:p>
        </w:tc>
        <w:tc>
          <w:tcPr>
            <w:tcW w:w="2956" w:type="dxa"/>
            <w:tcBorders>
              <w:top w:val="nil"/>
              <w:left w:val="single" w:color="auto" w:sz="4" w:space="0"/>
              <w:bottom w:val="single" w:color="auto" w:sz="4" w:space="0"/>
              <w:right w:val="single" w:color="auto" w:sz="4" w:space="0"/>
            </w:tcBorders>
            <w:shd w:val="clear" w:color="auto" w:fill="auto"/>
            <w:noWrap/>
            <w:vAlign w:val="bottom"/>
            <w:hideMark/>
          </w:tcPr>
          <w:p w:rsidRPr="00573A19" w:rsidR="00573A19" w:rsidP="00573A19" w:rsidRDefault="00573A19" w14:paraId="4A7FCB1B" w14:textId="77777777">
            <w:pPr>
              <w:rPr>
                <w:rFonts w:ascii="Palatino Linotype" w:hAnsi="Palatino Linotype" w:cs="Calibri"/>
                <w:color w:val="000000"/>
                <w:sz w:val="24"/>
                <w:szCs w:val="24"/>
              </w:rPr>
            </w:pPr>
            <w:r w:rsidRPr="00573A19">
              <w:rPr>
                <w:rFonts w:ascii="Palatino Linotype" w:hAnsi="Palatino Linotype" w:cs="Calibri"/>
                <w:color w:val="000000"/>
                <w:sz w:val="24"/>
                <w:szCs w:val="24"/>
              </w:rPr>
              <w:t> </w:t>
            </w:r>
          </w:p>
        </w:tc>
        <w:tc>
          <w:tcPr>
            <w:tcW w:w="2227" w:type="dxa"/>
            <w:tcBorders>
              <w:top w:val="nil"/>
              <w:left w:val="nil"/>
              <w:bottom w:val="single" w:color="auto" w:sz="4" w:space="0"/>
              <w:right w:val="single" w:color="auto" w:sz="4" w:space="0"/>
            </w:tcBorders>
            <w:shd w:val="clear" w:color="auto" w:fill="auto"/>
            <w:noWrap/>
            <w:vAlign w:val="bottom"/>
            <w:hideMark/>
          </w:tcPr>
          <w:p w:rsidRPr="00573A19" w:rsidR="00573A19" w:rsidP="00573A19" w:rsidRDefault="00573A19" w14:paraId="239FB8CE" w14:textId="77777777">
            <w:pPr>
              <w:rPr>
                <w:rFonts w:ascii="Palatino Linotype" w:hAnsi="Palatino Linotype" w:cs="Calibri"/>
                <w:color w:val="000000"/>
                <w:sz w:val="24"/>
                <w:szCs w:val="24"/>
              </w:rPr>
            </w:pPr>
            <w:r w:rsidRPr="00573A19">
              <w:rPr>
                <w:rFonts w:ascii="Palatino Linotype" w:hAnsi="Palatino Linotype" w:cs="Calibri"/>
                <w:color w:val="000000"/>
                <w:sz w:val="24"/>
                <w:szCs w:val="24"/>
              </w:rPr>
              <w:t> </w:t>
            </w:r>
          </w:p>
        </w:tc>
        <w:tc>
          <w:tcPr>
            <w:tcW w:w="2775" w:type="dxa"/>
            <w:tcBorders>
              <w:top w:val="nil"/>
              <w:left w:val="nil"/>
              <w:bottom w:val="single" w:color="auto" w:sz="4" w:space="0"/>
              <w:right w:val="single" w:color="auto" w:sz="4" w:space="0"/>
            </w:tcBorders>
            <w:shd w:val="clear" w:color="auto" w:fill="auto"/>
            <w:noWrap/>
            <w:vAlign w:val="bottom"/>
            <w:hideMark/>
          </w:tcPr>
          <w:p w:rsidRPr="00573A19" w:rsidR="00573A19" w:rsidP="00573A19" w:rsidRDefault="00573A19" w14:paraId="41818330" w14:textId="77777777">
            <w:pPr>
              <w:rPr>
                <w:rFonts w:ascii="Palatino Linotype" w:hAnsi="Palatino Linotype" w:cs="Calibri"/>
                <w:color w:val="000000"/>
                <w:sz w:val="24"/>
                <w:szCs w:val="24"/>
              </w:rPr>
            </w:pPr>
            <w:r w:rsidRPr="00573A19">
              <w:rPr>
                <w:rFonts w:ascii="Palatino Linotype" w:hAnsi="Palatino Linotype" w:cs="Calibri"/>
                <w:color w:val="000000"/>
                <w:sz w:val="24"/>
                <w:szCs w:val="24"/>
              </w:rPr>
              <w:t> </w:t>
            </w:r>
          </w:p>
        </w:tc>
      </w:tr>
      <w:tr w:rsidRPr="00573A19" w:rsidR="00573A19" w:rsidTr="00573A19" w14:paraId="52509D56" w14:textId="77777777">
        <w:trPr>
          <w:trHeight w:val="395"/>
        </w:trPr>
        <w:tc>
          <w:tcPr>
            <w:tcW w:w="9221" w:type="dxa"/>
            <w:tcBorders>
              <w:top w:val="nil"/>
              <w:left w:val="single" w:color="auto" w:sz="8" w:space="0"/>
              <w:bottom w:val="single" w:color="auto" w:sz="4" w:space="0"/>
              <w:right w:val="nil"/>
            </w:tcBorders>
            <w:shd w:val="clear" w:color="auto" w:fill="auto"/>
            <w:vAlign w:val="bottom"/>
            <w:hideMark/>
          </w:tcPr>
          <w:p w:rsidRPr="00573A19" w:rsidR="00573A19" w:rsidP="00573A19" w:rsidRDefault="00573A19" w14:paraId="34EF6963" w14:textId="77777777">
            <w:pPr>
              <w:rPr>
                <w:rFonts w:ascii="Palatino Linotype" w:hAnsi="Palatino Linotype" w:cs="Calibri"/>
                <w:color w:val="000000"/>
                <w:sz w:val="24"/>
                <w:szCs w:val="24"/>
              </w:rPr>
            </w:pPr>
            <w:r w:rsidRPr="00573A19">
              <w:rPr>
                <w:rFonts w:ascii="Palatino Linotype" w:hAnsi="Palatino Linotype" w:cs="Calibri"/>
                <w:color w:val="000000"/>
                <w:sz w:val="24"/>
                <w:szCs w:val="24"/>
              </w:rPr>
              <w:t>Planned NG-to-Electric replacement projects</w:t>
            </w:r>
          </w:p>
        </w:tc>
        <w:tc>
          <w:tcPr>
            <w:tcW w:w="2956" w:type="dxa"/>
            <w:tcBorders>
              <w:top w:val="nil"/>
              <w:left w:val="single" w:color="auto" w:sz="4" w:space="0"/>
              <w:bottom w:val="single" w:color="auto" w:sz="4" w:space="0"/>
              <w:right w:val="single" w:color="auto" w:sz="4" w:space="0"/>
            </w:tcBorders>
            <w:shd w:val="clear" w:color="auto" w:fill="auto"/>
            <w:noWrap/>
            <w:vAlign w:val="bottom"/>
            <w:hideMark/>
          </w:tcPr>
          <w:p w:rsidRPr="00573A19" w:rsidR="00573A19" w:rsidP="00573A19" w:rsidRDefault="00573A19" w14:paraId="5FAAD27B" w14:textId="77777777">
            <w:pPr>
              <w:rPr>
                <w:rFonts w:ascii="Palatino Linotype" w:hAnsi="Palatino Linotype" w:cs="Calibri"/>
                <w:color w:val="000000"/>
                <w:sz w:val="24"/>
                <w:szCs w:val="24"/>
              </w:rPr>
            </w:pPr>
            <w:r w:rsidRPr="00573A19">
              <w:rPr>
                <w:rFonts w:ascii="Palatino Linotype" w:hAnsi="Palatino Linotype" w:cs="Calibri"/>
                <w:color w:val="000000"/>
                <w:sz w:val="24"/>
                <w:szCs w:val="24"/>
              </w:rPr>
              <w:t> </w:t>
            </w:r>
          </w:p>
        </w:tc>
        <w:tc>
          <w:tcPr>
            <w:tcW w:w="2227" w:type="dxa"/>
            <w:tcBorders>
              <w:top w:val="nil"/>
              <w:left w:val="nil"/>
              <w:bottom w:val="single" w:color="auto" w:sz="4" w:space="0"/>
              <w:right w:val="single" w:color="auto" w:sz="4" w:space="0"/>
            </w:tcBorders>
            <w:shd w:val="clear" w:color="auto" w:fill="auto"/>
            <w:noWrap/>
            <w:vAlign w:val="bottom"/>
            <w:hideMark/>
          </w:tcPr>
          <w:p w:rsidRPr="00573A19" w:rsidR="00573A19" w:rsidP="00573A19" w:rsidRDefault="00573A19" w14:paraId="37599885" w14:textId="77777777">
            <w:pPr>
              <w:rPr>
                <w:rFonts w:ascii="Palatino Linotype" w:hAnsi="Palatino Linotype" w:cs="Calibri"/>
                <w:color w:val="000000"/>
                <w:sz w:val="24"/>
                <w:szCs w:val="24"/>
              </w:rPr>
            </w:pPr>
            <w:r w:rsidRPr="00573A19">
              <w:rPr>
                <w:rFonts w:ascii="Palatino Linotype" w:hAnsi="Palatino Linotype" w:cs="Calibri"/>
                <w:color w:val="000000"/>
                <w:sz w:val="24"/>
                <w:szCs w:val="24"/>
              </w:rPr>
              <w:t> </w:t>
            </w:r>
          </w:p>
        </w:tc>
        <w:tc>
          <w:tcPr>
            <w:tcW w:w="2775" w:type="dxa"/>
            <w:tcBorders>
              <w:top w:val="nil"/>
              <w:left w:val="nil"/>
              <w:bottom w:val="single" w:color="auto" w:sz="4" w:space="0"/>
              <w:right w:val="single" w:color="auto" w:sz="4" w:space="0"/>
            </w:tcBorders>
            <w:shd w:val="clear" w:color="auto" w:fill="auto"/>
            <w:noWrap/>
            <w:vAlign w:val="bottom"/>
            <w:hideMark/>
          </w:tcPr>
          <w:p w:rsidRPr="00573A19" w:rsidR="00573A19" w:rsidP="00573A19" w:rsidRDefault="00573A19" w14:paraId="033CE602" w14:textId="77777777">
            <w:pPr>
              <w:rPr>
                <w:rFonts w:ascii="Palatino Linotype" w:hAnsi="Palatino Linotype" w:cs="Calibri"/>
                <w:color w:val="000000"/>
                <w:sz w:val="24"/>
                <w:szCs w:val="24"/>
              </w:rPr>
            </w:pPr>
            <w:r w:rsidRPr="00573A19">
              <w:rPr>
                <w:rFonts w:ascii="Palatino Linotype" w:hAnsi="Palatino Linotype" w:cs="Calibri"/>
                <w:color w:val="000000"/>
                <w:sz w:val="24"/>
                <w:szCs w:val="24"/>
              </w:rPr>
              <w:t> </w:t>
            </w:r>
          </w:p>
        </w:tc>
      </w:tr>
      <w:tr w:rsidRPr="00573A19" w:rsidR="00573A19" w:rsidTr="00573A19" w14:paraId="07779848" w14:textId="77777777">
        <w:trPr>
          <w:trHeight w:val="260"/>
        </w:trPr>
        <w:tc>
          <w:tcPr>
            <w:tcW w:w="9221" w:type="dxa"/>
            <w:tcBorders>
              <w:top w:val="nil"/>
              <w:left w:val="single" w:color="auto" w:sz="8" w:space="0"/>
              <w:bottom w:val="single" w:color="auto" w:sz="4" w:space="0"/>
              <w:right w:val="nil"/>
            </w:tcBorders>
            <w:shd w:val="clear" w:color="auto" w:fill="auto"/>
            <w:vAlign w:val="bottom"/>
            <w:hideMark/>
          </w:tcPr>
          <w:p w:rsidRPr="00573A19" w:rsidR="00573A19" w:rsidP="00573A19" w:rsidRDefault="00573A19" w14:paraId="79B0D870" w14:textId="77777777">
            <w:pPr>
              <w:rPr>
                <w:rFonts w:ascii="Palatino Linotype" w:hAnsi="Palatino Linotype" w:cs="Calibri"/>
                <w:color w:val="000000"/>
                <w:sz w:val="24"/>
                <w:szCs w:val="24"/>
              </w:rPr>
            </w:pPr>
            <w:r w:rsidRPr="00573A19">
              <w:rPr>
                <w:rFonts w:ascii="Palatino Linotype" w:hAnsi="Palatino Linotype" w:cs="Calibri"/>
                <w:color w:val="000000"/>
                <w:sz w:val="24"/>
                <w:szCs w:val="24"/>
              </w:rPr>
              <w:t>Number of households on planned NG-to-NG replacement distribution pipeline</w:t>
            </w:r>
          </w:p>
        </w:tc>
        <w:tc>
          <w:tcPr>
            <w:tcW w:w="2956" w:type="dxa"/>
            <w:tcBorders>
              <w:top w:val="nil"/>
              <w:left w:val="single" w:color="auto" w:sz="4" w:space="0"/>
              <w:bottom w:val="single" w:color="auto" w:sz="4" w:space="0"/>
              <w:right w:val="single" w:color="auto" w:sz="4" w:space="0"/>
            </w:tcBorders>
            <w:shd w:val="clear" w:color="auto" w:fill="auto"/>
            <w:noWrap/>
            <w:vAlign w:val="bottom"/>
            <w:hideMark/>
          </w:tcPr>
          <w:p w:rsidRPr="00573A19" w:rsidR="00573A19" w:rsidP="00573A19" w:rsidRDefault="00573A19" w14:paraId="106C3C9F" w14:textId="77777777">
            <w:pPr>
              <w:rPr>
                <w:rFonts w:ascii="Palatino Linotype" w:hAnsi="Palatino Linotype" w:cs="Calibri"/>
                <w:color w:val="000000"/>
                <w:sz w:val="24"/>
                <w:szCs w:val="24"/>
              </w:rPr>
            </w:pPr>
            <w:r w:rsidRPr="00573A19">
              <w:rPr>
                <w:rFonts w:ascii="Palatino Linotype" w:hAnsi="Palatino Linotype" w:cs="Calibri"/>
                <w:color w:val="000000"/>
                <w:sz w:val="24"/>
                <w:szCs w:val="24"/>
              </w:rPr>
              <w:t> </w:t>
            </w:r>
          </w:p>
        </w:tc>
        <w:tc>
          <w:tcPr>
            <w:tcW w:w="2227" w:type="dxa"/>
            <w:tcBorders>
              <w:top w:val="nil"/>
              <w:left w:val="nil"/>
              <w:bottom w:val="single" w:color="auto" w:sz="4" w:space="0"/>
              <w:right w:val="single" w:color="auto" w:sz="4" w:space="0"/>
            </w:tcBorders>
            <w:shd w:val="clear" w:color="auto" w:fill="auto"/>
            <w:noWrap/>
            <w:vAlign w:val="bottom"/>
            <w:hideMark/>
          </w:tcPr>
          <w:p w:rsidRPr="00573A19" w:rsidR="00573A19" w:rsidP="00573A19" w:rsidRDefault="00573A19" w14:paraId="235E6406" w14:textId="77777777">
            <w:pPr>
              <w:rPr>
                <w:rFonts w:ascii="Palatino Linotype" w:hAnsi="Palatino Linotype" w:cs="Calibri"/>
                <w:color w:val="000000"/>
                <w:sz w:val="24"/>
                <w:szCs w:val="24"/>
              </w:rPr>
            </w:pPr>
            <w:r w:rsidRPr="00573A19">
              <w:rPr>
                <w:rFonts w:ascii="Palatino Linotype" w:hAnsi="Palatino Linotype" w:cs="Calibri"/>
                <w:color w:val="000000"/>
                <w:sz w:val="24"/>
                <w:szCs w:val="24"/>
              </w:rPr>
              <w:t> </w:t>
            </w:r>
          </w:p>
        </w:tc>
        <w:tc>
          <w:tcPr>
            <w:tcW w:w="2775" w:type="dxa"/>
            <w:tcBorders>
              <w:top w:val="nil"/>
              <w:left w:val="nil"/>
              <w:bottom w:val="single" w:color="auto" w:sz="4" w:space="0"/>
              <w:right w:val="single" w:color="auto" w:sz="4" w:space="0"/>
            </w:tcBorders>
            <w:shd w:val="clear" w:color="auto" w:fill="auto"/>
            <w:noWrap/>
            <w:vAlign w:val="bottom"/>
            <w:hideMark/>
          </w:tcPr>
          <w:p w:rsidRPr="00573A19" w:rsidR="00573A19" w:rsidP="00573A19" w:rsidRDefault="00573A19" w14:paraId="772FFFDC" w14:textId="77777777">
            <w:pPr>
              <w:rPr>
                <w:rFonts w:ascii="Palatino Linotype" w:hAnsi="Palatino Linotype" w:cs="Calibri"/>
                <w:color w:val="000000"/>
                <w:sz w:val="24"/>
                <w:szCs w:val="24"/>
              </w:rPr>
            </w:pPr>
            <w:r w:rsidRPr="00573A19">
              <w:rPr>
                <w:rFonts w:ascii="Palatino Linotype" w:hAnsi="Palatino Linotype" w:cs="Calibri"/>
                <w:color w:val="000000"/>
                <w:sz w:val="24"/>
                <w:szCs w:val="24"/>
              </w:rPr>
              <w:t> </w:t>
            </w:r>
          </w:p>
        </w:tc>
      </w:tr>
      <w:tr w:rsidRPr="00573A19" w:rsidR="00573A19" w:rsidTr="00573A19" w14:paraId="7437DA6C" w14:textId="77777777">
        <w:trPr>
          <w:trHeight w:val="395"/>
        </w:trPr>
        <w:tc>
          <w:tcPr>
            <w:tcW w:w="9221" w:type="dxa"/>
            <w:tcBorders>
              <w:top w:val="nil"/>
              <w:left w:val="single" w:color="auto" w:sz="4" w:space="0"/>
              <w:bottom w:val="single" w:color="auto" w:sz="4" w:space="0"/>
              <w:right w:val="single" w:color="auto" w:sz="4" w:space="0"/>
            </w:tcBorders>
            <w:shd w:val="clear" w:color="auto" w:fill="auto"/>
            <w:vAlign w:val="bottom"/>
            <w:hideMark/>
          </w:tcPr>
          <w:p w:rsidRPr="00573A19" w:rsidR="00573A19" w:rsidP="00573A19" w:rsidRDefault="00573A19" w14:paraId="1219B14A" w14:textId="77777777">
            <w:pPr>
              <w:rPr>
                <w:rFonts w:ascii="Palatino Linotype" w:hAnsi="Palatino Linotype" w:cs="Calibri"/>
                <w:i/>
                <w:iCs/>
                <w:color w:val="000000"/>
                <w:sz w:val="24"/>
                <w:szCs w:val="24"/>
              </w:rPr>
            </w:pPr>
            <w:r w:rsidRPr="00573A19">
              <w:rPr>
                <w:rFonts w:ascii="Palatino Linotype" w:hAnsi="Palatino Linotype" w:cs="Calibri"/>
                <w:i/>
                <w:iCs/>
                <w:color w:val="000000"/>
                <w:sz w:val="24"/>
                <w:szCs w:val="24"/>
              </w:rPr>
              <w:t>* Assume Planned to be same as "Application submitted to CPUC"</w:t>
            </w:r>
          </w:p>
        </w:tc>
        <w:tc>
          <w:tcPr>
            <w:tcW w:w="2956" w:type="dxa"/>
            <w:tcBorders>
              <w:top w:val="nil"/>
              <w:left w:val="nil"/>
              <w:bottom w:val="single" w:color="auto" w:sz="4" w:space="0"/>
              <w:right w:val="single" w:color="auto" w:sz="4" w:space="0"/>
            </w:tcBorders>
            <w:shd w:val="clear" w:color="auto" w:fill="auto"/>
            <w:noWrap/>
            <w:vAlign w:val="bottom"/>
            <w:hideMark/>
          </w:tcPr>
          <w:p w:rsidRPr="00573A19" w:rsidR="00573A19" w:rsidP="00573A19" w:rsidRDefault="00573A19" w14:paraId="7EB32105" w14:textId="77777777">
            <w:pPr>
              <w:rPr>
                <w:rFonts w:ascii="Palatino Linotype" w:hAnsi="Palatino Linotype" w:cs="Calibri"/>
                <w:color w:val="000000"/>
                <w:sz w:val="24"/>
                <w:szCs w:val="24"/>
              </w:rPr>
            </w:pPr>
            <w:r w:rsidRPr="00573A19">
              <w:rPr>
                <w:rFonts w:ascii="Palatino Linotype" w:hAnsi="Palatino Linotype" w:cs="Calibri"/>
                <w:color w:val="000000"/>
                <w:sz w:val="24"/>
                <w:szCs w:val="24"/>
              </w:rPr>
              <w:t> </w:t>
            </w:r>
          </w:p>
        </w:tc>
        <w:tc>
          <w:tcPr>
            <w:tcW w:w="2227" w:type="dxa"/>
            <w:tcBorders>
              <w:top w:val="nil"/>
              <w:left w:val="nil"/>
              <w:bottom w:val="single" w:color="auto" w:sz="4" w:space="0"/>
              <w:right w:val="single" w:color="auto" w:sz="4" w:space="0"/>
            </w:tcBorders>
            <w:shd w:val="clear" w:color="auto" w:fill="auto"/>
            <w:noWrap/>
            <w:vAlign w:val="bottom"/>
            <w:hideMark/>
          </w:tcPr>
          <w:p w:rsidRPr="00573A19" w:rsidR="00573A19" w:rsidP="00573A19" w:rsidRDefault="00573A19" w14:paraId="3906C569" w14:textId="77777777">
            <w:pPr>
              <w:rPr>
                <w:rFonts w:ascii="Palatino Linotype" w:hAnsi="Palatino Linotype" w:cs="Calibri"/>
                <w:color w:val="000000"/>
                <w:sz w:val="24"/>
                <w:szCs w:val="24"/>
              </w:rPr>
            </w:pPr>
            <w:r w:rsidRPr="00573A19">
              <w:rPr>
                <w:rFonts w:ascii="Palatino Linotype" w:hAnsi="Palatino Linotype" w:cs="Calibri"/>
                <w:color w:val="000000"/>
                <w:sz w:val="24"/>
                <w:szCs w:val="24"/>
              </w:rPr>
              <w:t> </w:t>
            </w:r>
          </w:p>
        </w:tc>
        <w:tc>
          <w:tcPr>
            <w:tcW w:w="2775" w:type="dxa"/>
            <w:tcBorders>
              <w:top w:val="nil"/>
              <w:left w:val="nil"/>
              <w:bottom w:val="single" w:color="auto" w:sz="4" w:space="0"/>
              <w:right w:val="single" w:color="auto" w:sz="4" w:space="0"/>
            </w:tcBorders>
            <w:shd w:val="clear" w:color="auto" w:fill="auto"/>
            <w:noWrap/>
            <w:vAlign w:val="bottom"/>
            <w:hideMark/>
          </w:tcPr>
          <w:p w:rsidRPr="00573A19" w:rsidR="00573A19" w:rsidP="00573A19" w:rsidRDefault="00573A19" w14:paraId="53D02C14" w14:textId="77777777">
            <w:pPr>
              <w:rPr>
                <w:rFonts w:ascii="Palatino Linotype" w:hAnsi="Palatino Linotype" w:cs="Calibri"/>
                <w:color w:val="000000"/>
                <w:sz w:val="24"/>
                <w:szCs w:val="24"/>
              </w:rPr>
            </w:pPr>
            <w:r w:rsidRPr="00573A19">
              <w:rPr>
                <w:rFonts w:ascii="Palatino Linotype" w:hAnsi="Palatino Linotype" w:cs="Calibri"/>
                <w:color w:val="000000"/>
                <w:sz w:val="24"/>
                <w:szCs w:val="24"/>
              </w:rPr>
              <w:t> </w:t>
            </w:r>
          </w:p>
        </w:tc>
      </w:tr>
      <w:tr w:rsidRPr="00573A19" w:rsidR="00573A19" w:rsidTr="00573A19" w14:paraId="408EF190" w14:textId="77777777">
        <w:trPr>
          <w:trHeight w:val="612"/>
        </w:trPr>
        <w:tc>
          <w:tcPr>
            <w:tcW w:w="9221" w:type="dxa"/>
            <w:tcBorders>
              <w:top w:val="nil"/>
              <w:left w:val="single" w:color="auto" w:sz="4" w:space="0"/>
              <w:bottom w:val="single" w:color="auto" w:sz="4" w:space="0"/>
              <w:right w:val="single" w:color="auto" w:sz="4" w:space="0"/>
            </w:tcBorders>
            <w:shd w:val="clear" w:color="auto" w:fill="auto"/>
            <w:vAlign w:val="bottom"/>
            <w:hideMark/>
          </w:tcPr>
          <w:p w:rsidRPr="00573A19" w:rsidR="00573A19" w:rsidP="00573A19" w:rsidRDefault="00573A19" w14:paraId="1DC3554D" w14:textId="4BBEA918">
            <w:pPr>
              <w:rPr>
                <w:rFonts w:ascii="Palatino Linotype" w:hAnsi="Palatino Linotype" w:cs="Calibri"/>
                <w:color w:val="000000"/>
                <w:sz w:val="24"/>
                <w:szCs w:val="24"/>
              </w:rPr>
            </w:pPr>
            <w:r w:rsidRPr="00573A19">
              <w:rPr>
                <w:rFonts w:ascii="Palatino Linotype" w:hAnsi="Palatino Linotype" w:cs="Calibri"/>
                <w:color w:val="000000"/>
                <w:sz w:val="24"/>
                <w:szCs w:val="24"/>
              </w:rPr>
              <w:t xml:space="preserve">** The year ranges in this table are taken from </w:t>
            </w:r>
            <w:r w:rsidRPr="00387AB6">
              <w:rPr>
                <w:rFonts w:ascii="Palatino Linotype" w:hAnsi="Palatino Linotype" w:cs="Calibri"/>
                <w:color w:val="000000"/>
                <w:sz w:val="24"/>
                <w:szCs w:val="24"/>
              </w:rPr>
              <w:t>the</w:t>
            </w:r>
            <w:r w:rsidRPr="00573A19">
              <w:rPr>
                <w:rFonts w:ascii="Palatino Linotype" w:hAnsi="Palatino Linotype" w:cs="Calibri"/>
                <w:color w:val="000000"/>
                <w:sz w:val="24"/>
                <w:szCs w:val="24"/>
              </w:rPr>
              <w:t xml:space="preserve"> 2014 CPUC  </w:t>
            </w:r>
            <w:r w:rsidRPr="00573A19">
              <w:rPr>
                <w:rFonts w:ascii="Palatino Linotype" w:hAnsi="Palatino Linotype" w:cs="Calibri"/>
                <w:i/>
                <w:iCs/>
                <w:color w:val="000000"/>
                <w:sz w:val="24"/>
                <w:szCs w:val="24"/>
              </w:rPr>
              <w:t xml:space="preserve">Hazard Analysis and Mitigation </w:t>
            </w:r>
            <w:r w:rsidRPr="00573A19">
              <w:rPr>
                <w:rFonts w:ascii="Palatino Linotype" w:hAnsi="Palatino Linotype" w:cs="Calibri"/>
                <w:color w:val="000000"/>
                <w:sz w:val="24"/>
                <w:szCs w:val="24"/>
              </w:rPr>
              <w:t>report on Aldyl A Gas Pipelines (pg.12).</w:t>
            </w:r>
          </w:p>
        </w:tc>
        <w:tc>
          <w:tcPr>
            <w:tcW w:w="2956" w:type="dxa"/>
            <w:tcBorders>
              <w:top w:val="nil"/>
              <w:left w:val="nil"/>
              <w:bottom w:val="single" w:color="auto" w:sz="4" w:space="0"/>
              <w:right w:val="single" w:color="auto" w:sz="4" w:space="0"/>
            </w:tcBorders>
            <w:shd w:val="clear" w:color="auto" w:fill="auto"/>
            <w:noWrap/>
            <w:vAlign w:val="bottom"/>
            <w:hideMark/>
          </w:tcPr>
          <w:p w:rsidRPr="00573A19" w:rsidR="00573A19" w:rsidP="00573A19" w:rsidRDefault="00573A19" w14:paraId="69AC2C62" w14:textId="77777777">
            <w:pPr>
              <w:rPr>
                <w:rFonts w:ascii="Palatino Linotype" w:hAnsi="Palatino Linotype" w:cs="Calibri"/>
                <w:color w:val="000000"/>
                <w:sz w:val="24"/>
                <w:szCs w:val="24"/>
              </w:rPr>
            </w:pPr>
            <w:r w:rsidRPr="00573A19">
              <w:rPr>
                <w:rFonts w:ascii="Palatino Linotype" w:hAnsi="Palatino Linotype" w:cs="Calibri"/>
                <w:color w:val="000000"/>
                <w:sz w:val="24"/>
                <w:szCs w:val="24"/>
              </w:rPr>
              <w:t> </w:t>
            </w:r>
          </w:p>
        </w:tc>
        <w:tc>
          <w:tcPr>
            <w:tcW w:w="2227" w:type="dxa"/>
            <w:tcBorders>
              <w:top w:val="nil"/>
              <w:left w:val="nil"/>
              <w:bottom w:val="single" w:color="auto" w:sz="4" w:space="0"/>
              <w:right w:val="single" w:color="auto" w:sz="4" w:space="0"/>
            </w:tcBorders>
            <w:shd w:val="clear" w:color="auto" w:fill="auto"/>
            <w:noWrap/>
            <w:vAlign w:val="bottom"/>
            <w:hideMark/>
          </w:tcPr>
          <w:p w:rsidRPr="00573A19" w:rsidR="00573A19" w:rsidP="00573A19" w:rsidRDefault="00573A19" w14:paraId="0D2F9B66" w14:textId="77777777">
            <w:pPr>
              <w:rPr>
                <w:rFonts w:ascii="Palatino Linotype" w:hAnsi="Palatino Linotype" w:cs="Calibri"/>
                <w:color w:val="000000"/>
                <w:sz w:val="24"/>
                <w:szCs w:val="24"/>
              </w:rPr>
            </w:pPr>
            <w:r w:rsidRPr="00573A19">
              <w:rPr>
                <w:rFonts w:ascii="Palatino Linotype" w:hAnsi="Palatino Linotype" w:cs="Calibri"/>
                <w:color w:val="000000"/>
                <w:sz w:val="24"/>
                <w:szCs w:val="24"/>
              </w:rPr>
              <w:t> </w:t>
            </w:r>
          </w:p>
        </w:tc>
        <w:tc>
          <w:tcPr>
            <w:tcW w:w="2775" w:type="dxa"/>
            <w:tcBorders>
              <w:top w:val="nil"/>
              <w:left w:val="nil"/>
              <w:bottom w:val="single" w:color="auto" w:sz="4" w:space="0"/>
              <w:right w:val="single" w:color="auto" w:sz="4" w:space="0"/>
            </w:tcBorders>
            <w:shd w:val="clear" w:color="auto" w:fill="auto"/>
            <w:noWrap/>
            <w:vAlign w:val="bottom"/>
            <w:hideMark/>
          </w:tcPr>
          <w:p w:rsidRPr="00573A19" w:rsidR="00573A19" w:rsidP="00573A19" w:rsidRDefault="00573A19" w14:paraId="76694BD4" w14:textId="77777777">
            <w:pPr>
              <w:rPr>
                <w:rFonts w:ascii="Palatino Linotype" w:hAnsi="Palatino Linotype" w:cs="Calibri"/>
                <w:color w:val="000000"/>
                <w:sz w:val="24"/>
                <w:szCs w:val="24"/>
              </w:rPr>
            </w:pPr>
            <w:r w:rsidRPr="00573A19">
              <w:rPr>
                <w:rFonts w:ascii="Palatino Linotype" w:hAnsi="Palatino Linotype" w:cs="Calibri"/>
                <w:color w:val="000000"/>
                <w:sz w:val="24"/>
                <w:szCs w:val="24"/>
              </w:rPr>
              <w:t> </w:t>
            </w:r>
          </w:p>
        </w:tc>
      </w:tr>
    </w:tbl>
    <w:p w:rsidRPr="00387AB6" w:rsidR="00573A19" w:rsidP="00573A19" w:rsidRDefault="00573A19" w14:paraId="1F18F518" w14:textId="77777777">
      <w:pPr>
        <w:pStyle w:val="sub1"/>
        <w:rPr>
          <w:rFonts w:ascii="Palatino Linotype" w:hAnsi="Palatino Linotype"/>
          <w:sz w:val="24"/>
          <w:szCs w:val="24"/>
        </w:rPr>
      </w:pPr>
    </w:p>
    <w:sectPr w:rsidRPr="00387AB6" w:rsidR="00573A19" w:rsidSect="00D34E6A">
      <w:footerReference w:type="default" r:id="rId16"/>
      <w:headerReference w:type="first" r:id="rId17"/>
      <w:pgSz w:w="20160" w:h="12240" w:orient="landscape" w:code="5"/>
      <w:pgMar w:top="1440" w:right="1440" w:bottom="1440" w:left="1440" w:header="720" w:footer="72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92F41" w14:textId="77777777" w:rsidR="0013499A" w:rsidRDefault="0013499A">
      <w:r>
        <w:separator/>
      </w:r>
    </w:p>
  </w:endnote>
  <w:endnote w:type="continuationSeparator" w:id="0">
    <w:p w14:paraId="3B253D5F" w14:textId="77777777" w:rsidR="0013499A" w:rsidRDefault="0013499A">
      <w:r>
        <w:continuationSeparator/>
      </w:r>
    </w:p>
  </w:endnote>
  <w:endnote w:type="continuationNotice" w:id="1">
    <w:p w14:paraId="68AC6630" w14:textId="77777777" w:rsidR="0013499A" w:rsidRDefault="001349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729AB" w14:textId="77777777" w:rsidR="00971223" w:rsidRDefault="009712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2D11B" w14:textId="19ADDE36" w:rsidR="00D97136" w:rsidRDefault="00D9713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43D63" w14:textId="58231A26" w:rsidR="00D97136" w:rsidRDefault="00971223" w:rsidP="0097521C">
    <w:pPr>
      <w:pStyle w:val="Footer"/>
      <w:tabs>
        <w:tab w:val="clear" w:pos="4320"/>
        <w:tab w:val="center" w:pos="4680"/>
      </w:tabs>
      <w:jc w:val="left"/>
    </w:pPr>
    <w:r w:rsidRPr="00971223">
      <w:rPr>
        <w:rStyle w:val="PageNumber"/>
      </w:rPr>
      <w:t xml:space="preserve">  351501256</w:t>
    </w:r>
    <w:r w:rsidR="0097521C">
      <w:rPr>
        <w:rStyle w:val="PageNumber"/>
      </w:rPr>
      <w:tab/>
    </w:r>
    <w:r w:rsidR="00D97136">
      <w:rPr>
        <w:rStyle w:val="PageNumber"/>
      </w:rPr>
      <w:fldChar w:fldCharType="begin"/>
    </w:r>
    <w:r w:rsidR="00D97136">
      <w:rPr>
        <w:rStyle w:val="PageNumber"/>
      </w:rPr>
      <w:instrText xml:space="preserve"> PAGE </w:instrText>
    </w:r>
    <w:r w:rsidR="00D97136">
      <w:rPr>
        <w:rStyle w:val="PageNumber"/>
      </w:rPr>
      <w:fldChar w:fldCharType="separate"/>
    </w:r>
    <w:r w:rsidR="00D97136">
      <w:rPr>
        <w:rStyle w:val="PageNumber"/>
        <w:noProof/>
      </w:rPr>
      <w:t>1</w:t>
    </w:r>
    <w:r w:rsidR="00D97136">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01817" w14:textId="77777777" w:rsidR="00D97136" w:rsidRDefault="00D97136">
    <w:pPr>
      <w:pStyle w:val="Footer"/>
      <w:tabs>
        <w:tab w:val="clear" w:pos="4320"/>
        <w:tab w:val="center" w:pos="4680"/>
      </w:tabs>
    </w:pPr>
    <w:r>
      <w:rPr>
        <w:rStyle w:val="PageNumber"/>
      </w:rPr>
      <w:t>A-</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94106" w14:textId="39DCA3F2" w:rsidR="00D97136" w:rsidRDefault="00D97136">
    <w:pPr>
      <w:pStyle w:val="Footer"/>
    </w:pPr>
    <w:r>
      <w:rPr>
        <w:rStyle w:val="PageNumber"/>
      </w:rPr>
      <w:t>A-</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19C40" w14:textId="77777777" w:rsidR="0013499A" w:rsidRDefault="0013499A">
      <w:r>
        <w:separator/>
      </w:r>
    </w:p>
  </w:footnote>
  <w:footnote w:type="continuationSeparator" w:id="0">
    <w:p w14:paraId="3993C5FE" w14:textId="77777777" w:rsidR="0013499A" w:rsidRDefault="0013499A">
      <w:r>
        <w:continuationSeparator/>
      </w:r>
    </w:p>
  </w:footnote>
  <w:footnote w:type="continuationNotice" w:id="1">
    <w:p w14:paraId="52A36624" w14:textId="77777777" w:rsidR="0013499A" w:rsidRDefault="0013499A">
      <w:pPr>
        <w:rPr>
          <w:sz w:val="22"/>
        </w:rPr>
      </w:pPr>
    </w:p>
    <w:p w14:paraId="619242BA" w14:textId="77777777" w:rsidR="0013499A" w:rsidRDefault="0013499A">
      <w:pPr>
        <w:jc w:val="right"/>
        <w:rPr>
          <w:sz w:val="22"/>
        </w:rPr>
      </w:pPr>
      <w:r>
        <w:rPr>
          <w:i/>
          <w:sz w:val="22"/>
        </w:rPr>
        <w:t>Footnote continued on next page</w:t>
      </w:r>
    </w:p>
  </w:footnote>
  <w:footnote w:id="2">
    <w:p w14:paraId="17DE768E" w14:textId="50751373" w:rsidR="00D97136" w:rsidRPr="00741CC1" w:rsidRDefault="00D97136" w:rsidP="00DE4882">
      <w:pPr>
        <w:rPr>
          <w:sz w:val="20"/>
        </w:rPr>
      </w:pPr>
      <w:r w:rsidRPr="00741CC1">
        <w:rPr>
          <w:rStyle w:val="FootnoteReference"/>
          <w:sz w:val="20"/>
        </w:rPr>
        <w:footnoteRef/>
      </w:r>
      <w:r w:rsidRPr="00741CC1">
        <w:rPr>
          <w:sz w:val="20"/>
        </w:rPr>
        <w:t xml:space="preserve"> </w:t>
      </w:r>
      <w:hyperlink r:id="rId1" w:history="1">
        <w:r w:rsidRPr="00741CC1">
          <w:rPr>
            <w:rStyle w:val="Hyperlink"/>
            <w:sz w:val="20"/>
          </w:rPr>
          <w:t>https://www.cpuc.ca.gov/buildingdecarb/</w:t>
        </w:r>
      </w:hyperlink>
    </w:p>
  </w:footnote>
  <w:footnote w:id="3">
    <w:p w14:paraId="40AAC951" w14:textId="0B7BD56B" w:rsidR="00D97136" w:rsidRDefault="00D97136">
      <w:pPr>
        <w:pStyle w:val="FootnoteText"/>
      </w:pPr>
      <w:r>
        <w:rPr>
          <w:rStyle w:val="FootnoteReference"/>
        </w:rPr>
        <w:footnoteRef/>
      </w:r>
      <w:r>
        <w:t xml:space="preserve"> Workshop presentations are available at </w:t>
      </w:r>
      <w:r w:rsidRPr="00AD0D3A">
        <w:t>https://www.cpuc.ca.gov/WorkArea/DownloadAsset.aspx?id=6442465636</w:t>
      </w:r>
    </w:p>
  </w:footnote>
  <w:footnote w:id="4">
    <w:p w14:paraId="6276B3F4" w14:textId="51B319F6" w:rsidR="00D97136" w:rsidRDefault="00D97136" w:rsidP="00027E61">
      <w:pPr>
        <w:pStyle w:val="FootnoteText"/>
      </w:pPr>
      <w:r>
        <w:rPr>
          <w:rStyle w:val="FootnoteReference"/>
        </w:rPr>
        <w:footnoteRef/>
      </w:r>
      <w:r>
        <w:t xml:space="preserve"> CPUC D.20-03-027, Finding of Fact #19, p.98.</w:t>
      </w:r>
    </w:p>
  </w:footnote>
  <w:footnote w:id="5">
    <w:p w14:paraId="44F9E1FA" w14:textId="77777777" w:rsidR="00D97136" w:rsidRPr="00B7225F" w:rsidRDefault="00D97136" w:rsidP="000646B0">
      <w:pPr>
        <w:rPr>
          <w:sz w:val="20"/>
        </w:rPr>
      </w:pPr>
      <w:r w:rsidRPr="00B7225F">
        <w:rPr>
          <w:rStyle w:val="FootnoteReference"/>
          <w:sz w:val="20"/>
        </w:rPr>
        <w:footnoteRef/>
      </w:r>
      <w:r w:rsidRPr="00B7225F">
        <w:rPr>
          <w:sz w:val="20"/>
        </w:rPr>
        <w:t xml:space="preserve"> https://www.energy.ca.gov/files/building-climate-zones-map</w:t>
      </w:r>
    </w:p>
  </w:footnote>
  <w:footnote w:id="6">
    <w:p w14:paraId="415F1142" w14:textId="77777777" w:rsidR="00D97136" w:rsidRDefault="00D97136" w:rsidP="000646B0">
      <w:r w:rsidRPr="00B7225F">
        <w:rPr>
          <w:rStyle w:val="FootnoteReference"/>
          <w:sz w:val="20"/>
        </w:rPr>
        <w:footnoteRef/>
      </w:r>
      <w:r w:rsidRPr="00B7225F">
        <w:rPr>
          <w:sz w:val="20"/>
        </w:rPr>
        <w:t xml:space="preserve"> https://www.cpuc.ca.gov/General.aspx?id=12186</w:t>
      </w:r>
    </w:p>
  </w:footnote>
  <w:footnote w:id="7">
    <w:p w14:paraId="7725D7DB" w14:textId="77777777" w:rsidR="00D97136" w:rsidRDefault="00D97136" w:rsidP="000646B0">
      <w:r>
        <w:rPr>
          <w:rStyle w:val="FootnoteReference"/>
        </w:rPr>
        <w:footnoteRef/>
      </w:r>
      <w:r>
        <w:t xml:space="preserve"> </w:t>
      </w:r>
      <w:r w:rsidRPr="00CB351E">
        <w:rPr>
          <w:sz w:val="20"/>
        </w:rPr>
        <w:t>Wildfire and Natural Disaster Resiliency Rebuild Program, proposed as part of the Phase II staff proposal issued in R.19-01-011</w:t>
      </w:r>
      <w:r>
        <w:rPr>
          <w:sz w:val="20"/>
        </w:rPr>
        <w:t xml:space="preserve">. </w:t>
      </w:r>
      <w:r w:rsidRPr="00CB351E">
        <w:rPr>
          <w:sz w:val="20"/>
        </w:rPr>
        <w:t>https://docs.cpuc.ca.gov/PublishedDocs/Efile/G000/M345/K591/345591050.PDF</w:t>
      </w:r>
    </w:p>
  </w:footnote>
  <w:footnote w:id="8">
    <w:p w14:paraId="489DAA5B" w14:textId="77777777" w:rsidR="00D97136" w:rsidRDefault="00D97136" w:rsidP="000646B0">
      <w:pPr>
        <w:pStyle w:val="FootnoteText"/>
      </w:pPr>
      <w:r>
        <w:rPr>
          <w:rStyle w:val="FootnoteReference"/>
        </w:rPr>
        <w:footnoteRef/>
      </w:r>
      <w:r>
        <w:t xml:space="preserve"> Green Button is a voluntary data access initiative and standard launched by the White House in 2011 and adopted by most California IOUs. It allows utility customers the ability to download their detailed energy use data by clicking on a “green button” from within their online customer dashboard on the utility website. </w:t>
      </w:r>
    </w:p>
  </w:footnote>
  <w:footnote w:id="9">
    <w:p w14:paraId="098DA8F9" w14:textId="77777777" w:rsidR="00D97136" w:rsidRPr="00046196" w:rsidRDefault="00D97136" w:rsidP="000646B0">
      <w:pPr>
        <w:pStyle w:val="FootnoteText"/>
        <w:tabs>
          <w:tab w:val="left" w:pos="0"/>
        </w:tabs>
      </w:pPr>
      <w:r>
        <w:rPr>
          <w:rStyle w:val="FootnoteReference"/>
        </w:rPr>
        <w:footnoteRef/>
      </w:r>
      <w:r>
        <w:t xml:space="preserve"> </w:t>
      </w:r>
      <w:r w:rsidRPr="00046196">
        <w:t>Aggregation threshold is the degree to which data is summed or aggregated- across customers (combining data from more than one customer), across time (combining data across more than one time period), or a combination of both.</w:t>
      </w:r>
    </w:p>
  </w:footnote>
  <w:footnote w:id="10">
    <w:p w14:paraId="1A98142D" w14:textId="77777777" w:rsidR="00D97136" w:rsidRDefault="00D97136" w:rsidP="000646B0">
      <w:pPr>
        <w:pStyle w:val="FootnoteText"/>
      </w:pPr>
      <w:r>
        <w:rPr>
          <w:rStyle w:val="FootnoteReference"/>
        </w:rPr>
        <w:footnoteRef/>
      </w:r>
      <w:r>
        <w:t xml:space="preserve"> </w:t>
      </w:r>
      <w:r w:rsidRPr="00590F11">
        <w:t>CPUC Decision 14-05-016</w:t>
      </w:r>
      <w:r>
        <w:t xml:space="preserve">. </w:t>
      </w:r>
      <w:r w:rsidRPr="00A9147A">
        <w:t>http://docs.cpuc.ca.gov/PublishedDocs/Published/G000/M090/K845/90845985.PDF</w:t>
      </w:r>
    </w:p>
  </w:footnote>
  <w:footnote w:id="11">
    <w:p w14:paraId="0848A433" w14:textId="0D7E3675" w:rsidR="00D97136" w:rsidRDefault="00D97136">
      <w:pPr>
        <w:pStyle w:val="FootnoteText"/>
      </w:pPr>
      <w:r>
        <w:rPr>
          <w:rStyle w:val="FootnoteReference"/>
        </w:rPr>
        <w:footnoteRef/>
      </w:r>
      <w:r>
        <w:t xml:space="preserve"> 2018 Energy Efficiency Business Plan Decision D.18-05-041. OP 32, pg. 189. </w:t>
      </w:r>
      <w:r w:rsidRPr="00CA7DA4">
        <w:t>https://docs.cpuc.ca.gov/PublishedDocs/Published/G000/M215/K706/215706139.PDF</w:t>
      </w:r>
    </w:p>
  </w:footnote>
  <w:footnote w:id="12">
    <w:p w14:paraId="46AECBF1" w14:textId="230AE9D0" w:rsidR="00D97136" w:rsidRDefault="00D97136">
      <w:pPr>
        <w:pStyle w:val="FootnoteText"/>
      </w:pPr>
      <w:r>
        <w:rPr>
          <w:rStyle w:val="FootnoteReference"/>
        </w:rPr>
        <w:footnoteRef/>
      </w:r>
      <w:r>
        <w:t xml:space="preserve"> Ibid. D.18-05-041 requires IOUs to report several portfolio metrics, including energy savings per square foot in both single family and multifamily sectors. A, pg. A2-A3.</w:t>
      </w:r>
    </w:p>
  </w:footnote>
  <w:footnote w:id="13">
    <w:p w14:paraId="1F8409AC" w14:textId="340E6219" w:rsidR="00D97136" w:rsidRDefault="00D97136">
      <w:pPr>
        <w:pStyle w:val="FootnoteText"/>
      </w:pPr>
      <w:r>
        <w:rPr>
          <w:rStyle w:val="FootnoteReference"/>
        </w:rPr>
        <w:footnoteRef/>
      </w:r>
      <w:r>
        <w:t xml:space="preserve"> D.14-05-106 requires an aggregation threshold of 100 residential customers per zip code (pg. 26). Climate zones are larger than zip codes. However, if the threshold of 100 customers (service accounts) is not met, IOUs should not report a value for that data field and instead mark it as “Aggregation threshold not met”  </w:t>
      </w:r>
    </w:p>
  </w:footnote>
  <w:footnote w:id="14">
    <w:p w14:paraId="75356F08" w14:textId="77777777" w:rsidR="00D97136" w:rsidRPr="00741CC1" w:rsidRDefault="00D97136" w:rsidP="005E11C7">
      <w:pPr>
        <w:rPr>
          <w:sz w:val="20"/>
        </w:rPr>
      </w:pPr>
      <w:r w:rsidRPr="00741CC1">
        <w:rPr>
          <w:rStyle w:val="FootnoteReference"/>
          <w:sz w:val="20"/>
        </w:rPr>
        <w:footnoteRef/>
      </w:r>
      <w:r w:rsidRPr="00741CC1">
        <w:rPr>
          <w:sz w:val="20"/>
        </w:rPr>
        <w:t xml:space="preserve"> </w:t>
      </w:r>
      <w:hyperlink r:id="rId2" w:history="1">
        <w:r w:rsidRPr="00741CC1">
          <w:rPr>
            <w:rStyle w:val="Hyperlink"/>
            <w:sz w:val="20"/>
          </w:rPr>
          <w:t>https://www.cpuc.ca.gov/buildingdecarb/</w:t>
        </w:r>
      </w:hyperlink>
    </w:p>
  </w:footnote>
  <w:footnote w:id="15">
    <w:p w14:paraId="0056B1B8" w14:textId="77777777" w:rsidR="00D97136" w:rsidRPr="00741CC1" w:rsidRDefault="00D97136" w:rsidP="00521E3D">
      <w:pPr>
        <w:rPr>
          <w:sz w:val="20"/>
        </w:rPr>
      </w:pPr>
      <w:r w:rsidRPr="00741CC1">
        <w:rPr>
          <w:rStyle w:val="FootnoteReference"/>
          <w:sz w:val="20"/>
        </w:rPr>
        <w:footnoteRef/>
      </w:r>
      <w:r w:rsidRPr="00741CC1">
        <w:rPr>
          <w:sz w:val="20"/>
        </w:rPr>
        <w:t xml:space="preserve"> </w:t>
      </w:r>
      <w:hyperlink r:id="rId3" w:history="1">
        <w:r w:rsidRPr="00741CC1">
          <w:rPr>
            <w:rStyle w:val="Hyperlink"/>
            <w:sz w:val="20"/>
          </w:rPr>
          <w:t>https://www.cpuc.ca.gov/buildingdecarb/</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A90B8" w14:textId="77777777" w:rsidR="00971223" w:rsidRDefault="009712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8D349" w14:textId="674A3B89" w:rsidR="00D97136" w:rsidRDefault="00D97136">
    <w:pPr>
      <w:pStyle w:val="Header"/>
      <w:tabs>
        <w:tab w:val="clear" w:pos="4320"/>
        <w:tab w:val="clear" w:pos="8640"/>
        <w:tab w:val="center" w:pos="4680"/>
        <w:tab w:val="right" w:pos="9180"/>
      </w:tabs>
    </w:pPr>
    <w:r>
      <w:t>Resolution E-5105/ R.19-01-011</w:t>
    </w:r>
    <w:r>
      <w:tab/>
      <w:t>DRAFT</w:t>
    </w:r>
    <w:r>
      <w:tab/>
      <w:t xml:space="preserve">       </w:t>
    </w:r>
    <w:r w:rsidR="00030BF5">
      <w:t>December 3</w:t>
    </w:r>
    <w:r>
      <w:t>, 2020</w:t>
    </w:r>
  </w:p>
  <w:p w14:paraId="279E5C15" w14:textId="0C70AC35" w:rsidR="00D97136" w:rsidRDefault="00D97136">
    <w:pPr>
      <w:pStyle w:val="Header"/>
      <w:tabs>
        <w:tab w:val="clear" w:pos="4320"/>
        <w:tab w:val="clear" w:pos="8640"/>
        <w:tab w:val="center" w:pos="4680"/>
        <w:tab w:val="right" w:pos="9180"/>
      </w:tabs>
    </w:pPr>
    <w:r>
      <w:t>PG&amp;E, SDG&amp;E, SCE, SoCalGas, SWGas/AWB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9884F" w14:textId="77777777" w:rsidR="00971223" w:rsidRDefault="009712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B34E6" w14:textId="77777777" w:rsidR="00D97136" w:rsidRDefault="00D97136" w:rsidP="001D4A1F">
    <w:pPr>
      <w:pStyle w:val="Header"/>
      <w:tabs>
        <w:tab w:val="clear" w:pos="4320"/>
        <w:tab w:val="clear" w:pos="8640"/>
        <w:tab w:val="center" w:pos="4680"/>
        <w:tab w:val="right" w:pos="9180"/>
      </w:tabs>
    </w:pPr>
    <w:r>
      <w:t>Resolution E-5105/ R.19-01-011</w:t>
    </w:r>
    <w:r>
      <w:tab/>
      <w:t>DRAFT</w:t>
    </w:r>
    <w:r>
      <w:tab/>
      <w:t>November 19, 2020</w:t>
    </w:r>
  </w:p>
  <w:p w14:paraId="0BBE9187" w14:textId="4F2EC6C2" w:rsidR="00D97136" w:rsidRDefault="00D97136" w:rsidP="001D4A1F">
    <w:pPr>
      <w:pStyle w:val="Header"/>
      <w:tabs>
        <w:tab w:val="clear" w:pos="4320"/>
        <w:tab w:val="clear" w:pos="8640"/>
        <w:tab w:val="center" w:pos="4680"/>
        <w:tab w:val="right" w:pos="9180"/>
      </w:tabs>
    </w:pPr>
    <w:r>
      <w:t>PG&amp;E, SDG&amp;E, SCE, SoCalGas, SWGas/AW</w:t>
    </w:r>
  </w:p>
  <w:p w14:paraId="508BD226" w14:textId="77777777" w:rsidR="00D97136" w:rsidRPr="001D4A1F" w:rsidRDefault="00D97136" w:rsidP="001D4A1F">
    <w:pPr>
      <w:pStyle w:val="Header"/>
      <w:tabs>
        <w:tab w:val="clear" w:pos="4320"/>
        <w:tab w:val="clear" w:pos="8640"/>
        <w:tab w:val="center" w:pos="4680"/>
        <w:tab w:val="right" w:pos="918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7A8A4" w14:textId="77777777" w:rsidR="00D97136" w:rsidRDefault="00D97136" w:rsidP="001D4A1F">
    <w:pPr>
      <w:pStyle w:val="Header"/>
      <w:tabs>
        <w:tab w:val="clear" w:pos="4320"/>
        <w:tab w:val="clear" w:pos="8640"/>
        <w:tab w:val="center" w:pos="4680"/>
        <w:tab w:val="right" w:pos="9180"/>
      </w:tabs>
      <w:jc w:val="both"/>
    </w:pPr>
    <w:r>
      <w:t>Resolution E-5105/ R.19-01-011</w:t>
    </w:r>
    <w:r>
      <w:tab/>
      <w:t>DRAFT</w:t>
    </w:r>
    <w:r>
      <w:tab/>
    </w:r>
    <w:r>
      <w:tab/>
    </w:r>
    <w:r>
      <w:tab/>
    </w:r>
    <w:r>
      <w:tab/>
    </w:r>
    <w:r>
      <w:tab/>
    </w:r>
    <w:r>
      <w:tab/>
    </w:r>
    <w:r>
      <w:tab/>
    </w:r>
    <w:r>
      <w:tab/>
    </w:r>
    <w:r>
      <w:tab/>
      <w:t>November 19, 2020</w:t>
    </w:r>
  </w:p>
  <w:p w14:paraId="57CD72A5" w14:textId="77777777" w:rsidR="00D97136" w:rsidRPr="001D4A1F" w:rsidRDefault="00D97136" w:rsidP="001D4A1F">
    <w:pPr>
      <w:pStyle w:val="Header"/>
      <w:tabs>
        <w:tab w:val="clear" w:pos="4320"/>
        <w:tab w:val="clear" w:pos="8640"/>
        <w:tab w:val="center" w:pos="4680"/>
        <w:tab w:val="right" w:pos="9180"/>
      </w:tabs>
    </w:pPr>
    <w:r>
      <w:t>PG&amp;E, SDG&amp;E, SCE, SoCalGas, SWGas/AW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DBE1C6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77687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B8845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B3871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C14588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B7EF31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4E18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70F16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A2D2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1F2F2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F1FD2"/>
    <w:multiLevelType w:val="hybridMultilevel"/>
    <w:tmpl w:val="5B4253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4E04A7"/>
    <w:multiLevelType w:val="multilevel"/>
    <w:tmpl w:val="3E661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A9517F6"/>
    <w:multiLevelType w:val="hybridMultilevel"/>
    <w:tmpl w:val="BF22EF3C"/>
    <w:lvl w:ilvl="0" w:tplc="B798C42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AAE5E0A"/>
    <w:multiLevelType w:val="singleLevel"/>
    <w:tmpl w:val="81622C8A"/>
    <w:lvl w:ilvl="0">
      <w:start w:val="1"/>
      <w:numFmt w:val="upperLetter"/>
      <w:pStyle w:val="AListIndent"/>
      <w:lvlText w:val="%1. "/>
      <w:lvlJc w:val="left"/>
      <w:pPr>
        <w:tabs>
          <w:tab w:val="num" w:pos="1152"/>
        </w:tabs>
        <w:ind w:left="1152" w:hanging="432"/>
      </w:pPr>
      <w:rPr>
        <w:rFonts w:ascii="Courier" w:hAnsi="Courier" w:hint="default"/>
        <w:b w:val="0"/>
        <w:i w:val="0"/>
        <w:sz w:val="24"/>
      </w:rPr>
    </w:lvl>
  </w:abstractNum>
  <w:abstractNum w:abstractNumId="14" w15:restartNumberingAfterBreak="0">
    <w:nsid w:val="0BDB7819"/>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18C27929"/>
    <w:multiLevelType w:val="hybridMultilevel"/>
    <w:tmpl w:val="EE3AB4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237998"/>
    <w:multiLevelType w:val="hybridMultilevel"/>
    <w:tmpl w:val="2F229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480B1D"/>
    <w:multiLevelType w:val="multilevel"/>
    <w:tmpl w:val="F15E440A"/>
    <w:lvl w:ilvl="0">
      <w:start w:val="1"/>
      <w:numFmt w:val="decimal"/>
      <w:lvlText w:val="%1."/>
      <w:lvlJc w:val="left"/>
      <w:pPr>
        <w:tabs>
          <w:tab w:val="num" w:pos="360"/>
        </w:tabs>
        <w:ind w:left="360" w:hanging="360"/>
      </w:pPr>
    </w:lvl>
    <w:lvl w:ilvl="1">
      <w:start w:val="1"/>
      <w:numFmt w:val="decimal"/>
      <w:isLgl/>
      <w:lvlText w:val="%1.%2"/>
      <w:lvlJc w:val="left"/>
      <w:pPr>
        <w:tabs>
          <w:tab w:val="num" w:pos="1215"/>
        </w:tabs>
        <w:ind w:left="1215" w:hanging="495"/>
      </w:pPr>
      <w:rPr>
        <w:rFonts w:hint="default"/>
      </w:rPr>
    </w:lvl>
    <w:lvl w:ilvl="2">
      <w:start w:val="1"/>
      <w:numFmt w:val="decimal"/>
      <w:isLgl/>
      <w:lvlText w:val="%1.%2.%3"/>
      <w:lvlJc w:val="left"/>
      <w:pPr>
        <w:tabs>
          <w:tab w:val="num" w:pos="2160"/>
        </w:tabs>
        <w:ind w:left="2160" w:hanging="720"/>
      </w:pPr>
      <w:rPr>
        <w:rFonts w:hint="default"/>
      </w:rPr>
    </w:lvl>
    <w:lvl w:ilvl="3">
      <w:start w:val="1"/>
      <w:numFmt w:val="decimalZero"/>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8" w15:restartNumberingAfterBreak="0">
    <w:nsid w:val="26F4275E"/>
    <w:multiLevelType w:val="hybridMultilevel"/>
    <w:tmpl w:val="23F86B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F8414F"/>
    <w:multiLevelType w:val="hybridMultilevel"/>
    <w:tmpl w:val="25080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D554A13"/>
    <w:multiLevelType w:val="hybridMultilevel"/>
    <w:tmpl w:val="AF5865E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376005A"/>
    <w:multiLevelType w:val="hybridMultilevel"/>
    <w:tmpl w:val="4CEC53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D34417"/>
    <w:multiLevelType w:val="multilevel"/>
    <w:tmpl w:val="C28E5C40"/>
    <w:lvl w:ilvl="0">
      <w:start w:val="1"/>
      <w:numFmt w:val="decimal"/>
      <w:pStyle w:val="1ListInden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9477A26"/>
    <w:multiLevelType w:val="hybridMultilevel"/>
    <w:tmpl w:val="165E80E2"/>
    <w:lvl w:ilvl="0" w:tplc="2C481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6B6521"/>
    <w:multiLevelType w:val="hybridMultilevel"/>
    <w:tmpl w:val="DAAA6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8D4E8F"/>
    <w:multiLevelType w:val="hybridMultilevel"/>
    <w:tmpl w:val="D3641BF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57A7AFC"/>
    <w:multiLevelType w:val="hybridMultilevel"/>
    <w:tmpl w:val="F7D422B2"/>
    <w:lvl w:ilvl="0" w:tplc="83D4C360">
      <w:start w:val="1"/>
      <w:numFmt w:val="upperRoman"/>
      <w:pStyle w:val="Heading3"/>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2565C7"/>
    <w:multiLevelType w:val="singleLevel"/>
    <w:tmpl w:val="B4D29030"/>
    <w:lvl w:ilvl="0">
      <w:start w:val="1"/>
      <w:numFmt w:val="decimal"/>
      <w:lvlText w:val="%1."/>
      <w:lvlJc w:val="left"/>
      <w:pPr>
        <w:tabs>
          <w:tab w:val="num" w:pos="420"/>
        </w:tabs>
        <w:ind w:left="420" w:hanging="420"/>
      </w:pPr>
      <w:rPr>
        <w:rFonts w:hint="default"/>
      </w:rPr>
    </w:lvl>
  </w:abstractNum>
  <w:abstractNum w:abstractNumId="28" w15:restartNumberingAfterBreak="0">
    <w:nsid w:val="58A218DF"/>
    <w:multiLevelType w:val="hybridMultilevel"/>
    <w:tmpl w:val="922C24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B3B32E4"/>
    <w:multiLevelType w:val="hybridMultilevel"/>
    <w:tmpl w:val="6F7454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5A049E"/>
    <w:multiLevelType w:val="hybridMultilevel"/>
    <w:tmpl w:val="D3641BF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F9364E2"/>
    <w:multiLevelType w:val="hybridMultilevel"/>
    <w:tmpl w:val="085881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4E2764B"/>
    <w:multiLevelType w:val="hybridMultilevel"/>
    <w:tmpl w:val="D3641BF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91F248C"/>
    <w:multiLevelType w:val="multilevel"/>
    <w:tmpl w:val="80967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BB84711"/>
    <w:multiLevelType w:val="hybridMultilevel"/>
    <w:tmpl w:val="3CA61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FA02B82"/>
    <w:multiLevelType w:val="hybridMultilevel"/>
    <w:tmpl w:val="068805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56713E"/>
    <w:multiLevelType w:val="hybridMultilevel"/>
    <w:tmpl w:val="45566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22"/>
  </w:num>
  <w:num w:numId="3">
    <w:abstractNumId w:val="17"/>
  </w:num>
  <w:num w:numId="4">
    <w:abstractNumId w:val="27"/>
  </w:num>
  <w:num w:numId="5">
    <w:abstractNumId w:val="14"/>
  </w:num>
  <w:num w:numId="6">
    <w:abstractNumId w:val="19"/>
  </w:num>
  <w:num w:numId="7">
    <w:abstractNumId w:val="34"/>
  </w:num>
  <w:num w:numId="8">
    <w:abstractNumId w:val="36"/>
  </w:num>
  <w:num w:numId="9">
    <w:abstractNumId w:val="16"/>
  </w:num>
  <w:num w:numId="10">
    <w:abstractNumId w:val="29"/>
  </w:num>
  <w:num w:numId="11">
    <w:abstractNumId w:val="11"/>
  </w:num>
  <w:num w:numId="12">
    <w:abstractNumId w:val="33"/>
  </w:num>
  <w:num w:numId="13">
    <w:abstractNumId w:val="15"/>
  </w:num>
  <w:num w:numId="14">
    <w:abstractNumId w:val="31"/>
  </w:num>
  <w:num w:numId="15">
    <w:abstractNumId w:val="23"/>
  </w:num>
  <w:num w:numId="16">
    <w:abstractNumId w:val="26"/>
  </w:num>
  <w:num w:numId="17">
    <w:abstractNumId w:val="26"/>
    <w:lvlOverride w:ilvl="0">
      <w:startOverride w:val="1"/>
    </w:lvlOverride>
  </w:num>
  <w:num w:numId="18">
    <w:abstractNumId w:val="26"/>
    <w:lvlOverride w:ilvl="0">
      <w:startOverride w:val="1"/>
    </w:lvlOverride>
  </w:num>
  <w:num w:numId="19">
    <w:abstractNumId w:val="26"/>
    <w:lvlOverride w:ilvl="0">
      <w:startOverride w:val="1"/>
    </w:lvlOverride>
  </w:num>
  <w:num w:numId="20">
    <w:abstractNumId w:val="24"/>
  </w:num>
  <w:num w:numId="21">
    <w:abstractNumId w:val="32"/>
  </w:num>
  <w:num w:numId="22">
    <w:abstractNumId w:val="30"/>
  </w:num>
  <w:num w:numId="23">
    <w:abstractNumId w:val="25"/>
  </w:num>
  <w:num w:numId="24">
    <w:abstractNumId w:val="26"/>
    <w:lvlOverride w:ilvl="0">
      <w:startOverride w:val="1"/>
    </w:lvlOverride>
  </w:num>
  <w:num w:numId="25">
    <w:abstractNumId w:val="26"/>
  </w:num>
  <w:num w:numId="26">
    <w:abstractNumId w:val="26"/>
    <w:lvlOverride w:ilvl="0">
      <w:startOverride w:val="1"/>
    </w:lvlOverride>
  </w:num>
  <w:num w:numId="27">
    <w:abstractNumId w:val="26"/>
    <w:lvlOverride w:ilvl="0">
      <w:startOverride w:val="1"/>
    </w:lvlOverride>
  </w:num>
  <w:num w:numId="28">
    <w:abstractNumId w:val="21"/>
  </w:num>
  <w:num w:numId="29">
    <w:abstractNumId w:val="10"/>
  </w:num>
  <w:num w:numId="30">
    <w:abstractNumId w:val="12"/>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35"/>
  </w:num>
  <w:num w:numId="42">
    <w:abstractNumId w:val="28"/>
  </w:num>
  <w:num w:numId="43">
    <w:abstractNumId w:val="20"/>
  </w:num>
  <w:num w:numId="44">
    <w:abstractNumId w:val="26"/>
    <w:lvlOverride w:ilvl="0">
      <w:startOverride w:val="1"/>
    </w:lvlOverride>
  </w:num>
  <w:num w:numId="45">
    <w:abstractNumId w:val="26"/>
    <w:lvlOverride w:ilvl="0">
      <w:startOverride w:val="1"/>
    </w:lvlOverride>
  </w:num>
  <w:num w:numId="46">
    <w:abstractNumId w:val="26"/>
    <w:lvlOverride w:ilvl="0">
      <w:startOverride w:val="1"/>
    </w:lvlOverride>
  </w:num>
  <w:num w:numId="47">
    <w:abstractNumId w:val="26"/>
    <w:lvlOverride w:ilvl="0">
      <w:startOverride w:val="1"/>
    </w:lvlOverride>
  </w:num>
  <w:num w:numId="48">
    <w:abstractNumId w:val="26"/>
    <w:lvlOverride w:ilvl="0">
      <w:startOverride w:val="1"/>
    </w:lvlOverride>
  </w:num>
  <w:num w:numId="49">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activeWritingStyle w:lang="en-US" w:vendorID="8" w:dllVersion="513" w:checkStyle="1" w:appName="MSWord"/>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70"/>
    <w:rsid w:val="00005A72"/>
    <w:rsid w:val="0000694B"/>
    <w:rsid w:val="00012D45"/>
    <w:rsid w:val="00012E0A"/>
    <w:rsid w:val="00013A03"/>
    <w:rsid w:val="00014D59"/>
    <w:rsid w:val="00016E6B"/>
    <w:rsid w:val="00020C09"/>
    <w:rsid w:val="0002373F"/>
    <w:rsid w:val="00024C89"/>
    <w:rsid w:val="00025975"/>
    <w:rsid w:val="00026B2F"/>
    <w:rsid w:val="00026F68"/>
    <w:rsid w:val="00027E61"/>
    <w:rsid w:val="000309D5"/>
    <w:rsid w:val="00030B93"/>
    <w:rsid w:val="00030BF5"/>
    <w:rsid w:val="00037166"/>
    <w:rsid w:val="00046196"/>
    <w:rsid w:val="00055467"/>
    <w:rsid w:val="00061EF7"/>
    <w:rsid w:val="00064432"/>
    <w:rsid w:val="000645AC"/>
    <w:rsid w:val="000646B0"/>
    <w:rsid w:val="000661C4"/>
    <w:rsid w:val="00066750"/>
    <w:rsid w:val="00066D30"/>
    <w:rsid w:val="000708E7"/>
    <w:rsid w:val="00072CCD"/>
    <w:rsid w:val="000777B3"/>
    <w:rsid w:val="00082426"/>
    <w:rsid w:val="00086168"/>
    <w:rsid w:val="0009172A"/>
    <w:rsid w:val="00091860"/>
    <w:rsid w:val="0009418B"/>
    <w:rsid w:val="000A37FC"/>
    <w:rsid w:val="000B4BAF"/>
    <w:rsid w:val="000B5D11"/>
    <w:rsid w:val="000C095E"/>
    <w:rsid w:val="000C2D1E"/>
    <w:rsid w:val="000C2DF7"/>
    <w:rsid w:val="000C3018"/>
    <w:rsid w:val="000D3A75"/>
    <w:rsid w:val="000D42EC"/>
    <w:rsid w:val="000D67FE"/>
    <w:rsid w:val="000E01A1"/>
    <w:rsid w:val="000E14DA"/>
    <w:rsid w:val="000E1C4C"/>
    <w:rsid w:val="000E345B"/>
    <w:rsid w:val="000F0397"/>
    <w:rsid w:val="000F1E6E"/>
    <w:rsid w:val="000F3DEE"/>
    <w:rsid w:val="001016D8"/>
    <w:rsid w:val="001037BF"/>
    <w:rsid w:val="00104742"/>
    <w:rsid w:val="00107149"/>
    <w:rsid w:val="001125EF"/>
    <w:rsid w:val="0012473F"/>
    <w:rsid w:val="00134892"/>
    <w:rsid w:val="0013499A"/>
    <w:rsid w:val="00134CAF"/>
    <w:rsid w:val="001350A1"/>
    <w:rsid w:val="001366DC"/>
    <w:rsid w:val="00142FB8"/>
    <w:rsid w:val="00142FC9"/>
    <w:rsid w:val="00143037"/>
    <w:rsid w:val="0015684D"/>
    <w:rsid w:val="00165280"/>
    <w:rsid w:val="001666D8"/>
    <w:rsid w:val="0017176B"/>
    <w:rsid w:val="00180BB9"/>
    <w:rsid w:val="00184B9C"/>
    <w:rsid w:val="00195D39"/>
    <w:rsid w:val="001977FD"/>
    <w:rsid w:val="001A6742"/>
    <w:rsid w:val="001A68E8"/>
    <w:rsid w:val="001B2893"/>
    <w:rsid w:val="001B2F82"/>
    <w:rsid w:val="001B4997"/>
    <w:rsid w:val="001B54E1"/>
    <w:rsid w:val="001C51A2"/>
    <w:rsid w:val="001D4A1F"/>
    <w:rsid w:val="001F5325"/>
    <w:rsid w:val="00200F97"/>
    <w:rsid w:val="00203ED4"/>
    <w:rsid w:val="00213654"/>
    <w:rsid w:val="00216778"/>
    <w:rsid w:val="002321EB"/>
    <w:rsid w:val="00233BE9"/>
    <w:rsid w:val="00235D56"/>
    <w:rsid w:val="00237119"/>
    <w:rsid w:val="002373E1"/>
    <w:rsid w:val="0024124D"/>
    <w:rsid w:val="0024459D"/>
    <w:rsid w:val="00261A23"/>
    <w:rsid w:val="002641B3"/>
    <w:rsid w:val="00270701"/>
    <w:rsid w:val="002725B4"/>
    <w:rsid w:val="00281B3A"/>
    <w:rsid w:val="002827C0"/>
    <w:rsid w:val="00282D87"/>
    <w:rsid w:val="0028472D"/>
    <w:rsid w:val="00284F94"/>
    <w:rsid w:val="002859C5"/>
    <w:rsid w:val="0029488F"/>
    <w:rsid w:val="00294E1F"/>
    <w:rsid w:val="00296090"/>
    <w:rsid w:val="002A317B"/>
    <w:rsid w:val="002B2784"/>
    <w:rsid w:val="002C200D"/>
    <w:rsid w:val="002C591B"/>
    <w:rsid w:val="002C7B97"/>
    <w:rsid w:val="002E5848"/>
    <w:rsid w:val="002E7717"/>
    <w:rsid w:val="002F2FE2"/>
    <w:rsid w:val="002F4876"/>
    <w:rsid w:val="002F7C78"/>
    <w:rsid w:val="00302DFA"/>
    <w:rsid w:val="00317D3B"/>
    <w:rsid w:val="0032200A"/>
    <w:rsid w:val="003231EA"/>
    <w:rsid w:val="00334563"/>
    <w:rsid w:val="00334871"/>
    <w:rsid w:val="0034059E"/>
    <w:rsid w:val="00343CA9"/>
    <w:rsid w:val="00355705"/>
    <w:rsid w:val="003602AD"/>
    <w:rsid w:val="0036145D"/>
    <w:rsid w:val="00365CDA"/>
    <w:rsid w:val="003717BF"/>
    <w:rsid w:val="00373826"/>
    <w:rsid w:val="00376B37"/>
    <w:rsid w:val="00381A5A"/>
    <w:rsid w:val="003842C0"/>
    <w:rsid w:val="00384AFC"/>
    <w:rsid w:val="00387AB6"/>
    <w:rsid w:val="00394B3A"/>
    <w:rsid w:val="00397277"/>
    <w:rsid w:val="003A34F9"/>
    <w:rsid w:val="003A4591"/>
    <w:rsid w:val="003A5173"/>
    <w:rsid w:val="003B1839"/>
    <w:rsid w:val="003B278F"/>
    <w:rsid w:val="003B28DC"/>
    <w:rsid w:val="003B43DF"/>
    <w:rsid w:val="003C41F7"/>
    <w:rsid w:val="003C4372"/>
    <w:rsid w:val="003C55D7"/>
    <w:rsid w:val="003C5A26"/>
    <w:rsid w:val="003D3D4E"/>
    <w:rsid w:val="003D6F90"/>
    <w:rsid w:val="003E1787"/>
    <w:rsid w:val="003E2FE7"/>
    <w:rsid w:val="003E30A7"/>
    <w:rsid w:val="003F03A0"/>
    <w:rsid w:val="003F1959"/>
    <w:rsid w:val="003F5706"/>
    <w:rsid w:val="003F5921"/>
    <w:rsid w:val="003F6E5A"/>
    <w:rsid w:val="003F78D5"/>
    <w:rsid w:val="00400F6B"/>
    <w:rsid w:val="00407B6D"/>
    <w:rsid w:val="00411D6C"/>
    <w:rsid w:val="004162A3"/>
    <w:rsid w:val="00416C29"/>
    <w:rsid w:val="00420025"/>
    <w:rsid w:val="00421B3E"/>
    <w:rsid w:val="00423C59"/>
    <w:rsid w:val="00431BF6"/>
    <w:rsid w:val="00434FF4"/>
    <w:rsid w:val="00437B7D"/>
    <w:rsid w:val="00440AB7"/>
    <w:rsid w:val="0044323C"/>
    <w:rsid w:val="00443AC8"/>
    <w:rsid w:val="00447F8B"/>
    <w:rsid w:val="00451173"/>
    <w:rsid w:val="00453A47"/>
    <w:rsid w:val="0045740E"/>
    <w:rsid w:val="00457956"/>
    <w:rsid w:val="004621BE"/>
    <w:rsid w:val="00465332"/>
    <w:rsid w:val="004669BD"/>
    <w:rsid w:val="00467956"/>
    <w:rsid w:val="00470B9B"/>
    <w:rsid w:val="00470E40"/>
    <w:rsid w:val="0047190E"/>
    <w:rsid w:val="004826B9"/>
    <w:rsid w:val="0048476B"/>
    <w:rsid w:val="00485DD2"/>
    <w:rsid w:val="004905D3"/>
    <w:rsid w:val="00492C46"/>
    <w:rsid w:val="004A03FB"/>
    <w:rsid w:val="004A0513"/>
    <w:rsid w:val="004A0AC0"/>
    <w:rsid w:val="004B1343"/>
    <w:rsid w:val="004B2CEC"/>
    <w:rsid w:val="004B401E"/>
    <w:rsid w:val="004B4596"/>
    <w:rsid w:val="004B48E8"/>
    <w:rsid w:val="004B5592"/>
    <w:rsid w:val="004B5E0D"/>
    <w:rsid w:val="004D0978"/>
    <w:rsid w:val="004D3212"/>
    <w:rsid w:val="004E29BC"/>
    <w:rsid w:val="004E3982"/>
    <w:rsid w:val="004E7AAA"/>
    <w:rsid w:val="004E7CE5"/>
    <w:rsid w:val="004F0B00"/>
    <w:rsid w:val="004F46AD"/>
    <w:rsid w:val="004F5340"/>
    <w:rsid w:val="00504A0A"/>
    <w:rsid w:val="005111D7"/>
    <w:rsid w:val="00517468"/>
    <w:rsid w:val="00521E3D"/>
    <w:rsid w:val="00522638"/>
    <w:rsid w:val="00525E47"/>
    <w:rsid w:val="00526226"/>
    <w:rsid w:val="00531893"/>
    <w:rsid w:val="00537892"/>
    <w:rsid w:val="00543D7C"/>
    <w:rsid w:val="00544FFD"/>
    <w:rsid w:val="0054771C"/>
    <w:rsid w:val="00551089"/>
    <w:rsid w:val="005516BD"/>
    <w:rsid w:val="0055629E"/>
    <w:rsid w:val="0056581E"/>
    <w:rsid w:val="00570E84"/>
    <w:rsid w:val="005728F0"/>
    <w:rsid w:val="0057315B"/>
    <w:rsid w:val="0057398B"/>
    <w:rsid w:val="00573A19"/>
    <w:rsid w:val="00574DC1"/>
    <w:rsid w:val="0058016B"/>
    <w:rsid w:val="005805BF"/>
    <w:rsid w:val="005814FC"/>
    <w:rsid w:val="00584D47"/>
    <w:rsid w:val="0058672B"/>
    <w:rsid w:val="00586B24"/>
    <w:rsid w:val="00590F11"/>
    <w:rsid w:val="00593807"/>
    <w:rsid w:val="00597F67"/>
    <w:rsid w:val="005A1D25"/>
    <w:rsid w:val="005A2106"/>
    <w:rsid w:val="005A5EA6"/>
    <w:rsid w:val="005B1801"/>
    <w:rsid w:val="005B3110"/>
    <w:rsid w:val="005B476E"/>
    <w:rsid w:val="005B5471"/>
    <w:rsid w:val="005C26AC"/>
    <w:rsid w:val="005C6433"/>
    <w:rsid w:val="005D22DB"/>
    <w:rsid w:val="005D662C"/>
    <w:rsid w:val="005E11C7"/>
    <w:rsid w:val="005E1F26"/>
    <w:rsid w:val="005E275E"/>
    <w:rsid w:val="005E4132"/>
    <w:rsid w:val="005E4384"/>
    <w:rsid w:val="005F1942"/>
    <w:rsid w:val="005F29D2"/>
    <w:rsid w:val="005F3503"/>
    <w:rsid w:val="005F357F"/>
    <w:rsid w:val="005F38DE"/>
    <w:rsid w:val="005F3F5F"/>
    <w:rsid w:val="005F53F2"/>
    <w:rsid w:val="00603CDE"/>
    <w:rsid w:val="006061AE"/>
    <w:rsid w:val="006063C2"/>
    <w:rsid w:val="00606AA9"/>
    <w:rsid w:val="0061351C"/>
    <w:rsid w:val="00613C9A"/>
    <w:rsid w:val="0061504E"/>
    <w:rsid w:val="00622316"/>
    <w:rsid w:val="00626412"/>
    <w:rsid w:val="00630016"/>
    <w:rsid w:val="00631367"/>
    <w:rsid w:val="0064001F"/>
    <w:rsid w:val="006475DF"/>
    <w:rsid w:val="00647BD9"/>
    <w:rsid w:val="00657F20"/>
    <w:rsid w:val="00667482"/>
    <w:rsid w:val="0067439D"/>
    <w:rsid w:val="00676E0C"/>
    <w:rsid w:val="006802E5"/>
    <w:rsid w:val="00682BDC"/>
    <w:rsid w:val="0068466D"/>
    <w:rsid w:val="00684B5E"/>
    <w:rsid w:val="00685E32"/>
    <w:rsid w:val="00694511"/>
    <w:rsid w:val="0069631C"/>
    <w:rsid w:val="006A09FF"/>
    <w:rsid w:val="006A3732"/>
    <w:rsid w:val="006B05EE"/>
    <w:rsid w:val="006C5BB1"/>
    <w:rsid w:val="006C78B2"/>
    <w:rsid w:val="006C7C15"/>
    <w:rsid w:val="006D0218"/>
    <w:rsid w:val="006D1535"/>
    <w:rsid w:val="006D6383"/>
    <w:rsid w:val="006D6C94"/>
    <w:rsid w:val="006E00D4"/>
    <w:rsid w:val="006E2FC8"/>
    <w:rsid w:val="006E3C27"/>
    <w:rsid w:val="006E7524"/>
    <w:rsid w:val="006E7F8E"/>
    <w:rsid w:val="006F064A"/>
    <w:rsid w:val="006F1EDA"/>
    <w:rsid w:val="006F46DB"/>
    <w:rsid w:val="00701171"/>
    <w:rsid w:val="00707A86"/>
    <w:rsid w:val="00707B61"/>
    <w:rsid w:val="00712449"/>
    <w:rsid w:val="0072130B"/>
    <w:rsid w:val="007301C1"/>
    <w:rsid w:val="00733FCC"/>
    <w:rsid w:val="007375B7"/>
    <w:rsid w:val="00741CC1"/>
    <w:rsid w:val="00750372"/>
    <w:rsid w:val="00754526"/>
    <w:rsid w:val="00754F1F"/>
    <w:rsid w:val="00756AFE"/>
    <w:rsid w:val="007606A3"/>
    <w:rsid w:val="00763318"/>
    <w:rsid w:val="00763D09"/>
    <w:rsid w:val="00764AE4"/>
    <w:rsid w:val="00766BAB"/>
    <w:rsid w:val="00766C25"/>
    <w:rsid w:val="00766D11"/>
    <w:rsid w:val="00767D55"/>
    <w:rsid w:val="007803C7"/>
    <w:rsid w:val="007816F6"/>
    <w:rsid w:val="007860A1"/>
    <w:rsid w:val="00786388"/>
    <w:rsid w:val="007927B4"/>
    <w:rsid w:val="007968D7"/>
    <w:rsid w:val="007A1A1D"/>
    <w:rsid w:val="007A281A"/>
    <w:rsid w:val="007A2950"/>
    <w:rsid w:val="007A314E"/>
    <w:rsid w:val="007A4B8F"/>
    <w:rsid w:val="007A6156"/>
    <w:rsid w:val="007A6805"/>
    <w:rsid w:val="007B3D7D"/>
    <w:rsid w:val="007C13B0"/>
    <w:rsid w:val="007C29D7"/>
    <w:rsid w:val="007D12F4"/>
    <w:rsid w:val="007D17F3"/>
    <w:rsid w:val="007D372C"/>
    <w:rsid w:val="007D415A"/>
    <w:rsid w:val="007D5284"/>
    <w:rsid w:val="007D578F"/>
    <w:rsid w:val="007D67CA"/>
    <w:rsid w:val="007E0085"/>
    <w:rsid w:val="007E30C1"/>
    <w:rsid w:val="007F10BF"/>
    <w:rsid w:val="007F1B4E"/>
    <w:rsid w:val="007F3E62"/>
    <w:rsid w:val="00801D70"/>
    <w:rsid w:val="00801FD0"/>
    <w:rsid w:val="008067C1"/>
    <w:rsid w:val="00810773"/>
    <w:rsid w:val="00811E5A"/>
    <w:rsid w:val="0081439C"/>
    <w:rsid w:val="00814B11"/>
    <w:rsid w:val="00820FF3"/>
    <w:rsid w:val="00822061"/>
    <w:rsid w:val="008248FF"/>
    <w:rsid w:val="0083072E"/>
    <w:rsid w:val="00833016"/>
    <w:rsid w:val="00836028"/>
    <w:rsid w:val="00836FF3"/>
    <w:rsid w:val="00837905"/>
    <w:rsid w:val="00840547"/>
    <w:rsid w:val="00845AB6"/>
    <w:rsid w:val="00846D36"/>
    <w:rsid w:val="00850FDC"/>
    <w:rsid w:val="00852ED0"/>
    <w:rsid w:val="00857CEB"/>
    <w:rsid w:val="008646A7"/>
    <w:rsid w:val="008667BA"/>
    <w:rsid w:val="00867E54"/>
    <w:rsid w:val="008732EC"/>
    <w:rsid w:val="00873F54"/>
    <w:rsid w:val="00877F0C"/>
    <w:rsid w:val="00883112"/>
    <w:rsid w:val="00886C51"/>
    <w:rsid w:val="008908A1"/>
    <w:rsid w:val="008934E7"/>
    <w:rsid w:val="008A13F2"/>
    <w:rsid w:val="008A1561"/>
    <w:rsid w:val="008A241A"/>
    <w:rsid w:val="008A65B7"/>
    <w:rsid w:val="008A7078"/>
    <w:rsid w:val="008A70B5"/>
    <w:rsid w:val="008B00D6"/>
    <w:rsid w:val="008B5C32"/>
    <w:rsid w:val="008B69E5"/>
    <w:rsid w:val="008C0332"/>
    <w:rsid w:val="008C24C6"/>
    <w:rsid w:val="008C5449"/>
    <w:rsid w:val="008D5A6E"/>
    <w:rsid w:val="008D62A8"/>
    <w:rsid w:val="008E0A6F"/>
    <w:rsid w:val="008E3683"/>
    <w:rsid w:val="008E6797"/>
    <w:rsid w:val="009038FE"/>
    <w:rsid w:val="00911E3A"/>
    <w:rsid w:val="00912C37"/>
    <w:rsid w:val="009219BA"/>
    <w:rsid w:val="009224B1"/>
    <w:rsid w:val="00926CDF"/>
    <w:rsid w:val="00927006"/>
    <w:rsid w:val="00927C08"/>
    <w:rsid w:val="00932070"/>
    <w:rsid w:val="0093449A"/>
    <w:rsid w:val="00946E2C"/>
    <w:rsid w:val="00947589"/>
    <w:rsid w:val="00955814"/>
    <w:rsid w:val="009565EC"/>
    <w:rsid w:val="0096432C"/>
    <w:rsid w:val="00964BFC"/>
    <w:rsid w:val="00966821"/>
    <w:rsid w:val="009673E9"/>
    <w:rsid w:val="00967917"/>
    <w:rsid w:val="00967FBA"/>
    <w:rsid w:val="00971223"/>
    <w:rsid w:val="0097521C"/>
    <w:rsid w:val="009809B1"/>
    <w:rsid w:val="00986318"/>
    <w:rsid w:val="00990273"/>
    <w:rsid w:val="0099549C"/>
    <w:rsid w:val="009A1D3D"/>
    <w:rsid w:val="009A24A8"/>
    <w:rsid w:val="009A26D7"/>
    <w:rsid w:val="009A44D0"/>
    <w:rsid w:val="009A4A5E"/>
    <w:rsid w:val="009A50E0"/>
    <w:rsid w:val="009A7BFD"/>
    <w:rsid w:val="009B280B"/>
    <w:rsid w:val="009B5CA7"/>
    <w:rsid w:val="009C1BEE"/>
    <w:rsid w:val="009C3838"/>
    <w:rsid w:val="009C431C"/>
    <w:rsid w:val="009C467D"/>
    <w:rsid w:val="009C49B2"/>
    <w:rsid w:val="009C4C1C"/>
    <w:rsid w:val="009C7A90"/>
    <w:rsid w:val="009D0568"/>
    <w:rsid w:val="009D0899"/>
    <w:rsid w:val="009D4FFB"/>
    <w:rsid w:val="009D63EA"/>
    <w:rsid w:val="009D7160"/>
    <w:rsid w:val="009E28D6"/>
    <w:rsid w:val="009F40AA"/>
    <w:rsid w:val="009F4CF8"/>
    <w:rsid w:val="00A12F1A"/>
    <w:rsid w:val="00A13B65"/>
    <w:rsid w:val="00A1526C"/>
    <w:rsid w:val="00A17E06"/>
    <w:rsid w:val="00A218B6"/>
    <w:rsid w:val="00A32525"/>
    <w:rsid w:val="00A34EB3"/>
    <w:rsid w:val="00A37635"/>
    <w:rsid w:val="00A401A4"/>
    <w:rsid w:val="00A43E5E"/>
    <w:rsid w:val="00A60201"/>
    <w:rsid w:val="00A61B5F"/>
    <w:rsid w:val="00A665F5"/>
    <w:rsid w:val="00A704B8"/>
    <w:rsid w:val="00A774C0"/>
    <w:rsid w:val="00A8191A"/>
    <w:rsid w:val="00A87865"/>
    <w:rsid w:val="00A879A1"/>
    <w:rsid w:val="00A9066D"/>
    <w:rsid w:val="00A90AC5"/>
    <w:rsid w:val="00A9147A"/>
    <w:rsid w:val="00A93473"/>
    <w:rsid w:val="00A9669A"/>
    <w:rsid w:val="00A969B8"/>
    <w:rsid w:val="00A97521"/>
    <w:rsid w:val="00AA2257"/>
    <w:rsid w:val="00AA2A94"/>
    <w:rsid w:val="00AB4474"/>
    <w:rsid w:val="00AC118D"/>
    <w:rsid w:val="00AC3814"/>
    <w:rsid w:val="00AC4B84"/>
    <w:rsid w:val="00AC6161"/>
    <w:rsid w:val="00AC7A69"/>
    <w:rsid w:val="00AD0D3A"/>
    <w:rsid w:val="00AD1CC7"/>
    <w:rsid w:val="00AD493B"/>
    <w:rsid w:val="00AE0D07"/>
    <w:rsid w:val="00AE1D96"/>
    <w:rsid w:val="00AE664C"/>
    <w:rsid w:val="00AE78D7"/>
    <w:rsid w:val="00AE7D16"/>
    <w:rsid w:val="00AF137C"/>
    <w:rsid w:val="00AF1DF6"/>
    <w:rsid w:val="00AF46FE"/>
    <w:rsid w:val="00B061C7"/>
    <w:rsid w:val="00B11A0A"/>
    <w:rsid w:val="00B11A2C"/>
    <w:rsid w:val="00B12B7C"/>
    <w:rsid w:val="00B13982"/>
    <w:rsid w:val="00B15637"/>
    <w:rsid w:val="00B20AB3"/>
    <w:rsid w:val="00B27F45"/>
    <w:rsid w:val="00B31D17"/>
    <w:rsid w:val="00B3511A"/>
    <w:rsid w:val="00B3544F"/>
    <w:rsid w:val="00B45571"/>
    <w:rsid w:val="00B52D44"/>
    <w:rsid w:val="00B53268"/>
    <w:rsid w:val="00B54CC3"/>
    <w:rsid w:val="00B61034"/>
    <w:rsid w:val="00B71740"/>
    <w:rsid w:val="00B7225F"/>
    <w:rsid w:val="00B739F5"/>
    <w:rsid w:val="00B74D39"/>
    <w:rsid w:val="00B8077F"/>
    <w:rsid w:val="00B80C72"/>
    <w:rsid w:val="00B84FC1"/>
    <w:rsid w:val="00B86A4B"/>
    <w:rsid w:val="00B87E46"/>
    <w:rsid w:val="00B927B5"/>
    <w:rsid w:val="00BA1C7A"/>
    <w:rsid w:val="00BA30C7"/>
    <w:rsid w:val="00BA780F"/>
    <w:rsid w:val="00BA7DC4"/>
    <w:rsid w:val="00BB041C"/>
    <w:rsid w:val="00BB1F55"/>
    <w:rsid w:val="00BB30AA"/>
    <w:rsid w:val="00BB781B"/>
    <w:rsid w:val="00BC099E"/>
    <w:rsid w:val="00BC0BD0"/>
    <w:rsid w:val="00BD24E4"/>
    <w:rsid w:val="00BD5270"/>
    <w:rsid w:val="00BD6DAC"/>
    <w:rsid w:val="00BD6FF5"/>
    <w:rsid w:val="00BE6411"/>
    <w:rsid w:val="00BE6ADC"/>
    <w:rsid w:val="00BF342B"/>
    <w:rsid w:val="00C01C85"/>
    <w:rsid w:val="00C034B7"/>
    <w:rsid w:val="00C0475A"/>
    <w:rsid w:val="00C11BAE"/>
    <w:rsid w:val="00C145A9"/>
    <w:rsid w:val="00C14DE3"/>
    <w:rsid w:val="00C23A50"/>
    <w:rsid w:val="00C26A3A"/>
    <w:rsid w:val="00C37CC2"/>
    <w:rsid w:val="00C47B97"/>
    <w:rsid w:val="00C47BE9"/>
    <w:rsid w:val="00C56790"/>
    <w:rsid w:val="00C6225A"/>
    <w:rsid w:val="00C82D7E"/>
    <w:rsid w:val="00C83B45"/>
    <w:rsid w:val="00C863AE"/>
    <w:rsid w:val="00C92D67"/>
    <w:rsid w:val="00C94B64"/>
    <w:rsid w:val="00C95CD5"/>
    <w:rsid w:val="00CA25DC"/>
    <w:rsid w:val="00CA28A1"/>
    <w:rsid w:val="00CA7C82"/>
    <w:rsid w:val="00CA7DA4"/>
    <w:rsid w:val="00CB351E"/>
    <w:rsid w:val="00CB42C3"/>
    <w:rsid w:val="00CC0860"/>
    <w:rsid w:val="00CD17AA"/>
    <w:rsid w:val="00CD653F"/>
    <w:rsid w:val="00CE767C"/>
    <w:rsid w:val="00CE7D4B"/>
    <w:rsid w:val="00CF17DE"/>
    <w:rsid w:val="00CF43ED"/>
    <w:rsid w:val="00CF45B0"/>
    <w:rsid w:val="00CF46DA"/>
    <w:rsid w:val="00CF6141"/>
    <w:rsid w:val="00D00333"/>
    <w:rsid w:val="00D0484A"/>
    <w:rsid w:val="00D10A05"/>
    <w:rsid w:val="00D137B9"/>
    <w:rsid w:val="00D175FD"/>
    <w:rsid w:val="00D20F6C"/>
    <w:rsid w:val="00D24A5E"/>
    <w:rsid w:val="00D25F26"/>
    <w:rsid w:val="00D26A8C"/>
    <w:rsid w:val="00D277AB"/>
    <w:rsid w:val="00D340E3"/>
    <w:rsid w:val="00D34E6A"/>
    <w:rsid w:val="00D45179"/>
    <w:rsid w:val="00D46C83"/>
    <w:rsid w:val="00D47D32"/>
    <w:rsid w:val="00D51040"/>
    <w:rsid w:val="00D515F8"/>
    <w:rsid w:val="00D52F2C"/>
    <w:rsid w:val="00D53224"/>
    <w:rsid w:val="00D60608"/>
    <w:rsid w:val="00D6204D"/>
    <w:rsid w:val="00D6328E"/>
    <w:rsid w:val="00D658AA"/>
    <w:rsid w:val="00D67BF9"/>
    <w:rsid w:val="00D80228"/>
    <w:rsid w:val="00D822FD"/>
    <w:rsid w:val="00D82491"/>
    <w:rsid w:val="00D86833"/>
    <w:rsid w:val="00D90DF4"/>
    <w:rsid w:val="00D93285"/>
    <w:rsid w:val="00D932BF"/>
    <w:rsid w:val="00D95548"/>
    <w:rsid w:val="00D96A5E"/>
    <w:rsid w:val="00D97136"/>
    <w:rsid w:val="00DA4658"/>
    <w:rsid w:val="00DA6B3E"/>
    <w:rsid w:val="00DB08CE"/>
    <w:rsid w:val="00DB27DA"/>
    <w:rsid w:val="00DB2F78"/>
    <w:rsid w:val="00DB5F82"/>
    <w:rsid w:val="00DB619F"/>
    <w:rsid w:val="00DB6DBD"/>
    <w:rsid w:val="00DB6F2C"/>
    <w:rsid w:val="00DC32B3"/>
    <w:rsid w:val="00DC62DA"/>
    <w:rsid w:val="00DC630A"/>
    <w:rsid w:val="00DD25C2"/>
    <w:rsid w:val="00DD7A3E"/>
    <w:rsid w:val="00DE4882"/>
    <w:rsid w:val="00DE4955"/>
    <w:rsid w:val="00DE4B04"/>
    <w:rsid w:val="00DE6166"/>
    <w:rsid w:val="00DE6B76"/>
    <w:rsid w:val="00DE77EF"/>
    <w:rsid w:val="00DF02C1"/>
    <w:rsid w:val="00DF2C91"/>
    <w:rsid w:val="00DF35CC"/>
    <w:rsid w:val="00DF7FAA"/>
    <w:rsid w:val="00E02127"/>
    <w:rsid w:val="00E02813"/>
    <w:rsid w:val="00E039A6"/>
    <w:rsid w:val="00E070FA"/>
    <w:rsid w:val="00E106E5"/>
    <w:rsid w:val="00E12330"/>
    <w:rsid w:val="00E17AD8"/>
    <w:rsid w:val="00E17BA0"/>
    <w:rsid w:val="00E21C42"/>
    <w:rsid w:val="00E26AB9"/>
    <w:rsid w:val="00E36024"/>
    <w:rsid w:val="00E423DB"/>
    <w:rsid w:val="00E46169"/>
    <w:rsid w:val="00E465F9"/>
    <w:rsid w:val="00E56EE2"/>
    <w:rsid w:val="00E60761"/>
    <w:rsid w:val="00E66435"/>
    <w:rsid w:val="00E72AE9"/>
    <w:rsid w:val="00E8054B"/>
    <w:rsid w:val="00E83757"/>
    <w:rsid w:val="00E928CF"/>
    <w:rsid w:val="00E9332D"/>
    <w:rsid w:val="00E934F5"/>
    <w:rsid w:val="00E95024"/>
    <w:rsid w:val="00E97C3C"/>
    <w:rsid w:val="00EB49C1"/>
    <w:rsid w:val="00EC2A88"/>
    <w:rsid w:val="00EC2B59"/>
    <w:rsid w:val="00EC4AA4"/>
    <w:rsid w:val="00ED0198"/>
    <w:rsid w:val="00ED7561"/>
    <w:rsid w:val="00EE50DE"/>
    <w:rsid w:val="00EE690F"/>
    <w:rsid w:val="00EF3A05"/>
    <w:rsid w:val="00EF4A31"/>
    <w:rsid w:val="00EF6B11"/>
    <w:rsid w:val="00F03BDE"/>
    <w:rsid w:val="00F22501"/>
    <w:rsid w:val="00F246F1"/>
    <w:rsid w:val="00F24996"/>
    <w:rsid w:val="00F31F8D"/>
    <w:rsid w:val="00F328D4"/>
    <w:rsid w:val="00F329E7"/>
    <w:rsid w:val="00F35567"/>
    <w:rsid w:val="00F41F21"/>
    <w:rsid w:val="00F4486B"/>
    <w:rsid w:val="00F50EB0"/>
    <w:rsid w:val="00F5175B"/>
    <w:rsid w:val="00F51F8B"/>
    <w:rsid w:val="00F52994"/>
    <w:rsid w:val="00F67A6A"/>
    <w:rsid w:val="00F67FE3"/>
    <w:rsid w:val="00F7146D"/>
    <w:rsid w:val="00F729BD"/>
    <w:rsid w:val="00F75870"/>
    <w:rsid w:val="00F804C5"/>
    <w:rsid w:val="00FA0217"/>
    <w:rsid w:val="00FA0A8C"/>
    <w:rsid w:val="00FA21DC"/>
    <w:rsid w:val="00FA4960"/>
    <w:rsid w:val="00FA6BA8"/>
    <w:rsid w:val="00FB013C"/>
    <w:rsid w:val="00FB6026"/>
    <w:rsid w:val="00FB7AA3"/>
    <w:rsid w:val="00FC7798"/>
    <w:rsid w:val="00FD436F"/>
    <w:rsid w:val="00FD464E"/>
    <w:rsid w:val="00FD70D2"/>
    <w:rsid w:val="00FE2D64"/>
    <w:rsid w:val="00FE3579"/>
    <w:rsid w:val="00FE6C44"/>
    <w:rsid w:val="00FE6CAC"/>
    <w:rsid w:val="00FE78DC"/>
    <w:rsid w:val="00FF4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D0C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2D44"/>
    <w:rPr>
      <w:rFonts w:ascii="Palatino" w:hAnsi="Palatino"/>
      <w:sz w:val="26"/>
    </w:rPr>
  </w:style>
  <w:style w:type="paragraph" w:styleId="Heading1">
    <w:name w:val="heading 1"/>
    <w:basedOn w:val="Normal"/>
    <w:next w:val="standard"/>
    <w:qFormat/>
    <w:pPr>
      <w:keepNext/>
      <w:spacing w:before="120" w:after="240"/>
      <w:outlineLvl w:val="0"/>
    </w:pPr>
    <w:rPr>
      <w:rFonts w:ascii="Helvetica" w:hAnsi="Helvetica"/>
      <w:b/>
      <w:caps/>
      <w:kern w:val="28"/>
      <w:u w:val="single"/>
    </w:rPr>
  </w:style>
  <w:style w:type="paragraph" w:styleId="Heading2">
    <w:name w:val="heading 2"/>
    <w:basedOn w:val="Normal"/>
    <w:next w:val="sub1"/>
    <w:qFormat/>
    <w:rsid w:val="00573A19"/>
    <w:pPr>
      <w:keepNext/>
      <w:spacing w:before="240"/>
      <w:outlineLvl w:val="1"/>
    </w:pPr>
    <w:rPr>
      <w:rFonts w:ascii="Palatino Linotype" w:hAnsi="Palatino Linotype"/>
      <w:b/>
      <w:sz w:val="28"/>
    </w:rPr>
  </w:style>
  <w:style w:type="paragraph" w:styleId="Heading3">
    <w:name w:val="heading 3"/>
    <w:basedOn w:val="Normal"/>
    <w:next w:val="sub2"/>
    <w:qFormat/>
    <w:rsid w:val="007927B4"/>
    <w:pPr>
      <w:keepNext/>
      <w:numPr>
        <w:numId w:val="25"/>
      </w:numPr>
      <w:spacing w:before="120" w:after="120"/>
      <w:outlineLvl w:val="2"/>
    </w:pPr>
    <w:rPr>
      <w:rFonts w:ascii="Helvetica" w:hAnsi="Helvetica"/>
      <w:b/>
      <w:i/>
    </w:rPr>
  </w:style>
  <w:style w:type="paragraph" w:styleId="Heading4">
    <w:name w:val="heading 4"/>
    <w:basedOn w:val="Normal"/>
    <w:next w:val="sub3"/>
    <w:qFormat/>
    <w:rsid w:val="004F5340"/>
    <w:pPr>
      <w:keepNext/>
      <w:spacing w:before="120" w:after="120"/>
      <w:outlineLvl w:val="3"/>
    </w:pPr>
    <w:rPr>
      <w:rFonts w:ascii="Helvetica" w:hAnsi="Helvetica"/>
      <w:b/>
      <w:i/>
    </w:rPr>
  </w:style>
  <w:style w:type="paragraph" w:styleId="Heading5">
    <w:name w:val="heading 5"/>
    <w:basedOn w:val="Normal"/>
    <w:next w:val="sub4"/>
    <w:qFormat/>
    <w:pPr>
      <w:spacing w:before="120" w:after="120"/>
      <w:ind w:firstLine="3600"/>
      <w:outlineLvl w:val="4"/>
    </w:pPr>
    <w:rPr>
      <w:rFonts w:ascii="Helvetica" w:hAnsi="Helvetica"/>
      <w:b/>
    </w:rPr>
  </w:style>
  <w:style w:type="paragraph" w:styleId="Heading6">
    <w:name w:val="heading 6"/>
    <w:basedOn w:val="Normal"/>
    <w:next w:val="Normal"/>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586B24"/>
    <w:pPr>
      <w:spacing w:after="240"/>
    </w:pPr>
    <w:rPr>
      <w:sz w:val="20"/>
    </w:rPr>
  </w:style>
  <w:style w:type="paragraph" w:styleId="EndnoteText">
    <w:name w:val="endnote text"/>
    <w:basedOn w:val="Normal"/>
    <w:semiHidden/>
    <w:rPr>
      <w:sz w:val="20"/>
    </w:rPr>
  </w:style>
  <w:style w:type="paragraph" w:customStyle="1" w:styleId="standard">
    <w:name w:val="standard"/>
    <w:basedOn w:val="Normal"/>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Style1">
    <w:name w:val="Style1"/>
    <w:basedOn w:val="1ListIndent"/>
    <w:pPr>
      <w:numPr>
        <w:numId w:val="0"/>
      </w:numPr>
    </w:pPr>
  </w:style>
  <w:style w:type="paragraph" w:styleId="TOC4">
    <w:name w:val="toc 4"/>
    <w:basedOn w:val="Normal"/>
    <w:next w:val="Normal"/>
    <w:semiHidden/>
    <w:pPr>
      <w:tabs>
        <w:tab w:val="right" w:leader="dot" w:pos="9360"/>
      </w:tabs>
      <w:ind w:left="720"/>
    </w:pPr>
  </w:style>
  <w:style w:type="paragraph" w:customStyle="1" w:styleId="main">
    <w:name w:val="main"/>
    <w:basedOn w:val="Normal"/>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after="240"/>
    </w:pPr>
  </w:style>
  <w:style w:type="paragraph" w:styleId="Header">
    <w:name w:val="header"/>
    <w:basedOn w:val="Normal"/>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paragraph" w:customStyle="1" w:styleId="AListIndent">
    <w:name w:val="A. List Indent"/>
    <w:basedOn w:val="1ListIndent"/>
    <w:pPr>
      <w:numPr>
        <w:numId w:val="1"/>
      </w:numPr>
      <w:ind w:left="1440" w:hanging="720"/>
    </w:pPr>
  </w:style>
  <w:style w:type="character" w:styleId="EndnoteReference">
    <w:name w:val="endnote reference"/>
    <w:semiHidden/>
    <w:rPr>
      <w:vertAlign w:val="superscript"/>
    </w:rPr>
  </w:style>
  <w:style w:type="paragraph" w:customStyle="1" w:styleId="1ListIndent">
    <w:name w:val="1. List Indent"/>
    <w:basedOn w:val="num2"/>
    <w:pPr>
      <w:numPr>
        <w:numId w:val="2"/>
      </w:numPr>
      <w:ind w:left="1080"/>
    </w:pPr>
  </w:style>
  <w:style w:type="character" w:styleId="FootnoteReference">
    <w:name w:val="footnote reference"/>
    <w:semiHidden/>
    <w:rPr>
      <w:vertAlign w:val="superscript"/>
    </w:rPr>
  </w:style>
  <w:style w:type="paragraph" w:styleId="List">
    <w:name w:val="List"/>
    <w:basedOn w:val="Normal"/>
    <w:pPr>
      <w:ind w:left="360" w:hanging="360"/>
    </w:pPr>
    <w:rPr>
      <w:rFonts w:ascii="Times New Roman" w:hAnsi="Times New Roman"/>
      <w:sz w:val="24"/>
    </w:rPr>
  </w:style>
  <w:style w:type="paragraph" w:customStyle="1" w:styleId="Res-Caption">
    <w:name w:val="Res-Caption"/>
    <w:basedOn w:val="Normal"/>
    <w:pPr>
      <w:ind w:left="720" w:right="720"/>
    </w:pPr>
  </w:style>
  <w:style w:type="paragraph" w:customStyle="1" w:styleId="Res-TitleResolution">
    <w:name w:val="Res-Title (Resolution)"/>
    <w:basedOn w:val="main"/>
  </w:style>
  <w:style w:type="paragraph" w:customStyle="1" w:styleId="ALs">
    <w:name w:val="ALs"/>
    <w:basedOn w:val="Normal"/>
    <w:rPr>
      <w:rFonts w:ascii="Times New Roman" w:hAnsi="Times New Roman"/>
      <w:sz w:val="24"/>
    </w:rPr>
  </w:style>
  <w:style w:type="paragraph" w:styleId="ListParagraph">
    <w:name w:val="List Paragraph"/>
    <w:basedOn w:val="Normal"/>
    <w:uiPriority w:val="34"/>
    <w:qFormat/>
    <w:rsid w:val="003F6E5A"/>
    <w:pPr>
      <w:ind w:left="720"/>
      <w:contextualSpacing/>
    </w:pPr>
  </w:style>
  <w:style w:type="paragraph" w:styleId="BalloonText">
    <w:name w:val="Balloon Text"/>
    <w:basedOn w:val="Normal"/>
    <w:link w:val="BalloonTextChar"/>
    <w:rsid w:val="00D822FD"/>
    <w:rPr>
      <w:rFonts w:ascii="Segoe UI" w:hAnsi="Segoe UI" w:cs="Segoe UI"/>
      <w:sz w:val="18"/>
      <w:szCs w:val="18"/>
    </w:rPr>
  </w:style>
  <w:style w:type="character" w:customStyle="1" w:styleId="BalloonTextChar">
    <w:name w:val="Balloon Text Char"/>
    <w:basedOn w:val="DefaultParagraphFont"/>
    <w:link w:val="BalloonText"/>
    <w:rsid w:val="00D822FD"/>
    <w:rPr>
      <w:rFonts w:ascii="Segoe UI" w:hAnsi="Segoe UI" w:cs="Segoe UI"/>
      <w:sz w:val="18"/>
      <w:szCs w:val="18"/>
    </w:rPr>
  </w:style>
  <w:style w:type="character" w:styleId="Hyperlink">
    <w:name w:val="Hyperlink"/>
    <w:basedOn w:val="DefaultParagraphFont"/>
    <w:unhideWhenUsed/>
    <w:rsid w:val="009D63EA"/>
    <w:rPr>
      <w:color w:val="0000FF" w:themeColor="hyperlink"/>
      <w:u w:val="single"/>
    </w:rPr>
  </w:style>
  <w:style w:type="character" w:styleId="UnresolvedMention">
    <w:name w:val="Unresolved Mention"/>
    <w:basedOn w:val="DefaultParagraphFont"/>
    <w:uiPriority w:val="99"/>
    <w:semiHidden/>
    <w:unhideWhenUsed/>
    <w:rsid w:val="009D63EA"/>
    <w:rPr>
      <w:color w:val="605E5C"/>
      <w:shd w:val="clear" w:color="auto" w:fill="E1DFDD"/>
    </w:rPr>
  </w:style>
  <w:style w:type="character" w:styleId="FollowedHyperlink">
    <w:name w:val="FollowedHyperlink"/>
    <w:basedOn w:val="DefaultParagraphFont"/>
    <w:semiHidden/>
    <w:unhideWhenUsed/>
    <w:rsid w:val="00D515F8"/>
    <w:rPr>
      <w:color w:val="800080" w:themeColor="followedHyperlink"/>
      <w:u w:val="single"/>
    </w:rPr>
  </w:style>
  <w:style w:type="paragraph" w:customStyle="1" w:styleId="xres-caption">
    <w:name w:val="x_res-caption"/>
    <w:basedOn w:val="Normal"/>
    <w:rsid w:val="003B28DC"/>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semiHidden/>
    <w:unhideWhenUsed/>
    <w:rsid w:val="00FA0217"/>
    <w:rPr>
      <w:sz w:val="16"/>
      <w:szCs w:val="16"/>
    </w:rPr>
  </w:style>
  <w:style w:type="paragraph" w:styleId="CommentText">
    <w:name w:val="annotation text"/>
    <w:basedOn w:val="Normal"/>
    <w:link w:val="CommentTextChar"/>
    <w:unhideWhenUsed/>
    <w:rsid w:val="00FA0217"/>
    <w:rPr>
      <w:sz w:val="20"/>
    </w:rPr>
  </w:style>
  <w:style w:type="character" w:customStyle="1" w:styleId="CommentTextChar">
    <w:name w:val="Comment Text Char"/>
    <w:basedOn w:val="DefaultParagraphFont"/>
    <w:link w:val="CommentText"/>
    <w:rsid w:val="00FA0217"/>
    <w:rPr>
      <w:rFonts w:ascii="Palatino" w:hAnsi="Palatino"/>
    </w:rPr>
  </w:style>
  <w:style w:type="paragraph" w:styleId="CommentSubject">
    <w:name w:val="annotation subject"/>
    <w:basedOn w:val="CommentText"/>
    <w:next w:val="CommentText"/>
    <w:link w:val="CommentSubjectChar"/>
    <w:semiHidden/>
    <w:unhideWhenUsed/>
    <w:rsid w:val="00FA0217"/>
    <w:rPr>
      <w:b/>
      <w:bCs/>
    </w:rPr>
  </w:style>
  <w:style w:type="character" w:customStyle="1" w:styleId="CommentSubjectChar">
    <w:name w:val="Comment Subject Char"/>
    <w:basedOn w:val="CommentTextChar"/>
    <w:link w:val="CommentSubject"/>
    <w:semiHidden/>
    <w:rsid w:val="00FA0217"/>
    <w:rPr>
      <w:rFonts w:ascii="Palatino" w:hAnsi="Palatin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48180">
      <w:bodyDiv w:val="1"/>
      <w:marLeft w:val="0"/>
      <w:marRight w:val="0"/>
      <w:marTop w:val="0"/>
      <w:marBottom w:val="0"/>
      <w:divBdr>
        <w:top w:val="none" w:sz="0" w:space="0" w:color="auto"/>
        <w:left w:val="none" w:sz="0" w:space="0" w:color="auto"/>
        <w:bottom w:val="none" w:sz="0" w:space="0" w:color="auto"/>
        <w:right w:val="none" w:sz="0" w:space="0" w:color="auto"/>
      </w:divBdr>
    </w:div>
    <w:div w:id="93477487">
      <w:bodyDiv w:val="1"/>
      <w:marLeft w:val="0"/>
      <w:marRight w:val="0"/>
      <w:marTop w:val="0"/>
      <w:marBottom w:val="0"/>
      <w:divBdr>
        <w:top w:val="none" w:sz="0" w:space="0" w:color="auto"/>
        <w:left w:val="none" w:sz="0" w:space="0" w:color="auto"/>
        <w:bottom w:val="none" w:sz="0" w:space="0" w:color="auto"/>
        <w:right w:val="none" w:sz="0" w:space="0" w:color="auto"/>
      </w:divBdr>
    </w:div>
    <w:div w:id="121927587">
      <w:bodyDiv w:val="1"/>
      <w:marLeft w:val="0"/>
      <w:marRight w:val="0"/>
      <w:marTop w:val="0"/>
      <w:marBottom w:val="0"/>
      <w:divBdr>
        <w:top w:val="none" w:sz="0" w:space="0" w:color="auto"/>
        <w:left w:val="none" w:sz="0" w:space="0" w:color="auto"/>
        <w:bottom w:val="none" w:sz="0" w:space="0" w:color="auto"/>
        <w:right w:val="none" w:sz="0" w:space="0" w:color="auto"/>
      </w:divBdr>
    </w:div>
    <w:div w:id="340470730">
      <w:bodyDiv w:val="1"/>
      <w:marLeft w:val="0"/>
      <w:marRight w:val="0"/>
      <w:marTop w:val="0"/>
      <w:marBottom w:val="0"/>
      <w:divBdr>
        <w:top w:val="none" w:sz="0" w:space="0" w:color="auto"/>
        <w:left w:val="none" w:sz="0" w:space="0" w:color="auto"/>
        <w:bottom w:val="none" w:sz="0" w:space="0" w:color="auto"/>
        <w:right w:val="none" w:sz="0" w:space="0" w:color="auto"/>
      </w:divBdr>
    </w:div>
    <w:div w:id="346491164">
      <w:bodyDiv w:val="1"/>
      <w:marLeft w:val="0"/>
      <w:marRight w:val="0"/>
      <w:marTop w:val="0"/>
      <w:marBottom w:val="0"/>
      <w:divBdr>
        <w:top w:val="none" w:sz="0" w:space="0" w:color="auto"/>
        <w:left w:val="none" w:sz="0" w:space="0" w:color="auto"/>
        <w:bottom w:val="none" w:sz="0" w:space="0" w:color="auto"/>
        <w:right w:val="none" w:sz="0" w:space="0" w:color="auto"/>
      </w:divBdr>
    </w:div>
    <w:div w:id="372115099">
      <w:bodyDiv w:val="1"/>
      <w:marLeft w:val="0"/>
      <w:marRight w:val="0"/>
      <w:marTop w:val="0"/>
      <w:marBottom w:val="0"/>
      <w:divBdr>
        <w:top w:val="none" w:sz="0" w:space="0" w:color="auto"/>
        <w:left w:val="none" w:sz="0" w:space="0" w:color="auto"/>
        <w:bottom w:val="none" w:sz="0" w:space="0" w:color="auto"/>
        <w:right w:val="none" w:sz="0" w:space="0" w:color="auto"/>
      </w:divBdr>
    </w:div>
    <w:div w:id="689142693">
      <w:bodyDiv w:val="1"/>
      <w:marLeft w:val="0"/>
      <w:marRight w:val="0"/>
      <w:marTop w:val="0"/>
      <w:marBottom w:val="0"/>
      <w:divBdr>
        <w:top w:val="none" w:sz="0" w:space="0" w:color="auto"/>
        <w:left w:val="none" w:sz="0" w:space="0" w:color="auto"/>
        <w:bottom w:val="none" w:sz="0" w:space="0" w:color="auto"/>
        <w:right w:val="none" w:sz="0" w:space="0" w:color="auto"/>
      </w:divBdr>
    </w:div>
    <w:div w:id="888493959">
      <w:bodyDiv w:val="1"/>
      <w:marLeft w:val="0"/>
      <w:marRight w:val="0"/>
      <w:marTop w:val="0"/>
      <w:marBottom w:val="0"/>
      <w:divBdr>
        <w:top w:val="none" w:sz="0" w:space="0" w:color="auto"/>
        <w:left w:val="none" w:sz="0" w:space="0" w:color="auto"/>
        <w:bottom w:val="none" w:sz="0" w:space="0" w:color="auto"/>
        <w:right w:val="none" w:sz="0" w:space="0" w:color="auto"/>
      </w:divBdr>
    </w:div>
    <w:div w:id="992178709">
      <w:bodyDiv w:val="1"/>
      <w:marLeft w:val="0"/>
      <w:marRight w:val="0"/>
      <w:marTop w:val="0"/>
      <w:marBottom w:val="0"/>
      <w:divBdr>
        <w:top w:val="none" w:sz="0" w:space="0" w:color="auto"/>
        <w:left w:val="none" w:sz="0" w:space="0" w:color="auto"/>
        <w:bottom w:val="none" w:sz="0" w:space="0" w:color="auto"/>
        <w:right w:val="none" w:sz="0" w:space="0" w:color="auto"/>
      </w:divBdr>
    </w:div>
    <w:div w:id="1105273840">
      <w:bodyDiv w:val="1"/>
      <w:marLeft w:val="0"/>
      <w:marRight w:val="0"/>
      <w:marTop w:val="0"/>
      <w:marBottom w:val="0"/>
      <w:divBdr>
        <w:top w:val="none" w:sz="0" w:space="0" w:color="auto"/>
        <w:left w:val="none" w:sz="0" w:space="0" w:color="auto"/>
        <w:bottom w:val="none" w:sz="0" w:space="0" w:color="auto"/>
        <w:right w:val="none" w:sz="0" w:space="0" w:color="auto"/>
      </w:divBdr>
    </w:div>
    <w:div w:id="1113478952">
      <w:bodyDiv w:val="1"/>
      <w:marLeft w:val="0"/>
      <w:marRight w:val="0"/>
      <w:marTop w:val="0"/>
      <w:marBottom w:val="0"/>
      <w:divBdr>
        <w:top w:val="none" w:sz="0" w:space="0" w:color="auto"/>
        <w:left w:val="none" w:sz="0" w:space="0" w:color="auto"/>
        <w:bottom w:val="none" w:sz="0" w:space="0" w:color="auto"/>
        <w:right w:val="none" w:sz="0" w:space="0" w:color="auto"/>
      </w:divBdr>
    </w:div>
    <w:div w:id="1180124732">
      <w:bodyDiv w:val="1"/>
      <w:marLeft w:val="0"/>
      <w:marRight w:val="0"/>
      <w:marTop w:val="0"/>
      <w:marBottom w:val="0"/>
      <w:divBdr>
        <w:top w:val="none" w:sz="0" w:space="0" w:color="auto"/>
        <w:left w:val="none" w:sz="0" w:space="0" w:color="auto"/>
        <w:bottom w:val="none" w:sz="0" w:space="0" w:color="auto"/>
        <w:right w:val="none" w:sz="0" w:space="0" w:color="auto"/>
      </w:divBdr>
    </w:div>
    <w:div w:id="1196962794">
      <w:bodyDiv w:val="1"/>
      <w:marLeft w:val="0"/>
      <w:marRight w:val="0"/>
      <w:marTop w:val="0"/>
      <w:marBottom w:val="0"/>
      <w:divBdr>
        <w:top w:val="none" w:sz="0" w:space="0" w:color="auto"/>
        <w:left w:val="none" w:sz="0" w:space="0" w:color="auto"/>
        <w:bottom w:val="none" w:sz="0" w:space="0" w:color="auto"/>
        <w:right w:val="none" w:sz="0" w:space="0" w:color="auto"/>
      </w:divBdr>
    </w:div>
    <w:div w:id="1400058544">
      <w:bodyDiv w:val="1"/>
      <w:marLeft w:val="0"/>
      <w:marRight w:val="0"/>
      <w:marTop w:val="0"/>
      <w:marBottom w:val="0"/>
      <w:divBdr>
        <w:top w:val="none" w:sz="0" w:space="0" w:color="auto"/>
        <w:left w:val="none" w:sz="0" w:space="0" w:color="auto"/>
        <w:bottom w:val="none" w:sz="0" w:space="0" w:color="auto"/>
        <w:right w:val="none" w:sz="0" w:space="0" w:color="auto"/>
      </w:divBdr>
    </w:div>
    <w:div w:id="1545292515">
      <w:bodyDiv w:val="1"/>
      <w:marLeft w:val="0"/>
      <w:marRight w:val="0"/>
      <w:marTop w:val="0"/>
      <w:marBottom w:val="0"/>
      <w:divBdr>
        <w:top w:val="none" w:sz="0" w:space="0" w:color="auto"/>
        <w:left w:val="none" w:sz="0" w:space="0" w:color="auto"/>
        <w:bottom w:val="none" w:sz="0" w:space="0" w:color="auto"/>
        <w:right w:val="none" w:sz="0" w:space="0" w:color="auto"/>
      </w:divBdr>
    </w:div>
    <w:div w:id="1635286952">
      <w:bodyDiv w:val="1"/>
      <w:marLeft w:val="0"/>
      <w:marRight w:val="0"/>
      <w:marTop w:val="0"/>
      <w:marBottom w:val="0"/>
      <w:divBdr>
        <w:top w:val="none" w:sz="0" w:space="0" w:color="auto"/>
        <w:left w:val="none" w:sz="0" w:space="0" w:color="auto"/>
        <w:bottom w:val="none" w:sz="0" w:space="0" w:color="auto"/>
        <w:right w:val="none" w:sz="0" w:space="0" w:color="auto"/>
      </w:divBdr>
    </w:div>
    <w:div w:id="1686513700">
      <w:bodyDiv w:val="1"/>
      <w:marLeft w:val="0"/>
      <w:marRight w:val="0"/>
      <w:marTop w:val="0"/>
      <w:marBottom w:val="0"/>
      <w:divBdr>
        <w:top w:val="none" w:sz="0" w:space="0" w:color="auto"/>
        <w:left w:val="none" w:sz="0" w:space="0" w:color="auto"/>
        <w:bottom w:val="none" w:sz="0" w:space="0" w:color="auto"/>
        <w:right w:val="none" w:sz="0" w:space="0" w:color="auto"/>
      </w:divBdr>
    </w:div>
    <w:div w:id="1789397568">
      <w:bodyDiv w:val="1"/>
      <w:marLeft w:val="0"/>
      <w:marRight w:val="0"/>
      <w:marTop w:val="0"/>
      <w:marBottom w:val="0"/>
      <w:divBdr>
        <w:top w:val="none" w:sz="0" w:space="0" w:color="auto"/>
        <w:left w:val="none" w:sz="0" w:space="0" w:color="auto"/>
        <w:bottom w:val="none" w:sz="0" w:space="0" w:color="auto"/>
        <w:right w:val="none" w:sz="0" w:space="0" w:color="auto"/>
      </w:divBdr>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2007513572">
      <w:bodyDiv w:val="1"/>
      <w:marLeft w:val="0"/>
      <w:marRight w:val="0"/>
      <w:marTop w:val="0"/>
      <w:marBottom w:val="0"/>
      <w:divBdr>
        <w:top w:val="none" w:sz="0" w:space="0" w:color="auto"/>
        <w:left w:val="none" w:sz="0" w:space="0" w:color="auto"/>
        <w:bottom w:val="none" w:sz="0" w:space="0" w:color="auto"/>
        <w:right w:val="none" w:sz="0" w:space="0" w:color="auto"/>
      </w:divBdr>
    </w:div>
    <w:div w:id="209003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s://www.cpuc.ca.gov/buildingdecarb/" TargetMode="External"/><Relationship Id="rId2" Type="http://schemas.openxmlformats.org/officeDocument/2006/relationships/hyperlink" Target="https://www.cpuc.ca.gov/buildingdecarb/" TargetMode="External"/><Relationship Id="rId1" Type="http://schemas.openxmlformats.org/officeDocument/2006/relationships/hyperlink" Target="https://www.cpuc.ca.gov/buildingdecar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CCA9B-B65E-4E7F-85CA-3D5E5CE273C5}">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38</ap:Pages>
  <ap:Words>7595</ap:Words>
  <ap:Characters>43292</ap:Characters>
  <ap:Application>Microsoft Office Word</ap:Application>
  <ap:DocSecurity>0</ap:DocSecurity>
  <ap:Lines>360</ap:Lines>
  <ap:Paragraphs>101</ap:Paragraphs>
  <ap:ScaleCrop>false</ap:ScaleCrop>
  <ap:HeadingPairs>
    <vt:vector baseType="variant" size="2">
      <vt:variant>
        <vt:lpstr>Title</vt:lpstr>
      </vt:variant>
      <vt:variant>
        <vt:i4>1</vt:i4>
      </vt:variant>
    </vt:vector>
  </ap:HeadingPairs>
  <ap:TitlesOfParts>
    <vt:vector baseType="lpstr" size="1">
      <vt:lpstr>Resolution Template</vt:lpstr>
    </vt:vector>
  </ap:TitlesOfParts>
  <ap:Company/>
  <ap:LinksUpToDate>false</ap:LinksUpToDate>
  <ap:CharactersWithSpaces>50786</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2019-02-28T22:11:00Z</cp:lastPrinted>
  <dcterms:created xsi:type="dcterms:W3CDTF">2020-11-18T11:56:30Z</dcterms:created>
  <dcterms:modified xsi:type="dcterms:W3CDTF">2020-11-18T11:56:30Z</dcterms:modified>
</cp:coreProperties>
</file>