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5CCC" w:rsidP="009C3DFC" w:rsidRDefault="00C63159" w14:paraId="123CDA91" w14:textId="49CC03F5">
      <w:pPr>
        <w:tabs>
          <w:tab w:val="center" w:pos="4500"/>
          <w:tab w:val="right" w:pos="9360"/>
        </w:tabs>
        <w:spacing w:line="240" w:lineRule="auto"/>
        <w:ind w:firstLine="0"/>
        <w:rPr>
          <w:rFonts w:cs="Arial"/>
          <w:b/>
          <w:bCs/>
          <w:szCs w:val="26"/>
        </w:rPr>
      </w:pPr>
      <w:r w:rsidRPr="006B5FA8">
        <w:t>ALJ/</w:t>
      </w:r>
      <w:r>
        <w:t>KJB</w:t>
      </w:r>
      <w:r w:rsidRPr="006B5FA8">
        <w:t>/</w:t>
      </w:r>
      <w:r>
        <w:t>jnf</w:t>
      </w:r>
      <w:r>
        <w:tab/>
      </w:r>
      <w:r>
        <w:rPr>
          <w:rFonts w:ascii="Arial" w:hAnsi="Arial" w:cs="Arial"/>
          <w:b/>
          <w:bCs/>
          <w:sz w:val="32"/>
          <w:szCs w:val="32"/>
        </w:rPr>
        <w:tab/>
      </w:r>
      <w:r w:rsidR="009C3DFC">
        <w:rPr>
          <w:rFonts w:cs="Arial"/>
          <w:b/>
          <w:bCs/>
          <w:szCs w:val="26"/>
        </w:rPr>
        <w:t>Date of Issuance 11/20/2020</w:t>
      </w:r>
    </w:p>
    <w:p w:rsidR="009C3DFC" w:rsidP="009C3DFC" w:rsidRDefault="009C3DFC" w14:paraId="67F5E859" w14:textId="5FDF8582">
      <w:pPr>
        <w:tabs>
          <w:tab w:val="center" w:pos="4500"/>
          <w:tab w:val="right" w:pos="9360"/>
        </w:tabs>
        <w:spacing w:line="240" w:lineRule="auto"/>
        <w:ind w:firstLine="0"/>
        <w:rPr>
          <w:rFonts w:cs="Arial"/>
          <w:b/>
          <w:bCs/>
          <w:szCs w:val="26"/>
        </w:rPr>
      </w:pPr>
    </w:p>
    <w:p w:rsidR="009C3DFC" w:rsidP="009C3DFC" w:rsidRDefault="009C3DFC" w14:paraId="1D11AAA3" w14:textId="77777777">
      <w:pPr>
        <w:tabs>
          <w:tab w:val="center" w:pos="4500"/>
          <w:tab w:val="right" w:pos="9360"/>
        </w:tabs>
        <w:spacing w:line="240" w:lineRule="auto"/>
        <w:ind w:firstLine="0"/>
        <w:rPr>
          <w:b/>
          <w:bCs/>
        </w:rPr>
      </w:pPr>
    </w:p>
    <w:p w:rsidRPr="00615CCC" w:rsidR="00615CCC" w:rsidP="00615CCC" w:rsidRDefault="00615CCC" w14:paraId="2F240CA4" w14:textId="658133EE">
      <w:pPr>
        <w:spacing w:after="120" w:line="240" w:lineRule="auto"/>
        <w:ind w:left="1080" w:hanging="1080"/>
      </w:pPr>
      <w:r>
        <w:t xml:space="preserve">Decision </w:t>
      </w:r>
      <w:r w:rsidR="009C3DFC">
        <w:t>20-11-</w:t>
      </w:r>
      <w:proofErr w:type="gramStart"/>
      <w:r w:rsidR="009C3DFC">
        <w:t>025  November</w:t>
      </w:r>
      <w:proofErr w:type="gramEnd"/>
      <w:r w:rsidR="009C3DFC">
        <w:t xml:space="preserve"> 19, 2020</w:t>
      </w:r>
    </w:p>
    <w:p w:rsidR="00DA7B5D" w:rsidP="00BB0243" w:rsidRDefault="00DA7B5D" w14:paraId="767CD347" w14:textId="77777777">
      <w:pPr>
        <w:spacing w:line="240" w:lineRule="auto"/>
        <w:jc w:val="center"/>
        <w:rPr>
          <w:u w:val="single"/>
        </w:rPr>
      </w:pPr>
    </w:p>
    <w:p w:rsidR="00DA7B5D" w:rsidP="00BB0243" w:rsidRDefault="00DA7B5D" w14:paraId="2DC2381D"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EEF8AFA" w14:textId="397C6D3B">
      <w:pPr>
        <w:spacing w:line="240" w:lineRule="auto"/>
        <w:ind w:firstLine="0"/>
        <w:rPr>
          <w:rFonts w:ascii="Arial" w:hAnsi="Arial" w:cs="Arial"/>
          <w:sz w:val="24"/>
          <w:szCs w:val="24"/>
        </w:rPr>
      </w:pPr>
    </w:p>
    <w:p w:rsidR="00C63159" w:rsidP="008F0116" w:rsidRDefault="00C63159" w14:paraId="757736A3"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00123183" w14:paraId="6C787118" w14:textId="77777777">
        <w:tc>
          <w:tcPr>
            <w:tcW w:w="4675" w:type="dxa"/>
            <w:tcBorders>
              <w:top w:val="nil"/>
              <w:left w:val="nil"/>
              <w:bottom w:val="single" w:color="auto" w:sz="4" w:space="0"/>
              <w:right w:val="single" w:color="auto" w:sz="4" w:space="0"/>
            </w:tcBorders>
          </w:tcPr>
          <w:p w:rsidRPr="00DA7B5D" w:rsidR="00DA7B5D" w:rsidP="00C10B5F" w:rsidRDefault="00123183" w14:paraId="16B35584" w14:textId="4EEB31E3">
            <w:pPr>
              <w:spacing w:line="240" w:lineRule="auto"/>
              <w:ind w:firstLine="0"/>
              <w:rPr>
                <w:rFonts w:cs="Arial"/>
                <w:szCs w:val="26"/>
              </w:rPr>
            </w:pPr>
            <w:r w:rsidRPr="00123183">
              <w:rPr>
                <w:rFonts w:cs="Arial"/>
                <w:szCs w:val="26"/>
              </w:rPr>
              <w:t xml:space="preserve">In the Matter of the Joint Application of Sprint Communications Company L.P. </w:t>
            </w:r>
            <w:r>
              <w:rPr>
                <w:rFonts w:cs="Arial"/>
                <w:szCs w:val="26"/>
              </w:rPr>
              <w:t xml:space="preserve"> </w:t>
            </w:r>
            <w:r w:rsidRPr="00123183">
              <w:rPr>
                <w:rFonts w:cs="Arial"/>
                <w:szCs w:val="26"/>
              </w:rPr>
              <w:t>(</w:t>
            </w:r>
            <w:r w:rsidRPr="008B32A4">
              <w:rPr>
                <w:rFonts w:cs="Arial"/>
                <w:szCs w:val="26"/>
              </w:rPr>
              <w:t>U5112)</w:t>
            </w:r>
            <w:r w:rsidRPr="00123183">
              <w:rPr>
                <w:rFonts w:cs="Arial"/>
                <w:szCs w:val="26"/>
              </w:rPr>
              <w:t xml:space="preserve"> and T-Mobile USA, Inc., a Delaware Corporation, For Approval of Transfer of Control of Sprint Communications Company L.P. Pursuant to California Public Utilities Code Section 854(a).</w:t>
            </w:r>
            <w:r w:rsidRPr="00DA7B5D" w:rsidR="00DA7B5D">
              <w:rPr>
                <w:rFonts w:cs="Arial"/>
                <w:szCs w:val="26"/>
              </w:rPr>
              <w:br/>
            </w:r>
          </w:p>
        </w:tc>
        <w:tc>
          <w:tcPr>
            <w:tcW w:w="4675" w:type="dxa"/>
            <w:tcBorders>
              <w:top w:val="nil"/>
              <w:left w:val="single" w:color="auto" w:sz="4" w:space="0"/>
              <w:bottom w:val="nil"/>
              <w:right w:val="nil"/>
            </w:tcBorders>
            <w:vAlign w:val="center"/>
          </w:tcPr>
          <w:p w:rsidRPr="00DA7B5D" w:rsidR="00DA7B5D" w:rsidP="00412C83" w:rsidRDefault="00123183" w14:paraId="78E4615F" w14:textId="09B0200A">
            <w:pPr>
              <w:spacing w:line="240" w:lineRule="auto"/>
              <w:ind w:firstLine="0"/>
              <w:jc w:val="center"/>
              <w:rPr>
                <w:rFonts w:cs="Arial"/>
                <w:szCs w:val="26"/>
              </w:rPr>
            </w:pPr>
            <w:r>
              <w:rPr>
                <w:rFonts w:cs="Arial"/>
                <w:szCs w:val="26"/>
              </w:rPr>
              <w:t>Application 18-07-011</w:t>
            </w:r>
          </w:p>
        </w:tc>
      </w:tr>
      <w:tr w:rsidR="00123183" w:rsidTr="00123183" w14:paraId="000A6172" w14:textId="77777777">
        <w:tc>
          <w:tcPr>
            <w:tcW w:w="4675" w:type="dxa"/>
            <w:tcBorders>
              <w:top w:val="single" w:color="auto" w:sz="4" w:space="0"/>
              <w:left w:val="nil"/>
              <w:bottom w:val="single" w:color="auto" w:sz="4" w:space="0"/>
              <w:right w:val="single" w:color="auto" w:sz="4" w:space="0"/>
            </w:tcBorders>
          </w:tcPr>
          <w:p w:rsidR="00123183" w:rsidP="00C10B5F" w:rsidRDefault="00123183" w14:paraId="43FCA7AE" w14:textId="77777777">
            <w:pPr>
              <w:spacing w:line="240" w:lineRule="auto"/>
              <w:ind w:firstLine="0"/>
              <w:rPr>
                <w:rFonts w:cs="Arial"/>
                <w:szCs w:val="26"/>
              </w:rPr>
            </w:pPr>
          </w:p>
          <w:p w:rsidR="00123183" w:rsidP="00C10B5F" w:rsidRDefault="00123183" w14:paraId="0208BD54" w14:textId="2453F577">
            <w:pPr>
              <w:spacing w:line="240" w:lineRule="auto"/>
              <w:ind w:firstLine="0"/>
              <w:rPr>
                <w:rFonts w:cs="Arial"/>
                <w:szCs w:val="26"/>
              </w:rPr>
            </w:pPr>
            <w:r>
              <w:rPr>
                <w:rFonts w:cs="Arial"/>
                <w:szCs w:val="26"/>
              </w:rPr>
              <w:t>And Related Matter.</w:t>
            </w:r>
          </w:p>
          <w:p w:rsidRPr="00123183" w:rsidR="00123183" w:rsidP="00C10B5F" w:rsidRDefault="00123183" w14:paraId="3004D437" w14:textId="27B2663B">
            <w:pPr>
              <w:spacing w:line="240" w:lineRule="auto"/>
              <w:ind w:firstLine="0"/>
              <w:rPr>
                <w:rFonts w:cs="Arial"/>
                <w:szCs w:val="26"/>
              </w:rPr>
            </w:pPr>
          </w:p>
        </w:tc>
        <w:tc>
          <w:tcPr>
            <w:tcW w:w="4675" w:type="dxa"/>
            <w:tcBorders>
              <w:top w:val="nil"/>
              <w:left w:val="single" w:color="auto" w:sz="4" w:space="0"/>
              <w:bottom w:val="nil"/>
              <w:right w:val="nil"/>
            </w:tcBorders>
            <w:vAlign w:val="center"/>
          </w:tcPr>
          <w:p w:rsidR="00123183" w:rsidP="00412C83" w:rsidRDefault="00123183" w14:paraId="444E045E" w14:textId="08197523">
            <w:pPr>
              <w:spacing w:line="240" w:lineRule="auto"/>
              <w:ind w:firstLine="0"/>
              <w:jc w:val="center"/>
              <w:rPr>
                <w:rFonts w:cs="Arial"/>
                <w:szCs w:val="26"/>
              </w:rPr>
            </w:pPr>
            <w:r>
              <w:rPr>
                <w:rFonts w:cs="Arial"/>
                <w:szCs w:val="26"/>
              </w:rPr>
              <w:t>Application 18-07-012</w:t>
            </w:r>
          </w:p>
        </w:tc>
      </w:tr>
    </w:tbl>
    <w:p w:rsidR="00DA7B5D" w:rsidP="008F0116" w:rsidRDefault="00DA7B5D" w14:paraId="6397A206" w14:textId="77777777">
      <w:pPr>
        <w:spacing w:line="240" w:lineRule="auto"/>
        <w:ind w:firstLine="0"/>
        <w:rPr>
          <w:rFonts w:ascii="Arial" w:hAnsi="Arial" w:cs="Arial"/>
          <w:sz w:val="24"/>
          <w:szCs w:val="24"/>
        </w:rPr>
      </w:pPr>
    </w:p>
    <w:p w:rsidR="00DA7B5D" w:rsidP="008F0116" w:rsidRDefault="00DA7B5D" w14:paraId="4B2FA735" w14:textId="77777777">
      <w:pPr>
        <w:spacing w:line="240" w:lineRule="auto"/>
        <w:ind w:firstLine="0"/>
        <w:rPr>
          <w:rFonts w:ascii="Arial" w:hAnsi="Arial" w:cs="Arial"/>
          <w:sz w:val="24"/>
          <w:szCs w:val="24"/>
        </w:rPr>
      </w:pPr>
    </w:p>
    <w:p w:rsidR="0098655A" w:rsidP="00591B23" w:rsidRDefault="00123183" w14:paraId="560DF88E" w14:textId="29D97DAA">
      <w:pPr>
        <w:pStyle w:val="Dummy"/>
        <w:spacing w:after="240"/>
        <w:jc w:val="center"/>
      </w:pPr>
      <w:r>
        <w:t xml:space="preserve">DECISION GRANTING IN PART AND DENYING IN PART PETITION </w:t>
      </w:r>
      <w:r w:rsidR="007A7627">
        <w:br/>
      </w:r>
      <w:r>
        <w:t>FOR MODIFICATION OF DECISION</w:t>
      </w:r>
      <w:r w:rsidR="00964B2D">
        <w:t> </w:t>
      </w:r>
      <w:r>
        <w:t>20</w:t>
      </w:r>
      <w:r w:rsidR="00964B2D">
        <w:noBreakHyphen/>
      </w:r>
      <w:r>
        <w:t>04</w:t>
      </w:r>
      <w:r w:rsidR="00964B2D">
        <w:noBreakHyphen/>
      </w:r>
      <w:r>
        <w:t>008</w:t>
      </w:r>
    </w:p>
    <w:p w:rsidR="001C513E" w:rsidP="005A1C7D" w:rsidRDefault="005A1C7D" w14:paraId="17B6A393" w14:textId="0360206B">
      <w:pPr>
        <w:pStyle w:val="Dummy"/>
      </w:pPr>
      <w:bookmarkStart w:name="_Toc8123714" w:id="0"/>
      <w:bookmarkStart w:name="_Toc12866683" w:id="1"/>
      <w:r>
        <w:t>Summary</w:t>
      </w:r>
      <w:bookmarkEnd w:id="0"/>
      <w:bookmarkEnd w:id="1"/>
    </w:p>
    <w:p w:rsidRPr="001C513E" w:rsidR="001C513E" w:rsidP="005A1C7D" w:rsidRDefault="001C513E" w14:paraId="17E17C99" w14:textId="6A05D45F">
      <w:r>
        <w:t xml:space="preserve">We grant Joint Applicants’ request for an extension of time to comply with network deployment and performance conditions in Decision </w:t>
      </w:r>
      <w:r w:rsidR="005A1C7D">
        <w:t>(</w:t>
      </w:r>
      <w:r>
        <w:t>D.</w:t>
      </w:r>
      <w:r w:rsidR="005A1C7D">
        <w:t>) </w:t>
      </w:r>
      <w:r>
        <w:t>20</w:t>
      </w:r>
      <w:r w:rsidR="005A1C7D">
        <w:noBreakHyphen/>
      </w:r>
      <w:r>
        <w:t>04</w:t>
      </w:r>
      <w:r w:rsidR="005A1C7D">
        <w:noBreakHyphen/>
      </w:r>
      <w:r>
        <w:t>008 and deny the other requests in the Petition for Modification.</w:t>
      </w:r>
    </w:p>
    <w:p w:rsidRPr="00121089" w:rsidR="00123183" w:rsidP="00123183" w:rsidRDefault="00123183" w14:paraId="44A6A6FA" w14:textId="77777777">
      <w:pPr>
        <w:pStyle w:val="Heading1"/>
        <w:numPr>
          <w:ilvl w:val="0"/>
          <w:numId w:val="1"/>
        </w:numPr>
      </w:pPr>
      <w:r w:rsidRPr="00121089">
        <w:t>Background</w:t>
      </w:r>
    </w:p>
    <w:p w:rsidR="00B61979" w:rsidP="005A1C7D" w:rsidRDefault="00123183" w14:paraId="2D4DD3CB" w14:textId="77777777">
      <w:pPr>
        <w:pStyle w:val="Standard"/>
        <w:sectPr w:rsidR="00B61979" w:rsidSect="009B6203">
          <w:footerReference w:type="default" r:id="rId11"/>
          <w:headerReference w:type="first" r:id="rId12"/>
          <w:footerReference w:type="first" r:id="rId13"/>
          <w:type w:val="continuous"/>
          <w:pgSz w:w="12240" w:h="15840" w:code="1"/>
          <w:pgMar w:top="1728" w:right="1440" w:bottom="1440" w:left="1440" w:header="720" w:footer="720" w:gutter="0"/>
          <w:pgNumType w:start="1"/>
          <w:cols w:space="720"/>
          <w:titlePg/>
          <w:docGrid w:linePitch="360"/>
        </w:sectPr>
      </w:pPr>
      <w:r w:rsidRPr="005D72E5">
        <w:t>On June</w:t>
      </w:r>
      <w:r w:rsidR="00964B2D">
        <w:t> </w:t>
      </w:r>
      <w:r w:rsidRPr="005D72E5">
        <w:t>23,</w:t>
      </w:r>
      <w:r w:rsidR="00964B2D">
        <w:t> </w:t>
      </w:r>
      <w:r w:rsidRPr="005D72E5">
        <w:t>2020, Sprint Communications Company L.P.</w:t>
      </w:r>
      <w:r>
        <w:t xml:space="preserve"> (Sprint)</w:t>
      </w:r>
      <w:r w:rsidRPr="005D72E5">
        <w:t xml:space="preserve"> and T</w:t>
      </w:r>
      <w:r w:rsidR="00C63159">
        <w:noBreakHyphen/>
      </w:r>
      <w:r w:rsidRPr="005D72E5">
        <w:t>Mobile USA, Inc.</w:t>
      </w:r>
      <w:r>
        <w:t xml:space="preserve"> (T-Mobile) (collectively, Joint Applicants) filed a Petition for Modification (PFM) of </w:t>
      </w:r>
      <w:r w:rsidRPr="00880C00">
        <w:t>D.20</w:t>
      </w:r>
      <w:r>
        <w:t>-04-008.  In that decision, the Commission approved with conditions the acquisition of Sprint by T-Mobile.  On</w:t>
      </w:r>
      <w:r w:rsidR="00C63159">
        <w:t xml:space="preserve"> </w:t>
      </w:r>
      <w:r>
        <w:t>July</w:t>
      </w:r>
      <w:r w:rsidR="00C63159">
        <w:t> </w:t>
      </w:r>
      <w:r>
        <w:t>22,</w:t>
      </w:r>
      <w:r w:rsidR="00C63159">
        <w:t> </w:t>
      </w:r>
      <w:r>
        <w:t>2020</w:t>
      </w:r>
      <w:r w:rsidR="00C63159">
        <w:t xml:space="preserve">, </w:t>
      </w:r>
    </w:p>
    <w:p w:rsidR="00123183" w:rsidP="00CC3732" w:rsidRDefault="00123183" w14:paraId="0E447B62" w14:textId="7BB01620">
      <w:pPr>
        <w:pStyle w:val="Standard"/>
        <w:ind w:firstLine="0"/>
        <w:rPr>
          <w:b/>
        </w:rPr>
      </w:pPr>
      <w:r>
        <w:lastRenderedPageBreak/>
        <w:t xml:space="preserve">Communications Workers of America (CWA), The Utility Reform Network (TURN), the Public Advocates </w:t>
      </w:r>
      <w:r w:rsidR="00615CCC">
        <w:t>O</w:t>
      </w:r>
      <w:r>
        <w:t>ffice</w:t>
      </w:r>
      <w:r w:rsidR="00615CCC">
        <w:t xml:space="preserve"> of the California Public Utilities Commission</w:t>
      </w:r>
      <w:r>
        <w:t xml:space="preserve"> (Cal Advocates) and the California Emerging Technology fund (CETF) filed responses to the PFM.  On August</w:t>
      </w:r>
      <w:r w:rsidR="00615CCC">
        <w:t> </w:t>
      </w:r>
      <w:r>
        <w:t>3,</w:t>
      </w:r>
      <w:r w:rsidR="00615CCC">
        <w:t> </w:t>
      </w:r>
      <w:r>
        <w:t>2020, with the permission of the assigned Administrative Law Judge (ALJ), Joint Applicants filed a reply to the responses.</w:t>
      </w:r>
      <w:r w:rsidR="00615CCC">
        <w:t xml:space="preserve">  </w:t>
      </w:r>
      <w:r>
        <w:t xml:space="preserve">The </w:t>
      </w:r>
      <w:r w:rsidR="00865E77">
        <w:t>Petition for Modification (</w:t>
      </w:r>
      <w:r>
        <w:t>PFM</w:t>
      </w:r>
      <w:r w:rsidR="00865E77">
        <w:t>)</w:t>
      </w:r>
      <w:r>
        <w:t xml:space="preserve"> requests the following changes to the conditions imposed on the merger by </w:t>
      </w:r>
      <w:r w:rsidRPr="00880C00" w:rsidR="007A7627">
        <w:t>D.</w:t>
      </w:r>
      <w:r w:rsidRPr="00880C00">
        <w:t>20</w:t>
      </w:r>
      <w:r w:rsidRPr="00880C00" w:rsidR="00697244">
        <w:noBreakHyphen/>
      </w:r>
      <w:r w:rsidRPr="00880C00">
        <w:t>04</w:t>
      </w:r>
      <w:r w:rsidR="00697244">
        <w:noBreakHyphen/>
      </w:r>
      <w:r>
        <w:t>008:</w:t>
      </w:r>
    </w:p>
    <w:p w:rsidRPr="00C63159" w:rsidR="00C63159" w:rsidP="00C63159" w:rsidRDefault="00123183" w14:paraId="2F21D249" w14:textId="4F08100C">
      <w:pPr>
        <w:pStyle w:val="Standard"/>
        <w:numPr>
          <w:ilvl w:val="6"/>
          <w:numId w:val="29"/>
        </w:numPr>
        <w:spacing w:after="120" w:line="240" w:lineRule="auto"/>
        <w:ind w:left="1080" w:right="1440"/>
        <w:rPr>
          <w:b/>
        </w:rPr>
      </w:pPr>
      <w:r w:rsidRPr="008A72D7">
        <w:t xml:space="preserve">The </w:t>
      </w:r>
      <w:r>
        <w:t xml:space="preserve">compliance date for providing </w:t>
      </w:r>
      <w:r w:rsidRPr="00294E8C">
        <w:t>5G wireless service coverage with at least 300</w:t>
      </w:r>
      <w:r w:rsidR="00697244">
        <w:t> </w:t>
      </w:r>
      <w:r w:rsidRPr="00294E8C">
        <w:t>Megabits per second (Mbps) download speeds to 93% of Californians</w:t>
      </w:r>
      <w:r>
        <w:t xml:space="preserve"> in Ordering Paragraphs 4.b and 30 should be changed</w:t>
      </w:r>
      <w:r w:rsidRPr="008A72D7">
        <w:t xml:space="preserve"> from “2024” to “2026”</w:t>
      </w:r>
      <w:r>
        <w:t>.</w:t>
      </w:r>
    </w:p>
    <w:p w:rsidR="00C63159" w:rsidP="001E1903" w:rsidRDefault="00123183" w14:paraId="31884E4A" w14:textId="20575FD2">
      <w:pPr>
        <w:pStyle w:val="Standard"/>
        <w:numPr>
          <w:ilvl w:val="6"/>
          <w:numId w:val="29"/>
        </w:numPr>
        <w:spacing w:after="120" w:line="240" w:lineRule="auto"/>
        <w:ind w:left="1080" w:right="1440"/>
        <w:rPr>
          <w:b/>
        </w:rPr>
      </w:pPr>
      <w:r w:rsidRPr="008A72D7">
        <w:t>O</w:t>
      </w:r>
      <w:r>
        <w:t xml:space="preserve">rdering Paragraph </w:t>
      </w:r>
      <w:r w:rsidRPr="008A72D7">
        <w:t xml:space="preserve">25 </w:t>
      </w:r>
      <w:r>
        <w:t>s</w:t>
      </w:r>
      <w:r w:rsidRPr="008A72D7">
        <w:t xml:space="preserve">hould be </w:t>
      </w:r>
      <w:r>
        <w:t>m</w:t>
      </w:r>
      <w:r w:rsidRPr="008A72D7">
        <w:t xml:space="preserve">odified to </w:t>
      </w:r>
      <w:r>
        <w:t>e</w:t>
      </w:r>
      <w:r w:rsidRPr="008A72D7">
        <w:t xml:space="preserve">liminate the </w:t>
      </w:r>
      <w:r>
        <w:t>m</w:t>
      </w:r>
      <w:r w:rsidRPr="008A72D7">
        <w:t xml:space="preserve">andate for T-Mobile to </w:t>
      </w:r>
      <w:r>
        <w:t>i</w:t>
      </w:r>
      <w:r w:rsidRPr="008A72D7">
        <w:t xml:space="preserve">ncrease the </w:t>
      </w:r>
      <w:r>
        <w:t>n</w:t>
      </w:r>
      <w:r w:rsidRPr="008A72D7">
        <w:t xml:space="preserve">umber of </w:t>
      </w:r>
      <w:r>
        <w:t>f</w:t>
      </w:r>
      <w:r w:rsidRPr="008A72D7">
        <w:t>ull</w:t>
      </w:r>
      <w:r w:rsidR="00697244">
        <w:noBreakHyphen/>
      </w:r>
      <w:r>
        <w:t>t</w:t>
      </w:r>
      <w:r w:rsidRPr="008A72D7">
        <w:t>ime T-Mobile</w:t>
      </w:r>
      <w:r>
        <w:t xml:space="preserve"> e</w:t>
      </w:r>
      <w:r w:rsidRPr="008A72D7">
        <w:t>mployees</w:t>
      </w:r>
      <w:r>
        <w:t>.</w:t>
      </w:r>
      <w:r w:rsidRPr="008A72D7">
        <w:t xml:space="preserve"> </w:t>
      </w:r>
    </w:p>
    <w:p w:rsidRPr="00C63159" w:rsidR="00123183" w:rsidP="001E1903" w:rsidRDefault="00123183" w14:paraId="742F92DB" w14:textId="53763748">
      <w:pPr>
        <w:pStyle w:val="Standard"/>
        <w:numPr>
          <w:ilvl w:val="6"/>
          <w:numId w:val="29"/>
        </w:numPr>
        <w:spacing w:after="120" w:line="240" w:lineRule="auto"/>
        <w:ind w:left="1080" w:right="1440"/>
        <w:rPr>
          <w:b/>
        </w:rPr>
      </w:pPr>
      <w:r w:rsidRPr="008A72D7">
        <w:t xml:space="preserve">The FCC </w:t>
      </w:r>
      <w:r>
        <w:t>d</w:t>
      </w:r>
      <w:r w:rsidRPr="008A72D7">
        <w:t xml:space="preserve">rive </w:t>
      </w:r>
      <w:r>
        <w:t>t</w:t>
      </w:r>
      <w:r w:rsidRPr="008A72D7">
        <w:t xml:space="preserve">ests </w:t>
      </w:r>
      <w:r>
        <w:t>s</w:t>
      </w:r>
      <w:r w:rsidRPr="008A72D7">
        <w:t xml:space="preserve">hould be </w:t>
      </w:r>
      <w:r>
        <w:t>u</w:t>
      </w:r>
      <w:r w:rsidRPr="008A72D7">
        <w:t xml:space="preserve">sed to </w:t>
      </w:r>
      <w:r>
        <w:t>c</w:t>
      </w:r>
      <w:r w:rsidRPr="008A72D7">
        <w:t xml:space="preserve">onfirm </w:t>
      </w:r>
      <w:r>
        <w:t>that T</w:t>
      </w:r>
      <w:r w:rsidR="00697244">
        <w:noBreakHyphen/>
      </w:r>
      <w:r>
        <w:t>Mobile has met its</w:t>
      </w:r>
      <w:r w:rsidRPr="008A72D7">
        <w:t xml:space="preserve"> </w:t>
      </w:r>
      <w:r>
        <w:t>n</w:t>
      </w:r>
      <w:r w:rsidRPr="008A72D7">
        <w:t xml:space="preserve">etwork </w:t>
      </w:r>
      <w:r>
        <w:t>b</w:t>
      </w:r>
      <w:r w:rsidRPr="008A72D7">
        <w:t xml:space="preserve">uild </w:t>
      </w:r>
      <w:r>
        <w:t>o</w:t>
      </w:r>
      <w:r w:rsidRPr="008A72D7">
        <w:t>bligations</w:t>
      </w:r>
      <w:r>
        <w:t>.</w:t>
      </w:r>
    </w:p>
    <w:p w:rsidR="00123183" w:rsidP="001E1903" w:rsidRDefault="00123183" w14:paraId="6021DCE2" w14:textId="78F08512">
      <w:pPr>
        <w:pStyle w:val="Standard"/>
        <w:rPr>
          <w:b/>
        </w:rPr>
      </w:pPr>
      <w:r>
        <w:t>For reasons set out below, we grant request 1 and reject request</w:t>
      </w:r>
      <w:r w:rsidR="00041843">
        <w:t>s</w:t>
      </w:r>
      <w:r>
        <w:t xml:space="preserve"> 2</w:t>
      </w:r>
      <w:r w:rsidR="00041843">
        <w:t xml:space="preserve"> and 3</w:t>
      </w:r>
      <w:r>
        <w:t>.</w:t>
      </w:r>
    </w:p>
    <w:p w:rsidR="00FA1B4F" w:rsidP="001E1903" w:rsidRDefault="00123183" w14:paraId="0CEB87FF" w14:textId="3E684A0A">
      <w:pPr>
        <w:pStyle w:val="Heading1"/>
        <w:numPr>
          <w:ilvl w:val="0"/>
          <w:numId w:val="1"/>
        </w:numPr>
      </w:pPr>
      <w:bookmarkStart w:name="_Toc8123715" w:id="2"/>
      <w:bookmarkStart w:name="_Toc12866684" w:id="3"/>
      <w:r>
        <w:t>Discussion</w:t>
      </w:r>
      <w:bookmarkEnd w:id="2"/>
      <w:bookmarkEnd w:id="3"/>
    </w:p>
    <w:p w:rsidRPr="001E1903" w:rsidR="001E1903" w:rsidP="00343E5C" w:rsidRDefault="001E1903" w14:paraId="2A4C3569" w14:textId="77777777">
      <w:pPr>
        <w:pStyle w:val="Standard"/>
        <w:rPr>
          <w:b/>
          <w:bCs/>
        </w:rPr>
      </w:pPr>
      <w:r w:rsidRPr="00B61979">
        <w:rPr>
          <w:rFonts w:ascii="Arial" w:hAnsi="Arial" w:cs="Arial"/>
          <w:b/>
          <w:bCs/>
        </w:rPr>
        <w:t>Request No. 2</w:t>
      </w:r>
    </w:p>
    <w:p w:rsidR="001E1903" w:rsidP="001E1903" w:rsidRDefault="001E1903" w14:paraId="4C2A7D4A" w14:textId="5C552EFB">
      <w:pPr>
        <w:pStyle w:val="Standard"/>
      </w:pPr>
      <w:bookmarkStart w:name="_Toc8123723" w:id="4"/>
      <w:bookmarkStart w:name="_Toc12866693" w:id="5"/>
      <w:r>
        <w:t>The Commission’s Rules of Practice and Procedure provide two avenues by which a final decision of the Commission may be challenged, based on the type of error alleged.  If a party claims that the Commission committed legal error in a decision, the appropriate path for having such an allegation considered is the filling of an Application for Rehearing (AFR).</w:t>
      </w:r>
      <w:r>
        <w:rPr>
          <w:rStyle w:val="FootnoteReference"/>
          <w:b/>
          <w:bCs/>
        </w:rPr>
        <w:footnoteReference w:id="2"/>
      </w:r>
      <w:r>
        <w:t xml:space="preserve">  Claims of factual error or </w:t>
      </w:r>
      <w:r>
        <w:lastRenderedPageBreak/>
        <w:t>changed circumstances may be brought forward by means of a PFM.</w:t>
      </w:r>
      <w:r>
        <w:rPr>
          <w:rStyle w:val="FootnoteReference"/>
          <w:b/>
          <w:bCs/>
        </w:rPr>
        <w:footnoteReference w:id="3"/>
      </w:r>
      <w:r>
        <w:t xml:space="preserve">  </w:t>
      </w:r>
      <w:r w:rsidR="00964B2D">
        <w:br/>
      </w:r>
      <w:r>
        <w:t>Request Number 2, that the Commission rescind its order to T</w:t>
      </w:r>
      <w:r w:rsidR="00697244">
        <w:noBreakHyphen/>
      </w:r>
      <w:r>
        <w:t>Mobile to hire an additional 1,000</w:t>
      </w:r>
      <w:r w:rsidR="00697244">
        <w:t> </w:t>
      </w:r>
      <w:r>
        <w:t>employees, is clearly premised on a claim of legal error, to wit, that the commission lacks the legal authority to enter such an order.</w:t>
      </w:r>
      <w:r>
        <w:rPr>
          <w:rStyle w:val="FootnoteReference"/>
          <w:b/>
          <w:bCs/>
        </w:rPr>
        <w:footnoteReference w:id="4"/>
      </w:r>
      <w:r>
        <w:t xml:space="preserve">  As a claim of legal error, it should have been raised in an AFR.  The last date for filing an AFR was </w:t>
      </w:r>
      <w:r w:rsidRPr="00697244">
        <w:t>May</w:t>
      </w:r>
      <w:r w:rsidR="00697244">
        <w:t> </w:t>
      </w:r>
      <w:r w:rsidRPr="00697244">
        <w:t>7</w:t>
      </w:r>
      <w:r>
        <w:t>,</w:t>
      </w:r>
      <w:r w:rsidR="00697244">
        <w:t> </w:t>
      </w:r>
      <w:r>
        <w:t>2020.  Joint Applicants did not file an AFR.</w:t>
      </w:r>
      <w:r w:rsidR="00697244">
        <w:t xml:space="preserve">  </w:t>
      </w:r>
      <w:r>
        <w:t>Accordingly, Request No.</w:t>
      </w:r>
      <w:r w:rsidR="00964B2D">
        <w:t> </w:t>
      </w:r>
      <w:r>
        <w:t>2 is rejected as improperly filed.</w:t>
      </w:r>
      <w:r>
        <w:rPr>
          <w:rStyle w:val="FootnoteReference"/>
          <w:b/>
          <w:bCs/>
        </w:rPr>
        <w:footnoteReference w:id="5"/>
      </w:r>
    </w:p>
    <w:p w:rsidRPr="00B61979" w:rsidR="001E1903" w:rsidP="001E1903" w:rsidRDefault="001E1903" w14:paraId="30F6601A" w14:textId="608B3FB4">
      <w:pPr>
        <w:pStyle w:val="Standard"/>
        <w:rPr>
          <w:rFonts w:ascii="Arial" w:hAnsi="Arial" w:cs="Arial"/>
          <w:b/>
          <w:bCs/>
        </w:rPr>
      </w:pPr>
      <w:r w:rsidRPr="00B61979">
        <w:rPr>
          <w:rFonts w:ascii="Arial" w:hAnsi="Arial" w:cs="Arial"/>
          <w:b/>
          <w:bCs/>
        </w:rPr>
        <w:t>Request No. 1</w:t>
      </w:r>
    </w:p>
    <w:p w:rsidR="001E1903" w:rsidP="001E1903" w:rsidRDefault="001E1903" w14:paraId="2C3DD0A9" w14:textId="4AF83544">
      <w:pPr>
        <w:pStyle w:val="Standard"/>
        <w:rPr>
          <w:b/>
        </w:rPr>
      </w:pPr>
      <w:r>
        <w:t>We turn now to the properly filed requests for modification.  Request</w:t>
      </w:r>
      <w:r w:rsidR="00697244">
        <w:t xml:space="preserve"> </w:t>
      </w:r>
      <w:r>
        <w:t>No.</w:t>
      </w:r>
      <w:r w:rsidR="00697244">
        <w:t> </w:t>
      </w:r>
      <w:r>
        <w:t>1 asks that we move the deadline for providing 300</w:t>
      </w:r>
      <w:r w:rsidR="00697244">
        <w:t> </w:t>
      </w:r>
      <w:r w:rsidR="00B61BA3">
        <w:t>M</w:t>
      </w:r>
      <w:r>
        <w:t>bps service to at least 93% of Californians from 2024 to 2026.  In support of that request, Joint Applicants state that the 2024 date was a proxy used at the beginning of the application for a date six</w:t>
      </w:r>
      <w:r w:rsidR="00697244">
        <w:t> </w:t>
      </w:r>
      <w:r>
        <w:t>years after completion of the merger.  The merger took place in 2020; hence the request for a 2026</w:t>
      </w:r>
      <w:r w:rsidR="00697244">
        <w:t> </w:t>
      </w:r>
      <w:r>
        <w:t>roll</w:t>
      </w:r>
      <w:r w:rsidR="00697244">
        <w:noBreakHyphen/>
      </w:r>
      <w:r>
        <w:t>out date.</w:t>
      </w:r>
      <w:r>
        <w:rPr>
          <w:rStyle w:val="FootnoteReference"/>
          <w:b/>
          <w:bCs/>
        </w:rPr>
        <w:footnoteReference w:id="6"/>
      </w:r>
      <w:r>
        <w:t xml:space="preserve">  However, as pointed out by Cal Advocates and TURN in their Response to the PFM, Joint </w:t>
      </w:r>
      <w:r w:rsidR="00247A41">
        <w:t>A</w:t>
      </w:r>
      <w:r>
        <w:t xml:space="preserve">pplicants’ witnesses and exhibits filed in support of their testimony stated multiple times that T-Mobile intended to deliver the merger benefits, including the 5G rollout, </w:t>
      </w:r>
      <w:r>
        <w:lastRenderedPageBreak/>
        <w:t>by 2024</w:t>
      </w:r>
      <w:r>
        <w:rPr>
          <w:rStyle w:val="FootnoteReference"/>
          <w:b/>
          <w:bCs/>
        </w:rPr>
        <w:footnoteReference w:id="7"/>
      </w:r>
      <w:r>
        <w:t>.</w:t>
      </w:r>
      <w:r w:rsidR="007A7627">
        <w:t xml:space="preserve"> </w:t>
      </w:r>
      <w:r>
        <w:t xml:space="preserve"> In its Response to the PFM, CETF supported the request for a two</w:t>
      </w:r>
      <w:r w:rsidR="00697244">
        <w:noBreakHyphen/>
      </w:r>
      <w:r>
        <w:t>year extension of the deadline, agreeing with Joint Applicants that the 2024 date was a proxy for a date six</w:t>
      </w:r>
      <w:r w:rsidR="00697244">
        <w:t> </w:t>
      </w:r>
      <w:r>
        <w:t>years after closing.</w:t>
      </w:r>
      <w:r>
        <w:rPr>
          <w:rStyle w:val="FootnoteReference"/>
          <w:b/>
          <w:bCs/>
        </w:rPr>
        <w:footnoteReference w:id="8"/>
      </w:r>
      <w:r>
        <w:t xml:space="preserve">  </w:t>
      </w:r>
    </w:p>
    <w:p w:rsidR="001E1903" w:rsidP="001E1903" w:rsidRDefault="001E1903" w14:paraId="5A7AA87A" w14:textId="416E8EB0">
      <w:pPr>
        <w:pStyle w:val="Standard"/>
        <w:rPr>
          <w:b/>
        </w:rPr>
      </w:pPr>
      <w:r>
        <w:t>In their Reply to intervenors’ comments, Joint Applicants stress that the 2024 compliance date was a last</w:t>
      </w:r>
      <w:r w:rsidR="00964B2D">
        <w:noBreakHyphen/>
      </w:r>
      <w:r>
        <w:t>minute addition to the Proposed Decision, appearing for the first time in the version of the Proposed Decision published one day before the Commission meeting at which D.20</w:t>
      </w:r>
      <w:r w:rsidR="00697244">
        <w:noBreakHyphen/>
      </w:r>
      <w:r>
        <w:t>04</w:t>
      </w:r>
      <w:r w:rsidR="00697244">
        <w:noBreakHyphen/>
      </w:r>
      <w:r>
        <w:t>008 was adopted by the Commission.</w:t>
      </w:r>
      <w:r>
        <w:rPr>
          <w:rStyle w:val="FootnoteReference"/>
          <w:b/>
          <w:bCs/>
        </w:rPr>
        <w:footnoteReference w:id="9"/>
      </w:r>
      <w:r>
        <w:t xml:space="preserve">  They state that establishing a 2026 compliance date will not slow down the rollout of T</w:t>
      </w:r>
      <w:r w:rsidR="00697244">
        <w:noBreakHyphen/>
      </w:r>
      <w:r>
        <w:t>Mobile’s 5G network, it will simply conform the requirement to the six</w:t>
      </w:r>
      <w:r w:rsidR="00697244">
        <w:t> </w:t>
      </w:r>
      <w:r>
        <w:t>year timetable that T</w:t>
      </w:r>
      <w:r w:rsidR="00697244">
        <w:noBreakHyphen/>
      </w:r>
      <w:r>
        <w:t>Mobile has repeatedly referenced during the proceeding.</w:t>
      </w:r>
      <w:r>
        <w:rPr>
          <w:rStyle w:val="FootnoteReference"/>
          <w:b/>
          <w:bCs/>
        </w:rPr>
        <w:footnoteReference w:id="10"/>
      </w:r>
    </w:p>
    <w:p w:rsidR="001E1903" w:rsidP="001E1903" w:rsidRDefault="001E1903" w14:paraId="2E9E3C4B" w14:textId="3B218C45">
      <w:pPr>
        <w:pStyle w:val="Standard"/>
        <w:rPr>
          <w:b/>
        </w:rPr>
      </w:pPr>
      <w:r>
        <w:t>On balance we find that T</w:t>
      </w:r>
      <w:r w:rsidR="00697244">
        <w:noBreakHyphen/>
      </w:r>
      <w:r>
        <w:t>Mobile has presented and planned for a six</w:t>
      </w:r>
      <w:r w:rsidR="00697244">
        <w:noBreakHyphen/>
      </w:r>
      <w:r>
        <w:t>year rollout of its 5G network that includes providing 300</w:t>
      </w:r>
      <w:r w:rsidR="00697244">
        <w:t> </w:t>
      </w:r>
      <w:r w:rsidR="00B61BA3">
        <w:t>M</w:t>
      </w:r>
      <w:r>
        <w:t>bps service to at least 93% of Californians by 2026 and we will modify D.20</w:t>
      </w:r>
      <w:r w:rsidR="00697244">
        <w:noBreakHyphen/>
      </w:r>
      <w:r>
        <w:t>04</w:t>
      </w:r>
      <w:r w:rsidR="00697244">
        <w:noBreakHyphen/>
      </w:r>
      <w:r>
        <w:t>008 accordingly.</w:t>
      </w:r>
    </w:p>
    <w:p w:rsidRPr="00B61979" w:rsidR="001E1903" w:rsidP="001E1903" w:rsidRDefault="001E1903" w14:paraId="15E51579" w14:textId="088C23A1">
      <w:pPr>
        <w:pStyle w:val="Standard"/>
        <w:rPr>
          <w:rFonts w:ascii="Arial" w:hAnsi="Arial" w:cs="Arial"/>
          <w:b/>
          <w:bCs/>
        </w:rPr>
      </w:pPr>
      <w:r w:rsidRPr="00B61979">
        <w:rPr>
          <w:rFonts w:ascii="Arial" w:hAnsi="Arial" w:cs="Arial"/>
          <w:b/>
          <w:bCs/>
        </w:rPr>
        <w:t>Request No. 3</w:t>
      </w:r>
    </w:p>
    <w:p w:rsidR="001E1903" w:rsidP="001E1903" w:rsidRDefault="001E1903" w14:paraId="07B5BAD4" w14:textId="0F4973F0">
      <w:pPr>
        <w:pStyle w:val="Standard"/>
        <w:rPr>
          <w:b/>
        </w:rPr>
      </w:pPr>
      <w:r>
        <w:t>As part of its agreements with the F</w:t>
      </w:r>
      <w:r w:rsidR="00865E77">
        <w:t xml:space="preserve">ederal </w:t>
      </w:r>
      <w:r>
        <w:t>C</w:t>
      </w:r>
      <w:r w:rsidR="00865E77">
        <w:t xml:space="preserve">ommunications </w:t>
      </w:r>
      <w:r>
        <w:t>C</w:t>
      </w:r>
      <w:r w:rsidR="00865E77">
        <w:t>ommission (FCC)</w:t>
      </w:r>
      <w:r>
        <w:t xml:space="preserve"> and CETF, T</w:t>
      </w:r>
      <w:r w:rsidR="00697244">
        <w:noBreakHyphen/>
      </w:r>
      <w:r>
        <w:t xml:space="preserve">Mobile is required to verify its speed and coverage claims </w:t>
      </w:r>
      <w:r>
        <w:lastRenderedPageBreak/>
        <w:t>using the FCC drive test and to submit its data for independent third-party testing.  Joint Applicants argue that adding a third, Commission</w:t>
      </w:r>
      <w:r w:rsidR="00697244">
        <w:noBreakHyphen/>
      </w:r>
      <w:r>
        <w:t>developed test (</w:t>
      </w:r>
      <w:proofErr w:type="spellStart"/>
      <w:r>
        <w:t>CalSPEED</w:t>
      </w:r>
      <w:proofErr w:type="spellEnd"/>
      <w:r>
        <w:t>), is unnecessarily burdensome and redundant.</w:t>
      </w:r>
      <w:r>
        <w:rPr>
          <w:rStyle w:val="FootnoteReference"/>
          <w:b/>
          <w:bCs/>
        </w:rPr>
        <w:footnoteReference w:id="11"/>
      </w:r>
      <w:r>
        <w:t xml:space="preserve">  Intervenors argue that a California</w:t>
      </w:r>
      <w:r w:rsidR="00B61BA3">
        <w:noBreakHyphen/>
      </w:r>
      <w:r>
        <w:t>specific test is appropriate to evaluate T-Mobile’s compliance with California-specific conditions.</w:t>
      </w:r>
      <w:r>
        <w:rPr>
          <w:rStyle w:val="FootnoteReference"/>
          <w:b/>
          <w:bCs/>
        </w:rPr>
        <w:footnoteReference w:id="12"/>
      </w:r>
    </w:p>
    <w:p w:rsidR="001E1903" w:rsidP="001E1903" w:rsidRDefault="001E1903" w14:paraId="61CD095E" w14:textId="0F12FA9C">
      <w:pPr>
        <w:pStyle w:val="Standard"/>
        <w:rPr>
          <w:b/>
        </w:rPr>
      </w:pPr>
      <w:r>
        <w:t>Because the various tests use different approaches to measuring speed and coverage, it is likely that they could reach conflicting results.  For example, T</w:t>
      </w:r>
      <w:r w:rsidR="00B61BA3">
        <w:noBreakHyphen/>
      </w:r>
      <w:r>
        <w:t xml:space="preserve">Mobile might comply with the speed and coverage conditions of the decision according to the FCC drive test but fail to comply according to </w:t>
      </w:r>
      <w:proofErr w:type="spellStart"/>
      <w:r>
        <w:t>CalSPEED</w:t>
      </w:r>
      <w:proofErr w:type="spellEnd"/>
      <w:r>
        <w:t>.  On the other hand, as Cal Advocates and TURN point out, the Commission would only be able to compare T</w:t>
      </w:r>
      <w:r w:rsidR="00B61BA3">
        <w:noBreakHyphen/>
      </w:r>
      <w:r>
        <w:t xml:space="preserve">Mobile’s future performance with its past performance by using </w:t>
      </w:r>
      <w:proofErr w:type="spellStart"/>
      <w:r>
        <w:t>CalSPEED</w:t>
      </w:r>
      <w:proofErr w:type="spellEnd"/>
      <w:r>
        <w:t xml:space="preserve">.  </w:t>
      </w:r>
    </w:p>
    <w:p w:rsidR="001E1903" w:rsidP="001E1903" w:rsidRDefault="001E1903" w14:paraId="39AD79D9" w14:textId="39909B02">
      <w:pPr>
        <w:pStyle w:val="Standard"/>
        <w:rPr>
          <w:b/>
        </w:rPr>
      </w:pPr>
      <w:r>
        <w:t>On balance, while we recognize that there is a possibility of conflict between state and federal performance standards, we find that the benefits of measuring T-Mobile’s compliance with California</w:t>
      </w:r>
      <w:r w:rsidR="00B61BA3">
        <w:noBreakHyphen/>
      </w:r>
      <w:r>
        <w:t xml:space="preserve">specific conditions with the </w:t>
      </w:r>
      <w:proofErr w:type="spellStart"/>
      <w:r>
        <w:t>CalSPEED</w:t>
      </w:r>
      <w:proofErr w:type="spellEnd"/>
      <w:r>
        <w:t xml:space="preserve"> test outweigh the possible inconvenience of having the same activity measured two different ways.  While Joint Applicants raise the possibility of federal pre</w:t>
      </w:r>
      <w:r w:rsidR="00B61BA3">
        <w:noBreakHyphen/>
      </w:r>
      <w:r>
        <w:t xml:space="preserve">emption, we see no indication in the federal proceedings of an </w:t>
      </w:r>
      <w:r>
        <w:lastRenderedPageBreak/>
        <w:t>intention on the part of federal regulators to pre-empt state action in this area. Accordingly, Request No. 3 is declined.</w:t>
      </w:r>
    </w:p>
    <w:p w:rsidR="005939A5" w:rsidP="001E1903" w:rsidRDefault="005939A5" w14:paraId="4C00E9EA" w14:textId="77777777">
      <w:pPr>
        <w:pStyle w:val="Heading1"/>
        <w:numPr>
          <w:ilvl w:val="0"/>
          <w:numId w:val="1"/>
        </w:numPr>
      </w:pPr>
      <w:r>
        <w:t>Comments on Proposed Decision</w:t>
      </w:r>
      <w:bookmarkEnd w:id="4"/>
      <w:bookmarkEnd w:id="5"/>
    </w:p>
    <w:p w:rsidRPr="006E6574" w:rsidR="005939A5" w:rsidP="006E6574" w:rsidRDefault="001E1903" w14:paraId="5A1A8C8C" w14:textId="1498AC66">
      <w:pPr>
        <w:pStyle w:val="Standard"/>
      </w:pPr>
      <w:bookmarkStart w:name="_Toc42619816" w:id="6"/>
      <w:r>
        <w:t>The proposed decision of the Commissioner in this matter was mailed to</w:t>
      </w:r>
      <w:bookmarkEnd w:id="6"/>
      <w:r>
        <w:t xml:space="preserve"> </w:t>
      </w:r>
      <w:bookmarkStart w:name="_Toc42619817" w:id="7"/>
      <w:r>
        <w:t>the parties in accordance with Pub. Util. Code section 311 and comments were allowed</w:t>
      </w:r>
      <w:bookmarkEnd w:id="7"/>
      <w:r>
        <w:t xml:space="preserve"> </w:t>
      </w:r>
      <w:bookmarkStart w:name="_Toc42619818" w:id="8"/>
      <w:r>
        <w:t>under Rule 14.3 of the Commission’s Rules of Practice and Procedure.</w:t>
      </w:r>
      <w:bookmarkEnd w:id="8"/>
      <w:r>
        <w:t xml:space="preserve">  </w:t>
      </w:r>
      <w:bookmarkStart w:name="_Toc42619819" w:id="9"/>
      <w:r w:rsidR="00866340">
        <w:t>No c</w:t>
      </w:r>
      <w:r>
        <w:t>omments</w:t>
      </w:r>
      <w:r w:rsidR="00866340">
        <w:t xml:space="preserve"> were received.  No r</w:t>
      </w:r>
      <w:r>
        <w:t xml:space="preserve">eply comments were </w:t>
      </w:r>
      <w:r w:rsidR="00866340">
        <w:t>received</w:t>
      </w:r>
      <w:bookmarkStart w:name="_Toc42619820" w:id="10"/>
      <w:bookmarkEnd w:id="9"/>
      <w:r>
        <w:t>.</w:t>
      </w:r>
      <w:bookmarkEnd w:id="10"/>
    </w:p>
    <w:p w:rsidR="005939A5" w:rsidP="001E1903" w:rsidRDefault="005939A5" w14:paraId="478ECF32" w14:textId="77777777">
      <w:pPr>
        <w:pStyle w:val="Heading1"/>
        <w:numPr>
          <w:ilvl w:val="0"/>
          <w:numId w:val="1"/>
        </w:numPr>
      </w:pPr>
      <w:bookmarkStart w:name="_Toc8123724" w:id="11"/>
      <w:bookmarkStart w:name="_Toc12866694" w:id="12"/>
      <w:r>
        <w:t>Assignment of Proceeding</w:t>
      </w:r>
      <w:bookmarkEnd w:id="11"/>
      <w:bookmarkEnd w:id="12"/>
    </w:p>
    <w:p w:rsidR="005939A5" w:rsidP="006E6574" w:rsidRDefault="001E1903" w14:paraId="4CAF8010" w14:textId="7167786B">
      <w:pPr>
        <w:pStyle w:val="Standard"/>
      </w:pPr>
      <w:r>
        <w:rPr>
          <w:bCs/>
        </w:rPr>
        <w:t>Clifford Rechtschaffen</w:t>
      </w:r>
      <w:r w:rsidR="005939A5">
        <w:t xml:space="preserve"> is the assigned Commissioner and </w:t>
      </w:r>
      <w:r>
        <w:rPr>
          <w:bCs/>
        </w:rPr>
        <w:t>Karl</w:t>
      </w:r>
      <w:r w:rsidR="00202540">
        <w:rPr>
          <w:bCs/>
        </w:rPr>
        <w:t> </w:t>
      </w:r>
      <w:r>
        <w:rPr>
          <w:bCs/>
        </w:rPr>
        <w:t>J.</w:t>
      </w:r>
      <w:r w:rsidR="00202540">
        <w:rPr>
          <w:bCs/>
        </w:rPr>
        <w:t> </w:t>
      </w:r>
      <w:r>
        <w:rPr>
          <w:bCs/>
        </w:rPr>
        <w:t>Bemesderfer</w:t>
      </w:r>
      <w:r w:rsidR="005939A5">
        <w:t xml:space="preserve"> is the assigned ALJ in this proceeding.</w:t>
      </w:r>
    </w:p>
    <w:p w:rsidR="00202540" w:rsidP="00202540" w:rsidRDefault="00202540" w14:paraId="690B8155" w14:textId="77777777">
      <w:pPr>
        <w:pStyle w:val="Dummy"/>
      </w:pPr>
      <w:r>
        <w:t>Findings of Fact</w:t>
      </w:r>
    </w:p>
    <w:p w:rsidR="00202540" w:rsidP="00202540" w:rsidRDefault="00202540" w14:paraId="3D0130FC" w14:textId="365883C5">
      <w:pPr>
        <w:pStyle w:val="FoF"/>
      </w:pPr>
      <w:r w:rsidRPr="00202540">
        <w:t>D.20</w:t>
      </w:r>
      <w:r w:rsidR="00964B2D">
        <w:noBreakHyphen/>
      </w:r>
      <w:r w:rsidRPr="00202540">
        <w:t>04</w:t>
      </w:r>
      <w:r w:rsidR="00964B2D">
        <w:noBreakHyphen/>
      </w:r>
      <w:r w:rsidRPr="00202540">
        <w:t>008, approving T</w:t>
      </w:r>
      <w:r w:rsidR="00964B2D">
        <w:noBreakHyphen/>
      </w:r>
      <w:r w:rsidRPr="00202540">
        <w:t>Mobile’s acquisition of Sprint, was issued on April</w:t>
      </w:r>
      <w:r w:rsidR="00B61BA3">
        <w:t> </w:t>
      </w:r>
      <w:r w:rsidRPr="00202540">
        <w:t>16,</w:t>
      </w:r>
      <w:r w:rsidR="00B61BA3">
        <w:t> </w:t>
      </w:r>
      <w:r w:rsidRPr="00202540">
        <w:t>2020.</w:t>
      </w:r>
    </w:p>
    <w:p w:rsidR="00945E3A" w:rsidP="00202540" w:rsidRDefault="00945E3A" w14:paraId="7CC3E82A" w14:textId="2E5BDB7B">
      <w:pPr>
        <w:pStyle w:val="FoF"/>
      </w:pPr>
      <w:r>
        <w:t>The Petition for Modification was filed within one year of the issuance of D.20-04-008.</w:t>
      </w:r>
    </w:p>
    <w:p w:rsidRPr="000E7C43" w:rsidR="00202540" w:rsidP="00202540" w:rsidRDefault="000E7C43" w14:paraId="62209F37" w14:textId="4F302850">
      <w:pPr>
        <w:pStyle w:val="FoF"/>
      </w:pPr>
      <w:r>
        <w:t xml:space="preserve">The last date for filing an Application </w:t>
      </w:r>
      <w:r w:rsidR="00060B30">
        <w:t>f</w:t>
      </w:r>
      <w:r>
        <w:t xml:space="preserve">or Rehearing was </w:t>
      </w:r>
      <w:r w:rsidRPr="00697244">
        <w:t>May</w:t>
      </w:r>
      <w:r>
        <w:t> </w:t>
      </w:r>
      <w:r w:rsidRPr="00697244">
        <w:t>7</w:t>
      </w:r>
      <w:r>
        <w:t xml:space="preserve">, 2020. </w:t>
      </w:r>
    </w:p>
    <w:p w:rsidRPr="00202540" w:rsidR="000E7C43" w:rsidP="00202540" w:rsidRDefault="000E7C43" w14:paraId="44378FDD" w14:textId="13927EF6">
      <w:pPr>
        <w:pStyle w:val="FoF"/>
      </w:pPr>
      <w:r>
        <w:t>Joint Applicants did not file an A</w:t>
      </w:r>
      <w:r w:rsidR="009736CB">
        <w:t xml:space="preserve">pplication </w:t>
      </w:r>
      <w:r w:rsidR="00060B30">
        <w:t>f</w:t>
      </w:r>
      <w:r w:rsidR="009736CB">
        <w:t xml:space="preserve">or </w:t>
      </w:r>
      <w:r>
        <w:t>R</w:t>
      </w:r>
      <w:r w:rsidR="009736CB">
        <w:t>ehearing.</w:t>
      </w:r>
    </w:p>
    <w:p w:rsidRPr="00202540" w:rsidR="00202540" w:rsidP="00202540" w:rsidRDefault="00202540" w14:paraId="266BA595" w14:textId="072A75C0">
      <w:pPr>
        <w:pStyle w:val="FoF"/>
        <w:ind w:firstLine="547"/>
      </w:pPr>
      <w:r w:rsidRPr="00202540">
        <w:rPr>
          <w:bCs/>
        </w:rPr>
        <w:t>T</w:t>
      </w:r>
      <w:r w:rsidR="00964B2D">
        <w:rPr>
          <w:bCs/>
        </w:rPr>
        <w:noBreakHyphen/>
      </w:r>
      <w:r w:rsidRPr="00202540">
        <w:rPr>
          <w:bCs/>
        </w:rPr>
        <w:t>Mobile has pledged to complete roll</w:t>
      </w:r>
      <w:r w:rsidR="00964B2D">
        <w:rPr>
          <w:bCs/>
        </w:rPr>
        <w:noBreakHyphen/>
      </w:r>
      <w:r w:rsidRPr="00202540">
        <w:rPr>
          <w:bCs/>
        </w:rPr>
        <w:t>out of its 5G network in California within six</w:t>
      </w:r>
      <w:r w:rsidR="00B61BA3">
        <w:rPr>
          <w:bCs/>
        </w:rPr>
        <w:t> </w:t>
      </w:r>
      <w:r w:rsidRPr="00202540">
        <w:rPr>
          <w:bCs/>
        </w:rPr>
        <w:t>years of the date of the Commission’s final approval of the merger.</w:t>
      </w:r>
    </w:p>
    <w:p w:rsidRPr="00202540" w:rsidR="00202540" w:rsidP="00202540" w:rsidRDefault="00202540" w14:paraId="0AD73721" w14:textId="666922CF">
      <w:pPr>
        <w:pStyle w:val="FoF"/>
        <w:ind w:firstLine="547"/>
      </w:pPr>
      <w:proofErr w:type="spellStart"/>
      <w:r w:rsidRPr="00202540">
        <w:rPr>
          <w:bCs/>
        </w:rPr>
        <w:t>CalSPEED</w:t>
      </w:r>
      <w:proofErr w:type="spellEnd"/>
      <w:r w:rsidRPr="00202540">
        <w:rPr>
          <w:bCs/>
        </w:rPr>
        <w:t xml:space="preserve"> testing provides Commission staff with unique information that is useful in measuring T</w:t>
      </w:r>
      <w:r w:rsidR="00B61BA3">
        <w:rPr>
          <w:bCs/>
        </w:rPr>
        <w:noBreakHyphen/>
      </w:r>
      <w:r w:rsidRPr="00202540">
        <w:rPr>
          <w:bCs/>
        </w:rPr>
        <w:t>Mobile’s compliance with its speed and coverage commitments.</w:t>
      </w:r>
    </w:p>
    <w:p w:rsidR="005939A5" w:rsidP="005939A5" w:rsidRDefault="005939A5" w14:paraId="3755F855" w14:textId="77777777">
      <w:pPr>
        <w:pStyle w:val="Dummy"/>
      </w:pPr>
      <w:bookmarkStart w:name="_Toc8123726" w:id="13"/>
      <w:bookmarkStart w:name="_Toc12866696" w:id="14"/>
      <w:r>
        <w:t>Conclusions of Law</w:t>
      </w:r>
      <w:bookmarkEnd w:id="13"/>
      <w:bookmarkEnd w:id="14"/>
    </w:p>
    <w:p w:rsidR="00202540" w:rsidP="00202540" w:rsidRDefault="00202540" w14:paraId="2B9E8F32" w14:textId="1EA4ACE3">
      <w:pPr>
        <w:pStyle w:val="CoL"/>
      </w:pPr>
      <w:r>
        <w:rPr>
          <w:bCs/>
        </w:rPr>
        <w:t>Allegations that the Commission has committed legal error are appropriately raised in an Application for Rehearing rather than in a Petition for Modification</w:t>
      </w:r>
      <w:r>
        <w:t>.</w:t>
      </w:r>
    </w:p>
    <w:p w:rsidR="00202540" w:rsidP="000A6E05" w:rsidRDefault="00B61BA3" w14:paraId="5D5DC9A3" w14:textId="2FE6EF1B">
      <w:pPr>
        <w:pStyle w:val="CoL"/>
      </w:pPr>
      <w:r>
        <w:rPr>
          <w:bCs/>
        </w:rPr>
        <w:lastRenderedPageBreak/>
        <w:t>The allegation that the Commission lacks legal authority to order T-Mobile to hire people is a claim of legal error</w:t>
      </w:r>
      <w:r w:rsidR="00202540">
        <w:t>.</w:t>
      </w:r>
      <w:bookmarkStart w:name="_Toc12866697" w:id="15"/>
    </w:p>
    <w:p w:rsidR="00202540" w:rsidP="00A10A9D" w:rsidRDefault="00202540" w14:paraId="07ADE8BB" w14:textId="080E77E0">
      <w:pPr>
        <w:pStyle w:val="Mainex"/>
      </w:pPr>
      <w:r w:rsidRPr="00A10A9D">
        <w:t>ORDER</w:t>
      </w:r>
    </w:p>
    <w:p w:rsidRPr="00202540" w:rsidR="00202540" w:rsidP="00202540" w:rsidRDefault="00202540" w14:paraId="2E1972BD" w14:textId="65445724">
      <w:pPr>
        <w:keepNext/>
        <w:spacing w:after="120"/>
      </w:pPr>
      <w:r w:rsidRPr="00BB0243">
        <w:rPr>
          <w:b/>
        </w:rPr>
        <w:t>IT IS ORDERED</w:t>
      </w:r>
      <w:r>
        <w:t xml:space="preserve"> that:</w:t>
      </w:r>
    </w:p>
    <w:bookmarkEnd w:id="15"/>
    <w:p w:rsidR="00202540" w:rsidP="00202540" w:rsidRDefault="00B61BA3" w14:paraId="042E3B1F" w14:textId="67B8F360">
      <w:pPr>
        <w:pStyle w:val="OP"/>
        <w:rPr>
          <w:b/>
        </w:rPr>
      </w:pPr>
      <w:r>
        <w:rPr>
          <w:bCs/>
        </w:rPr>
        <w:t>T-Mobile’s request to modify Decision</w:t>
      </w:r>
      <w:r w:rsidR="00964B2D">
        <w:rPr>
          <w:bCs/>
        </w:rPr>
        <w:t> </w:t>
      </w:r>
      <w:r>
        <w:rPr>
          <w:bCs/>
        </w:rPr>
        <w:t>20</w:t>
      </w:r>
      <w:r>
        <w:rPr>
          <w:bCs/>
        </w:rPr>
        <w:noBreakHyphen/>
        <w:t>04</w:t>
      </w:r>
      <w:r>
        <w:rPr>
          <w:bCs/>
        </w:rPr>
        <w:noBreakHyphen/>
        <w:t>008 by removing therefrom the order that T-Mobile hire an additional 1,000 employees is denied as a claim of legal error that is inappropriately raised in a Petition for Modification</w:t>
      </w:r>
      <w:r w:rsidR="00202540">
        <w:t>.</w:t>
      </w:r>
    </w:p>
    <w:p w:rsidR="00B61BA3" w:rsidP="00202540" w:rsidRDefault="00B61BA3" w14:paraId="37881BE4" w14:textId="49255A0D">
      <w:pPr>
        <w:pStyle w:val="OP"/>
        <w:rPr>
          <w:bCs/>
        </w:rPr>
      </w:pPr>
      <w:r>
        <w:rPr>
          <w:bCs/>
        </w:rPr>
        <w:t>T-Mobile’s request to modify Decision</w:t>
      </w:r>
      <w:r w:rsidR="00964B2D">
        <w:rPr>
          <w:bCs/>
        </w:rPr>
        <w:t> </w:t>
      </w:r>
      <w:r>
        <w:rPr>
          <w:bCs/>
        </w:rPr>
        <w:t>20</w:t>
      </w:r>
      <w:r>
        <w:rPr>
          <w:bCs/>
        </w:rPr>
        <w:noBreakHyphen/>
        <w:t>04</w:t>
      </w:r>
      <w:r>
        <w:rPr>
          <w:bCs/>
        </w:rPr>
        <w:noBreakHyphen/>
        <w:t xml:space="preserve">008 by removing therefrom the requirement that T-Mobile’s compliance with its speed and coverage commitments shall be measured using the Commission’s </w:t>
      </w:r>
      <w:proofErr w:type="spellStart"/>
      <w:r>
        <w:rPr>
          <w:bCs/>
        </w:rPr>
        <w:t>CalSPEED</w:t>
      </w:r>
      <w:proofErr w:type="spellEnd"/>
      <w:r>
        <w:rPr>
          <w:bCs/>
        </w:rPr>
        <w:t xml:space="preserve"> tool is denied.</w:t>
      </w:r>
    </w:p>
    <w:p w:rsidR="00B61BA3" w:rsidP="00202540" w:rsidRDefault="00B61BA3" w14:paraId="5CB68B89" w14:textId="47E99EFF">
      <w:pPr>
        <w:pStyle w:val="OP"/>
        <w:rPr>
          <w:bCs/>
        </w:rPr>
      </w:pPr>
      <w:r>
        <w:rPr>
          <w:bCs/>
        </w:rPr>
        <w:t>T-Mobile’s request to modify Decision</w:t>
      </w:r>
      <w:r w:rsidR="00964B2D">
        <w:rPr>
          <w:bCs/>
        </w:rPr>
        <w:t> </w:t>
      </w:r>
      <w:r>
        <w:rPr>
          <w:bCs/>
        </w:rPr>
        <w:t>20</w:t>
      </w:r>
      <w:r>
        <w:rPr>
          <w:bCs/>
        </w:rPr>
        <w:noBreakHyphen/>
        <w:t>04</w:t>
      </w:r>
      <w:r>
        <w:rPr>
          <w:bCs/>
        </w:rPr>
        <w:noBreakHyphen/>
        <w:t>008 by extending the date for full compliance with its speed and coverage commitments to year-end 2026 is granted</w:t>
      </w:r>
    </w:p>
    <w:p w:rsidR="00202540" w:rsidP="00202540" w:rsidRDefault="00B61BA3" w14:paraId="6E69A16A" w14:textId="2FD23187">
      <w:pPr>
        <w:pStyle w:val="OP"/>
        <w:rPr>
          <w:bCs/>
        </w:rPr>
      </w:pPr>
      <w:r>
        <w:rPr>
          <w:bCs/>
        </w:rPr>
        <w:t>This decision is effective immediately</w:t>
      </w:r>
      <w:r w:rsidRPr="00202540" w:rsidR="00202540">
        <w:rPr>
          <w:bCs/>
        </w:rPr>
        <w:t>.</w:t>
      </w:r>
    </w:p>
    <w:p w:rsidR="008F0116" w:rsidP="008F0116" w:rsidRDefault="008F0116" w14:paraId="4FD7E6CE" w14:textId="77777777">
      <w:r>
        <w:t>This order is effective today.</w:t>
      </w:r>
    </w:p>
    <w:p w:rsidR="00714CF2" w:rsidP="006F6525" w:rsidRDefault="008F0116" w14:paraId="28BE4AB9" w14:textId="51869DD8">
      <w:r>
        <w:t xml:space="preserve">Dated </w:t>
      </w:r>
      <w:r w:rsidR="009C3DFC">
        <w:t xml:space="preserve">November 19, 2020, </w:t>
      </w:r>
      <w:r>
        <w:t>at San Francisco, California</w:t>
      </w:r>
      <w:r w:rsidR="00FF110C">
        <w:t>.</w:t>
      </w:r>
    </w:p>
    <w:p w:rsidR="009C3DFC" w:rsidP="009C3DFC" w:rsidRDefault="009C3DFC" w14:paraId="346239F7" w14:textId="3756920C">
      <w:pPr>
        <w:spacing w:line="240" w:lineRule="auto"/>
      </w:pPr>
    </w:p>
    <w:p w:rsidR="009C3DFC" w:rsidP="009C3DFC" w:rsidRDefault="009C3DFC" w14:paraId="0E8E8FAE" w14:textId="77777777">
      <w:pPr>
        <w:keepNext/>
        <w:keepLines/>
        <w:spacing w:line="240" w:lineRule="auto"/>
      </w:pPr>
    </w:p>
    <w:p w:rsidRPr="005536B0" w:rsidR="009C3DFC" w:rsidP="009C3DFC" w:rsidRDefault="009C3DFC" w14:paraId="0E2ABF3C" w14:textId="77777777">
      <w:pPr>
        <w:autoSpaceDE w:val="0"/>
        <w:autoSpaceDN w:val="0"/>
        <w:adjustRightInd w:val="0"/>
        <w:spacing w:line="240" w:lineRule="auto"/>
        <w:ind w:left="4320" w:firstLine="0"/>
        <w:jc w:val="both"/>
        <w:rPr>
          <w:rFonts w:cs="Palatino"/>
          <w:szCs w:val="26"/>
        </w:rPr>
      </w:pPr>
      <w:r w:rsidRPr="005536B0">
        <w:rPr>
          <w:rFonts w:cs="Courier New"/>
          <w:szCs w:val="26"/>
        </w:rPr>
        <w:t>MARYBEL BATJER</w:t>
      </w:r>
    </w:p>
    <w:p w:rsidRPr="005536B0" w:rsidR="009C3DFC" w:rsidP="009C3DFC" w:rsidRDefault="009C3DFC" w14:paraId="18F71D0B" w14:textId="77777777">
      <w:pPr>
        <w:autoSpaceDE w:val="0"/>
        <w:autoSpaceDN w:val="0"/>
        <w:adjustRightInd w:val="0"/>
        <w:spacing w:line="240" w:lineRule="auto"/>
        <w:jc w:val="both"/>
        <w:rPr>
          <w:rFonts w:cs="Palatino"/>
          <w:szCs w:val="26"/>
        </w:rPr>
      </w:pPr>
      <w:r w:rsidRPr="005536B0">
        <w:rPr>
          <w:rFonts w:cs="Palatino"/>
          <w:szCs w:val="26"/>
        </w:rPr>
        <w:tab/>
      </w:r>
      <w:r w:rsidRPr="005536B0">
        <w:rPr>
          <w:rFonts w:cs="Palatino"/>
          <w:szCs w:val="26"/>
        </w:rPr>
        <w:tab/>
      </w:r>
      <w:r w:rsidRPr="005536B0">
        <w:rPr>
          <w:rFonts w:cs="Palatino"/>
          <w:szCs w:val="26"/>
        </w:rPr>
        <w:tab/>
      </w:r>
      <w:r w:rsidRPr="005536B0">
        <w:rPr>
          <w:rFonts w:cs="Palatino"/>
          <w:szCs w:val="26"/>
        </w:rPr>
        <w:tab/>
      </w:r>
      <w:r w:rsidRPr="005536B0">
        <w:rPr>
          <w:rFonts w:cs="Palatino"/>
          <w:szCs w:val="26"/>
        </w:rPr>
        <w:tab/>
        <w:t xml:space="preserve">                       President</w:t>
      </w:r>
    </w:p>
    <w:p w:rsidRPr="005536B0" w:rsidR="009C3DFC" w:rsidP="009C3DFC" w:rsidRDefault="009C3DFC" w14:paraId="5B21E3F8" w14:textId="77777777">
      <w:pPr>
        <w:autoSpaceDE w:val="0"/>
        <w:autoSpaceDN w:val="0"/>
        <w:adjustRightInd w:val="0"/>
        <w:spacing w:line="240" w:lineRule="auto"/>
        <w:ind w:left="4320" w:firstLine="0"/>
        <w:jc w:val="both"/>
        <w:rPr>
          <w:rFonts w:cs="Courier New"/>
          <w:szCs w:val="26"/>
        </w:rPr>
      </w:pPr>
      <w:r w:rsidRPr="005536B0">
        <w:rPr>
          <w:rFonts w:cs="Courier New"/>
          <w:szCs w:val="26"/>
        </w:rPr>
        <w:t>LIANE M. RANDOLPH</w:t>
      </w:r>
    </w:p>
    <w:p w:rsidRPr="005536B0" w:rsidR="009C3DFC" w:rsidP="009C3DFC" w:rsidRDefault="009C3DFC" w14:paraId="3E338B0B" w14:textId="77777777">
      <w:pPr>
        <w:autoSpaceDE w:val="0"/>
        <w:autoSpaceDN w:val="0"/>
        <w:adjustRightInd w:val="0"/>
        <w:spacing w:line="240" w:lineRule="auto"/>
        <w:ind w:left="4320" w:firstLine="0"/>
        <w:jc w:val="both"/>
        <w:rPr>
          <w:rFonts w:ascii="Times New Roman" w:hAnsi="Times New Roman" w:cs="Times New Roman"/>
          <w:sz w:val="28"/>
          <w:szCs w:val="28"/>
        </w:rPr>
      </w:pPr>
      <w:r w:rsidRPr="005536B0">
        <w:rPr>
          <w:rFonts w:ascii="Times New Roman" w:hAnsi="Times New Roman" w:cs="Times New Roman"/>
          <w:sz w:val="28"/>
          <w:szCs w:val="28"/>
        </w:rPr>
        <w:t>MARTHA GUZMAN ACEVES</w:t>
      </w:r>
    </w:p>
    <w:p w:rsidRPr="005536B0" w:rsidR="009C3DFC" w:rsidP="009C3DFC" w:rsidRDefault="009C3DFC" w14:paraId="5A69F8B1" w14:textId="77777777">
      <w:pPr>
        <w:autoSpaceDE w:val="0"/>
        <w:autoSpaceDN w:val="0"/>
        <w:adjustRightInd w:val="0"/>
        <w:spacing w:line="240" w:lineRule="auto"/>
        <w:ind w:left="4320" w:firstLine="0"/>
        <w:jc w:val="both"/>
        <w:rPr>
          <w:rFonts w:cs="Times New Roman"/>
          <w:sz w:val="28"/>
          <w:szCs w:val="28"/>
        </w:rPr>
      </w:pPr>
      <w:r w:rsidRPr="005536B0">
        <w:rPr>
          <w:rFonts w:cs="Times New Roman"/>
          <w:sz w:val="28"/>
          <w:szCs w:val="28"/>
        </w:rPr>
        <w:t>CLIFFORD RECHTSCHAFFEN</w:t>
      </w:r>
    </w:p>
    <w:p w:rsidRPr="005536B0" w:rsidR="009C3DFC" w:rsidP="009C3DFC" w:rsidRDefault="009C3DFC" w14:paraId="2E767405" w14:textId="77777777">
      <w:pPr>
        <w:autoSpaceDE w:val="0"/>
        <w:autoSpaceDN w:val="0"/>
        <w:adjustRightInd w:val="0"/>
        <w:spacing w:line="240" w:lineRule="auto"/>
        <w:ind w:left="4320" w:firstLine="0"/>
        <w:jc w:val="both"/>
        <w:rPr>
          <w:rFonts w:cs="Times New Roman"/>
          <w:sz w:val="28"/>
          <w:szCs w:val="28"/>
        </w:rPr>
      </w:pPr>
      <w:r w:rsidRPr="005536B0">
        <w:rPr>
          <w:rFonts w:cs="Times New Roman"/>
          <w:sz w:val="28"/>
          <w:szCs w:val="28"/>
        </w:rPr>
        <w:t>GENEVIEVE SHIROMA</w:t>
      </w:r>
    </w:p>
    <w:p w:rsidR="009C3DFC" w:rsidP="009C3DFC" w:rsidRDefault="009C3DFC" w14:paraId="114DB5DE" w14:textId="77777777">
      <w:pPr>
        <w:pStyle w:val="ALJBodyText"/>
        <w:spacing w:line="240" w:lineRule="auto"/>
        <w:jc w:val="right"/>
      </w:pPr>
      <w:r w:rsidRPr="005536B0">
        <w:rPr>
          <w:rFonts w:cs="Palatino"/>
          <w:szCs w:val="26"/>
        </w:rPr>
        <w:t xml:space="preserve">                 Commissioners</w:t>
      </w:r>
      <w:r>
        <w:tab/>
      </w:r>
      <w:r>
        <w:tab/>
      </w:r>
    </w:p>
    <w:p w:rsidRPr="00714CF2" w:rsidR="009C3DFC" w:rsidP="006F6525" w:rsidRDefault="009C3DFC" w14:paraId="0F2D9D9F" w14:textId="77777777"/>
    <w:sectPr w:rsidRPr="00714CF2" w:rsidR="009C3DFC" w:rsidSect="002605FA">
      <w:headerReference w:type="default" r:id="rId14"/>
      <w:footerReference w:type="default" r:id="rId15"/>
      <w:headerReference w:type="first" r:id="rId16"/>
      <w:footerReference w:type="first" r:id="rId17"/>
      <w:type w:val="continuous"/>
      <w:pgSz w:w="12240" w:h="15840" w:code="1"/>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29CE" w14:textId="77777777" w:rsidR="007364C2" w:rsidRDefault="007364C2" w:rsidP="0098138E">
      <w:pPr>
        <w:spacing w:line="240" w:lineRule="auto"/>
      </w:pPr>
      <w:r>
        <w:separator/>
      </w:r>
    </w:p>
  </w:endnote>
  <w:endnote w:type="continuationSeparator" w:id="0">
    <w:p w14:paraId="64ACC353" w14:textId="77777777" w:rsidR="007364C2" w:rsidRDefault="007364C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3E462" w14:textId="458A8DBB" w:rsidR="00B61979" w:rsidRDefault="00B61979" w:rsidP="00B61979">
    <w:pPr>
      <w:tabs>
        <w:tab w:val="center" w:pos="4680"/>
      </w:tabs>
      <w:ind w:firstLine="0"/>
    </w:pPr>
    <w:r w:rsidRPr="00B61979">
      <w:rPr>
        <w:sz w:val="16"/>
        <w:szCs w:val="16"/>
      </w:rPr>
      <w:t>348579063</w:t>
    </w:r>
    <w: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CE969" w14:textId="12C6BE8A" w:rsidR="00123183" w:rsidRPr="00123183" w:rsidRDefault="000514DB" w:rsidP="00123183">
    <w:pPr>
      <w:pStyle w:val="Footer"/>
      <w:ind w:firstLine="0"/>
      <w:rPr>
        <w:sz w:val="16"/>
        <w:szCs w:val="16"/>
      </w:rPr>
    </w:pPr>
    <w:r w:rsidRPr="000514DB">
      <w:rPr>
        <w:sz w:val="16"/>
        <w:szCs w:val="16"/>
      </w:rPr>
      <w:t>351799867</w:t>
    </w:r>
    <w:r w:rsidR="00123183">
      <w:rPr>
        <w:sz w:val="16"/>
        <w:szCs w:val="16"/>
      </w:rPr>
      <w:tab/>
      <w:t>-</w:t>
    </w:r>
    <w:r w:rsidR="00123183" w:rsidRPr="00123183">
      <w:rPr>
        <w:sz w:val="24"/>
        <w:szCs w:val="24"/>
      </w:rPr>
      <w:fldChar w:fldCharType="begin"/>
    </w:r>
    <w:r w:rsidR="00123183" w:rsidRPr="00123183">
      <w:rPr>
        <w:sz w:val="24"/>
        <w:szCs w:val="24"/>
      </w:rPr>
      <w:instrText xml:space="preserve"> PAGE   \* MERGEFORMAT </w:instrText>
    </w:r>
    <w:r w:rsidR="00123183" w:rsidRPr="00123183">
      <w:rPr>
        <w:sz w:val="24"/>
        <w:szCs w:val="24"/>
      </w:rPr>
      <w:fldChar w:fldCharType="separate"/>
    </w:r>
    <w:r w:rsidR="00123183" w:rsidRPr="00123183">
      <w:rPr>
        <w:noProof/>
        <w:sz w:val="24"/>
        <w:szCs w:val="24"/>
      </w:rPr>
      <w:t>1</w:t>
    </w:r>
    <w:r w:rsidR="00123183" w:rsidRPr="00123183">
      <w:rPr>
        <w:noProof/>
        <w:sz w:val="24"/>
        <w:szCs w:val="24"/>
      </w:rPr>
      <w:fldChar w:fldCharType="end"/>
    </w:r>
    <w:r w:rsidR="00123183">
      <w:rPr>
        <w:noProof/>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123AA" w14:textId="7B8F1F12" w:rsidR="00B61979" w:rsidRPr="00A10A9D" w:rsidRDefault="00A10A9D" w:rsidP="00A10A9D">
    <w:pPr>
      <w:pStyle w:val="Footer"/>
    </w:pPr>
    <w:r>
      <w:tab/>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177B5" w14:textId="48CC44FF" w:rsidR="00B61979" w:rsidRPr="00A10A9D" w:rsidRDefault="00A10A9D" w:rsidP="00A10A9D">
    <w:pPr>
      <w:pStyle w:val="Footer"/>
      <w:tabs>
        <w:tab w:val="clear" w:pos="9360"/>
        <w:tab w:val="left" w:pos="5550"/>
      </w:tabs>
    </w:pPr>
    <w: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54C7C" w14:textId="77777777" w:rsidR="007364C2" w:rsidRDefault="007364C2" w:rsidP="00DF58E7">
      <w:pPr>
        <w:spacing w:line="240" w:lineRule="auto"/>
        <w:ind w:firstLine="0"/>
      </w:pPr>
      <w:r>
        <w:separator/>
      </w:r>
    </w:p>
  </w:footnote>
  <w:footnote w:type="continuationSeparator" w:id="0">
    <w:p w14:paraId="29BB4969" w14:textId="77777777" w:rsidR="007364C2" w:rsidRDefault="007364C2" w:rsidP="00DF58E7">
      <w:pPr>
        <w:spacing w:line="240" w:lineRule="auto"/>
        <w:ind w:firstLine="0"/>
      </w:pPr>
      <w:r>
        <w:continuationSeparator/>
      </w:r>
    </w:p>
  </w:footnote>
  <w:footnote w:type="continuationNotice" w:id="1">
    <w:p w14:paraId="32286CC8" w14:textId="77777777" w:rsidR="007364C2" w:rsidRPr="00DF58E7" w:rsidRDefault="007364C2"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0B24DC5" w14:textId="55595C35" w:rsidR="001E1903" w:rsidRPr="00697244" w:rsidRDefault="001E1903" w:rsidP="00697244">
      <w:pPr>
        <w:pStyle w:val="xmsonormal"/>
        <w:spacing w:after="120"/>
        <w:rPr>
          <w:rFonts w:ascii="Book Antiqua" w:hAnsi="Book Antiqua"/>
        </w:rPr>
      </w:pPr>
      <w:r>
        <w:rPr>
          <w:rStyle w:val="FootnoteReference"/>
        </w:rPr>
        <w:footnoteRef/>
      </w:r>
      <w:r>
        <w:t xml:space="preserve"> </w:t>
      </w:r>
      <w:r w:rsidR="00697244">
        <w:t xml:space="preserve"> </w:t>
      </w:r>
      <w:r w:rsidRPr="00697244">
        <w:rPr>
          <w:rFonts w:ascii="Book Antiqua" w:hAnsi="Book Antiqua"/>
          <w:color w:val="000000"/>
        </w:rPr>
        <w:t>Rule</w:t>
      </w:r>
      <w:r w:rsidR="00697244">
        <w:rPr>
          <w:rFonts w:ascii="Book Antiqua" w:hAnsi="Book Antiqua"/>
          <w:color w:val="000000"/>
        </w:rPr>
        <w:t> </w:t>
      </w:r>
      <w:r w:rsidRPr="00697244">
        <w:rPr>
          <w:rFonts w:ascii="Book Antiqua" w:hAnsi="Book Antiqua"/>
          <w:color w:val="000000"/>
        </w:rPr>
        <w:t>16.1(c) states in relevant part - "The purpose of an application for rehearing is to alert the Commission to a legal error, so that the Commission may correct it expeditiously.....an application for rehearing ... is the vehicle to request rehearing and preserve a party's appellate rights."</w:t>
      </w:r>
    </w:p>
  </w:footnote>
  <w:footnote w:id="3">
    <w:p w14:paraId="5AE760AD" w14:textId="14BB9913" w:rsidR="001E1903" w:rsidRPr="00697244" w:rsidRDefault="001E1903" w:rsidP="00697244">
      <w:pPr>
        <w:pStyle w:val="xmsonormal"/>
        <w:spacing w:after="120"/>
        <w:rPr>
          <w:rFonts w:ascii="Book Antiqua" w:hAnsi="Book Antiqua"/>
        </w:rPr>
      </w:pPr>
      <w:r w:rsidRPr="00697244">
        <w:rPr>
          <w:rStyle w:val="FootnoteReference"/>
          <w:rFonts w:ascii="Book Antiqua" w:hAnsi="Book Antiqua"/>
        </w:rPr>
        <w:footnoteRef/>
      </w:r>
      <w:r w:rsidRPr="00697244">
        <w:rPr>
          <w:rFonts w:ascii="Book Antiqua" w:hAnsi="Book Antiqua"/>
        </w:rPr>
        <w:t xml:space="preserve"> </w:t>
      </w:r>
      <w:r w:rsidR="00697244">
        <w:rPr>
          <w:rFonts w:ascii="Book Antiqua" w:hAnsi="Book Antiqua"/>
        </w:rPr>
        <w:t xml:space="preserve"> </w:t>
      </w:r>
      <w:r w:rsidRPr="00697244">
        <w:rPr>
          <w:rFonts w:ascii="Book Antiqua" w:hAnsi="Book Antiqua"/>
          <w:color w:val="000000"/>
        </w:rPr>
        <w:t>Rule</w:t>
      </w:r>
      <w:r w:rsidR="00697244">
        <w:rPr>
          <w:rFonts w:ascii="Book Antiqua" w:hAnsi="Book Antiqua"/>
          <w:color w:val="000000"/>
        </w:rPr>
        <w:t> </w:t>
      </w:r>
      <w:r w:rsidRPr="00697244">
        <w:rPr>
          <w:rFonts w:ascii="Book Antiqua" w:hAnsi="Book Antiqua"/>
          <w:color w:val="000000"/>
        </w:rPr>
        <w:t>16.4(b) states - "A petition for modification of a Commission decision must concisely state the justification for the requested relief and must propose specific wording to carry out all requested modifications to the decision. </w:t>
      </w:r>
      <w:r w:rsidR="00697244">
        <w:rPr>
          <w:rFonts w:ascii="Book Antiqua" w:hAnsi="Book Antiqua"/>
          <w:color w:val="000000"/>
        </w:rPr>
        <w:t> </w:t>
      </w:r>
      <w:r w:rsidRPr="00697244">
        <w:rPr>
          <w:rFonts w:ascii="Book Antiqua" w:hAnsi="Book Antiqua"/>
          <w:color w:val="000000"/>
        </w:rPr>
        <w:t>Any factual allegations must be supported with specific citations to the record in the proceeding or to matters that may be officially</w:t>
      </w:r>
      <w:r>
        <w:rPr>
          <w:color w:val="000000"/>
          <w:sz w:val="24"/>
          <w:szCs w:val="24"/>
        </w:rPr>
        <w:t xml:space="preserve"> </w:t>
      </w:r>
      <w:r w:rsidRPr="00697244">
        <w:rPr>
          <w:rFonts w:ascii="Book Antiqua" w:hAnsi="Book Antiqua"/>
          <w:color w:val="000000"/>
        </w:rPr>
        <w:t>noticed. </w:t>
      </w:r>
      <w:r w:rsidR="00697244">
        <w:rPr>
          <w:rFonts w:ascii="Book Antiqua" w:hAnsi="Book Antiqua"/>
          <w:color w:val="000000"/>
        </w:rPr>
        <w:t> </w:t>
      </w:r>
      <w:r w:rsidRPr="00697244">
        <w:rPr>
          <w:rFonts w:ascii="Book Antiqua" w:hAnsi="Book Antiqua"/>
          <w:color w:val="000000"/>
        </w:rPr>
        <w:t xml:space="preserve">Allegations of new or changed facts must be supported by an appropriate declaration or affidavit."  </w:t>
      </w:r>
    </w:p>
  </w:footnote>
  <w:footnote w:id="4">
    <w:p w14:paraId="7974A543" w14:textId="2A66515F" w:rsidR="001E1903" w:rsidRPr="00697244" w:rsidRDefault="001E1903" w:rsidP="00697244">
      <w:pPr>
        <w:pStyle w:val="FootnoteText"/>
        <w:rPr>
          <w:szCs w:val="22"/>
        </w:rPr>
      </w:pPr>
      <w:r w:rsidRPr="00697244">
        <w:rPr>
          <w:rStyle w:val="FootnoteReference"/>
          <w:szCs w:val="22"/>
        </w:rPr>
        <w:footnoteRef/>
      </w:r>
      <w:r w:rsidRPr="00697244">
        <w:rPr>
          <w:szCs w:val="22"/>
        </w:rPr>
        <w:t xml:space="preserve"> </w:t>
      </w:r>
      <w:r w:rsidR="00697244">
        <w:rPr>
          <w:szCs w:val="22"/>
        </w:rPr>
        <w:t xml:space="preserve"> </w:t>
      </w:r>
      <w:r w:rsidRPr="00697244">
        <w:rPr>
          <w:szCs w:val="22"/>
        </w:rPr>
        <w:t xml:space="preserve">“A requirement mandating the creation of new jobs is well outside the Commission’s jurisdiction and established policy goals and is clearly premised on a “basic misconception of law.”” </w:t>
      </w:r>
      <w:r w:rsidR="00964B2D">
        <w:rPr>
          <w:szCs w:val="22"/>
        </w:rPr>
        <w:t xml:space="preserve"> </w:t>
      </w:r>
      <w:r w:rsidRPr="00697244">
        <w:rPr>
          <w:i/>
          <w:iCs/>
          <w:szCs w:val="22"/>
        </w:rPr>
        <w:t>Joint Applicants Petition for Modification of Decision 20-04-</w:t>
      </w:r>
      <w:r w:rsidRPr="00880C00">
        <w:rPr>
          <w:i/>
          <w:iCs/>
          <w:szCs w:val="22"/>
        </w:rPr>
        <w:t>008</w:t>
      </w:r>
      <w:r w:rsidRPr="00880C00">
        <w:rPr>
          <w:szCs w:val="22"/>
        </w:rPr>
        <w:t xml:space="preserve"> </w:t>
      </w:r>
      <w:r w:rsidR="007A7627" w:rsidRPr="00880C00">
        <w:rPr>
          <w:szCs w:val="22"/>
        </w:rPr>
        <w:t xml:space="preserve">at </w:t>
      </w:r>
      <w:r w:rsidRPr="00880C00">
        <w:rPr>
          <w:szCs w:val="22"/>
        </w:rPr>
        <w:t>14</w:t>
      </w:r>
      <w:r w:rsidR="007A7627" w:rsidRPr="00880C00">
        <w:rPr>
          <w:szCs w:val="22"/>
        </w:rPr>
        <w:t>.</w:t>
      </w:r>
    </w:p>
  </w:footnote>
  <w:footnote w:id="5">
    <w:p w14:paraId="0AF4E212" w14:textId="6F031FEE" w:rsidR="001E1903" w:rsidRPr="00697244" w:rsidRDefault="001E1903" w:rsidP="00697244">
      <w:pPr>
        <w:pStyle w:val="FootnoteText"/>
        <w:rPr>
          <w:szCs w:val="22"/>
        </w:rPr>
      </w:pPr>
      <w:r w:rsidRPr="00697244">
        <w:rPr>
          <w:rStyle w:val="FootnoteReference"/>
          <w:szCs w:val="22"/>
        </w:rPr>
        <w:footnoteRef/>
      </w:r>
      <w:r w:rsidRPr="00697244">
        <w:rPr>
          <w:szCs w:val="22"/>
        </w:rPr>
        <w:t xml:space="preserve"> </w:t>
      </w:r>
      <w:r w:rsidR="00697244">
        <w:rPr>
          <w:szCs w:val="22"/>
        </w:rPr>
        <w:t xml:space="preserve"> </w:t>
      </w:r>
      <w:r w:rsidRPr="00697244">
        <w:rPr>
          <w:szCs w:val="22"/>
        </w:rPr>
        <w:t>Because we reject the request as improperly filed we do not address the comments of Communications Workers of America.</w:t>
      </w:r>
    </w:p>
  </w:footnote>
  <w:footnote w:id="6">
    <w:p w14:paraId="077BD946" w14:textId="65ECE2B9" w:rsidR="001E1903" w:rsidRPr="00697244" w:rsidRDefault="001E1903" w:rsidP="00697244">
      <w:pPr>
        <w:pStyle w:val="FootnoteText"/>
        <w:rPr>
          <w:szCs w:val="22"/>
        </w:rPr>
      </w:pPr>
      <w:r w:rsidRPr="00697244">
        <w:rPr>
          <w:rStyle w:val="FootnoteReference"/>
          <w:szCs w:val="22"/>
        </w:rPr>
        <w:footnoteRef/>
      </w:r>
      <w:r w:rsidRPr="00697244">
        <w:rPr>
          <w:szCs w:val="22"/>
        </w:rPr>
        <w:t xml:space="preserve"> </w:t>
      </w:r>
      <w:r w:rsidR="00697244">
        <w:rPr>
          <w:szCs w:val="22"/>
        </w:rPr>
        <w:t xml:space="preserve"> </w:t>
      </w:r>
      <w:r w:rsidRPr="00697244">
        <w:rPr>
          <w:i/>
          <w:iCs/>
          <w:szCs w:val="22"/>
        </w:rPr>
        <w:t xml:space="preserve">Ibid. </w:t>
      </w:r>
      <w:r w:rsidRPr="00697244">
        <w:rPr>
          <w:szCs w:val="22"/>
        </w:rPr>
        <w:t>p. 7</w:t>
      </w:r>
    </w:p>
  </w:footnote>
  <w:footnote w:id="7">
    <w:p w14:paraId="354B059B" w14:textId="1EC84C40" w:rsidR="001E1903" w:rsidRDefault="001E1903" w:rsidP="00697244">
      <w:pPr>
        <w:pStyle w:val="FootnoteText"/>
      </w:pPr>
      <w:r>
        <w:rPr>
          <w:rStyle w:val="FootnoteReference"/>
        </w:rPr>
        <w:footnoteRef/>
      </w:r>
      <w:r>
        <w:t xml:space="preserve"> </w:t>
      </w:r>
      <w:r w:rsidR="00697244">
        <w:t xml:space="preserve"> </w:t>
      </w:r>
      <w:r w:rsidRPr="00F92F6D">
        <w:rPr>
          <w:i/>
          <w:iCs/>
        </w:rPr>
        <w:t>Response of the Public Advocates Office and The Utility Reform Network to Joint Applicants Petition for Modification of Decision</w:t>
      </w:r>
      <w:r w:rsidR="00697244">
        <w:rPr>
          <w:i/>
          <w:iCs/>
        </w:rPr>
        <w:t> </w:t>
      </w:r>
      <w:r w:rsidRPr="00F92F6D">
        <w:rPr>
          <w:i/>
          <w:iCs/>
        </w:rPr>
        <w:t>20</w:t>
      </w:r>
      <w:r w:rsidR="00697244">
        <w:rPr>
          <w:i/>
          <w:iCs/>
        </w:rPr>
        <w:noBreakHyphen/>
      </w:r>
      <w:r w:rsidRPr="00F92F6D">
        <w:rPr>
          <w:i/>
          <w:iCs/>
        </w:rPr>
        <w:t>04</w:t>
      </w:r>
      <w:r w:rsidR="00697244">
        <w:rPr>
          <w:i/>
          <w:iCs/>
        </w:rPr>
        <w:noBreakHyphen/>
      </w:r>
      <w:r w:rsidRPr="00F92F6D">
        <w:rPr>
          <w:i/>
          <w:iCs/>
        </w:rPr>
        <w:t>008</w:t>
      </w:r>
      <w:r>
        <w:t xml:space="preserve"> at 10.  </w:t>
      </w:r>
      <w:r w:rsidRPr="00697244">
        <w:rPr>
          <w:i/>
          <w:iCs/>
        </w:rPr>
        <w:t>See also</w:t>
      </w:r>
      <w:r>
        <w:t xml:space="preserve"> </w:t>
      </w:r>
      <w:r w:rsidRPr="00F92F6D">
        <w:rPr>
          <w:i/>
          <w:iCs/>
        </w:rPr>
        <w:t>Joint Applicants Post-Hearing Opening Brief on the Join Application for Review of Wireless Transfer Notification Per Commission Decision</w:t>
      </w:r>
      <w:r w:rsidR="00697244">
        <w:rPr>
          <w:i/>
          <w:iCs/>
        </w:rPr>
        <w:t> </w:t>
      </w:r>
      <w:r w:rsidRPr="00F92F6D">
        <w:rPr>
          <w:i/>
          <w:iCs/>
        </w:rPr>
        <w:t>95</w:t>
      </w:r>
      <w:r w:rsidR="00697244">
        <w:rPr>
          <w:i/>
          <w:iCs/>
        </w:rPr>
        <w:noBreakHyphen/>
      </w:r>
      <w:r w:rsidRPr="00F92F6D">
        <w:rPr>
          <w:i/>
          <w:iCs/>
        </w:rPr>
        <w:t>10</w:t>
      </w:r>
      <w:r w:rsidR="00697244">
        <w:rPr>
          <w:i/>
          <w:iCs/>
        </w:rPr>
        <w:noBreakHyphen/>
      </w:r>
      <w:r w:rsidRPr="00F92F6D">
        <w:rPr>
          <w:i/>
          <w:iCs/>
        </w:rPr>
        <w:t>032</w:t>
      </w:r>
      <w:r>
        <w:t>, filed April</w:t>
      </w:r>
      <w:r w:rsidR="00697244">
        <w:t> </w:t>
      </w:r>
      <w:r>
        <w:t>26,</w:t>
      </w:r>
      <w:r w:rsidR="00697244">
        <w:t> </w:t>
      </w:r>
      <w:r>
        <w:t xml:space="preserve">2019 at 35 and </w:t>
      </w:r>
      <w:r w:rsidRPr="00F92F6D">
        <w:rPr>
          <w:i/>
          <w:iCs/>
        </w:rPr>
        <w:t>Joint Applicants Post-December 2019 Hearing Brief on the Join Application for Review of Wireless Transfer Notification Per Commission Decision 95-10-032</w:t>
      </w:r>
      <w:r>
        <w:t>, filed December</w:t>
      </w:r>
      <w:r w:rsidR="00697244">
        <w:t> </w:t>
      </w:r>
      <w:r>
        <w:t>20,</w:t>
      </w:r>
      <w:r w:rsidR="00697244">
        <w:t> </w:t>
      </w:r>
      <w:r>
        <w:t>2019 at 30 “the combined network will… nearly triple 5G monthly capacity by 2024 when compared to the combined 5G capacities of the standalone networks.”</w:t>
      </w:r>
    </w:p>
  </w:footnote>
  <w:footnote w:id="8">
    <w:p w14:paraId="1A22E779" w14:textId="68B11D14" w:rsidR="001E1903" w:rsidRPr="004B1D52" w:rsidRDefault="001E1903" w:rsidP="00697244">
      <w:pPr>
        <w:pStyle w:val="FootnoteText"/>
        <w:rPr>
          <w:b/>
          <w:bCs/>
          <w:i/>
          <w:iCs/>
        </w:rPr>
      </w:pPr>
      <w:r>
        <w:rPr>
          <w:rStyle w:val="FootnoteReference"/>
        </w:rPr>
        <w:footnoteRef/>
      </w:r>
      <w:r>
        <w:rPr>
          <w:b/>
          <w:bCs/>
        </w:rPr>
        <w:t xml:space="preserve"> </w:t>
      </w:r>
      <w:r w:rsidR="009C3DFC">
        <w:rPr>
          <w:b/>
          <w:bCs/>
        </w:rPr>
        <w:t xml:space="preserve"> </w:t>
      </w:r>
      <w:r w:rsidRPr="004B1D52">
        <w:rPr>
          <w:i/>
          <w:iCs/>
        </w:rPr>
        <w:t>Response of the California Emerging Technology Fund to Joint Applicants Petition for Modificati</w:t>
      </w:r>
      <w:r>
        <w:rPr>
          <w:i/>
          <w:iCs/>
        </w:rPr>
        <w:t>o</w:t>
      </w:r>
      <w:r w:rsidRPr="004B1D52">
        <w:rPr>
          <w:i/>
          <w:iCs/>
        </w:rPr>
        <w:t>n of Decision</w:t>
      </w:r>
      <w:r w:rsidR="00B61BA3">
        <w:rPr>
          <w:i/>
          <w:iCs/>
        </w:rPr>
        <w:t> </w:t>
      </w:r>
      <w:r w:rsidRPr="004B1D52">
        <w:rPr>
          <w:i/>
          <w:iCs/>
        </w:rPr>
        <w:t>20</w:t>
      </w:r>
      <w:r w:rsidR="00B61BA3">
        <w:rPr>
          <w:i/>
          <w:iCs/>
        </w:rPr>
        <w:noBreakHyphen/>
      </w:r>
      <w:r w:rsidRPr="004B1D52">
        <w:rPr>
          <w:i/>
          <w:iCs/>
        </w:rPr>
        <w:t>04</w:t>
      </w:r>
      <w:r w:rsidR="00B61BA3">
        <w:rPr>
          <w:i/>
          <w:iCs/>
        </w:rPr>
        <w:noBreakHyphen/>
      </w:r>
      <w:r w:rsidRPr="004B1D52">
        <w:rPr>
          <w:i/>
          <w:iCs/>
        </w:rPr>
        <w:t xml:space="preserve">008 </w:t>
      </w:r>
      <w:r w:rsidRPr="004B1D52">
        <w:t>at 2.</w:t>
      </w:r>
    </w:p>
  </w:footnote>
  <w:footnote w:id="9">
    <w:p w14:paraId="4816D078" w14:textId="6DB578E1" w:rsidR="001E1903" w:rsidRDefault="001E1903" w:rsidP="00697244">
      <w:pPr>
        <w:pStyle w:val="FootnoteText"/>
      </w:pPr>
      <w:r>
        <w:rPr>
          <w:rStyle w:val="FootnoteReference"/>
        </w:rPr>
        <w:footnoteRef/>
      </w:r>
      <w:r>
        <w:t xml:space="preserve"> </w:t>
      </w:r>
      <w:r w:rsidR="009C3DFC">
        <w:t xml:space="preserve"> </w:t>
      </w:r>
      <w:r>
        <w:rPr>
          <w:i/>
          <w:iCs/>
        </w:rPr>
        <w:t>Joint Applicants’ Reply to Intervenors’ Responses to Petition for Modification of Decision 20-04-008</w:t>
      </w:r>
      <w:r w:rsidR="00B61979">
        <w:rPr>
          <w:i/>
          <w:iCs/>
        </w:rPr>
        <w:t>,</w:t>
      </w:r>
      <w:r>
        <w:rPr>
          <w:i/>
          <w:iCs/>
        </w:rPr>
        <w:t xml:space="preserve"> </w:t>
      </w:r>
      <w:r w:rsidR="00B61BA3">
        <w:rPr>
          <w:i/>
          <w:iCs/>
        </w:rPr>
        <w:br/>
      </w:r>
      <w:r>
        <w:t>at</w:t>
      </w:r>
      <w:r w:rsidR="00B61BA3">
        <w:t> </w:t>
      </w:r>
      <w:r>
        <w:t>3.</w:t>
      </w:r>
    </w:p>
  </w:footnote>
  <w:footnote w:id="10">
    <w:p w14:paraId="2E485852" w14:textId="65EB502A" w:rsidR="001E1903" w:rsidRPr="00E909A0" w:rsidRDefault="001E1903" w:rsidP="00697244">
      <w:pPr>
        <w:pStyle w:val="FootnoteText"/>
        <w:rPr>
          <w:i/>
          <w:iCs/>
        </w:rPr>
      </w:pPr>
      <w:r>
        <w:rPr>
          <w:rStyle w:val="FootnoteReference"/>
        </w:rPr>
        <w:footnoteRef/>
      </w:r>
      <w:r>
        <w:t xml:space="preserve"> </w:t>
      </w:r>
      <w:r w:rsidR="009C3DFC">
        <w:t xml:space="preserve"> </w:t>
      </w:r>
      <w:r>
        <w:rPr>
          <w:i/>
          <w:iCs/>
        </w:rPr>
        <w:t>Ibid</w:t>
      </w:r>
      <w:r w:rsidRPr="00880C00">
        <w:rPr>
          <w:i/>
          <w:iCs/>
        </w:rPr>
        <w:t xml:space="preserve">. </w:t>
      </w:r>
      <w:r w:rsidR="007A7627" w:rsidRPr="00880C00">
        <w:rPr>
          <w:i/>
          <w:iCs/>
        </w:rPr>
        <w:t xml:space="preserve">at </w:t>
      </w:r>
      <w:r w:rsidRPr="00880C00">
        <w:rPr>
          <w:i/>
          <w:iCs/>
        </w:rPr>
        <w:t>2-6</w:t>
      </w:r>
      <w:r w:rsidR="007A7627" w:rsidRPr="00880C00">
        <w:rPr>
          <w:i/>
          <w:iCs/>
        </w:rPr>
        <w:t>.</w:t>
      </w:r>
    </w:p>
  </w:footnote>
  <w:footnote w:id="11">
    <w:p w14:paraId="54729B71" w14:textId="0F6F41FD" w:rsidR="001E1903" w:rsidRDefault="001E1903" w:rsidP="001E1903">
      <w:pPr>
        <w:pStyle w:val="FootnoteText"/>
      </w:pPr>
      <w:r>
        <w:rPr>
          <w:rStyle w:val="FootnoteReference"/>
        </w:rPr>
        <w:footnoteRef/>
      </w:r>
      <w:r>
        <w:t xml:space="preserve"> </w:t>
      </w:r>
      <w:r w:rsidR="009C3DFC">
        <w:t xml:space="preserve"> </w:t>
      </w:r>
      <w:r>
        <w:t xml:space="preserve">“The Decision’s imposition of a new testing methodology for commitments already subject to compliance verification under the FCC Commitments is not supported by the record, is duplicative and unnecessary, and will inevitably result in regulatory uncertainty and potentially inconsistent testing results (which would raise federal preemption concerns).” </w:t>
      </w:r>
      <w:r>
        <w:rPr>
          <w:i/>
          <w:iCs/>
        </w:rPr>
        <w:t xml:space="preserve">Petition for Modification </w:t>
      </w:r>
      <w:r w:rsidR="007A7627" w:rsidRPr="00880C00">
        <w:t xml:space="preserve">at </w:t>
      </w:r>
      <w:r w:rsidRPr="00880C00">
        <w:t>16</w:t>
      </w:r>
      <w:r w:rsidR="007A7627" w:rsidRPr="00880C00">
        <w:t>.</w:t>
      </w:r>
    </w:p>
  </w:footnote>
  <w:footnote w:id="12">
    <w:p w14:paraId="4BC22D05" w14:textId="3A433B83" w:rsidR="001E1903" w:rsidRPr="004C1301" w:rsidRDefault="001E1903" w:rsidP="001E1903">
      <w:pPr>
        <w:pStyle w:val="FootnoteText"/>
      </w:pPr>
      <w:r>
        <w:rPr>
          <w:rStyle w:val="FootnoteReference"/>
        </w:rPr>
        <w:footnoteRef/>
      </w:r>
      <w:r>
        <w:t xml:space="preserve"> </w:t>
      </w:r>
      <w:r w:rsidR="009C3DFC">
        <w:t xml:space="preserve"> </w:t>
      </w:r>
      <w:r>
        <w:t>“It is reasonable for the Commission to use a testing methodology it developed, which is specific to California, to verify compliance with conditions that are specific to California. Furthermore, the Commission can use previous CalSPEED tests of the T</w:t>
      </w:r>
      <w:r w:rsidR="00B61BA3">
        <w:noBreakHyphen/>
      </w:r>
      <w:r>
        <w:t xml:space="preserve">Mobile and Sprint networks to evaluate the improvements of New T-Mobile’s network following the merger.” </w:t>
      </w:r>
      <w:r w:rsidRPr="00F92F6D">
        <w:rPr>
          <w:i/>
          <w:iCs/>
        </w:rPr>
        <w:t xml:space="preserve">Response of the Public Advocates Office and The Utility Reform </w:t>
      </w:r>
      <w:r w:rsidRPr="00880C00">
        <w:rPr>
          <w:i/>
          <w:iCs/>
        </w:rPr>
        <w:t xml:space="preserve">Network </w:t>
      </w:r>
      <w:r w:rsidR="007A7627" w:rsidRPr="00880C00">
        <w:t xml:space="preserve">at </w:t>
      </w:r>
      <w:r w:rsidRPr="00880C00">
        <w:t>15</w:t>
      </w:r>
      <w:r w:rsidR="007A7627" w:rsidRPr="00880C0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700EF" w14:textId="76902C8E" w:rsidR="00123183" w:rsidRDefault="00123183" w:rsidP="00123183">
    <w:pPr>
      <w:pStyle w:val="Header"/>
      <w:ind w:firstLine="0"/>
      <w:rPr>
        <w:iCs/>
      </w:rPr>
    </w:pPr>
  </w:p>
  <w:p w14:paraId="102DC73C" w14:textId="77777777" w:rsidR="009B6203" w:rsidRDefault="009B6203" w:rsidP="0012318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F65F2" w14:textId="5652C2AF" w:rsidR="00273826" w:rsidRPr="00273826" w:rsidRDefault="00273826" w:rsidP="00273826">
    <w:pPr>
      <w:pStyle w:val="Header"/>
      <w:tabs>
        <w:tab w:val="clear" w:pos="4680"/>
      </w:tabs>
      <w:ind w:firstLine="0"/>
      <w:rPr>
        <w:iCs/>
      </w:rPr>
    </w:pPr>
    <w:r w:rsidRPr="002605FA">
      <w:rPr>
        <w:iCs/>
      </w:rPr>
      <w:t>A.18-07-011, et al.  ALJ/KJB/jnf</w:t>
    </w:r>
    <w:r w:rsidRPr="002605FA">
      <w:rPr>
        <w:iCs/>
      </w:rPr>
      <w:tab/>
    </w:r>
  </w:p>
  <w:p w14:paraId="1126BE6C" w14:textId="77777777" w:rsidR="00273826" w:rsidRDefault="00273826" w:rsidP="006F6525">
    <w:pPr>
      <w:pStyle w:val="Header"/>
      <w:tabs>
        <w:tab w:val="clear" w:pos="4680"/>
      </w:tabs>
      <w:ind w:firstLine="0"/>
      <w:rPr>
        <w:b/>
        <w:color w:val="FF0000"/>
      </w:rPr>
    </w:pPr>
  </w:p>
  <w:p w14:paraId="1663EFFB" w14:textId="77777777" w:rsidR="00273826" w:rsidRDefault="00273826" w:rsidP="006F6525">
    <w:pPr>
      <w:pStyle w:val="Header"/>
      <w:tabs>
        <w:tab w:val="clear" w:pos="4680"/>
      </w:tabs>
      <w:ind w:firstLine="0"/>
      <w:rPr>
        <w:i/>
        <w:color w:val="FF0000"/>
      </w:rPr>
    </w:pPr>
  </w:p>
  <w:p w14:paraId="12FA333F" w14:textId="77777777" w:rsidR="00273826" w:rsidRPr="00B3087D" w:rsidRDefault="00273826" w:rsidP="006F6525">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9D1B" w14:textId="4871F1B7" w:rsidR="00B61979" w:rsidRPr="002605FA" w:rsidRDefault="00B61979" w:rsidP="00123183">
    <w:pPr>
      <w:pStyle w:val="Header"/>
      <w:tabs>
        <w:tab w:val="clear" w:pos="4680"/>
      </w:tabs>
      <w:ind w:firstLine="0"/>
      <w:rPr>
        <w:iCs/>
      </w:rPr>
    </w:pPr>
    <w:r w:rsidRPr="002605FA">
      <w:rPr>
        <w:iCs/>
      </w:rPr>
      <w:t>A.18-07-011, et al.  ALJ/KJB/jnf</w:t>
    </w:r>
    <w:r w:rsidRPr="002605FA">
      <w:rPr>
        <w:iCs/>
      </w:rPr>
      <w:tab/>
    </w:r>
  </w:p>
  <w:p w14:paraId="6579F35E" w14:textId="7E1F9E39" w:rsidR="00B61979" w:rsidRPr="00B3087D" w:rsidRDefault="00B61979" w:rsidP="00123183">
    <w:pPr>
      <w:pStyle w:val="Header"/>
      <w:tabs>
        <w:tab w:val="clear" w:pos="4680"/>
      </w:tabs>
      <w:ind w:firstLine="0"/>
      <w:rPr>
        <w:i/>
        <w:color w:val="FF0000"/>
      </w:rPr>
    </w:pPr>
  </w:p>
  <w:p w14:paraId="127A3FD5" w14:textId="3F3CCDFA" w:rsidR="00B61979" w:rsidRDefault="00B61979" w:rsidP="00123183">
    <w:pPr>
      <w:pStyle w:val="Header"/>
      <w:ind w:firstLine="0"/>
      <w:rPr>
        <w:i/>
        <w:color w:val="FF0000"/>
      </w:rPr>
    </w:pPr>
  </w:p>
  <w:p w14:paraId="76EF8A52" w14:textId="77777777" w:rsidR="00B61979" w:rsidRDefault="00B61979" w:rsidP="0012318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505F65"/>
    <w:multiLevelType w:val="hybridMultilevel"/>
    <w:tmpl w:val="948C5AEA"/>
    <w:lvl w:ilvl="0" w:tplc="14F4441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242C9"/>
    <w:multiLevelType w:val="multilevel"/>
    <w:tmpl w:val="ECB8CCE8"/>
    <w:numStyleLink w:val="Headings"/>
  </w:abstractNum>
  <w:abstractNum w:abstractNumId="5"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59D042D7"/>
    <w:multiLevelType w:val="multilevel"/>
    <w:tmpl w:val="18F4A5AC"/>
    <w:numStyleLink w:val="FoFCoLOP"/>
  </w:abstractNum>
  <w:abstractNum w:abstractNumId="7"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6A6AB5"/>
    <w:multiLevelType w:val="hybridMultilevel"/>
    <w:tmpl w:val="5DB6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16029"/>
    <w:multiLevelType w:val="hybridMultilevel"/>
    <w:tmpl w:val="18D64542"/>
    <w:lvl w:ilvl="0" w:tplc="B2A4D2B8">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860E5B00">
      <w:start w:val="1"/>
      <w:numFmt w:val="decimal"/>
      <w:lvlText w:val="%7."/>
      <w:lvlJc w:val="left"/>
      <w:pPr>
        <w:ind w:left="5760" w:hanging="360"/>
      </w:pPr>
      <w:rPr>
        <w:b w:val="0"/>
        <w:bCs/>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9A0AFE"/>
    <w:multiLevelType w:val="multilevel"/>
    <w:tmpl w:val="18F4A5AC"/>
    <w:numStyleLink w:val="FoFCoLOP"/>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lvlOverride w:ilvl="0">
      <w:lvl w:ilvl="0">
        <w:start w:val="1"/>
        <w:numFmt w:val="decimal"/>
        <w:pStyle w:val="CoL"/>
        <w:lvlText w:val="%1."/>
        <w:lvlJc w:val="right"/>
        <w:pPr>
          <w:ind w:left="0" w:firstLine="540"/>
        </w:pPr>
        <w:rPr>
          <w:rFonts w:hint="default"/>
        </w:rPr>
      </w:lvl>
    </w:lvlOverride>
  </w:num>
  <w:num w:numId="5">
    <w:abstractNumId w:val="11"/>
    <w:lvlOverride w:ilvl="0">
      <w:lvl w:ilvl="0">
        <w:start w:val="1"/>
        <w:numFmt w:val="decimal"/>
        <w:pStyle w:val="OP"/>
        <w:lvlText w:val="%1."/>
        <w:lvlJc w:val="right"/>
        <w:pPr>
          <w:ind w:left="0" w:firstLine="540"/>
        </w:pPr>
        <w:rPr>
          <w:rFonts w:hint="default"/>
          <w:b w:val="0"/>
          <w:bCs/>
        </w:rPr>
      </w:lvl>
    </w:lvlOverride>
  </w:num>
  <w:num w:numId="6">
    <w:abstractNumId w:val="5"/>
  </w:num>
  <w:num w:numId="7">
    <w:abstractNumId w:val="4"/>
  </w:num>
  <w:num w:numId="8">
    <w:abstractNumId w:val="10"/>
  </w:num>
  <w:num w:numId="9">
    <w:abstractNumId w:val="0"/>
  </w:num>
  <w:num w:numId="10">
    <w:abstractNumId w:val="5"/>
  </w:num>
  <w:num w:numId="11">
    <w:abstractNumId w:val="5"/>
  </w:num>
  <w:num w:numId="12">
    <w:abstractNumId w:val="5"/>
  </w:num>
  <w:num w:numId="13">
    <w:abstractNumId w:val="5"/>
  </w:num>
  <w:num w:numId="14">
    <w:abstractNumId w:val="3"/>
  </w:num>
  <w:num w:numId="15">
    <w:abstractNumId w:val="6"/>
  </w:num>
  <w:num w:numId="16">
    <w:abstractNumId w:val="6"/>
  </w:num>
  <w:num w:numId="17">
    <w:abstractNumId w:val="6"/>
  </w:num>
  <w:num w:numId="18">
    <w:abstractNumId w:val="6"/>
  </w:num>
  <w:num w:numId="19">
    <w:abstractNumId w:val="8"/>
  </w:num>
  <w:num w:numId="20">
    <w:abstractNumId w:val="11"/>
    <w:lvlOverride w:ilvl="0">
      <w:lvl w:ilvl="0">
        <w:start w:val="1"/>
        <w:numFmt w:val="decimal"/>
        <w:pStyle w:val="OP"/>
        <w:lvlText w:val="%1."/>
        <w:lvlJc w:val="right"/>
        <w:pPr>
          <w:ind w:left="0" w:firstLine="540"/>
        </w:pPr>
        <w:rPr>
          <w:rFonts w:hint="default"/>
          <w:b w:val="0"/>
          <w:bCs/>
        </w:rPr>
      </w:lvl>
    </w:lvlOverride>
  </w:num>
  <w:num w:numId="21">
    <w:abstractNumId w:val="11"/>
    <w:lvlOverride w:ilvl="0">
      <w:lvl w:ilvl="0">
        <w:start w:val="1"/>
        <w:numFmt w:val="decimal"/>
        <w:pStyle w:val="OP"/>
        <w:lvlText w:val="%1."/>
        <w:lvlJc w:val="right"/>
        <w:pPr>
          <w:ind w:left="0" w:firstLine="540"/>
        </w:pPr>
        <w:rPr>
          <w:rFonts w:hint="default"/>
          <w:b w:val="0"/>
          <w:bCs/>
        </w:rPr>
      </w:lvl>
    </w:lvlOverride>
  </w:num>
  <w:num w:numId="22">
    <w:abstractNumId w:val="11"/>
    <w:lvlOverride w:ilvl="0">
      <w:lvl w:ilvl="0">
        <w:start w:val="1"/>
        <w:numFmt w:val="decimal"/>
        <w:pStyle w:val="OP"/>
        <w:lvlText w:val="%1."/>
        <w:lvlJc w:val="right"/>
        <w:pPr>
          <w:ind w:left="0" w:firstLine="540"/>
        </w:pPr>
        <w:rPr>
          <w:rFonts w:hint="default"/>
          <w:b w:val="0"/>
          <w:bCs/>
        </w:rPr>
      </w:lvl>
    </w:lvlOverride>
  </w:num>
  <w:num w:numId="23">
    <w:abstractNumId w:val="11"/>
    <w:lvlOverride w:ilvl="0">
      <w:lvl w:ilvl="0">
        <w:start w:val="1"/>
        <w:numFmt w:val="decimal"/>
        <w:pStyle w:val="OP"/>
        <w:lvlText w:val="%1."/>
        <w:lvlJc w:val="right"/>
        <w:pPr>
          <w:ind w:left="0" w:firstLine="540"/>
        </w:pPr>
        <w:rPr>
          <w:rFonts w:hint="default"/>
          <w:b w:val="0"/>
          <w:bCs/>
        </w:rPr>
      </w:lvl>
    </w:lvlOverride>
  </w:num>
  <w:num w:numId="24">
    <w:abstractNumId w:val="11"/>
    <w:lvlOverride w:ilvl="0">
      <w:lvl w:ilvl="0">
        <w:start w:val="1"/>
        <w:numFmt w:val="decimal"/>
        <w:pStyle w:val="OP"/>
        <w:lvlText w:val="%1."/>
        <w:lvlJc w:val="right"/>
        <w:pPr>
          <w:ind w:left="0" w:firstLine="540"/>
        </w:pPr>
        <w:rPr>
          <w:rFonts w:hint="default"/>
          <w:b w:val="0"/>
          <w:bCs/>
        </w:rPr>
      </w:lvl>
    </w:lvlOverride>
  </w:num>
  <w:num w:numId="25">
    <w:abstractNumId w:val="11"/>
    <w:lvlOverride w:ilvl="0">
      <w:lvl w:ilvl="0">
        <w:start w:val="1"/>
        <w:numFmt w:val="decimal"/>
        <w:pStyle w:val="OP"/>
        <w:lvlText w:val="%1."/>
        <w:lvlJc w:val="right"/>
        <w:pPr>
          <w:ind w:left="0" w:firstLine="540"/>
        </w:pPr>
        <w:rPr>
          <w:rFonts w:hint="default"/>
          <w:b w:val="0"/>
          <w:bCs/>
        </w:rPr>
      </w:lvl>
    </w:lvlOverride>
  </w:num>
  <w:num w:numId="26">
    <w:abstractNumId w:val="11"/>
    <w:lvlOverride w:ilvl="0">
      <w:lvl w:ilvl="0">
        <w:start w:val="1"/>
        <w:numFmt w:val="decimal"/>
        <w:pStyle w:val="OP"/>
        <w:lvlText w:val="%1."/>
        <w:lvlJc w:val="right"/>
        <w:pPr>
          <w:ind w:left="0" w:firstLine="540"/>
        </w:pPr>
        <w:rPr>
          <w:rFonts w:hint="default"/>
          <w:b w:val="0"/>
          <w:bCs/>
        </w:rPr>
      </w:lvl>
    </w:lvlOverride>
  </w:num>
  <w:num w:numId="27">
    <w:abstractNumId w:val="11"/>
    <w:lvlOverride w:ilvl="0">
      <w:lvl w:ilvl="0">
        <w:start w:val="1"/>
        <w:numFmt w:val="decimal"/>
        <w:pStyle w:val="OP"/>
        <w:lvlText w:val="%1."/>
        <w:lvlJc w:val="right"/>
        <w:pPr>
          <w:ind w:left="0" w:firstLine="540"/>
        </w:pPr>
        <w:rPr>
          <w:rFonts w:hint="default"/>
          <w:b w:val="0"/>
          <w:bCs/>
        </w:rPr>
      </w:lvl>
    </w:lvlOverride>
  </w:num>
  <w:num w:numId="28">
    <w:abstractNumId w:val="11"/>
    <w:lvlOverride w:ilvl="0">
      <w:lvl w:ilvl="0">
        <w:start w:val="1"/>
        <w:numFmt w:val="decimal"/>
        <w:pStyle w:val="OP"/>
        <w:lvlText w:val="%1."/>
        <w:lvlJc w:val="right"/>
        <w:pPr>
          <w:ind w:left="0" w:firstLine="540"/>
        </w:pPr>
        <w:rPr>
          <w:rFonts w:hint="default"/>
          <w:b w:val="0"/>
          <w:bCs/>
        </w:rPr>
      </w:lvl>
    </w:lvlOverride>
  </w:num>
  <w:num w:numId="29">
    <w:abstractNumId w:val="9"/>
  </w:num>
  <w:num w:numId="30">
    <w:abstractNumId w:val="5"/>
  </w:num>
  <w:num w:numId="31">
    <w:abstractNumId w:val="5"/>
  </w:num>
  <w:num w:numId="32">
    <w:abstractNumId w:val="5"/>
  </w:num>
  <w:num w:numId="33">
    <w:abstractNumId w:val="11"/>
    <w:lvlOverride w:ilvl="0">
      <w:lvl w:ilvl="0">
        <w:start w:val="1"/>
        <w:numFmt w:val="decimal"/>
        <w:pStyle w:val="OP"/>
        <w:lvlText w:val="%1."/>
        <w:lvlJc w:val="right"/>
        <w:pPr>
          <w:ind w:left="0" w:firstLine="540"/>
        </w:pPr>
        <w:rPr>
          <w:rFonts w:hint="default"/>
          <w:b w:val="0"/>
          <w:bCs/>
        </w:rPr>
      </w:lvl>
    </w:lvlOverride>
  </w:num>
  <w:num w:numId="34">
    <w:abstractNumId w:val="11"/>
    <w:lvlOverride w:ilvl="0">
      <w:lvl w:ilvl="0">
        <w:start w:val="1"/>
        <w:numFmt w:val="decimal"/>
        <w:pStyle w:val="OP"/>
        <w:lvlText w:val="%1."/>
        <w:lvlJc w:val="right"/>
        <w:pPr>
          <w:ind w:left="0" w:firstLine="540"/>
        </w:pPr>
        <w:rPr>
          <w:rFonts w:hint="default"/>
          <w:b w:val="0"/>
          <w:bCs/>
        </w:rPr>
      </w:lvl>
    </w:lvlOverride>
  </w:num>
  <w:num w:numId="35">
    <w:abstractNumId w:val="11"/>
    <w:lvlOverride w:ilvl="0">
      <w:lvl w:ilvl="0">
        <w:start w:val="1"/>
        <w:numFmt w:val="decimal"/>
        <w:pStyle w:val="OP"/>
        <w:lvlText w:val="%1."/>
        <w:lvlJc w:val="right"/>
        <w:pPr>
          <w:ind w:left="0" w:firstLine="540"/>
        </w:pPr>
        <w:rPr>
          <w:rFonts w:hint="default"/>
          <w:b w:val="0"/>
          <w:bCs/>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3C"/>
    <w:rsid w:val="00000F6A"/>
    <w:rsid w:val="00041843"/>
    <w:rsid w:val="000514DB"/>
    <w:rsid w:val="00060B30"/>
    <w:rsid w:val="0007115A"/>
    <w:rsid w:val="00076A27"/>
    <w:rsid w:val="000973C8"/>
    <w:rsid w:val="000A2AA9"/>
    <w:rsid w:val="000A56F2"/>
    <w:rsid w:val="000A6E05"/>
    <w:rsid w:val="000B12FA"/>
    <w:rsid w:val="000C08BF"/>
    <w:rsid w:val="000C3B9A"/>
    <w:rsid w:val="000C5182"/>
    <w:rsid w:val="000D25A8"/>
    <w:rsid w:val="000E4C53"/>
    <w:rsid w:val="000E5548"/>
    <w:rsid w:val="000E7C43"/>
    <w:rsid w:val="00121089"/>
    <w:rsid w:val="00123183"/>
    <w:rsid w:val="001C363F"/>
    <w:rsid w:val="001C513E"/>
    <w:rsid w:val="001E1903"/>
    <w:rsid w:val="001E2A62"/>
    <w:rsid w:val="001F2819"/>
    <w:rsid w:val="0020031E"/>
    <w:rsid w:val="00202540"/>
    <w:rsid w:val="002043EC"/>
    <w:rsid w:val="00243DC0"/>
    <w:rsid w:val="00247477"/>
    <w:rsid w:val="00247A41"/>
    <w:rsid w:val="002605FA"/>
    <w:rsid w:val="00270440"/>
    <w:rsid w:val="00273826"/>
    <w:rsid w:val="00290CA1"/>
    <w:rsid w:val="00293DEE"/>
    <w:rsid w:val="002941F9"/>
    <w:rsid w:val="002A0B5D"/>
    <w:rsid w:val="002B166B"/>
    <w:rsid w:val="002C7FE9"/>
    <w:rsid w:val="002D4EFD"/>
    <w:rsid w:val="00316071"/>
    <w:rsid w:val="00343E5C"/>
    <w:rsid w:val="00352FB4"/>
    <w:rsid w:val="0036017B"/>
    <w:rsid w:val="00362755"/>
    <w:rsid w:val="00373B93"/>
    <w:rsid w:val="00374732"/>
    <w:rsid w:val="00375B8B"/>
    <w:rsid w:val="003834C9"/>
    <w:rsid w:val="003A38F0"/>
    <w:rsid w:val="003E6B8B"/>
    <w:rsid w:val="003F4329"/>
    <w:rsid w:val="00412534"/>
    <w:rsid w:val="00412C83"/>
    <w:rsid w:val="00426014"/>
    <w:rsid w:val="0044293C"/>
    <w:rsid w:val="00460B7D"/>
    <w:rsid w:val="00467986"/>
    <w:rsid w:val="00480CB0"/>
    <w:rsid w:val="004957B6"/>
    <w:rsid w:val="004A7E7C"/>
    <w:rsid w:val="004B34EA"/>
    <w:rsid w:val="004B5494"/>
    <w:rsid w:val="004C7D3A"/>
    <w:rsid w:val="004E2361"/>
    <w:rsid w:val="004E26AF"/>
    <w:rsid w:val="005018A8"/>
    <w:rsid w:val="00504CCD"/>
    <w:rsid w:val="00505A39"/>
    <w:rsid w:val="00507EFD"/>
    <w:rsid w:val="005240BF"/>
    <w:rsid w:val="00585390"/>
    <w:rsid w:val="00591B23"/>
    <w:rsid w:val="005939A5"/>
    <w:rsid w:val="005A148C"/>
    <w:rsid w:val="005A1C7D"/>
    <w:rsid w:val="00615CCC"/>
    <w:rsid w:val="006303E0"/>
    <w:rsid w:val="00632207"/>
    <w:rsid w:val="0063491C"/>
    <w:rsid w:val="006721D2"/>
    <w:rsid w:val="00697244"/>
    <w:rsid w:val="006D2F2D"/>
    <w:rsid w:val="006E5C35"/>
    <w:rsid w:val="006E5E28"/>
    <w:rsid w:val="006E6574"/>
    <w:rsid w:val="006F6525"/>
    <w:rsid w:val="00714CF2"/>
    <w:rsid w:val="007156B9"/>
    <w:rsid w:val="00720817"/>
    <w:rsid w:val="00722850"/>
    <w:rsid w:val="0073353F"/>
    <w:rsid w:val="007364C2"/>
    <w:rsid w:val="00742E45"/>
    <w:rsid w:val="007447AF"/>
    <w:rsid w:val="00750816"/>
    <w:rsid w:val="007657C1"/>
    <w:rsid w:val="007A406D"/>
    <w:rsid w:val="007A62B0"/>
    <w:rsid w:val="007A7627"/>
    <w:rsid w:val="007C5A0C"/>
    <w:rsid w:val="007E0FEE"/>
    <w:rsid w:val="007F2017"/>
    <w:rsid w:val="008339BB"/>
    <w:rsid w:val="0086419A"/>
    <w:rsid w:val="00865E77"/>
    <w:rsid w:val="00866340"/>
    <w:rsid w:val="0087023B"/>
    <w:rsid w:val="00880C00"/>
    <w:rsid w:val="008A179F"/>
    <w:rsid w:val="008B0864"/>
    <w:rsid w:val="008B32A4"/>
    <w:rsid w:val="008C7413"/>
    <w:rsid w:val="008D16B7"/>
    <w:rsid w:val="008E6AE6"/>
    <w:rsid w:val="008F0116"/>
    <w:rsid w:val="008F143D"/>
    <w:rsid w:val="009303DF"/>
    <w:rsid w:val="00932865"/>
    <w:rsid w:val="00945E3A"/>
    <w:rsid w:val="00947BC6"/>
    <w:rsid w:val="00964B2D"/>
    <w:rsid w:val="009736CB"/>
    <w:rsid w:val="0098138E"/>
    <w:rsid w:val="0098655A"/>
    <w:rsid w:val="009B6203"/>
    <w:rsid w:val="009B6C3E"/>
    <w:rsid w:val="009C3DFC"/>
    <w:rsid w:val="009E7C7F"/>
    <w:rsid w:val="00A10A9D"/>
    <w:rsid w:val="00A17CE0"/>
    <w:rsid w:val="00A42306"/>
    <w:rsid w:val="00A52BAD"/>
    <w:rsid w:val="00A55ACD"/>
    <w:rsid w:val="00A974B0"/>
    <w:rsid w:val="00AC7D15"/>
    <w:rsid w:val="00B01F7E"/>
    <w:rsid w:val="00B04B23"/>
    <w:rsid w:val="00B3087D"/>
    <w:rsid w:val="00B34794"/>
    <w:rsid w:val="00B60421"/>
    <w:rsid w:val="00B61979"/>
    <w:rsid w:val="00B61BA3"/>
    <w:rsid w:val="00BB0243"/>
    <w:rsid w:val="00BD53BC"/>
    <w:rsid w:val="00BE4DBF"/>
    <w:rsid w:val="00C10B5F"/>
    <w:rsid w:val="00C20388"/>
    <w:rsid w:val="00C23656"/>
    <w:rsid w:val="00C52D25"/>
    <w:rsid w:val="00C56C00"/>
    <w:rsid w:val="00C63159"/>
    <w:rsid w:val="00C913A1"/>
    <w:rsid w:val="00CC3732"/>
    <w:rsid w:val="00CC6A99"/>
    <w:rsid w:val="00D00AA3"/>
    <w:rsid w:val="00D07F73"/>
    <w:rsid w:val="00D2041C"/>
    <w:rsid w:val="00D25ADE"/>
    <w:rsid w:val="00D316F6"/>
    <w:rsid w:val="00D43297"/>
    <w:rsid w:val="00D44DB6"/>
    <w:rsid w:val="00D50119"/>
    <w:rsid w:val="00D82A43"/>
    <w:rsid w:val="00D84CCB"/>
    <w:rsid w:val="00DA7B5D"/>
    <w:rsid w:val="00DD4E95"/>
    <w:rsid w:val="00DF58E7"/>
    <w:rsid w:val="00E11876"/>
    <w:rsid w:val="00E23CBB"/>
    <w:rsid w:val="00E37B59"/>
    <w:rsid w:val="00E7117B"/>
    <w:rsid w:val="00EA36C6"/>
    <w:rsid w:val="00EA3BC5"/>
    <w:rsid w:val="00EB307E"/>
    <w:rsid w:val="00EB50CC"/>
    <w:rsid w:val="00ED5725"/>
    <w:rsid w:val="00ED7031"/>
    <w:rsid w:val="00EE3060"/>
    <w:rsid w:val="00EE4315"/>
    <w:rsid w:val="00F26ED3"/>
    <w:rsid w:val="00F62B7A"/>
    <w:rsid w:val="00F6397D"/>
    <w:rsid w:val="00F7293E"/>
    <w:rsid w:val="00F76650"/>
    <w:rsid w:val="00F9187B"/>
    <w:rsid w:val="00F92385"/>
    <w:rsid w:val="00F957CE"/>
    <w:rsid w:val="00FA1B4F"/>
    <w:rsid w:val="00FB126A"/>
    <w:rsid w:val="00FC47F9"/>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69BC7"/>
  <w15:chartTrackingRefBased/>
  <w15:docId w15:val="{3F02C6A5-E2C4-4F85-8404-3367DDD8F9C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10"/>
      </w:numPr>
      <w:outlineLvl w:val="1"/>
    </w:pPr>
  </w:style>
  <w:style w:type="paragraph" w:styleId="Heading3">
    <w:name w:val="heading 3"/>
    <w:basedOn w:val="Dummy"/>
    <w:next w:val="Standard"/>
    <w:link w:val="Heading3Char"/>
    <w:uiPriority w:val="4"/>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0"/>
      </w:numPr>
      <w:spacing w:before="4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character" w:customStyle="1" w:styleId="mainChar">
    <w:name w:val="main Char"/>
    <w:link w:val="main0"/>
    <w:locked/>
    <w:rsid w:val="00123183"/>
    <w:rPr>
      <w:rFonts w:ascii="Helvetica" w:hAnsi="Helvetica" w:cs="Helvetica"/>
      <w:b/>
      <w:sz w:val="26"/>
    </w:rPr>
  </w:style>
  <w:style w:type="paragraph" w:customStyle="1" w:styleId="main0">
    <w:name w:val="main"/>
    <w:basedOn w:val="Normal"/>
    <w:link w:val="mainChar"/>
    <w:rsid w:val="00123183"/>
    <w:pPr>
      <w:spacing w:line="240" w:lineRule="auto"/>
      <w:ind w:firstLine="0"/>
      <w:jc w:val="center"/>
    </w:pPr>
    <w:rPr>
      <w:rFonts w:ascii="Helvetica" w:hAnsi="Helvetica" w:cs="Helvetica"/>
      <w:b/>
    </w:rPr>
  </w:style>
  <w:style w:type="paragraph" w:styleId="ListParagraph">
    <w:name w:val="List Paragraph"/>
    <w:basedOn w:val="Normal"/>
    <w:uiPriority w:val="34"/>
    <w:rsid w:val="00123183"/>
    <w:pPr>
      <w:ind w:left="720"/>
      <w:contextualSpacing/>
    </w:pPr>
  </w:style>
  <w:style w:type="paragraph" w:customStyle="1" w:styleId="xmsonormal">
    <w:name w:val="x_msonormal"/>
    <w:basedOn w:val="Normal"/>
    <w:rsid w:val="001E1903"/>
    <w:pPr>
      <w:spacing w:line="240" w:lineRule="auto"/>
      <w:ind w:firstLine="0"/>
    </w:pPr>
    <w:rPr>
      <w:rFonts w:ascii="Calibri" w:hAnsi="Calibri" w:cs="Calibri"/>
      <w:sz w:val="22"/>
    </w:rPr>
  </w:style>
  <w:style w:type="character" w:styleId="CommentReference">
    <w:name w:val="annotation reference"/>
    <w:basedOn w:val="DefaultParagraphFont"/>
    <w:uiPriority w:val="99"/>
    <w:semiHidden/>
    <w:unhideWhenUsed/>
    <w:rsid w:val="00945E3A"/>
    <w:rPr>
      <w:sz w:val="16"/>
      <w:szCs w:val="16"/>
    </w:rPr>
  </w:style>
  <w:style w:type="paragraph" w:styleId="CommentText">
    <w:name w:val="annotation text"/>
    <w:basedOn w:val="Normal"/>
    <w:link w:val="CommentTextChar"/>
    <w:uiPriority w:val="99"/>
    <w:semiHidden/>
    <w:unhideWhenUsed/>
    <w:rsid w:val="00945E3A"/>
    <w:pPr>
      <w:spacing w:line="240" w:lineRule="auto"/>
    </w:pPr>
    <w:rPr>
      <w:sz w:val="20"/>
      <w:szCs w:val="20"/>
    </w:rPr>
  </w:style>
  <w:style w:type="character" w:customStyle="1" w:styleId="CommentTextChar">
    <w:name w:val="Comment Text Char"/>
    <w:basedOn w:val="DefaultParagraphFont"/>
    <w:link w:val="CommentText"/>
    <w:uiPriority w:val="99"/>
    <w:semiHidden/>
    <w:rsid w:val="00945E3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45E3A"/>
    <w:rPr>
      <w:b/>
      <w:bCs/>
    </w:rPr>
  </w:style>
  <w:style w:type="character" w:customStyle="1" w:styleId="CommentSubjectChar">
    <w:name w:val="Comment Subject Char"/>
    <w:basedOn w:val="CommentTextChar"/>
    <w:link w:val="CommentSubject"/>
    <w:uiPriority w:val="99"/>
    <w:semiHidden/>
    <w:rsid w:val="00945E3A"/>
    <w:rPr>
      <w:rFonts w:ascii="Book Antiqua" w:hAnsi="Book Antiqua"/>
      <w:b/>
      <w:bCs/>
      <w:sz w:val="20"/>
      <w:szCs w:val="20"/>
    </w:rPr>
  </w:style>
  <w:style w:type="paragraph" w:styleId="Revision">
    <w:name w:val="Revision"/>
    <w:hidden/>
    <w:uiPriority w:val="99"/>
    <w:semiHidden/>
    <w:rsid w:val="00B61979"/>
    <w:pPr>
      <w:spacing w:after="0" w:line="240" w:lineRule="auto"/>
    </w:pPr>
    <w:rPr>
      <w:rFonts w:ascii="Book Antiqua" w:hAnsi="Book Antiqua"/>
      <w:sz w:val="26"/>
    </w:rPr>
  </w:style>
  <w:style w:type="paragraph" w:customStyle="1" w:styleId="ALJBodyText">
    <w:name w:val="ALJ Body Text"/>
    <w:basedOn w:val="Normal"/>
    <w:link w:val="ALJBodyTextChar"/>
    <w:qFormat/>
    <w:rsid w:val="009C3DFC"/>
    <w:rPr>
      <w:rFonts w:cs="Times New Roman"/>
      <w:szCs w:val="20"/>
    </w:rPr>
  </w:style>
  <w:style w:type="character" w:customStyle="1" w:styleId="ALJBodyTextChar">
    <w:name w:val="ALJ Body Text Char"/>
    <w:basedOn w:val="DefaultParagraphFont"/>
    <w:link w:val="ALJBodyText"/>
    <w:rsid w:val="009C3DFC"/>
    <w:rPr>
      <w:rFonts w:ascii="Book Antiqua" w:hAnsi="Book Antiqua"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A35AA920A90748BE8F83806DCEAB34" ma:contentTypeVersion="13" ma:contentTypeDescription="Create a new document." ma:contentTypeScope="" ma:versionID="a7b6a62794501f30d35293745656d013">
  <xsd:schema xmlns:xsd="http://www.w3.org/2001/XMLSchema" xmlns:xs="http://www.w3.org/2001/XMLSchema" xmlns:p="http://schemas.microsoft.com/office/2006/metadata/properties" xmlns:ns3="5770dd94-7d4a-4716-86db-149e12e490dc" xmlns:ns4="3daac092-6046-4f0f-8d50-4c08cd6601b2" targetNamespace="http://schemas.microsoft.com/office/2006/metadata/properties" ma:root="true" ma:fieldsID="6eb717574a8c19b91890a79da9462aca" ns3:_="" ns4:_="">
    <xsd:import namespace="5770dd94-7d4a-4716-86db-149e12e490dc"/>
    <xsd:import namespace="3daac092-6046-4f0f-8d50-4c08cd660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d94-7d4a-4716-86db-149e12e49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ac092-6046-4f0f-8d50-4c08cd660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2.xml><?xml version="1.0" encoding="utf-8"?>
<ds:datastoreItem xmlns:ds="http://schemas.openxmlformats.org/officeDocument/2006/customXml" ds:itemID="{5316C10B-67B5-4736-AB9C-64E0C4C6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d94-7d4a-4716-86db-149e12e490dc"/>
    <ds:schemaRef ds:uri="3daac092-6046-4f0f-8d50-4c08cd660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F397-EBE0-4CD6-BD06-23B1DE5C25F5}">
  <ds:schemaRefs>
    <ds:schemaRef ds:uri="http://schemas.microsoft.com/sharepoint/v3/contenttype/forms"/>
  </ds:schemaRefs>
</ds:datastoreItem>
</file>

<file path=customXml/itemProps4.xml><?xml version="1.0" encoding="utf-8"?>
<ds:datastoreItem xmlns:ds="http://schemas.openxmlformats.org/officeDocument/2006/customXml" ds:itemID="{70510F69-B913-4E21-A07F-B0FD36102C4E}">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1295</ap:Words>
  <ap:Characters>7388</ap:Characters>
  <ap:Application>Microsoft Office Word</ap:Application>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8666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2020-10-16T16:53:00Z</cp:lastPrinted>
  <dcterms:created xsi:type="dcterms:W3CDTF">2020-11-20T13:20:55Z</dcterms:created>
  <dcterms:modified xsi:type="dcterms:W3CDTF">2020-11-20T13:20:55Z</dcterms:modified>
</cp:coreProperties>
</file>