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1CC0" w:rsidR="00C02870" w:rsidP="00C02870" w:rsidRDefault="00C02870" w14:paraId="6471A23A" w14:textId="77777777">
      <w:pPr>
        <w:pStyle w:val="Title"/>
        <w:tabs>
          <w:tab w:val="left" w:pos="1815"/>
          <w:tab w:val="right" w:pos="10080"/>
        </w:tabs>
        <w:jc w:val="left"/>
        <w:rPr>
          <w:rFonts w:ascii="Palatino Linotype" w:hAnsi="Palatino Linotype"/>
        </w:rPr>
      </w:pPr>
      <w:r w:rsidRPr="005F1CC0">
        <w:rPr>
          <w:rFonts w:ascii="Palatino Linotype" w:hAnsi="Palatino Linotype"/>
        </w:rPr>
        <w:tab/>
      </w:r>
    </w:p>
    <w:p w:rsidRPr="005F1CC0" w:rsidR="00C02870" w:rsidP="00C02870" w:rsidRDefault="00C02870" w14:paraId="766981FA" w14:textId="77777777">
      <w:pPr>
        <w:jc w:val="center"/>
        <w:rPr>
          <w:rFonts w:ascii="Palatino Linotype" w:hAnsi="Palatino Linotype"/>
          <w:b/>
        </w:rPr>
      </w:pPr>
      <w:r w:rsidRPr="005F1CC0">
        <w:rPr>
          <w:rFonts w:ascii="Palatino Linotype" w:hAnsi="Palatino Linotype"/>
          <w:b/>
        </w:rPr>
        <w:t>PUBLIC UTILITIES COMMISSION OF THE STATE OF CALIFORNIA</w:t>
      </w:r>
    </w:p>
    <w:p w:rsidRPr="005F1CC0" w:rsidR="00C02870" w:rsidP="00C02870" w:rsidRDefault="00C02870" w14:paraId="48AC5E23" w14:textId="77777777">
      <w:pPr>
        <w:rPr>
          <w:rFonts w:ascii="Palatino Linotype" w:hAnsi="Palatino Linotype"/>
        </w:rPr>
      </w:pPr>
    </w:p>
    <w:p w:rsidRPr="005F1CC0" w:rsidR="00C02870" w:rsidP="00C02870" w:rsidRDefault="00C02870" w14:paraId="17A44A8C" w14:textId="77777777">
      <w:pPr>
        <w:rPr>
          <w:rFonts w:ascii="Palatino Linotype" w:hAnsi="Palatino Linotype"/>
        </w:rPr>
      </w:pPr>
    </w:p>
    <w:tbl>
      <w:tblPr>
        <w:tblW w:w="0" w:type="auto"/>
        <w:tblLayout w:type="fixed"/>
        <w:tblLook w:val="0000" w:firstRow="0" w:lastRow="0" w:firstColumn="0" w:lastColumn="0" w:noHBand="0" w:noVBand="0"/>
      </w:tblPr>
      <w:tblGrid>
        <w:gridCol w:w="4788"/>
        <w:gridCol w:w="4788"/>
      </w:tblGrid>
      <w:tr w:rsidRPr="005F1CC0" w:rsidR="00C02870" w:rsidTr="794B6042" w14:paraId="63FD84D0" w14:textId="77777777">
        <w:tc>
          <w:tcPr>
            <w:tcW w:w="4788" w:type="dxa"/>
          </w:tcPr>
          <w:p w:rsidRPr="005F1CC0" w:rsidR="00C02870" w:rsidP="00C17962" w:rsidRDefault="0080234E" w14:paraId="14CC8A92" w14:textId="1D98857B">
            <w:pPr>
              <w:rPr>
                <w:rFonts w:ascii="Palatino Linotype" w:hAnsi="Palatino Linotype"/>
                <w:b/>
              </w:rPr>
            </w:pPr>
            <w:r>
              <w:rPr>
                <w:rFonts w:ascii="Palatino Linotype" w:hAnsi="Palatino Linotype"/>
                <w:b/>
              </w:rPr>
              <w:t>EXECUTIVE DIVISION</w:t>
            </w:r>
          </w:p>
        </w:tc>
        <w:tc>
          <w:tcPr>
            <w:tcW w:w="4788" w:type="dxa"/>
          </w:tcPr>
          <w:p w:rsidRPr="005F1CC0" w:rsidR="00C02870" w:rsidP="794B6042" w:rsidRDefault="794B6042" w14:paraId="05ECAEE0" w14:textId="44963B3A">
            <w:pPr>
              <w:jc w:val="right"/>
              <w:rPr>
                <w:rFonts w:ascii="Palatino Linotype" w:hAnsi="Palatino Linotype"/>
                <w:b/>
                <w:bCs/>
              </w:rPr>
            </w:pPr>
            <w:r w:rsidRPr="794B6042">
              <w:rPr>
                <w:rFonts w:ascii="Palatino Linotype" w:hAnsi="Palatino Linotype"/>
                <w:b/>
                <w:bCs/>
              </w:rPr>
              <w:t xml:space="preserve">RESOLUTION </w:t>
            </w:r>
            <w:r w:rsidRPr="00DB227E" w:rsidR="00DB227E">
              <w:rPr>
                <w:rFonts w:ascii="Palatino Linotype" w:hAnsi="Palatino Linotype"/>
                <w:b/>
                <w:bCs/>
              </w:rPr>
              <w:t>M-4848</w:t>
            </w:r>
          </w:p>
        </w:tc>
      </w:tr>
      <w:tr w:rsidRPr="005F1CC0" w:rsidR="00C02870" w:rsidTr="794B6042" w14:paraId="688334C0" w14:textId="77777777">
        <w:tc>
          <w:tcPr>
            <w:tcW w:w="4788" w:type="dxa"/>
          </w:tcPr>
          <w:p w:rsidRPr="005F1CC0" w:rsidR="00C02870" w:rsidP="00C17962" w:rsidRDefault="00C02870" w14:paraId="0FDD1DAC" w14:textId="5CD6F02C">
            <w:pPr>
              <w:rPr>
                <w:rFonts w:ascii="Palatino Linotype" w:hAnsi="Palatino Linotype"/>
                <w:b/>
              </w:rPr>
            </w:pPr>
          </w:p>
        </w:tc>
        <w:tc>
          <w:tcPr>
            <w:tcW w:w="4788" w:type="dxa"/>
          </w:tcPr>
          <w:p w:rsidRPr="00D00403" w:rsidR="00C02870" w:rsidP="00C17962" w:rsidRDefault="0080234E" w14:paraId="30C7F77F" w14:textId="38B25CF9">
            <w:pPr>
              <w:jc w:val="right"/>
              <w:rPr>
                <w:rFonts w:ascii="Palatino Linotype" w:hAnsi="Palatino Linotype"/>
                <w:b/>
              </w:rPr>
            </w:pPr>
            <w:r w:rsidRPr="00D00403">
              <w:rPr>
                <w:rFonts w:ascii="Palatino Linotype" w:hAnsi="Palatino Linotype"/>
                <w:b/>
              </w:rPr>
              <w:t>December</w:t>
            </w:r>
            <w:r w:rsidRPr="00D00403" w:rsidR="00D00403">
              <w:rPr>
                <w:rFonts w:ascii="Palatino Linotype" w:hAnsi="Palatino Linotype"/>
                <w:b/>
              </w:rPr>
              <w:t xml:space="preserve"> 17</w:t>
            </w:r>
            <w:r w:rsidRPr="00D00403" w:rsidR="00C02870">
              <w:rPr>
                <w:rFonts w:ascii="Palatino Linotype" w:hAnsi="Palatino Linotype"/>
                <w:b/>
              </w:rPr>
              <w:t>, 202</w:t>
            </w:r>
            <w:r w:rsidRPr="00D00403">
              <w:rPr>
                <w:rFonts w:ascii="Palatino Linotype" w:hAnsi="Palatino Linotype"/>
                <w:b/>
              </w:rPr>
              <w:t>0</w:t>
            </w:r>
          </w:p>
          <w:p w:rsidRPr="005F1CC0" w:rsidR="00C02870" w:rsidP="00C17962" w:rsidRDefault="00C02870" w14:paraId="026E9CD4" w14:textId="77777777">
            <w:pPr>
              <w:jc w:val="right"/>
              <w:rPr>
                <w:rFonts w:ascii="Palatino Linotype" w:hAnsi="Palatino Linotype"/>
                <w:b/>
              </w:rPr>
            </w:pPr>
          </w:p>
        </w:tc>
      </w:tr>
    </w:tbl>
    <w:p w:rsidRPr="005F1CC0" w:rsidR="00C02870" w:rsidP="00C02870" w:rsidRDefault="00C02870" w14:paraId="0C8B8B63" w14:textId="77777777">
      <w:pPr>
        <w:rPr>
          <w:rFonts w:ascii="Palatino Linotype" w:hAnsi="Palatino Linotype"/>
        </w:rPr>
      </w:pPr>
    </w:p>
    <w:p w:rsidRPr="005F1CC0" w:rsidR="00C02870" w:rsidP="00C02870" w:rsidRDefault="00C02870" w14:paraId="606F1314" w14:textId="77777777">
      <w:pPr>
        <w:jc w:val="center"/>
        <w:rPr>
          <w:rFonts w:ascii="Palatino Linotype" w:hAnsi="Palatino Linotype"/>
        </w:rPr>
      </w:pPr>
      <w:r w:rsidRPr="005F1CC0">
        <w:rPr>
          <w:rFonts w:ascii="Palatino Linotype" w:hAnsi="Palatino Linotype"/>
          <w:b/>
          <w:u w:val="single"/>
        </w:rPr>
        <w:t>R</w:t>
      </w:r>
      <w:r w:rsidRPr="005F1CC0">
        <w:rPr>
          <w:rFonts w:ascii="Palatino Linotype" w:hAnsi="Palatino Linotype"/>
        </w:rPr>
        <w:t xml:space="preserve"> </w:t>
      </w:r>
      <w:r w:rsidRPr="005F1CC0">
        <w:rPr>
          <w:rFonts w:ascii="Palatino Linotype" w:hAnsi="Palatino Linotype"/>
          <w:b/>
          <w:u w:val="single"/>
        </w:rPr>
        <w:t>E</w:t>
      </w:r>
      <w:r w:rsidRPr="005F1CC0">
        <w:rPr>
          <w:rFonts w:ascii="Palatino Linotype" w:hAnsi="Palatino Linotype"/>
        </w:rPr>
        <w:t xml:space="preserve"> </w:t>
      </w:r>
      <w:r w:rsidRPr="005F1CC0">
        <w:rPr>
          <w:rFonts w:ascii="Palatino Linotype" w:hAnsi="Palatino Linotype"/>
          <w:b/>
          <w:u w:val="single"/>
        </w:rPr>
        <w:t>S</w:t>
      </w:r>
      <w:r w:rsidRPr="005F1CC0">
        <w:rPr>
          <w:rFonts w:ascii="Palatino Linotype" w:hAnsi="Palatino Linotype"/>
        </w:rPr>
        <w:t xml:space="preserve"> </w:t>
      </w:r>
      <w:r w:rsidRPr="005F1CC0">
        <w:rPr>
          <w:rFonts w:ascii="Palatino Linotype" w:hAnsi="Palatino Linotype"/>
          <w:b/>
          <w:u w:val="single"/>
        </w:rPr>
        <w:t>O</w:t>
      </w:r>
      <w:r w:rsidRPr="005F1CC0">
        <w:rPr>
          <w:rFonts w:ascii="Palatino Linotype" w:hAnsi="Palatino Linotype"/>
        </w:rPr>
        <w:t xml:space="preserve"> </w:t>
      </w:r>
      <w:r w:rsidRPr="005F1CC0">
        <w:rPr>
          <w:rFonts w:ascii="Palatino Linotype" w:hAnsi="Palatino Linotype"/>
          <w:b/>
          <w:u w:val="single"/>
        </w:rPr>
        <w:t>L</w:t>
      </w:r>
      <w:r w:rsidRPr="005F1CC0">
        <w:rPr>
          <w:rFonts w:ascii="Palatino Linotype" w:hAnsi="Palatino Linotype"/>
        </w:rPr>
        <w:t xml:space="preserve"> </w:t>
      </w:r>
      <w:r w:rsidRPr="005F1CC0">
        <w:rPr>
          <w:rFonts w:ascii="Palatino Linotype" w:hAnsi="Palatino Linotype"/>
          <w:b/>
          <w:u w:val="single"/>
        </w:rPr>
        <w:t>U</w:t>
      </w:r>
      <w:r w:rsidRPr="005F1CC0">
        <w:rPr>
          <w:rFonts w:ascii="Palatino Linotype" w:hAnsi="Palatino Linotype"/>
        </w:rPr>
        <w:t xml:space="preserve"> </w:t>
      </w:r>
      <w:r w:rsidRPr="005F1CC0">
        <w:rPr>
          <w:rFonts w:ascii="Palatino Linotype" w:hAnsi="Palatino Linotype"/>
          <w:b/>
          <w:u w:val="single"/>
        </w:rPr>
        <w:t>T</w:t>
      </w:r>
      <w:r w:rsidRPr="005F1CC0">
        <w:rPr>
          <w:rFonts w:ascii="Palatino Linotype" w:hAnsi="Palatino Linotype"/>
        </w:rPr>
        <w:t xml:space="preserve"> </w:t>
      </w:r>
      <w:r w:rsidRPr="005F1CC0">
        <w:rPr>
          <w:rFonts w:ascii="Palatino Linotype" w:hAnsi="Palatino Linotype"/>
          <w:b/>
          <w:u w:val="single"/>
        </w:rPr>
        <w:t>I</w:t>
      </w:r>
      <w:r w:rsidRPr="005F1CC0">
        <w:rPr>
          <w:rFonts w:ascii="Palatino Linotype" w:hAnsi="Palatino Linotype"/>
        </w:rPr>
        <w:t xml:space="preserve"> </w:t>
      </w:r>
      <w:r w:rsidRPr="005F1CC0">
        <w:rPr>
          <w:rFonts w:ascii="Palatino Linotype" w:hAnsi="Palatino Linotype"/>
          <w:b/>
          <w:u w:val="single"/>
        </w:rPr>
        <w:t>O</w:t>
      </w:r>
      <w:r w:rsidRPr="005F1CC0">
        <w:rPr>
          <w:rFonts w:ascii="Palatino Linotype" w:hAnsi="Palatino Linotype"/>
        </w:rPr>
        <w:t xml:space="preserve"> </w:t>
      </w:r>
      <w:r w:rsidRPr="005F1CC0">
        <w:rPr>
          <w:rFonts w:ascii="Palatino Linotype" w:hAnsi="Palatino Linotype"/>
          <w:b/>
          <w:u w:val="single"/>
        </w:rPr>
        <w:t>N</w:t>
      </w:r>
    </w:p>
    <w:p w:rsidRPr="005F1CC0" w:rsidR="00C02870" w:rsidP="00C02870" w:rsidRDefault="00C02870" w14:paraId="203BD65C" w14:textId="77777777">
      <w:pPr>
        <w:rPr>
          <w:rFonts w:ascii="Palatino Linotype" w:hAnsi="Palatino Linotype"/>
        </w:rPr>
      </w:pPr>
    </w:p>
    <w:p w:rsidRPr="005F1CC0" w:rsidR="00C02870" w:rsidP="00C02870" w:rsidRDefault="00C02870" w14:paraId="329B5712" w14:textId="544EDB1A">
      <w:pPr>
        <w:pStyle w:val="BlockText"/>
        <w:jc w:val="left"/>
        <w:rPr>
          <w:rFonts w:ascii="Palatino Linotype" w:hAnsi="Palatino Linotype"/>
          <w:b/>
          <w:bCs/>
          <w:szCs w:val="24"/>
        </w:rPr>
      </w:pPr>
      <w:bookmarkStart w:name="OLE_LINK1" w:id="0"/>
      <w:bookmarkStart w:name="OLE_LINK2" w:id="1"/>
      <w:r w:rsidRPr="005F1CC0">
        <w:rPr>
          <w:rFonts w:ascii="Palatino Linotype" w:hAnsi="Palatino Linotype"/>
          <w:b/>
          <w:bCs/>
          <w:szCs w:val="24"/>
        </w:rPr>
        <w:t xml:space="preserve">Resolution </w:t>
      </w:r>
      <w:r w:rsidR="0080234E">
        <w:rPr>
          <w:rFonts w:ascii="Palatino Linotype" w:hAnsi="Palatino Linotype"/>
          <w:b/>
          <w:bCs/>
          <w:szCs w:val="24"/>
        </w:rPr>
        <w:t>M</w:t>
      </w:r>
      <w:r w:rsidRPr="005F1CC0">
        <w:rPr>
          <w:rFonts w:ascii="Palatino Linotype" w:hAnsi="Palatino Linotype"/>
          <w:b/>
          <w:bCs/>
          <w:szCs w:val="24"/>
        </w:rPr>
        <w:t>-</w:t>
      </w:r>
      <w:r w:rsidRPr="00DB227E" w:rsidR="00DB227E">
        <w:rPr>
          <w:rFonts w:ascii="Palatino Linotype" w:hAnsi="Palatino Linotype"/>
          <w:b/>
          <w:bCs/>
          <w:szCs w:val="24"/>
        </w:rPr>
        <w:t>4848</w:t>
      </w:r>
      <w:r w:rsidRPr="005F1CC0">
        <w:rPr>
          <w:rFonts w:ascii="Palatino Linotype" w:hAnsi="Palatino Linotype"/>
          <w:b/>
          <w:bCs/>
          <w:szCs w:val="24"/>
        </w:rPr>
        <w:t xml:space="preserve"> - Approval of </w:t>
      </w:r>
      <w:r w:rsidRPr="005F1CC0" w:rsidR="009F6F62">
        <w:rPr>
          <w:rFonts w:ascii="Palatino Linotype" w:hAnsi="Palatino Linotype"/>
          <w:b/>
          <w:bCs/>
          <w:szCs w:val="24"/>
        </w:rPr>
        <w:t xml:space="preserve">Moratorium on Disconnection </w:t>
      </w:r>
      <w:r w:rsidRPr="005F1CC0" w:rsidR="002E789D">
        <w:rPr>
          <w:rFonts w:ascii="Palatino Linotype" w:hAnsi="Palatino Linotype"/>
          <w:b/>
          <w:bCs/>
          <w:szCs w:val="24"/>
        </w:rPr>
        <w:t xml:space="preserve">for Non-Payment </w:t>
      </w:r>
      <w:r w:rsidRPr="005F1CC0" w:rsidR="009F6F62">
        <w:rPr>
          <w:rFonts w:ascii="Palatino Linotype" w:hAnsi="Palatino Linotype"/>
          <w:b/>
          <w:bCs/>
          <w:szCs w:val="24"/>
        </w:rPr>
        <w:t xml:space="preserve">and Fees </w:t>
      </w:r>
      <w:r w:rsidRPr="005F1CC0" w:rsidR="002E789D">
        <w:rPr>
          <w:rFonts w:ascii="Palatino Linotype" w:hAnsi="Palatino Linotype"/>
          <w:b/>
          <w:bCs/>
          <w:szCs w:val="24"/>
        </w:rPr>
        <w:t xml:space="preserve">Late Payment </w:t>
      </w:r>
      <w:r w:rsidRPr="00FF0DC0" w:rsidR="00C207DB">
        <w:rPr>
          <w:rFonts w:ascii="Palatino Linotype" w:hAnsi="Palatino Linotype"/>
          <w:b/>
          <w:bCs/>
          <w:szCs w:val="24"/>
        </w:rPr>
        <w:t>f</w:t>
      </w:r>
      <w:r w:rsidRPr="005F1CC0" w:rsidR="009F6F62">
        <w:rPr>
          <w:rFonts w:ascii="Palatino Linotype" w:hAnsi="Palatino Linotype"/>
          <w:b/>
          <w:bCs/>
          <w:szCs w:val="24"/>
        </w:rPr>
        <w:t xml:space="preserve">or Telephone Service During the Governor’s Declared State of Emergency Due </w:t>
      </w:r>
      <w:r w:rsidRPr="005F1CC0" w:rsidR="00C207DB">
        <w:rPr>
          <w:rFonts w:ascii="Palatino Linotype" w:hAnsi="Palatino Linotype"/>
          <w:b/>
          <w:bCs/>
          <w:szCs w:val="24"/>
        </w:rPr>
        <w:t>t</w:t>
      </w:r>
      <w:r w:rsidRPr="005F1CC0" w:rsidR="009F6F62">
        <w:rPr>
          <w:rFonts w:ascii="Palatino Linotype" w:hAnsi="Palatino Linotype"/>
          <w:b/>
          <w:bCs/>
          <w:szCs w:val="24"/>
        </w:rPr>
        <w:t>o the C</w:t>
      </w:r>
      <w:r w:rsidRPr="005F1CC0" w:rsidR="00C207DB">
        <w:rPr>
          <w:rFonts w:ascii="Palatino Linotype" w:hAnsi="Palatino Linotype"/>
          <w:b/>
          <w:bCs/>
          <w:szCs w:val="24"/>
        </w:rPr>
        <w:t>O</w:t>
      </w:r>
      <w:r w:rsidRPr="005F1CC0" w:rsidR="009F6F62">
        <w:rPr>
          <w:rFonts w:ascii="Palatino Linotype" w:hAnsi="Palatino Linotype"/>
          <w:b/>
          <w:bCs/>
          <w:szCs w:val="24"/>
        </w:rPr>
        <w:t>VID-19 Pandemic</w:t>
      </w:r>
    </w:p>
    <w:bookmarkEnd w:id="0"/>
    <w:bookmarkEnd w:id="1"/>
    <w:p w:rsidRPr="005F1CC0" w:rsidR="00C02870" w:rsidP="00C02870" w:rsidRDefault="00C02870" w14:paraId="0C682A9A" w14:textId="77777777">
      <w:pPr>
        <w:ind w:left="720" w:right="720"/>
        <w:rPr>
          <w:rFonts w:ascii="Palatino Linotype" w:hAnsi="Palatino Linotype"/>
        </w:rPr>
      </w:pPr>
      <w:r w:rsidRPr="005F1CC0">
        <w:rPr>
          <w:rFonts w:ascii="Palatino Linotype" w:hAnsi="Palatino Linotype"/>
          <w:b/>
          <w:bCs/>
        </w:rPr>
        <w:t>_</w:t>
      </w:r>
      <w:r w:rsidRPr="005F1CC0">
        <w:rPr>
          <w:rFonts w:ascii="Palatino Linotype" w:hAnsi="Palatino Linotype"/>
        </w:rPr>
        <w:t>____________________________________________________________</w:t>
      </w:r>
    </w:p>
    <w:p w:rsidRPr="005F1CC0" w:rsidR="00C02870" w:rsidP="00C02870" w:rsidRDefault="00C02870" w14:paraId="1337205A" w14:textId="77777777">
      <w:pPr>
        <w:pStyle w:val="xl41"/>
        <w:overflowPunct/>
        <w:autoSpaceDE/>
        <w:autoSpaceDN/>
        <w:adjustRightInd/>
        <w:spacing w:before="0" w:after="0"/>
        <w:textAlignment w:val="auto"/>
        <w:rPr>
          <w:rFonts w:ascii="Palatino Linotype" w:hAnsi="Palatino Linotype" w:eastAsia="Times New Roman"/>
          <w:szCs w:val="24"/>
        </w:rPr>
      </w:pPr>
    </w:p>
    <w:p w:rsidRPr="005F1CC0" w:rsidR="00C02870" w:rsidP="00C02870" w:rsidRDefault="00C02870" w14:paraId="44E0DE55" w14:textId="77777777">
      <w:pPr>
        <w:pStyle w:val="xl41"/>
        <w:overflowPunct/>
        <w:autoSpaceDE/>
        <w:autoSpaceDN/>
        <w:adjustRightInd/>
        <w:spacing w:before="0" w:after="0"/>
        <w:textAlignment w:val="auto"/>
        <w:rPr>
          <w:rFonts w:ascii="Palatino Linotype" w:hAnsi="Palatino Linotype" w:eastAsia="Times New Roman"/>
          <w:szCs w:val="24"/>
        </w:rPr>
      </w:pPr>
    </w:p>
    <w:p w:rsidRPr="005F1CC0" w:rsidR="00C02870" w:rsidP="00C02870" w:rsidRDefault="00C02870" w14:paraId="01BE4138" w14:textId="77777777">
      <w:pPr>
        <w:pStyle w:val="Heading4"/>
        <w:rPr>
          <w:rFonts w:ascii="Palatino Linotype" w:hAnsi="Palatino Linotype"/>
          <w:sz w:val="24"/>
          <w:szCs w:val="24"/>
          <w:u w:val="single"/>
        </w:rPr>
      </w:pPr>
      <w:r w:rsidRPr="005F1CC0">
        <w:rPr>
          <w:rFonts w:ascii="Palatino Linotype" w:hAnsi="Palatino Linotype"/>
          <w:sz w:val="24"/>
          <w:szCs w:val="24"/>
          <w:u w:val="single"/>
        </w:rPr>
        <w:t>SUMMARY</w:t>
      </w:r>
    </w:p>
    <w:p w:rsidRPr="005F1CC0" w:rsidR="00C02870" w:rsidP="00C02870" w:rsidRDefault="00C02870" w14:paraId="7AD8A8C1" w14:textId="77777777">
      <w:pPr>
        <w:rPr>
          <w:rFonts w:ascii="Palatino Linotype" w:hAnsi="Palatino Linotype"/>
        </w:rPr>
      </w:pPr>
    </w:p>
    <w:p w:rsidRPr="005F1CC0" w:rsidR="00C02870" w:rsidP="007943B9" w:rsidRDefault="794B6042" w14:paraId="6FDF0E5C" w14:textId="134585D3">
      <w:pPr>
        <w:tabs>
          <w:tab w:val="left" w:pos="-1440"/>
          <w:tab w:val="left" w:pos="-720"/>
        </w:tabs>
        <w:suppressAutoHyphens/>
        <w:rPr>
          <w:rFonts w:ascii="Palatino Linotype" w:hAnsi="Palatino Linotype"/>
        </w:rPr>
      </w:pPr>
      <w:r w:rsidRPr="794B6042">
        <w:rPr>
          <w:rFonts w:ascii="Palatino Linotype" w:hAnsi="Palatino Linotype"/>
        </w:rPr>
        <w:t xml:space="preserve">The California Public Utilities Commission (Commission or CPUC) issues this Resolution on its own motion in response to Governor Gavin Newsom’s declaration of a state of emergency and </w:t>
      </w:r>
      <w:r w:rsidR="00B51CA4">
        <w:rPr>
          <w:rFonts w:ascii="Palatino Linotype" w:hAnsi="Palatino Linotype"/>
        </w:rPr>
        <w:t>the request in</w:t>
      </w:r>
      <w:r w:rsidRPr="794B6042" w:rsidR="00B51CA4">
        <w:rPr>
          <w:rFonts w:ascii="Palatino Linotype" w:hAnsi="Palatino Linotype"/>
        </w:rPr>
        <w:t xml:space="preserve"> </w:t>
      </w:r>
      <w:r w:rsidRPr="794B6042">
        <w:rPr>
          <w:rFonts w:ascii="Palatino Linotype" w:hAnsi="Palatino Linotype"/>
        </w:rPr>
        <w:t xml:space="preserve">executive orders due to the novel coronavirus (COVID-19) pandemic. Specifically, this Resolution </w:t>
      </w:r>
      <w:r w:rsidRPr="00D052D0">
        <w:rPr>
          <w:rFonts w:ascii="Palatino Linotype" w:hAnsi="Palatino Linotype"/>
        </w:rPr>
        <w:t xml:space="preserve">orders </w:t>
      </w:r>
      <w:r w:rsidRPr="00533965">
        <w:rPr>
          <w:rFonts w:ascii="Palatino Linotype" w:hAnsi="Palatino Linotype"/>
        </w:rPr>
        <w:t>telephone corporations</w:t>
      </w:r>
      <w:r w:rsidRPr="794B6042">
        <w:rPr>
          <w:rFonts w:ascii="Palatino Linotype" w:hAnsi="Palatino Linotype"/>
        </w:rPr>
        <w:t xml:space="preserve"> in California to file a Tier 2 Advice Letter notifying the Communications Division (CD) of their implementation of a moratorium on disconnections for non-payment and on late-payment fees for voice service for residential and small business customers for the duration of the Governor’s declared State of Emergency due to the COVID-19 pandemic.</w:t>
      </w:r>
    </w:p>
    <w:p w:rsidRPr="005F1CC0" w:rsidR="007943B9" w:rsidP="007943B9" w:rsidRDefault="007943B9" w14:paraId="078FDAAB" w14:textId="77777777">
      <w:pPr>
        <w:tabs>
          <w:tab w:val="left" w:pos="-1440"/>
          <w:tab w:val="left" w:pos="-720"/>
        </w:tabs>
        <w:suppressAutoHyphens/>
        <w:rPr>
          <w:rFonts w:ascii="Palatino Linotype" w:hAnsi="Palatino Linotype"/>
        </w:rPr>
      </w:pPr>
    </w:p>
    <w:p w:rsidRPr="005F1CC0" w:rsidR="00C02870" w:rsidP="00C02870" w:rsidRDefault="00C02870" w14:paraId="5B36DB5A" w14:textId="77777777">
      <w:pPr>
        <w:pStyle w:val="Heading4"/>
        <w:rPr>
          <w:rFonts w:ascii="Palatino Linotype" w:hAnsi="Palatino Linotype"/>
          <w:sz w:val="24"/>
          <w:szCs w:val="24"/>
          <w:u w:val="single"/>
        </w:rPr>
      </w:pPr>
      <w:r w:rsidRPr="005F1CC0">
        <w:rPr>
          <w:rFonts w:ascii="Palatino Linotype" w:hAnsi="Palatino Linotype"/>
          <w:sz w:val="24"/>
          <w:szCs w:val="24"/>
          <w:u w:val="single"/>
        </w:rPr>
        <w:t>BACKGROUND</w:t>
      </w:r>
    </w:p>
    <w:p w:rsidRPr="005F1CC0" w:rsidR="00C02870" w:rsidP="00C02870" w:rsidRDefault="00C02870" w14:paraId="6289F651" w14:textId="6D17C2A6">
      <w:pPr>
        <w:rPr>
          <w:rFonts w:ascii="Palatino Linotype" w:hAnsi="Palatino Linotype"/>
        </w:rPr>
      </w:pPr>
    </w:p>
    <w:p w:rsidR="000943B2" w:rsidP="000943B2" w:rsidRDefault="000943B2" w14:paraId="1F816730" w14:textId="1B224760">
      <w:pPr>
        <w:rPr>
          <w:rFonts w:ascii="Palatino Linotype" w:hAnsi="Palatino Linotype" w:cstheme="minorHAnsi"/>
        </w:rPr>
      </w:pPr>
      <w:r w:rsidRPr="0080234E">
        <w:rPr>
          <w:rFonts w:ascii="Palatino Linotype" w:hAnsi="Palatino Linotype" w:cstheme="minorHAnsi"/>
        </w:rPr>
        <w:t>In 2017, the Commission issued two resolutions, M-4833 and M-4835 adopting emergency customer protections for residential and small business customers of utilities affected by major fires in California.</w:t>
      </w:r>
      <w:r w:rsidRPr="0080234E">
        <w:rPr>
          <w:rStyle w:val="FootnoteReference"/>
          <w:rFonts w:ascii="Palatino Linotype" w:hAnsi="Palatino Linotype" w:cstheme="minorHAnsi"/>
        </w:rPr>
        <w:footnoteReference w:id="1"/>
      </w:r>
      <w:r w:rsidRPr="0080234E">
        <w:rPr>
          <w:rFonts w:ascii="Palatino Linotype" w:hAnsi="Palatino Linotype" w:cstheme="minorHAnsi"/>
        </w:rPr>
        <w:t xml:space="preserve">  Both resolutions based their authority to adopt </w:t>
      </w:r>
      <w:r w:rsidRPr="0080234E">
        <w:rPr>
          <w:rFonts w:ascii="Palatino Linotype" w:hAnsi="Palatino Linotype" w:cstheme="minorHAnsi"/>
        </w:rPr>
        <w:lastRenderedPageBreak/>
        <w:t>customer protections on Governor Brown’s emergency proclamations regarding the October 2017 and December 2017 fires.</w:t>
      </w:r>
      <w:r w:rsidRPr="0080234E">
        <w:rPr>
          <w:rStyle w:val="FootnoteReference"/>
          <w:rFonts w:ascii="Palatino Linotype" w:hAnsi="Palatino Linotype" w:cstheme="minorHAnsi"/>
        </w:rPr>
        <w:footnoteReference w:id="2"/>
      </w:r>
      <w:r w:rsidRPr="0080234E">
        <w:rPr>
          <w:rFonts w:ascii="Palatino Linotype" w:hAnsi="Palatino Linotype" w:cstheme="minorHAnsi"/>
        </w:rPr>
        <w:t xml:space="preserve">  </w:t>
      </w:r>
    </w:p>
    <w:p w:rsidRPr="005F1CC0" w:rsidR="000943B2" w:rsidP="00C02870" w:rsidRDefault="000943B2" w14:paraId="4393454D" w14:textId="77777777">
      <w:pPr>
        <w:rPr>
          <w:rFonts w:ascii="Palatino Linotype" w:hAnsi="Palatino Linotype"/>
        </w:rPr>
      </w:pPr>
    </w:p>
    <w:p w:rsidRPr="005F1CC0" w:rsidR="007943B9" w:rsidP="00675E02" w:rsidRDefault="007943B9" w14:paraId="1735D526" w14:textId="193622C5">
      <w:pPr>
        <w:pStyle w:val="BodyText"/>
        <w:rPr>
          <w:rFonts w:ascii="Palatino Linotype" w:hAnsi="Palatino Linotype"/>
        </w:rPr>
      </w:pPr>
      <w:r w:rsidRPr="005F1CC0">
        <w:rPr>
          <w:rFonts w:ascii="Palatino Linotype" w:hAnsi="Palatino Linotype"/>
        </w:rPr>
        <w:t>On March 4, 2020, Governor Newsom declared a State of Emergency in California related to COVID-19</w:t>
      </w:r>
      <w:r w:rsidRPr="005F1CC0" w:rsidR="0024220C">
        <w:rPr>
          <w:rFonts w:ascii="Palatino Linotype" w:hAnsi="Palatino Linotype"/>
        </w:rPr>
        <w:t>.</w:t>
      </w:r>
      <w:r w:rsidRPr="005F1CC0" w:rsidR="00C207DB">
        <w:rPr>
          <w:rStyle w:val="FootnoteReference"/>
          <w:rFonts w:ascii="Palatino Linotype" w:hAnsi="Palatino Linotype"/>
        </w:rPr>
        <w:footnoteReference w:id="3"/>
      </w:r>
      <w:r w:rsidRPr="005F1CC0" w:rsidR="00675E02">
        <w:rPr>
          <w:rFonts w:ascii="Palatino Linotype" w:hAnsi="Palatino Linotype"/>
        </w:rPr>
        <w:t xml:space="preserve"> </w:t>
      </w:r>
      <w:r w:rsidRPr="005F1CC0">
        <w:rPr>
          <w:rFonts w:ascii="Palatino Linotype" w:hAnsi="Palatino Linotype"/>
        </w:rPr>
        <w:t>The Governor t</w:t>
      </w:r>
      <w:r w:rsidRPr="005F1CC0" w:rsidR="00675E02">
        <w:rPr>
          <w:rFonts w:ascii="Palatino Linotype" w:hAnsi="Palatino Linotype"/>
        </w:rPr>
        <w:t>ook</w:t>
      </w:r>
      <w:r w:rsidRPr="005F1CC0">
        <w:rPr>
          <w:rFonts w:ascii="Palatino Linotype" w:hAnsi="Palatino Linotype"/>
        </w:rPr>
        <w:t xml:space="preserve"> additional actions, including</w:t>
      </w:r>
      <w:r w:rsidRPr="005F1CC0" w:rsidR="00675E02">
        <w:rPr>
          <w:rFonts w:ascii="Palatino Linotype" w:hAnsi="Palatino Linotype"/>
        </w:rPr>
        <w:t xml:space="preserve"> i</w:t>
      </w:r>
      <w:r w:rsidRPr="005F1CC0">
        <w:rPr>
          <w:rFonts w:ascii="Palatino Linotype" w:hAnsi="Palatino Linotype"/>
        </w:rPr>
        <w:t>ssuing an Executive Order requesting that the Commission monitor the measures undertaken by public and private utility providers to implement customer service protections in response to COVID-19</w:t>
      </w:r>
      <w:r w:rsidRPr="005F1CC0" w:rsidR="00675E02">
        <w:rPr>
          <w:rFonts w:ascii="Palatino Linotype" w:hAnsi="Palatino Linotype"/>
        </w:rPr>
        <w:t>.</w:t>
      </w:r>
      <w:r w:rsidRPr="005F1CC0" w:rsidR="00C207DB">
        <w:rPr>
          <w:rStyle w:val="FootnoteReference"/>
          <w:rFonts w:ascii="Palatino Linotype" w:hAnsi="Palatino Linotype"/>
        </w:rPr>
        <w:footnoteReference w:id="4"/>
      </w:r>
    </w:p>
    <w:p w:rsidR="00675E02" w:rsidP="00675E02" w:rsidRDefault="00675E02" w14:paraId="7D0980F0" w14:textId="093FD3AF">
      <w:pPr>
        <w:pStyle w:val="BodyText"/>
        <w:rPr>
          <w:rFonts w:ascii="Palatino Linotype" w:hAnsi="Palatino Linotype"/>
        </w:rPr>
      </w:pPr>
    </w:p>
    <w:p w:rsidRPr="004064C6" w:rsidR="005F1CC0" w:rsidP="46818410" w:rsidRDefault="46818410" w14:paraId="69A31151" w14:textId="75D62FA0">
      <w:pPr>
        <w:rPr>
          <w:rFonts w:ascii="Palatino Linotype" w:hAnsi="Palatino Linotype" w:cstheme="minorBidi"/>
        </w:rPr>
      </w:pPr>
      <w:r w:rsidRPr="46818410">
        <w:rPr>
          <w:rFonts w:ascii="Palatino Linotype" w:hAnsi="Palatino Linotype" w:cstheme="minorBidi"/>
        </w:rPr>
        <w:t>On March 17, 2020, based on the holdings of D</w:t>
      </w:r>
      <w:r w:rsidR="00AC1EC7">
        <w:rPr>
          <w:rFonts w:ascii="Palatino Linotype" w:hAnsi="Palatino Linotype" w:cstheme="minorBidi"/>
        </w:rPr>
        <w:t>ecision (D</w:t>
      </w:r>
      <w:r w:rsidRPr="46818410">
        <w:rPr>
          <w:rFonts w:ascii="Palatino Linotype" w:hAnsi="Palatino Linotype" w:cstheme="minorBidi"/>
        </w:rPr>
        <w:t>.</w:t>
      </w:r>
      <w:r w:rsidR="00AC1EC7">
        <w:rPr>
          <w:rFonts w:ascii="Palatino Linotype" w:hAnsi="Palatino Linotype" w:cstheme="minorBidi"/>
        </w:rPr>
        <w:t xml:space="preserve">) </w:t>
      </w:r>
      <w:r w:rsidRPr="46818410">
        <w:rPr>
          <w:rFonts w:ascii="Palatino Linotype" w:hAnsi="Palatino Linotype" w:cstheme="minorBidi"/>
        </w:rPr>
        <w:t>19-08-025, a decision issued in the Emergency Disaster Relief proceeding</w:t>
      </w:r>
      <w:r w:rsidR="00AC1EC7">
        <w:rPr>
          <w:rFonts w:ascii="Palatino Linotype" w:hAnsi="Palatino Linotype" w:cstheme="minorBidi"/>
        </w:rPr>
        <w:t>, Rulemaking (</w:t>
      </w:r>
      <w:r w:rsidRPr="46818410">
        <w:rPr>
          <w:rFonts w:ascii="Palatino Linotype" w:hAnsi="Palatino Linotype" w:cstheme="minorBidi"/>
        </w:rPr>
        <w:t>R.</w:t>
      </w:r>
      <w:r w:rsidR="00AC1EC7">
        <w:rPr>
          <w:rFonts w:ascii="Palatino Linotype" w:hAnsi="Palatino Linotype" w:cstheme="minorBidi"/>
        </w:rPr>
        <w:t xml:space="preserve">) </w:t>
      </w:r>
      <w:r w:rsidRPr="46818410">
        <w:rPr>
          <w:rFonts w:ascii="Palatino Linotype" w:hAnsi="Palatino Linotype" w:cstheme="minorBidi"/>
        </w:rPr>
        <w:t>18-03-011 CPUC Executive Director Alice Stebbins sent a letter to utilities outlining customer protection measures to prevent disconnections for unpaid bills during the pendency of the state of emergency due to the Covid-19 pandemic.</w:t>
      </w:r>
      <w:r w:rsidRPr="004064C6" w:rsidR="005F1CC0">
        <w:rPr>
          <w:rStyle w:val="FootnoteReference"/>
          <w:rFonts w:ascii="Palatino Linotype" w:hAnsi="Palatino Linotype" w:cstheme="minorHAnsi"/>
        </w:rPr>
        <w:footnoteReference w:id="5"/>
      </w:r>
      <w:r w:rsidRPr="46818410">
        <w:rPr>
          <w:rFonts w:ascii="Palatino Linotype" w:hAnsi="Palatino Linotype" w:cstheme="minorBidi"/>
        </w:rPr>
        <w:t> </w:t>
      </w:r>
    </w:p>
    <w:p w:rsidRPr="004064C6" w:rsidR="005F1CC0" w:rsidP="005F1CC0" w:rsidRDefault="005F1CC0" w14:paraId="2FDC379A" w14:textId="77777777">
      <w:pPr>
        <w:rPr>
          <w:rFonts w:ascii="Palatino Linotype" w:hAnsi="Palatino Linotype" w:cstheme="minorHAnsi"/>
        </w:rPr>
      </w:pPr>
    </w:p>
    <w:p w:rsidRPr="004064C6" w:rsidR="005F1CC0" w:rsidP="46818410" w:rsidRDefault="46818410" w14:paraId="2E4DED5B" w14:textId="34EE0875">
      <w:pPr>
        <w:rPr>
          <w:rFonts w:ascii="Palatino Linotype" w:hAnsi="Palatino Linotype" w:cstheme="minorBidi"/>
        </w:rPr>
      </w:pPr>
      <w:r w:rsidRPr="46818410">
        <w:rPr>
          <w:rFonts w:ascii="Palatino Linotype" w:hAnsi="Palatino Linotype" w:cstheme="minorBidi"/>
        </w:rPr>
        <w:t xml:space="preserve">CPUC Resolution M-4842, issued on April 16, 2020, followed the Executive Director’s letter.  Consistent with the directives in D.19-08-025, Resolution M-4842 ordered electric, </w:t>
      </w:r>
      <w:r w:rsidRPr="46818410">
        <w:rPr>
          <w:rFonts w:ascii="Palatino Linotype" w:hAnsi="Palatino Linotype" w:cstheme="minorBidi"/>
        </w:rPr>
        <w:lastRenderedPageBreak/>
        <w:t>gas, communications, and water and sewer corporations in California to file a Tier 2 Advice Letter describing all reasonable and necessary actions to implement the Emergency Customer Protections contained in this resolution to support California customers; and authorized the electric, gas, communications, and water and sewer corporations to establish memorandum accounts to track incremental costs associated with complying with this resolution. The Emergency Customer Protections apply to customers for up to one year from the date of this resolution.</w:t>
      </w:r>
      <w:r w:rsidRPr="004064C6" w:rsidR="005F1CC0">
        <w:rPr>
          <w:rStyle w:val="FootnoteReference"/>
          <w:rFonts w:ascii="Palatino Linotype" w:hAnsi="Palatino Linotype" w:cstheme="minorHAnsi"/>
        </w:rPr>
        <w:footnoteReference w:id="6"/>
      </w:r>
      <w:r w:rsidRPr="46818410">
        <w:rPr>
          <w:rFonts w:ascii="Palatino Linotype" w:hAnsi="Palatino Linotype" w:cstheme="minorBidi"/>
        </w:rPr>
        <w:t xml:space="preserve">  </w:t>
      </w:r>
    </w:p>
    <w:p w:rsidRPr="004064C6" w:rsidR="005F1CC0" w:rsidP="005F1CC0" w:rsidRDefault="005F1CC0" w14:paraId="7E9790CD" w14:textId="77777777">
      <w:pPr>
        <w:rPr>
          <w:rFonts w:ascii="Palatino Linotype" w:hAnsi="Palatino Linotype" w:cstheme="minorHAnsi"/>
        </w:rPr>
      </w:pPr>
    </w:p>
    <w:p w:rsidRPr="004064C6" w:rsidR="005F1CC0" w:rsidP="46818410" w:rsidRDefault="46818410" w14:paraId="179AF306" w14:textId="4BA594D8">
      <w:pPr>
        <w:rPr>
          <w:rFonts w:ascii="Palatino Linotype" w:hAnsi="Palatino Linotype" w:cstheme="minorBidi"/>
        </w:rPr>
      </w:pPr>
      <w:r w:rsidRPr="46818410">
        <w:rPr>
          <w:rFonts w:ascii="Palatino Linotype" w:hAnsi="Palatino Linotype"/>
        </w:rPr>
        <w:t>The Commission took specific steps in Resolution M-4842</w:t>
      </w:r>
      <w:r w:rsidR="00F125F8">
        <w:rPr>
          <w:rFonts w:ascii="Palatino Linotype" w:hAnsi="Palatino Linotype"/>
        </w:rPr>
        <w:t>,</w:t>
      </w:r>
      <w:r w:rsidRPr="005F1CC0" w:rsidR="005F1CC0">
        <w:rPr>
          <w:rStyle w:val="FootnoteReference"/>
          <w:rFonts w:ascii="Palatino Linotype" w:hAnsi="Palatino Linotype"/>
          <w:szCs w:val="20"/>
        </w:rPr>
        <w:footnoteReference w:id="7"/>
      </w:r>
      <w:r w:rsidRPr="46818410">
        <w:rPr>
          <w:rFonts w:ascii="Palatino Linotype" w:hAnsi="Palatino Linotype"/>
        </w:rPr>
        <w:t xml:space="preserve"> in response to the Governor’s emergency proclamation and executive orders, to provide continuity and consistency between all utility actions resulting from the COVID-19 pandemic. The customer protections included in that Resolution did not cover telephone customer disconnections for non-payment and fees for late payment, because those protections were included in the voluntary Keep Americans Connected Pledge, issued by the Federal Communications Commission, (FCC) </w:t>
      </w:r>
      <w:r w:rsidRPr="46818410">
        <w:rPr>
          <w:rFonts w:ascii="Palatino Linotype" w:hAnsi="Palatino Linotype" w:cstheme="minorBidi"/>
        </w:rPr>
        <w:t>which began on March 13, 2020 and ended on June 30, 2020</w:t>
      </w:r>
      <w:r w:rsidRPr="46818410">
        <w:rPr>
          <w:rFonts w:ascii="Palatino Linotype" w:hAnsi="Palatino Linotype"/>
        </w:rPr>
        <w:t>.</w:t>
      </w:r>
      <w:r w:rsidRPr="005F1CC0" w:rsidR="005F1CC0">
        <w:rPr>
          <w:rStyle w:val="FootnoteReference"/>
          <w:rFonts w:ascii="Palatino Linotype" w:hAnsi="Palatino Linotype"/>
          <w:szCs w:val="20"/>
        </w:rPr>
        <w:footnoteReference w:id="8"/>
      </w:r>
      <w:r w:rsidRPr="46818410">
        <w:rPr>
          <w:rFonts w:ascii="Palatino Linotype" w:hAnsi="Palatino Linotype"/>
        </w:rPr>
        <w:t xml:space="preserve"> </w:t>
      </w:r>
      <w:r w:rsidRPr="46818410">
        <w:rPr>
          <w:rFonts w:ascii="Palatino Linotype" w:hAnsi="Palatino Linotype" w:cstheme="minorBidi"/>
        </w:rPr>
        <w:t xml:space="preserve">The Keep Americans Connected Pledge was a promise for </w:t>
      </w:r>
      <w:r w:rsidR="008E73FE">
        <w:rPr>
          <w:rFonts w:ascii="Palatino Linotype" w:hAnsi="Palatino Linotype" w:cstheme="minorBidi"/>
        </w:rPr>
        <w:t>broadband and telephone service providers</w:t>
      </w:r>
      <w:r w:rsidRPr="46818410">
        <w:rPr>
          <w:rFonts w:ascii="Palatino Linotype" w:hAnsi="Palatino Linotype" w:cstheme="minorBidi"/>
        </w:rPr>
        <w:t xml:space="preserve"> to do the following for residential and small business customers:</w:t>
      </w:r>
    </w:p>
    <w:p w:rsidRPr="00D052D0" w:rsidR="005F1CC0" w:rsidP="005F1CC0" w:rsidRDefault="005F1CC0" w14:paraId="2E69EC0C" w14:textId="77777777">
      <w:pPr>
        <w:numPr>
          <w:ilvl w:val="0"/>
          <w:numId w:val="5"/>
        </w:numPr>
        <w:spacing w:before="100" w:beforeAutospacing="1" w:after="100" w:afterAutospacing="1"/>
        <w:rPr>
          <w:rFonts w:ascii="Palatino Linotype" w:hAnsi="Palatino Linotype" w:cstheme="minorHAnsi"/>
        </w:rPr>
      </w:pPr>
      <w:r w:rsidRPr="00D052D0">
        <w:rPr>
          <w:rFonts w:ascii="Palatino Linotype" w:hAnsi="Palatino Linotype" w:cstheme="minorHAnsi"/>
        </w:rPr>
        <w:t>Not terminate service to any residential or small business customers because of their inability to pay their bills due to the disruptions caused by the coronavirus pandemic. </w:t>
      </w:r>
    </w:p>
    <w:p w:rsidRPr="00D052D0" w:rsidR="005F1CC0" w:rsidP="005F1CC0" w:rsidRDefault="005F1CC0" w14:paraId="30914B0C" w14:textId="77777777">
      <w:pPr>
        <w:numPr>
          <w:ilvl w:val="0"/>
          <w:numId w:val="5"/>
        </w:numPr>
        <w:spacing w:before="100" w:beforeAutospacing="1" w:after="100" w:afterAutospacing="1"/>
        <w:rPr>
          <w:rFonts w:ascii="Palatino Linotype" w:hAnsi="Palatino Linotype" w:cstheme="minorHAnsi"/>
        </w:rPr>
      </w:pPr>
      <w:r w:rsidRPr="00D052D0">
        <w:rPr>
          <w:rFonts w:ascii="Palatino Linotype" w:hAnsi="Palatino Linotype" w:cstheme="minorHAnsi"/>
        </w:rPr>
        <w:t>Waive any late fees that any residential or small business customers incur because of their economic circumstances related to the coronavirus pandemic.</w:t>
      </w:r>
    </w:p>
    <w:p w:rsidRPr="00D052D0" w:rsidR="005F1CC0" w:rsidP="005F1CC0" w:rsidRDefault="005F1CC0" w14:paraId="50F8D829" w14:textId="77777777">
      <w:pPr>
        <w:numPr>
          <w:ilvl w:val="0"/>
          <w:numId w:val="5"/>
        </w:numPr>
        <w:spacing w:before="100" w:beforeAutospacing="1" w:after="100" w:afterAutospacing="1"/>
        <w:rPr>
          <w:rFonts w:ascii="Palatino Linotype" w:hAnsi="Palatino Linotype" w:cstheme="minorHAnsi"/>
        </w:rPr>
      </w:pPr>
      <w:r w:rsidRPr="00D052D0">
        <w:rPr>
          <w:rFonts w:ascii="Palatino Linotype" w:hAnsi="Palatino Linotype" w:cstheme="minorHAnsi"/>
        </w:rPr>
        <w:t>Open Wi-Fi hotspots to any American who needs them.</w:t>
      </w:r>
      <w:r w:rsidRPr="00D052D0">
        <w:rPr>
          <w:rStyle w:val="FootnoteReference"/>
          <w:rFonts w:ascii="Palatino Linotype" w:hAnsi="Palatino Linotype" w:cstheme="minorHAnsi"/>
        </w:rPr>
        <w:footnoteReference w:id="9"/>
      </w:r>
    </w:p>
    <w:p w:rsidRPr="004064C6" w:rsidR="005F1CC0" w:rsidP="005F1CC0" w:rsidRDefault="005F1CC0" w14:paraId="75897DB3" w14:textId="68144684">
      <w:pPr>
        <w:rPr>
          <w:rFonts w:ascii="Palatino Linotype" w:hAnsi="Palatino Linotype" w:cstheme="minorHAnsi"/>
        </w:rPr>
      </w:pPr>
      <w:r w:rsidRPr="004064C6">
        <w:rPr>
          <w:rFonts w:ascii="Palatino Linotype" w:hAnsi="Palatino Linotype" w:cstheme="minorHAnsi"/>
        </w:rPr>
        <w:t>Because the Keep America</w:t>
      </w:r>
      <w:r w:rsidR="00A57C92">
        <w:rPr>
          <w:rFonts w:ascii="Palatino Linotype" w:hAnsi="Palatino Linotype" w:cstheme="minorHAnsi"/>
        </w:rPr>
        <w:t>ns</w:t>
      </w:r>
      <w:r w:rsidRPr="004064C6">
        <w:rPr>
          <w:rFonts w:ascii="Palatino Linotype" w:hAnsi="Palatino Linotype" w:cstheme="minorHAnsi"/>
        </w:rPr>
        <w:t xml:space="preserve"> Connected Initiative has expired, </w:t>
      </w:r>
      <w:r w:rsidR="00144C2A">
        <w:rPr>
          <w:rFonts w:ascii="Palatino Linotype" w:hAnsi="Palatino Linotype" w:cstheme="minorHAnsi"/>
        </w:rPr>
        <w:t xml:space="preserve">residential and small business customers could lose </w:t>
      </w:r>
      <w:r w:rsidR="0080234E">
        <w:rPr>
          <w:rFonts w:ascii="Palatino Linotype" w:hAnsi="Palatino Linotype" w:cstheme="minorHAnsi"/>
        </w:rPr>
        <w:t>voice</w:t>
      </w:r>
      <w:r w:rsidR="00144C2A">
        <w:rPr>
          <w:rFonts w:ascii="Palatino Linotype" w:hAnsi="Palatino Linotype" w:cstheme="minorHAnsi"/>
        </w:rPr>
        <w:t xml:space="preserve"> service</w:t>
      </w:r>
      <w:r w:rsidR="00A57C92">
        <w:rPr>
          <w:rFonts w:ascii="Palatino Linotype" w:hAnsi="Palatino Linotype" w:cstheme="minorHAnsi"/>
        </w:rPr>
        <w:t>,</w:t>
      </w:r>
      <w:r w:rsidR="00144C2A">
        <w:rPr>
          <w:rFonts w:ascii="Palatino Linotype" w:hAnsi="Palatino Linotype" w:cstheme="minorHAnsi"/>
        </w:rPr>
        <w:t xml:space="preserve"> and </w:t>
      </w:r>
      <w:r w:rsidRPr="004064C6">
        <w:rPr>
          <w:rFonts w:ascii="Palatino Linotype" w:hAnsi="Palatino Linotype" w:cstheme="minorHAnsi"/>
        </w:rPr>
        <w:t>late fees could be placed back on</w:t>
      </w:r>
      <w:r w:rsidR="00144C2A">
        <w:rPr>
          <w:rFonts w:ascii="Palatino Linotype" w:hAnsi="Palatino Linotype" w:cstheme="minorHAnsi"/>
        </w:rPr>
        <w:t xml:space="preserve"> </w:t>
      </w:r>
      <w:r w:rsidRPr="004064C6">
        <w:rPr>
          <w:rFonts w:ascii="Palatino Linotype" w:hAnsi="Palatino Linotype" w:cstheme="minorHAnsi"/>
        </w:rPr>
        <w:t>resident</w:t>
      </w:r>
      <w:r w:rsidR="00144C2A">
        <w:rPr>
          <w:rFonts w:ascii="Palatino Linotype" w:hAnsi="Palatino Linotype" w:cstheme="minorHAnsi"/>
        </w:rPr>
        <w:t xml:space="preserve">ial </w:t>
      </w:r>
      <w:r w:rsidRPr="004064C6">
        <w:rPr>
          <w:rFonts w:ascii="Palatino Linotype" w:hAnsi="Palatino Linotype" w:cstheme="minorHAnsi"/>
        </w:rPr>
        <w:t>and small business customers' bills. </w:t>
      </w:r>
    </w:p>
    <w:p w:rsidRPr="005F1CC0" w:rsidR="005F1CC0" w:rsidP="00675E02" w:rsidRDefault="005F1CC0" w14:paraId="70A8A7FA" w14:textId="77777777">
      <w:pPr>
        <w:pStyle w:val="BodyText"/>
        <w:rPr>
          <w:rFonts w:ascii="Palatino Linotype" w:hAnsi="Palatino Linotype"/>
        </w:rPr>
      </w:pPr>
    </w:p>
    <w:p w:rsidRPr="005F1CC0" w:rsidR="007943B9" w:rsidP="007943B9" w:rsidRDefault="794B6042" w14:paraId="504B397A" w14:textId="5CB8EC64">
      <w:pPr>
        <w:pStyle w:val="BodyText"/>
        <w:rPr>
          <w:rFonts w:ascii="Palatino Linotype" w:hAnsi="Palatino Linotype"/>
        </w:rPr>
      </w:pPr>
      <w:r w:rsidRPr="794B6042">
        <w:rPr>
          <w:rFonts w:ascii="Palatino Linotype" w:hAnsi="Palatino Linotype"/>
        </w:rPr>
        <w:lastRenderedPageBreak/>
        <w:t xml:space="preserve">By the middle of November 2020, more than </w:t>
      </w:r>
      <w:r w:rsidRPr="00493D39">
        <w:rPr>
          <w:rFonts w:ascii="Palatino Linotype" w:hAnsi="Palatino Linotype"/>
        </w:rPr>
        <w:t>1,0</w:t>
      </w:r>
      <w:r w:rsidRPr="00493D39" w:rsidR="006B2AB3">
        <w:rPr>
          <w:rFonts w:ascii="Palatino Linotype" w:hAnsi="Palatino Linotype"/>
        </w:rPr>
        <w:t>4</w:t>
      </w:r>
      <w:r w:rsidRPr="00493D39">
        <w:rPr>
          <w:rFonts w:ascii="Palatino Linotype" w:hAnsi="Palatino Linotype"/>
        </w:rPr>
        <w:t>7,</w:t>
      </w:r>
      <w:r w:rsidRPr="00493D39" w:rsidR="006B2AB3">
        <w:rPr>
          <w:rFonts w:ascii="Palatino Linotype" w:hAnsi="Palatino Linotype"/>
        </w:rPr>
        <w:t>789</w:t>
      </w:r>
      <w:r w:rsidRPr="00493D39">
        <w:rPr>
          <w:rFonts w:ascii="Palatino Linotype" w:hAnsi="Palatino Linotype"/>
        </w:rPr>
        <w:t xml:space="preserve"> of Covid-19 cases had been confirmed in California, and over 18,</w:t>
      </w:r>
      <w:r w:rsidRPr="00493D39" w:rsidR="006B2AB3">
        <w:rPr>
          <w:rFonts w:ascii="Palatino Linotype" w:hAnsi="Palatino Linotype"/>
        </w:rPr>
        <w:t>360</w:t>
      </w:r>
      <w:r w:rsidRPr="006B2AB3">
        <w:rPr>
          <w:rFonts w:ascii="Palatino Linotype" w:hAnsi="Palatino Linotype"/>
        </w:rPr>
        <w:t xml:space="preserve"> deaths</w:t>
      </w:r>
      <w:r w:rsidRPr="794B6042">
        <w:rPr>
          <w:rFonts w:ascii="Palatino Linotype" w:hAnsi="Palatino Linotype"/>
        </w:rPr>
        <w:t xml:space="preserve"> reported</w:t>
      </w:r>
      <w:r w:rsidR="006D3ADA">
        <w:rPr>
          <w:rStyle w:val="FootnoteReference"/>
          <w:rFonts w:ascii="Palatino Linotype" w:hAnsi="Palatino Linotype"/>
        </w:rPr>
        <w:footnoteReference w:id="10"/>
      </w:r>
      <w:r w:rsidRPr="794B6042">
        <w:rPr>
          <w:rFonts w:ascii="Palatino Linotype" w:hAnsi="Palatino Linotype"/>
        </w:rPr>
        <w:t xml:space="preserve"> from the disease in this state. </w:t>
      </w:r>
      <w:r w:rsidR="00D052D0">
        <w:rPr>
          <w:rFonts w:ascii="Palatino Linotype" w:hAnsi="Palatino Linotype"/>
        </w:rPr>
        <w:t>On November 16, 2020, Governor Newsom announced that 41 of the state’s 58 counties, encompassing about 37 million people, will remain in or roll back to the purple tier, the strictest tier of the state’s four-part, color-coded reopening roadmap.</w:t>
      </w:r>
      <w:r w:rsidR="00D052D0">
        <w:rPr>
          <w:rStyle w:val="FootnoteReference"/>
          <w:rFonts w:ascii="Palatino Linotype" w:hAnsi="Palatino Linotype"/>
        </w:rPr>
        <w:footnoteReference w:id="11"/>
      </w:r>
      <w:r w:rsidR="00D052D0">
        <w:rPr>
          <w:rFonts w:ascii="Palatino Linotype" w:hAnsi="Palatino Linotype"/>
        </w:rPr>
        <w:t xml:space="preserve"> </w:t>
      </w:r>
      <w:r w:rsidRPr="794B6042">
        <w:rPr>
          <w:rFonts w:ascii="Palatino Linotype" w:hAnsi="Palatino Linotype"/>
        </w:rPr>
        <w:t>The situation continues to evolve, with the number of confirmed cases rising at a rapid rate and  predicted to continue to rise. Many small businesses remain closed, and the unemployment rate is at a record high.</w:t>
      </w:r>
    </w:p>
    <w:p w:rsidRPr="005F1CC0" w:rsidR="00675E02" w:rsidP="007943B9" w:rsidRDefault="00675E02" w14:paraId="71AA3BE2" w14:textId="2AC82F2F">
      <w:pPr>
        <w:pStyle w:val="BodyText"/>
        <w:rPr>
          <w:rFonts w:ascii="Palatino Linotype" w:hAnsi="Palatino Linotype"/>
        </w:rPr>
      </w:pPr>
    </w:p>
    <w:p w:rsidRPr="005F1CC0" w:rsidR="00675E02" w:rsidP="007943B9" w:rsidRDefault="00B51CA4" w14:paraId="5CC6EF12" w14:textId="6D2BAD3E">
      <w:pPr>
        <w:pStyle w:val="BodyText"/>
        <w:rPr>
          <w:rFonts w:ascii="Palatino Linotype" w:hAnsi="Palatino Linotype"/>
        </w:rPr>
      </w:pPr>
      <w:r>
        <w:rPr>
          <w:rFonts w:ascii="Palatino Linotype" w:hAnsi="Palatino Linotype"/>
        </w:rPr>
        <w:t>From an economic perspective</w:t>
      </w:r>
      <w:r w:rsidRPr="005F1CC0" w:rsidR="00BE362D">
        <w:rPr>
          <w:rFonts w:ascii="Palatino Linotype" w:hAnsi="Palatino Linotype"/>
        </w:rPr>
        <w:t xml:space="preserve">, </w:t>
      </w:r>
      <w:r w:rsidRPr="005F1CC0" w:rsidR="00F713E2">
        <w:rPr>
          <w:rFonts w:ascii="Palatino Linotype" w:hAnsi="Palatino Linotype"/>
        </w:rPr>
        <w:t>a</w:t>
      </w:r>
      <w:r w:rsidRPr="005F1CC0" w:rsidR="00675E02">
        <w:rPr>
          <w:rFonts w:ascii="Palatino Linotype" w:hAnsi="Palatino Linotype"/>
        </w:rPr>
        <w:t xml:space="preserve"> $600 weekly federal supplement for unemployed workers expired at the end of July, and a $300 replacement for some workers ran out </w:t>
      </w:r>
      <w:r w:rsidRPr="005F1CC0" w:rsidR="00F713E2">
        <w:rPr>
          <w:rFonts w:ascii="Palatino Linotype" w:hAnsi="Palatino Linotype"/>
        </w:rPr>
        <w:t>in October</w:t>
      </w:r>
      <w:r w:rsidRPr="005F1CC0" w:rsidR="00675E02">
        <w:rPr>
          <w:rFonts w:ascii="Palatino Linotype" w:hAnsi="Palatino Linotype"/>
        </w:rPr>
        <w:t>. An emergency benefit for the self-employed and for independent contractors, who do not qualify for state unemployment aid, is slated to end in December.</w:t>
      </w:r>
      <w:r w:rsidRPr="794B6042" w:rsidR="794B6042">
        <w:rPr>
          <w:rFonts w:ascii="Palatino Linotype" w:hAnsi="Palatino Linotype"/>
        </w:rPr>
        <w:t xml:space="preserve">  And</w:t>
      </w:r>
      <w:r w:rsidR="00533965">
        <w:rPr>
          <w:rFonts w:ascii="Palatino Linotype" w:hAnsi="Palatino Linotype"/>
        </w:rPr>
        <w:t xml:space="preserve"> to the extent that</w:t>
      </w:r>
      <w:r w:rsidRPr="794B6042" w:rsidR="794B6042">
        <w:rPr>
          <w:rFonts w:ascii="Palatino Linotype" w:hAnsi="Palatino Linotype"/>
        </w:rPr>
        <w:t xml:space="preserve"> the federal CARES Act</w:t>
      </w:r>
      <w:r w:rsidR="00EF2BFA">
        <w:rPr>
          <w:rStyle w:val="FootnoteReference"/>
          <w:rFonts w:ascii="Palatino Linotype" w:hAnsi="Palatino Linotype"/>
        </w:rPr>
        <w:footnoteReference w:id="12"/>
      </w:r>
      <w:r w:rsidRPr="794B6042" w:rsidR="794B6042">
        <w:rPr>
          <w:rFonts w:ascii="Palatino Linotype" w:hAnsi="Palatino Linotype"/>
        </w:rPr>
        <w:t xml:space="preserve"> provided relief to American small businesses with the emergency small business loan program, th</w:t>
      </w:r>
      <w:r w:rsidR="00533965">
        <w:rPr>
          <w:rFonts w:ascii="Palatino Linotype" w:hAnsi="Palatino Linotype"/>
        </w:rPr>
        <w:t>at</w:t>
      </w:r>
      <w:r w:rsidRPr="794B6042" w:rsidR="794B6042">
        <w:rPr>
          <w:rFonts w:ascii="Palatino Linotype" w:hAnsi="Palatino Linotype"/>
        </w:rPr>
        <w:t xml:space="preserve"> money is exhausted.</w:t>
      </w:r>
      <w:r w:rsidR="00EF60D9">
        <w:rPr>
          <w:rStyle w:val="FootnoteReference"/>
          <w:rFonts w:ascii="Palatino Linotype" w:hAnsi="Palatino Linotype"/>
        </w:rPr>
        <w:footnoteReference w:id="13"/>
      </w:r>
      <w:r w:rsidRPr="794B6042" w:rsidR="794B6042">
        <w:rPr>
          <w:rFonts w:ascii="Palatino Linotype" w:hAnsi="Palatino Linotype"/>
        </w:rPr>
        <w:t xml:space="preserve">  </w:t>
      </w:r>
    </w:p>
    <w:p w:rsidRPr="005F1CC0" w:rsidR="005E3563" w:rsidP="007943B9" w:rsidRDefault="005E3563" w14:paraId="757EAAEF" w14:textId="6EE7CDD4">
      <w:pPr>
        <w:rPr>
          <w:rFonts w:ascii="Palatino Linotype" w:hAnsi="Palatino Linotype"/>
          <w:szCs w:val="20"/>
        </w:rPr>
      </w:pPr>
    </w:p>
    <w:p w:rsidRPr="005F1CC0" w:rsidR="005E3563" w:rsidP="46818410" w:rsidRDefault="46818410" w14:paraId="791B9062" w14:textId="4DD03839">
      <w:pPr>
        <w:rPr>
          <w:rFonts w:ascii="Palatino Linotype" w:hAnsi="Palatino Linotype"/>
        </w:rPr>
      </w:pPr>
      <w:r w:rsidRPr="46818410">
        <w:rPr>
          <w:rFonts w:ascii="Palatino Linotype" w:hAnsi="Palatino Linotype"/>
        </w:rPr>
        <w:t>The Commission’s Consumer Affairs Branch continues to receive calls from residential and small business</w:t>
      </w:r>
      <w:r w:rsidR="0080234E">
        <w:rPr>
          <w:rFonts w:ascii="Palatino Linotype" w:hAnsi="Palatino Linotype"/>
        </w:rPr>
        <w:t xml:space="preserve"> voice</w:t>
      </w:r>
      <w:r w:rsidRPr="46818410">
        <w:rPr>
          <w:rFonts w:ascii="Palatino Linotype" w:hAnsi="Palatino Linotype"/>
        </w:rPr>
        <w:t xml:space="preserve"> customers who have been disconnected for non-payment or have been charged late fees.</w:t>
      </w:r>
    </w:p>
    <w:p w:rsidRPr="005F1CC0" w:rsidR="002E578A" w:rsidP="007943B9" w:rsidRDefault="002E578A" w14:paraId="04C1F832" w14:textId="205B38DC">
      <w:pPr>
        <w:rPr>
          <w:rFonts w:ascii="Palatino Linotype" w:hAnsi="Palatino Linotype"/>
          <w:szCs w:val="20"/>
        </w:rPr>
      </w:pPr>
    </w:p>
    <w:p w:rsidRPr="005F1CC0" w:rsidR="00C02870" w:rsidP="00C02870" w:rsidRDefault="00C02870" w14:paraId="7CE2ECB1" w14:textId="27FB8A38">
      <w:pPr>
        <w:pStyle w:val="Heading4"/>
        <w:tabs>
          <w:tab w:val="left" w:pos="-1440"/>
          <w:tab w:val="left" w:pos="-720"/>
        </w:tabs>
        <w:suppressAutoHyphens/>
        <w:rPr>
          <w:rFonts w:ascii="Palatino Linotype" w:hAnsi="Palatino Linotype"/>
          <w:sz w:val="24"/>
          <w:szCs w:val="24"/>
          <w:u w:val="single"/>
        </w:rPr>
      </w:pPr>
      <w:r w:rsidRPr="005F1CC0">
        <w:rPr>
          <w:rFonts w:ascii="Palatino Linotype" w:hAnsi="Palatino Linotype"/>
          <w:sz w:val="24"/>
          <w:szCs w:val="24"/>
          <w:u w:val="single"/>
        </w:rPr>
        <w:t>DISCUSSION</w:t>
      </w:r>
    </w:p>
    <w:p w:rsidRPr="005F1CC0" w:rsidR="00C02870" w:rsidP="00C02870" w:rsidRDefault="00C02870" w14:paraId="289F4534" w14:textId="77777777">
      <w:pPr>
        <w:rPr>
          <w:rFonts w:ascii="Palatino Linotype" w:hAnsi="Palatino Linotype"/>
        </w:rPr>
      </w:pPr>
    </w:p>
    <w:p w:rsidRPr="005F1CC0" w:rsidR="00997752" w:rsidP="00997752" w:rsidRDefault="00997752" w14:paraId="3EC05D53" w14:textId="0468A51B">
      <w:pPr>
        <w:rPr>
          <w:rFonts w:ascii="Palatino Linotype" w:hAnsi="Palatino Linotype"/>
        </w:rPr>
      </w:pPr>
      <w:r w:rsidRPr="005F1CC0">
        <w:rPr>
          <w:rFonts w:ascii="Palatino Linotype" w:hAnsi="Palatino Linotype"/>
        </w:rPr>
        <w:t xml:space="preserve">The </w:t>
      </w:r>
      <w:r w:rsidRPr="005F1CC0" w:rsidR="0026457A">
        <w:rPr>
          <w:rFonts w:ascii="Palatino Linotype" w:hAnsi="Palatino Linotype"/>
        </w:rPr>
        <w:t xml:space="preserve">public health </w:t>
      </w:r>
      <w:r w:rsidRPr="005F1CC0">
        <w:rPr>
          <w:rFonts w:ascii="Palatino Linotype" w:hAnsi="Palatino Linotype"/>
        </w:rPr>
        <w:t xml:space="preserve">response to COVID-19 has been extremely disruptive to all Californians and has impacted many Californians’ ability to work. The Commission has dealt with highly disruptive events, most recently with the devastating wildfires in Northern and Southern California. In response to reoccurring natural and manmade </w:t>
      </w:r>
      <w:r w:rsidRPr="005F1CC0">
        <w:rPr>
          <w:rFonts w:ascii="Palatino Linotype" w:hAnsi="Palatino Linotype"/>
        </w:rPr>
        <w:lastRenderedPageBreak/>
        <w:t>disasters, the CPUC initiated a</w:t>
      </w:r>
      <w:r w:rsidRPr="46818410" w:rsidR="46818410">
        <w:rPr>
          <w:rFonts w:ascii="Palatino Linotype" w:hAnsi="Palatino Linotype"/>
        </w:rPr>
        <w:t>n emergency</w:t>
      </w:r>
      <w:r w:rsidRPr="005F1CC0">
        <w:rPr>
          <w:rFonts w:ascii="Palatino Linotype" w:hAnsi="Palatino Linotype"/>
        </w:rPr>
        <w:t xml:space="preserve"> disaster relief Rulemaking</w:t>
      </w:r>
      <w:r w:rsidR="00EF60D9">
        <w:rPr>
          <w:rFonts w:ascii="Palatino Linotype" w:hAnsi="Palatino Linotype"/>
        </w:rPr>
        <w:t>,</w:t>
      </w:r>
      <w:r w:rsidRPr="005F1CC0">
        <w:rPr>
          <w:rFonts w:ascii="Palatino Linotype" w:hAnsi="Palatino Linotype"/>
        </w:rPr>
        <w:t xml:space="preserve"> R.18-03-011 and adopted a series of requirements for utility companies (electric, gas, water and sewer) and communications providers, culminating in customer protection measures adopted in D.19-07-015 and D.19-08-025</w:t>
      </w:r>
      <w:r w:rsidRPr="005F1CC0" w:rsidR="0026457A">
        <w:rPr>
          <w:rFonts w:ascii="Palatino Linotype" w:hAnsi="Palatino Linotype"/>
        </w:rPr>
        <w:t>)</w:t>
      </w:r>
      <w:r w:rsidRPr="005F1CC0">
        <w:rPr>
          <w:rFonts w:ascii="Palatino Linotype" w:hAnsi="Palatino Linotype"/>
        </w:rPr>
        <w:t>.</w:t>
      </w:r>
      <w:r w:rsidRPr="005F1CC0" w:rsidR="00405079">
        <w:rPr>
          <w:rStyle w:val="FootnoteReference"/>
          <w:rFonts w:ascii="Palatino Linotype" w:hAnsi="Palatino Linotype"/>
        </w:rPr>
        <w:footnoteReference w:id="14"/>
      </w:r>
    </w:p>
    <w:p w:rsidRPr="005F1CC0" w:rsidR="00962CEB" w:rsidP="00997752" w:rsidRDefault="00962CEB" w14:paraId="6EFCA8FF" w14:textId="77777777">
      <w:pPr>
        <w:rPr>
          <w:rFonts w:ascii="Palatino Linotype" w:hAnsi="Palatino Linotype"/>
        </w:rPr>
      </w:pPr>
    </w:p>
    <w:p w:rsidRPr="005F1CC0" w:rsidR="00C02870" w:rsidP="00997752" w:rsidRDefault="794B6042" w14:paraId="4AE1F1A4" w14:textId="1967464F">
      <w:pPr>
        <w:rPr>
          <w:rFonts w:ascii="Palatino Linotype" w:hAnsi="Palatino Linotype"/>
        </w:rPr>
      </w:pPr>
      <w:r w:rsidRPr="794B6042">
        <w:rPr>
          <w:rFonts w:ascii="Palatino Linotype" w:hAnsi="Palatino Linotype"/>
        </w:rPr>
        <w:t>The customer protection measures adopted in R.18-03-011 apply in cases where a gubernatorial or presidential declared emergency relates to the disruption or degradation of service.  The COVID-19 pandemic represents a different type of emergency, one where the threat -- in this case, a virus -- necessitates a response which impacts Californians’ ability to pay for utility service.  Social distancing, shelter-in-place requirements, executive and county orders, and proclamations have required the closure of non-essential businesses including bars, dine-in restaurants, and shops, and subsequent employee layoffs have created a risk that customers may fall behind on utility payments due to the COVID-19 pandemic at the same time that shelter-in-place orders will likely cause increased usage of utility services resulting in higher utility bills.</w:t>
      </w:r>
    </w:p>
    <w:p w:rsidRPr="005F1CC0" w:rsidR="00997752" w:rsidP="00997752" w:rsidRDefault="00997752" w14:paraId="270A36F0" w14:textId="4DEA4DE8">
      <w:pPr>
        <w:rPr>
          <w:rFonts w:ascii="Palatino Linotype" w:hAnsi="Palatino Linotype"/>
        </w:rPr>
      </w:pPr>
    </w:p>
    <w:p w:rsidRPr="005F1CC0" w:rsidR="00997752" w:rsidP="00997752" w:rsidRDefault="00997752" w14:paraId="348EDE11" w14:textId="085C315B">
      <w:pPr>
        <w:rPr>
          <w:rFonts w:ascii="Palatino Linotype" w:hAnsi="Palatino Linotype"/>
        </w:rPr>
      </w:pPr>
      <w:r w:rsidRPr="005F1CC0">
        <w:rPr>
          <w:rFonts w:ascii="Palatino Linotype" w:hAnsi="Palatino Linotype"/>
        </w:rPr>
        <w:t xml:space="preserve">Having access to essential utility </w:t>
      </w:r>
      <w:r w:rsidRPr="794B6042" w:rsidR="794B6042">
        <w:rPr>
          <w:rFonts w:ascii="Palatino Linotype" w:hAnsi="Palatino Linotype"/>
        </w:rPr>
        <w:t xml:space="preserve">voice </w:t>
      </w:r>
      <w:r w:rsidRPr="005F1CC0">
        <w:rPr>
          <w:rFonts w:ascii="Palatino Linotype" w:hAnsi="Palatino Linotype"/>
        </w:rPr>
        <w:t>services is critical to maintaining Californians’ health and safety during the COVID-19 pandemic.  Therefore, because of the COVID-19 pandemic, the Commission</w:t>
      </w:r>
      <w:r w:rsidRPr="005F1CC0" w:rsidR="005E3563">
        <w:rPr>
          <w:rFonts w:ascii="Palatino Linotype" w:hAnsi="Palatino Linotype"/>
        </w:rPr>
        <w:t xml:space="preserve">, through this resolution, imposes a moratorium on </w:t>
      </w:r>
      <w:r w:rsidRPr="794B6042" w:rsidR="794B6042">
        <w:rPr>
          <w:rFonts w:ascii="Palatino Linotype" w:hAnsi="Palatino Linotype"/>
        </w:rPr>
        <w:t>telephone corporations</w:t>
      </w:r>
      <w:r w:rsidR="008325FA">
        <w:rPr>
          <w:rStyle w:val="FootnoteReference"/>
          <w:rFonts w:ascii="Palatino Linotype" w:hAnsi="Palatino Linotype"/>
        </w:rPr>
        <w:footnoteReference w:id="15"/>
      </w:r>
      <w:r w:rsidRPr="794B6042" w:rsidR="794B6042">
        <w:rPr>
          <w:rFonts w:ascii="Palatino Linotype" w:hAnsi="Palatino Linotype"/>
        </w:rPr>
        <w:t xml:space="preserve"> from </w:t>
      </w:r>
      <w:r w:rsidRPr="005F1CC0" w:rsidR="005E3563">
        <w:rPr>
          <w:rFonts w:ascii="Palatino Linotype" w:hAnsi="Palatino Linotype"/>
        </w:rPr>
        <w:t>disconnecti</w:t>
      </w:r>
      <w:r w:rsidRPr="794B6042" w:rsidR="794B6042">
        <w:rPr>
          <w:rFonts w:ascii="Palatino Linotype" w:hAnsi="Palatino Linotype"/>
        </w:rPr>
        <w:t>ng</w:t>
      </w:r>
      <w:r w:rsidRPr="005F1CC0" w:rsidR="005E3563">
        <w:rPr>
          <w:rFonts w:ascii="Palatino Linotype" w:hAnsi="Palatino Linotype"/>
        </w:rPr>
        <w:t xml:space="preserve"> </w:t>
      </w:r>
      <w:r w:rsidRPr="794B6042" w:rsidR="794B6042">
        <w:rPr>
          <w:rFonts w:ascii="Palatino Linotype" w:hAnsi="Palatino Linotype"/>
        </w:rPr>
        <w:t xml:space="preserve">voice service </w:t>
      </w:r>
      <w:r w:rsidRPr="005F1CC0" w:rsidR="00186105">
        <w:rPr>
          <w:rFonts w:ascii="Palatino Linotype" w:hAnsi="Palatino Linotype"/>
        </w:rPr>
        <w:t xml:space="preserve">for non-payment </w:t>
      </w:r>
      <w:r w:rsidRPr="005F1CC0" w:rsidR="005E3563">
        <w:rPr>
          <w:rFonts w:ascii="Palatino Linotype" w:hAnsi="Palatino Linotype"/>
        </w:rPr>
        <w:t>and</w:t>
      </w:r>
      <w:r w:rsidRPr="794B6042" w:rsidR="794B6042">
        <w:rPr>
          <w:rFonts w:ascii="Palatino Linotype" w:hAnsi="Palatino Linotype"/>
        </w:rPr>
        <w:t xml:space="preserve"> from charging</w:t>
      </w:r>
      <w:r w:rsidRPr="005F1CC0" w:rsidR="005E3563">
        <w:rPr>
          <w:rFonts w:ascii="Palatino Linotype" w:hAnsi="Palatino Linotype"/>
        </w:rPr>
        <w:t xml:space="preserve"> fees for late payment</w:t>
      </w:r>
      <w:r w:rsidRPr="794B6042" w:rsidR="794B6042">
        <w:rPr>
          <w:rFonts w:ascii="Palatino Linotype" w:hAnsi="Palatino Linotype"/>
        </w:rPr>
        <w:t xml:space="preserve"> of voice services.</w:t>
      </w:r>
      <w:r w:rsidR="00533965">
        <w:rPr>
          <w:rStyle w:val="FootnoteReference"/>
          <w:rFonts w:ascii="Palatino Linotype" w:hAnsi="Palatino Linotype"/>
        </w:rPr>
        <w:footnoteReference w:id="16"/>
      </w:r>
      <w:r w:rsidRPr="794B6042" w:rsidR="794B6042">
        <w:rPr>
          <w:rFonts w:ascii="Palatino Linotype" w:hAnsi="Palatino Linotype"/>
        </w:rPr>
        <w:t xml:space="preserve">  </w:t>
      </w:r>
      <w:r w:rsidR="004C47F6">
        <w:rPr>
          <w:rFonts w:ascii="Palatino Linotype" w:hAnsi="Palatino Linotype"/>
        </w:rPr>
        <w:t xml:space="preserve">During the pendency of this moratorium, telephone corporations shall also cease sending late fee and disconnection notices for voice services to residential and small business customers.  </w:t>
      </w:r>
      <w:r w:rsidRPr="794B6042" w:rsidR="794B6042">
        <w:rPr>
          <w:rFonts w:ascii="Palatino Linotype" w:hAnsi="Palatino Linotype"/>
        </w:rPr>
        <w:t>This moratorium on disconnections and late fees will last</w:t>
      </w:r>
      <w:r w:rsidRPr="005F1CC0">
        <w:rPr>
          <w:rFonts w:ascii="Palatino Linotype" w:hAnsi="Palatino Linotype"/>
        </w:rPr>
        <w:t xml:space="preserve"> through </w:t>
      </w:r>
      <w:r w:rsidRPr="46818410" w:rsidR="46818410">
        <w:rPr>
          <w:rFonts w:ascii="Palatino Linotype" w:hAnsi="Palatino Linotype"/>
        </w:rPr>
        <w:t xml:space="preserve">the date that the Governor lifts the </w:t>
      </w:r>
      <w:r w:rsidRPr="46818410" w:rsidR="46818410">
        <w:rPr>
          <w:rFonts w:ascii="Palatino Linotype" w:hAnsi="Palatino Linotype"/>
        </w:rPr>
        <w:lastRenderedPageBreak/>
        <w:t>declared state of emergency regarding the COVID-19 pandemic in California</w:t>
      </w:r>
      <w:r w:rsidRPr="005F1CC0" w:rsidR="005E3563">
        <w:rPr>
          <w:rFonts w:ascii="Palatino Linotype" w:hAnsi="Palatino Linotype"/>
        </w:rPr>
        <w:softHyphen/>
      </w:r>
      <w:r w:rsidRPr="005F1CC0" w:rsidR="005E3563">
        <w:rPr>
          <w:rFonts w:ascii="Palatino Linotype" w:hAnsi="Palatino Linotype"/>
        </w:rPr>
        <w:softHyphen/>
      </w:r>
      <w:r w:rsidRPr="005F1CC0" w:rsidR="005E3563">
        <w:rPr>
          <w:rFonts w:ascii="Palatino Linotype" w:hAnsi="Palatino Linotype"/>
        </w:rPr>
        <w:softHyphen/>
      </w:r>
      <w:r w:rsidRPr="005F1CC0">
        <w:rPr>
          <w:rFonts w:ascii="Palatino Linotype" w:hAnsi="Palatino Linotype"/>
        </w:rPr>
        <w:t>,</w:t>
      </w:r>
      <w:r w:rsidRPr="005F1CC0" w:rsidR="005E3563">
        <w:rPr>
          <w:rFonts w:ascii="Palatino Linotype" w:hAnsi="Palatino Linotype"/>
        </w:rPr>
        <w:t xml:space="preserve"> </w:t>
      </w:r>
      <w:r w:rsidRPr="005F1CC0">
        <w:rPr>
          <w:rFonts w:ascii="Palatino Linotype" w:hAnsi="Palatino Linotype"/>
        </w:rPr>
        <w:t xml:space="preserve">with an option to extend.  The Commission takes this action in response to extraordinary circumstances and the </w:t>
      </w:r>
      <w:r w:rsidRPr="794B6042" w:rsidR="794B6042">
        <w:rPr>
          <w:rFonts w:ascii="Palatino Linotype" w:hAnsi="Palatino Linotype"/>
        </w:rPr>
        <w:t xml:space="preserve">current </w:t>
      </w:r>
      <w:r w:rsidRPr="005F1CC0">
        <w:rPr>
          <w:rFonts w:ascii="Palatino Linotype" w:hAnsi="Palatino Linotype"/>
        </w:rPr>
        <w:t>state of emergency to ensure continuity of essential service to customers during this health and safety crisis.  This Resolution does not establish precedent for standard Commission ratemaking or customer protection processes.</w:t>
      </w:r>
    </w:p>
    <w:p w:rsidRPr="005F1CC0" w:rsidR="00962CEB" w:rsidP="00997752" w:rsidRDefault="00962CEB" w14:paraId="3255748F" w14:textId="77777777">
      <w:pPr>
        <w:rPr>
          <w:rFonts w:ascii="Palatino Linotype" w:hAnsi="Palatino Linotype"/>
        </w:rPr>
      </w:pPr>
    </w:p>
    <w:p w:rsidRPr="005F1CC0" w:rsidR="00997752" w:rsidP="00997752" w:rsidRDefault="00997752" w14:paraId="67EA03D8" w14:textId="5B77B627">
      <w:pPr>
        <w:rPr>
          <w:rFonts w:ascii="Palatino Linotype" w:hAnsi="Palatino Linotype"/>
        </w:rPr>
      </w:pPr>
      <w:r w:rsidRPr="005F1CC0">
        <w:rPr>
          <w:rFonts w:ascii="Palatino Linotype" w:hAnsi="Palatino Linotype"/>
        </w:rPr>
        <w:t xml:space="preserve">All residential and small business customers </w:t>
      </w:r>
      <w:r w:rsidR="00EF60D9">
        <w:rPr>
          <w:rFonts w:ascii="Palatino Linotype" w:hAnsi="Palatino Linotype"/>
        </w:rPr>
        <w:t xml:space="preserve">who receive voice service </w:t>
      </w:r>
      <w:r w:rsidRPr="005F1CC0">
        <w:rPr>
          <w:rFonts w:ascii="Palatino Linotype" w:hAnsi="Palatino Linotype"/>
        </w:rPr>
        <w:t>in California are eligible for the emergency customer protections set forth in this Resolution.</w:t>
      </w:r>
    </w:p>
    <w:p w:rsidRPr="005F1CC0" w:rsidR="00962CEB" w:rsidP="00997752" w:rsidRDefault="00962CEB" w14:paraId="35EA8A49" w14:textId="77777777">
      <w:pPr>
        <w:rPr>
          <w:rFonts w:ascii="Palatino Linotype" w:hAnsi="Palatino Linotype"/>
        </w:rPr>
      </w:pPr>
    </w:p>
    <w:p w:rsidRPr="005F1CC0" w:rsidR="00997752" w:rsidP="00997752" w:rsidRDefault="00997752" w14:paraId="30BBAA61" w14:textId="255EAA6C">
      <w:pPr>
        <w:rPr>
          <w:rFonts w:ascii="Palatino Linotype" w:hAnsi="Palatino Linotype"/>
        </w:rPr>
      </w:pPr>
      <w:r w:rsidRPr="005F1CC0">
        <w:rPr>
          <w:rFonts w:ascii="Palatino Linotype" w:hAnsi="Palatino Linotype"/>
        </w:rPr>
        <w:t>These customer protections are a floor, not a ceiling.</w:t>
      </w:r>
      <w:r w:rsidRPr="005F1CC0" w:rsidR="009475A7">
        <w:rPr>
          <w:rStyle w:val="FootnoteReference"/>
          <w:rFonts w:ascii="Palatino Linotype" w:hAnsi="Palatino Linotype"/>
        </w:rPr>
        <w:footnoteReference w:id="17"/>
      </w:r>
      <w:r w:rsidRPr="005F1CC0">
        <w:rPr>
          <w:rFonts w:ascii="Palatino Linotype" w:hAnsi="Palatino Linotype"/>
        </w:rPr>
        <w:t xml:space="preserve"> As we stated in D.19-07-015 and D.19-08-025, we support and encourage </w:t>
      </w:r>
      <w:r w:rsidR="008325FA">
        <w:rPr>
          <w:rFonts w:ascii="Palatino Linotype" w:hAnsi="Palatino Linotype"/>
        </w:rPr>
        <w:t>telephone corporations</w:t>
      </w:r>
      <w:r w:rsidRPr="005F1CC0">
        <w:rPr>
          <w:rFonts w:ascii="Palatino Linotype" w:hAnsi="Palatino Linotype"/>
        </w:rPr>
        <w:t xml:space="preserve"> to do more to help Californians in this time of need.</w:t>
      </w:r>
      <w:r w:rsidRPr="005F1CC0" w:rsidR="009475A7">
        <w:rPr>
          <w:rStyle w:val="FootnoteReference"/>
          <w:rFonts w:ascii="Palatino Linotype" w:hAnsi="Palatino Linotype"/>
        </w:rPr>
        <w:footnoteReference w:id="18"/>
      </w:r>
      <w:r w:rsidRPr="005F1CC0">
        <w:rPr>
          <w:rFonts w:ascii="Palatino Linotype" w:hAnsi="Palatino Linotype"/>
        </w:rPr>
        <w:t xml:space="preserve"> T</w:t>
      </w:r>
      <w:r w:rsidR="008325FA">
        <w:rPr>
          <w:rFonts w:ascii="Palatino Linotype" w:hAnsi="Palatino Linotype"/>
        </w:rPr>
        <w:t>elephone corporations</w:t>
      </w:r>
      <w:r w:rsidRPr="005F1CC0">
        <w:rPr>
          <w:rFonts w:ascii="Palatino Linotype" w:hAnsi="Palatino Linotype"/>
        </w:rPr>
        <w:t xml:space="preserve"> have the discretion to add additional customer relief efforts that are unique to their customers’ experience, or the specific type of damage a customer may suffer from as a result of COVID-19.</w:t>
      </w:r>
      <w:r w:rsidRPr="005F1CC0" w:rsidR="009475A7">
        <w:rPr>
          <w:rStyle w:val="FootnoteReference"/>
          <w:rFonts w:ascii="Palatino Linotype" w:hAnsi="Palatino Linotype"/>
        </w:rPr>
        <w:footnoteReference w:id="19"/>
      </w:r>
    </w:p>
    <w:p w:rsidRPr="005F1CC0" w:rsidR="00997752" w:rsidP="00997752" w:rsidRDefault="00997752" w14:paraId="66F07193" w14:textId="3FB7017F">
      <w:pPr>
        <w:rPr>
          <w:rFonts w:ascii="Palatino Linotype" w:hAnsi="Palatino Linotype"/>
        </w:rPr>
      </w:pPr>
    </w:p>
    <w:p w:rsidRPr="005F1CC0" w:rsidR="00200199" w:rsidP="00997752" w:rsidRDefault="794B6042" w14:paraId="6AC13BE7" w14:textId="00C3B025">
      <w:pPr>
        <w:rPr>
          <w:rFonts w:ascii="Palatino Linotype" w:hAnsi="Palatino Linotype"/>
        </w:rPr>
      </w:pPr>
      <w:r w:rsidRPr="794B6042">
        <w:rPr>
          <w:rFonts w:ascii="Palatino Linotype" w:hAnsi="Palatino Linotype"/>
        </w:rPr>
        <w:t>This moratorium on disconnections for non-payment and fees for late payment of voice services does not replace the customer protections put in place with D.19-07-015 and D.19-08-025, but rather, supplements those customer protections.</w:t>
      </w:r>
    </w:p>
    <w:p w:rsidRPr="005F1CC0" w:rsidR="00200199" w:rsidP="00997752" w:rsidRDefault="00200199" w14:paraId="415520EB" w14:textId="77777777">
      <w:pPr>
        <w:rPr>
          <w:rFonts w:ascii="Palatino Linotype" w:hAnsi="Palatino Linotype"/>
        </w:rPr>
      </w:pPr>
    </w:p>
    <w:p w:rsidRPr="005F1CC0" w:rsidR="00997752" w:rsidP="00997752" w:rsidRDefault="00997752" w14:paraId="2781651E" w14:textId="77777777">
      <w:pPr>
        <w:rPr>
          <w:rFonts w:ascii="Palatino Linotype" w:hAnsi="Palatino Linotype"/>
        </w:rPr>
      </w:pPr>
    </w:p>
    <w:p w:rsidRPr="005F1CC0" w:rsidR="00C02870" w:rsidP="00C02870" w:rsidRDefault="00C02870" w14:paraId="58FFF805" w14:textId="77777777">
      <w:pPr>
        <w:pStyle w:val="Heading7"/>
        <w:rPr>
          <w:rFonts w:ascii="Palatino Linotype" w:hAnsi="Palatino Linotype"/>
          <w:bCs/>
          <w:szCs w:val="24"/>
          <w:u w:val="single"/>
        </w:rPr>
      </w:pPr>
      <w:r w:rsidRPr="005F1CC0">
        <w:rPr>
          <w:rFonts w:ascii="Palatino Linotype" w:hAnsi="Palatino Linotype"/>
          <w:bCs/>
          <w:szCs w:val="24"/>
          <w:u w:val="single"/>
        </w:rPr>
        <w:t>ADVICE LETTER FILING</w:t>
      </w:r>
    </w:p>
    <w:p w:rsidR="000F5DC8" w:rsidP="00C02870" w:rsidRDefault="000F5DC8" w14:paraId="40F1EA87" w14:textId="34185DC6">
      <w:pPr>
        <w:rPr>
          <w:rFonts w:ascii="Palatino Linotype" w:hAnsi="Palatino Linotype"/>
        </w:rPr>
      </w:pPr>
      <w:r w:rsidRPr="000F5DC8">
        <w:rPr>
          <w:rFonts w:ascii="Palatino Linotype" w:hAnsi="Palatino Linotype"/>
        </w:rPr>
        <w:t xml:space="preserve">The telephone corporations subject to this Resolution shall take the following immediate actions and file a Tier 2 Advice Letter no later than </w:t>
      </w:r>
      <w:r>
        <w:rPr>
          <w:rFonts w:ascii="Palatino Linotype" w:hAnsi="Palatino Linotype"/>
        </w:rPr>
        <w:t>20</w:t>
      </w:r>
      <w:r w:rsidRPr="000F5DC8">
        <w:rPr>
          <w:rFonts w:ascii="Palatino Linotype" w:hAnsi="Palatino Linotype"/>
        </w:rPr>
        <w:t xml:space="preserve"> days after this Resolution’s approval demonstrating compliance to the Commission’s Energy Division</w:t>
      </w:r>
    </w:p>
    <w:p w:rsidRPr="005F1CC0" w:rsidR="00C02870" w:rsidP="00C02870" w:rsidRDefault="00C02870" w14:paraId="0F77B148" w14:textId="77777777">
      <w:pPr>
        <w:pStyle w:val="BodyText"/>
        <w:rPr>
          <w:rFonts w:ascii="Palatino Linotype" w:hAnsi="Palatino Linotype"/>
          <w:szCs w:val="24"/>
        </w:rPr>
      </w:pPr>
    </w:p>
    <w:p w:rsidRPr="005F1CC0" w:rsidR="00C02870" w:rsidP="00C02870" w:rsidRDefault="00C02870" w14:paraId="2264D6F6" w14:textId="77777777">
      <w:pPr>
        <w:pStyle w:val="Heading7"/>
        <w:keepLines/>
        <w:rPr>
          <w:rFonts w:ascii="Palatino Linotype" w:hAnsi="Palatino Linotype"/>
          <w:szCs w:val="24"/>
          <w:u w:val="single"/>
        </w:rPr>
      </w:pPr>
    </w:p>
    <w:p w:rsidRPr="005F1CC0" w:rsidR="00C02870" w:rsidP="00C02870" w:rsidRDefault="00C02870" w14:paraId="11975CDC" w14:textId="77777777">
      <w:pPr>
        <w:pStyle w:val="Heading7"/>
        <w:keepLines/>
        <w:rPr>
          <w:rFonts w:ascii="Palatino Linotype" w:hAnsi="Palatino Linotype"/>
          <w:szCs w:val="24"/>
          <w:u w:val="single"/>
        </w:rPr>
      </w:pPr>
      <w:r w:rsidRPr="005F1CC0">
        <w:rPr>
          <w:rFonts w:ascii="Palatino Linotype" w:hAnsi="Palatino Linotype"/>
          <w:szCs w:val="24"/>
          <w:u w:val="single"/>
        </w:rPr>
        <w:t>COMMENTS ON DRAFT RESOLUTION</w:t>
      </w:r>
    </w:p>
    <w:p w:rsidRPr="005F1CC0" w:rsidR="00C02870" w:rsidP="00C02870" w:rsidRDefault="00C02870" w14:paraId="76D20DF4" w14:textId="77777777">
      <w:pPr>
        <w:rPr>
          <w:rFonts w:ascii="Palatino Linotype" w:hAnsi="Palatino Linotype"/>
        </w:rPr>
      </w:pPr>
    </w:p>
    <w:p w:rsidRPr="005F1CC0" w:rsidR="00993B43" w:rsidP="00993B43" w:rsidRDefault="00993B43" w14:paraId="3320B1F0" w14:textId="6BBAAB08">
      <w:pPr>
        <w:pStyle w:val="BodyText"/>
        <w:tabs>
          <w:tab w:val="left" w:pos="1170"/>
        </w:tabs>
        <w:rPr>
          <w:rFonts w:ascii="Palatino Linotype" w:hAnsi="Palatino Linotype"/>
          <w:szCs w:val="24"/>
        </w:rPr>
      </w:pPr>
      <w:r w:rsidRPr="00D93735">
        <w:rPr>
          <w:rFonts w:ascii="Palatino Linotype" w:hAnsi="Palatino Linotype"/>
        </w:rPr>
        <w:t>Public Utilities Code section 311(g)(1) provides that this Resolution must be served on all parties and subject to at least 30 days public review and comment prior to a vote of the Commission. Section 311(g)(2) provides that this 30-day period may be reduced or waived</w:t>
      </w:r>
      <w:r>
        <w:rPr>
          <w:rFonts w:ascii="Palatino Linotype" w:hAnsi="Palatino Linotype"/>
        </w:rPr>
        <w:t xml:space="preserve"> “</w:t>
      </w:r>
      <w:r w:rsidRPr="00D93735">
        <w:rPr>
          <w:rFonts w:ascii="Palatino Linotype" w:hAnsi="Palatino Linotype"/>
        </w:rPr>
        <w:t>in an unforeseen emergenc</w:t>
      </w:r>
      <w:r>
        <w:rPr>
          <w:rFonts w:ascii="Palatino Linotype" w:hAnsi="Palatino Linotype"/>
        </w:rPr>
        <w:t>y</w:t>
      </w:r>
      <w:r w:rsidRPr="00D93735">
        <w:rPr>
          <w:rFonts w:ascii="Palatino Linotype" w:hAnsi="Palatino Linotype"/>
        </w:rPr>
        <w:t xml:space="preserve">.” </w:t>
      </w:r>
      <w:r>
        <w:rPr>
          <w:rFonts w:ascii="Palatino Linotype" w:hAnsi="Palatino Linotype"/>
        </w:rPr>
        <w:t>Rule 14.6 of t</w:t>
      </w:r>
      <w:r w:rsidRPr="00D93735">
        <w:rPr>
          <w:rFonts w:ascii="Palatino Linotype" w:hAnsi="Palatino Linotype"/>
        </w:rPr>
        <w:t xml:space="preserve">he Commission’s Rules of Practice and Procedure </w:t>
      </w:r>
      <w:r>
        <w:rPr>
          <w:rFonts w:ascii="Palatino Linotype" w:hAnsi="Palatino Linotype"/>
        </w:rPr>
        <w:t xml:space="preserve">(Rules) </w:t>
      </w:r>
      <w:r w:rsidRPr="00D93735">
        <w:rPr>
          <w:rFonts w:ascii="Palatino Linotype" w:hAnsi="Palatino Linotype"/>
        </w:rPr>
        <w:t xml:space="preserve">also </w:t>
      </w:r>
      <w:r>
        <w:rPr>
          <w:rFonts w:ascii="Palatino Linotype" w:hAnsi="Palatino Linotype"/>
        </w:rPr>
        <w:t>state</w:t>
      </w:r>
      <w:r w:rsidRPr="00D93735">
        <w:rPr>
          <w:rFonts w:ascii="Palatino Linotype" w:hAnsi="Palatino Linotype"/>
        </w:rPr>
        <w:t xml:space="preserve"> that public review and comment may be waived or reduced in an “unforeseen emergency situation” s</w:t>
      </w:r>
      <w:r>
        <w:rPr>
          <w:rFonts w:ascii="Palatino Linotype" w:hAnsi="Palatino Linotype"/>
        </w:rPr>
        <w:t xml:space="preserve">uch as </w:t>
      </w:r>
      <w:r w:rsidRPr="00D93735">
        <w:rPr>
          <w:rFonts w:ascii="Palatino Linotype" w:hAnsi="Palatino Linotype"/>
        </w:rPr>
        <w:t xml:space="preserve"> wh</w:t>
      </w:r>
      <w:r>
        <w:rPr>
          <w:rFonts w:ascii="Palatino Linotype" w:hAnsi="Palatino Linotype"/>
        </w:rPr>
        <w:t>en</w:t>
      </w:r>
      <w:r w:rsidRPr="00D93735">
        <w:rPr>
          <w:rFonts w:ascii="Palatino Linotype" w:hAnsi="Palatino Linotype"/>
        </w:rPr>
        <w:t xml:space="preserve"> there are “[a]</w:t>
      </w:r>
      <w:proofErr w:type="spellStart"/>
      <w:r w:rsidRPr="00D93735">
        <w:rPr>
          <w:rFonts w:ascii="Palatino Linotype" w:hAnsi="Palatino Linotype"/>
        </w:rPr>
        <w:t>ctivities</w:t>
      </w:r>
      <w:proofErr w:type="spellEnd"/>
      <w:r w:rsidRPr="00D93735">
        <w:rPr>
          <w:rFonts w:ascii="Palatino Linotype" w:hAnsi="Palatino Linotype"/>
        </w:rPr>
        <w:t xml:space="preserve"> </w:t>
      </w:r>
      <w:r w:rsidRPr="00D93735">
        <w:rPr>
          <w:rFonts w:ascii="Palatino Linotype" w:hAnsi="Palatino Linotype"/>
        </w:rPr>
        <w:lastRenderedPageBreak/>
        <w:t>that severely impair or threaten to severely impair public health or safety</w:t>
      </w:r>
      <w:r>
        <w:rPr>
          <w:rFonts w:ascii="Palatino Linotype" w:hAnsi="Palatino Linotype"/>
        </w:rPr>
        <w:t>,</w:t>
      </w:r>
      <w:r w:rsidRPr="00D93735">
        <w:rPr>
          <w:rFonts w:ascii="Palatino Linotype" w:hAnsi="Palatino Linotype"/>
        </w:rPr>
        <w:t>”</w:t>
      </w:r>
      <w:r>
        <w:rPr>
          <w:rStyle w:val="FootnoteReference"/>
          <w:rFonts w:ascii="Palatino Linotype" w:hAnsi="Palatino Linotype"/>
        </w:rPr>
        <w:footnoteReference w:id="20"/>
      </w:r>
      <w:r w:rsidRPr="00D93735">
        <w:rPr>
          <w:rFonts w:ascii="Palatino Linotype" w:hAnsi="Palatino Linotype"/>
        </w:rPr>
        <w:t xml:space="preserve"> </w:t>
      </w:r>
      <w:r>
        <w:rPr>
          <w:rFonts w:ascii="Palatino Linotype" w:hAnsi="Palatino Linotype"/>
        </w:rPr>
        <w:t>“</w:t>
      </w:r>
      <w:r w:rsidRPr="00D93735">
        <w:rPr>
          <w:rFonts w:ascii="Palatino Linotype" w:hAnsi="Palatino Linotype"/>
        </w:rPr>
        <w:t>[c]rippling disasters that severely impair public health or safety</w:t>
      </w:r>
      <w:r>
        <w:rPr>
          <w:rFonts w:ascii="Palatino Linotype" w:hAnsi="Palatino Linotype"/>
        </w:rPr>
        <w:t>,”</w:t>
      </w:r>
      <w:r>
        <w:rPr>
          <w:rStyle w:val="FootnoteReference"/>
          <w:rFonts w:ascii="Palatino Linotype" w:hAnsi="Palatino Linotype"/>
        </w:rPr>
        <w:footnoteReference w:id="21"/>
      </w:r>
      <w:r w:rsidRPr="00D93735">
        <w:rPr>
          <w:rFonts w:ascii="Palatino Linotype" w:hAnsi="Palatino Linotype"/>
        </w:rPr>
        <w:t xml:space="preserve"> </w:t>
      </w:r>
      <w:r>
        <w:rPr>
          <w:rFonts w:ascii="Palatino Linotype" w:hAnsi="Palatino Linotype"/>
        </w:rPr>
        <w:t xml:space="preserve">or </w:t>
      </w:r>
      <w:r w:rsidRPr="00D93735">
        <w:rPr>
          <w:rFonts w:ascii="Palatino Linotype" w:hAnsi="Palatino Linotype"/>
        </w:rPr>
        <w:t>“</w:t>
      </w:r>
      <w:r>
        <w:rPr>
          <w:rFonts w:ascii="Palatino Linotype" w:hAnsi="Palatino Linotype"/>
        </w:rPr>
        <w:t>[r]</w:t>
      </w:r>
      <w:proofErr w:type="spellStart"/>
      <w:r w:rsidRPr="00D93735">
        <w:rPr>
          <w:rFonts w:ascii="Palatino Linotype" w:hAnsi="Palatino Linotype"/>
        </w:rPr>
        <w:t>equests</w:t>
      </w:r>
      <w:proofErr w:type="spellEnd"/>
      <w:r w:rsidRPr="00D93735">
        <w:rPr>
          <w:rFonts w:ascii="Palatino Linotype" w:hAnsi="Palatino Linotype"/>
        </w:rPr>
        <w:t xml:space="preserve"> for relief based on extraordinary conditions in which time is of the</w:t>
      </w:r>
      <w:r w:rsidRPr="00D93735">
        <w:t xml:space="preserve"> </w:t>
      </w:r>
      <w:r w:rsidRPr="00D93735">
        <w:rPr>
          <w:rFonts w:ascii="Palatino Linotype" w:hAnsi="Palatino Linotype"/>
        </w:rPr>
        <w:t xml:space="preserve">essence.” The 30-day comment period is </w:t>
      </w:r>
      <w:r>
        <w:rPr>
          <w:rFonts w:ascii="Palatino Linotype" w:hAnsi="Palatino Linotype"/>
        </w:rPr>
        <w:t>reduced</w:t>
      </w:r>
      <w:r w:rsidRPr="00D93735">
        <w:rPr>
          <w:rFonts w:ascii="Palatino Linotype" w:hAnsi="Palatino Linotype"/>
        </w:rPr>
        <w:t xml:space="preserve"> pursuant to </w:t>
      </w:r>
      <w:r>
        <w:rPr>
          <w:rFonts w:ascii="Palatino Linotype" w:hAnsi="Palatino Linotype"/>
        </w:rPr>
        <w:t xml:space="preserve">Public Utilities Code section 311(g) and Rule 14.6(a) </w:t>
      </w:r>
      <w:r w:rsidRPr="00D93735">
        <w:rPr>
          <w:rFonts w:ascii="Palatino Linotype" w:hAnsi="Palatino Linotype"/>
        </w:rPr>
        <w:t xml:space="preserve">due to the extraordinary nature of the pandemic. </w:t>
      </w:r>
      <w:r>
        <w:rPr>
          <w:rFonts w:ascii="Palatino Linotype" w:hAnsi="Palatino Linotype"/>
        </w:rPr>
        <w:t xml:space="preserve">Opening comments are due on December </w:t>
      </w:r>
      <w:r w:rsidR="000A281F">
        <w:rPr>
          <w:rFonts w:ascii="Palatino Linotype" w:hAnsi="Palatino Linotype"/>
        </w:rPr>
        <w:t>9</w:t>
      </w:r>
      <w:r>
        <w:rPr>
          <w:rFonts w:ascii="Palatino Linotype" w:hAnsi="Palatino Linotype"/>
        </w:rPr>
        <w:t>, 2020 days and reply comments are due on December 14, 2020.  T</w:t>
      </w:r>
      <w:r w:rsidRPr="00D93735">
        <w:rPr>
          <w:rFonts w:ascii="Palatino Linotype" w:hAnsi="Palatino Linotype"/>
        </w:rPr>
        <w:t xml:space="preserve">his resolution </w:t>
      </w:r>
      <w:r>
        <w:rPr>
          <w:rFonts w:ascii="Palatino Linotype" w:hAnsi="Palatino Linotype"/>
        </w:rPr>
        <w:t>shall be</w:t>
      </w:r>
      <w:r w:rsidRPr="00D93735">
        <w:rPr>
          <w:rFonts w:ascii="Palatino Linotype" w:hAnsi="Palatino Linotype"/>
        </w:rPr>
        <w:t xml:space="preserve"> served on the service list of</w:t>
      </w:r>
      <w:r>
        <w:rPr>
          <w:rFonts w:ascii="Palatino Linotype" w:hAnsi="Palatino Linotype"/>
        </w:rPr>
        <w:t xml:space="preserve"> R.18-03-011,</w:t>
      </w:r>
      <w:r w:rsidRPr="00D93735">
        <w:rPr>
          <w:rFonts w:ascii="Palatino Linotype" w:hAnsi="Palatino Linotype"/>
        </w:rPr>
        <w:t xml:space="preserve"> the proceeding that developed the customer protection measures discussed herein. Interested persons </w:t>
      </w:r>
      <w:r>
        <w:rPr>
          <w:rFonts w:ascii="Palatino Linotype" w:hAnsi="Palatino Linotype"/>
        </w:rPr>
        <w:t>may</w:t>
      </w:r>
      <w:r w:rsidRPr="00D93735">
        <w:rPr>
          <w:rFonts w:ascii="Palatino Linotype" w:hAnsi="Palatino Linotype"/>
        </w:rPr>
        <w:t xml:space="preserve"> participate in the forthcoming Advice Letter processes</w:t>
      </w:r>
      <w:r>
        <w:rPr>
          <w:rFonts w:ascii="Palatino Linotype" w:hAnsi="Palatino Linotype"/>
        </w:rPr>
        <w:t>.</w:t>
      </w:r>
    </w:p>
    <w:p w:rsidRPr="005F1CC0" w:rsidR="00C02870" w:rsidP="00C02870" w:rsidRDefault="00C02870" w14:paraId="3C11E71F" w14:textId="77777777">
      <w:pPr>
        <w:pStyle w:val="BodyText"/>
        <w:tabs>
          <w:tab w:val="left" w:pos="1170"/>
        </w:tabs>
        <w:ind w:right="630"/>
        <w:rPr>
          <w:rFonts w:ascii="Palatino Linotype" w:hAnsi="Palatino Linotype"/>
          <w:szCs w:val="24"/>
        </w:rPr>
      </w:pPr>
    </w:p>
    <w:p w:rsidRPr="005F1CC0" w:rsidR="00C02870" w:rsidP="00C02870" w:rsidRDefault="00C02870" w14:paraId="15DC525A" w14:textId="77777777">
      <w:pPr>
        <w:pStyle w:val="Heading4"/>
        <w:rPr>
          <w:rFonts w:ascii="Palatino Linotype" w:hAnsi="Palatino Linotype"/>
          <w:sz w:val="24"/>
          <w:szCs w:val="24"/>
          <w:u w:val="single"/>
        </w:rPr>
      </w:pPr>
      <w:r w:rsidRPr="005F1CC0">
        <w:rPr>
          <w:rFonts w:ascii="Palatino Linotype" w:hAnsi="Palatino Linotype"/>
          <w:bCs/>
          <w:sz w:val="24"/>
          <w:szCs w:val="24"/>
          <w:u w:val="single"/>
        </w:rPr>
        <w:t>FIN</w:t>
      </w:r>
      <w:r w:rsidRPr="005F1CC0">
        <w:rPr>
          <w:rFonts w:ascii="Palatino Linotype" w:hAnsi="Palatino Linotype"/>
          <w:sz w:val="24"/>
          <w:szCs w:val="24"/>
          <w:u w:val="single"/>
        </w:rPr>
        <w:t xml:space="preserve">DINGS </w:t>
      </w:r>
    </w:p>
    <w:p w:rsidRPr="005F1CC0" w:rsidR="00C02870" w:rsidP="00C02870" w:rsidRDefault="00C02870" w14:paraId="4050021D" w14:textId="77777777">
      <w:pPr>
        <w:rPr>
          <w:rFonts w:ascii="Palatino Linotype" w:hAnsi="Palatino Linotype"/>
        </w:rPr>
      </w:pPr>
    </w:p>
    <w:p w:rsidRPr="006B2AB3" w:rsidR="008D29F6" w:rsidP="008D29F6" w:rsidRDefault="008D29F6" w14:paraId="365AE57A" w14:textId="77777777">
      <w:pPr>
        <w:pStyle w:val="ListParagraph"/>
        <w:rPr>
          <w:rFonts w:ascii="Palatino Linotype" w:hAnsi="Palatino Linotype"/>
          <w:sz w:val="24"/>
          <w:szCs w:val="24"/>
        </w:rPr>
      </w:pPr>
      <w:r w:rsidRPr="006B2AB3">
        <w:rPr>
          <w:rFonts w:ascii="Palatino Linotype" w:hAnsi="Palatino Linotype"/>
          <w:sz w:val="24"/>
          <w:szCs w:val="24"/>
        </w:rPr>
        <w:t>1. On March 4, 2020, Governor Newsom declared a State of Emergency in California related to COVID-19.</w:t>
      </w:r>
    </w:p>
    <w:p w:rsidRPr="006B2AB3" w:rsidR="008D29F6" w:rsidP="008D29F6" w:rsidRDefault="008D29F6" w14:paraId="58223C15" w14:textId="16D6562F">
      <w:pPr>
        <w:pStyle w:val="ListParagraph"/>
        <w:rPr>
          <w:rFonts w:ascii="Palatino Linotype" w:hAnsi="Palatino Linotype"/>
          <w:sz w:val="24"/>
          <w:szCs w:val="24"/>
        </w:rPr>
      </w:pPr>
      <w:r w:rsidRPr="006B2AB3">
        <w:rPr>
          <w:rFonts w:ascii="Palatino Linotype" w:hAnsi="Palatino Linotype"/>
          <w:sz w:val="24"/>
          <w:szCs w:val="24"/>
        </w:rPr>
        <w:t>2. On March 19, 2020, Governor Newsom ordered Californians to shelter in place except to meet essential needs.</w:t>
      </w:r>
    </w:p>
    <w:p w:rsidRPr="006B2AB3" w:rsidR="004C47F6" w:rsidP="008D29F6" w:rsidRDefault="004C47F6" w14:paraId="37B51893" w14:textId="69B5F9B3">
      <w:pPr>
        <w:pStyle w:val="ListParagraph"/>
        <w:rPr>
          <w:rFonts w:ascii="Palatino Linotype" w:hAnsi="Palatino Linotype"/>
          <w:sz w:val="24"/>
          <w:szCs w:val="24"/>
        </w:rPr>
      </w:pPr>
      <w:r w:rsidRPr="006B2AB3">
        <w:rPr>
          <w:rFonts w:ascii="Palatino Linotype" w:hAnsi="Palatino Linotype"/>
          <w:sz w:val="24"/>
          <w:szCs w:val="24"/>
        </w:rPr>
        <w:t xml:space="preserve">3.  On November 16, 2020, </w:t>
      </w:r>
      <w:r w:rsidRPr="00493D39">
        <w:rPr>
          <w:rFonts w:ascii="Palatino Linotype" w:hAnsi="Palatino Linotype"/>
          <w:sz w:val="24"/>
          <w:szCs w:val="24"/>
        </w:rPr>
        <w:t>Governor Newsom announced that 41 of the state’s 58 counties, encompassing about 37 million people, will remain in or roll back to the purple tier, the strictest tier of the state’s four-part, color-coded reopening roadmap.</w:t>
      </w:r>
    </w:p>
    <w:p w:rsidRPr="006B2AB3" w:rsidR="008D29F6" w:rsidP="008D29F6" w:rsidRDefault="00536D00" w14:paraId="3467C566" w14:textId="11337FDB">
      <w:pPr>
        <w:pStyle w:val="ListParagraph"/>
        <w:rPr>
          <w:rFonts w:ascii="Palatino Linotype" w:hAnsi="Palatino Linotype"/>
          <w:sz w:val="24"/>
          <w:szCs w:val="24"/>
        </w:rPr>
      </w:pPr>
      <w:r>
        <w:rPr>
          <w:rFonts w:ascii="Palatino Linotype" w:hAnsi="Palatino Linotype"/>
          <w:sz w:val="24"/>
          <w:szCs w:val="24"/>
        </w:rPr>
        <w:t>4</w:t>
      </w:r>
      <w:r w:rsidRPr="006B2AB3" w:rsidR="008D29F6">
        <w:rPr>
          <w:rFonts w:ascii="Palatino Linotype" w:hAnsi="Palatino Linotype"/>
          <w:sz w:val="24"/>
          <w:szCs w:val="24"/>
        </w:rPr>
        <w:t>. Social distancing and shelter-in-place requirements have required the closure of non-essential businesses and resulted in layoffs.</w:t>
      </w:r>
    </w:p>
    <w:p w:rsidRPr="006B2AB3" w:rsidR="008D29F6" w:rsidP="008D29F6" w:rsidRDefault="00536D00" w14:paraId="0C0CB6BF" w14:textId="058F7B8A">
      <w:pPr>
        <w:pStyle w:val="ListParagraph"/>
        <w:rPr>
          <w:rFonts w:ascii="Palatino Linotype" w:hAnsi="Palatino Linotype"/>
          <w:sz w:val="24"/>
          <w:szCs w:val="24"/>
        </w:rPr>
      </w:pPr>
      <w:r>
        <w:rPr>
          <w:rFonts w:ascii="Palatino Linotype" w:hAnsi="Palatino Linotype"/>
          <w:sz w:val="24"/>
          <w:szCs w:val="24"/>
        </w:rPr>
        <w:t>5</w:t>
      </w:r>
      <w:r w:rsidRPr="006B2AB3" w:rsidR="008D29F6">
        <w:rPr>
          <w:rFonts w:ascii="Palatino Linotype" w:hAnsi="Palatino Linotype"/>
          <w:sz w:val="24"/>
          <w:szCs w:val="24"/>
        </w:rPr>
        <w:t>. Employee layoffs due to the COVID-19 pandemic have created a risk that residential customers may fall behind on utility payments through no fault of their own.</w:t>
      </w:r>
    </w:p>
    <w:p w:rsidRPr="006B2AB3" w:rsidR="008D29F6" w:rsidP="008D29F6" w:rsidRDefault="00536D00" w14:paraId="5ECB64F3" w14:textId="78862058">
      <w:pPr>
        <w:pStyle w:val="ListParagraph"/>
        <w:rPr>
          <w:rFonts w:ascii="Palatino Linotype" w:hAnsi="Palatino Linotype"/>
          <w:sz w:val="24"/>
          <w:szCs w:val="24"/>
        </w:rPr>
      </w:pPr>
      <w:r>
        <w:rPr>
          <w:rFonts w:ascii="Palatino Linotype" w:hAnsi="Palatino Linotype"/>
          <w:sz w:val="24"/>
          <w:szCs w:val="24"/>
        </w:rPr>
        <w:t>6</w:t>
      </w:r>
      <w:r w:rsidRPr="006B2AB3" w:rsidR="008D29F6">
        <w:rPr>
          <w:rFonts w:ascii="Palatino Linotype" w:hAnsi="Palatino Linotype"/>
          <w:sz w:val="24"/>
          <w:szCs w:val="24"/>
        </w:rPr>
        <w:t>. Some companies have already implemented customer protections in response to the COVID-19 pandemic, including observing moratoria on disconnections for nonpayment and lifting broadband data caps.</w:t>
      </w:r>
    </w:p>
    <w:p w:rsidRPr="005F1CC0" w:rsidR="008D29F6" w:rsidP="008D29F6" w:rsidRDefault="00536D00" w14:paraId="3BEC9485" w14:textId="5D277F6C">
      <w:pPr>
        <w:pStyle w:val="ListParagraph"/>
        <w:rPr>
          <w:rFonts w:ascii="Palatino Linotype" w:hAnsi="Palatino Linotype"/>
          <w:sz w:val="24"/>
          <w:szCs w:val="24"/>
        </w:rPr>
      </w:pPr>
      <w:r>
        <w:rPr>
          <w:rFonts w:ascii="Palatino Linotype" w:hAnsi="Palatino Linotype"/>
          <w:sz w:val="24"/>
          <w:szCs w:val="24"/>
        </w:rPr>
        <w:t>7</w:t>
      </w:r>
      <w:r w:rsidRPr="006B2AB3" w:rsidR="008D29F6">
        <w:rPr>
          <w:rFonts w:ascii="Palatino Linotype" w:hAnsi="Palatino Linotype"/>
          <w:sz w:val="24"/>
          <w:szCs w:val="24"/>
        </w:rPr>
        <w:t xml:space="preserve">. </w:t>
      </w:r>
      <w:proofErr w:type="gramStart"/>
      <w:r w:rsidRPr="006B2AB3" w:rsidR="008D29F6">
        <w:rPr>
          <w:rFonts w:ascii="Palatino Linotype" w:hAnsi="Palatino Linotype"/>
          <w:sz w:val="24"/>
          <w:szCs w:val="24"/>
        </w:rPr>
        <w:t>In order to</w:t>
      </w:r>
      <w:proofErr w:type="gramEnd"/>
      <w:r w:rsidRPr="006B2AB3" w:rsidR="008D29F6">
        <w:rPr>
          <w:rFonts w:ascii="Palatino Linotype" w:hAnsi="Palatino Linotype"/>
          <w:sz w:val="24"/>
          <w:szCs w:val="24"/>
        </w:rPr>
        <w:t xml:space="preserve"> assist Californians affected by the COVID-19 pandemic, it is reasonable to provide continuity and consistency between all utility actions related to</w:t>
      </w:r>
      <w:r w:rsidRPr="005F1CC0" w:rsidR="008D29F6">
        <w:rPr>
          <w:rFonts w:ascii="Palatino Linotype" w:hAnsi="Palatino Linotype"/>
          <w:sz w:val="24"/>
          <w:szCs w:val="24"/>
        </w:rPr>
        <w:t xml:space="preserve"> the pandemic.</w:t>
      </w:r>
    </w:p>
    <w:p w:rsidRPr="005F1CC0" w:rsidR="008D29F6" w:rsidP="008D29F6" w:rsidRDefault="00536D00" w14:paraId="7E0A8EC6" w14:textId="511F4D6E">
      <w:pPr>
        <w:pStyle w:val="ListParagraph"/>
        <w:rPr>
          <w:rFonts w:ascii="Palatino Linotype" w:hAnsi="Palatino Linotype"/>
          <w:sz w:val="24"/>
          <w:szCs w:val="24"/>
        </w:rPr>
      </w:pPr>
      <w:r>
        <w:rPr>
          <w:rFonts w:ascii="Palatino Linotype" w:hAnsi="Palatino Linotype"/>
          <w:sz w:val="24"/>
          <w:szCs w:val="24"/>
        </w:rPr>
        <w:t>8</w:t>
      </w:r>
      <w:r w:rsidRPr="005F1CC0" w:rsidR="008D29F6">
        <w:rPr>
          <w:rFonts w:ascii="Palatino Linotype" w:hAnsi="Palatino Linotype"/>
          <w:sz w:val="24"/>
          <w:szCs w:val="24"/>
        </w:rPr>
        <w:t>. The Commission has previously issued Resolutions and opened Rulemakings to address highly disruptive events, most recently in response the devastating wildfires in Northern and Southern California.</w:t>
      </w:r>
    </w:p>
    <w:p w:rsidRPr="005F1CC0" w:rsidR="008D29F6" w:rsidP="008D29F6" w:rsidRDefault="00536D00" w14:paraId="761447AC" w14:textId="0E09553A">
      <w:pPr>
        <w:pStyle w:val="ListParagraph"/>
        <w:rPr>
          <w:rFonts w:ascii="Palatino Linotype" w:hAnsi="Palatino Linotype"/>
          <w:sz w:val="24"/>
          <w:szCs w:val="24"/>
        </w:rPr>
      </w:pPr>
      <w:r>
        <w:rPr>
          <w:rFonts w:ascii="Palatino Linotype" w:hAnsi="Palatino Linotype"/>
          <w:sz w:val="24"/>
          <w:szCs w:val="24"/>
        </w:rPr>
        <w:t>9</w:t>
      </w:r>
      <w:r w:rsidRPr="005F1CC0" w:rsidR="008D29F6">
        <w:rPr>
          <w:rFonts w:ascii="Palatino Linotype" w:hAnsi="Palatino Linotype"/>
          <w:sz w:val="24"/>
          <w:szCs w:val="24"/>
        </w:rPr>
        <w:t>. In response to the reoccurring natural and manmade disasters, the Commission opened Rulemaking (R.) 18-03-011 and adopted customer protection measures adopted in decisions (D.)</w:t>
      </w:r>
      <w:r w:rsidR="004C47F6">
        <w:rPr>
          <w:rFonts w:ascii="Palatino Linotype" w:hAnsi="Palatino Linotype"/>
          <w:sz w:val="24"/>
          <w:szCs w:val="24"/>
        </w:rPr>
        <w:t xml:space="preserve"> </w:t>
      </w:r>
      <w:r w:rsidRPr="005F1CC0" w:rsidR="008D29F6">
        <w:rPr>
          <w:rFonts w:ascii="Palatino Linotype" w:hAnsi="Palatino Linotype"/>
          <w:sz w:val="24"/>
          <w:szCs w:val="24"/>
        </w:rPr>
        <w:t>19-07-015 and D.19-08-025.</w:t>
      </w:r>
    </w:p>
    <w:p w:rsidRPr="005F1CC0" w:rsidR="00C02870" w:rsidP="008D29F6" w:rsidRDefault="00536D00" w14:paraId="2A6730F8" w14:textId="1D09FDEB">
      <w:pPr>
        <w:pStyle w:val="ListParagraph"/>
        <w:rPr>
          <w:rFonts w:ascii="Palatino Linotype" w:hAnsi="Palatino Linotype"/>
          <w:sz w:val="24"/>
          <w:szCs w:val="24"/>
        </w:rPr>
      </w:pPr>
      <w:r>
        <w:rPr>
          <w:rFonts w:ascii="Palatino Linotype" w:hAnsi="Palatino Linotype"/>
          <w:sz w:val="24"/>
          <w:szCs w:val="24"/>
        </w:rPr>
        <w:lastRenderedPageBreak/>
        <w:t>10</w:t>
      </w:r>
      <w:r w:rsidRPr="005F1CC0" w:rsidR="008D29F6">
        <w:rPr>
          <w:rFonts w:ascii="Palatino Linotype" w:hAnsi="Palatino Linotype"/>
          <w:sz w:val="24"/>
          <w:szCs w:val="24"/>
        </w:rPr>
        <w:t>. Having access to essential utility services is critical to maintaining Californians’ health and safety during the COVID-19 pandemic.</w:t>
      </w:r>
    </w:p>
    <w:p w:rsidRPr="005F1CC0" w:rsidR="008D29F6" w:rsidP="008D29F6" w:rsidRDefault="008D29F6" w14:paraId="26B847DB" w14:textId="0905F118">
      <w:pPr>
        <w:pStyle w:val="ListParagraph"/>
        <w:rPr>
          <w:rFonts w:ascii="Palatino Linotype" w:hAnsi="Palatino Linotype"/>
          <w:sz w:val="24"/>
          <w:szCs w:val="24"/>
        </w:rPr>
      </w:pPr>
      <w:r w:rsidRPr="005F1CC0">
        <w:rPr>
          <w:rFonts w:ascii="Palatino Linotype" w:hAnsi="Palatino Linotype"/>
          <w:sz w:val="24"/>
          <w:szCs w:val="24"/>
        </w:rPr>
        <w:t>1</w:t>
      </w:r>
      <w:r w:rsidR="00536D00">
        <w:rPr>
          <w:rFonts w:ascii="Palatino Linotype" w:hAnsi="Palatino Linotype"/>
          <w:sz w:val="24"/>
          <w:szCs w:val="24"/>
        </w:rPr>
        <w:t>1</w:t>
      </w:r>
      <w:r w:rsidRPr="005F1CC0">
        <w:rPr>
          <w:rFonts w:ascii="Palatino Linotype" w:hAnsi="Palatino Linotype"/>
          <w:sz w:val="24"/>
          <w:szCs w:val="24"/>
        </w:rPr>
        <w:t>. In order to expeditiously assist Californians affected by the COVID-19 pandemic, it is reasonable to apply the emergency customer protections adopted in D.19-07-015 and D.19-08-025 during the pendency of the pandemic.</w:t>
      </w:r>
    </w:p>
    <w:p w:rsidRPr="005F1CC0" w:rsidR="008D29F6" w:rsidP="008D29F6" w:rsidRDefault="008D29F6" w14:paraId="215E6868" w14:textId="2101FA4E">
      <w:pPr>
        <w:pStyle w:val="ListParagraph"/>
        <w:rPr>
          <w:rFonts w:ascii="Palatino Linotype" w:hAnsi="Palatino Linotype"/>
          <w:sz w:val="24"/>
          <w:szCs w:val="24"/>
        </w:rPr>
      </w:pPr>
      <w:r w:rsidRPr="005F1CC0">
        <w:rPr>
          <w:rFonts w:ascii="Palatino Linotype" w:hAnsi="Palatino Linotype"/>
          <w:sz w:val="24"/>
          <w:szCs w:val="24"/>
        </w:rPr>
        <w:t>1</w:t>
      </w:r>
      <w:r w:rsidR="00536D00">
        <w:rPr>
          <w:rFonts w:ascii="Palatino Linotype" w:hAnsi="Palatino Linotype"/>
          <w:sz w:val="24"/>
          <w:szCs w:val="24"/>
        </w:rPr>
        <w:t>2</w:t>
      </w:r>
      <w:r w:rsidRPr="005F1CC0">
        <w:rPr>
          <w:rFonts w:ascii="Palatino Linotype" w:hAnsi="Palatino Linotype"/>
          <w:sz w:val="24"/>
          <w:szCs w:val="24"/>
        </w:rPr>
        <w:t xml:space="preserve">. Public Utilities Code section 311(g)(2) </w:t>
      </w:r>
      <w:r w:rsidR="004C47F6">
        <w:rPr>
          <w:rFonts w:ascii="Palatino Linotype" w:hAnsi="Palatino Linotype"/>
          <w:sz w:val="24"/>
          <w:szCs w:val="24"/>
        </w:rPr>
        <w:t xml:space="preserve">and Rule 14.6(a)(1) </w:t>
      </w:r>
      <w:r w:rsidRPr="005F1CC0">
        <w:rPr>
          <w:rFonts w:ascii="Palatino Linotype" w:hAnsi="Palatino Linotype"/>
          <w:sz w:val="24"/>
          <w:szCs w:val="24"/>
        </w:rPr>
        <w:t>allow the Commission to reduce or waive the public review and comment period in an unforeseen emergency.</w:t>
      </w:r>
    </w:p>
    <w:p w:rsidRPr="005F1CC0" w:rsidR="00C02870" w:rsidP="00C02870" w:rsidRDefault="00C02870" w14:paraId="53CE6D57" w14:textId="77777777">
      <w:pPr>
        <w:ind w:left="420"/>
        <w:rPr>
          <w:rFonts w:ascii="Palatino Linotype" w:hAnsi="Palatino Linotype"/>
        </w:rPr>
      </w:pPr>
      <w:r w:rsidRPr="005F1CC0">
        <w:rPr>
          <w:rFonts w:ascii="Palatino Linotype" w:hAnsi="Palatino Linotype"/>
        </w:rPr>
        <w:t xml:space="preserve"> </w:t>
      </w:r>
    </w:p>
    <w:p w:rsidRPr="005F1CC0" w:rsidR="00C02870" w:rsidP="00C02870" w:rsidRDefault="00C02870" w14:paraId="314574E1" w14:textId="77777777">
      <w:pPr>
        <w:keepNext/>
        <w:keepLines/>
        <w:rPr>
          <w:rFonts w:ascii="Palatino Linotype" w:hAnsi="Palatino Linotype"/>
          <w:b/>
        </w:rPr>
      </w:pPr>
      <w:r w:rsidRPr="005F1CC0">
        <w:rPr>
          <w:rFonts w:ascii="Palatino Linotype" w:hAnsi="Palatino Linotype"/>
          <w:b/>
        </w:rPr>
        <w:t>THEREFORE, IT IS ORDERED that:</w:t>
      </w:r>
    </w:p>
    <w:p w:rsidRPr="005F1CC0" w:rsidR="00C02870" w:rsidP="00C02870" w:rsidRDefault="00C02870" w14:paraId="50A1A026" w14:textId="77777777">
      <w:pPr>
        <w:keepNext/>
        <w:keepLines/>
        <w:rPr>
          <w:rFonts w:ascii="Palatino Linotype" w:hAnsi="Palatino Linotype"/>
          <w:b/>
        </w:rPr>
      </w:pPr>
    </w:p>
    <w:p w:rsidR="006B4017" w:rsidP="00F86A1C" w:rsidRDefault="46818410" w14:paraId="6D7F1FBF" w14:textId="663E7CF7">
      <w:pPr>
        <w:pStyle w:val="ListParagraph"/>
        <w:numPr>
          <w:ilvl w:val="0"/>
          <w:numId w:val="4"/>
        </w:numPr>
        <w:rPr>
          <w:rFonts w:ascii="Palatino Linotype" w:hAnsi="Palatino Linotype"/>
          <w:sz w:val="24"/>
          <w:szCs w:val="24"/>
        </w:rPr>
      </w:pPr>
      <w:r w:rsidRPr="00533965">
        <w:rPr>
          <w:rFonts w:ascii="Palatino Linotype" w:hAnsi="Palatino Linotype"/>
          <w:sz w:val="24"/>
          <w:szCs w:val="24"/>
        </w:rPr>
        <w:t xml:space="preserve">Telephone corporations subject to this Resolution shall apply the moratorium on telephone disconnections for non-payment and fees for late payment </w:t>
      </w:r>
      <w:r w:rsidR="004C47F6">
        <w:rPr>
          <w:rFonts w:ascii="Palatino Linotype" w:hAnsi="Palatino Linotype"/>
          <w:sz w:val="24"/>
          <w:szCs w:val="24"/>
        </w:rPr>
        <w:t xml:space="preserve">for residential and small business voice services customers </w:t>
      </w:r>
      <w:r w:rsidRPr="00533965">
        <w:rPr>
          <w:rFonts w:ascii="Palatino Linotype" w:hAnsi="Palatino Linotype"/>
          <w:sz w:val="24"/>
          <w:szCs w:val="24"/>
        </w:rPr>
        <w:t>as of the date of this resolution.</w:t>
      </w:r>
    </w:p>
    <w:p w:rsidRPr="00533965" w:rsidR="004C47F6" w:rsidP="00F86A1C" w:rsidRDefault="004C47F6" w14:paraId="1EDCC31F" w14:textId="0C4A2FDE">
      <w:pPr>
        <w:pStyle w:val="ListParagraph"/>
        <w:numPr>
          <w:ilvl w:val="0"/>
          <w:numId w:val="4"/>
        </w:numPr>
        <w:rPr>
          <w:rFonts w:ascii="Palatino Linotype" w:hAnsi="Palatino Linotype"/>
          <w:sz w:val="24"/>
          <w:szCs w:val="24"/>
        </w:rPr>
      </w:pPr>
      <w:r>
        <w:rPr>
          <w:rFonts w:ascii="Palatino Linotype" w:hAnsi="Palatino Linotype"/>
          <w:sz w:val="24"/>
          <w:szCs w:val="24"/>
        </w:rPr>
        <w:t xml:space="preserve">Telephone corporations subject to this Resolution shall not send residential and small business voice services customers late fee or disconnection notices during the pendency of this moratorium. </w:t>
      </w:r>
    </w:p>
    <w:p w:rsidRPr="00533965" w:rsidR="006B4017" w:rsidP="00F86A1C" w:rsidRDefault="46818410" w14:paraId="3152A1D2" w14:textId="590F5F30">
      <w:pPr>
        <w:pStyle w:val="ListParagraph"/>
        <w:numPr>
          <w:ilvl w:val="0"/>
          <w:numId w:val="4"/>
        </w:numPr>
        <w:rPr>
          <w:rFonts w:ascii="Palatino Linotype" w:hAnsi="Palatino Linotype"/>
          <w:sz w:val="24"/>
          <w:szCs w:val="24"/>
        </w:rPr>
      </w:pPr>
      <w:r w:rsidRPr="00533965">
        <w:rPr>
          <w:rFonts w:ascii="Palatino Linotype" w:hAnsi="Palatino Linotype"/>
          <w:sz w:val="24"/>
          <w:szCs w:val="24"/>
        </w:rPr>
        <w:t xml:space="preserve">Telephone corporations subject to this Resolution shall file a Tier 2 Advice Letter describing all reasonable and necessary actions to implement the moratorium to support California </w:t>
      </w:r>
      <w:r w:rsidR="004C47F6">
        <w:rPr>
          <w:rFonts w:ascii="Palatino Linotype" w:hAnsi="Palatino Linotype"/>
          <w:sz w:val="24"/>
          <w:szCs w:val="24"/>
        </w:rPr>
        <w:t xml:space="preserve">residential and small businesses voice services </w:t>
      </w:r>
      <w:r w:rsidRPr="00533965">
        <w:rPr>
          <w:rFonts w:ascii="Palatino Linotype" w:hAnsi="Palatino Linotype"/>
          <w:sz w:val="24"/>
          <w:szCs w:val="24"/>
        </w:rPr>
        <w:t>customers.</w:t>
      </w:r>
    </w:p>
    <w:p w:rsidRPr="00533965" w:rsidR="00C02870" w:rsidP="00F86A1C" w:rsidRDefault="00F86A1C" w14:paraId="33DB5786" w14:textId="6063EDC2">
      <w:pPr>
        <w:pStyle w:val="ListParagraph"/>
        <w:numPr>
          <w:ilvl w:val="0"/>
          <w:numId w:val="4"/>
        </w:numPr>
        <w:rPr>
          <w:rFonts w:ascii="Palatino Linotype" w:hAnsi="Palatino Linotype"/>
          <w:sz w:val="24"/>
          <w:szCs w:val="24"/>
        </w:rPr>
      </w:pPr>
      <w:r w:rsidRPr="00533965">
        <w:rPr>
          <w:rFonts w:ascii="Palatino Linotype" w:hAnsi="Palatino Linotype"/>
          <w:sz w:val="24"/>
          <w:szCs w:val="24"/>
        </w:rPr>
        <w:t>This order is effective today.</w:t>
      </w:r>
    </w:p>
    <w:p w:rsidRPr="005F1CC0" w:rsidR="00C02870" w:rsidP="00C02870" w:rsidRDefault="00C02870" w14:paraId="00B98E8B" w14:textId="77777777">
      <w:pPr>
        <w:rPr>
          <w:rFonts w:ascii="Palatino Linotype" w:hAnsi="Palatino Linotype"/>
        </w:rPr>
      </w:pPr>
    </w:p>
    <w:p w:rsidRPr="005F1CC0" w:rsidR="00C02870" w:rsidP="00C02870" w:rsidRDefault="00F86A1C" w14:paraId="07124138" w14:textId="07E670A9">
      <w:pPr>
        <w:keepNext/>
        <w:keepLines/>
        <w:rPr>
          <w:rFonts w:ascii="Palatino Linotype" w:hAnsi="Palatino Linotype"/>
        </w:rPr>
      </w:pPr>
      <w:r w:rsidRPr="005F1CC0">
        <w:rPr>
          <w:rFonts w:ascii="Palatino Linotype" w:hAnsi="Palatino Linotype"/>
        </w:rPr>
        <w:t xml:space="preserve">I certify that the foregoing resolution was adopted by the California Public Utilities Commission at its regular meeting of </w:t>
      </w:r>
      <w:r w:rsidR="006633F9">
        <w:rPr>
          <w:rFonts w:ascii="Palatino Linotype" w:hAnsi="Palatino Linotype"/>
        </w:rPr>
        <w:t>______</w:t>
      </w:r>
      <w:r w:rsidRPr="00DB227E" w:rsidR="00493658">
        <w:rPr>
          <w:rFonts w:ascii="Palatino Linotype" w:hAnsi="Palatino Linotype"/>
        </w:rPr>
        <w:t>________</w:t>
      </w:r>
      <w:r w:rsidRPr="005F1CC0">
        <w:rPr>
          <w:rFonts w:ascii="Palatino Linotype" w:hAnsi="Palatino Linotype"/>
        </w:rPr>
        <w:t>, and the following Commissioners approved favorably thereon:</w:t>
      </w:r>
    </w:p>
    <w:p w:rsidRPr="005F1CC0" w:rsidR="00C02870" w:rsidP="00C02870" w:rsidRDefault="00C02870" w14:paraId="625CBD22" w14:textId="77777777">
      <w:pPr>
        <w:keepLines/>
        <w:rPr>
          <w:rFonts w:ascii="Palatino Linotype" w:hAnsi="Palatino Linotype"/>
        </w:rPr>
      </w:pPr>
    </w:p>
    <w:p w:rsidRPr="005F1CC0" w:rsidR="00C02870" w:rsidP="00C02870" w:rsidRDefault="00C02870" w14:paraId="1AD0BF9C" w14:textId="77777777">
      <w:pPr>
        <w:keepLines/>
        <w:rPr>
          <w:rFonts w:ascii="Palatino Linotype" w:hAnsi="Palatino Linotype"/>
        </w:rPr>
      </w:pPr>
    </w:p>
    <w:p w:rsidRPr="005F1CC0" w:rsidR="00C02870" w:rsidP="00C02870" w:rsidRDefault="00C02870" w14:paraId="5553799F" w14:textId="77777777">
      <w:pPr>
        <w:keepLines/>
        <w:rPr>
          <w:rFonts w:ascii="Palatino Linotype" w:hAnsi="Palatino Linotyp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6"/>
        <w:gridCol w:w="4694"/>
      </w:tblGrid>
      <w:tr w:rsidRPr="005F1CC0" w:rsidR="00C02870" w:rsidTr="00C17962" w14:paraId="1F0C9630" w14:textId="77777777">
        <w:tc>
          <w:tcPr>
            <w:tcW w:w="4788" w:type="dxa"/>
            <w:tcBorders>
              <w:top w:val="nil"/>
              <w:left w:val="nil"/>
              <w:bottom w:val="nil"/>
              <w:right w:val="nil"/>
            </w:tcBorders>
            <w:shd w:val="clear" w:color="auto" w:fill="auto"/>
          </w:tcPr>
          <w:p w:rsidRPr="005F1CC0" w:rsidR="00C02870" w:rsidP="00C17962" w:rsidRDefault="00C02870" w14:paraId="7E6D9A35" w14:textId="77777777">
            <w:pPr>
              <w:keepLines/>
              <w:rPr>
                <w:rFonts w:ascii="Palatino Linotype" w:hAnsi="Palatino Linotype"/>
              </w:rPr>
            </w:pPr>
          </w:p>
        </w:tc>
        <w:tc>
          <w:tcPr>
            <w:tcW w:w="4788" w:type="dxa"/>
            <w:tcBorders>
              <w:top w:val="nil"/>
              <w:left w:val="nil"/>
              <w:bottom w:val="single" w:color="auto" w:sz="4" w:space="0"/>
              <w:right w:val="nil"/>
            </w:tcBorders>
            <w:shd w:val="clear" w:color="auto" w:fill="auto"/>
          </w:tcPr>
          <w:p w:rsidRPr="005F1CC0" w:rsidR="00C02870" w:rsidP="00C17962" w:rsidRDefault="00C02870" w14:paraId="4DC1CE1A" w14:textId="77777777">
            <w:pPr>
              <w:keepLines/>
              <w:rPr>
                <w:rFonts w:ascii="Palatino Linotype" w:hAnsi="Palatino Linotype"/>
              </w:rPr>
            </w:pPr>
          </w:p>
        </w:tc>
      </w:tr>
      <w:tr w:rsidRPr="005F1CC0" w:rsidR="00C02870" w:rsidTr="00C17962" w14:paraId="7ED4A6B8" w14:textId="77777777">
        <w:tc>
          <w:tcPr>
            <w:tcW w:w="4788" w:type="dxa"/>
            <w:tcBorders>
              <w:top w:val="nil"/>
              <w:left w:val="nil"/>
              <w:bottom w:val="nil"/>
              <w:right w:val="nil"/>
            </w:tcBorders>
            <w:shd w:val="clear" w:color="auto" w:fill="auto"/>
          </w:tcPr>
          <w:p w:rsidRPr="005F1CC0" w:rsidR="00C02870" w:rsidP="00C17962" w:rsidRDefault="00C02870" w14:paraId="40EA61A4" w14:textId="77777777">
            <w:pPr>
              <w:keepLines/>
              <w:rPr>
                <w:rFonts w:ascii="Palatino Linotype" w:hAnsi="Palatino Linotype"/>
              </w:rPr>
            </w:pPr>
          </w:p>
        </w:tc>
        <w:tc>
          <w:tcPr>
            <w:tcW w:w="4788" w:type="dxa"/>
            <w:tcBorders>
              <w:top w:val="single" w:color="auto" w:sz="4" w:space="0"/>
              <w:left w:val="nil"/>
              <w:bottom w:val="nil"/>
              <w:right w:val="nil"/>
            </w:tcBorders>
            <w:shd w:val="clear" w:color="auto" w:fill="auto"/>
          </w:tcPr>
          <w:p w:rsidRPr="005F1CC0" w:rsidR="00C02870" w:rsidP="00C17962" w:rsidRDefault="00C02870" w14:paraId="7AB09EE0" w14:textId="77777777">
            <w:pPr>
              <w:keepLines/>
              <w:jc w:val="center"/>
              <w:rPr>
                <w:rFonts w:ascii="Palatino Linotype" w:hAnsi="Palatino Linotype"/>
              </w:rPr>
            </w:pPr>
            <w:r w:rsidRPr="005F1CC0">
              <w:rPr>
                <w:rFonts w:ascii="Palatino Linotype" w:hAnsi="Palatino Linotype"/>
              </w:rPr>
              <w:t xml:space="preserve">Rachel Peterson </w:t>
            </w:r>
          </w:p>
          <w:p w:rsidRPr="005F1CC0" w:rsidR="00C02870" w:rsidP="00C17962" w:rsidRDefault="00C02870" w14:paraId="64CBF075" w14:textId="77777777">
            <w:pPr>
              <w:keepLines/>
              <w:jc w:val="center"/>
              <w:rPr>
                <w:rFonts w:ascii="Palatino Linotype" w:hAnsi="Palatino Linotype"/>
              </w:rPr>
            </w:pPr>
            <w:r w:rsidRPr="005F1CC0">
              <w:rPr>
                <w:rFonts w:ascii="Palatino Linotype" w:hAnsi="Palatino Linotype"/>
              </w:rPr>
              <w:t>Acting Executive Director</w:t>
            </w:r>
          </w:p>
        </w:tc>
      </w:tr>
    </w:tbl>
    <w:p w:rsidR="0096655D" w:rsidRDefault="0096655D" w14:paraId="33AEFE93" w14:textId="56F373DC">
      <w:pPr>
        <w:rPr>
          <w:rFonts w:ascii="Palatino Linotype" w:hAnsi="Palatino Linotype"/>
        </w:rPr>
      </w:pPr>
    </w:p>
    <w:p w:rsidRPr="0080234E" w:rsidR="00A57C92" w:rsidP="00DB227E" w:rsidRDefault="00A57C92" w14:paraId="54B09AA2" w14:textId="2E7CB706">
      <w:pPr>
        <w:ind w:left="5760" w:firstLine="720"/>
        <w:rPr>
          <w:rFonts w:ascii="Palatino Linotype" w:hAnsi="Palatino Linotype"/>
        </w:rPr>
      </w:pPr>
    </w:p>
    <w:sectPr w:rsidRPr="0080234E" w:rsidR="00A57C92" w:rsidSect="006A55B7">
      <w:footerReference w:type="default" r:id="rId8"/>
      <w:headerReference w:type="first" r:id="rId9"/>
      <w:footerReference w:type="first" r:id="rId10"/>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7438" w14:textId="77777777" w:rsidR="00CA3647" w:rsidRDefault="00CA3647" w:rsidP="00C02870">
      <w:r>
        <w:separator/>
      </w:r>
    </w:p>
  </w:endnote>
  <w:endnote w:type="continuationSeparator" w:id="0">
    <w:p w14:paraId="2B45D82C" w14:textId="77777777" w:rsidR="00CA3647" w:rsidRDefault="00CA3647" w:rsidP="00C0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471273"/>
      <w:docPartObj>
        <w:docPartGallery w:val="Page Numbers (Bottom of Page)"/>
        <w:docPartUnique/>
      </w:docPartObj>
    </w:sdtPr>
    <w:sdtEndPr>
      <w:rPr>
        <w:noProof/>
      </w:rPr>
    </w:sdtEndPr>
    <w:sdtContent>
      <w:p w14:paraId="1AA5A4ED" w14:textId="77777777" w:rsidR="00A7552D" w:rsidRDefault="003360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B4E832" w14:textId="77777777" w:rsidR="00A7552D" w:rsidRDefault="00CA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462A" w14:textId="02B2F794" w:rsidR="00A7552D" w:rsidRDefault="00850875" w:rsidP="00850875">
    <w:pPr>
      <w:pStyle w:val="Footer"/>
    </w:pPr>
    <w:r w:rsidRPr="00850875">
      <w:rPr>
        <w:sz w:val="20"/>
        <w:szCs w:val="20"/>
      </w:rPr>
      <w:t xml:space="preserve">351834714 </w:t>
    </w:r>
    <w:r>
      <w:tab/>
    </w:r>
    <w:sdt>
      <w:sdtPr>
        <w:id w:val="-1795350932"/>
        <w:docPartObj>
          <w:docPartGallery w:val="Page Numbers (Bottom of Page)"/>
          <w:docPartUnique/>
        </w:docPartObj>
      </w:sdtPr>
      <w:sdtEndPr>
        <w:rPr>
          <w:noProof/>
        </w:rPr>
      </w:sdtEndPr>
      <w:sdtContent>
        <w:r w:rsidR="003360A7">
          <w:fldChar w:fldCharType="begin"/>
        </w:r>
        <w:r w:rsidR="003360A7">
          <w:instrText xml:space="preserve"> PAGE   \* MERGEFORMAT </w:instrText>
        </w:r>
        <w:r w:rsidR="003360A7">
          <w:fldChar w:fldCharType="separate"/>
        </w:r>
        <w:r w:rsidR="003360A7">
          <w:rPr>
            <w:noProof/>
          </w:rPr>
          <w:t>2</w:t>
        </w:r>
        <w:r w:rsidR="003360A7">
          <w:rPr>
            <w:noProof/>
          </w:rPr>
          <w:fldChar w:fldCharType="end"/>
        </w:r>
      </w:sdtContent>
    </w:sdt>
  </w:p>
  <w:p w14:paraId="183F9A98" w14:textId="77777777" w:rsidR="00E1272D" w:rsidRPr="00A7552D" w:rsidRDefault="00CA3647" w:rsidP="00A7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8640D" w14:textId="77777777" w:rsidR="00CA3647" w:rsidRDefault="00CA3647" w:rsidP="00C02870">
      <w:r>
        <w:separator/>
      </w:r>
    </w:p>
  </w:footnote>
  <w:footnote w:type="continuationSeparator" w:id="0">
    <w:p w14:paraId="61AC0B19" w14:textId="77777777" w:rsidR="00CA3647" w:rsidRDefault="00CA3647" w:rsidP="00C02870">
      <w:r>
        <w:continuationSeparator/>
      </w:r>
    </w:p>
  </w:footnote>
  <w:footnote w:id="1">
    <w:p w14:paraId="3D175601" w14:textId="0481963A" w:rsidR="000943B2" w:rsidRPr="00D052D0" w:rsidRDefault="000943B2" w:rsidP="00D052D0">
      <w:pPr>
        <w:pStyle w:val="FootnoteText"/>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hyperlink r:id="rId1" w:history="1">
        <w:r w:rsidRPr="00D052D0">
          <w:rPr>
            <w:rStyle w:val="Hyperlink"/>
            <w:rFonts w:ascii="Palatino Linotype" w:hAnsi="Palatino Linotype" w:cstheme="minorHAnsi"/>
            <w:sz w:val="22"/>
            <w:szCs w:val="22"/>
          </w:rPr>
          <w:t>https://docs.cpuc.ca.gov/PublishedDocs/Published/G000/M221/K550/221550832.pdf</w:t>
        </w:r>
      </w:hyperlink>
    </w:p>
  </w:footnote>
  <w:footnote w:id="2">
    <w:p w14:paraId="539C1ADC" w14:textId="6B61EB79" w:rsidR="005F1CC0" w:rsidRPr="00D052D0" w:rsidRDefault="000943B2" w:rsidP="00D052D0">
      <w:pPr>
        <w:spacing w:after="120"/>
        <w:rPr>
          <w:rFonts w:ascii="Palatino Linotype" w:hAnsi="Palatino Linotype" w:cstheme="minorHAnsi"/>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r w:rsidR="005F1CC0" w:rsidRPr="00D052D0">
        <w:rPr>
          <w:rFonts w:ascii="Palatino Linotype" w:hAnsi="Palatino Linotype" w:cstheme="minorHAnsi"/>
          <w:sz w:val="22"/>
          <w:szCs w:val="22"/>
        </w:rPr>
        <w:t>Subsequently, the Commission opened a new proceeding, R.18-03-011, regarding an emergency disaster relief program.  In R.18-03-011, the Commission issued D.18-08-004, which affirmed that the emergency customer protections adopted in Resolutions M-4833 and M-4835 to support residential and small business customers of utilities affected by disasters and which affect utility service shall go into effect in the event of a state of emergency declared by the Governor of California. D.18-08-004 held that the protections adopted in Resolutions M-4833 and M-4835 are controlling, interim authority while the Rulemaking 18-03-011 remains ongoing and until it concludes.</w:t>
      </w:r>
    </w:p>
    <w:p w14:paraId="3B03BEAA" w14:textId="269369EF" w:rsidR="000943B2" w:rsidRPr="00D052D0" w:rsidRDefault="00CA3647" w:rsidP="00D052D0">
      <w:pPr>
        <w:spacing w:after="120"/>
      </w:pPr>
      <w:hyperlink r:id="rId2" w:history="1">
        <w:r w:rsidR="005F1CC0" w:rsidRPr="00D052D0">
          <w:rPr>
            <w:rStyle w:val="Hyperlink"/>
            <w:rFonts w:ascii="Palatino Linotype" w:hAnsi="Palatino Linotype" w:cstheme="minorHAnsi"/>
            <w:sz w:val="22"/>
            <w:szCs w:val="22"/>
          </w:rPr>
          <w:t>https://docs.cpuc.ca.gov/PublishedDocs/Published/G000/M221/K552/221552166.PDF</w:t>
        </w:r>
      </w:hyperlink>
    </w:p>
  </w:footnote>
  <w:footnote w:id="3">
    <w:p w14:paraId="77577556" w14:textId="77777777" w:rsidR="00AC1EC7" w:rsidRPr="00D052D0" w:rsidRDefault="00C207DB" w:rsidP="00D052D0">
      <w:pPr>
        <w:spacing w:after="120"/>
        <w:rPr>
          <w:rStyle w:val="Hyperlink"/>
          <w:rFonts w:ascii="Palatino Linotype" w:hAnsi="Palatino Linotype" w:cstheme="minorHAnsi"/>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hyperlink r:id="rId3" w:history="1">
        <w:r w:rsidR="00AC1EC7" w:rsidRPr="00D052D0">
          <w:rPr>
            <w:rStyle w:val="Hyperlink"/>
            <w:rFonts w:ascii="Palatino Linotype" w:hAnsi="Palatino Linotype" w:cstheme="minorHAnsi"/>
            <w:sz w:val="22"/>
            <w:szCs w:val="22"/>
          </w:rPr>
          <w:t>https://www.gov.ca.gov/wp-content/uploads/2020/03/3.4.20-Coronavirus-SOE-Proclamation.pdf</w:t>
        </w:r>
      </w:hyperlink>
    </w:p>
    <w:p w14:paraId="2B04FE16" w14:textId="54669589" w:rsidR="00C207DB" w:rsidRPr="00D052D0" w:rsidRDefault="000943B2" w:rsidP="00D052D0">
      <w:pPr>
        <w:spacing w:after="120"/>
        <w:rPr>
          <w:highlight w:val="yellow"/>
        </w:rPr>
      </w:pPr>
      <w:r w:rsidRPr="00D052D0">
        <w:rPr>
          <w:rFonts w:ascii="Palatino Linotype" w:hAnsi="Palatino Linotype" w:cstheme="minorHAnsi"/>
          <w:sz w:val="22"/>
          <w:szCs w:val="22"/>
        </w:rPr>
        <w:t xml:space="preserve">Governor Newson </w:t>
      </w:r>
      <w:r w:rsidR="00AC1EC7" w:rsidRPr="00D052D0">
        <w:rPr>
          <w:rFonts w:ascii="Palatino Linotype" w:hAnsi="Palatino Linotype" w:cstheme="minorHAnsi"/>
          <w:sz w:val="22"/>
          <w:szCs w:val="22"/>
        </w:rPr>
        <w:t xml:space="preserve">also </w:t>
      </w:r>
      <w:r w:rsidRPr="00D052D0">
        <w:rPr>
          <w:rFonts w:ascii="Palatino Linotype" w:hAnsi="Palatino Linotype" w:cstheme="minorHAnsi"/>
          <w:sz w:val="22"/>
          <w:szCs w:val="22"/>
        </w:rPr>
        <w:t xml:space="preserve">issued a </w:t>
      </w:r>
      <w:r w:rsidR="00AC1EC7" w:rsidRPr="00D052D0">
        <w:rPr>
          <w:rFonts w:ascii="Palatino Linotype" w:hAnsi="Palatino Linotype" w:cstheme="minorHAnsi"/>
          <w:sz w:val="22"/>
          <w:szCs w:val="22"/>
        </w:rPr>
        <w:t>P</w:t>
      </w:r>
      <w:r w:rsidRPr="00D052D0">
        <w:rPr>
          <w:rFonts w:ascii="Palatino Linotype" w:hAnsi="Palatino Linotype" w:cstheme="minorHAnsi"/>
          <w:sz w:val="22"/>
          <w:szCs w:val="22"/>
        </w:rPr>
        <w:t xml:space="preserve">roclamation </w:t>
      </w:r>
      <w:r w:rsidR="00AC1EC7" w:rsidRPr="00D052D0">
        <w:rPr>
          <w:rFonts w:ascii="Palatino Linotype" w:hAnsi="Palatino Linotype" w:cstheme="minorHAnsi"/>
          <w:sz w:val="22"/>
          <w:szCs w:val="22"/>
        </w:rPr>
        <w:t xml:space="preserve">of a State of Emergency regarding Covid-19 </w:t>
      </w:r>
      <w:r w:rsidRPr="00D052D0">
        <w:rPr>
          <w:rFonts w:ascii="Palatino Linotype" w:hAnsi="Palatino Linotype" w:cstheme="minorHAnsi"/>
          <w:sz w:val="22"/>
          <w:szCs w:val="22"/>
        </w:rPr>
        <w:t>on March 17, 2020.</w:t>
      </w:r>
      <w:r w:rsidR="00E32E13" w:rsidRPr="00D052D0">
        <w:rPr>
          <w:rFonts w:ascii="Palatino Linotype" w:hAnsi="Palatino Linotype"/>
          <w:sz w:val="22"/>
          <w:szCs w:val="22"/>
        </w:rPr>
        <w:t xml:space="preserve">  </w:t>
      </w:r>
      <w:hyperlink r:id="rId4" w:history="1">
        <w:r w:rsidR="00E32E13" w:rsidRPr="00D052D0">
          <w:rPr>
            <w:rStyle w:val="Hyperlink"/>
            <w:rFonts w:ascii="Palatino Linotype" w:hAnsi="Palatino Linotype" w:cstheme="minorHAnsi"/>
            <w:sz w:val="22"/>
            <w:szCs w:val="22"/>
          </w:rPr>
          <w:t>https://www.gov.ca.gov/wp-content/uploads/2020/03/3.4.20-Coronavirus-SOE-Proclamation.pdf</w:t>
        </w:r>
      </w:hyperlink>
      <w:r w:rsidRPr="00D052D0">
        <w:rPr>
          <w:rStyle w:val="Hyperlink"/>
          <w:rFonts w:ascii="Palatino Linotype" w:hAnsi="Palatino Linotype" w:cstheme="minorHAnsi"/>
          <w:sz w:val="22"/>
          <w:szCs w:val="22"/>
        </w:rPr>
        <w:t xml:space="preserve">  </w:t>
      </w:r>
    </w:p>
  </w:footnote>
  <w:footnote w:id="4">
    <w:p w14:paraId="6D4C8D94" w14:textId="19136B5E" w:rsidR="00C207DB" w:rsidRPr="00D052D0" w:rsidRDefault="00C207DB" w:rsidP="00D052D0">
      <w:pPr>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r w:rsidR="00CC6867" w:rsidRPr="00D052D0">
        <w:rPr>
          <w:rFonts w:ascii="Palatino Linotype" w:hAnsi="Palatino Linotype"/>
          <w:sz w:val="22"/>
          <w:szCs w:val="22"/>
        </w:rPr>
        <w:t xml:space="preserve">Executive Order N-28-20, available at https://www.gov.ca.gov/wp-content/uploads/2020/03/3.16.20-Executive-Order.pdf  </w:t>
      </w:r>
      <w:hyperlink w:history="1"/>
    </w:p>
  </w:footnote>
  <w:footnote w:id="5">
    <w:p w14:paraId="36A82FF1" w14:textId="190ABF8E" w:rsidR="005F1CC0" w:rsidRPr="00D052D0" w:rsidRDefault="005F1CC0" w:rsidP="00D052D0">
      <w:pPr>
        <w:spacing w:after="120"/>
        <w:rPr>
          <w:rFonts w:ascii="Palatino Linotype" w:hAnsi="Palatino Linotype" w:cstheme="minorHAnsi"/>
          <w:sz w:val="22"/>
          <w:szCs w:val="22"/>
        </w:rPr>
      </w:pPr>
      <w:r w:rsidRPr="00D052D0">
        <w:rPr>
          <w:rStyle w:val="FootnoteReference"/>
          <w:rFonts w:ascii="Palatino Linotype" w:hAnsi="Palatino Linotype"/>
          <w:sz w:val="22"/>
          <w:szCs w:val="22"/>
        </w:rPr>
        <w:footnoteRef/>
      </w:r>
      <w:r w:rsidR="00E32E13">
        <w:rPr>
          <w:rFonts w:ascii="Palatino Linotype" w:hAnsi="Palatino Linotype"/>
          <w:sz w:val="22"/>
          <w:szCs w:val="22"/>
        </w:rPr>
        <w:t xml:space="preserve"> </w:t>
      </w:r>
      <w:hyperlink r:id="rId5" w:history="1">
        <w:r w:rsidR="00732F40" w:rsidRPr="00D052D0">
          <w:rPr>
            <w:rStyle w:val="Hyperlink"/>
            <w:rFonts w:ascii="Palatino Linotype" w:hAnsi="Palatino Linotype" w:cstheme="minorHAnsi"/>
            <w:sz w:val="22"/>
            <w:szCs w:val="22"/>
          </w:rPr>
          <w:t>https://www.cpuc.ca.gov/uploadedFiles/CPUCWebsite/Content/News_Room/NewsUpdates/2020/Exec%20Director%20Letter%20to%20Communications%20Companies%20re%20COVID-19%20March%2017,%202020.pdf</w:t>
        </w:r>
      </w:hyperlink>
    </w:p>
    <w:p w14:paraId="6D440A63" w14:textId="77777777" w:rsidR="005F1CC0" w:rsidRPr="00D052D0" w:rsidRDefault="005F1CC0" w:rsidP="00D052D0">
      <w:pPr>
        <w:pStyle w:val="FootnoteText"/>
        <w:spacing w:after="120"/>
        <w:rPr>
          <w:rFonts w:ascii="Palatino Linotype" w:hAnsi="Palatino Linotype"/>
          <w:sz w:val="22"/>
          <w:szCs w:val="22"/>
        </w:rPr>
      </w:pPr>
    </w:p>
  </w:footnote>
  <w:footnote w:id="6">
    <w:p w14:paraId="6E229916" w14:textId="461A6462" w:rsidR="00A55D31" w:rsidRPr="00D052D0" w:rsidRDefault="005F1CC0" w:rsidP="00D052D0">
      <w:pPr>
        <w:pStyle w:val="FootnoteText"/>
        <w:spacing w:after="120"/>
        <w:rPr>
          <w:rFonts w:ascii="Palatino Linotype" w:hAnsi="Palatino Linotype" w:cstheme="minorHAnsi"/>
          <w:color w:val="0000FF"/>
          <w:sz w:val="22"/>
          <w:szCs w:val="22"/>
          <w:u w:val="single"/>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r w:rsidR="00A55D31" w:rsidRPr="00D052D0">
        <w:rPr>
          <w:rFonts w:ascii="Palatino Linotype" w:hAnsi="Palatino Linotype"/>
          <w:sz w:val="22"/>
          <w:szCs w:val="22"/>
        </w:rPr>
        <w:t xml:space="preserve">Emergency Authorization and Order Directing Utilities to Implement Emergency Customer Protections to Support California Customers During the CoVID-19 Pandemic, April 16, 2020. </w:t>
      </w:r>
      <w:hyperlink r:id="rId6" w:history="1">
        <w:r w:rsidR="00A55D31" w:rsidRPr="00D052D0">
          <w:rPr>
            <w:rStyle w:val="Hyperlink"/>
            <w:rFonts w:ascii="Palatino Linotype" w:hAnsi="Palatino Linotype" w:cstheme="minorHAnsi"/>
            <w:sz w:val="22"/>
            <w:szCs w:val="22"/>
          </w:rPr>
          <w:t>https://docs.cpuc.ca.gov/PublishedDocs/Published/G000/M333/K482/333482381.docx</w:t>
        </w:r>
      </w:hyperlink>
    </w:p>
  </w:footnote>
  <w:footnote w:id="7">
    <w:p w14:paraId="0EE887AB" w14:textId="1D3BA50B" w:rsidR="005F1CC0" w:rsidRPr="00D052D0" w:rsidRDefault="005F1CC0" w:rsidP="00D052D0">
      <w:pPr>
        <w:pStyle w:val="FootnoteText"/>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r w:rsidR="00A55D31" w:rsidRPr="00D052D0">
        <w:rPr>
          <w:rFonts w:ascii="Palatino Linotype" w:hAnsi="Palatino Linotype"/>
          <w:i/>
          <w:iCs/>
          <w:sz w:val="22"/>
          <w:szCs w:val="22"/>
        </w:rPr>
        <w:t>Id.</w:t>
      </w:r>
    </w:p>
  </w:footnote>
  <w:footnote w:id="8">
    <w:p w14:paraId="09A953A9" w14:textId="77777777" w:rsidR="005F1CC0" w:rsidRPr="00D052D0" w:rsidRDefault="005F1CC0" w:rsidP="00D052D0">
      <w:pPr>
        <w:pStyle w:val="FootnoteText"/>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https://www.fcc.gov/keep-americans-connected</w:t>
      </w:r>
    </w:p>
  </w:footnote>
  <w:footnote w:id="9">
    <w:p w14:paraId="1088898B" w14:textId="60E7649E" w:rsidR="005F1CC0" w:rsidRPr="00D052D0" w:rsidRDefault="005F1CC0" w:rsidP="00D052D0">
      <w:pPr>
        <w:pStyle w:val="FootnoteText"/>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r w:rsidR="00533965">
        <w:rPr>
          <w:rFonts w:ascii="Palatino Linotype" w:hAnsi="Palatino Linotype"/>
          <w:i/>
          <w:iCs/>
          <w:sz w:val="22"/>
          <w:szCs w:val="22"/>
        </w:rPr>
        <w:t>Id.</w:t>
      </w:r>
      <w:r w:rsidR="00533965">
        <w:rPr>
          <w:rFonts w:ascii="Palatino Linotype" w:hAnsi="Palatino Linotype"/>
          <w:sz w:val="22"/>
          <w:szCs w:val="22"/>
        </w:rPr>
        <w:t xml:space="preserve"> </w:t>
      </w:r>
      <w:r w:rsidRPr="00D052D0">
        <w:rPr>
          <w:rFonts w:ascii="Palatino Linotype" w:hAnsi="Palatino Linotype" w:cstheme="minorHAnsi"/>
          <w:sz w:val="22"/>
          <w:szCs w:val="22"/>
        </w:rPr>
        <w:t xml:space="preserve">The CPUC referenced the </w:t>
      </w:r>
      <w:r w:rsidR="008325FA" w:rsidRPr="00D052D0">
        <w:rPr>
          <w:rFonts w:ascii="Palatino Linotype" w:hAnsi="Palatino Linotype" w:cstheme="minorHAnsi"/>
          <w:sz w:val="22"/>
          <w:szCs w:val="22"/>
        </w:rPr>
        <w:t xml:space="preserve">Keep America Connected </w:t>
      </w:r>
      <w:r w:rsidRPr="00D052D0">
        <w:rPr>
          <w:rFonts w:ascii="Palatino Linotype" w:hAnsi="Palatino Linotype" w:cstheme="minorHAnsi"/>
          <w:sz w:val="22"/>
          <w:szCs w:val="22"/>
        </w:rPr>
        <w:t>Initiative on its website (</w:t>
      </w:r>
      <w:hyperlink r:id="rId7" w:anchor="Telco" w:history="1">
        <w:r w:rsidRPr="00D052D0">
          <w:rPr>
            <w:rStyle w:val="Hyperlink"/>
            <w:rFonts w:ascii="Palatino Linotype" w:hAnsi="Palatino Linotype" w:cstheme="minorHAnsi"/>
            <w:sz w:val="22"/>
            <w:szCs w:val="22"/>
          </w:rPr>
          <w:t>https://www.cpuc.ca.gov/covid19protections/#Telco</w:t>
        </w:r>
      </w:hyperlink>
      <w:r w:rsidRPr="00D052D0">
        <w:rPr>
          <w:rFonts w:ascii="Palatino Linotype" w:hAnsi="Palatino Linotype" w:cstheme="minorHAnsi"/>
          <w:sz w:val="22"/>
          <w:szCs w:val="22"/>
        </w:rPr>
        <w:t>).</w:t>
      </w:r>
    </w:p>
  </w:footnote>
  <w:footnote w:id="10">
    <w:p w14:paraId="7F4428E7" w14:textId="77777777" w:rsidR="006D3ADA" w:rsidRPr="0009521E" w:rsidRDefault="006D3ADA" w:rsidP="006D3ADA">
      <w:pPr>
        <w:pStyle w:val="FootnoteText"/>
        <w:spacing w:after="120"/>
        <w:rPr>
          <w:sz w:val="22"/>
          <w:szCs w:val="22"/>
        </w:rPr>
      </w:pPr>
      <w:r w:rsidRPr="0009521E">
        <w:rPr>
          <w:rStyle w:val="FootnoteReference"/>
          <w:sz w:val="22"/>
          <w:szCs w:val="22"/>
        </w:rPr>
        <w:footnoteRef/>
      </w:r>
      <w:r w:rsidRPr="0009521E">
        <w:rPr>
          <w:sz w:val="22"/>
          <w:szCs w:val="22"/>
        </w:rPr>
        <w:t xml:space="preserve"> California Department of Public Health website, data as of Nov. 18, 2020. https://www.cdph.ca.gov/Programs/CID/DCDC/Pages/Immunization/ncov2019.aspx#COVID-19%20by%20the%20Numbers</w:t>
      </w:r>
    </w:p>
  </w:footnote>
  <w:footnote w:id="11">
    <w:p w14:paraId="13C2F4A6" w14:textId="74E22358" w:rsidR="006B2AB3" w:rsidRPr="00493D39" w:rsidRDefault="00D052D0" w:rsidP="00493D39">
      <w:pPr>
        <w:pStyle w:val="FootnoteText"/>
        <w:spacing w:after="120"/>
        <w:rPr>
          <w:sz w:val="22"/>
          <w:szCs w:val="22"/>
        </w:rPr>
      </w:pPr>
      <w:r w:rsidRPr="00493D39">
        <w:rPr>
          <w:rStyle w:val="FootnoteReference"/>
          <w:sz w:val="22"/>
          <w:szCs w:val="22"/>
        </w:rPr>
        <w:footnoteRef/>
      </w:r>
      <w:r w:rsidRPr="00493D39">
        <w:rPr>
          <w:sz w:val="22"/>
          <w:szCs w:val="22"/>
        </w:rPr>
        <w:t xml:space="preserve"> </w:t>
      </w:r>
      <w:hyperlink r:id="rId8" w:history="1">
        <w:r w:rsidRPr="00493D39">
          <w:rPr>
            <w:rStyle w:val="Hyperlink"/>
            <w:sz w:val="22"/>
            <w:szCs w:val="22"/>
          </w:rPr>
          <w:t>https://covid19.ca.gov/safer-economy/</w:t>
        </w:r>
      </w:hyperlink>
      <w:r w:rsidRPr="00493D39">
        <w:rPr>
          <w:sz w:val="22"/>
          <w:szCs w:val="22"/>
        </w:rPr>
        <w:t xml:space="preserve">; </w:t>
      </w:r>
      <w:hyperlink r:id="rId9" w:history="1">
        <w:r w:rsidR="006B2AB3" w:rsidRPr="00493D39">
          <w:rPr>
            <w:rStyle w:val="Hyperlink"/>
            <w:sz w:val="22"/>
            <w:szCs w:val="22"/>
          </w:rPr>
          <w:t>https://www.gov.ca.gov/2020/11/16/governor-newsom-announces-new-immediate-actions-to-curb-covid-19-transmission/</w:t>
        </w:r>
      </w:hyperlink>
    </w:p>
  </w:footnote>
  <w:footnote w:id="12">
    <w:p w14:paraId="7129350D" w14:textId="37CEF1D8" w:rsidR="00EF2BFA" w:rsidRPr="00D052D0" w:rsidRDefault="00EF2BFA" w:rsidP="00D052D0">
      <w:pPr>
        <w:pStyle w:val="FootnoteText"/>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The Coronavirus Aid, Relief, and Economic Security (CARES) Act is a $2.2 trillion stimulus package signed into law on March 27, 2020.</w:t>
      </w:r>
    </w:p>
  </w:footnote>
  <w:footnote w:id="13">
    <w:p w14:paraId="576234EB" w14:textId="65E241B7" w:rsidR="00EF60D9" w:rsidRPr="00D052D0" w:rsidRDefault="00EF60D9" w:rsidP="00D052D0">
      <w:pPr>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hyperlink r:id="rId10" w:history="1">
        <w:r w:rsidRPr="00D052D0">
          <w:rPr>
            <w:rStyle w:val="Hyperlink"/>
            <w:rFonts w:ascii="Palatino Linotype" w:hAnsi="Palatino Linotype"/>
            <w:sz w:val="22"/>
            <w:szCs w:val="22"/>
          </w:rPr>
          <w:t>https://www.google.com/amp/s/www.nytimes.com/2020/04/09/business/smallbusiness/small-business-disaster-loans-coronavirus.amp.html</w:t>
        </w:r>
      </w:hyperlink>
    </w:p>
    <w:p w14:paraId="6DEDEAA0" w14:textId="16CCED98" w:rsidR="00EF60D9" w:rsidRPr="00D052D0" w:rsidRDefault="00CA3647" w:rsidP="00D052D0">
      <w:pPr>
        <w:spacing w:after="120"/>
        <w:rPr>
          <w:rFonts w:ascii="Palatino Linotype" w:hAnsi="Palatino Linotype"/>
          <w:sz w:val="22"/>
          <w:szCs w:val="22"/>
        </w:rPr>
      </w:pPr>
      <w:hyperlink r:id="rId11" w:history="1">
        <w:r w:rsidR="00EF60D9" w:rsidRPr="00D052D0">
          <w:rPr>
            <w:rStyle w:val="Hyperlink"/>
            <w:rFonts w:ascii="Palatino Linotype" w:hAnsi="Palatino Linotype"/>
            <w:sz w:val="22"/>
            <w:szCs w:val="22"/>
          </w:rPr>
          <w:t>https://www.google.com/amp/s/www.forbes.com/sites/sarahhansen/2020/04/16/the-350-billion-small-business-loan-program-is-officially-out-of-money-lawmakers-cant-agree-on-what-happens-next/amp/</w:t>
        </w:r>
      </w:hyperlink>
    </w:p>
  </w:footnote>
  <w:footnote w:id="14">
    <w:p w14:paraId="6845AF13" w14:textId="5C9379A1" w:rsidR="00405079" w:rsidRPr="00D052D0" w:rsidRDefault="00405079" w:rsidP="00D052D0">
      <w:pPr>
        <w:pStyle w:val="FootnoteText"/>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Other issues related specifically concerning backup power for communications providers have also been considered in this proceeding.</w:t>
      </w:r>
    </w:p>
  </w:footnote>
  <w:footnote w:id="15">
    <w:p w14:paraId="61366E07" w14:textId="3908FFD0" w:rsidR="008325FA" w:rsidRPr="00D052D0" w:rsidRDefault="008325FA" w:rsidP="00D052D0">
      <w:pPr>
        <w:spacing w:after="120"/>
        <w:rPr>
          <w:rFonts w:ascii="Palatino Linotype" w:hAnsi="Palatino Linotype"/>
          <w:color w:val="000000"/>
          <w:sz w:val="22"/>
          <w:szCs w:val="22"/>
          <w:shd w:val="clear" w:color="auto" w:fill="FFFFFF"/>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A “telephone corporation” includes “every corporation or person owning, controlling, operating, or managing any telephone line for compensation in this state.” (Pub. Util. Code § 234.)  A “telephone line” includes “all conduits, ducts, poles, wires, cables, instruments, and appliances, and all other real estate, fixtures, and personal property owned, or controlled, operated, or managed in connection with or to facilitate communication by telephone, </w:t>
      </w:r>
      <w:r w:rsidRPr="00D052D0">
        <w:rPr>
          <w:rFonts w:ascii="Palatino Linotype" w:hAnsi="Palatino Linotype"/>
          <w:iCs/>
          <w:sz w:val="22"/>
          <w:szCs w:val="22"/>
        </w:rPr>
        <w:t>whether such communication is had with or without the use of transmission wires.” (</w:t>
      </w:r>
      <w:r w:rsidRPr="00D052D0">
        <w:rPr>
          <w:rFonts w:ascii="Palatino Linotype" w:hAnsi="Palatino Linotype"/>
          <w:i/>
          <w:sz w:val="22"/>
          <w:szCs w:val="22"/>
        </w:rPr>
        <w:t>Id.</w:t>
      </w:r>
      <w:r w:rsidRPr="00D052D0">
        <w:rPr>
          <w:rFonts w:ascii="Palatino Linotype" w:hAnsi="Palatino Linotype"/>
          <w:iCs/>
          <w:sz w:val="22"/>
          <w:szCs w:val="22"/>
        </w:rPr>
        <w:t xml:space="preserve"> at </w:t>
      </w:r>
      <w:r w:rsidR="00690730" w:rsidRPr="00D052D0">
        <w:rPr>
          <w:rFonts w:ascii="Palatino Linotype" w:hAnsi="Palatino Linotype"/>
          <w:iCs/>
          <w:sz w:val="22"/>
          <w:szCs w:val="22"/>
        </w:rPr>
        <w:t>§ 233.)</w:t>
      </w:r>
      <w:r w:rsidRPr="00D052D0">
        <w:rPr>
          <w:rFonts w:ascii="Palatino Linotype" w:hAnsi="Palatino Linotype"/>
          <w:sz w:val="22"/>
          <w:szCs w:val="22"/>
        </w:rPr>
        <w:t xml:space="preserve">  California’s Constitution specifically extends the Commission’s jurisdiction to companies engaged in “</w:t>
      </w:r>
      <w:r w:rsidRPr="00D052D0">
        <w:rPr>
          <w:rFonts w:ascii="Palatino Linotype" w:hAnsi="Palatino Linotype"/>
          <w:color w:val="000000"/>
          <w:sz w:val="22"/>
          <w:szCs w:val="22"/>
          <w:shd w:val="clear" w:color="auto" w:fill="FFFFFF"/>
        </w:rPr>
        <w:t>the transmission of telephone and telegraph messages.”</w:t>
      </w:r>
      <w:r w:rsidRPr="00D052D0">
        <w:rPr>
          <w:rStyle w:val="FootnoteReference"/>
          <w:rFonts w:ascii="Palatino Linotype" w:hAnsi="Palatino Linotype"/>
          <w:color w:val="000000"/>
          <w:sz w:val="22"/>
          <w:szCs w:val="22"/>
          <w:shd w:val="clear" w:color="auto" w:fill="FFFFFF"/>
        </w:rPr>
        <w:footnoteRef/>
      </w:r>
      <w:r w:rsidR="00690730" w:rsidRPr="00D052D0">
        <w:rPr>
          <w:rFonts w:ascii="Palatino Linotype" w:hAnsi="Palatino Linotype"/>
          <w:color w:val="000000"/>
          <w:sz w:val="22"/>
          <w:szCs w:val="22"/>
          <w:shd w:val="clear" w:color="auto" w:fill="FFFFFF"/>
        </w:rPr>
        <w:t xml:space="preserve"> (</w:t>
      </w:r>
      <w:r w:rsidR="00690730" w:rsidRPr="00D052D0">
        <w:rPr>
          <w:rFonts w:ascii="Palatino Linotype" w:hAnsi="Palatino Linotype"/>
          <w:sz w:val="22"/>
          <w:szCs w:val="22"/>
        </w:rPr>
        <w:t>Cal. Const., Art. XII, § 3.)</w:t>
      </w:r>
    </w:p>
  </w:footnote>
  <w:footnote w:id="16">
    <w:p w14:paraId="49D70BBA" w14:textId="487601A2" w:rsidR="00533965" w:rsidRPr="00723BBE" w:rsidRDefault="00533965" w:rsidP="00533965">
      <w:pPr>
        <w:pStyle w:val="CommentText"/>
        <w:rPr>
          <w:sz w:val="22"/>
          <w:szCs w:val="22"/>
        </w:rPr>
      </w:pPr>
      <w:r>
        <w:rPr>
          <w:rStyle w:val="FootnoteReference"/>
        </w:rPr>
        <w:footnoteRef/>
      </w:r>
      <w:r>
        <w:t xml:space="preserve"> </w:t>
      </w:r>
      <w:r w:rsidRPr="00723BBE">
        <w:rPr>
          <w:rFonts w:ascii="Palatino Linotype" w:hAnsi="Palatino Linotype"/>
          <w:sz w:val="22"/>
          <w:szCs w:val="22"/>
        </w:rPr>
        <w:t>The definition of “telephone corporations” includes Voice over Internet Protocol (VoIP) providers</w:t>
      </w:r>
      <w:r w:rsidR="004C47F6">
        <w:rPr>
          <w:rFonts w:ascii="Palatino Linotype" w:hAnsi="Palatino Linotype"/>
          <w:sz w:val="22"/>
          <w:szCs w:val="22"/>
        </w:rPr>
        <w:t xml:space="preserve"> and wireless service providers</w:t>
      </w:r>
      <w:r w:rsidRPr="00723BBE">
        <w:rPr>
          <w:rFonts w:ascii="Palatino Linotype" w:hAnsi="Palatino Linotype"/>
          <w:sz w:val="22"/>
          <w:szCs w:val="22"/>
        </w:rPr>
        <w:t>, consistent with D.18-08-004</w:t>
      </w:r>
      <w:r w:rsidR="004C47F6">
        <w:rPr>
          <w:rFonts w:ascii="Palatino Linotype" w:hAnsi="Palatino Linotype"/>
          <w:sz w:val="22"/>
          <w:szCs w:val="22"/>
        </w:rPr>
        <w:t xml:space="preserve">, </w:t>
      </w:r>
      <w:r w:rsidRPr="00723BBE">
        <w:rPr>
          <w:rFonts w:ascii="Palatino Linotype" w:hAnsi="Palatino Linotype"/>
          <w:sz w:val="22"/>
          <w:szCs w:val="22"/>
        </w:rPr>
        <w:t>D.18-09-025</w:t>
      </w:r>
      <w:r w:rsidR="004C47F6">
        <w:rPr>
          <w:rFonts w:ascii="Palatino Linotype" w:hAnsi="Palatino Linotype"/>
          <w:sz w:val="22"/>
          <w:szCs w:val="22"/>
        </w:rPr>
        <w:t>, and D.20-07-011</w:t>
      </w:r>
      <w:r w:rsidRPr="00723BBE">
        <w:rPr>
          <w:rFonts w:ascii="Palatino Linotype" w:hAnsi="Palatino Linotype"/>
          <w:sz w:val="22"/>
          <w:szCs w:val="22"/>
        </w:rPr>
        <w:t>.</w:t>
      </w:r>
    </w:p>
    <w:p w14:paraId="3C647B8D" w14:textId="59E9A933" w:rsidR="00533965" w:rsidRDefault="00533965">
      <w:pPr>
        <w:pStyle w:val="FootnoteText"/>
      </w:pPr>
    </w:p>
  </w:footnote>
  <w:footnote w:id="17">
    <w:p w14:paraId="5AA25686" w14:textId="5D2763E1" w:rsidR="009475A7" w:rsidRPr="00D052D0" w:rsidRDefault="009475A7" w:rsidP="00D052D0">
      <w:pPr>
        <w:pStyle w:val="FootnoteText"/>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D.19-07-015 at 24-25; see also D.19-08-025 at 34</w:t>
      </w:r>
      <w:r w:rsidR="00E32E13" w:rsidRPr="00D052D0">
        <w:rPr>
          <w:rFonts w:ascii="Palatino Linotype" w:hAnsi="Palatino Linotype"/>
          <w:sz w:val="22"/>
          <w:szCs w:val="22"/>
        </w:rPr>
        <w:t>.</w:t>
      </w:r>
    </w:p>
  </w:footnote>
  <w:footnote w:id="18">
    <w:p w14:paraId="6876EABD" w14:textId="5202FAA5" w:rsidR="009475A7" w:rsidRPr="00D052D0" w:rsidRDefault="009475A7" w:rsidP="00D052D0">
      <w:pPr>
        <w:pStyle w:val="FootnoteText"/>
        <w:spacing w:after="120"/>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r w:rsidRPr="00D052D0">
        <w:rPr>
          <w:rFonts w:ascii="Palatino Linotype" w:hAnsi="Palatino Linotype"/>
          <w:i/>
          <w:iCs/>
          <w:sz w:val="22"/>
          <w:szCs w:val="22"/>
        </w:rPr>
        <w:t>Id.</w:t>
      </w:r>
    </w:p>
  </w:footnote>
  <w:footnote w:id="19">
    <w:p w14:paraId="1913E4DD" w14:textId="0C6FD59D" w:rsidR="009475A7" w:rsidRPr="00D052D0" w:rsidRDefault="009475A7">
      <w:pPr>
        <w:pStyle w:val="FootnoteText"/>
        <w:rPr>
          <w:rFonts w:ascii="Palatino Linotype" w:hAnsi="Palatino Linotype"/>
          <w:sz w:val="22"/>
          <w:szCs w:val="22"/>
        </w:rPr>
      </w:pPr>
      <w:r w:rsidRPr="00D052D0">
        <w:rPr>
          <w:rStyle w:val="FootnoteReference"/>
          <w:rFonts w:ascii="Palatino Linotype" w:hAnsi="Palatino Linotype"/>
          <w:sz w:val="22"/>
          <w:szCs w:val="22"/>
        </w:rPr>
        <w:footnoteRef/>
      </w:r>
      <w:r w:rsidRPr="00D052D0">
        <w:rPr>
          <w:rFonts w:ascii="Palatino Linotype" w:hAnsi="Palatino Linotype"/>
          <w:sz w:val="22"/>
          <w:szCs w:val="22"/>
        </w:rPr>
        <w:t xml:space="preserve"> </w:t>
      </w:r>
      <w:r w:rsidRPr="00D052D0">
        <w:rPr>
          <w:rFonts w:ascii="Palatino Linotype" w:hAnsi="Palatino Linotype"/>
          <w:i/>
          <w:iCs/>
          <w:sz w:val="22"/>
          <w:szCs w:val="22"/>
        </w:rPr>
        <w:t>Id</w:t>
      </w:r>
    </w:p>
  </w:footnote>
  <w:footnote w:id="20">
    <w:p w14:paraId="08570FCB" w14:textId="77777777" w:rsidR="00993B43" w:rsidRDefault="00993B43" w:rsidP="00993B43">
      <w:pPr>
        <w:pStyle w:val="FootnoteText"/>
      </w:pPr>
      <w:r>
        <w:rPr>
          <w:rStyle w:val="FootnoteReference"/>
        </w:rPr>
        <w:footnoteRef/>
      </w:r>
      <w:r>
        <w:t xml:space="preserve"> </w:t>
      </w:r>
      <w:r w:rsidRPr="00D93735">
        <w:rPr>
          <w:rFonts w:ascii="Palatino Linotype" w:hAnsi="Palatino Linotype"/>
        </w:rPr>
        <w:t>Rule 14.6(a)(1)</w:t>
      </w:r>
      <w:r>
        <w:rPr>
          <w:rFonts w:ascii="Palatino Linotype" w:hAnsi="Palatino Linotype"/>
        </w:rPr>
        <w:t>.</w:t>
      </w:r>
    </w:p>
  </w:footnote>
  <w:footnote w:id="21">
    <w:p w14:paraId="0F059CCA" w14:textId="77777777" w:rsidR="00993B43" w:rsidRDefault="00993B43" w:rsidP="00993B43">
      <w:pPr>
        <w:pStyle w:val="FootnoteText"/>
      </w:pPr>
      <w:r>
        <w:rPr>
          <w:rStyle w:val="FootnoteReference"/>
        </w:rPr>
        <w:footnoteRef/>
      </w:r>
      <w:r>
        <w:t xml:space="preserve"> Rule 14.6(a)(2).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EC86" w14:textId="200ADD88" w:rsidR="00E1272D" w:rsidRPr="00460500" w:rsidRDefault="003360A7" w:rsidP="00E1272D">
    <w:pPr>
      <w:pStyle w:val="Header"/>
      <w:rPr>
        <w:rFonts w:ascii="Palatino Linotype" w:hAnsi="Palatino Linotype"/>
      </w:rPr>
    </w:pPr>
    <w:r w:rsidRPr="00460500">
      <w:rPr>
        <w:rFonts w:ascii="Palatino Linotype" w:hAnsi="Palatino Linotype"/>
      </w:rPr>
      <w:t xml:space="preserve">Resolution </w:t>
    </w:r>
    <w:r w:rsidR="00DB227E" w:rsidRPr="00DB227E">
      <w:rPr>
        <w:rFonts w:ascii="Palatino Linotype" w:hAnsi="Palatino Linotype"/>
      </w:rPr>
      <w:t>M-4848</w:t>
    </w:r>
    <w:r w:rsidRPr="00460500">
      <w:rPr>
        <w:rFonts w:ascii="Palatino Linotype" w:hAnsi="Palatino Linotype"/>
      </w:rPr>
      <w:tab/>
    </w:r>
    <w:r>
      <w:rPr>
        <w:rFonts w:ascii="Palatino Linotype" w:hAnsi="Palatino Linotype"/>
      </w:rPr>
      <w:t>DRAFT</w:t>
    </w:r>
    <w:r>
      <w:rPr>
        <w:rFonts w:ascii="Palatino Linotype" w:hAnsi="Palatino Linotype"/>
      </w:rPr>
      <w:tab/>
    </w:r>
    <w:r w:rsidR="000E020A">
      <w:rPr>
        <w:rFonts w:ascii="Palatino Linotype" w:hAnsi="Palatino Linotype"/>
      </w:rPr>
      <w:t>Agenda ID</w:t>
    </w:r>
    <w:r w:rsidR="006633F9">
      <w:rPr>
        <w:rFonts w:ascii="Palatino Linotype" w:hAnsi="Palatino Linotype"/>
      </w:rPr>
      <w:t>#</w:t>
    </w:r>
    <w:r w:rsidR="000E020A">
      <w:rPr>
        <w:rFonts w:ascii="Palatino Linotype" w:hAnsi="Palatino Linotype"/>
      </w:rPr>
      <w:t xml:space="preserve"> </w:t>
    </w:r>
    <w:r w:rsidR="006633F9">
      <w:rPr>
        <w:rFonts w:ascii="Palatino Linotype" w:hAnsi="Palatino Linotype"/>
      </w:rPr>
      <w:t>19009</w:t>
    </w:r>
    <w:r>
      <w:rPr>
        <w:rFonts w:ascii="Palatino Linotype" w:hAnsi="Palatino Linotype"/>
      </w:rPr>
      <w:t xml:space="preserve"> </w:t>
    </w:r>
  </w:p>
  <w:p w14:paraId="0DC8BAEE" w14:textId="26FF1BCA" w:rsidR="00E1272D" w:rsidRPr="00A07EA2" w:rsidRDefault="003360A7" w:rsidP="00E1272D">
    <w:pPr>
      <w:pStyle w:val="Header"/>
      <w:tabs>
        <w:tab w:val="left" w:pos="8808"/>
      </w:tabs>
    </w:pPr>
    <w:r w:rsidRPr="00460500">
      <w:rPr>
        <w:rFonts w:ascii="Palatino Linotype" w:hAnsi="Palatino Linotype"/>
      </w:rPr>
      <w:t>CD/</w:t>
    </w:r>
    <w:r w:rsidR="000E020A">
      <w:rPr>
        <w:rFonts w:ascii="Palatino Linotype" w:hAnsi="Palatino Linotype"/>
      </w:rPr>
      <w:t>RO1</w:t>
    </w:r>
    <w:r w:rsidRPr="00460500">
      <w:rPr>
        <w:rFonts w:ascii="Palatino Linotype" w:hAnsi="Palatino Linotype"/>
      </w:rPr>
      <w:t xml:space="preserve">                                                                                                           </w:t>
    </w:r>
    <w:r>
      <w:rPr>
        <w:rFonts w:ascii="Palatino Linotype" w:hAnsi="Palatino Linoty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F4DC6"/>
    <w:multiLevelType w:val="hybridMultilevel"/>
    <w:tmpl w:val="E7F2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5FBA"/>
    <w:multiLevelType w:val="hybridMultilevel"/>
    <w:tmpl w:val="4D12426A"/>
    <w:lvl w:ilvl="0" w:tplc="9B3E4242">
      <w:start w:val="1"/>
      <w:numFmt w:val="bullet"/>
      <w:lvlText w:val=""/>
      <w:lvlJc w:val="left"/>
      <w:pPr>
        <w:tabs>
          <w:tab w:val="num" w:pos="720"/>
        </w:tabs>
        <w:ind w:left="720" w:hanging="360"/>
      </w:pPr>
      <w:rPr>
        <w:rFonts w:ascii="Symbol" w:hAnsi="Symbol" w:hint="default"/>
        <w:sz w:val="20"/>
      </w:rPr>
    </w:lvl>
    <w:lvl w:ilvl="1" w:tplc="3D6E338A">
      <w:start w:val="1"/>
      <w:numFmt w:val="bullet"/>
      <w:lvlText w:val="o"/>
      <w:lvlJc w:val="left"/>
      <w:pPr>
        <w:tabs>
          <w:tab w:val="num" w:pos="1440"/>
        </w:tabs>
        <w:ind w:left="1440" w:hanging="360"/>
      </w:pPr>
      <w:rPr>
        <w:rFonts w:ascii="Courier New" w:hAnsi="Courier New" w:cs="Times New Roman" w:hint="default"/>
        <w:sz w:val="20"/>
      </w:rPr>
    </w:lvl>
    <w:lvl w:ilvl="2" w:tplc="95C090A4">
      <w:start w:val="1"/>
      <w:numFmt w:val="bullet"/>
      <w:lvlText w:val=""/>
      <w:lvlJc w:val="left"/>
      <w:pPr>
        <w:tabs>
          <w:tab w:val="num" w:pos="2160"/>
        </w:tabs>
        <w:ind w:left="2160" w:hanging="360"/>
      </w:pPr>
      <w:rPr>
        <w:rFonts w:ascii="Wingdings" w:hAnsi="Wingdings" w:hint="default"/>
        <w:sz w:val="20"/>
      </w:rPr>
    </w:lvl>
    <w:lvl w:ilvl="3" w:tplc="8E04DA18">
      <w:start w:val="1"/>
      <w:numFmt w:val="bullet"/>
      <w:lvlText w:val=""/>
      <w:lvlJc w:val="left"/>
      <w:pPr>
        <w:tabs>
          <w:tab w:val="num" w:pos="2880"/>
        </w:tabs>
        <w:ind w:left="2880" w:hanging="360"/>
      </w:pPr>
      <w:rPr>
        <w:rFonts w:ascii="Wingdings" w:hAnsi="Wingdings" w:hint="default"/>
        <w:sz w:val="20"/>
      </w:rPr>
    </w:lvl>
    <w:lvl w:ilvl="4" w:tplc="66148964">
      <w:start w:val="1"/>
      <w:numFmt w:val="bullet"/>
      <w:lvlText w:val=""/>
      <w:lvlJc w:val="left"/>
      <w:pPr>
        <w:tabs>
          <w:tab w:val="num" w:pos="3600"/>
        </w:tabs>
        <w:ind w:left="3600" w:hanging="360"/>
      </w:pPr>
      <w:rPr>
        <w:rFonts w:ascii="Wingdings" w:hAnsi="Wingdings" w:hint="default"/>
        <w:sz w:val="20"/>
      </w:rPr>
    </w:lvl>
    <w:lvl w:ilvl="5" w:tplc="5A2E3030">
      <w:start w:val="1"/>
      <w:numFmt w:val="bullet"/>
      <w:lvlText w:val=""/>
      <w:lvlJc w:val="left"/>
      <w:pPr>
        <w:tabs>
          <w:tab w:val="num" w:pos="4320"/>
        </w:tabs>
        <w:ind w:left="4320" w:hanging="360"/>
      </w:pPr>
      <w:rPr>
        <w:rFonts w:ascii="Wingdings" w:hAnsi="Wingdings" w:hint="default"/>
        <w:sz w:val="20"/>
      </w:rPr>
    </w:lvl>
    <w:lvl w:ilvl="6" w:tplc="F7E0CD44">
      <w:start w:val="1"/>
      <w:numFmt w:val="bullet"/>
      <w:lvlText w:val=""/>
      <w:lvlJc w:val="left"/>
      <w:pPr>
        <w:tabs>
          <w:tab w:val="num" w:pos="5040"/>
        </w:tabs>
        <w:ind w:left="5040" w:hanging="360"/>
      </w:pPr>
      <w:rPr>
        <w:rFonts w:ascii="Wingdings" w:hAnsi="Wingdings" w:hint="default"/>
        <w:sz w:val="20"/>
      </w:rPr>
    </w:lvl>
    <w:lvl w:ilvl="7" w:tplc="4C083CA6">
      <w:start w:val="1"/>
      <w:numFmt w:val="bullet"/>
      <w:lvlText w:val=""/>
      <w:lvlJc w:val="left"/>
      <w:pPr>
        <w:tabs>
          <w:tab w:val="num" w:pos="5760"/>
        </w:tabs>
        <w:ind w:left="5760" w:hanging="360"/>
      </w:pPr>
      <w:rPr>
        <w:rFonts w:ascii="Wingdings" w:hAnsi="Wingdings" w:hint="default"/>
        <w:sz w:val="20"/>
      </w:rPr>
    </w:lvl>
    <w:lvl w:ilvl="8" w:tplc="3A7AC780">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F7767"/>
    <w:multiLevelType w:val="hybridMultilevel"/>
    <w:tmpl w:val="12ACA07C"/>
    <w:lvl w:ilvl="0" w:tplc="612C6B18">
      <w:start w:val="1"/>
      <w:numFmt w:val="decimal"/>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5EDB4C63"/>
    <w:multiLevelType w:val="hybridMultilevel"/>
    <w:tmpl w:val="23560A2A"/>
    <w:lvl w:ilvl="0" w:tplc="578620DA">
      <w:start w:val="1"/>
      <w:numFmt w:val="decimal"/>
      <w:lvlText w:val="%1."/>
      <w:legacy w:legacy="1" w:legacySpace="120" w:legacyIndent="360"/>
      <w:lvlJc w:val="left"/>
      <w:pPr>
        <w:ind w:left="4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0352F5"/>
    <w:multiLevelType w:val="hybridMultilevel"/>
    <w:tmpl w:val="42505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70"/>
    <w:rsid w:val="00010414"/>
    <w:rsid w:val="000333B0"/>
    <w:rsid w:val="000473EB"/>
    <w:rsid w:val="000943B2"/>
    <w:rsid w:val="000A281F"/>
    <w:rsid w:val="000B5A3C"/>
    <w:rsid w:val="000E020A"/>
    <w:rsid w:val="000F5DC8"/>
    <w:rsid w:val="001025E9"/>
    <w:rsid w:val="00144C2A"/>
    <w:rsid w:val="00186105"/>
    <w:rsid w:val="001B113F"/>
    <w:rsid w:val="001E0225"/>
    <w:rsid w:val="00200199"/>
    <w:rsid w:val="00205E71"/>
    <w:rsid w:val="0024220C"/>
    <w:rsid w:val="00253CC7"/>
    <w:rsid w:val="00256485"/>
    <w:rsid w:val="0026457A"/>
    <w:rsid w:val="00282960"/>
    <w:rsid w:val="002A1209"/>
    <w:rsid w:val="002A6846"/>
    <w:rsid w:val="002E578A"/>
    <w:rsid w:val="002E789D"/>
    <w:rsid w:val="003360A7"/>
    <w:rsid w:val="00405079"/>
    <w:rsid w:val="00413336"/>
    <w:rsid w:val="00493658"/>
    <w:rsid w:val="00493D39"/>
    <w:rsid w:val="004A1F2A"/>
    <w:rsid w:val="004C47F6"/>
    <w:rsid w:val="004F6B44"/>
    <w:rsid w:val="00533965"/>
    <w:rsid w:val="00536D00"/>
    <w:rsid w:val="0059035A"/>
    <w:rsid w:val="005E3563"/>
    <w:rsid w:val="005F1CC0"/>
    <w:rsid w:val="00657C54"/>
    <w:rsid w:val="006633F9"/>
    <w:rsid w:val="006674DE"/>
    <w:rsid w:val="00675E02"/>
    <w:rsid w:val="00690730"/>
    <w:rsid w:val="006B2AB3"/>
    <w:rsid w:val="006B4017"/>
    <w:rsid w:val="006D3ADA"/>
    <w:rsid w:val="00723BBE"/>
    <w:rsid w:val="00732F40"/>
    <w:rsid w:val="007943B9"/>
    <w:rsid w:val="007B22E9"/>
    <w:rsid w:val="007C40F8"/>
    <w:rsid w:val="007D047D"/>
    <w:rsid w:val="007E639A"/>
    <w:rsid w:val="0080234E"/>
    <w:rsid w:val="008315A0"/>
    <w:rsid w:val="008325FA"/>
    <w:rsid w:val="00850875"/>
    <w:rsid w:val="008876F0"/>
    <w:rsid w:val="008C25AD"/>
    <w:rsid w:val="008D29F6"/>
    <w:rsid w:val="008E73FE"/>
    <w:rsid w:val="00916203"/>
    <w:rsid w:val="009163DA"/>
    <w:rsid w:val="0094174D"/>
    <w:rsid w:val="009475A7"/>
    <w:rsid w:val="00962476"/>
    <w:rsid w:val="00962CEB"/>
    <w:rsid w:val="0096655D"/>
    <w:rsid w:val="00985402"/>
    <w:rsid w:val="00993B43"/>
    <w:rsid w:val="00997752"/>
    <w:rsid w:val="009E253F"/>
    <w:rsid w:val="009F6F62"/>
    <w:rsid w:val="00A55D31"/>
    <w:rsid w:val="00A57C92"/>
    <w:rsid w:val="00A744E3"/>
    <w:rsid w:val="00AC1EC7"/>
    <w:rsid w:val="00AC630D"/>
    <w:rsid w:val="00AC715B"/>
    <w:rsid w:val="00B048B4"/>
    <w:rsid w:val="00B30F90"/>
    <w:rsid w:val="00B51CA4"/>
    <w:rsid w:val="00B66FF9"/>
    <w:rsid w:val="00BC2270"/>
    <w:rsid w:val="00BC540B"/>
    <w:rsid w:val="00BD6F10"/>
    <w:rsid w:val="00BE362D"/>
    <w:rsid w:val="00C02870"/>
    <w:rsid w:val="00C207DB"/>
    <w:rsid w:val="00C21D06"/>
    <w:rsid w:val="00C93D78"/>
    <w:rsid w:val="00CA3647"/>
    <w:rsid w:val="00CC5834"/>
    <w:rsid w:val="00CC6867"/>
    <w:rsid w:val="00CE385D"/>
    <w:rsid w:val="00D00403"/>
    <w:rsid w:val="00D052D0"/>
    <w:rsid w:val="00DB227E"/>
    <w:rsid w:val="00E32E13"/>
    <w:rsid w:val="00E42737"/>
    <w:rsid w:val="00E62E17"/>
    <w:rsid w:val="00E86060"/>
    <w:rsid w:val="00EC003D"/>
    <w:rsid w:val="00ED5816"/>
    <w:rsid w:val="00EF2BFA"/>
    <w:rsid w:val="00EF60D9"/>
    <w:rsid w:val="00F074F3"/>
    <w:rsid w:val="00F125F8"/>
    <w:rsid w:val="00F65836"/>
    <w:rsid w:val="00F70032"/>
    <w:rsid w:val="00F713E2"/>
    <w:rsid w:val="00F86A1C"/>
    <w:rsid w:val="00FB1162"/>
    <w:rsid w:val="46818410"/>
    <w:rsid w:val="794B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6541"/>
  <w15:chartTrackingRefBased/>
  <w15:docId w15:val="{056182B1-D1B8-4C07-A276-BDADB0AC3F8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7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02870"/>
    <w:pPr>
      <w:keepNext/>
      <w:outlineLvl w:val="3"/>
    </w:pPr>
    <w:rPr>
      <w:rFonts w:ascii="Palatino" w:hAnsi="Palatino"/>
      <w:b/>
      <w:sz w:val="26"/>
      <w:szCs w:val="20"/>
    </w:rPr>
  </w:style>
  <w:style w:type="paragraph" w:styleId="Heading7">
    <w:name w:val="heading 7"/>
    <w:basedOn w:val="Normal"/>
    <w:next w:val="Normal"/>
    <w:link w:val="Heading7Char"/>
    <w:qFormat/>
    <w:rsid w:val="00C02870"/>
    <w:pPr>
      <w:keepNext/>
      <w:outlineLvl w:val="6"/>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2870"/>
    <w:rPr>
      <w:rFonts w:ascii="Palatino" w:eastAsia="Times New Roman" w:hAnsi="Palatino" w:cs="Times New Roman"/>
      <w:b/>
      <w:sz w:val="26"/>
      <w:szCs w:val="20"/>
    </w:rPr>
  </w:style>
  <w:style w:type="character" w:customStyle="1" w:styleId="Heading7Char">
    <w:name w:val="Heading 7 Char"/>
    <w:basedOn w:val="DefaultParagraphFont"/>
    <w:link w:val="Heading7"/>
    <w:rsid w:val="00C02870"/>
    <w:rPr>
      <w:rFonts w:ascii="Palatino" w:eastAsia="Times New Roman" w:hAnsi="Palatino" w:cs="Times New Roman"/>
      <w:b/>
      <w:sz w:val="24"/>
      <w:szCs w:val="20"/>
    </w:rPr>
  </w:style>
  <w:style w:type="paragraph" w:styleId="Header">
    <w:name w:val="header"/>
    <w:basedOn w:val="Normal"/>
    <w:link w:val="HeaderChar"/>
    <w:rsid w:val="00C02870"/>
    <w:pPr>
      <w:tabs>
        <w:tab w:val="center" w:pos="4320"/>
        <w:tab w:val="right" w:pos="9360"/>
      </w:tabs>
    </w:pPr>
    <w:rPr>
      <w:b/>
    </w:rPr>
  </w:style>
  <w:style w:type="character" w:customStyle="1" w:styleId="HeaderChar">
    <w:name w:val="Header Char"/>
    <w:basedOn w:val="DefaultParagraphFont"/>
    <w:link w:val="Header"/>
    <w:rsid w:val="00C02870"/>
    <w:rPr>
      <w:rFonts w:ascii="Times New Roman" w:eastAsia="Times New Roman" w:hAnsi="Times New Roman" w:cs="Times New Roman"/>
      <w:b/>
      <w:sz w:val="24"/>
      <w:szCs w:val="24"/>
    </w:rPr>
  </w:style>
  <w:style w:type="paragraph" w:styleId="Title">
    <w:name w:val="Title"/>
    <w:basedOn w:val="Normal"/>
    <w:link w:val="TitleChar"/>
    <w:qFormat/>
    <w:rsid w:val="00C02870"/>
    <w:pPr>
      <w:jc w:val="center"/>
    </w:pPr>
    <w:rPr>
      <w:rFonts w:ascii="Helvetica" w:hAnsi="Helvetica"/>
      <w:b/>
      <w:szCs w:val="20"/>
    </w:rPr>
  </w:style>
  <w:style w:type="character" w:customStyle="1" w:styleId="TitleChar">
    <w:name w:val="Title Char"/>
    <w:basedOn w:val="DefaultParagraphFont"/>
    <w:link w:val="Title"/>
    <w:rsid w:val="00C02870"/>
    <w:rPr>
      <w:rFonts w:ascii="Helvetica" w:eastAsia="Times New Roman" w:hAnsi="Helvetica" w:cs="Times New Roman"/>
      <w:b/>
      <w:sz w:val="24"/>
      <w:szCs w:val="20"/>
    </w:rPr>
  </w:style>
  <w:style w:type="paragraph" w:styleId="Footer">
    <w:name w:val="footer"/>
    <w:basedOn w:val="Normal"/>
    <w:link w:val="FooterChar"/>
    <w:uiPriority w:val="99"/>
    <w:rsid w:val="00C02870"/>
    <w:pPr>
      <w:tabs>
        <w:tab w:val="center" w:pos="4320"/>
        <w:tab w:val="right" w:pos="8640"/>
      </w:tabs>
    </w:pPr>
  </w:style>
  <w:style w:type="character" w:customStyle="1" w:styleId="FooterChar">
    <w:name w:val="Footer Char"/>
    <w:basedOn w:val="DefaultParagraphFont"/>
    <w:link w:val="Footer"/>
    <w:uiPriority w:val="99"/>
    <w:rsid w:val="00C02870"/>
    <w:rPr>
      <w:rFonts w:ascii="Times New Roman" w:eastAsia="Times New Roman" w:hAnsi="Times New Roman" w:cs="Times New Roman"/>
      <w:sz w:val="24"/>
      <w:szCs w:val="24"/>
    </w:rPr>
  </w:style>
  <w:style w:type="paragraph" w:styleId="BlockText">
    <w:name w:val="Block Text"/>
    <w:basedOn w:val="Normal"/>
    <w:rsid w:val="00C02870"/>
    <w:pPr>
      <w:overflowPunct w:val="0"/>
      <w:autoSpaceDE w:val="0"/>
      <w:autoSpaceDN w:val="0"/>
      <w:adjustRightInd w:val="0"/>
      <w:ind w:left="720" w:right="720"/>
      <w:jc w:val="both"/>
      <w:textAlignment w:val="baseline"/>
    </w:pPr>
    <w:rPr>
      <w:rFonts w:ascii="Palatino" w:hAnsi="Palatino"/>
      <w:szCs w:val="20"/>
    </w:rPr>
  </w:style>
  <w:style w:type="paragraph" w:styleId="FootnoteText">
    <w:name w:val="footnote text"/>
    <w:basedOn w:val="Normal"/>
    <w:link w:val="FootnoteTextChar"/>
    <w:rsid w:val="00C02870"/>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C02870"/>
    <w:rPr>
      <w:rFonts w:ascii="Times New Roman" w:eastAsia="Times New Roman" w:hAnsi="Times New Roman" w:cs="Times New Roman"/>
      <w:sz w:val="20"/>
      <w:szCs w:val="20"/>
    </w:rPr>
  </w:style>
  <w:style w:type="character" w:styleId="FootnoteReference">
    <w:name w:val="footnote reference"/>
    <w:aliases w:val="o,fr,Style 3,o1,o2,o3,o4,o5,o6,o11,o21,o7,Footnote Reference1,Style 17,Style 13,Appel note de bas de p,Style 12,(NECG) Footnote Reference,Style 124,o + Times New Roman,Style 20,fr1,fr2,fr3,Style 58,FR,Footnote Reference/,Style 6"/>
    <w:qFormat/>
    <w:rsid w:val="00C02870"/>
    <w:rPr>
      <w:vertAlign w:val="superscript"/>
    </w:rPr>
  </w:style>
  <w:style w:type="character" w:styleId="Hyperlink">
    <w:name w:val="Hyperlink"/>
    <w:rsid w:val="00C02870"/>
    <w:rPr>
      <w:color w:val="0000FF"/>
      <w:u w:val="single"/>
    </w:rPr>
  </w:style>
  <w:style w:type="paragraph" w:styleId="BodyText">
    <w:name w:val="Body Text"/>
    <w:basedOn w:val="Normal"/>
    <w:link w:val="BodyTextChar"/>
    <w:rsid w:val="00C02870"/>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C02870"/>
    <w:rPr>
      <w:rFonts w:ascii="Times New Roman" w:eastAsia="Times New Roman" w:hAnsi="Times New Roman" w:cs="Times New Roman"/>
      <w:sz w:val="24"/>
      <w:szCs w:val="20"/>
    </w:rPr>
  </w:style>
  <w:style w:type="paragraph" w:customStyle="1" w:styleId="xl41">
    <w:name w:val="xl41"/>
    <w:basedOn w:val="Normal"/>
    <w:rsid w:val="00C02870"/>
    <w:pPr>
      <w:overflowPunct w:val="0"/>
      <w:autoSpaceDE w:val="0"/>
      <w:autoSpaceDN w:val="0"/>
      <w:adjustRightInd w:val="0"/>
      <w:spacing w:before="100" w:after="100"/>
      <w:textAlignment w:val="baseline"/>
    </w:pPr>
    <w:rPr>
      <w:rFonts w:ascii="Arial Unicode MS" w:eastAsia="Arial Unicode MS"/>
      <w:szCs w:val="20"/>
    </w:rPr>
  </w:style>
  <w:style w:type="paragraph" w:styleId="ListParagraph">
    <w:name w:val="List Paragraph"/>
    <w:basedOn w:val="Normal"/>
    <w:uiPriority w:val="34"/>
    <w:qFormat/>
    <w:rsid w:val="00C02870"/>
    <w:pPr>
      <w:ind w:left="720"/>
    </w:pPr>
    <w:rPr>
      <w:sz w:val="20"/>
      <w:szCs w:val="20"/>
    </w:rPr>
  </w:style>
  <w:style w:type="paragraph" w:styleId="BalloonText">
    <w:name w:val="Balloon Text"/>
    <w:basedOn w:val="Normal"/>
    <w:link w:val="BalloonTextChar"/>
    <w:uiPriority w:val="99"/>
    <w:semiHidden/>
    <w:unhideWhenUsed/>
    <w:rsid w:val="00794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3D78"/>
    <w:rPr>
      <w:sz w:val="16"/>
      <w:szCs w:val="16"/>
    </w:rPr>
  </w:style>
  <w:style w:type="paragraph" w:styleId="CommentText">
    <w:name w:val="annotation text"/>
    <w:basedOn w:val="Normal"/>
    <w:link w:val="CommentTextChar"/>
    <w:uiPriority w:val="99"/>
    <w:semiHidden/>
    <w:unhideWhenUsed/>
    <w:rsid w:val="00C93D78"/>
    <w:rPr>
      <w:sz w:val="20"/>
      <w:szCs w:val="20"/>
    </w:rPr>
  </w:style>
  <w:style w:type="character" w:customStyle="1" w:styleId="CommentTextChar">
    <w:name w:val="Comment Text Char"/>
    <w:basedOn w:val="DefaultParagraphFont"/>
    <w:link w:val="CommentText"/>
    <w:uiPriority w:val="99"/>
    <w:semiHidden/>
    <w:rsid w:val="00C93D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D78"/>
    <w:rPr>
      <w:b/>
      <w:bCs/>
    </w:rPr>
  </w:style>
  <w:style w:type="character" w:customStyle="1" w:styleId="CommentSubjectChar">
    <w:name w:val="Comment Subject Char"/>
    <w:basedOn w:val="CommentTextChar"/>
    <w:link w:val="CommentSubject"/>
    <w:uiPriority w:val="99"/>
    <w:semiHidden/>
    <w:rsid w:val="00C93D78"/>
    <w:rPr>
      <w:rFonts w:ascii="Times New Roman" w:eastAsia="Times New Roman" w:hAnsi="Times New Roman" w:cs="Times New Roman"/>
      <w:b/>
      <w:bCs/>
      <w:sz w:val="20"/>
      <w:szCs w:val="20"/>
    </w:rPr>
  </w:style>
  <w:style w:type="paragraph" w:styleId="Revision">
    <w:name w:val="Revision"/>
    <w:hidden/>
    <w:uiPriority w:val="99"/>
    <w:semiHidden/>
    <w:rsid w:val="00C207D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43B2"/>
    <w:rPr>
      <w:color w:val="954F72" w:themeColor="followedHyperlink"/>
      <w:u w:val="single"/>
    </w:rPr>
  </w:style>
  <w:style w:type="character" w:styleId="UnresolvedMention">
    <w:name w:val="Unresolved Mention"/>
    <w:basedOn w:val="DefaultParagraphFont"/>
    <w:uiPriority w:val="99"/>
    <w:semiHidden/>
    <w:unhideWhenUsed/>
    <w:rsid w:val="00AC1EC7"/>
    <w:rPr>
      <w:color w:val="605E5C"/>
      <w:shd w:val="clear" w:color="auto" w:fill="E1DFDD"/>
    </w:rPr>
  </w:style>
  <w:style w:type="paragraph" w:customStyle="1" w:styleId="Default">
    <w:name w:val="Default"/>
    <w:rsid w:val="00A57C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39930">
      <w:bodyDiv w:val="1"/>
      <w:marLeft w:val="0"/>
      <w:marRight w:val="0"/>
      <w:marTop w:val="0"/>
      <w:marBottom w:val="0"/>
      <w:divBdr>
        <w:top w:val="none" w:sz="0" w:space="0" w:color="auto"/>
        <w:left w:val="none" w:sz="0" w:space="0" w:color="auto"/>
        <w:bottom w:val="none" w:sz="0" w:space="0" w:color="auto"/>
        <w:right w:val="none" w:sz="0" w:space="0" w:color="auto"/>
      </w:divBdr>
    </w:div>
    <w:div w:id="7378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ovid19.ca.gov/safer-economy/" TargetMode="External"/><Relationship Id="rId3" Type="http://schemas.openxmlformats.org/officeDocument/2006/relationships/hyperlink" Target="https://www.gov.ca.gov/wp-content/uploads/2020/03/3.4.20-Coronavirus-SOE-Proclamation.pdf" TargetMode="External"/><Relationship Id="rId7" Type="http://schemas.openxmlformats.org/officeDocument/2006/relationships/hyperlink" Target="https://www.cpuc.ca.gov/covid19protections/" TargetMode="External"/><Relationship Id="rId2" Type="http://schemas.openxmlformats.org/officeDocument/2006/relationships/hyperlink" Target="https://docs.cpuc.ca.gov/PublishedDocs/Published/G000/M221/K552/221552166.PDF" TargetMode="External"/><Relationship Id="rId1" Type="http://schemas.openxmlformats.org/officeDocument/2006/relationships/hyperlink" Target="https://docs.cpuc.ca.gov/PublishedDocs/Published/G000/M221/K550/221550832.pdf" TargetMode="External"/><Relationship Id="rId6" Type="http://schemas.openxmlformats.org/officeDocument/2006/relationships/hyperlink" Target="https://docs.cpuc.ca.gov/PublishedDocs/Published/G000/M333/K482/333482381.docx" TargetMode="External"/><Relationship Id="rId11" Type="http://schemas.openxmlformats.org/officeDocument/2006/relationships/hyperlink" Target="https://www.google.com/amp/s/www.forbes.com/sites/sarahhansen/2020/04/16/the-350-billion-small-business-loan-program-is-officially-out-of-money-lawmakers-cant-agree-on-what-happens-next/amp/" TargetMode="External"/><Relationship Id="rId5" Type="http://schemas.openxmlformats.org/officeDocument/2006/relationships/hyperlink" Target="https://www.cpuc.ca.gov/uploadedFiles/CPUCWebsite/Content/News_Room/NewsUpdates/2020/Exec%20Director%20Letter%20to%20Communications%20Companies%20re%20COVID-19%20March%2017,%202020.pdf" TargetMode="External"/><Relationship Id="rId10" Type="http://schemas.openxmlformats.org/officeDocument/2006/relationships/hyperlink" Target="https://www.google.com/amp/s/www.nytimes.com/2020/04/09/business/smallbusiness/small-business-disaster-loans-coronavirus.amp.html" TargetMode="External"/><Relationship Id="rId4" Type="http://schemas.openxmlformats.org/officeDocument/2006/relationships/hyperlink" Target="https://www.gov.ca.gov/wp-content/uploads/2020/03/3.4.20-Coronavirus-SOE-Proclamation.pdf" TargetMode="External"/><Relationship Id="rId9" Type="http://schemas.openxmlformats.org/officeDocument/2006/relationships/hyperlink" Target="https://www.gov.ca.gov/2020/11/16/governor-newsom-announces-new-immediate-actions-to-curb-covid-19-trans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5C71-E46E-4BB9-889A-F598E407432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2033</ap:Words>
  <ap:Characters>11594</ap:Characters>
  <ap:Application>Microsoft Office Word</ap:Application>
  <ap:DocSecurity>0</ap:DocSecurity>
  <ap:Lines>96</ap:Lines>
  <ap:Paragraphs>27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13600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2020-11-20T17:11:00Z</dcterms:created>
  <dcterms:modified xsi:type="dcterms:W3CDTF">2020-11-20T17:11:00Z</dcterms:modified>
</cp:coreProperties>
</file>