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340C" w:rsidR="007446B6" w:rsidP="007446B6" w:rsidRDefault="007446B6" w14:paraId="14CE2C4D" w14:textId="69765DAC">
      <w:pPr>
        <w:jc w:val="center"/>
        <w:rPr>
          <w:rFonts w:ascii="Arial" w:hAnsi="Arial" w:cs="Arial"/>
          <w:b/>
          <w:bCs/>
          <w:szCs w:val="26"/>
        </w:rPr>
      </w:pPr>
      <w:r w:rsidRPr="001E340C">
        <w:rPr>
          <w:rFonts w:ascii="Arial" w:hAnsi="Arial" w:cs="Arial"/>
          <w:b/>
          <w:bCs/>
          <w:szCs w:val="26"/>
        </w:rPr>
        <w:t>PUBLIC UTILITIES COMMISSION OF THE STATE OF CALIFORNIA</w:t>
      </w:r>
    </w:p>
    <w:p w:rsidRPr="001E068E" w:rsidR="007446B6" w:rsidP="007446B6" w:rsidRDefault="007446B6" w14:paraId="61FBD8FC" w14:textId="15C037B5">
      <w:pPr>
        <w:rPr>
          <w:rFonts w:cs="Times New Roman"/>
          <w:szCs w:val="26"/>
        </w:rPr>
      </w:pPr>
    </w:p>
    <w:p w:rsidRPr="00261120" w:rsidR="00261120" w:rsidP="00261120" w:rsidRDefault="00A86CF1" w14:paraId="6074B4D0" w14:textId="6ABF3674">
      <w:pPr>
        <w:ind w:left="2880" w:firstLine="360"/>
        <w:rPr>
          <w:rFonts w:cs="Times New Roman"/>
          <w:szCs w:val="26"/>
        </w:rPr>
      </w:pPr>
      <w:r w:rsidRPr="00261120">
        <w:rPr>
          <w:rFonts w:cs="Times New Roman"/>
          <w:szCs w:val="26"/>
        </w:rPr>
        <w:t xml:space="preserve">Wildfire Safety Division </w:t>
      </w:r>
    </w:p>
    <w:p w:rsidRPr="00261120" w:rsidR="007446B6" w:rsidP="00261120" w:rsidRDefault="00A86CF1" w14:paraId="0A25CD69" w14:textId="4498E718">
      <w:pPr>
        <w:ind w:firstLine="3240"/>
        <w:rPr>
          <w:rFonts w:cs="Times New Roman"/>
          <w:szCs w:val="26"/>
        </w:rPr>
      </w:pPr>
      <w:r w:rsidRPr="00261120">
        <w:rPr>
          <w:rFonts w:cs="Times New Roman"/>
          <w:szCs w:val="26"/>
        </w:rPr>
        <w:t>Resolution W</w:t>
      </w:r>
      <w:r w:rsidR="00362C10">
        <w:rPr>
          <w:rFonts w:cs="Times New Roman"/>
          <w:szCs w:val="26"/>
        </w:rPr>
        <w:t>SD</w:t>
      </w:r>
      <w:r w:rsidRPr="00261120">
        <w:rPr>
          <w:rFonts w:cs="Times New Roman"/>
          <w:szCs w:val="26"/>
        </w:rPr>
        <w:t>-</w:t>
      </w:r>
      <w:r>
        <w:rPr>
          <w:rFonts w:cs="Times New Roman"/>
          <w:szCs w:val="26"/>
        </w:rPr>
        <w:t>0</w:t>
      </w:r>
      <w:r w:rsidRPr="00261120">
        <w:rPr>
          <w:rFonts w:cs="Times New Roman"/>
          <w:szCs w:val="26"/>
        </w:rPr>
        <w:t>12</w:t>
      </w:r>
    </w:p>
    <w:p w:rsidR="007446B6" w:rsidP="00203388" w:rsidRDefault="00203388" w14:paraId="3A4605E6" w14:textId="1F837548">
      <w:pPr>
        <w:ind w:firstLine="3240"/>
        <w:rPr>
          <w:rFonts w:cs="Times New Roman"/>
          <w:szCs w:val="26"/>
        </w:rPr>
      </w:pPr>
      <w:r>
        <w:rPr>
          <w:rFonts w:cs="Times New Roman"/>
          <w:szCs w:val="26"/>
        </w:rPr>
        <w:t>November 19, 2020</w:t>
      </w:r>
    </w:p>
    <w:p w:rsidRPr="001E068E" w:rsidR="00C440E3" w:rsidP="00203388" w:rsidRDefault="00C440E3" w14:paraId="11370CB9" w14:textId="77777777">
      <w:pPr>
        <w:ind w:firstLine="3240"/>
        <w:rPr>
          <w:rFonts w:cs="Times New Roman"/>
          <w:szCs w:val="26"/>
        </w:rPr>
      </w:pPr>
    </w:p>
    <w:p w:rsidRPr="00261120" w:rsidR="007446B6" w:rsidP="0011395B" w:rsidRDefault="007446B6" w14:paraId="0D428B41" w14:textId="6AB8C856">
      <w:pPr>
        <w:pStyle w:val="Mainex"/>
        <w:rPr>
          <w:rFonts w:cs="Arial"/>
          <w:szCs w:val="26"/>
          <w:u w:val="single"/>
        </w:rPr>
      </w:pPr>
      <w:r w:rsidRPr="00261120">
        <w:rPr>
          <w:rFonts w:cs="Arial"/>
          <w:szCs w:val="26"/>
          <w:u w:val="single"/>
        </w:rPr>
        <w:t>Resolution</w:t>
      </w:r>
    </w:p>
    <w:p w:rsidRPr="00FD7120" w:rsidR="00261120" w:rsidP="00261120" w:rsidRDefault="00261120" w14:paraId="46EB2496" w14:textId="129A16C6">
      <w:pPr>
        <w:pStyle w:val="Heading1"/>
        <w:pBdr>
          <w:bottom w:val="single" w:color="auto" w:sz="12" w:space="1"/>
        </w:pBdr>
        <w:spacing w:after="120"/>
        <w:ind w:left="1080" w:right="630"/>
        <w:rPr>
          <w:rFonts w:ascii="Book Antiqua" w:hAnsi="Book Antiqua" w:eastAsia="Calibri" w:cs="Times New Roman"/>
          <w:b w:val="0"/>
          <w:caps w:val="0"/>
          <w:szCs w:val="26"/>
          <w:u w:val="none"/>
        </w:rPr>
      </w:pPr>
      <w:bookmarkStart w:name="_Hlk53408509" w:id="0"/>
      <w:r w:rsidRPr="00261120">
        <w:rPr>
          <w:rFonts w:ascii="Book Antiqua" w:hAnsi="Book Antiqua" w:eastAsia="Calibri" w:cs="Times New Roman"/>
          <w:b w:val="0"/>
          <w:caps w:val="0"/>
          <w:szCs w:val="26"/>
          <w:u w:val="none"/>
        </w:rPr>
        <w:t>Resolution WSD-012. Resolution implementing the requirements of Public Utilities Code Sections 8389(d)(3) related to catastrophic wildfire caused by electrical corporations subject to the Commission’s regulatory authority</w:t>
      </w:r>
      <w:r w:rsidRPr="00FD7120">
        <w:rPr>
          <w:rFonts w:ascii="Book Antiqua" w:hAnsi="Book Antiqua" w:eastAsia="Calibri" w:cs="Times New Roman"/>
          <w:b w:val="0"/>
          <w:caps w:val="0"/>
          <w:szCs w:val="26"/>
          <w:u w:val="none"/>
        </w:rPr>
        <w:t>.</w:t>
      </w:r>
    </w:p>
    <w:bookmarkEnd w:id="0"/>
    <w:p w:rsidRPr="001E068E" w:rsidR="00546EFC" w:rsidP="00F90E58" w:rsidRDefault="00F90E58" w14:paraId="0B2DF079" w14:textId="0E75F1E2">
      <w:pPr>
        <w:tabs>
          <w:tab w:val="left" w:pos="6795"/>
        </w:tabs>
        <w:rPr>
          <w:rFonts w:cs="Times New Roman"/>
          <w:szCs w:val="26"/>
        </w:rPr>
      </w:pPr>
      <w:r>
        <w:rPr>
          <w:rFonts w:cs="Times New Roman"/>
          <w:szCs w:val="26"/>
        </w:rPr>
        <w:tab/>
      </w:r>
    </w:p>
    <w:p w:rsidRPr="003431AF" w:rsidR="00C31AA8" w:rsidP="003431AF" w:rsidRDefault="00C31AA8" w14:paraId="2D0C68B9" w14:textId="48417A8F">
      <w:pPr>
        <w:pStyle w:val="Heading1"/>
        <w:rPr>
          <w:rFonts w:ascii="Book Antiqua" w:hAnsi="Book Antiqua" w:cs="Times New Roman"/>
          <w:b w:val="0"/>
          <w:szCs w:val="26"/>
          <w:u w:val="none"/>
        </w:rPr>
      </w:pPr>
      <w:r w:rsidRPr="003431AF">
        <w:rPr>
          <w:rFonts w:ascii="Book Antiqua" w:hAnsi="Book Antiqua" w:cs="Times New Roman"/>
          <w:b w:val="0"/>
          <w:szCs w:val="26"/>
          <w:u w:val="none"/>
        </w:rPr>
        <w:t>SUMMARY</w:t>
      </w:r>
      <w:r w:rsidR="003431AF">
        <w:rPr>
          <w:rFonts w:ascii="Book Antiqua" w:hAnsi="Book Antiqua" w:cs="Times New Roman"/>
          <w:b w:val="0"/>
          <w:szCs w:val="26"/>
          <w:u w:val="none"/>
        </w:rPr>
        <w:t>:</w:t>
      </w:r>
    </w:p>
    <w:p w:rsidRPr="001E068E" w:rsidR="001253F9" w:rsidP="001E340C" w:rsidRDefault="00DD17EB" w14:paraId="23EE0B5A" w14:textId="48300BC3">
      <w:pPr>
        <w:pStyle w:val="Standard"/>
      </w:pPr>
      <w:r w:rsidRPr="001E068E">
        <w:t xml:space="preserve">This Resolution </w:t>
      </w:r>
      <w:r w:rsidRPr="001E068E" w:rsidR="004C622B">
        <w:t xml:space="preserve">implements the requirements of </w:t>
      </w:r>
      <w:r w:rsidRPr="001E068E" w:rsidR="009B094B">
        <w:t>Public Utilities Code</w:t>
      </w:r>
      <w:r w:rsidRPr="001E068E" w:rsidR="008B6903">
        <w:t xml:space="preserve"> </w:t>
      </w:r>
      <w:r w:rsidR="001557A2">
        <w:t>Sections</w:t>
      </w:r>
      <w:r w:rsidRPr="001E068E" w:rsidR="007F2779">
        <w:t xml:space="preserve"> </w:t>
      </w:r>
      <w:r w:rsidRPr="001E068E" w:rsidR="003C694B">
        <w:t>838</w:t>
      </w:r>
      <w:r w:rsidRPr="001E068E" w:rsidR="009B094B">
        <w:t>9(d)</w:t>
      </w:r>
      <w:r w:rsidRPr="001E068E" w:rsidR="004C622B">
        <w:t>(</w:t>
      </w:r>
      <w:r w:rsidR="00AD06AE">
        <w:t>3</w:t>
      </w:r>
      <w:r w:rsidRPr="001E068E" w:rsidR="004C622B">
        <w:t>),</w:t>
      </w:r>
      <w:r w:rsidR="00AD06AE">
        <w:t xml:space="preserve"> </w:t>
      </w:r>
      <w:r w:rsidRPr="001E068E" w:rsidR="004C622B">
        <w:t xml:space="preserve">related to catastrophic wildfire caused by electrical corporations subject to the Commission’s </w:t>
      </w:r>
      <w:r w:rsidRPr="001E340C" w:rsidR="004C622B">
        <w:t>regulatory</w:t>
      </w:r>
      <w:r w:rsidRPr="001E068E" w:rsidR="004C622B">
        <w:t xml:space="preserve"> authority</w:t>
      </w:r>
      <w:r w:rsidR="0011395B">
        <w:t>.</w:t>
      </w:r>
      <w:r w:rsidR="0011395B">
        <w:rPr>
          <w:rStyle w:val="FootnoteReference"/>
          <w:szCs w:val="26"/>
        </w:rPr>
        <w:footnoteReference w:id="2"/>
      </w:r>
      <w:r w:rsidR="0011395B">
        <w:t xml:space="preserve">  </w:t>
      </w:r>
      <w:r w:rsidRPr="001E068E" w:rsidR="001253F9">
        <w:t>The statute requires the following:</w:t>
      </w:r>
    </w:p>
    <w:p w:rsidRPr="001E068E" w:rsidR="001253F9" w:rsidP="001E340C" w:rsidRDefault="001253F9" w14:paraId="78697B8C" w14:textId="0BE1ABF8">
      <w:pPr>
        <w:pStyle w:val="BlockQuote"/>
      </w:pPr>
      <w:r w:rsidRPr="001E068E">
        <w:t xml:space="preserve">(d) By December 1, 2020, and annually thereafter, the </w:t>
      </w:r>
      <w:r w:rsidRPr="001E068E" w:rsidR="007F2779">
        <w:t>[C]</w:t>
      </w:r>
      <w:proofErr w:type="spellStart"/>
      <w:r w:rsidRPr="001E068E">
        <w:t>ommission</w:t>
      </w:r>
      <w:proofErr w:type="spellEnd"/>
      <w:r w:rsidRPr="001E068E">
        <w:t xml:space="preserve">, after consultation with the </w:t>
      </w:r>
      <w:r w:rsidRPr="001E068E" w:rsidR="007F2779">
        <w:t xml:space="preserve">[Wildfire Safety </w:t>
      </w:r>
      <w:proofErr w:type="gramStart"/>
      <w:r w:rsidRPr="001E068E" w:rsidR="007F2779">
        <w:t>D]</w:t>
      </w:r>
      <w:proofErr w:type="spellStart"/>
      <w:r w:rsidRPr="001E068E">
        <w:t>ivision</w:t>
      </w:r>
      <w:proofErr w:type="spellEnd"/>
      <w:proofErr w:type="gramEnd"/>
      <w:r w:rsidRPr="001E068E" w:rsidR="00A046AA">
        <w:t>]</w:t>
      </w:r>
      <w:r w:rsidRPr="001E068E">
        <w:t>, shall adopt and approve all of the following:</w:t>
      </w:r>
    </w:p>
    <w:p w:rsidRPr="001E068E" w:rsidR="001253F9" w:rsidP="001E340C" w:rsidRDefault="001253F9" w14:paraId="72C40078" w14:textId="34E29FF0">
      <w:pPr>
        <w:pStyle w:val="BlockQuote"/>
      </w:pPr>
      <w:r w:rsidRPr="001E068E">
        <w:t>(</w:t>
      </w:r>
      <w:r w:rsidR="00F90E58">
        <w:t>3</w:t>
      </w:r>
      <w:r w:rsidRPr="001E068E">
        <w:t xml:space="preserve">) A </w:t>
      </w:r>
      <w:r w:rsidR="00AD06AE">
        <w:t>wildfire mitigation plan compliance process</w:t>
      </w:r>
      <w:r w:rsidRPr="001E068E">
        <w:t>.</w:t>
      </w:r>
    </w:p>
    <w:p w:rsidRPr="001E068E" w:rsidR="003C694B" w:rsidP="001E340C" w:rsidRDefault="002912FB" w14:paraId="22957CE9" w14:textId="764014E6">
      <w:pPr>
        <w:pStyle w:val="Standard"/>
      </w:pPr>
      <w:r w:rsidRPr="001E068E">
        <w:t>To implement Sections (d)(</w:t>
      </w:r>
      <w:r w:rsidR="00AD06AE">
        <w:t>3</w:t>
      </w:r>
      <w:r w:rsidRPr="001E068E">
        <w:t>)</w:t>
      </w:r>
      <w:r w:rsidR="0011395B">
        <w:t>,</w:t>
      </w:r>
      <w:r w:rsidRPr="001E068E">
        <w:t xml:space="preserve"> th</w:t>
      </w:r>
      <w:r w:rsidR="0011395B">
        <w:t>is</w:t>
      </w:r>
      <w:r w:rsidRPr="001E068E">
        <w:t xml:space="preserve"> Resolution provides a recommended process for </w:t>
      </w:r>
      <w:r w:rsidR="00AD06AE">
        <w:t xml:space="preserve">overseeing </w:t>
      </w:r>
      <w:r w:rsidR="009F4F6A">
        <w:t>W</w:t>
      </w:r>
      <w:r w:rsidR="00AD06AE">
        <w:t xml:space="preserve">ildfire </w:t>
      </w:r>
      <w:r w:rsidR="009F4F6A">
        <w:t>M</w:t>
      </w:r>
      <w:r w:rsidR="00AD06AE">
        <w:t xml:space="preserve">itigation </w:t>
      </w:r>
      <w:r w:rsidR="009F4F6A">
        <w:t>P</w:t>
      </w:r>
      <w:r w:rsidR="00AD06AE">
        <w:t xml:space="preserve">lan </w:t>
      </w:r>
      <w:r w:rsidR="009F4F6A">
        <w:t xml:space="preserve">(WMP) </w:t>
      </w:r>
      <w:r w:rsidR="00AD06AE">
        <w:t>compliance</w:t>
      </w:r>
      <w:r w:rsidRPr="001E068E">
        <w:t xml:space="preserve"> for </w:t>
      </w:r>
      <w:r w:rsidR="00AD06AE">
        <w:t>the</w:t>
      </w:r>
      <w:r w:rsidRPr="001E068E">
        <w:t xml:space="preserve"> electric</w:t>
      </w:r>
      <w:r w:rsidRPr="001E068E" w:rsidR="00A046AA">
        <w:t>al</w:t>
      </w:r>
      <w:r w:rsidRPr="001E068E">
        <w:t xml:space="preserve"> corporation</w:t>
      </w:r>
      <w:r w:rsidR="00AD06AE">
        <w:t>s</w:t>
      </w:r>
      <w:r w:rsidRPr="001E068E">
        <w:t xml:space="preserve">.  </w:t>
      </w:r>
    </w:p>
    <w:p w:rsidR="00F7770D" w:rsidP="001E340C" w:rsidRDefault="007446B6" w14:paraId="3E628321" w14:textId="7B7BDC96">
      <w:pPr>
        <w:pStyle w:val="Standard"/>
      </w:pPr>
      <w:r w:rsidRPr="001E068E">
        <w:t>Assembly Bill</w:t>
      </w:r>
      <w:r w:rsidRPr="001E068E" w:rsidR="009B094B">
        <w:t xml:space="preserve"> (AB)</w:t>
      </w:r>
      <w:r w:rsidRPr="001E068E">
        <w:t xml:space="preserve"> 1054 (2019</w:t>
      </w:r>
      <w:r w:rsidRPr="001E068E" w:rsidR="003C694B">
        <w:t xml:space="preserve">) </w:t>
      </w:r>
      <w:r w:rsidR="00014F28">
        <w:t>directs</w:t>
      </w:r>
      <w:r w:rsidRPr="001E068E" w:rsidR="00026C29">
        <w:t xml:space="preserve"> the W</w:t>
      </w:r>
      <w:r w:rsidR="009246C2">
        <w:t>ildfire Safety Division (W</w:t>
      </w:r>
      <w:r w:rsidRPr="001E068E" w:rsidR="00026C29">
        <w:t>SD</w:t>
      </w:r>
      <w:r w:rsidR="009246C2">
        <w:t>)</w:t>
      </w:r>
      <w:r w:rsidRPr="001E068E" w:rsidR="00026C29">
        <w:t xml:space="preserve"> to </w:t>
      </w:r>
      <w:r w:rsidR="00014F28">
        <w:t>oversee compliance with the</w:t>
      </w:r>
      <w:r w:rsidRPr="001E068E" w:rsidR="00026C29">
        <w:t xml:space="preserve"> </w:t>
      </w:r>
      <w:r w:rsidRPr="001E068E" w:rsidR="00A17B6F">
        <w:t xml:space="preserve">electrical corporations’ </w:t>
      </w:r>
      <w:r w:rsidR="009F4F6A">
        <w:t>approved</w:t>
      </w:r>
      <w:r w:rsidRPr="001E068E" w:rsidR="009F4F6A">
        <w:t xml:space="preserve"> </w:t>
      </w:r>
      <w:r w:rsidRPr="001E068E" w:rsidR="00A17B6F">
        <w:t>WMPs</w:t>
      </w:r>
      <w:r w:rsidRPr="001E068E" w:rsidR="005F30D0">
        <w:t xml:space="preserve">.  </w:t>
      </w:r>
      <w:r w:rsidRPr="001E068E" w:rsidR="00A17B6F">
        <w:t xml:space="preserve">This Resolution </w:t>
      </w:r>
      <w:r w:rsidR="009F4F6A">
        <w:t xml:space="preserve">articulates the WSD’s compliance process based on </w:t>
      </w:r>
      <w:r w:rsidR="00DB2F91">
        <w:t>stakeholder comments</w:t>
      </w:r>
      <w:r w:rsidR="009F4F6A">
        <w:t xml:space="preserve">, the California Wildfire Safety Advisory Board’s (WSAB) </w:t>
      </w:r>
      <w:r w:rsidR="009F4F6A">
        <w:lastRenderedPageBreak/>
        <w:t>June</w:t>
      </w:r>
      <w:r w:rsidR="00362C10">
        <w:t> </w:t>
      </w:r>
      <w:r w:rsidR="009F4F6A">
        <w:t>2</w:t>
      </w:r>
      <w:r w:rsidR="005F3DC2">
        <w:t>4</w:t>
      </w:r>
      <w:r w:rsidR="009F4F6A">
        <w:t>,</w:t>
      </w:r>
      <w:r w:rsidR="00362C10">
        <w:t> </w:t>
      </w:r>
      <w:r w:rsidR="009F4F6A">
        <w:t>2020, input</w:t>
      </w:r>
      <w:r w:rsidR="00DB2F91">
        <w:t xml:space="preserve"> </w:t>
      </w:r>
      <w:r w:rsidRPr="001E068E" w:rsidR="00A17B6F">
        <w:t xml:space="preserve">and the </w:t>
      </w:r>
      <w:r w:rsidR="009F4F6A">
        <w:t>WSD</w:t>
      </w:r>
      <w:r w:rsidRPr="001E068E" w:rsidR="009F4F6A">
        <w:t xml:space="preserve">’s </w:t>
      </w:r>
      <w:r w:rsidRPr="001E068E" w:rsidR="00A17B6F">
        <w:t>experience</w:t>
      </w:r>
      <w:r w:rsidR="00DB2F91">
        <w:t xml:space="preserve"> to date</w:t>
      </w:r>
      <w:r w:rsidRPr="001E068E" w:rsidR="00A17B6F">
        <w:t xml:space="preserve"> with 2020 WMP </w:t>
      </w:r>
      <w:r w:rsidR="00DB2F91">
        <w:t>compliance assessment</w:t>
      </w:r>
      <w:r w:rsidR="009F4F6A">
        <w:t>s</w:t>
      </w:r>
      <w:r w:rsidRPr="001E068E" w:rsidR="00A17B6F">
        <w:t>.</w:t>
      </w:r>
      <w:r w:rsidR="003431AF">
        <w:rPr>
          <w:rStyle w:val="FootnoteReference"/>
          <w:szCs w:val="26"/>
        </w:rPr>
        <w:footnoteReference w:id="3"/>
      </w:r>
      <w:r w:rsidRPr="001E068E" w:rsidR="00A17B6F">
        <w:t xml:space="preserve">  </w:t>
      </w:r>
    </w:p>
    <w:p w:rsidR="009F4F6A" w:rsidP="001E340C" w:rsidRDefault="009F4F6A" w14:paraId="218638B8" w14:textId="59CA5682">
      <w:pPr>
        <w:pStyle w:val="Standard"/>
      </w:pPr>
      <w:r>
        <w:t xml:space="preserve">The compliance process is included as an attachment to this Resolution. </w:t>
      </w:r>
    </w:p>
    <w:p w:rsidRPr="001E340C" w:rsidR="009F4F6A" w:rsidP="009F4F6A" w:rsidRDefault="009F4F6A" w14:paraId="06EC9EA0" w14:textId="4F2D49A8">
      <w:pPr>
        <w:pStyle w:val="Res-Caption"/>
        <w:numPr>
          <w:ilvl w:val="0"/>
          <w:numId w:val="53"/>
        </w:numPr>
        <w:rPr>
          <w:rFonts w:ascii="Book Antiqua" w:hAnsi="Book Antiqua" w:eastAsiaTheme="minorHAnsi" w:cstheme="minorHAnsi"/>
          <w:b/>
          <w:szCs w:val="26"/>
        </w:rPr>
      </w:pPr>
      <w:r w:rsidRPr="001E340C">
        <w:rPr>
          <w:rFonts w:ascii="Book Antiqua" w:hAnsi="Book Antiqua" w:eastAsiaTheme="minorHAnsi" w:cstheme="minorHAnsi"/>
          <w:b/>
          <w:szCs w:val="26"/>
        </w:rPr>
        <w:t>Attachment 1: Wildfire Mitigation Plan Compliance Process</w:t>
      </w:r>
    </w:p>
    <w:p w:rsidRPr="001E340C" w:rsidR="009F4F6A" w:rsidP="009F4F6A" w:rsidRDefault="009F4F6A" w14:paraId="3E8E09B6" w14:textId="67998B7F">
      <w:pPr>
        <w:pStyle w:val="Res-Caption"/>
        <w:rPr>
          <w:rFonts w:ascii="Book Antiqua" w:hAnsi="Book Antiqua" w:eastAsiaTheme="minorHAnsi" w:cstheme="minorHAnsi"/>
          <w:szCs w:val="26"/>
        </w:rPr>
      </w:pPr>
      <w:r w:rsidRPr="001E340C">
        <w:rPr>
          <w:rFonts w:ascii="Book Antiqua" w:hAnsi="Book Antiqua" w:eastAsiaTheme="minorHAnsi" w:cstheme="minorHAnsi"/>
          <w:szCs w:val="26"/>
        </w:rPr>
        <w:t xml:space="preserve">This document contains the WSD’s </w:t>
      </w:r>
      <w:r w:rsidRPr="001E340C" w:rsidR="00667624">
        <w:rPr>
          <w:rFonts w:ascii="Book Antiqua" w:hAnsi="Book Antiqua" w:eastAsiaTheme="minorHAnsi" w:cstheme="minorHAnsi"/>
          <w:szCs w:val="26"/>
        </w:rPr>
        <w:t xml:space="preserve">compliance process for electrical corporations’ approved </w:t>
      </w:r>
      <w:r w:rsidRPr="001E340C" w:rsidR="00310AF9">
        <w:rPr>
          <w:rFonts w:ascii="Book Antiqua" w:hAnsi="Book Antiqua" w:eastAsiaTheme="minorHAnsi" w:cstheme="minorHAnsi"/>
          <w:szCs w:val="26"/>
        </w:rPr>
        <w:t>WMPs</w:t>
      </w:r>
      <w:r w:rsidRPr="001E340C" w:rsidR="00667624">
        <w:rPr>
          <w:rFonts w:ascii="Book Antiqua" w:hAnsi="Book Antiqua" w:eastAsiaTheme="minorHAnsi" w:cstheme="minorHAnsi"/>
          <w:szCs w:val="26"/>
        </w:rPr>
        <w:t>.</w:t>
      </w:r>
    </w:p>
    <w:p w:rsidRPr="001E068E" w:rsidR="009F4F6A" w:rsidP="00546EFC" w:rsidRDefault="009F4F6A" w14:paraId="732BFA22" w14:textId="77777777">
      <w:pPr>
        <w:pStyle w:val="Res-Caption"/>
        <w:ind w:left="0"/>
        <w:rPr>
          <w:rFonts w:ascii="Book Antiqua" w:hAnsi="Book Antiqua"/>
          <w:szCs w:val="26"/>
        </w:rPr>
      </w:pPr>
    </w:p>
    <w:p w:rsidRPr="001E068E" w:rsidR="001A36E2" w:rsidP="00546EFC" w:rsidRDefault="001A36E2" w14:paraId="45F12818" w14:textId="05C1C2B2">
      <w:pPr>
        <w:pStyle w:val="Res-Caption"/>
        <w:ind w:left="0"/>
        <w:rPr>
          <w:rFonts w:ascii="Book Antiqua" w:hAnsi="Book Antiqua"/>
          <w:szCs w:val="26"/>
        </w:rPr>
      </w:pPr>
      <w:r w:rsidRPr="001E068E">
        <w:rPr>
          <w:rFonts w:ascii="Book Antiqua" w:hAnsi="Book Antiqua"/>
          <w:szCs w:val="26"/>
        </w:rPr>
        <w:t xml:space="preserve">PROPOSED OUTCOME: </w:t>
      </w:r>
    </w:p>
    <w:p w:rsidRPr="001E068E" w:rsidR="00654C35" w:rsidP="001A36E2" w:rsidRDefault="00654C35" w14:paraId="7556E59A" w14:textId="77777777">
      <w:pPr>
        <w:pStyle w:val="Res-Caption"/>
        <w:rPr>
          <w:rFonts w:ascii="Book Antiqua" w:hAnsi="Book Antiqua"/>
          <w:szCs w:val="26"/>
        </w:rPr>
      </w:pPr>
    </w:p>
    <w:p w:rsidR="003431AF" w:rsidP="00546EFC" w:rsidRDefault="00CF1F2B" w14:paraId="438C2769" w14:textId="0889767C">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Provides </w:t>
      </w:r>
      <w:r w:rsidR="000743B8">
        <w:rPr>
          <w:rFonts w:ascii="Book Antiqua" w:hAnsi="Book Antiqua"/>
          <w:szCs w:val="26"/>
        </w:rPr>
        <w:t xml:space="preserve">direction to </w:t>
      </w:r>
      <w:r w:rsidRPr="001E068E" w:rsidR="00D10422">
        <w:rPr>
          <w:rFonts w:ascii="Book Antiqua" w:hAnsi="Book Antiqua"/>
          <w:szCs w:val="26"/>
        </w:rPr>
        <w:t>electrical corporation</w:t>
      </w:r>
      <w:r w:rsidR="00A61C22">
        <w:rPr>
          <w:rFonts w:ascii="Book Antiqua" w:hAnsi="Book Antiqua"/>
          <w:szCs w:val="26"/>
        </w:rPr>
        <w:t>s</w:t>
      </w:r>
      <w:r w:rsidRPr="001E068E">
        <w:rPr>
          <w:rFonts w:ascii="Book Antiqua" w:hAnsi="Book Antiqua"/>
          <w:szCs w:val="26"/>
        </w:rPr>
        <w:t xml:space="preserve"> </w:t>
      </w:r>
      <w:r w:rsidR="000743B8">
        <w:rPr>
          <w:rFonts w:ascii="Book Antiqua" w:hAnsi="Book Antiqua"/>
          <w:szCs w:val="26"/>
        </w:rPr>
        <w:t>on demonstrating compliance with WMP initiatives</w:t>
      </w:r>
      <w:r w:rsidR="003431AF">
        <w:rPr>
          <w:rFonts w:ascii="Book Antiqua" w:hAnsi="Book Antiqua"/>
          <w:szCs w:val="26"/>
        </w:rPr>
        <w:t xml:space="preserve">.  </w:t>
      </w:r>
    </w:p>
    <w:p w:rsidRPr="001E068E" w:rsidR="00CF1F2B" w:rsidP="00546EFC" w:rsidRDefault="005D3CD0" w14:paraId="0911965A" w14:textId="1AEECD11">
      <w:pPr>
        <w:pStyle w:val="Res-Caption"/>
        <w:numPr>
          <w:ilvl w:val="0"/>
          <w:numId w:val="36"/>
        </w:numPr>
        <w:spacing w:after="120"/>
        <w:ind w:left="1080" w:right="1440"/>
        <w:rPr>
          <w:rFonts w:ascii="Book Antiqua" w:hAnsi="Book Antiqua"/>
          <w:szCs w:val="26"/>
        </w:rPr>
      </w:pPr>
      <w:r>
        <w:rPr>
          <w:rFonts w:ascii="Book Antiqua" w:hAnsi="Book Antiqua"/>
          <w:szCs w:val="26"/>
        </w:rPr>
        <w:t>Retains operational flexibility to address dynamic field conditions and necessary improvements.</w:t>
      </w:r>
    </w:p>
    <w:p w:rsidRPr="001E068E" w:rsidR="00CF1F2B" w:rsidP="00546EFC" w:rsidRDefault="0033566E" w14:paraId="09069D72" w14:textId="1C932361">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Incorporates </w:t>
      </w:r>
      <w:r w:rsidRPr="001E068E" w:rsidR="0083186A">
        <w:rPr>
          <w:rFonts w:ascii="Book Antiqua" w:hAnsi="Book Antiqua"/>
          <w:szCs w:val="26"/>
        </w:rPr>
        <w:t xml:space="preserve">the Wildfire Safety Advisory Board’s </w:t>
      </w:r>
      <w:r w:rsidR="001A471D">
        <w:rPr>
          <w:rFonts w:ascii="Book Antiqua" w:hAnsi="Book Antiqua"/>
          <w:szCs w:val="26"/>
        </w:rPr>
        <w:t xml:space="preserve">(WSAB) </w:t>
      </w:r>
      <w:r w:rsidRPr="001E068E" w:rsidR="0083186A">
        <w:rPr>
          <w:rFonts w:ascii="Book Antiqua" w:hAnsi="Book Antiqua"/>
          <w:szCs w:val="26"/>
        </w:rPr>
        <w:t xml:space="preserve">proposed </w:t>
      </w:r>
      <w:r w:rsidR="007F28B2">
        <w:rPr>
          <w:rFonts w:ascii="Book Antiqua" w:hAnsi="Book Antiqua"/>
          <w:szCs w:val="26"/>
        </w:rPr>
        <w:t xml:space="preserve">coordination </w:t>
      </w:r>
      <w:r w:rsidRPr="001E068E" w:rsidR="004C622B">
        <w:rPr>
          <w:rFonts w:ascii="Book Antiqua" w:hAnsi="Book Antiqua"/>
          <w:szCs w:val="26"/>
        </w:rPr>
        <w:t>recommendation</w:t>
      </w:r>
      <w:r w:rsidRPr="001E068E">
        <w:rPr>
          <w:rFonts w:ascii="Book Antiqua" w:hAnsi="Book Antiqua"/>
          <w:szCs w:val="26"/>
        </w:rPr>
        <w:t>.</w:t>
      </w:r>
      <w:r w:rsidRPr="001E068E" w:rsidR="004C622B">
        <w:rPr>
          <w:rFonts w:ascii="Book Antiqua" w:hAnsi="Book Antiqua"/>
          <w:szCs w:val="26"/>
        </w:rPr>
        <w:t xml:space="preserve"> </w:t>
      </w:r>
    </w:p>
    <w:p w:rsidRPr="001E068E" w:rsidR="00CF1F2B" w:rsidP="00546EFC" w:rsidRDefault="00CF1F2B" w14:paraId="2152C923" w14:textId="222E4D72">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Proposes </w:t>
      </w:r>
      <w:r w:rsidR="005D3CD0">
        <w:rPr>
          <w:rFonts w:ascii="Book Antiqua" w:hAnsi="Book Antiqua"/>
          <w:szCs w:val="26"/>
        </w:rPr>
        <w:t>an expedited resolution timeframe for WMP defects</w:t>
      </w:r>
      <w:r w:rsidRPr="001E068E">
        <w:rPr>
          <w:rFonts w:ascii="Book Antiqua" w:hAnsi="Book Antiqua"/>
          <w:szCs w:val="26"/>
        </w:rPr>
        <w:t>.</w:t>
      </w:r>
    </w:p>
    <w:p w:rsidRPr="001E068E" w:rsidR="001A36E2" w:rsidP="00546EFC" w:rsidRDefault="001A36E2" w14:paraId="3BCA155A" w14:textId="77777777">
      <w:pPr>
        <w:pStyle w:val="Res-Caption"/>
        <w:ind w:left="0"/>
        <w:rPr>
          <w:rFonts w:ascii="Book Antiqua" w:hAnsi="Book Antiqua"/>
          <w:szCs w:val="26"/>
        </w:rPr>
      </w:pPr>
    </w:p>
    <w:p w:rsidRPr="001E068E" w:rsidR="001A36E2" w:rsidP="00546EFC" w:rsidRDefault="001A36E2" w14:paraId="52A1E807" w14:textId="36B3804B">
      <w:pPr>
        <w:pStyle w:val="Res-Caption"/>
        <w:ind w:left="0"/>
        <w:rPr>
          <w:rFonts w:ascii="Book Antiqua" w:hAnsi="Book Antiqua"/>
          <w:szCs w:val="26"/>
        </w:rPr>
      </w:pPr>
      <w:r w:rsidRPr="001E068E">
        <w:rPr>
          <w:rFonts w:ascii="Book Antiqua" w:hAnsi="Book Antiqua"/>
          <w:szCs w:val="26"/>
        </w:rPr>
        <w:t>SAFETY CONSIDERATIONS:</w:t>
      </w:r>
    </w:p>
    <w:p w:rsidRPr="001E068E" w:rsidR="00E552F3" w:rsidP="00546EFC" w:rsidRDefault="00E552F3" w14:paraId="1F4D9FDB" w14:textId="77777777">
      <w:pPr>
        <w:pStyle w:val="Res-Caption"/>
        <w:ind w:left="0"/>
        <w:rPr>
          <w:rFonts w:ascii="Book Antiqua" w:hAnsi="Book Antiqua"/>
          <w:szCs w:val="26"/>
        </w:rPr>
      </w:pPr>
    </w:p>
    <w:p w:rsidRPr="001E068E" w:rsidR="001A36E2" w:rsidP="00546EFC" w:rsidRDefault="001A36E2" w14:paraId="284F2637" w14:textId="5FD42B6B">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Mitigation of catastrophic wildfires in California is among the most important safety challenges the Commission-regulated electrical corporations face.  </w:t>
      </w:r>
      <w:r w:rsidR="00A61C22">
        <w:rPr>
          <w:rFonts w:ascii="Book Antiqua" w:hAnsi="Book Antiqua"/>
          <w:szCs w:val="26"/>
        </w:rPr>
        <w:t xml:space="preserve">A </w:t>
      </w:r>
      <w:r w:rsidRPr="001E068E">
        <w:rPr>
          <w:rFonts w:ascii="Book Antiqua" w:hAnsi="Book Antiqua"/>
          <w:szCs w:val="26"/>
        </w:rPr>
        <w:t>WMP list</w:t>
      </w:r>
      <w:r w:rsidR="00A61C22">
        <w:rPr>
          <w:rFonts w:ascii="Book Antiqua" w:hAnsi="Book Antiqua"/>
          <w:szCs w:val="26"/>
        </w:rPr>
        <w:t>s</w:t>
      </w:r>
      <w:r w:rsidRPr="001E068E">
        <w:rPr>
          <w:rFonts w:ascii="Book Antiqua" w:hAnsi="Book Antiqua"/>
          <w:szCs w:val="26"/>
        </w:rPr>
        <w:t xml:space="preserve"> an electrical corporation’s proposed actions to </w:t>
      </w:r>
      <w:r w:rsidR="00A61C22">
        <w:rPr>
          <w:rFonts w:ascii="Book Antiqua" w:hAnsi="Book Antiqua"/>
          <w:szCs w:val="26"/>
        </w:rPr>
        <w:t>mitigate</w:t>
      </w:r>
      <w:r w:rsidRPr="001E068E">
        <w:rPr>
          <w:rFonts w:ascii="Book Antiqua" w:hAnsi="Book Antiqua"/>
          <w:szCs w:val="26"/>
        </w:rPr>
        <w:t xml:space="preserve"> catastrophic wildfire</w:t>
      </w:r>
      <w:r w:rsidR="00A61C22">
        <w:rPr>
          <w:rFonts w:ascii="Book Antiqua" w:hAnsi="Book Antiqua"/>
          <w:szCs w:val="26"/>
        </w:rPr>
        <w:t xml:space="preserve"> risk.</w:t>
      </w:r>
      <w:r w:rsidRPr="001E068E">
        <w:rPr>
          <w:rFonts w:ascii="Book Antiqua" w:hAnsi="Book Antiqua"/>
          <w:szCs w:val="26"/>
        </w:rPr>
        <w:t xml:space="preserve"> </w:t>
      </w:r>
      <w:r w:rsidR="00A61C22">
        <w:rPr>
          <w:rFonts w:ascii="Book Antiqua" w:hAnsi="Book Antiqua"/>
          <w:szCs w:val="26"/>
        </w:rPr>
        <w:t>Therefore</w:t>
      </w:r>
      <w:r w:rsidR="004F4E0A">
        <w:rPr>
          <w:rFonts w:ascii="Book Antiqua" w:hAnsi="Book Antiqua"/>
          <w:szCs w:val="26"/>
        </w:rPr>
        <w:t>,</w:t>
      </w:r>
      <w:r w:rsidRPr="001E068E" w:rsidR="00A61C22">
        <w:rPr>
          <w:rFonts w:ascii="Book Antiqua" w:hAnsi="Book Antiqua"/>
          <w:szCs w:val="26"/>
        </w:rPr>
        <w:t xml:space="preserve"> </w:t>
      </w:r>
      <w:r w:rsidR="005D3CD0">
        <w:rPr>
          <w:rFonts w:ascii="Book Antiqua" w:hAnsi="Book Antiqua"/>
          <w:szCs w:val="26"/>
        </w:rPr>
        <w:t xml:space="preserve">enforcing </w:t>
      </w:r>
      <w:r w:rsidRPr="001E068E" w:rsidR="00D10422">
        <w:rPr>
          <w:rFonts w:ascii="Book Antiqua" w:hAnsi="Book Antiqua"/>
          <w:szCs w:val="26"/>
        </w:rPr>
        <w:t>electrical corporation</w:t>
      </w:r>
      <w:r w:rsidR="005D3CD0">
        <w:rPr>
          <w:rFonts w:ascii="Book Antiqua" w:hAnsi="Book Antiqua"/>
          <w:szCs w:val="26"/>
        </w:rPr>
        <w:t xml:space="preserve"> compliance with </w:t>
      </w:r>
      <w:r w:rsidRPr="001E068E">
        <w:rPr>
          <w:rFonts w:ascii="Book Antiqua" w:hAnsi="Book Antiqua"/>
          <w:szCs w:val="26"/>
        </w:rPr>
        <w:t xml:space="preserve">WMPs </w:t>
      </w:r>
      <w:r w:rsidR="005D3CD0">
        <w:rPr>
          <w:rFonts w:ascii="Book Antiqua" w:hAnsi="Book Antiqua"/>
          <w:szCs w:val="26"/>
        </w:rPr>
        <w:t>is</w:t>
      </w:r>
      <w:r w:rsidRPr="001E068E">
        <w:rPr>
          <w:rFonts w:ascii="Book Antiqua" w:hAnsi="Book Antiqua"/>
          <w:szCs w:val="26"/>
        </w:rPr>
        <w:t xml:space="preserve"> essential to </w:t>
      </w:r>
      <w:r w:rsidR="00A61C22">
        <w:rPr>
          <w:rFonts w:ascii="Book Antiqua" w:hAnsi="Book Antiqua"/>
          <w:szCs w:val="26"/>
        </w:rPr>
        <w:t xml:space="preserve">public </w:t>
      </w:r>
      <w:r w:rsidRPr="001E068E">
        <w:rPr>
          <w:rFonts w:ascii="Book Antiqua" w:hAnsi="Book Antiqua"/>
          <w:szCs w:val="26"/>
        </w:rPr>
        <w:t>safety.</w:t>
      </w:r>
    </w:p>
    <w:p w:rsidR="00A76DCD" w:rsidP="005D3CD0" w:rsidRDefault="001A36E2" w14:paraId="12AF97F4" w14:textId="309D21AB">
      <w:pPr>
        <w:pStyle w:val="Res-Caption"/>
        <w:numPr>
          <w:ilvl w:val="0"/>
          <w:numId w:val="36"/>
        </w:numPr>
        <w:spacing w:after="120"/>
        <w:ind w:left="1080" w:right="1440"/>
        <w:rPr>
          <w:rFonts w:ascii="Book Antiqua" w:hAnsi="Book Antiqua"/>
          <w:szCs w:val="26"/>
        </w:rPr>
      </w:pPr>
      <w:r w:rsidRPr="001E068E">
        <w:rPr>
          <w:rFonts w:ascii="Book Antiqua" w:hAnsi="Book Antiqua"/>
          <w:szCs w:val="26"/>
        </w:rPr>
        <w:t xml:space="preserve">By implementing measures such as vegetation management, system hardening (such as insulating overhead lines and removing or upgrading equipment most likely to cause fire ignition), improved inspection and maintenance, situational awareness (cameras, weather </w:t>
      </w:r>
      <w:r w:rsidRPr="001E068E">
        <w:rPr>
          <w:rFonts w:ascii="Book Antiqua" w:hAnsi="Book Antiqua"/>
          <w:szCs w:val="26"/>
        </w:rPr>
        <w:lastRenderedPageBreak/>
        <w:t xml:space="preserve">stations, and use of data to predict areas of highest fire threat), improved community engagement and awareness, and other measures, </w:t>
      </w:r>
      <w:r w:rsidRPr="001E068E" w:rsidR="00D10422">
        <w:rPr>
          <w:rFonts w:ascii="Book Antiqua" w:hAnsi="Book Antiqua"/>
          <w:szCs w:val="26"/>
        </w:rPr>
        <w:t>electrical corporation</w:t>
      </w:r>
      <w:r w:rsidRPr="001E068E">
        <w:rPr>
          <w:rFonts w:ascii="Book Antiqua" w:hAnsi="Book Antiqua"/>
          <w:szCs w:val="26"/>
        </w:rPr>
        <w:t xml:space="preserve">-caused catastrophic wildfire risk should be reduced over time.  </w:t>
      </w:r>
    </w:p>
    <w:p w:rsidRPr="009D7F7B" w:rsidR="009D7F7B" w:rsidP="009D7F7B" w:rsidRDefault="009D7F7B" w14:paraId="17215E80" w14:textId="7A46B39D">
      <w:pPr>
        <w:pStyle w:val="Res-Caption"/>
        <w:numPr>
          <w:ilvl w:val="0"/>
          <w:numId w:val="36"/>
        </w:numPr>
        <w:spacing w:after="120"/>
        <w:ind w:left="1080" w:right="1440"/>
        <w:rPr>
          <w:rFonts w:ascii="Book Antiqua" w:hAnsi="Book Antiqua"/>
          <w:szCs w:val="26"/>
        </w:rPr>
      </w:pPr>
      <w:r w:rsidRPr="009D7F7B">
        <w:rPr>
          <w:rFonts w:ascii="Book Antiqua" w:hAnsi="Book Antiqua"/>
          <w:szCs w:val="26"/>
        </w:rPr>
        <w:t>Compliance with WMPs is essential to achieving a reduction in catastrophic wildfires.</w:t>
      </w:r>
    </w:p>
    <w:p w:rsidRPr="001E068E" w:rsidR="001A36E2" w:rsidP="00546EFC" w:rsidRDefault="001A36E2" w14:paraId="43839543" w14:textId="010A2825">
      <w:pPr>
        <w:pStyle w:val="Res-Caption"/>
        <w:spacing w:after="120"/>
        <w:ind w:left="0"/>
        <w:rPr>
          <w:rFonts w:ascii="Book Antiqua" w:hAnsi="Book Antiqua"/>
          <w:szCs w:val="26"/>
        </w:rPr>
      </w:pPr>
      <w:r w:rsidRPr="001E068E">
        <w:rPr>
          <w:rFonts w:ascii="Book Antiqua" w:hAnsi="Book Antiqua"/>
          <w:szCs w:val="26"/>
        </w:rPr>
        <w:t xml:space="preserve">ESTIMATED COST:  </w:t>
      </w:r>
    </w:p>
    <w:p w:rsidRPr="001E068E" w:rsidR="009F11A6" w:rsidP="00546EFC" w:rsidRDefault="009F11A6" w14:paraId="4DB2D22A" w14:textId="4BF6EE16">
      <w:pPr>
        <w:pStyle w:val="Res-Caption"/>
        <w:numPr>
          <w:ilvl w:val="0"/>
          <w:numId w:val="35"/>
        </w:numPr>
        <w:spacing w:after="120"/>
        <w:ind w:left="1080" w:right="1440"/>
        <w:rPr>
          <w:rFonts w:ascii="Book Antiqua" w:hAnsi="Book Antiqua"/>
          <w:szCs w:val="26"/>
        </w:rPr>
      </w:pPr>
      <w:r w:rsidRPr="001E068E">
        <w:rPr>
          <w:rFonts w:ascii="Book Antiqua" w:hAnsi="Book Antiqua"/>
          <w:szCs w:val="26"/>
        </w:rPr>
        <w:t xml:space="preserve">This </w:t>
      </w:r>
      <w:r w:rsidRPr="001E068E" w:rsidR="001A36E2">
        <w:rPr>
          <w:rFonts w:ascii="Book Antiqua" w:hAnsi="Book Antiqua"/>
          <w:szCs w:val="26"/>
        </w:rPr>
        <w:t xml:space="preserve">Resolution </w:t>
      </w:r>
      <w:r w:rsidRPr="001E068E">
        <w:rPr>
          <w:rFonts w:ascii="Book Antiqua" w:hAnsi="Book Antiqua"/>
          <w:szCs w:val="26"/>
        </w:rPr>
        <w:t xml:space="preserve">does not address or approve costs, but instead focuses on </w:t>
      </w:r>
      <w:r w:rsidR="000743B8">
        <w:rPr>
          <w:rFonts w:ascii="Book Antiqua" w:hAnsi="Book Antiqua"/>
          <w:szCs w:val="26"/>
        </w:rPr>
        <w:t xml:space="preserve">overseeing compliance with </w:t>
      </w:r>
      <w:r w:rsidRPr="001E068E">
        <w:rPr>
          <w:rFonts w:ascii="Book Antiqua" w:hAnsi="Book Antiqua"/>
          <w:szCs w:val="26"/>
        </w:rPr>
        <w:t xml:space="preserve">WMP requirements. </w:t>
      </w:r>
    </w:p>
    <w:p w:rsidR="00BA0E5E" w:rsidP="00546EFC" w:rsidRDefault="009F11A6" w14:paraId="24A702F6" w14:textId="07F2A3E7">
      <w:pPr>
        <w:pStyle w:val="Res-Caption"/>
        <w:numPr>
          <w:ilvl w:val="0"/>
          <w:numId w:val="35"/>
        </w:numPr>
        <w:spacing w:after="120"/>
        <w:ind w:left="1080" w:right="1440"/>
        <w:rPr>
          <w:rFonts w:ascii="Book Antiqua" w:hAnsi="Book Antiqua"/>
          <w:szCs w:val="26"/>
        </w:rPr>
      </w:pPr>
      <w:r w:rsidRPr="001E068E">
        <w:rPr>
          <w:rFonts w:ascii="Book Antiqua" w:hAnsi="Book Antiqua"/>
          <w:szCs w:val="26"/>
        </w:rPr>
        <w:t xml:space="preserve">WMP costs are to be addressed in electrical corporation General Rate Cases or other applications.  </w:t>
      </w:r>
    </w:p>
    <w:p w:rsidR="00A86CF1" w:rsidRDefault="00A86CF1" w14:paraId="4C7CE2C7" w14:textId="77777777">
      <w:pPr>
        <w:spacing w:after="160" w:line="259" w:lineRule="auto"/>
        <w:rPr>
          <w:szCs w:val="26"/>
        </w:rPr>
        <w:sectPr w:rsidR="00A86CF1" w:rsidSect="00957E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numberInDash" w:start="1"/>
          <w:cols w:space="720"/>
          <w:titlePg/>
          <w:docGrid w:linePitch="360"/>
        </w:sectPr>
      </w:pPr>
    </w:p>
    <w:p w:rsidRPr="001E340C" w:rsidR="00705C88" w:rsidP="001E340C" w:rsidRDefault="00705C88" w14:paraId="117F41A6" w14:textId="0D626436">
      <w:pPr>
        <w:spacing w:after="160" w:line="259" w:lineRule="auto"/>
        <w:rPr>
          <w:rFonts w:cs="Times New Roman"/>
          <w:bCs/>
          <w:szCs w:val="26"/>
        </w:rPr>
      </w:pPr>
      <w:r w:rsidRPr="001E340C">
        <w:rPr>
          <w:rFonts w:cs="Times New Roman"/>
          <w:b/>
          <w:bCs/>
          <w:szCs w:val="26"/>
          <w:u w:val="single"/>
        </w:rPr>
        <w:lastRenderedPageBreak/>
        <w:t>Background</w:t>
      </w:r>
    </w:p>
    <w:p w:rsidRPr="001E068E" w:rsidR="006B0220" w:rsidP="001E340C" w:rsidRDefault="00705C88" w14:paraId="371F00EC" w14:textId="50F8201E">
      <w:pPr>
        <w:pStyle w:val="Standard"/>
      </w:pPr>
      <w:r w:rsidRPr="001E068E">
        <w:t xml:space="preserve">The </w:t>
      </w:r>
      <w:r w:rsidRPr="001E068E" w:rsidR="009F11A6">
        <w:t>Commission opened R</w:t>
      </w:r>
      <w:r w:rsidR="009F409A">
        <w:t>ulemaking (R</w:t>
      </w:r>
      <w:r w:rsidRPr="001E068E" w:rsidR="009F11A6">
        <w:t>.</w:t>
      </w:r>
      <w:r w:rsidR="009F409A">
        <w:t xml:space="preserve">) </w:t>
      </w:r>
      <w:r w:rsidRPr="001E068E" w:rsidR="009F11A6">
        <w:t xml:space="preserve">18-10-007 in 2018 to review the 2019 </w:t>
      </w:r>
      <w:r w:rsidRPr="001E068E" w:rsidR="00581162">
        <w:t>WMPs and</w:t>
      </w:r>
      <w:r w:rsidRPr="001E068E" w:rsidR="009F11A6">
        <w:t xml:space="preserve"> approved those WMPs in Commission decisions pursuant to S</w:t>
      </w:r>
      <w:r w:rsidR="00D70D2A">
        <w:t xml:space="preserve">enate </w:t>
      </w:r>
      <w:r w:rsidRPr="001E068E" w:rsidR="009F11A6">
        <w:t>B</w:t>
      </w:r>
      <w:r w:rsidR="00D70D2A">
        <w:t>ill</w:t>
      </w:r>
      <w:r w:rsidRPr="001E068E" w:rsidR="009F11A6">
        <w:t xml:space="preserve"> 901.  AB 1054 moved the review of WMPs to the WSD</w:t>
      </w:r>
      <w:r w:rsidRPr="001E068E" w:rsidR="006B0220">
        <w:t xml:space="preserve">.  The legislation also </w:t>
      </w:r>
      <w:r w:rsidRPr="001E068E" w:rsidR="009F11A6">
        <w:t xml:space="preserve">added new provisions in § 8389(d) for </w:t>
      </w:r>
      <w:r w:rsidRPr="001E068E" w:rsidR="006B0220">
        <w:t xml:space="preserve">the </w:t>
      </w:r>
      <w:r w:rsidRPr="001E068E" w:rsidR="009F11A6">
        <w:t xml:space="preserve">Commission to </w:t>
      </w:r>
      <w:r w:rsidRPr="001E068E" w:rsidR="006B0220">
        <w:t xml:space="preserve">annually </w:t>
      </w:r>
      <w:r w:rsidRPr="001E068E" w:rsidR="009F11A6">
        <w:t>adopt and approve</w:t>
      </w:r>
      <w:r w:rsidRPr="001E068E" w:rsidR="006B0220">
        <w:t xml:space="preserve"> </w:t>
      </w:r>
      <w:r w:rsidR="00605104">
        <w:t>a WMP compliance process</w:t>
      </w:r>
      <w:r w:rsidRPr="001E068E" w:rsidR="006B0220">
        <w:t>.</w:t>
      </w:r>
      <w:r w:rsidR="00993443">
        <w:t xml:space="preserve"> The legislation also added new provisions in </w:t>
      </w:r>
      <w:r w:rsidRPr="001E068E" w:rsidR="00993443">
        <w:t>§</w:t>
      </w:r>
      <w:r w:rsidR="00993443">
        <w:t xml:space="preserve"> </w:t>
      </w:r>
      <w:r w:rsidR="009D7F7B">
        <w:t xml:space="preserve">8386 </w:t>
      </w:r>
      <w:r w:rsidR="00993443">
        <w:t>for the WSD</w:t>
      </w:r>
      <w:r w:rsidR="009D7F7B">
        <w:t xml:space="preserve"> (with Commission involvement as discussed below)</w:t>
      </w:r>
      <w:r w:rsidR="00993443">
        <w:t xml:space="preserve"> to oversee </w:t>
      </w:r>
      <w:r w:rsidRPr="001E068E" w:rsidR="007F28B2">
        <w:t>electrical corporation</w:t>
      </w:r>
      <w:r w:rsidR="00993443">
        <w:t xml:space="preserve"> compliance with</w:t>
      </w:r>
      <w:r w:rsidR="009D7F7B">
        <w:t xml:space="preserve"> the approved</w:t>
      </w:r>
      <w:r w:rsidR="00993443">
        <w:t xml:space="preserve"> </w:t>
      </w:r>
      <w:r w:rsidR="009D7F7B">
        <w:t>WMPs</w:t>
      </w:r>
      <w:r w:rsidR="003E380D">
        <w:t>.</w:t>
      </w:r>
    </w:p>
    <w:p w:rsidRPr="001E068E" w:rsidR="00994775" w:rsidP="001E340C" w:rsidRDefault="006B0220" w14:paraId="10072336" w14:textId="107C2360">
      <w:pPr>
        <w:pStyle w:val="Standard"/>
      </w:pPr>
      <w:r w:rsidRPr="001E068E">
        <w:t>The</w:t>
      </w:r>
      <w:r w:rsidRPr="001E068E" w:rsidR="009F11A6">
        <w:t xml:space="preserve"> </w:t>
      </w:r>
      <w:r w:rsidRPr="001E068E" w:rsidR="00705C88">
        <w:t>Commission adopted Resolution WSD-001 setting forth the process for review of the 2020 WMPs</w:t>
      </w:r>
      <w:r w:rsidRPr="001E068E" w:rsidR="007A459B">
        <w:t xml:space="preserve"> in light of AB 1054’s transfer of responsibility for review of WMPs to WSD</w:t>
      </w:r>
      <w:r w:rsidRPr="001E068E" w:rsidR="00705C88">
        <w:t xml:space="preserve">.  </w:t>
      </w:r>
      <w:r w:rsidRPr="001E068E" w:rsidR="007C17BF">
        <w:t xml:space="preserve">In June 2020, </w:t>
      </w:r>
      <w:r w:rsidRPr="001E068E" w:rsidR="007A459B">
        <w:t>the Commission ratified the WSD’s approv</w:t>
      </w:r>
      <w:r w:rsidR="00A61C22">
        <w:t>al</w:t>
      </w:r>
      <w:r w:rsidRPr="001E068E" w:rsidR="007A459B">
        <w:t xml:space="preserve"> all electrical corporations’</w:t>
      </w:r>
      <w:r w:rsidRPr="001E068E" w:rsidR="007C17BF">
        <w:t xml:space="preserve"> WMPs in </w:t>
      </w:r>
      <w:r w:rsidRPr="001E068E" w:rsidR="007E3CC3">
        <w:t>Resolutions WSD</w:t>
      </w:r>
      <w:r w:rsidR="00D62E51">
        <w:noBreakHyphen/>
      </w:r>
      <w:r w:rsidRPr="001E068E" w:rsidR="007E3CC3">
        <w:t>002</w:t>
      </w:r>
      <w:r w:rsidR="00D62E51">
        <w:t> </w:t>
      </w:r>
      <w:r w:rsidR="00D62E51">
        <w:noBreakHyphen/>
        <w:t> </w:t>
      </w:r>
      <w:r w:rsidRPr="001E068E" w:rsidR="007E3CC3">
        <w:t>0</w:t>
      </w:r>
      <w:r w:rsidR="007F28B2">
        <w:t>09</w:t>
      </w:r>
      <w:r w:rsidRPr="001E068E" w:rsidR="007A459B">
        <w:t xml:space="preserve"> </w:t>
      </w:r>
      <w:r w:rsidRPr="001E068E" w:rsidR="007C17BF">
        <w:t>excep</w:t>
      </w:r>
      <w:r w:rsidRPr="001E068E" w:rsidR="009F11A6">
        <w:t xml:space="preserve">t </w:t>
      </w:r>
      <w:r w:rsidRPr="001E068E" w:rsidR="007C17BF">
        <w:t xml:space="preserve">Bear Valley Electric Service (BVES).  </w:t>
      </w:r>
    </w:p>
    <w:p w:rsidRPr="00993443" w:rsidR="0055448F" w:rsidP="001E340C" w:rsidRDefault="00993443" w14:paraId="655148CD" w14:textId="0565D12D">
      <w:pPr>
        <w:pStyle w:val="Standard"/>
      </w:pPr>
      <w:r w:rsidRPr="00993443">
        <w:t xml:space="preserve">The WSD </w:t>
      </w:r>
      <w:r w:rsidR="0055448F">
        <w:t>Compliance Branch reviewed the approved WMPs and</w:t>
      </w:r>
      <w:r w:rsidRPr="00993443">
        <w:t xml:space="preserve"> developed a strategy and processes to perform its compliance responsibilities. </w:t>
      </w:r>
      <w:r w:rsidR="0055448F">
        <w:t>Attachment 1</w:t>
      </w:r>
      <w:r w:rsidRPr="00993443">
        <w:t xml:space="preserve"> outlines the WSD’s adaptive approach to identify priority WMP initiatives for compliance assurance and procedures to assess electrical corporations’ compliance with </w:t>
      </w:r>
      <w:r w:rsidR="0055448F">
        <w:t xml:space="preserve">wildfire safety and </w:t>
      </w:r>
      <w:r w:rsidRPr="00993443">
        <w:t>implementation of their approved WMPs.</w:t>
      </w:r>
    </w:p>
    <w:p w:rsidRPr="00993443" w:rsidR="0055448F" w:rsidP="001E340C" w:rsidRDefault="00993443" w14:paraId="3A10AF89" w14:textId="2E1660C6">
      <w:pPr>
        <w:pStyle w:val="Standard"/>
      </w:pPr>
      <w:r w:rsidRPr="00993443">
        <w:t xml:space="preserve">The WSD’s compliance process </w:t>
      </w:r>
      <w:r w:rsidR="009D7F7B">
        <w:t>will evolve</w:t>
      </w:r>
      <w:r w:rsidR="000C6C9A">
        <w:t xml:space="preserve"> and</w:t>
      </w:r>
      <w:r w:rsidRPr="00993443">
        <w:t xml:space="preserve"> may be modified over time, as lessons are learned in the field and circumstances evolve</w:t>
      </w:r>
      <w:r w:rsidR="009D7F7B">
        <w:t xml:space="preserve">, subject to the Commission’s adoption and approval annually under </w:t>
      </w:r>
      <w:r w:rsidRPr="001E068E" w:rsidR="009D7F7B">
        <w:t>§</w:t>
      </w:r>
      <w:r w:rsidR="009D7F7B">
        <w:t xml:space="preserve"> 8389(d)(3)</w:t>
      </w:r>
      <w:r w:rsidRPr="00993443">
        <w:t xml:space="preserve">. The goal of the WSD is to reduce wildfire risk and further minimize </w:t>
      </w:r>
      <w:r w:rsidR="00166197">
        <w:t>public safety power shutoff (</w:t>
      </w:r>
      <w:r w:rsidRPr="00993443">
        <w:t>PSPS</w:t>
      </w:r>
      <w:r w:rsidR="00166197">
        <w:t>)</w:t>
      </w:r>
      <w:r w:rsidRPr="00993443">
        <w:t xml:space="preserve"> events by using available information and data collected during inspections to assess effectiveness of WMP initiatives and timely implementation. </w:t>
      </w:r>
    </w:p>
    <w:p w:rsidR="00D70D2A" w:rsidP="001E340C" w:rsidRDefault="00993443" w14:paraId="638F70CE" w14:textId="7159FBE2">
      <w:pPr>
        <w:pStyle w:val="Standard"/>
      </w:pPr>
      <w:r w:rsidRPr="00993443">
        <w:t xml:space="preserve">By monitoring compliance with critical wildfire safety activities and measuring the reduction of wildfire risk, the WSD strives to implement its vision for a sustainable California, with no </w:t>
      </w:r>
      <w:r w:rsidRPr="00E6689D">
        <w:t>catastrophic</w:t>
      </w:r>
      <w:r w:rsidRPr="00993443">
        <w:t xml:space="preserve"> </w:t>
      </w:r>
      <w:r w:rsidRPr="001E068E" w:rsidR="00D10422">
        <w:t>electrical corporation</w:t>
      </w:r>
      <w:r w:rsidRPr="00993443">
        <w:t xml:space="preserve">-related wildfires, and access to safe, affordable and reliable electricity. By determining compliance based on the occurrence of identified defects and an annual review process of overall compliance viewed in retrospect, the WSD aims to improve </w:t>
      </w:r>
      <w:r w:rsidRPr="001E068E" w:rsidR="00D10422">
        <w:t>electrical corporation</w:t>
      </w:r>
      <w:r w:rsidRPr="00993443">
        <w:t>-related wildfire safety across California.</w:t>
      </w:r>
    </w:p>
    <w:p w:rsidRPr="001E068E" w:rsidR="009904FD" w:rsidP="001E340C" w:rsidRDefault="00830624" w14:paraId="4601E399" w14:textId="188E822F">
      <w:pPr>
        <w:pStyle w:val="Heading1"/>
        <w:numPr>
          <w:ilvl w:val="0"/>
          <w:numId w:val="51"/>
        </w:numPr>
        <w:spacing w:before="0"/>
        <w:ind w:left="360" w:right="1440" w:hanging="360"/>
        <w:rPr>
          <w:rFonts w:ascii="Book Antiqua" w:hAnsi="Book Antiqua" w:cs="Times New Roman"/>
          <w:szCs w:val="26"/>
        </w:rPr>
      </w:pPr>
      <w:r w:rsidRPr="001E068E">
        <w:rPr>
          <w:rFonts w:ascii="Book Antiqua" w:hAnsi="Book Antiqua" w:cs="Times New Roman"/>
          <w:szCs w:val="26"/>
        </w:rPr>
        <w:lastRenderedPageBreak/>
        <w:t xml:space="preserve">staff proposals, </w:t>
      </w:r>
      <w:r w:rsidRPr="001E068E" w:rsidR="009904FD">
        <w:rPr>
          <w:rFonts w:ascii="Book Antiqua" w:hAnsi="Book Antiqua" w:cs="Times New Roman"/>
          <w:szCs w:val="26"/>
        </w:rPr>
        <w:t xml:space="preserve">WORKSHOP AND COMMENTS </w:t>
      </w:r>
    </w:p>
    <w:p w:rsidRPr="001E068E" w:rsidR="00E1689C" w:rsidP="001E340C" w:rsidRDefault="00830624" w14:paraId="7582D6DD" w14:textId="2B8B52F7">
      <w:pPr>
        <w:pStyle w:val="Standard"/>
        <w:keepNext/>
        <w:keepLines/>
      </w:pPr>
      <w:r w:rsidRPr="001E068E">
        <w:t>O</w:t>
      </w:r>
      <w:r w:rsidRPr="001E068E" w:rsidR="007E3CC3">
        <w:t xml:space="preserve">n </w:t>
      </w:r>
      <w:r w:rsidR="00F70A50">
        <w:t>September 18</w:t>
      </w:r>
      <w:r w:rsidRPr="001E068E" w:rsidR="007E3CC3">
        <w:t>, 2020,</w:t>
      </w:r>
      <w:r w:rsidRPr="001E068E">
        <w:t xml:space="preserve"> </w:t>
      </w:r>
      <w:r w:rsidR="00A61C22">
        <w:t xml:space="preserve">the </w:t>
      </w:r>
      <w:r w:rsidRPr="001E068E">
        <w:t>WSD</w:t>
      </w:r>
      <w:r w:rsidRPr="001E068E" w:rsidR="007E3CC3">
        <w:t xml:space="preserve"> circulated </w:t>
      </w:r>
      <w:r w:rsidR="00F70A50">
        <w:t>the</w:t>
      </w:r>
      <w:r w:rsidRPr="001E068E" w:rsidR="007E3CC3">
        <w:t xml:space="preserve"> “</w:t>
      </w:r>
      <w:r w:rsidR="00F70A50">
        <w:t>Draft Wildfire Mitigation Plan Compliance Process</w:t>
      </w:r>
      <w:r w:rsidRPr="001E068E" w:rsidR="007E3CC3">
        <w:t>”</w:t>
      </w:r>
      <w:r w:rsidR="00F70A50">
        <w:t xml:space="preserve"> staff proposal.</w:t>
      </w:r>
      <w:r w:rsidRPr="001E068E" w:rsidR="007E3CC3">
        <w:t xml:space="preserve">  The WSD conducted </w:t>
      </w:r>
      <w:r w:rsidR="00A61C22">
        <w:t xml:space="preserve">a </w:t>
      </w:r>
      <w:r w:rsidRPr="001E068E" w:rsidR="00712B8C">
        <w:t xml:space="preserve">remote </w:t>
      </w:r>
      <w:r w:rsidRPr="001E068E" w:rsidR="00705C88">
        <w:t>workshop</w:t>
      </w:r>
      <w:r w:rsidRPr="001E068E" w:rsidR="00712B8C">
        <w:t xml:space="preserve"> </w:t>
      </w:r>
      <w:r w:rsidRPr="001E068E" w:rsidR="00705C88">
        <w:t xml:space="preserve">on </w:t>
      </w:r>
      <w:r w:rsidR="00F70A50">
        <w:t>September 29</w:t>
      </w:r>
      <w:r w:rsidRPr="001E068E" w:rsidR="00552394">
        <w:t>, 2020</w:t>
      </w:r>
      <w:r w:rsidRPr="001E068E" w:rsidR="00712B8C">
        <w:t xml:space="preserve"> </w:t>
      </w:r>
      <w:r w:rsidR="00D70D2A">
        <w:t xml:space="preserve">(due to the COVID-19 pandemic) </w:t>
      </w:r>
      <w:r w:rsidRPr="001E068E" w:rsidR="00705C88">
        <w:t xml:space="preserve">to present to stakeholders and the public </w:t>
      </w:r>
      <w:r w:rsidR="00F70A50">
        <w:t xml:space="preserve">the </w:t>
      </w:r>
      <w:r w:rsidRPr="001E068E" w:rsidR="00712B8C">
        <w:t xml:space="preserve">proposed </w:t>
      </w:r>
      <w:r w:rsidR="00F70A50">
        <w:t xml:space="preserve">process for enforcing and overseeing </w:t>
      </w:r>
      <w:r w:rsidRPr="001E068E" w:rsidR="00D10422">
        <w:t>electrical corporation</w:t>
      </w:r>
      <w:r w:rsidR="00F70A50">
        <w:t xml:space="preserve"> compliance with WMPs</w:t>
      </w:r>
      <w:r w:rsidRPr="001E068E" w:rsidR="002A2C97">
        <w:t xml:space="preserve">. </w:t>
      </w:r>
    </w:p>
    <w:p w:rsidR="00AC609F" w:rsidP="001E340C" w:rsidRDefault="00552394" w14:paraId="567C944F" w14:textId="1AFA88B4">
      <w:pPr>
        <w:pStyle w:val="Standard"/>
        <w:rPr>
          <w:rFonts w:cs="Times New Roman"/>
          <w:szCs w:val="26"/>
        </w:rPr>
      </w:pPr>
      <w:r w:rsidRPr="001E068E">
        <w:t xml:space="preserve">On </w:t>
      </w:r>
      <w:r w:rsidR="00F70A50">
        <w:t>October 2</w:t>
      </w:r>
      <w:r w:rsidRPr="001E068E">
        <w:t xml:space="preserve">, 2020, </w:t>
      </w:r>
      <w:r w:rsidRPr="00893F7A" w:rsidR="00D56F91">
        <w:t>nine</w:t>
      </w:r>
      <w:r w:rsidRPr="00893F7A" w:rsidR="00D50741">
        <w:t xml:space="preserve"> </w:t>
      </w:r>
      <w:r w:rsidRPr="001E068E" w:rsidR="00D10422">
        <w:t>electrical corporation</w:t>
      </w:r>
      <w:r w:rsidR="00D10422">
        <w:t>s</w:t>
      </w:r>
      <w:r w:rsidRPr="00893F7A" w:rsidR="00E46C88">
        <w:t xml:space="preserve">, stakeholder groups and individuals </w:t>
      </w:r>
      <w:r w:rsidRPr="00893F7A" w:rsidR="00D50741">
        <w:t xml:space="preserve">submitted comments </w:t>
      </w:r>
      <w:r w:rsidRPr="00893F7A" w:rsidR="00E46C88">
        <w:t xml:space="preserve">on the </w:t>
      </w:r>
      <w:r w:rsidRPr="00893F7A" w:rsidR="00676546">
        <w:t>s</w:t>
      </w:r>
      <w:r w:rsidRPr="00893F7A" w:rsidR="00E46C88">
        <w:t xml:space="preserve">taff </w:t>
      </w:r>
      <w:r w:rsidRPr="00893F7A" w:rsidR="00676546">
        <w:t>p</w:t>
      </w:r>
      <w:r w:rsidRPr="00893F7A" w:rsidR="00E46C88">
        <w:t>roposals and workshop.</w:t>
      </w:r>
      <w:r w:rsidRPr="00310AF9" w:rsidR="00E46C88">
        <w:rPr>
          <w:vertAlign w:val="superscript"/>
        </w:rPr>
        <w:footnoteReference w:id="4"/>
      </w:r>
      <w:r w:rsidRPr="00893F7A" w:rsidR="00E46C88">
        <w:t xml:space="preserve"> </w:t>
      </w:r>
      <w:r w:rsidRPr="00893F7A" w:rsidR="00676546">
        <w:t xml:space="preserve"> </w:t>
      </w:r>
      <w:r w:rsidRPr="00893F7A" w:rsidR="00E46C88">
        <w:t xml:space="preserve">Based on the comments, </w:t>
      </w:r>
      <w:r w:rsidRPr="00893F7A" w:rsidR="00CA1DD6">
        <w:t xml:space="preserve">this Resolution adopts </w:t>
      </w:r>
      <w:r w:rsidRPr="00893F7A" w:rsidR="00AC609F">
        <w:t xml:space="preserve">the following </w:t>
      </w:r>
      <w:r w:rsidRPr="00893F7A" w:rsidR="00CA1DD6">
        <w:t>refinements to the staff proposal</w:t>
      </w:r>
      <w:r w:rsidRPr="00893F7A" w:rsidR="00035773">
        <w:t>:</w:t>
      </w:r>
      <w:r w:rsidRPr="00893F7A" w:rsidR="00CA1DD6">
        <w:t xml:space="preserve"> </w:t>
      </w:r>
    </w:p>
    <w:p w:rsidR="00E46C88" w:rsidP="001E340C" w:rsidRDefault="00D25E9B" w14:paraId="16A5CFC1" w14:textId="1EC2918F">
      <w:pPr>
        <w:pStyle w:val="ListBullet"/>
        <w:ind w:right="1440"/>
      </w:pPr>
      <w:r>
        <w:t>Additional background and explanation of authorities to address noncompliance have been added to the compliance process</w:t>
      </w:r>
      <w:r w:rsidRPr="00D25E9B" w:rsidR="00E46C88">
        <w:t xml:space="preserve">.  </w:t>
      </w:r>
    </w:p>
    <w:p w:rsidR="00D25E9B" w:rsidP="001E340C" w:rsidRDefault="00D25E9B" w14:paraId="393448BD" w14:textId="60114D7D">
      <w:pPr>
        <w:pStyle w:val="ListBullet"/>
      </w:pPr>
      <w:r>
        <w:t>Additional clarification of the defect resolution process has been added to the compliance process.</w:t>
      </w:r>
    </w:p>
    <w:p w:rsidR="00D25E9B" w:rsidP="001E340C" w:rsidRDefault="00855BF0" w14:paraId="12D68C3B" w14:textId="33E38113">
      <w:pPr>
        <w:pStyle w:val="ListBullet"/>
        <w:ind w:right="1440"/>
      </w:pPr>
      <w:r>
        <w:t xml:space="preserve">Additional clarification has been added to the defect resolution timing proposal </w:t>
      </w:r>
      <w:r w:rsidR="0053550D">
        <w:t xml:space="preserve">stating that only timing of WMP defect resolution is impacted and that there will be </w:t>
      </w:r>
      <w:r>
        <w:t>ongoing alignment of defect severity definitions</w:t>
      </w:r>
      <w:r w:rsidR="0053550D">
        <w:t xml:space="preserve"> and severity determination</w:t>
      </w:r>
      <w:r>
        <w:t xml:space="preserve"> with General Order 95, Rule 18.</w:t>
      </w:r>
    </w:p>
    <w:p w:rsidRPr="00D25E9B" w:rsidR="005E6F34" w:rsidP="001E340C" w:rsidRDefault="005E6F34" w14:paraId="5A43F9E8" w14:textId="755BF68E">
      <w:pPr>
        <w:pStyle w:val="ListBullet"/>
        <w:ind w:right="1440"/>
      </w:pPr>
      <w:r>
        <w:t xml:space="preserve">Additional clarification has been added on the WSD outcome-based approach and ongoing </w:t>
      </w:r>
      <w:r w:rsidR="00166197">
        <w:t xml:space="preserve">oversight </w:t>
      </w:r>
      <w:r>
        <w:t>of approved WMPs.</w:t>
      </w:r>
    </w:p>
    <w:p w:rsidRPr="001E068E" w:rsidR="00546EFC" w:rsidP="001E340C" w:rsidRDefault="00E46C88" w14:paraId="67DB532D" w14:textId="78F47D8D">
      <w:pPr>
        <w:pStyle w:val="Standard"/>
        <w:rPr>
          <w:rFonts w:cs="Times New Roman"/>
          <w:szCs w:val="26"/>
        </w:rPr>
      </w:pPr>
      <w:r w:rsidRPr="001E068E">
        <w:t xml:space="preserve">Among comments and suggestions that were incorporated into the final </w:t>
      </w:r>
      <w:r w:rsidR="00676546">
        <w:t>proposal, reflected in the Attachment to this Resolution</w:t>
      </w:r>
      <w:r w:rsidRPr="001E068E">
        <w:t>:</w:t>
      </w:r>
    </w:p>
    <w:p w:rsidR="00FD0495" w:rsidP="001E340C" w:rsidRDefault="00FD0495" w14:paraId="189ED29A" w14:textId="7C497A23">
      <w:pPr>
        <w:pStyle w:val="ListBullet"/>
        <w:ind w:right="1440"/>
      </w:pPr>
      <w:r w:rsidRPr="001E068E">
        <w:t>The</w:t>
      </w:r>
      <w:r w:rsidR="00676546">
        <w:t xml:space="preserve"> </w:t>
      </w:r>
      <w:r w:rsidRPr="001E068E">
        <w:t xml:space="preserve">IOUs and </w:t>
      </w:r>
      <w:proofErr w:type="spellStart"/>
      <w:r w:rsidRPr="001E068E">
        <w:t>Mussey</w:t>
      </w:r>
      <w:proofErr w:type="spellEnd"/>
      <w:r w:rsidRPr="001E068E">
        <w:t xml:space="preserve"> Grade Road Alliance </w:t>
      </w:r>
      <w:r w:rsidR="002D339C">
        <w:t>requested that key terms in the compliance process be defined</w:t>
      </w:r>
      <w:r w:rsidRPr="001E068E">
        <w:t>.</w:t>
      </w:r>
    </w:p>
    <w:p w:rsidRPr="001E068E" w:rsidR="005E6F34" w:rsidP="001E340C" w:rsidRDefault="005E6F34" w14:paraId="29DF80E2" w14:textId="098E15F4">
      <w:pPr>
        <w:pStyle w:val="ListBullet"/>
        <w:ind w:right="1440"/>
      </w:pPr>
      <w:r>
        <w:t xml:space="preserve">The </w:t>
      </w:r>
      <w:proofErr w:type="spellStart"/>
      <w:r>
        <w:t>Mussey</w:t>
      </w:r>
      <w:proofErr w:type="spellEnd"/>
      <w:r>
        <w:t xml:space="preserve"> Grade Road Alliance </w:t>
      </w:r>
      <w:r w:rsidR="00B245EC">
        <w:t xml:space="preserve">stated that coordination will be necessary to avoid interruptions of oversight </w:t>
      </w:r>
      <w:r w:rsidR="00B245EC">
        <w:lastRenderedPageBreak/>
        <w:t>during the transition to the California Natural Resources Agency.</w:t>
      </w:r>
    </w:p>
    <w:p w:rsidRPr="001E068E" w:rsidR="00E46C88" w:rsidP="001E340C" w:rsidRDefault="00676546" w14:paraId="5DAE3365" w14:textId="39D3085B">
      <w:pPr>
        <w:pStyle w:val="ListBullet"/>
        <w:ind w:right="1440"/>
      </w:pPr>
      <w:r>
        <w:t xml:space="preserve">The </w:t>
      </w:r>
      <w:r w:rsidRPr="001E068E" w:rsidR="00E46C88">
        <w:t xml:space="preserve">IOUs </w:t>
      </w:r>
      <w:r w:rsidR="002D339C">
        <w:t>requested the annual compliance period be from January to December to align with their other planning and reporting cadences</w:t>
      </w:r>
      <w:r w:rsidRPr="001E068E" w:rsidR="00E46C88">
        <w:t xml:space="preserve">. </w:t>
      </w:r>
    </w:p>
    <w:p w:rsidR="00E46C88" w:rsidP="001E340C" w:rsidRDefault="004338F8" w14:paraId="66144EDD" w14:textId="35AA943C">
      <w:pPr>
        <w:pStyle w:val="ListBullet"/>
        <w:ind w:right="1440"/>
      </w:pPr>
      <w:r>
        <w:t>The Protect Our Communities Foundation expressed concerns that the WSD and CPUC were limiting the effectiveness of compliance efforts through overly narrow interpretations of statutory authorities</w:t>
      </w:r>
      <w:r w:rsidR="00F5096D">
        <w:t xml:space="preserve"> in both </w:t>
      </w:r>
      <w:r w:rsidRPr="001E068E" w:rsidR="001E149B">
        <w:t>§§</w:t>
      </w:r>
      <w:r w:rsidR="00F5096D">
        <w:t xml:space="preserve"> 326 and 8386</w:t>
      </w:r>
      <w:r w:rsidRPr="001E068E" w:rsidR="00E46C88">
        <w:t xml:space="preserve">. </w:t>
      </w:r>
    </w:p>
    <w:p w:rsidR="00D25E9B" w:rsidP="001E340C" w:rsidRDefault="00D25E9B" w14:paraId="39338D60" w14:textId="6C059E7B">
      <w:pPr>
        <w:pStyle w:val="ListBullet"/>
        <w:ind w:right="1440"/>
      </w:pPr>
      <w:r>
        <w:t>The Protect Our Communities Foundation stated that tracking PSPS outcomes is not the mo</w:t>
      </w:r>
      <w:r w:rsidR="00166197">
        <w:t>st</w:t>
      </w:r>
      <w:r>
        <w:t xml:space="preserve"> effective way to mitigate PSPS impacts.</w:t>
      </w:r>
    </w:p>
    <w:p w:rsidRPr="00676546" w:rsidR="00E84EE8" w:rsidP="001E340C" w:rsidRDefault="00E84EE8" w14:paraId="59BE6190" w14:textId="2E9DC8F9">
      <w:pPr>
        <w:pStyle w:val="ListBullet"/>
        <w:ind w:right="1440"/>
      </w:pPr>
      <w:r>
        <w:t xml:space="preserve">TURN and the Protect Our Communities Foundation stated WSD should look at outcomes rather than strict compliance with the WMP that could have adverse impacts on </w:t>
      </w:r>
      <w:proofErr w:type="gramStart"/>
      <w:r>
        <w:t>rate-payers</w:t>
      </w:r>
      <w:proofErr w:type="gramEnd"/>
      <w:r>
        <w:t xml:space="preserve"> and/or fail to reduce wildfire risk and PSPS events.</w:t>
      </w:r>
    </w:p>
    <w:p w:rsidRPr="001E068E" w:rsidR="001A242B" w:rsidP="001E340C" w:rsidRDefault="001A242B" w14:paraId="59980866" w14:textId="5974E88D">
      <w:pPr>
        <w:pStyle w:val="Heading1"/>
        <w:numPr>
          <w:ilvl w:val="0"/>
          <w:numId w:val="51"/>
        </w:numPr>
        <w:spacing w:before="240" w:after="120"/>
        <w:ind w:left="360" w:hanging="360"/>
        <w:rPr>
          <w:rFonts w:ascii="Book Antiqua" w:hAnsi="Book Antiqua" w:cs="Times New Roman"/>
          <w:szCs w:val="26"/>
        </w:rPr>
      </w:pPr>
      <w:r w:rsidRPr="001E068E">
        <w:rPr>
          <w:rFonts w:ascii="Book Antiqua" w:hAnsi="Book Antiqua" w:cs="Times New Roman"/>
          <w:szCs w:val="26"/>
        </w:rPr>
        <w:t>Discussion</w:t>
      </w:r>
    </w:p>
    <w:p w:rsidRPr="001E068E" w:rsidR="006D0BFD" w:rsidP="00371D84" w:rsidRDefault="006D0BFD" w14:paraId="27E5DEB0" w14:textId="64F642CC">
      <w:pPr>
        <w:pStyle w:val="Res-Caption"/>
        <w:numPr>
          <w:ilvl w:val="0"/>
          <w:numId w:val="38"/>
        </w:numPr>
        <w:rPr>
          <w:rFonts w:ascii="Book Antiqua" w:hAnsi="Book Antiqua"/>
          <w:b/>
          <w:bCs/>
          <w:szCs w:val="26"/>
        </w:rPr>
      </w:pPr>
      <w:r w:rsidRPr="001E068E">
        <w:rPr>
          <w:rFonts w:ascii="Book Antiqua" w:hAnsi="Book Antiqua"/>
          <w:b/>
          <w:bCs/>
          <w:szCs w:val="26"/>
        </w:rPr>
        <w:t xml:space="preserve">Attachment </w:t>
      </w:r>
      <w:r w:rsidRPr="001E068E" w:rsidR="00F05636">
        <w:rPr>
          <w:rFonts w:ascii="Book Antiqua" w:hAnsi="Book Antiqua"/>
          <w:b/>
          <w:bCs/>
          <w:szCs w:val="26"/>
        </w:rPr>
        <w:t>1</w:t>
      </w:r>
      <w:r w:rsidRPr="001E068E">
        <w:rPr>
          <w:rFonts w:ascii="Book Antiqua" w:hAnsi="Book Antiqua"/>
          <w:b/>
          <w:bCs/>
          <w:szCs w:val="26"/>
        </w:rPr>
        <w:t xml:space="preserve">: </w:t>
      </w:r>
      <w:r w:rsidR="00DC7807">
        <w:rPr>
          <w:rFonts w:ascii="Book Antiqua" w:hAnsi="Book Antiqua"/>
          <w:b/>
          <w:bCs/>
          <w:szCs w:val="26"/>
        </w:rPr>
        <w:t>Compliance Process</w:t>
      </w:r>
    </w:p>
    <w:p w:rsidR="006D0BFD" w:rsidP="001E068E" w:rsidRDefault="006D0BFD" w14:paraId="6D9AF037" w14:textId="0A4F0DE2">
      <w:pPr>
        <w:pStyle w:val="Res-Caption"/>
        <w:ind w:left="0"/>
        <w:rPr>
          <w:rFonts w:ascii="Book Antiqua" w:hAnsi="Book Antiqua"/>
          <w:b/>
          <w:bCs/>
          <w:szCs w:val="26"/>
        </w:rPr>
      </w:pPr>
    </w:p>
    <w:p w:rsidR="00CB24F2" w:rsidP="001E340C" w:rsidRDefault="00CB24F2" w14:paraId="15D46062" w14:textId="56817DE9">
      <w:pPr>
        <w:pStyle w:val="Standard"/>
      </w:pPr>
      <w:r>
        <w:t xml:space="preserve">The compliance </w:t>
      </w:r>
      <w:r w:rsidR="00230EBC">
        <w:t xml:space="preserve">process included as Attachment 1 to this Resolution was designed to oversee </w:t>
      </w:r>
      <w:r w:rsidRPr="001E068E" w:rsidR="00D10422">
        <w:t>electrical corporation</w:t>
      </w:r>
      <w:r w:rsidR="00230EBC">
        <w:t xml:space="preserve"> compliance with wildfire safety per </w:t>
      </w:r>
      <w:r w:rsidRPr="001E068E" w:rsidR="009D7F7B">
        <w:t>§</w:t>
      </w:r>
      <w:r w:rsidR="00D62E51">
        <w:t> </w:t>
      </w:r>
      <w:r w:rsidR="009D7F7B">
        <w:t>8386.3(c)</w:t>
      </w:r>
      <w:r w:rsidR="00230EBC">
        <w:t>.</w:t>
      </w:r>
      <w:r w:rsidR="00D62E51">
        <w:t xml:space="preserve"> </w:t>
      </w:r>
      <w:r w:rsidR="001E149B">
        <w:t xml:space="preserve"> </w:t>
      </w:r>
      <w:r w:rsidRPr="001F3C84" w:rsidR="001F3C84">
        <w:t>The compliance process is divided into two major components that describe the Ongoing and Annual Compliance Assessments that the WSD will undertake; the process also sets forth Consequences of Compliance Assessments. Details of these processes are described in Section 4, “Proposed Compliance Process” in Attachment 1 to this Resolution and are summarized here:</w:t>
      </w:r>
    </w:p>
    <w:p w:rsidR="00035773" w:rsidP="001E340C" w:rsidRDefault="00035773" w14:paraId="258F3F31" w14:textId="4B6D6D45">
      <w:pPr>
        <w:pStyle w:val="ListBullet"/>
        <w:ind w:right="1440"/>
      </w:pPr>
      <w:r>
        <w:t xml:space="preserve">Ongoing </w:t>
      </w:r>
      <w:r w:rsidR="00260E74">
        <w:t>C</w:t>
      </w:r>
      <w:r>
        <w:t xml:space="preserve">ompliance </w:t>
      </w:r>
      <w:r w:rsidR="00260E74">
        <w:t>A</w:t>
      </w:r>
      <w:r>
        <w:t xml:space="preserve">ssessment where the WSD </w:t>
      </w:r>
      <w:r w:rsidRPr="00035773">
        <w:t xml:space="preserve">will evaluate electrical corporations’ implementation of WMPs through field inspections, audits, Independent Evaluator reports, customer complaints and other regular reporting submissions as requested by the WSD. The WSD will verify actions committed to by electrical corporations in their currently approved plans. </w:t>
      </w:r>
    </w:p>
    <w:p w:rsidR="00035773" w:rsidP="001E340C" w:rsidRDefault="00035773" w14:paraId="44E246C9" w14:textId="708576B6">
      <w:pPr>
        <w:pStyle w:val="ListBullet"/>
        <w:ind w:right="1440"/>
      </w:pPr>
      <w:r>
        <w:lastRenderedPageBreak/>
        <w:t xml:space="preserve">Annual </w:t>
      </w:r>
      <w:r w:rsidR="00260E74">
        <w:t>C</w:t>
      </w:r>
      <w:r>
        <w:t xml:space="preserve">ompliance </w:t>
      </w:r>
      <w:r w:rsidR="00260E74">
        <w:t>A</w:t>
      </w:r>
      <w:r>
        <w:t xml:space="preserve">ssessment where the WSD will assess </w:t>
      </w:r>
      <w:r w:rsidR="00F411AA">
        <w:t xml:space="preserve">an </w:t>
      </w:r>
      <w:r>
        <w:t>electrical corporation</w:t>
      </w:r>
      <w:r w:rsidR="00F411AA">
        <w:t>’s</w:t>
      </w:r>
      <w:r>
        <w:t xml:space="preserve"> compliance with its WMP through the review of the electrical corporations’ annual compliance reports, review of the Independent Evaluators’ annual reports and </w:t>
      </w:r>
      <w:r w:rsidR="00A77154">
        <w:t>assessment</w:t>
      </w:r>
      <w:r>
        <w:t xml:space="preserve"> of whether each electrical corporation substantially compl</w:t>
      </w:r>
      <w:r w:rsidR="00A77154">
        <w:t>ies</w:t>
      </w:r>
      <w:r>
        <w:t xml:space="preserve"> with its WMP during the prior compliance period.</w:t>
      </w:r>
    </w:p>
    <w:p w:rsidRPr="00E6689D" w:rsidR="00885E93" w:rsidP="001E340C" w:rsidRDefault="007F28B2" w14:paraId="6F47E978" w14:textId="40C83EDE">
      <w:pPr>
        <w:pStyle w:val="ListBullet"/>
        <w:ind w:right="1440"/>
        <w:rPr>
          <w:szCs w:val="26"/>
        </w:rPr>
      </w:pPr>
      <w:r>
        <w:t xml:space="preserve">Consequences of </w:t>
      </w:r>
      <w:r w:rsidR="00260E74">
        <w:t xml:space="preserve">Compliance Assessments where WSD will work with the electrical corporations to minimize and/or resolve wildfire safety issues and noncompliance with WMP initiatives. </w:t>
      </w:r>
    </w:p>
    <w:p w:rsidR="00885E93" w:rsidP="001E340C" w:rsidRDefault="00885E93" w14:paraId="0CA9C500" w14:textId="2CFE7321">
      <w:pPr>
        <w:pStyle w:val="Standard"/>
      </w:pPr>
      <w:r>
        <w:t>Specific consequences resulting from the compliance assessment will include:</w:t>
      </w:r>
    </w:p>
    <w:p w:rsidR="00885E93" w:rsidP="001E340C" w:rsidRDefault="00885E93" w14:paraId="38938F28" w14:textId="4799EDAE">
      <w:pPr>
        <w:pStyle w:val="ListBullet"/>
        <w:ind w:right="1440"/>
      </w:pPr>
      <w:r>
        <w:t xml:space="preserve">Notices of non-compliance resulting from a failure to timely </w:t>
      </w:r>
      <w:r w:rsidR="00474FC1">
        <w:t>correct defects.</w:t>
      </w:r>
    </w:p>
    <w:p w:rsidR="00474FC1" w:rsidP="001E340C" w:rsidRDefault="00474FC1" w14:paraId="773FFEB4" w14:textId="494F5CCC">
      <w:pPr>
        <w:pStyle w:val="ListBullet"/>
        <w:ind w:right="1440"/>
      </w:pPr>
      <w:r>
        <w:t xml:space="preserve">The WSD </w:t>
      </w:r>
      <w:r w:rsidRPr="00893F7A">
        <w:t>may recommend that the Commission pursue an enforcement action against the electrical corporation for noncompliance with its approved plan, pursuant to § 8389(g).</w:t>
      </w:r>
    </w:p>
    <w:p w:rsidRPr="001A471D" w:rsidR="00474FC1" w:rsidP="001E340C" w:rsidRDefault="00474FC1" w14:paraId="3872ED59" w14:textId="08D98A44">
      <w:pPr>
        <w:pStyle w:val="Standard"/>
        <w:rPr>
          <w:rFonts w:cs="Calibri"/>
        </w:rPr>
      </w:pPr>
      <w:r w:rsidRPr="001A471D">
        <w:t>Depending on the level of defect severity</w:t>
      </w:r>
      <w:r w:rsidR="00A77154">
        <w:t>—</w:t>
      </w:r>
      <w:r w:rsidRPr="001A471D">
        <w:t>with</w:t>
      </w:r>
      <w:r w:rsidR="00A77154">
        <w:t xml:space="preserve"> </w:t>
      </w:r>
      <w:r w:rsidRPr="001A471D">
        <w:t xml:space="preserve">a range of severe, </w:t>
      </w:r>
      <w:r w:rsidRPr="001A471D" w:rsidR="001A471D">
        <w:t>moderate,</w:t>
      </w:r>
      <w:r w:rsidRPr="001A471D">
        <w:t xml:space="preserve"> and minor defects</w:t>
      </w:r>
      <w:r w:rsidR="00A77154">
        <w:t>—</w:t>
      </w:r>
      <w:r w:rsidRPr="001A471D">
        <w:t>the</w:t>
      </w:r>
      <w:r w:rsidR="00A77154">
        <w:t xml:space="preserve"> </w:t>
      </w:r>
      <w:r w:rsidRPr="001A471D">
        <w:t>WSD will require repairs in</w:t>
      </w:r>
      <w:r w:rsidR="001A471D">
        <w:t xml:space="preserve"> </w:t>
      </w:r>
      <w:r w:rsidRPr="001A471D">
        <w:t>intervals</w:t>
      </w:r>
      <w:r w:rsidR="001A471D">
        <w:t xml:space="preserve"> </w:t>
      </w:r>
      <w:r w:rsidRPr="001A471D">
        <w:t xml:space="preserve">that depend on severity and the location of the defect: </w:t>
      </w:r>
    </w:p>
    <w:tbl>
      <w:tblPr>
        <w:tblW w:w="9175" w:type="dxa"/>
        <w:tblLook w:val="04A0" w:firstRow="1" w:lastRow="0" w:firstColumn="1" w:lastColumn="0" w:noHBand="0" w:noVBand="1"/>
      </w:tblPr>
      <w:tblGrid>
        <w:gridCol w:w="4675"/>
        <w:gridCol w:w="4500"/>
      </w:tblGrid>
      <w:tr w:rsidR="00474FC1" w:rsidTr="00474FC1" w14:paraId="595DE2E8" w14:textId="77777777">
        <w:trPr>
          <w:trHeight w:val="332"/>
        </w:trPr>
        <w:tc>
          <w:tcPr>
            <w:tcW w:w="4675" w:type="dxa"/>
            <w:tcBorders>
              <w:top w:val="single" w:color="auto" w:sz="8" w:space="0"/>
              <w:left w:val="single" w:color="auto" w:sz="8" w:space="0"/>
              <w:bottom w:val="single" w:color="auto" w:sz="8" w:space="0"/>
              <w:right w:val="single" w:color="auto" w:sz="8" w:space="0"/>
            </w:tcBorders>
            <w:vAlign w:val="center"/>
            <w:hideMark/>
          </w:tcPr>
          <w:p w:rsidRPr="001A471D" w:rsidR="00474FC1" w:rsidP="001E340C" w:rsidRDefault="00474FC1" w14:paraId="2C082ECC" w14:textId="73025EC9">
            <w:pPr>
              <w:spacing w:before="96" w:after="96"/>
              <w:jc w:val="center"/>
              <w:rPr>
                <w:rFonts w:cs="Times New Roman"/>
                <w:color w:val="000000"/>
              </w:rPr>
            </w:pPr>
            <w:r w:rsidRPr="001A471D">
              <w:rPr>
                <w:rFonts w:cs="Times New Roman"/>
                <w:b/>
                <w:bCs/>
                <w:color w:val="000000"/>
              </w:rPr>
              <w:t>Categor</w:t>
            </w:r>
            <w:r w:rsidRPr="001A471D" w:rsidR="001A471D">
              <w:rPr>
                <w:rFonts w:cs="Times New Roman"/>
                <w:b/>
                <w:bCs/>
                <w:color w:val="000000"/>
              </w:rPr>
              <w:t>y</w:t>
            </w:r>
          </w:p>
        </w:tc>
        <w:tc>
          <w:tcPr>
            <w:tcW w:w="4500" w:type="dxa"/>
            <w:tcBorders>
              <w:top w:val="single" w:color="auto" w:sz="8" w:space="0"/>
              <w:left w:val="nil"/>
              <w:bottom w:val="single" w:color="auto" w:sz="8" w:space="0"/>
              <w:right w:val="single" w:color="auto" w:sz="8" w:space="0"/>
            </w:tcBorders>
            <w:vAlign w:val="center"/>
            <w:hideMark/>
          </w:tcPr>
          <w:p w:rsidRPr="001A471D" w:rsidR="00474FC1" w:rsidP="001E340C" w:rsidRDefault="00474FC1" w14:paraId="50F81C2E" w14:textId="2B3F91FD">
            <w:pPr>
              <w:spacing w:before="96" w:after="96"/>
              <w:jc w:val="center"/>
              <w:rPr>
                <w:rFonts w:cs="Times New Roman"/>
                <w:color w:val="000000"/>
              </w:rPr>
            </w:pPr>
            <w:r w:rsidRPr="001A471D">
              <w:rPr>
                <w:rFonts w:cs="Times New Roman"/>
                <w:b/>
                <w:bCs/>
                <w:color w:val="000000"/>
              </w:rPr>
              <w:t>Correction</w:t>
            </w:r>
          </w:p>
        </w:tc>
      </w:tr>
      <w:tr w:rsidR="00474FC1" w:rsidTr="00474FC1" w14:paraId="121003AD" w14:textId="77777777">
        <w:trPr>
          <w:trHeight w:val="395"/>
        </w:trPr>
        <w:tc>
          <w:tcPr>
            <w:tcW w:w="4675" w:type="dxa"/>
            <w:tcBorders>
              <w:top w:val="nil"/>
              <w:left w:val="single" w:color="auto" w:sz="8" w:space="0"/>
              <w:bottom w:val="single" w:color="auto" w:sz="8" w:space="0"/>
              <w:right w:val="single" w:color="auto" w:sz="8" w:space="0"/>
            </w:tcBorders>
            <w:vAlign w:val="center"/>
            <w:hideMark/>
          </w:tcPr>
          <w:p w:rsidRPr="001A471D" w:rsidR="00474FC1" w:rsidRDefault="00474FC1" w14:paraId="01D6C217" w14:textId="77777777">
            <w:pPr>
              <w:spacing w:before="96" w:after="96"/>
              <w:rPr>
                <w:rFonts w:cs="Times New Roman"/>
                <w:color w:val="000000"/>
              </w:rPr>
            </w:pPr>
            <w:r w:rsidRPr="001A471D">
              <w:rPr>
                <w:rFonts w:cs="Times New Roman"/>
                <w:color w:val="000000"/>
              </w:rPr>
              <w:t>Category 1 - Severe </w:t>
            </w:r>
          </w:p>
        </w:tc>
        <w:tc>
          <w:tcPr>
            <w:tcW w:w="4500" w:type="dxa"/>
            <w:tcBorders>
              <w:top w:val="nil"/>
              <w:left w:val="nil"/>
              <w:bottom w:val="single" w:color="auto" w:sz="8" w:space="0"/>
              <w:right w:val="single" w:color="auto" w:sz="8" w:space="0"/>
            </w:tcBorders>
            <w:vAlign w:val="center"/>
            <w:hideMark/>
          </w:tcPr>
          <w:p w:rsidRPr="001A471D" w:rsidR="00474FC1" w:rsidRDefault="00474FC1" w14:paraId="26E09DBC" w14:textId="77777777">
            <w:pPr>
              <w:spacing w:before="96" w:after="96"/>
              <w:rPr>
                <w:rFonts w:cs="Times New Roman"/>
                <w:color w:val="000000"/>
              </w:rPr>
            </w:pPr>
            <w:r w:rsidRPr="001A471D">
              <w:rPr>
                <w:rFonts w:cs="Times New Roman"/>
                <w:color w:val="000000"/>
              </w:rPr>
              <w:t>Immediate resolution </w:t>
            </w:r>
          </w:p>
        </w:tc>
      </w:tr>
      <w:tr w:rsidR="00474FC1" w:rsidTr="00474FC1" w14:paraId="5CA82B17" w14:textId="77777777">
        <w:tc>
          <w:tcPr>
            <w:tcW w:w="4675" w:type="dxa"/>
            <w:tcBorders>
              <w:top w:val="nil"/>
              <w:left w:val="single" w:color="auto" w:sz="8" w:space="0"/>
              <w:bottom w:val="single" w:color="auto" w:sz="8" w:space="0"/>
              <w:right w:val="single" w:color="auto" w:sz="8" w:space="0"/>
            </w:tcBorders>
            <w:vAlign w:val="center"/>
            <w:hideMark/>
          </w:tcPr>
          <w:p w:rsidRPr="001A471D" w:rsidR="00474FC1" w:rsidRDefault="00474FC1" w14:paraId="0B69CE2E" w14:textId="77777777">
            <w:pPr>
              <w:spacing w:before="96" w:after="96"/>
              <w:rPr>
                <w:rFonts w:cs="Times New Roman"/>
                <w:color w:val="000000"/>
              </w:rPr>
            </w:pPr>
            <w:r w:rsidRPr="001A471D">
              <w:rPr>
                <w:rFonts w:cs="Times New Roman"/>
                <w:color w:val="000000"/>
              </w:rPr>
              <w:t>Category 2 - Moderate </w:t>
            </w:r>
          </w:p>
        </w:tc>
        <w:tc>
          <w:tcPr>
            <w:tcW w:w="4500" w:type="dxa"/>
            <w:tcBorders>
              <w:top w:val="nil"/>
              <w:left w:val="nil"/>
              <w:bottom w:val="single" w:color="auto" w:sz="8" w:space="0"/>
              <w:right w:val="single" w:color="auto" w:sz="8" w:space="0"/>
            </w:tcBorders>
            <w:vAlign w:val="center"/>
            <w:hideMark/>
          </w:tcPr>
          <w:p w:rsidRPr="001A471D" w:rsidR="00474FC1" w:rsidRDefault="00474FC1" w14:paraId="75177560" w14:textId="77777777">
            <w:pPr>
              <w:spacing w:before="96" w:after="96"/>
              <w:rPr>
                <w:rFonts w:cs="Times New Roman"/>
                <w:color w:val="000000"/>
              </w:rPr>
            </w:pPr>
            <w:r w:rsidRPr="001A471D">
              <w:rPr>
                <w:rFonts w:cs="Times New Roman"/>
                <w:color w:val="000000"/>
              </w:rPr>
              <w:t>1-2 months (in HFTD Tier 3) </w:t>
            </w:r>
          </w:p>
          <w:p w:rsidRPr="001A471D" w:rsidR="00474FC1" w:rsidRDefault="00474FC1" w14:paraId="1FFEECB2" w14:textId="77777777">
            <w:pPr>
              <w:spacing w:before="96" w:after="96"/>
              <w:rPr>
                <w:rFonts w:cs="Times New Roman"/>
                <w:color w:val="000000"/>
              </w:rPr>
            </w:pPr>
            <w:r w:rsidRPr="001A471D">
              <w:rPr>
                <w:rFonts w:cs="Times New Roman"/>
                <w:color w:val="000000"/>
              </w:rPr>
              <w:t>3-6 months (in HFTD Tier 2) </w:t>
            </w:r>
          </w:p>
          <w:p w:rsidRPr="001A471D" w:rsidR="00474FC1" w:rsidRDefault="00474FC1" w14:paraId="11CB3638" w14:textId="77777777">
            <w:pPr>
              <w:spacing w:before="96" w:after="96"/>
              <w:rPr>
                <w:rFonts w:cs="Times New Roman"/>
                <w:color w:val="000000"/>
              </w:rPr>
            </w:pPr>
            <w:r w:rsidRPr="001A471D">
              <w:rPr>
                <w:rFonts w:cs="Times New Roman"/>
                <w:color w:val="000000"/>
              </w:rPr>
              <w:t>6 months (if relevant to worker safety) </w:t>
            </w:r>
          </w:p>
          <w:p w:rsidRPr="001A471D" w:rsidR="00474FC1" w:rsidRDefault="00474FC1" w14:paraId="3BEBB5BF" w14:textId="77777777">
            <w:pPr>
              <w:spacing w:before="96" w:after="96"/>
              <w:rPr>
                <w:rFonts w:cs="Times New Roman"/>
                <w:color w:val="000000"/>
              </w:rPr>
            </w:pPr>
            <w:r w:rsidRPr="001A471D">
              <w:rPr>
                <w:rFonts w:cs="Times New Roman"/>
                <w:color w:val="000000"/>
              </w:rPr>
              <w:t>12 months or scheduled in WMP update (other) </w:t>
            </w:r>
          </w:p>
        </w:tc>
      </w:tr>
      <w:tr w:rsidR="00474FC1" w:rsidTr="00474FC1" w14:paraId="2E8A65C7" w14:textId="77777777">
        <w:tc>
          <w:tcPr>
            <w:tcW w:w="4675" w:type="dxa"/>
            <w:tcBorders>
              <w:top w:val="nil"/>
              <w:left w:val="single" w:color="auto" w:sz="8" w:space="0"/>
              <w:bottom w:val="single" w:color="auto" w:sz="8" w:space="0"/>
              <w:right w:val="single" w:color="auto" w:sz="8" w:space="0"/>
            </w:tcBorders>
            <w:vAlign w:val="center"/>
            <w:hideMark/>
          </w:tcPr>
          <w:p w:rsidRPr="001A471D" w:rsidR="00474FC1" w:rsidRDefault="00474FC1" w14:paraId="3A89EEDE" w14:textId="77777777">
            <w:pPr>
              <w:spacing w:before="96" w:after="96"/>
              <w:rPr>
                <w:rFonts w:cs="Times New Roman"/>
                <w:color w:val="000000"/>
              </w:rPr>
            </w:pPr>
            <w:r w:rsidRPr="001A471D">
              <w:rPr>
                <w:rFonts w:cs="Times New Roman"/>
                <w:color w:val="000000"/>
              </w:rPr>
              <w:t>Category 3 - Minor </w:t>
            </w:r>
          </w:p>
        </w:tc>
        <w:tc>
          <w:tcPr>
            <w:tcW w:w="4500" w:type="dxa"/>
            <w:tcBorders>
              <w:top w:val="nil"/>
              <w:left w:val="nil"/>
              <w:bottom w:val="single" w:color="auto" w:sz="8" w:space="0"/>
              <w:right w:val="single" w:color="auto" w:sz="8" w:space="0"/>
            </w:tcBorders>
            <w:vAlign w:val="center"/>
            <w:hideMark/>
          </w:tcPr>
          <w:p w:rsidRPr="001A471D" w:rsidR="00474FC1" w:rsidRDefault="00474FC1" w14:paraId="589D887F" w14:textId="77777777">
            <w:pPr>
              <w:spacing w:before="96" w:after="96"/>
              <w:rPr>
                <w:rFonts w:cs="Times New Roman"/>
                <w:color w:val="000000"/>
              </w:rPr>
            </w:pPr>
            <w:r w:rsidRPr="001A471D">
              <w:rPr>
                <w:rFonts w:cs="Times New Roman"/>
                <w:color w:val="000000"/>
              </w:rPr>
              <w:t>12 months or resolution schedule included in WMP update </w:t>
            </w:r>
          </w:p>
        </w:tc>
      </w:tr>
    </w:tbl>
    <w:p w:rsidR="00D62E51" w:rsidP="00D62E51" w:rsidRDefault="00D62E51" w14:paraId="2D6C4BF1" w14:textId="77777777">
      <w:pPr>
        <w:pStyle w:val="Standard"/>
      </w:pPr>
    </w:p>
    <w:p w:rsidRPr="001A471D" w:rsidR="001A471D" w:rsidP="001E340C" w:rsidRDefault="001A471D" w14:paraId="6E3231F3" w14:textId="6B8D791D">
      <w:pPr>
        <w:pStyle w:val="Standard"/>
      </w:pPr>
      <w:r w:rsidRPr="001A471D">
        <w:lastRenderedPageBreak/>
        <w:t xml:space="preserve">Following </w:t>
      </w:r>
      <w:r>
        <w:t>any</w:t>
      </w:r>
      <w:r w:rsidRPr="001A471D">
        <w:t xml:space="preserve"> WSD recommendation to the Commission, and pursuant to the Commission’s enforcement authority, the Commission or its staff may issue a citation or other enforcement action if an electrical corporation does not correct the identified defects on the prescribed timelines shown </w:t>
      </w:r>
      <w:r>
        <w:t>above</w:t>
      </w:r>
      <w:r w:rsidRPr="001A471D">
        <w:t>.</w:t>
      </w:r>
    </w:p>
    <w:p w:rsidR="00885E93" w:rsidP="001E340C" w:rsidRDefault="00885E93" w14:paraId="08556D5D" w14:textId="5D20A1B7">
      <w:pPr>
        <w:pStyle w:val="Standard"/>
      </w:pPr>
      <w:r w:rsidRPr="00035773">
        <w:t>Additionally, through linking outcomes to WMP performance metrics, the WSD can focus compliance tracking on electrical corporations’ improvement of outcomes and reduction of risk</w:t>
      </w:r>
      <w:r>
        <w:t>.</w:t>
      </w:r>
    </w:p>
    <w:p w:rsidRPr="001E068E" w:rsidR="001A471D" w:rsidP="00371D84" w:rsidRDefault="001A471D" w14:paraId="7C6403CC" w14:textId="557DB693">
      <w:pPr>
        <w:pStyle w:val="Res-Caption"/>
        <w:numPr>
          <w:ilvl w:val="0"/>
          <w:numId w:val="38"/>
        </w:numPr>
        <w:rPr>
          <w:rFonts w:ascii="Book Antiqua" w:hAnsi="Book Antiqua"/>
          <w:b/>
          <w:bCs/>
          <w:szCs w:val="26"/>
        </w:rPr>
      </w:pPr>
      <w:r>
        <w:rPr>
          <w:rFonts w:ascii="Book Antiqua" w:hAnsi="Book Antiqua"/>
          <w:b/>
          <w:bCs/>
          <w:szCs w:val="26"/>
        </w:rPr>
        <w:t>WSAB Recommendations</w:t>
      </w:r>
    </w:p>
    <w:p w:rsidRPr="001E068E" w:rsidR="001A471D" w:rsidP="001E068E" w:rsidRDefault="001A471D" w14:paraId="14ADFA9A" w14:textId="77777777">
      <w:pPr>
        <w:pStyle w:val="Res-Caption"/>
        <w:ind w:left="0"/>
        <w:rPr>
          <w:rFonts w:ascii="Book Antiqua" w:hAnsi="Book Antiqua"/>
          <w:b/>
          <w:bCs/>
          <w:szCs w:val="26"/>
        </w:rPr>
      </w:pPr>
    </w:p>
    <w:p w:rsidRPr="001E068E" w:rsidR="006D0BFD" w:rsidP="001E340C" w:rsidRDefault="00A00588" w14:paraId="436DA908" w14:textId="47E8C5DE">
      <w:pPr>
        <w:pStyle w:val="Standard"/>
      </w:pPr>
      <w:r>
        <w:t xml:space="preserve">Section </w:t>
      </w:r>
      <w:r w:rsidRPr="001E068E" w:rsidR="006D0BFD">
        <w:t>8389(b) directs the WSAB to make recommendations to the WS</w:t>
      </w:r>
      <w:r w:rsidR="004311FF">
        <w:t>D</w:t>
      </w:r>
      <w:r w:rsidRPr="001E068E" w:rsidR="006D0BFD">
        <w:t xml:space="preserve"> by June</w:t>
      </w:r>
      <w:r w:rsidR="00D62E51">
        <w:t> </w:t>
      </w:r>
      <w:r w:rsidRPr="001E068E" w:rsidR="006D0BFD">
        <w:t>30, 2020 and annually thereafter on:</w:t>
      </w:r>
    </w:p>
    <w:p w:rsidRPr="00F5096D" w:rsidR="006D0BFD" w:rsidP="001E340C" w:rsidRDefault="006D0BFD" w14:paraId="0A8D57D8" w14:textId="71DF2A0B">
      <w:pPr>
        <w:pStyle w:val="ListBullet"/>
        <w:ind w:right="1440"/>
      </w:pPr>
      <w:r w:rsidRPr="001E068E">
        <w:t>Appropriate performance metrics and processes for determining each electrical corporation’s compliance with its approved WMP</w:t>
      </w:r>
      <w:r w:rsidRPr="00F5096D" w:rsidR="00FD0495">
        <w:t>.</w:t>
      </w:r>
    </w:p>
    <w:p w:rsidR="009A0F0D" w:rsidP="001E340C" w:rsidRDefault="006D0BFD" w14:paraId="3EF61EB9" w14:textId="47FBAE10">
      <w:pPr>
        <w:pStyle w:val="Standard"/>
      </w:pPr>
      <w:r w:rsidRPr="001E068E">
        <w:t xml:space="preserve">The WSAB approved </w:t>
      </w:r>
      <w:r w:rsidR="004311FF">
        <w:t>its</w:t>
      </w:r>
      <w:r w:rsidRPr="001E068E" w:rsidR="0073519E">
        <w:t xml:space="preserve"> </w:t>
      </w:r>
      <w:r w:rsidRPr="001E068E">
        <w:t>recommendations on the 2021 WMP guidelines, performance metrics and safety culture on June 24, 2020</w:t>
      </w:r>
      <w:r w:rsidRPr="001E068E" w:rsidR="00FD0495">
        <w:t>,</w:t>
      </w:r>
      <w:r w:rsidRPr="001E068E">
        <w:t xml:space="preserve"> and submitted a final report to the WSD</w:t>
      </w:r>
      <w:r w:rsidR="004311FF">
        <w:t xml:space="preserve"> on </w:t>
      </w:r>
      <w:r w:rsidR="002209E3">
        <w:t>June 26, 2020.</w:t>
      </w:r>
      <w:r w:rsidRPr="001E068E">
        <w:t xml:space="preserve"> </w:t>
      </w:r>
      <w:r w:rsidR="004311FF">
        <w:t xml:space="preserve"> </w:t>
      </w:r>
      <w:r w:rsidR="00A00588">
        <w:t xml:space="preserve"> Section</w:t>
      </w:r>
      <w:r w:rsidRPr="001E068E">
        <w:t xml:space="preserve"> 8389(c)</w:t>
      </w:r>
      <w:r w:rsidR="004311FF">
        <w:t xml:space="preserve"> requires</w:t>
      </w:r>
      <w:r w:rsidRPr="001E068E">
        <w:t xml:space="preserve"> the WSD to </w:t>
      </w:r>
      <w:r w:rsidR="009A0F0D">
        <w:t>analyze</w:t>
      </w:r>
      <w:r w:rsidRPr="001E068E">
        <w:t xml:space="preserve"> the</w:t>
      </w:r>
      <w:r w:rsidR="004311FF">
        <w:t xml:space="preserve"> WSAB’s</w:t>
      </w:r>
      <w:r w:rsidRPr="001E068E">
        <w:t xml:space="preserve"> </w:t>
      </w:r>
      <w:r w:rsidR="004311FF">
        <w:t>input</w:t>
      </w:r>
      <w:r w:rsidR="009A0F0D">
        <w:t xml:space="preserve"> for Commission consideration</w:t>
      </w:r>
      <w:r w:rsidRPr="001E068E">
        <w:t xml:space="preserve">. </w:t>
      </w:r>
      <w:r w:rsidR="004311FF">
        <w:t xml:space="preserve"> </w:t>
      </w:r>
    </w:p>
    <w:p w:rsidR="005E78A5" w:rsidP="001E340C" w:rsidRDefault="003A6634" w14:paraId="297A92F4" w14:textId="1D51828B">
      <w:pPr>
        <w:pStyle w:val="Standard"/>
      </w:pPr>
      <w:r>
        <w:t>The</w:t>
      </w:r>
      <w:r w:rsidR="009A0F0D">
        <w:t xml:space="preserve"> </w:t>
      </w:r>
      <w:r>
        <w:t xml:space="preserve">compliance process has incorporated the WSAB recommendation in Section 5.4 through the establishment of routine coordination between WSD and the CPUC’s Safety Enforcement Division </w:t>
      </w:r>
      <w:r w:rsidR="00155742">
        <w:t xml:space="preserve">(SED) </w:t>
      </w:r>
      <w:r>
        <w:t xml:space="preserve">on the resolution of compliance issues. </w:t>
      </w:r>
    </w:p>
    <w:p w:rsidRPr="00C9330D" w:rsidR="00C9330D" w:rsidP="001E340C" w:rsidRDefault="00C50A67" w14:paraId="657EC349" w14:textId="5B09C318">
      <w:pPr>
        <w:pStyle w:val="Standard"/>
      </w:pPr>
      <w:r>
        <w:t>The compliance process included as Attachment 1 to this Resolution has been designed to main</w:t>
      </w:r>
      <w:r w:rsidR="00A77154">
        <w:t>tain</w:t>
      </w:r>
      <w:r w:rsidR="00CB24F2">
        <w:t xml:space="preserve"> the necessary operational flexibility to address </w:t>
      </w:r>
      <w:r>
        <w:t>those modifications incorporated into the 2021 WMPs</w:t>
      </w:r>
      <w:r w:rsidR="00CB24F2">
        <w:t>.</w:t>
      </w:r>
    </w:p>
    <w:p w:rsidRPr="001E068E" w:rsidR="00705C88" w:rsidP="00546EFC" w:rsidRDefault="00705C88" w14:paraId="72A4C65A" w14:textId="5BD7709C">
      <w:pPr>
        <w:pStyle w:val="Heading1"/>
        <w:numPr>
          <w:ilvl w:val="0"/>
          <w:numId w:val="51"/>
        </w:numPr>
        <w:spacing w:before="240"/>
        <w:ind w:left="720"/>
        <w:rPr>
          <w:rFonts w:ascii="Book Antiqua" w:hAnsi="Book Antiqua" w:cs="Times New Roman"/>
          <w:szCs w:val="26"/>
        </w:rPr>
      </w:pPr>
      <w:r w:rsidRPr="001E068E">
        <w:rPr>
          <w:rFonts w:ascii="Book Antiqua" w:hAnsi="Book Antiqua" w:cs="Times New Roman"/>
          <w:szCs w:val="26"/>
        </w:rPr>
        <w:t>Comments</w:t>
      </w:r>
    </w:p>
    <w:p w:rsidRPr="001E068E" w:rsidR="00DA23E6" w:rsidP="001E340C" w:rsidRDefault="00DA23E6" w14:paraId="7ABA1314" w14:textId="208E5D31">
      <w:pPr>
        <w:pStyle w:val="Standard"/>
        <w:rPr>
          <w:rFonts w:cs="Times New Roman"/>
          <w:szCs w:val="26"/>
        </w:rPr>
      </w:pPr>
      <w:r w:rsidRPr="00DA23E6">
        <w:t xml:space="preserve">Pub. Util. Code § 311(g)(1) provides that this resolution must be served on all parties and subject to at least 30 days public review. However, given that this resolution is issued outside of a formal proceeding, interested stakeholders need not have party status in R.18-10-007 </w:t>
      </w:r>
      <w:proofErr w:type="gramStart"/>
      <w:r w:rsidRPr="00DA23E6">
        <w:t>in order to</w:t>
      </w:r>
      <w:proofErr w:type="gramEnd"/>
      <w:r w:rsidRPr="00DA23E6">
        <w:t xml:space="preserve"> submit comments on the resolution.  Please note that comments are due 20 days from the mailing date of this resolution.  </w:t>
      </w:r>
    </w:p>
    <w:p w:rsidRPr="001E068E" w:rsidR="00DA23E6" w:rsidP="001E340C" w:rsidRDefault="00893F7A" w14:paraId="07332DBF" w14:textId="1099E2BE">
      <w:pPr>
        <w:pStyle w:val="Standard"/>
        <w:rPr>
          <w:rFonts w:cs="Times New Roman"/>
          <w:szCs w:val="26"/>
        </w:rPr>
      </w:pPr>
      <w:r w:rsidRPr="00155742">
        <w:lastRenderedPageBreak/>
        <w:t xml:space="preserve">The 30-day review and 20-day comment period for the draft of this resolution was neither waived nor reduced. This draft resolution was served on the service list of R.18-10-007 and posted on the WSD’s website, </w:t>
      </w:r>
      <w:hyperlink w:history="1" r:id="rId14">
        <w:hyperlink w:history="1" r:id="rId15">
          <w:r w:rsidRPr="00155742">
            <w:rPr>
              <w:rStyle w:val="Hyperlink"/>
              <w:szCs w:val="26"/>
            </w:rPr>
            <w:t>https://www.cpuc.ca.gov/wsd/complianceprocess/</w:t>
          </w:r>
        </w:hyperlink>
      </w:hyperlink>
      <w:r w:rsidRPr="00155742">
        <w:t>, and it will be placed on the Commission's agenda no earlier than 30 days from today. </w:t>
      </w:r>
    </w:p>
    <w:p w:rsidRPr="001E068E" w:rsidR="00705C88" w:rsidP="00705C88" w:rsidRDefault="00705C88" w14:paraId="67319621" w14:textId="2FC27D48">
      <w:pPr>
        <w:pStyle w:val="Heading1"/>
        <w:rPr>
          <w:rFonts w:ascii="Book Antiqua" w:hAnsi="Book Antiqua" w:cs="Times New Roman"/>
          <w:szCs w:val="26"/>
        </w:rPr>
      </w:pPr>
      <w:r w:rsidRPr="001E068E">
        <w:rPr>
          <w:rFonts w:ascii="Book Antiqua" w:hAnsi="Book Antiqua" w:cs="Times New Roman"/>
          <w:szCs w:val="26"/>
        </w:rPr>
        <w:t>Findings</w:t>
      </w:r>
    </w:p>
    <w:p w:rsidRPr="00D04320" w:rsidR="002A2C97" w:rsidP="00D04320" w:rsidRDefault="005F5ABD" w14:paraId="5C6C41D7" w14:textId="773AE035">
      <w:pPr>
        <w:pStyle w:val="ListParagraph"/>
        <w:numPr>
          <w:ilvl w:val="0"/>
          <w:numId w:val="30"/>
        </w:numPr>
        <w:spacing w:after="120"/>
        <w:ind w:left="360"/>
        <w:contextualSpacing w:val="0"/>
        <w:rPr>
          <w:rFonts w:ascii="Book Antiqua" w:hAnsi="Book Antiqua"/>
          <w:szCs w:val="26"/>
        </w:rPr>
      </w:pPr>
      <w:r w:rsidRPr="001E068E">
        <w:rPr>
          <w:rFonts w:ascii="Book Antiqua" w:hAnsi="Book Antiqua"/>
          <w:szCs w:val="26"/>
        </w:rPr>
        <w:t xml:space="preserve">Pub. Util. Code </w:t>
      </w:r>
      <w:r w:rsidRPr="001E068E" w:rsidR="00124BEA">
        <w:rPr>
          <w:rFonts w:ascii="Book Antiqua" w:hAnsi="Book Antiqua"/>
          <w:szCs w:val="26"/>
        </w:rPr>
        <w:t>§</w:t>
      </w:r>
      <w:r w:rsidRPr="001E068E" w:rsidR="00D04320">
        <w:rPr>
          <w:rFonts w:ascii="Book Antiqua" w:hAnsi="Book Antiqua"/>
          <w:szCs w:val="26"/>
        </w:rPr>
        <w:t>§</w:t>
      </w:r>
      <w:r w:rsidRPr="001E068E">
        <w:rPr>
          <w:rFonts w:ascii="Book Antiqua" w:hAnsi="Book Antiqua"/>
          <w:szCs w:val="26"/>
        </w:rPr>
        <w:t xml:space="preserve"> </w:t>
      </w:r>
      <w:r w:rsidR="00D04320">
        <w:rPr>
          <w:rFonts w:ascii="Book Antiqua" w:hAnsi="Book Antiqua"/>
          <w:szCs w:val="26"/>
        </w:rPr>
        <w:t>326(a)(1) requires the WSD to oversee and enforce electrical corporations’ compliance with wildfire safety</w:t>
      </w:r>
      <w:r w:rsidR="00CB689B">
        <w:rPr>
          <w:rFonts w:ascii="Book Antiqua" w:hAnsi="Book Antiqua"/>
          <w:szCs w:val="26"/>
        </w:rPr>
        <w:t xml:space="preserve"> pursuant to Chapter 6 (commencing with </w:t>
      </w:r>
      <w:r w:rsidRPr="001E068E" w:rsidR="00CB689B">
        <w:rPr>
          <w:rFonts w:ascii="Book Antiqua" w:hAnsi="Book Antiqua"/>
          <w:szCs w:val="26"/>
        </w:rPr>
        <w:t>§</w:t>
      </w:r>
      <w:r w:rsidR="00CB689B">
        <w:rPr>
          <w:rFonts w:ascii="Book Antiqua" w:hAnsi="Book Antiqua"/>
          <w:szCs w:val="26"/>
        </w:rPr>
        <w:t xml:space="preserve"> 8385) of Division 4</w:t>
      </w:r>
      <w:r w:rsidR="00D04320">
        <w:rPr>
          <w:rFonts w:ascii="Book Antiqua" w:hAnsi="Book Antiqua"/>
          <w:szCs w:val="26"/>
        </w:rPr>
        <w:t xml:space="preserve"> and </w:t>
      </w:r>
      <w:r w:rsidRPr="001E068E" w:rsidR="00D04320">
        <w:rPr>
          <w:rFonts w:ascii="Book Antiqua" w:hAnsi="Book Antiqua"/>
          <w:szCs w:val="26"/>
        </w:rPr>
        <w:t>§</w:t>
      </w:r>
      <w:r w:rsidR="00D04320">
        <w:rPr>
          <w:rFonts w:ascii="Book Antiqua" w:hAnsi="Book Antiqua"/>
          <w:szCs w:val="26"/>
        </w:rPr>
        <w:t xml:space="preserve"> 8386.3(c) requires WSD to oversee compliance with the WMPs</w:t>
      </w:r>
      <w:r w:rsidRPr="00D04320" w:rsidR="002A2C97">
        <w:rPr>
          <w:szCs w:val="26"/>
        </w:rPr>
        <w:t>.</w:t>
      </w:r>
    </w:p>
    <w:p w:rsidR="00CB689B" w:rsidP="00CB689B" w:rsidRDefault="00CB689B" w14:paraId="439C2827" w14:textId="5B3D9A9D">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w:t>
      </w:r>
      <w:r w:rsidR="00EE05E0">
        <w:rPr>
          <w:rFonts w:ascii="Book Antiqua" w:hAnsi="Book Antiqua"/>
          <w:szCs w:val="26"/>
        </w:rPr>
        <w:t xml:space="preserve">attached </w:t>
      </w:r>
      <w:r>
        <w:rPr>
          <w:rFonts w:ascii="Book Antiqua" w:hAnsi="Book Antiqua"/>
          <w:szCs w:val="26"/>
        </w:rPr>
        <w:t>compliance process incorporates the WSAB recommendation in Section 5.4 through the establishment of routine coordination between WSD and the CPUC’s Safety Enforcement Division on the resolution of compliance issues.</w:t>
      </w:r>
      <w:r w:rsidRPr="00CB689B">
        <w:rPr>
          <w:rFonts w:ascii="Book Antiqua" w:hAnsi="Book Antiqua"/>
          <w:szCs w:val="26"/>
        </w:rPr>
        <w:t xml:space="preserve"> </w:t>
      </w:r>
    </w:p>
    <w:p w:rsidR="00CB689B" w:rsidP="00CB689B" w:rsidRDefault="00CB689B" w14:paraId="42AE932E" w14:textId="4C6D2A43">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attached compliance process considered input of stakeholders through </w:t>
      </w:r>
      <w:r w:rsidR="00155742">
        <w:rPr>
          <w:rFonts w:ascii="Book Antiqua" w:hAnsi="Book Antiqua"/>
          <w:szCs w:val="26"/>
        </w:rPr>
        <w:t xml:space="preserve">a </w:t>
      </w:r>
      <w:r>
        <w:rPr>
          <w:rFonts w:ascii="Book Antiqua" w:hAnsi="Book Antiqua"/>
          <w:szCs w:val="26"/>
        </w:rPr>
        <w:t xml:space="preserve">workshop and written comments. </w:t>
      </w:r>
    </w:p>
    <w:p w:rsidR="00CB689B" w:rsidP="00CB689B" w:rsidRDefault="00CB689B" w14:paraId="3E512626" w14:textId="4B9C0D2F">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attached compliance process </w:t>
      </w:r>
      <w:r w:rsidR="00C152CC">
        <w:rPr>
          <w:rFonts w:ascii="Book Antiqua" w:hAnsi="Book Antiqua"/>
          <w:szCs w:val="26"/>
        </w:rPr>
        <w:t xml:space="preserve">recognizes WSD may </w:t>
      </w:r>
      <w:r w:rsidRPr="00993443">
        <w:rPr>
          <w:rFonts w:ascii="Book Antiqua" w:hAnsi="Book Antiqua"/>
          <w:szCs w:val="26"/>
        </w:rPr>
        <w:t>identif</w:t>
      </w:r>
      <w:r w:rsidR="00C152CC">
        <w:rPr>
          <w:rFonts w:ascii="Book Antiqua" w:hAnsi="Book Antiqua"/>
          <w:szCs w:val="26"/>
        </w:rPr>
        <w:t>y</w:t>
      </w:r>
      <w:r w:rsidRPr="00993443">
        <w:rPr>
          <w:rFonts w:ascii="Book Antiqua" w:hAnsi="Book Antiqua"/>
          <w:szCs w:val="26"/>
        </w:rPr>
        <w:t xml:space="preserve"> </w:t>
      </w:r>
      <w:r w:rsidRPr="00993443" w:rsidR="00B94C07">
        <w:rPr>
          <w:rFonts w:ascii="Book Antiqua" w:hAnsi="Book Antiqua"/>
          <w:szCs w:val="26"/>
        </w:rPr>
        <w:t>priorit</w:t>
      </w:r>
      <w:r w:rsidR="00B94C07">
        <w:rPr>
          <w:rFonts w:ascii="Book Antiqua" w:hAnsi="Book Antiqua"/>
          <w:szCs w:val="26"/>
        </w:rPr>
        <w:t>ies</w:t>
      </w:r>
      <w:r w:rsidR="00073100">
        <w:rPr>
          <w:rFonts w:ascii="Book Antiqua" w:hAnsi="Book Antiqua"/>
          <w:szCs w:val="26"/>
        </w:rPr>
        <w:t xml:space="preserve"> for</w:t>
      </w:r>
      <w:r w:rsidRPr="00993443" w:rsidR="00B94C07">
        <w:rPr>
          <w:rFonts w:ascii="Book Antiqua" w:hAnsi="Book Antiqua"/>
          <w:szCs w:val="26"/>
        </w:rPr>
        <w:t xml:space="preserve"> </w:t>
      </w:r>
      <w:r w:rsidRPr="00993443">
        <w:rPr>
          <w:rFonts w:ascii="Book Antiqua" w:hAnsi="Book Antiqua"/>
          <w:szCs w:val="26"/>
        </w:rPr>
        <w:t xml:space="preserve">WMP initiative compliance </w:t>
      </w:r>
      <w:r w:rsidRPr="00993443" w:rsidR="00DD19A0">
        <w:rPr>
          <w:rFonts w:ascii="Book Antiqua" w:hAnsi="Book Antiqua"/>
          <w:szCs w:val="26"/>
        </w:rPr>
        <w:t>assurance and</w:t>
      </w:r>
      <w:r w:rsidRPr="00993443">
        <w:rPr>
          <w:rFonts w:ascii="Book Antiqua" w:hAnsi="Book Antiqua"/>
          <w:szCs w:val="26"/>
        </w:rPr>
        <w:t xml:space="preserve"> </w:t>
      </w:r>
      <w:r w:rsidR="00CF04E6">
        <w:rPr>
          <w:rFonts w:ascii="Book Antiqua" w:hAnsi="Book Antiqua"/>
          <w:szCs w:val="26"/>
        </w:rPr>
        <w:t xml:space="preserve">sets out </w:t>
      </w:r>
      <w:r w:rsidRPr="00993443">
        <w:rPr>
          <w:rFonts w:ascii="Book Antiqua" w:hAnsi="Book Antiqua"/>
          <w:szCs w:val="26"/>
        </w:rPr>
        <w:t xml:space="preserve">procedures to assess electrical corporations’ compliance with </w:t>
      </w:r>
      <w:r>
        <w:rPr>
          <w:rFonts w:ascii="Book Antiqua" w:hAnsi="Book Antiqua"/>
          <w:szCs w:val="26"/>
        </w:rPr>
        <w:t xml:space="preserve">wildfire safety and </w:t>
      </w:r>
      <w:r w:rsidRPr="00993443">
        <w:rPr>
          <w:rFonts w:ascii="Book Antiqua" w:hAnsi="Book Antiqua"/>
          <w:szCs w:val="26"/>
        </w:rPr>
        <w:t>implementation of their approved WMPs</w:t>
      </w:r>
      <w:r>
        <w:rPr>
          <w:rFonts w:ascii="Book Antiqua" w:hAnsi="Book Antiqua"/>
          <w:szCs w:val="26"/>
        </w:rPr>
        <w:t>.</w:t>
      </w:r>
    </w:p>
    <w:p w:rsidRPr="00CB689B" w:rsidR="008D5DE7" w:rsidP="00CB689B" w:rsidRDefault="00CB689B" w14:paraId="265ADDF7" w14:textId="6DA0E699">
      <w:pPr>
        <w:pStyle w:val="ListParagraph"/>
        <w:numPr>
          <w:ilvl w:val="0"/>
          <w:numId w:val="30"/>
        </w:numPr>
        <w:spacing w:after="120"/>
        <w:ind w:left="360"/>
        <w:contextualSpacing w:val="0"/>
        <w:rPr>
          <w:rFonts w:ascii="Book Antiqua" w:hAnsi="Book Antiqua"/>
          <w:szCs w:val="26"/>
        </w:rPr>
      </w:pPr>
      <w:r>
        <w:rPr>
          <w:rFonts w:ascii="Book Antiqua" w:hAnsi="Book Antiqua"/>
          <w:szCs w:val="26"/>
        </w:rPr>
        <w:t xml:space="preserve">The attached compliance process will advance the goal of </w:t>
      </w:r>
      <w:r w:rsidR="005A5D9E">
        <w:rPr>
          <w:rFonts w:ascii="Book Antiqua" w:hAnsi="Book Antiqua"/>
          <w:szCs w:val="26"/>
        </w:rPr>
        <w:t xml:space="preserve">mitigating the risk of </w:t>
      </w:r>
      <w:r w:rsidRPr="001E068E" w:rsidR="00D10422">
        <w:rPr>
          <w:rFonts w:ascii="Book Antiqua" w:hAnsi="Book Antiqua"/>
          <w:szCs w:val="26"/>
        </w:rPr>
        <w:t>electrical corporation</w:t>
      </w:r>
      <w:r w:rsidRPr="001E068E">
        <w:rPr>
          <w:rFonts w:ascii="Book Antiqua" w:hAnsi="Book Antiqua"/>
          <w:szCs w:val="26"/>
        </w:rPr>
        <w:t>-caused catastrophic wildfire</w:t>
      </w:r>
      <w:r>
        <w:rPr>
          <w:rFonts w:ascii="Book Antiqua" w:hAnsi="Book Antiqua"/>
          <w:szCs w:val="26"/>
        </w:rPr>
        <w:t>s.</w:t>
      </w:r>
      <w:r w:rsidRPr="00CB689B" w:rsidR="008D5DE7">
        <w:rPr>
          <w:szCs w:val="26"/>
        </w:rPr>
        <w:t xml:space="preserve"> </w:t>
      </w:r>
    </w:p>
    <w:p w:rsidR="00143FA0" w:rsidP="00143FA0" w:rsidRDefault="008D5DE7" w14:paraId="5FF1D9E4" w14:textId="01E70C43">
      <w:pPr>
        <w:pStyle w:val="ListParagraph"/>
        <w:numPr>
          <w:ilvl w:val="0"/>
          <w:numId w:val="30"/>
        </w:numPr>
        <w:spacing w:after="120"/>
        <w:ind w:left="360"/>
        <w:contextualSpacing w:val="0"/>
        <w:rPr>
          <w:rFonts w:ascii="Book Antiqua" w:hAnsi="Book Antiqua"/>
          <w:szCs w:val="26"/>
        </w:rPr>
      </w:pPr>
      <w:r w:rsidRPr="001E068E">
        <w:rPr>
          <w:rFonts w:ascii="Book Antiqua" w:hAnsi="Book Antiqua"/>
          <w:szCs w:val="26"/>
        </w:rPr>
        <w:t xml:space="preserve">Pub. Util. Code </w:t>
      </w:r>
      <w:r w:rsidRPr="001E068E" w:rsidR="00C74010">
        <w:rPr>
          <w:rFonts w:ascii="Book Antiqua" w:hAnsi="Book Antiqua"/>
          <w:szCs w:val="26"/>
        </w:rPr>
        <w:t>§</w:t>
      </w:r>
      <w:r w:rsidRPr="001E068E" w:rsidR="00143FA0">
        <w:rPr>
          <w:rFonts w:ascii="Book Antiqua" w:hAnsi="Book Antiqua"/>
          <w:szCs w:val="26"/>
        </w:rPr>
        <w:t>§</w:t>
      </w:r>
      <w:r w:rsidRPr="001E068E">
        <w:rPr>
          <w:rFonts w:ascii="Book Antiqua" w:hAnsi="Book Antiqua"/>
          <w:szCs w:val="26"/>
        </w:rPr>
        <w:t xml:space="preserve"> 8386(d)</w:t>
      </w:r>
      <w:r w:rsidR="00143FA0">
        <w:rPr>
          <w:rFonts w:ascii="Book Antiqua" w:hAnsi="Book Antiqua"/>
          <w:szCs w:val="26"/>
        </w:rPr>
        <w:t>(</w:t>
      </w:r>
      <w:r w:rsidR="007A3CAF">
        <w:rPr>
          <w:rFonts w:ascii="Book Antiqua" w:hAnsi="Book Antiqua"/>
          <w:szCs w:val="26"/>
        </w:rPr>
        <w:t xml:space="preserve">3) </w:t>
      </w:r>
      <w:r w:rsidRPr="001E068E">
        <w:rPr>
          <w:rFonts w:ascii="Book Antiqua" w:hAnsi="Book Antiqua"/>
          <w:szCs w:val="26"/>
        </w:rPr>
        <w:t>require</w:t>
      </w:r>
      <w:r w:rsidR="007A3CAF">
        <w:rPr>
          <w:rFonts w:ascii="Book Antiqua" w:hAnsi="Book Antiqua"/>
          <w:szCs w:val="26"/>
        </w:rPr>
        <w:t>s</w:t>
      </w:r>
      <w:r w:rsidR="00143FA0">
        <w:rPr>
          <w:rFonts w:ascii="Book Antiqua" w:hAnsi="Book Antiqua"/>
          <w:szCs w:val="26"/>
        </w:rPr>
        <w:t xml:space="preserve"> the Commission to adopt</w:t>
      </w:r>
      <w:r w:rsidR="007A3CAF">
        <w:rPr>
          <w:rFonts w:ascii="Book Antiqua" w:hAnsi="Book Antiqua"/>
          <w:szCs w:val="26"/>
        </w:rPr>
        <w:t xml:space="preserve"> and approve</w:t>
      </w:r>
      <w:r w:rsidR="00143FA0">
        <w:rPr>
          <w:rFonts w:ascii="Book Antiqua" w:hAnsi="Book Antiqua"/>
          <w:szCs w:val="26"/>
        </w:rPr>
        <w:t xml:space="preserve">, after consultation with the WSD, </w:t>
      </w:r>
      <w:r w:rsidR="007A3CAF">
        <w:rPr>
          <w:rFonts w:ascii="Book Antiqua" w:hAnsi="Book Antiqua"/>
          <w:szCs w:val="26"/>
        </w:rPr>
        <w:t>a WMP compliance process</w:t>
      </w:r>
      <w:r w:rsidRPr="00893F7A" w:rsidR="00143FA0">
        <w:rPr>
          <w:rFonts w:ascii="Book Antiqua" w:hAnsi="Book Antiqua"/>
          <w:szCs w:val="26"/>
        </w:rPr>
        <w:t>.  This Resolution with its Attachment meet</w:t>
      </w:r>
      <w:r w:rsidRPr="00893F7A" w:rsidR="007A3CAF">
        <w:rPr>
          <w:rFonts w:ascii="Book Antiqua" w:hAnsi="Book Antiqua"/>
          <w:szCs w:val="26"/>
        </w:rPr>
        <w:t>s</w:t>
      </w:r>
      <w:r w:rsidRPr="00893F7A" w:rsidR="00143FA0">
        <w:rPr>
          <w:rFonts w:ascii="Book Antiqua" w:hAnsi="Book Antiqua"/>
          <w:szCs w:val="26"/>
        </w:rPr>
        <w:t xml:space="preserve"> the foregoing requirement.</w:t>
      </w:r>
    </w:p>
    <w:p w:rsidRPr="004B490F" w:rsidR="005A5D9E" w:rsidP="005A5D9E" w:rsidRDefault="005A5D9E" w14:paraId="17CE2822" w14:textId="18674015">
      <w:pPr>
        <w:pStyle w:val="ListParagraph"/>
        <w:numPr>
          <w:ilvl w:val="0"/>
          <w:numId w:val="30"/>
        </w:numPr>
        <w:spacing w:after="120"/>
        <w:ind w:left="360"/>
        <w:contextualSpacing w:val="0"/>
        <w:rPr>
          <w:rFonts w:ascii="Book Antiqua" w:hAnsi="Book Antiqua" w:cstheme="minorHAnsi"/>
          <w:szCs w:val="26"/>
        </w:rPr>
      </w:pPr>
      <w:r w:rsidRPr="004B490F">
        <w:rPr>
          <w:rFonts w:ascii="Book Antiqua" w:hAnsi="Book Antiqua" w:cstheme="minorHAnsi"/>
        </w:rPr>
        <w:t xml:space="preserve">The Attachment to this Resolution reasonably addresses the requirements of </w:t>
      </w:r>
      <w:r w:rsidRPr="004B490F">
        <w:rPr>
          <w:rFonts w:ascii="Book Antiqua" w:hAnsi="Book Antiqua" w:cstheme="minorHAnsi"/>
          <w:szCs w:val="26"/>
        </w:rPr>
        <w:t xml:space="preserve">§§ 8386(d)(3).  </w:t>
      </w:r>
    </w:p>
    <w:p w:rsidR="00371D84" w:rsidRDefault="00371D84" w14:paraId="5E524DF9" w14:textId="7A9C4080">
      <w:pPr>
        <w:spacing w:after="160" w:line="259" w:lineRule="auto"/>
        <w:rPr>
          <w:rFonts w:cs="Times New Roman" w:eastAsiaTheme="majorEastAsia"/>
          <w:b/>
          <w:caps/>
          <w:szCs w:val="26"/>
          <w:u w:val="single"/>
        </w:rPr>
      </w:pPr>
    </w:p>
    <w:p w:rsidRPr="001E068E" w:rsidR="005F5ABD" w:rsidP="005F5ABD" w:rsidRDefault="005F5ABD" w14:paraId="5A52EA48" w14:textId="11AE146D">
      <w:pPr>
        <w:pStyle w:val="Heading1"/>
        <w:rPr>
          <w:rFonts w:ascii="Book Antiqua" w:hAnsi="Book Antiqua" w:cs="Times New Roman"/>
          <w:szCs w:val="26"/>
        </w:rPr>
      </w:pPr>
      <w:r w:rsidRPr="001E068E">
        <w:rPr>
          <w:rFonts w:ascii="Book Antiqua" w:hAnsi="Book Antiqua" w:cs="Times New Roman"/>
          <w:szCs w:val="26"/>
        </w:rPr>
        <w:t>Therefore, it is Ordered That:</w:t>
      </w:r>
    </w:p>
    <w:p w:rsidRPr="001E068E" w:rsidR="009A6012" w:rsidP="00371D84" w:rsidRDefault="00143FA0" w14:paraId="7406383A" w14:textId="605890A9">
      <w:pPr>
        <w:pStyle w:val="Standard"/>
        <w:numPr>
          <w:ilvl w:val="0"/>
          <w:numId w:val="37"/>
        </w:numPr>
        <w:spacing w:after="120"/>
        <w:ind w:left="360"/>
        <w:rPr>
          <w:rFonts w:cs="Times New Roman"/>
          <w:szCs w:val="26"/>
        </w:rPr>
      </w:pPr>
      <w:r>
        <w:rPr>
          <w:rFonts w:cs="Times New Roman"/>
          <w:szCs w:val="26"/>
        </w:rPr>
        <w:t xml:space="preserve">The contents in </w:t>
      </w:r>
      <w:r w:rsidRPr="001E068E" w:rsidR="00541678">
        <w:rPr>
          <w:rFonts w:cs="Times New Roman"/>
          <w:szCs w:val="26"/>
        </w:rPr>
        <w:t>Attachment</w:t>
      </w:r>
      <w:r w:rsidRPr="001E068E" w:rsidR="00B02E43">
        <w:rPr>
          <w:rFonts w:cs="Times New Roman"/>
          <w:szCs w:val="26"/>
        </w:rPr>
        <w:t xml:space="preserve"> </w:t>
      </w:r>
      <w:r w:rsidRPr="001E068E" w:rsidR="003E1EE5">
        <w:rPr>
          <w:rFonts w:cs="Times New Roman"/>
          <w:szCs w:val="26"/>
        </w:rPr>
        <w:t>1</w:t>
      </w:r>
      <w:r w:rsidR="003E1EE5">
        <w:rPr>
          <w:rFonts w:cs="Times New Roman"/>
          <w:szCs w:val="26"/>
        </w:rPr>
        <w:t xml:space="preserve"> propose</w:t>
      </w:r>
      <w:r w:rsidR="00155742">
        <w:rPr>
          <w:rFonts w:cs="Times New Roman"/>
          <w:szCs w:val="26"/>
        </w:rPr>
        <w:t xml:space="preserve"> a WMP</w:t>
      </w:r>
      <w:r w:rsidR="005B71D9">
        <w:rPr>
          <w:rFonts w:cs="Times New Roman"/>
          <w:szCs w:val="26"/>
        </w:rPr>
        <w:t xml:space="preserve"> compliance process</w:t>
      </w:r>
      <w:r>
        <w:rPr>
          <w:rFonts w:cs="Times New Roman"/>
          <w:szCs w:val="26"/>
        </w:rPr>
        <w:t xml:space="preserve"> pursuant to Pub. Util. Code </w:t>
      </w:r>
      <w:r w:rsidRPr="001E068E">
        <w:rPr>
          <w:szCs w:val="26"/>
        </w:rPr>
        <w:t>§§ 8386(d)</w:t>
      </w:r>
      <w:r>
        <w:rPr>
          <w:szCs w:val="26"/>
        </w:rPr>
        <w:t>(</w:t>
      </w:r>
      <w:r w:rsidR="005B71D9">
        <w:rPr>
          <w:szCs w:val="26"/>
        </w:rPr>
        <w:t>3</w:t>
      </w:r>
      <w:r>
        <w:rPr>
          <w:szCs w:val="26"/>
        </w:rPr>
        <w:t>)</w:t>
      </w:r>
      <w:r w:rsidR="005B71D9">
        <w:rPr>
          <w:szCs w:val="26"/>
        </w:rPr>
        <w:t xml:space="preserve"> </w:t>
      </w:r>
      <w:r w:rsidR="00CB689B">
        <w:rPr>
          <w:szCs w:val="26"/>
        </w:rPr>
        <w:t xml:space="preserve">and </w:t>
      </w:r>
      <w:r w:rsidR="00155742">
        <w:rPr>
          <w:rFonts w:cs="Times New Roman"/>
          <w:szCs w:val="26"/>
        </w:rPr>
        <w:t xml:space="preserve">is </w:t>
      </w:r>
      <w:r>
        <w:rPr>
          <w:rFonts w:cs="Times New Roman"/>
          <w:szCs w:val="26"/>
        </w:rPr>
        <w:t xml:space="preserve">hereby </w:t>
      </w:r>
      <w:r w:rsidRPr="001E068E" w:rsidR="00B02E43">
        <w:rPr>
          <w:rFonts w:cs="Times New Roman"/>
          <w:szCs w:val="26"/>
        </w:rPr>
        <w:t>adopted.</w:t>
      </w:r>
    </w:p>
    <w:p w:rsidR="00792AF3" w:rsidP="00371D84" w:rsidRDefault="00792AF3" w14:paraId="32937A39" w14:textId="419821E2">
      <w:pPr>
        <w:pStyle w:val="Standard"/>
        <w:numPr>
          <w:ilvl w:val="0"/>
          <w:numId w:val="37"/>
        </w:numPr>
        <w:spacing w:after="120"/>
        <w:ind w:left="360"/>
        <w:rPr>
          <w:rFonts w:cs="Times New Roman"/>
          <w:szCs w:val="26"/>
        </w:rPr>
      </w:pPr>
      <w:r>
        <w:rPr>
          <w:rFonts w:cs="Times New Roman"/>
          <w:szCs w:val="26"/>
        </w:rPr>
        <w:lastRenderedPageBreak/>
        <w:t xml:space="preserve">Electrical corporations shall adhere to the requirements of </w:t>
      </w:r>
      <w:r w:rsidR="00966CFF">
        <w:rPr>
          <w:rFonts w:cs="Times New Roman"/>
          <w:szCs w:val="26"/>
        </w:rPr>
        <w:t xml:space="preserve">this Resolution </w:t>
      </w:r>
      <w:r w:rsidR="0098124B">
        <w:rPr>
          <w:rFonts w:cs="Times New Roman"/>
          <w:szCs w:val="26"/>
        </w:rPr>
        <w:t xml:space="preserve">and its Attachment </w:t>
      </w:r>
      <w:r w:rsidR="00FC381B">
        <w:rPr>
          <w:rFonts w:cs="Times New Roman"/>
          <w:szCs w:val="26"/>
        </w:rPr>
        <w:t xml:space="preserve">and </w:t>
      </w:r>
      <w:r w:rsidR="008A051D">
        <w:rPr>
          <w:rFonts w:cs="Times New Roman"/>
          <w:szCs w:val="26"/>
        </w:rPr>
        <w:t xml:space="preserve">shall </w:t>
      </w:r>
      <w:r w:rsidR="00FC381B">
        <w:rPr>
          <w:rFonts w:cs="Times New Roman"/>
          <w:szCs w:val="26"/>
        </w:rPr>
        <w:t xml:space="preserve">cooperate with the Wildfire Safety Division in its </w:t>
      </w:r>
      <w:r w:rsidR="0098124B">
        <w:rPr>
          <w:rFonts w:cs="Times New Roman"/>
          <w:szCs w:val="26"/>
        </w:rPr>
        <w:t>implementati</w:t>
      </w:r>
      <w:r w:rsidR="00356361">
        <w:rPr>
          <w:rFonts w:cs="Times New Roman"/>
          <w:szCs w:val="26"/>
        </w:rPr>
        <w:t>o</w:t>
      </w:r>
      <w:r w:rsidR="0098124B">
        <w:rPr>
          <w:rFonts w:cs="Times New Roman"/>
          <w:szCs w:val="26"/>
        </w:rPr>
        <w:t>n</w:t>
      </w:r>
      <w:r w:rsidR="00FC381B">
        <w:rPr>
          <w:rFonts w:cs="Times New Roman"/>
          <w:szCs w:val="26"/>
        </w:rPr>
        <w:t xml:space="preserve"> of </w:t>
      </w:r>
      <w:r w:rsidR="000500DB">
        <w:rPr>
          <w:rFonts w:cs="Times New Roman"/>
          <w:szCs w:val="26"/>
        </w:rPr>
        <w:t xml:space="preserve">the </w:t>
      </w:r>
      <w:r>
        <w:rPr>
          <w:rFonts w:cs="Times New Roman"/>
          <w:szCs w:val="26"/>
        </w:rPr>
        <w:t>compliance process</w:t>
      </w:r>
      <w:r w:rsidR="0098124B">
        <w:rPr>
          <w:rFonts w:cs="Times New Roman"/>
          <w:szCs w:val="26"/>
        </w:rPr>
        <w:t>.</w:t>
      </w:r>
      <w:r w:rsidR="00FC381B">
        <w:rPr>
          <w:rFonts w:cs="Times New Roman"/>
          <w:szCs w:val="26"/>
        </w:rPr>
        <w:t xml:space="preserve"> </w:t>
      </w:r>
    </w:p>
    <w:p w:rsidRPr="001E068E" w:rsidR="005F5ABD" w:rsidP="001E068E" w:rsidRDefault="005F5ABD" w14:paraId="627CA97B" w14:textId="50A4376A">
      <w:pPr>
        <w:pStyle w:val="Standard"/>
        <w:spacing w:after="0"/>
        <w:rPr>
          <w:rFonts w:cs="Times New Roman"/>
          <w:szCs w:val="26"/>
        </w:rPr>
      </w:pPr>
      <w:r w:rsidRPr="001E068E">
        <w:rPr>
          <w:rFonts w:cs="Times New Roman"/>
          <w:szCs w:val="26"/>
        </w:rPr>
        <w:t>This Resolution is effective today.</w:t>
      </w:r>
    </w:p>
    <w:p w:rsidRPr="001E068E" w:rsidR="001E068E" w:rsidP="001E068E" w:rsidRDefault="001E068E" w14:paraId="46EEACB5" w14:textId="77777777">
      <w:pPr>
        <w:pStyle w:val="Standard"/>
        <w:spacing w:after="0"/>
        <w:rPr>
          <w:rFonts w:cs="Times New Roman"/>
          <w:szCs w:val="26"/>
        </w:rPr>
      </w:pPr>
    </w:p>
    <w:p w:rsidRPr="001E068E" w:rsidR="005F5ABD" w:rsidP="001E068E" w:rsidRDefault="005F5ABD" w14:paraId="0F71ACBB" w14:textId="14031712">
      <w:pPr>
        <w:pStyle w:val="Standard"/>
        <w:spacing w:after="0"/>
        <w:rPr>
          <w:rFonts w:cs="Times New Roman"/>
          <w:snapToGrid w:val="0"/>
          <w:szCs w:val="26"/>
        </w:rPr>
      </w:pPr>
      <w:r w:rsidRPr="001E068E">
        <w:rPr>
          <w:rFonts w:cs="Times New Roman"/>
          <w:snapToGrid w:val="0"/>
          <w:szCs w:val="26"/>
        </w:rPr>
        <w:t xml:space="preserve">I certify that the foregoing resolution was duly introduced, </w:t>
      </w:r>
      <w:proofErr w:type="gramStart"/>
      <w:r w:rsidRPr="001E068E">
        <w:rPr>
          <w:rFonts w:cs="Times New Roman"/>
          <w:snapToGrid w:val="0"/>
          <w:szCs w:val="26"/>
        </w:rPr>
        <w:t>passed</w:t>
      </w:r>
      <w:proofErr w:type="gramEnd"/>
      <w:r w:rsidRPr="001E068E">
        <w:rPr>
          <w:rFonts w:cs="Times New Roman"/>
          <w:snapToGrid w:val="0"/>
          <w:szCs w:val="26"/>
        </w:rPr>
        <w:t xml:space="preserve"> and adopted at a conference of the Public Utilities Commission of the State of California held on </w:t>
      </w:r>
      <w:r w:rsidR="00203388">
        <w:rPr>
          <w:rFonts w:cs="Times New Roman"/>
          <w:snapToGrid w:val="0"/>
          <w:szCs w:val="26"/>
        </w:rPr>
        <w:t>November 19, 2020</w:t>
      </w:r>
      <w:r w:rsidRPr="001E068E">
        <w:rPr>
          <w:rFonts w:cs="Times New Roman"/>
          <w:snapToGrid w:val="0"/>
          <w:szCs w:val="26"/>
        </w:rPr>
        <w:t>; the following Commissioners voting favorably thereon:</w:t>
      </w:r>
    </w:p>
    <w:p w:rsidRPr="00FA6A79" w:rsidR="00F94CA9" w:rsidP="00F94CA9" w:rsidRDefault="00F94CA9" w14:paraId="054E26A8" w14:textId="77777777"/>
    <w:p w:rsidRPr="00FA6A79" w:rsidR="00F94CA9" w:rsidP="00F94CA9" w:rsidRDefault="00F94CA9" w14:paraId="222DB002" w14:textId="77777777"/>
    <w:tbl>
      <w:tblPr>
        <w:tblW w:w="0" w:type="auto"/>
        <w:tblInd w:w="4428" w:type="dxa"/>
        <w:tblLayout w:type="fixed"/>
        <w:tblLook w:val="0000" w:firstRow="0" w:lastRow="0" w:firstColumn="0" w:lastColumn="0" w:noHBand="0" w:noVBand="0"/>
      </w:tblPr>
      <w:tblGrid>
        <w:gridCol w:w="3780"/>
      </w:tblGrid>
      <w:tr w:rsidRPr="00FA6A79" w:rsidR="00F94CA9" w:rsidTr="0097659B" w14:paraId="4006D0C2" w14:textId="77777777">
        <w:tc>
          <w:tcPr>
            <w:tcW w:w="3780" w:type="dxa"/>
            <w:tcBorders>
              <w:bottom w:val="single" w:color="auto" w:sz="6" w:space="0"/>
            </w:tcBorders>
          </w:tcPr>
          <w:p w:rsidRPr="00FA6A79" w:rsidR="00F94CA9" w:rsidP="0097659B" w:rsidRDefault="00F94CA9" w14:paraId="4DC60050" w14:textId="77777777">
            <w:pPr>
              <w:jc w:val="center"/>
            </w:pPr>
            <w:r>
              <w:t>/s/ RACHEL PETERSON</w:t>
            </w:r>
          </w:p>
        </w:tc>
      </w:tr>
      <w:tr w:rsidRPr="00FA6A79" w:rsidR="00F94CA9" w:rsidTr="0097659B" w14:paraId="5427357C" w14:textId="77777777">
        <w:tc>
          <w:tcPr>
            <w:tcW w:w="3780" w:type="dxa"/>
          </w:tcPr>
          <w:p w:rsidRPr="00FA6A79" w:rsidR="00F94CA9" w:rsidP="0097659B" w:rsidRDefault="00F94CA9" w14:paraId="60837831" w14:textId="77777777">
            <w:pPr>
              <w:jc w:val="center"/>
              <w:rPr>
                <w:rFonts w:ascii="Times New Roman" w:hAnsi="Times New Roman"/>
              </w:rPr>
            </w:pPr>
            <w:r w:rsidRPr="00FA6A79">
              <w:rPr>
                <w:rFonts w:ascii="Times New Roman" w:hAnsi="Times New Roman"/>
              </w:rPr>
              <w:t>Rachel Peterson</w:t>
            </w:r>
          </w:p>
          <w:p w:rsidRPr="00FA6A79" w:rsidR="00F94CA9" w:rsidP="0097659B" w:rsidRDefault="00F94CA9" w14:paraId="2EA6E836" w14:textId="77777777">
            <w:pPr>
              <w:jc w:val="center"/>
            </w:pPr>
            <w:r>
              <w:rPr>
                <w:rFonts w:ascii="Times New Roman" w:hAnsi="Times New Roman"/>
              </w:rPr>
              <w:t xml:space="preserve">Acting </w:t>
            </w:r>
            <w:r w:rsidRPr="00FA6A79">
              <w:rPr>
                <w:rFonts w:ascii="Times New Roman" w:hAnsi="Times New Roman"/>
              </w:rPr>
              <w:t>Executive Director</w:t>
            </w:r>
          </w:p>
        </w:tc>
      </w:tr>
    </w:tbl>
    <w:p w:rsidR="00F94CA9" w:rsidP="00F94CA9" w:rsidRDefault="00F94CA9" w14:paraId="7F3BB607" w14:textId="77777777">
      <w:pPr>
        <w:pStyle w:val="titlebar"/>
        <w:keepNext w:val="0"/>
        <w:jc w:val="left"/>
        <w:rPr>
          <w:rFonts w:ascii="Book Antiqua" w:hAnsi="Book Antiqua"/>
        </w:rPr>
      </w:pPr>
    </w:p>
    <w:p w:rsidR="00F94CA9" w:rsidP="00F94CA9" w:rsidRDefault="00F94CA9" w14:paraId="30C31E89" w14:textId="77777777">
      <w:pPr>
        <w:pStyle w:val="titlebar"/>
        <w:keepNext w:val="0"/>
        <w:jc w:val="left"/>
        <w:rPr>
          <w:rFonts w:ascii="Book Antiqua" w:hAnsi="Book Antiqua"/>
        </w:rPr>
      </w:pPr>
    </w:p>
    <w:p w:rsidRPr="00C773F2" w:rsidR="00F94CA9" w:rsidP="00F94CA9" w:rsidRDefault="00F94CA9" w14:paraId="48772823" w14:textId="77777777">
      <w:pPr>
        <w:autoSpaceDE w:val="0"/>
        <w:autoSpaceDN w:val="0"/>
        <w:adjustRightInd w:val="0"/>
        <w:ind w:left="4320"/>
        <w:jc w:val="both"/>
        <w:rPr>
          <w:rFonts w:cs="Palatino"/>
          <w:szCs w:val="26"/>
        </w:rPr>
      </w:pPr>
      <w:r w:rsidRPr="00C773F2">
        <w:rPr>
          <w:rFonts w:cs="Courier New"/>
          <w:szCs w:val="26"/>
        </w:rPr>
        <w:t>MARYBEL BATJER</w:t>
      </w:r>
    </w:p>
    <w:p w:rsidRPr="00C773F2" w:rsidR="00F94CA9" w:rsidP="00F94CA9" w:rsidRDefault="00F94CA9" w14:paraId="1E4BB3AA" w14:textId="77777777">
      <w:pPr>
        <w:autoSpaceDE w:val="0"/>
        <w:autoSpaceDN w:val="0"/>
        <w:adjustRightInd w:val="0"/>
        <w:ind w:firstLine="720"/>
        <w:jc w:val="both"/>
        <w:rPr>
          <w:rFonts w:cs="Palatino"/>
          <w:szCs w:val="26"/>
        </w:rPr>
      </w:pPr>
      <w:r w:rsidRPr="00C773F2">
        <w:rPr>
          <w:rFonts w:cs="Palatino"/>
          <w:szCs w:val="26"/>
        </w:rPr>
        <w:tab/>
      </w:r>
      <w:r w:rsidRPr="00C773F2">
        <w:rPr>
          <w:rFonts w:cs="Palatino"/>
          <w:szCs w:val="26"/>
        </w:rPr>
        <w:tab/>
      </w:r>
      <w:r w:rsidRPr="00C773F2">
        <w:rPr>
          <w:rFonts w:cs="Palatino"/>
          <w:szCs w:val="26"/>
        </w:rPr>
        <w:tab/>
      </w:r>
      <w:r w:rsidRPr="00C773F2">
        <w:rPr>
          <w:rFonts w:cs="Palatino"/>
          <w:szCs w:val="26"/>
        </w:rPr>
        <w:tab/>
      </w:r>
      <w:r w:rsidRPr="00C773F2">
        <w:rPr>
          <w:rFonts w:cs="Palatino"/>
          <w:szCs w:val="26"/>
        </w:rPr>
        <w:tab/>
        <w:t xml:space="preserve">                       President</w:t>
      </w:r>
    </w:p>
    <w:p w:rsidRPr="00C773F2" w:rsidR="00F94CA9" w:rsidP="00F94CA9" w:rsidRDefault="00F94CA9" w14:paraId="59383847" w14:textId="77777777">
      <w:pPr>
        <w:autoSpaceDE w:val="0"/>
        <w:autoSpaceDN w:val="0"/>
        <w:adjustRightInd w:val="0"/>
        <w:ind w:left="4320"/>
        <w:jc w:val="both"/>
        <w:rPr>
          <w:rFonts w:cs="Courier New"/>
          <w:szCs w:val="26"/>
        </w:rPr>
      </w:pPr>
      <w:r w:rsidRPr="00C773F2">
        <w:rPr>
          <w:rFonts w:cs="Courier New"/>
          <w:szCs w:val="26"/>
        </w:rPr>
        <w:t>LIANE M. RANDOLPH</w:t>
      </w:r>
    </w:p>
    <w:p w:rsidRPr="00C773F2" w:rsidR="00F94CA9" w:rsidP="00F94CA9" w:rsidRDefault="00F94CA9" w14:paraId="5CD3EC7C" w14:textId="77777777">
      <w:pPr>
        <w:autoSpaceDE w:val="0"/>
        <w:autoSpaceDN w:val="0"/>
        <w:adjustRightInd w:val="0"/>
        <w:ind w:left="4320"/>
        <w:jc w:val="both"/>
        <w:rPr>
          <w:sz w:val="28"/>
          <w:szCs w:val="28"/>
        </w:rPr>
      </w:pPr>
      <w:r w:rsidRPr="00C773F2">
        <w:rPr>
          <w:sz w:val="28"/>
          <w:szCs w:val="28"/>
        </w:rPr>
        <w:t>MARTHA GUZMAN ACEVES</w:t>
      </w:r>
    </w:p>
    <w:p w:rsidRPr="00C773F2" w:rsidR="00F94CA9" w:rsidP="00F94CA9" w:rsidRDefault="00F94CA9" w14:paraId="49243214" w14:textId="77777777">
      <w:pPr>
        <w:autoSpaceDE w:val="0"/>
        <w:autoSpaceDN w:val="0"/>
        <w:adjustRightInd w:val="0"/>
        <w:ind w:left="4320"/>
        <w:jc w:val="both"/>
        <w:rPr>
          <w:sz w:val="28"/>
          <w:szCs w:val="28"/>
        </w:rPr>
      </w:pPr>
      <w:r w:rsidRPr="00C773F2">
        <w:rPr>
          <w:sz w:val="28"/>
          <w:szCs w:val="28"/>
        </w:rPr>
        <w:t>CLIFFORD RECHTSCHAFFEN</w:t>
      </w:r>
    </w:p>
    <w:p w:rsidRPr="00C773F2" w:rsidR="00F94CA9" w:rsidP="00F94CA9" w:rsidRDefault="00F94CA9" w14:paraId="0CA20BBA" w14:textId="77777777">
      <w:pPr>
        <w:autoSpaceDE w:val="0"/>
        <w:autoSpaceDN w:val="0"/>
        <w:adjustRightInd w:val="0"/>
        <w:ind w:left="4320"/>
        <w:jc w:val="both"/>
        <w:rPr>
          <w:sz w:val="28"/>
          <w:szCs w:val="28"/>
        </w:rPr>
      </w:pPr>
      <w:r w:rsidRPr="00C773F2">
        <w:rPr>
          <w:sz w:val="28"/>
          <w:szCs w:val="28"/>
        </w:rPr>
        <w:t>GENEVIEVE SHIROMA</w:t>
      </w:r>
    </w:p>
    <w:p w:rsidRPr="00C773F2" w:rsidR="00F94CA9" w:rsidP="00F94CA9" w:rsidRDefault="00F94CA9" w14:paraId="3FA8859C" w14:textId="77777777">
      <w:pPr>
        <w:autoSpaceDE w:val="0"/>
        <w:autoSpaceDN w:val="0"/>
        <w:adjustRightInd w:val="0"/>
        <w:ind w:left="4320" w:firstLine="720"/>
        <w:jc w:val="both"/>
        <w:rPr>
          <w:rFonts w:cs="Palatino"/>
          <w:szCs w:val="26"/>
        </w:rPr>
      </w:pPr>
      <w:r w:rsidRPr="00C773F2">
        <w:rPr>
          <w:rFonts w:cs="Palatino"/>
          <w:szCs w:val="26"/>
        </w:rPr>
        <w:t xml:space="preserve">                 Commissioners</w:t>
      </w:r>
    </w:p>
    <w:p w:rsidRPr="001E068E" w:rsidR="00F94CA9" w:rsidP="00203388" w:rsidRDefault="00F94CA9" w14:paraId="7672190C" w14:textId="77777777">
      <w:pPr>
        <w:rPr>
          <w:rFonts w:cs="Times New Roman"/>
          <w:szCs w:val="26"/>
          <w:lang w:val="en"/>
        </w:rPr>
      </w:pPr>
    </w:p>
    <w:sectPr w:rsidRPr="001E068E" w:rsidR="00F94CA9" w:rsidSect="00957EE0">
      <w:headerReference w:type="first" r:id="rId16"/>
      <w:footerReference w:type="first" r:id="rId17"/>
      <w:pgSz w:w="12240" w:h="15840"/>
      <w:pgMar w:top="1728" w:right="1440" w:bottom="1440" w:left="1440" w:header="720" w:footer="720" w:gutter="0"/>
      <w:pgNumType w:fmt="numberInDash"/>
      <w:cols w:space="720"/>
      <w:titlePg/>
      <w:docGrid w:linePitch="360"/>
    </w:sectPr>
    <w:p>
      <w:r>
        <w:t xml:space="preserve"/>
      </w:r>
    </w:p>
    <w:p>
      <w:r>
        <w:t xml:space="preserve">Attachment 1: </w:t>
      </w:r>
    </w:p>
    <w:p>
      <w:hyperlink w:history="true" r:id="R8b6b667f9670420e">
        <w:r w:rsidRPr="00CB1292">
          <w:rPr>
            <w:rStyle w:val="Hyperlink"/>
            <w:color w:val="2E74B5" w:themeColor="accent1" w:themeShade="BF"/>
            <w:u w:val="single"/>
          </w:rPr>
          <w:t>Res WSD-012 Compliance Staff Proposal.pdf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C20C" w14:textId="77777777" w:rsidR="00794E7C" w:rsidRDefault="00794E7C" w:rsidP="0098138E">
      <w:r>
        <w:separator/>
      </w:r>
    </w:p>
  </w:endnote>
  <w:endnote w:type="continuationSeparator" w:id="0">
    <w:p w14:paraId="1AB7D709" w14:textId="77777777" w:rsidR="00794E7C" w:rsidRDefault="00794E7C" w:rsidP="0098138E">
      <w:r>
        <w:continuationSeparator/>
      </w:r>
    </w:p>
  </w:endnote>
  <w:endnote w:type="continuationNotice" w:id="1">
    <w:p w14:paraId="22B13577" w14:textId="77777777" w:rsidR="00794E7C" w:rsidRDefault="00794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E0A51" w14:textId="77777777" w:rsidR="002A498A" w:rsidRDefault="002A4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457122"/>
      <w:docPartObj>
        <w:docPartGallery w:val="Page Numbers (Bottom of Page)"/>
        <w:docPartUnique/>
      </w:docPartObj>
    </w:sdtPr>
    <w:sdtEndPr>
      <w:rPr>
        <w:noProof/>
      </w:rPr>
    </w:sdtEndPr>
    <w:sdtContent>
      <w:p w14:paraId="25465472" w14:textId="3D17B690" w:rsidR="00957EE0" w:rsidRDefault="00957E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EBEBE0" w14:textId="77777777" w:rsidR="00957EE0" w:rsidRDefault="00957E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44414"/>
      <w:docPartObj>
        <w:docPartGallery w:val="Page Numbers (Bottom of Page)"/>
        <w:docPartUnique/>
      </w:docPartObj>
    </w:sdtPr>
    <w:sdtEndPr>
      <w:rPr>
        <w:noProof/>
      </w:rPr>
    </w:sdtEndPr>
    <w:sdtContent>
      <w:p w14:paraId="67976E90" w14:textId="1D41BA34" w:rsidR="00957EE0" w:rsidRDefault="002A498A" w:rsidP="002A498A">
        <w:pPr>
          <w:pStyle w:val="Footer"/>
        </w:pPr>
        <w:r w:rsidRPr="002A498A">
          <w:rPr>
            <w:sz w:val="16"/>
            <w:szCs w:val="16"/>
          </w:rPr>
          <w:t>351834801</w:t>
        </w:r>
        <w:r>
          <w:tab/>
        </w:r>
        <w:r w:rsidR="00957EE0">
          <w:fldChar w:fldCharType="begin"/>
        </w:r>
        <w:r w:rsidR="00957EE0">
          <w:instrText xml:space="preserve"> PAGE   \* MERGEFORMAT </w:instrText>
        </w:r>
        <w:r w:rsidR="00957EE0">
          <w:fldChar w:fldCharType="separate"/>
        </w:r>
        <w:r w:rsidR="00957EE0">
          <w:rPr>
            <w:noProof/>
          </w:rPr>
          <w:t>2</w:t>
        </w:r>
        <w:r w:rsidR="00957EE0">
          <w:rPr>
            <w:noProof/>
          </w:rPr>
          <w:fldChar w:fldCharType="end"/>
        </w:r>
      </w:p>
    </w:sdtContent>
  </w:sdt>
  <w:p w14:paraId="207B0001" w14:textId="77777777" w:rsidR="00957EE0" w:rsidRDefault="00957E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D209" w14:textId="77777777" w:rsidR="00637BB5" w:rsidRDefault="00CB5AF7" w:rsidP="00957EE0">
    <w:pPr>
      <w:pStyle w:val="Footer"/>
      <w:jc w:val="center"/>
    </w:pPr>
    <w:r>
      <w:fldChar w:fldCharType="begin"/>
    </w:r>
    <w:r>
      <w:instrText xml:space="preserve"> PAGE   \* MERGEFORMAT </w:instrText>
    </w:r>
    <w:r>
      <w:fldChar w:fldCharType="separate"/>
    </w:r>
    <w:r>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233E" w14:textId="77777777" w:rsidR="00794E7C" w:rsidRDefault="00794E7C" w:rsidP="00DF58E7">
      <w:r>
        <w:separator/>
      </w:r>
    </w:p>
  </w:footnote>
  <w:footnote w:type="continuationSeparator" w:id="0">
    <w:p w14:paraId="4D79FF96" w14:textId="77777777" w:rsidR="00794E7C" w:rsidRDefault="00794E7C" w:rsidP="00DF58E7">
      <w:r>
        <w:continuationSeparator/>
      </w:r>
    </w:p>
  </w:footnote>
  <w:footnote w:type="continuationNotice" w:id="1">
    <w:p w14:paraId="5FA684B1" w14:textId="77777777" w:rsidR="00794E7C" w:rsidRPr="00DF58E7" w:rsidRDefault="00794E7C" w:rsidP="00DF58E7">
      <w:pPr>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7D93FEDE" w14:textId="773DB517" w:rsidR="0011395B" w:rsidRDefault="0011395B">
      <w:pPr>
        <w:pStyle w:val="FootnoteText"/>
      </w:pPr>
      <w:r w:rsidRPr="00D62E51">
        <w:rPr>
          <w:rStyle w:val="FootnoteReference"/>
          <w:szCs w:val="22"/>
        </w:rPr>
        <w:footnoteRef/>
      </w:r>
      <w:r>
        <w:t xml:space="preserve"> </w:t>
      </w:r>
      <w:r w:rsidR="00D62E51">
        <w:t xml:space="preserve"> </w:t>
      </w:r>
      <w:r w:rsidR="00AC582A">
        <w:t>All statutory reference</w:t>
      </w:r>
      <w:r w:rsidR="00A149E0">
        <w:t>s</w:t>
      </w:r>
      <w:r w:rsidR="00AC582A">
        <w:t xml:space="preserve"> are to the Public Utilities Code.  </w:t>
      </w:r>
      <w:r>
        <w:t>S</w:t>
      </w:r>
      <w:r w:rsidRPr="001E068E">
        <w:rPr>
          <w:szCs w:val="26"/>
        </w:rPr>
        <w:t>ubsection (d)(</w:t>
      </w:r>
      <w:r w:rsidR="00AD06AE">
        <w:rPr>
          <w:szCs w:val="26"/>
        </w:rPr>
        <w:t>1</w:t>
      </w:r>
      <w:r w:rsidRPr="001E068E">
        <w:rPr>
          <w:szCs w:val="26"/>
        </w:rPr>
        <w:t>)</w:t>
      </w:r>
      <w:r w:rsidR="00AD06AE">
        <w:rPr>
          <w:szCs w:val="26"/>
        </w:rPr>
        <w:t>, (2) and (4)</w:t>
      </w:r>
      <w:r w:rsidRPr="001E068E">
        <w:rPr>
          <w:szCs w:val="26"/>
        </w:rPr>
        <w:t xml:space="preserve"> relate to </w:t>
      </w:r>
      <w:r w:rsidR="00AD06AE">
        <w:rPr>
          <w:szCs w:val="26"/>
        </w:rPr>
        <w:t>WMP review/approval</w:t>
      </w:r>
      <w:r w:rsidRPr="001E068E">
        <w:rPr>
          <w:szCs w:val="26"/>
        </w:rPr>
        <w:t xml:space="preserve"> </w:t>
      </w:r>
      <w:r w:rsidR="00D70D2A">
        <w:rPr>
          <w:szCs w:val="26"/>
        </w:rPr>
        <w:t xml:space="preserve">and </w:t>
      </w:r>
      <w:r w:rsidR="00AD06AE">
        <w:rPr>
          <w:szCs w:val="26"/>
        </w:rPr>
        <w:t>are</w:t>
      </w:r>
      <w:r w:rsidRPr="001E068E">
        <w:rPr>
          <w:szCs w:val="26"/>
        </w:rPr>
        <w:t xml:space="preserve"> addressed in a separate Resolution</w:t>
      </w:r>
      <w:r>
        <w:rPr>
          <w:szCs w:val="26"/>
        </w:rPr>
        <w:t>.</w:t>
      </w:r>
    </w:p>
  </w:footnote>
  <w:footnote w:id="3">
    <w:p w14:paraId="0CC937AF" w14:textId="735E17DD" w:rsidR="00DB2F91" w:rsidRPr="00AC609F" w:rsidRDefault="003431AF" w:rsidP="00DB2F91">
      <w:pPr>
        <w:pStyle w:val="Res-Caption"/>
        <w:ind w:left="0"/>
        <w:rPr>
          <w:rFonts w:ascii="Book Antiqua" w:eastAsiaTheme="minorHAnsi" w:hAnsi="Book Antiqua" w:cstheme="minorBidi"/>
          <w:sz w:val="22"/>
        </w:rPr>
      </w:pPr>
      <w:r w:rsidRPr="001E340C">
        <w:rPr>
          <w:rStyle w:val="FootnoteReference"/>
          <w:rFonts w:ascii="Book Antiqua" w:eastAsiaTheme="minorHAnsi" w:hAnsi="Book Antiqua" w:cstheme="minorBidi"/>
          <w:sz w:val="24"/>
          <w:szCs w:val="24"/>
        </w:rPr>
        <w:footnoteRef/>
      </w:r>
      <w:r w:rsidRPr="001E340C">
        <w:rPr>
          <w:rStyle w:val="FootnoteReference"/>
          <w:rFonts w:ascii="Book Antiqua" w:eastAsiaTheme="minorHAnsi" w:hAnsi="Book Antiqua" w:cstheme="minorBidi"/>
          <w:sz w:val="24"/>
          <w:szCs w:val="24"/>
        </w:rPr>
        <w:t xml:space="preserve"> </w:t>
      </w:r>
      <w:r w:rsidRPr="00AC609F">
        <w:rPr>
          <w:rFonts w:ascii="Book Antiqua" w:eastAsiaTheme="minorHAnsi" w:hAnsi="Book Antiqua" w:cstheme="minorBidi"/>
          <w:sz w:val="22"/>
        </w:rPr>
        <w:t xml:space="preserve">The elements of the </w:t>
      </w:r>
      <w:r w:rsidR="00DB2F91">
        <w:rPr>
          <w:rFonts w:ascii="Book Antiqua" w:eastAsiaTheme="minorHAnsi" w:hAnsi="Book Antiqua" w:cstheme="minorBidi"/>
          <w:sz w:val="22"/>
        </w:rPr>
        <w:t xml:space="preserve">proposed </w:t>
      </w:r>
      <w:r w:rsidRPr="00AC609F">
        <w:rPr>
          <w:rFonts w:ascii="Book Antiqua" w:eastAsiaTheme="minorHAnsi" w:hAnsi="Book Antiqua" w:cstheme="minorBidi"/>
          <w:sz w:val="22"/>
        </w:rPr>
        <w:t xml:space="preserve">WMP </w:t>
      </w:r>
      <w:r w:rsidR="00DB2F91">
        <w:rPr>
          <w:rFonts w:ascii="Book Antiqua" w:eastAsiaTheme="minorHAnsi" w:hAnsi="Book Antiqua" w:cstheme="minorBidi"/>
          <w:sz w:val="22"/>
        </w:rPr>
        <w:t>compliance</w:t>
      </w:r>
      <w:r w:rsidRPr="00AC609F">
        <w:rPr>
          <w:rFonts w:ascii="Book Antiqua" w:eastAsiaTheme="minorHAnsi" w:hAnsi="Book Antiqua" w:cstheme="minorBidi"/>
          <w:sz w:val="22"/>
        </w:rPr>
        <w:t xml:space="preserve"> process are included as</w:t>
      </w:r>
      <w:r w:rsidR="00DB2F91">
        <w:rPr>
          <w:rFonts w:ascii="Book Antiqua" w:eastAsiaTheme="minorHAnsi" w:hAnsi="Book Antiqua" w:cstheme="minorBidi"/>
          <w:sz w:val="22"/>
        </w:rPr>
        <w:t xml:space="preserve"> an</w:t>
      </w:r>
      <w:r w:rsidRPr="00AC609F">
        <w:rPr>
          <w:rFonts w:ascii="Book Antiqua" w:eastAsiaTheme="minorHAnsi" w:hAnsi="Book Antiqua" w:cstheme="minorBidi"/>
          <w:sz w:val="22"/>
        </w:rPr>
        <w:t xml:space="preserve"> attachment to this Resolution.  </w:t>
      </w:r>
    </w:p>
    <w:p w14:paraId="7CFEEDD5" w14:textId="086C0B44" w:rsidR="003431AF" w:rsidRPr="00DB2F91" w:rsidRDefault="003431AF" w:rsidP="00DB2F91">
      <w:pPr>
        <w:pStyle w:val="Res-Caption"/>
        <w:rPr>
          <w:rFonts w:ascii="Book Antiqua" w:eastAsiaTheme="minorHAnsi" w:hAnsi="Book Antiqua" w:cstheme="minorBidi"/>
          <w:sz w:val="22"/>
        </w:rPr>
      </w:pPr>
    </w:p>
  </w:footnote>
  <w:footnote w:id="4">
    <w:p w14:paraId="4DF22D95" w14:textId="1CF05AEA" w:rsidR="00E46C88" w:rsidRPr="00AC609F" w:rsidRDefault="00E46C88" w:rsidP="00546EFC">
      <w:pPr>
        <w:pStyle w:val="NoSpacing"/>
        <w:spacing w:line="240" w:lineRule="exact"/>
        <w:contextualSpacing w:val="0"/>
        <w:rPr>
          <w:sz w:val="22"/>
          <w:szCs w:val="20"/>
        </w:rPr>
      </w:pPr>
      <w:r w:rsidRPr="001E340C">
        <w:rPr>
          <w:rStyle w:val="FootnoteReference"/>
          <w:sz w:val="24"/>
          <w:szCs w:val="24"/>
        </w:rPr>
        <w:footnoteRef/>
      </w:r>
      <w:r w:rsidRPr="00E6689D">
        <w:rPr>
          <w:sz w:val="24"/>
          <w:szCs w:val="24"/>
        </w:rPr>
        <w:t xml:space="preserve"> </w:t>
      </w:r>
      <w:r w:rsidR="00D62E51">
        <w:rPr>
          <w:sz w:val="24"/>
          <w:szCs w:val="24"/>
        </w:rPr>
        <w:t xml:space="preserve"> </w:t>
      </w:r>
      <w:r w:rsidR="00621BA2" w:rsidRPr="00AC609F">
        <w:rPr>
          <w:sz w:val="22"/>
          <w:szCs w:val="20"/>
        </w:rPr>
        <w:t>The following stakeholders submitted comments</w:t>
      </w:r>
      <w:r w:rsidRPr="00AC609F">
        <w:rPr>
          <w:sz w:val="22"/>
          <w:szCs w:val="20"/>
        </w:rPr>
        <w:t xml:space="preserve">: California Public Advocates Office, Green Power Institute, Mussey Grade Road Alliance, Protect Our Communities Foundation, Pacific Gas &amp; Electric, San Diego Gas &amp; Electric, </w:t>
      </w:r>
      <w:r w:rsidR="00D56F91">
        <w:rPr>
          <w:sz w:val="22"/>
          <w:szCs w:val="20"/>
        </w:rPr>
        <w:t xml:space="preserve">Small Business Utility Advocates, </w:t>
      </w:r>
      <w:r w:rsidRPr="00AC609F">
        <w:rPr>
          <w:sz w:val="22"/>
          <w:szCs w:val="20"/>
        </w:rPr>
        <w:t>Southern California Edison, and The Utility Rate Network (TURN).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6F91" w14:textId="77777777" w:rsidR="002A498A" w:rsidRDefault="002A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BA8D" w14:textId="50D71436" w:rsidR="00957EE0" w:rsidRPr="00656F71" w:rsidRDefault="00957EE0" w:rsidP="00957EE0">
    <w:pPr>
      <w:rPr>
        <w:rFonts w:cs="Times New Roman"/>
        <w:szCs w:val="26"/>
      </w:rPr>
    </w:pPr>
    <w:r>
      <w:rPr>
        <w:rFonts w:cs="Times New Roman"/>
        <w:szCs w:val="26"/>
      </w:rPr>
      <w:t>Resolution WSD-</w:t>
    </w:r>
    <w:proofErr w:type="gramStart"/>
    <w:r>
      <w:rPr>
        <w:rFonts w:cs="Times New Roman"/>
        <w:szCs w:val="26"/>
      </w:rPr>
      <w:t>012</w:t>
    </w:r>
    <w:r w:rsidRPr="00656F71">
      <w:rPr>
        <w:rFonts w:cs="Times New Roman"/>
        <w:szCs w:val="26"/>
      </w:rPr>
      <w:t xml:space="preserve">  WSD</w:t>
    </w:r>
    <w:proofErr w:type="gramEnd"/>
    <w:r w:rsidRPr="00656F71">
      <w:rPr>
        <w:rFonts w:cs="Times New Roman"/>
        <w:szCs w:val="26"/>
      </w:rPr>
      <w:t>/CTJ/</w:t>
    </w:r>
    <w:proofErr w:type="spellStart"/>
    <w:r w:rsidRPr="00656F71">
      <w:rPr>
        <w:rFonts w:cs="Times New Roman"/>
        <w:szCs w:val="26"/>
      </w:rPr>
      <w:t>sgu</w:t>
    </w:r>
    <w:proofErr w:type="spellEnd"/>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p>
  <w:p w14:paraId="694D068D" w14:textId="77777777" w:rsidR="00957EE0" w:rsidRDefault="00957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24C" w14:textId="62CAF770" w:rsidR="00A86CF1" w:rsidRPr="00203388" w:rsidRDefault="00A86CF1" w:rsidP="00C321ED">
    <w:pPr>
      <w:pStyle w:val="Header"/>
      <w:rPr>
        <w:sz w:val="24"/>
        <w:szCs w:val="24"/>
      </w:rPr>
    </w:pPr>
    <w:r w:rsidRPr="00203388">
      <w:rPr>
        <w:sz w:val="24"/>
        <w:szCs w:val="24"/>
      </w:rPr>
      <w:t>WSD/CTJ/</w:t>
    </w:r>
    <w:proofErr w:type="spellStart"/>
    <w:r w:rsidRPr="00203388">
      <w:rPr>
        <w:sz w:val="24"/>
        <w:szCs w:val="24"/>
      </w:rPr>
      <w:t>sgu</w:t>
    </w:r>
    <w:proofErr w:type="spellEnd"/>
    <w:r w:rsidRPr="00203388">
      <w:rPr>
        <w:sz w:val="24"/>
        <w:szCs w:val="24"/>
      </w:rPr>
      <w:tab/>
    </w:r>
    <w:r w:rsidR="00203388" w:rsidRPr="00203388">
      <w:rPr>
        <w:sz w:val="24"/>
        <w:szCs w:val="24"/>
      </w:rPr>
      <w:tab/>
      <w:t xml:space="preserve">Date of Issuance: </w:t>
    </w:r>
    <w:r w:rsidR="00203388" w:rsidRPr="00203388">
      <w:rPr>
        <w:b/>
        <w:bCs/>
        <w:sz w:val="24"/>
        <w:szCs w:val="24"/>
      </w:rPr>
      <w:t>11/2</w:t>
    </w:r>
    <w:r w:rsidR="00C440E3">
      <w:rPr>
        <w:b/>
        <w:bCs/>
        <w:sz w:val="24"/>
        <w:szCs w:val="24"/>
      </w:rPr>
      <w:t>3</w:t>
    </w:r>
    <w:r w:rsidR="00203388" w:rsidRPr="00203388">
      <w:rPr>
        <w:b/>
        <w:bCs/>
        <w:sz w:val="24"/>
        <w:szCs w:val="24"/>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81A82" w14:textId="77777777" w:rsidR="00957EE0" w:rsidRPr="00656F71" w:rsidRDefault="00957EE0" w:rsidP="00957EE0">
    <w:pPr>
      <w:rPr>
        <w:rFonts w:cs="Times New Roman"/>
        <w:szCs w:val="26"/>
      </w:rPr>
    </w:pPr>
    <w:r>
      <w:rPr>
        <w:rFonts w:cs="Times New Roman"/>
        <w:szCs w:val="26"/>
      </w:rPr>
      <w:t>Resolution WSD-</w:t>
    </w:r>
    <w:proofErr w:type="gramStart"/>
    <w:r>
      <w:rPr>
        <w:rFonts w:cs="Times New Roman"/>
        <w:szCs w:val="26"/>
      </w:rPr>
      <w:t>012</w:t>
    </w:r>
    <w:r w:rsidRPr="00656F71">
      <w:rPr>
        <w:rFonts w:cs="Times New Roman"/>
        <w:szCs w:val="26"/>
      </w:rPr>
      <w:t xml:space="preserve">  WSD</w:t>
    </w:r>
    <w:proofErr w:type="gramEnd"/>
    <w:r w:rsidRPr="00656F71">
      <w:rPr>
        <w:rFonts w:cs="Times New Roman"/>
        <w:szCs w:val="26"/>
      </w:rPr>
      <w:t>/CTJ/</w:t>
    </w:r>
    <w:proofErr w:type="spellStart"/>
    <w:r w:rsidRPr="00656F71">
      <w:rPr>
        <w:rFonts w:cs="Times New Roman"/>
        <w:szCs w:val="26"/>
      </w:rPr>
      <w:t>sgu</w:t>
    </w:r>
    <w:proofErr w:type="spellEnd"/>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r w:rsidRPr="00656F71">
      <w:rPr>
        <w:rFonts w:cs="Times New Roman"/>
        <w:szCs w:val="26"/>
      </w:rPr>
      <w:tab/>
    </w:r>
  </w:p>
  <w:p w14:paraId="3EAEB30E" w14:textId="77777777" w:rsidR="00637BB5" w:rsidRDefault="002A4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72C19"/>
    <w:multiLevelType w:val="hybridMultilevel"/>
    <w:tmpl w:val="D238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A6A"/>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26D7D"/>
    <w:multiLevelType w:val="hybridMultilevel"/>
    <w:tmpl w:val="2B5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C00AC"/>
    <w:multiLevelType w:val="multilevel"/>
    <w:tmpl w:val="BC20C678"/>
    <w:numStyleLink w:val="Headings"/>
  </w:abstractNum>
  <w:abstractNum w:abstractNumId="5" w15:restartNumberingAfterBreak="0">
    <w:nsid w:val="0B24267F"/>
    <w:multiLevelType w:val="hybridMultilevel"/>
    <w:tmpl w:val="442E1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D471385"/>
    <w:multiLevelType w:val="hybridMultilevel"/>
    <w:tmpl w:val="070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51099"/>
    <w:multiLevelType w:val="hybridMultilevel"/>
    <w:tmpl w:val="C4A6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A495B"/>
    <w:multiLevelType w:val="hybridMultilevel"/>
    <w:tmpl w:val="3BB887FE"/>
    <w:lvl w:ilvl="0" w:tplc="A04E54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1" w15:restartNumberingAfterBreak="0">
    <w:nsid w:val="15F056CB"/>
    <w:multiLevelType w:val="multilevel"/>
    <w:tmpl w:val="18F4A5AC"/>
    <w:numStyleLink w:val="FoFCoLOP"/>
  </w:abstractNum>
  <w:abstractNum w:abstractNumId="12" w15:restartNumberingAfterBreak="0">
    <w:nsid w:val="1A9D31C1"/>
    <w:multiLevelType w:val="hybridMultilevel"/>
    <w:tmpl w:val="9028EA4C"/>
    <w:lvl w:ilvl="0" w:tplc="5622AA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2242C9"/>
    <w:multiLevelType w:val="multilevel"/>
    <w:tmpl w:val="BC20C678"/>
    <w:numStyleLink w:val="Headings"/>
  </w:abstractNum>
  <w:abstractNum w:abstractNumId="14" w15:restartNumberingAfterBreak="0">
    <w:nsid w:val="1E75356C"/>
    <w:multiLevelType w:val="multilevel"/>
    <w:tmpl w:val="550ADB26"/>
    <w:lvl w:ilvl="0">
      <w:start w:val="5"/>
      <w:numFmt w:val="decimal"/>
      <w:lvlText w:val="%1"/>
      <w:lvlJc w:val="left"/>
      <w:pPr>
        <w:ind w:left="972" w:hanging="853"/>
      </w:pPr>
      <w:rPr>
        <w:rFonts w:hint="default"/>
      </w:rPr>
    </w:lvl>
    <w:lvl w:ilvl="1">
      <w:start w:val="3"/>
      <w:numFmt w:val="decimal"/>
      <w:lvlText w:val="%1.%2"/>
      <w:lvlJc w:val="left"/>
      <w:pPr>
        <w:ind w:left="972" w:hanging="853"/>
      </w:pPr>
      <w:rPr>
        <w:rFonts w:hint="default"/>
      </w:rPr>
    </w:lvl>
    <w:lvl w:ilvl="2">
      <w:start w:val="1"/>
      <w:numFmt w:val="decimal"/>
      <w:lvlText w:val="%1.%2.%3"/>
      <w:lvlJc w:val="left"/>
      <w:pPr>
        <w:ind w:left="972" w:hanging="853"/>
      </w:pPr>
      <w:rPr>
        <w:rFonts w:ascii="Calibri" w:eastAsia="Calibri" w:hAnsi="Calibri" w:cs="Calibri" w:hint="default"/>
        <w:b/>
        <w:bCs/>
        <w:color w:val="231F20"/>
        <w:spacing w:val="-2"/>
        <w:w w:val="100"/>
        <w:sz w:val="22"/>
        <w:szCs w:val="22"/>
      </w:rPr>
    </w:lvl>
    <w:lvl w:ilvl="3">
      <w:start w:val="1"/>
      <w:numFmt w:val="decimal"/>
      <w:lvlText w:val="%4."/>
      <w:lvlJc w:val="left"/>
      <w:pPr>
        <w:ind w:left="839" w:hanging="359"/>
      </w:pPr>
      <w:rPr>
        <w:rFonts w:ascii="Calibri" w:eastAsia="Calibri" w:hAnsi="Calibri" w:cs="Calibri" w:hint="default"/>
        <w:color w:val="231F20"/>
        <w:spacing w:val="-1"/>
        <w:w w:val="100"/>
        <w:sz w:val="22"/>
        <w:szCs w:val="22"/>
      </w:rPr>
    </w:lvl>
    <w:lvl w:ilvl="4">
      <w:start w:val="1"/>
      <w:numFmt w:val="lowerLetter"/>
      <w:lvlText w:val="%5."/>
      <w:lvlJc w:val="left"/>
      <w:pPr>
        <w:ind w:left="1560" w:hanging="361"/>
      </w:pPr>
      <w:rPr>
        <w:rFonts w:ascii="Calibri" w:eastAsia="Calibri" w:hAnsi="Calibri" w:cs="Calibri" w:hint="default"/>
        <w:color w:val="231F20"/>
        <w:w w:val="100"/>
        <w:sz w:val="22"/>
        <w:szCs w:val="22"/>
      </w:rPr>
    </w:lvl>
    <w:lvl w:ilvl="5">
      <w:numFmt w:val="bullet"/>
      <w:lvlText w:val="•"/>
      <w:lvlJc w:val="left"/>
      <w:pPr>
        <w:ind w:left="1560" w:hanging="361"/>
      </w:pPr>
      <w:rPr>
        <w:rFonts w:hint="default"/>
      </w:rPr>
    </w:lvl>
    <w:lvl w:ilvl="6">
      <w:numFmt w:val="bullet"/>
      <w:lvlText w:val="•"/>
      <w:lvlJc w:val="left"/>
      <w:pPr>
        <w:ind w:left="4048" w:hanging="361"/>
      </w:pPr>
      <w:rPr>
        <w:rFonts w:hint="default"/>
      </w:rPr>
    </w:lvl>
    <w:lvl w:ilvl="7">
      <w:numFmt w:val="bullet"/>
      <w:lvlText w:val="•"/>
      <w:lvlJc w:val="left"/>
      <w:pPr>
        <w:ind w:left="6536" w:hanging="361"/>
      </w:pPr>
      <w:rPr>
        <w:rFonts w:hint="default"/>
      </w:rPr>
    </w:lvl>
    <w:lvl w:ilvl="8">
      <w:numFmt w:val="bullet"/>
      <w:lvlText w:val="•"/>
      <w:lvlJc w:val="left"/>
      <w:pPr>
        <w:ind w:left="9024" w:hanging="361"/>
      </w:pPr>
      <w:rPr>
        <w:rFonts w:hint="default"/>
      </w:rPr>
    </w:lvl>
  </w:abstractNum>
  <w:abstractNum w:abstractNumId="15"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23D02A62"/>
    <w:multiLevelType w:val="hybridMultilevel"/>
    <w:tmpl w:val="2506B05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4ED54A2"/>
    <w:multiLevelType w:val="hybridMultilevel"/>
    <w:tmpl w:val="43BA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500E33"/>
    <w:multiLevelType w:val="hybridMultilevel"/>
    <w:tmpl w:val="913C23FA"/>
    <w:lvl w:ilvl="0" w:tplc="C1F4584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D0753A"/>
    <w:multiLevelType w:val="hybridMultilevel"/>
    <w:tmpl w:val="F96A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C56CF"/>
    <w:multiLevelType w:val="hybridMultilevel"/>
    <w:tmpl w:val="2506B0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0A53E5"/>
    <w:multiLevelType w:val="hybridMultilevel"/>
    <w:tmpl w:val="343ADE8C"/>
    <w:lvl w:ilvl="0" w:tplc="A1B40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5" w15:restartNumberingAfterBreak="0">
    <w:nsid w:val="34920EB3"/>
    <w:multiLevelType w:val="hybridMultilevel"/>
    <w:tmpl w:val="8EBA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6C2029"/>
    <w:multiLevelType w:val="hybridMultilevel"/>
    <w:tmpl w:val="D514E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B22A4A"/>
    <w:multiLevelType w:val="hybridMultilevel"/>
    <w:tmpl w:val="62887B18"/>
    <w:lvl w:ilvl="0" w:tplc="DAB4AB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910E7B"/>
    <w:multiLevelType w:val="hybridMultilevel"/>
    <w:tmpl w:val="487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6238D0"/>
    <w:multiLevelType w:val="hybridMultilevel"/>
    <w:tmpl w:val="70804FF4"/>
    <w:lvl w:ilvl="0" w:tplc="F67E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A03788"/>
    <w:multiLevelType w:val="hybridMultilevel"/>
    <w:tmpl w:val="4E8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863B1"/>
    <w:multiLevelType w:val="hybridMultilevel"/>
    <w:tmpl w:val="9B18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608B3"/>
    <w:multiLevelType w:val="multilevel"/>
    <w:tmpl w:val="BC20C678"/>
    <w:numStyleLink w:val="Headings"/>
  </w:abstractNum>
  <w:abstractNum w:abstractNumId="34" w15:restartNumberingAfterBreak="0">
    <w:nsid w:val="44CF7C78"/>
    <w:multiLevelType w:val="hybridMultilevel"/>
    <w:tmpl w:val="377C00E8"/>
    <w:lvl w:ilvl="0" w:tplc="3D5A2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3B3BD2"/>
    <w:multiLevelType w:val="hybridMultilevel"/>
    <w:tmpl w:val="4BA6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DB4314"/>
    <w:multiLevelType w:val="hybridMultilevel"/>
    <w:tmpl w:val="5D8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5434A"/>
    <w:multiLevelType w:val="hybridMultilevel"/>
    <w:tmpl w:val="53A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864CDA"/>
    <w:multiLevelType w:val="hybridMultilevel"/>
    <w:tmpl w:val="FD265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0" w15:restartNumberingAfterBreak="0">
    <w:nsid w:val="588F23B9"/>
    <w:multiLevelType w:val="hybridMultilevel"/>
    <w:tmpl w:val="FA5E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D042D7"/>
    <w:multiLevelType w:val="multilevel"/>
    <w:tmpl w:val="18F4A5AC"/>
    <w:numStyleLink w:val="FoFCoLOP"/>
  </w:abstractNum>
  <w:abstractNum w:abstractNumId="42"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936164"/>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52374"/>
    <w:multiLevelType w:val="hybridMultilevel"/>
    <w:tmpl w:val="1B24BD5A"/>
    <w:lvl w:ilvl="0" w:tplc="96B2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C4059FE"/>
    <w:multiLevelType w:val="hybridMultilevel"/>
    <w:tmpl w:val="AC047F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0124C17"/>
    <w:multiLevelType w:val="hybridMultilevel"/>
    <w:tmpl w:val="6652B23C"/>
    <w:lvl w:ilvl="0" w:tplc="A838D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0E5A10"/>
    <w:multiLevelType w:val="hybridMultilevel"/>
    <w:tmpl w:val="2150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991D1A"/>
    <w:multiLevelType w:val="hybridMultilevel"/>
    <w:tmpl w:val="450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B84711"/>
    <w:multiLevelType w:val="hybridMultilevel"/>
    <w:tmpl w:val="53647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1F16C57"/>
    <w:multiLevelType w:val="hybridMultilevel"/>
    <w:tmpl w:val="E28CCF9A"/>
    <w:lvl w:ilvl="0" w:tplc="990CECB0">
      <w:start w:val="2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2087293"/>
    <w:multiLevelType w:val="hybridMultilevel"/>
    <w:tmpl w:val="D9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9A0AFE"/>
    <w:multiLevelType w:val="multilevel"/>
    <w:tmpl w:val="18F4A5AC"/>
    <w:numStyleLink w:val="FoFCoLOP"/>
  </w:abstractNum>
  <w:abstractNum w:abstractNumId="56" w15:restartNumberingAfterBreak="0">
    <w:nsid w:val="7AE27551"/>
    <w:multiLevelType w:val="hybridMultilevel"/>
    <w:tmpl w:val="2506B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D8086D"/>
    <w:multiLevelType w:val="hybridMultilevel"/>
    <w:tmpl w:val="CF161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1"/>
  </w:num>
  <w:num w:numId="4">
    <w:abstractNumId w:val="11"/>
  </w:num>
  <w:num w:numId="5">
    <w:abstractNumId w:val="55"/>
  </w:num>
  <w:num w:numId="6">
    <w:abstractNumId w:val="24"/>
  </w:num>
  <w:num w:numId="7">
    <w:abstractNumId w:val="13"/>
  </w:num>
  <w:num w:numId="8">
    <w:abstractNumId w:val="52"/>
  </w:num>
  <w:num w:numId="9">
    <w:abstractNumId w:val="0"/>
  </w:num>
  <w:num w:numId="10">
    <w:abstractNumId w:val="4"/>
  </w:num>
  <w:num w:numId="11">
    <w:abstractNumId w:val="12"/>
  </w:num>
  <w:num w:numId="12">
    <w:abstractNumId w:val="33"/>
  </w:num>
  <w:num w:numId="13">
    <w:abstractNumId w:val="46"/>
  </w:num>
  <w:num w:numId="14">
    <w:abstractNumId w:val="25"/>
  </w:num>
  <w:num w:numId="15">
    <w:abstractNumId w:val="54"/>
  </w:num>
  <w:num w:numId="16">
    <w:abstractNumId w:val="21"/>
  </w:num>
  <w:num w:numId="17">
    <w:abstractNumId w:val="15"/>
  </w:num>
  <w:num w:numId="18">
    <w:abstractNumId w:val="31"/>
  </w:num>
  <w:num w:numId="19">
    <w:abstractNumId w:val="20"/>
  </w:num>
  <w:num w:numId="20">
    <w:abstractNumId w:val="32"/>
  </w:num>
  <w:num w:numId="21">
    <w:abstractNumId w:val="47"/>
  </w:num>
  <w:num w:numId="22">
    <w:abstractNumId w:val="45"/>
  </w:num>
  <w:num w:numId="23">
    <w:abstractNumId w:val="44"/>
  </w:num>
  <w:num w:numId="24">
    <w:abstractNumId w:val="48"/>
  </w:num>
  <w:num w:numId="25">
    <w:abstractNumId w:val="51"/>
  </w:num>
  <w:num w:numId="26">
    <w:abstractNumId w:val="2"/>
  </w:num>
  <w:num w:numId="27">
    <w:abstractNumId w:val="19"/>
  </w:num>
  <w:num w:numId="28">
    <w:abstractNumId w:val="43"/>
  </w:num>
  <w:num w:numId="29">
    <w:abstractNumId w:val="39"/>
  </w:num>
  <w:num w:numId="30">
    <w:abstractNumId w:val="23"/>
  </w:num>
  <w:num w:numId="31">
    <w:abstractNumId w:val="6"/>
  </w:num>
  <w:num w:numId="32">
    <w:abstractNumId w:val="29"/>
  </w:num>
  <w:num w:numId="33">
    <w:abstractNumId w:val="57"/>
  </w:num>
  <w:num w:numId="34">
    <w:abstractNumId w:val="14"/>
  </w:num>
  <w:num w:numId="35">
    <w:abstractNumId w:val="18"/>
  </w:num>
  <w:num w:numId="36">
    <w:abstractNumId w:val="50"/>
  </w:num>
  <w:num w:numId="37">
    <w:abstractNumId w:val="36"/>
  </w:num>
  <w:num w:numId="38">
    <w:abstractNumId w:val="40"/>
  </w:num>
  <w:num w:numId="39">
    <w:abstractNumId w:val="49"/>
  </w:num>
  <w:num w:numId="40">
    <w:abstractNumId w:val="27"/>
  </w:num>
  <w:num w:numId="41">
    <w:abstractNumId w:val="38"/>
  </w:num>
  <w:num w:numId="42">
    <w:abstractNumId w:val="7"/>
  </w:num>
  <w:num w:numId="43">
    <w:abstractNumId w:val="5"/>
  </w:num>
  <w:num w:numId="44">
    <w:abstractNumId w:val="34"/>
  </w:num>
  <w:num w:numId="45">
    <w:abstractNumId w:val="22"/>
  </w:num>
  <w:num w:numId="46">
    <w:abstractNumId w:val="56"/>
  </w:num>
  <w:num w:numId="47">
    <w:abstractNumId w:val="16"/>
  </w:num>
  <w:num w:numId="48">
    <w:abstractNumId w:val="28"/>
  </w:num>
  <w:num w:numId="49">
    <w:abstractNumId w:val="37"/>
  </w:num>
  <w:num w:numId="50">
    <w:abstractNumId w:val="35"/>
  </w:num>
  <w:num w:numId="51">
    <w:abstractNumId w:val="9"/>
  </w:num>
  <w:num w:numId="52">
    <w:abstractNumId w:val="3"/>
  </w:num>
  <w:num w:numId="53">
    <w:abstractNumId w:val="30"/>
  </w:num>
  <w:num w:numId="54">
    <w:abstractNumId w:val="17"/>
  </w:num>
  <w:num w:numId="55">
    <w:abstractNumId w:val="26"/>
  </w:num>
  <w:num w:numId="56">
    <w:abstractNumId w:val="53"/>
  </w:num>
  <w:num w:numId="57">
    <w:abstractNumId w:val="1"/>
  </w:num>
  <w:num w:numId="5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F6A"/>
    <w:rsid w:val="00014F28"/>
    <w:rsid w:val="00026C29"/>
    <w:rsid w:val="00035773"/>
    <w:rsid w:val="00036A1A"/>
    <w:rsid w:val="000500DB"/>
    <w:rsid w:val="000535C3"/>
    <w:rsid w:val="0007115A"/>
    <w:rsid w:val="00073100"/>
    <w:rsid w:val="000732DD"/>
    <w:rsid w:val="000743B8"/>
    <w:rsid w:val="000812CB"/>
    <w:rsid w:val="00082C80"/>
    <w:rsid w:val="00082EB3"/>
    <w:rsid w:val="0009065E"/>
    <w:rsid w:val="000973C8"/>
    <w:rsid w:val="000A2AA9"/>
    <w:rsid w:val="000A56F2"/>
    <w:rsid w:val="000A57F4"/>
    <w:rsid w:val="000A6E05"/>
    <w:rsid w:val="000B12FA"/>
    <w:rsid w:val="000C08BF"/>
    <w:rsid w:val="000C212D"/>
    <w:rsid w:val="000C3B9A"/>
    <w:rsid w:val="000C5AFD"/>
    <w:rsid w:val="000C6C9A"/>
    <w:rsid w:val="000D25A8"/>
    <w:rsid w:val="000E1ED4"/>
    <w:rsid w:val="000E4C53"/>
    <w:rsid w:val="000F0C89"/>
    <w:rsid w:val="000F4AD9"/>
    <w:rsid w:val="00107744"/>
    <w:rsid w:val="001108DF"/>
    <w:rsid w:val="0011395B"/>
    <w:rsid w:val="00113A4E"/>
    <w:rsid w:val="00121089"/>
    <w:rsid w:val="00123529"/>
    <w:rsid w:val="00124BEA"/>
    <w:rsid w:val="001253F9"/>
    <w:rsid w:val="0014396A"/>
    <w:rsid w:val="00143FA0"/>
    <w:rsid w:val="00155742"/>
    <w:rsid w:val="001557A2"/>
    <w:rsid w:val="0016535E"/>
    <w:rsid w:val="00166197"/>
    <w:rsid w:val="00176CF6"/>
    <w:rsid w:val="00181854"/>
    <w:rsid w:val="001A242B"/>
    <w:rsid w:val="001A2AB5"/>
    <w:rsid w:val="001A36E2"/>
    <w:rsid w:val="001A471D"/>
    <w:rsid w:val="001A6E1D"/>
    <w:rsid w:val="001B0E86"/>
    <w:rsid w:val="001C363F"/>
    <w:rsid w:val="001E068E"/>
    <w:rsid w:val="001E149B"/>
    <w:rsid w:val="001E2A62"/>
    <w:rsid w:val="001E340C"/>
    <w:rsid w:val="001E6FE9"/>
    <w:rsid w:val="001E77A9"/>
    <w:rsid w:val="001F2819"/>
    <w:rsid w:val="001F3C84"/>
    <w:rsid w:val="001F7A5A"/>
    <w:rsid w:val="002009EA"/>
    <w:rsid w:val="00203388"/>
    <w:rsid w:val="0020347F"/>
    <w:rsid w:val="002043EC"/>
    <w:rsid w:val="0020640C"/>
    <w:rsid w:val="002209E3"/>
    <w:rsid w:val="00230EBC"/>
    <w:rsid w:val="00243DC0"/>
    <w:rsid w:val="00247477"/>
    <w:rsid w:val="00260E74"/>
    <w:rsid w:val="00261120"/>
    <w:rsid w:val="0026179B"/>
    <w:rsid w:val="00270440"/>
    <w:rsid w:val="00277418"/>
    <w:rsid w:val="00282EE7"/>
    <w:rsid w:val="00285A75"/>
    <w:rsid w:val="002878D2"/>
    <w:rsid w:val="002912FB"/>
    <w:rsid w:val="00291899"/>
    <w:rsid w:val="00293DEE"/>
    <w:rsid w:val="002A2C97"/>
    <w:rsid w:val="002A498A"/>
    <w:rsid w:val="002A59CC"/>
    <w:rsid w:val="002B6CEC"/>
    <w:rsid w:val="002C31AA"/>
    <w:rsid w:val="002C39C4"/>
    <w:rsid w:val="002C7FE9"/>
    <w:rsid w:val="002D339C"/>
    <w:rsid w:val="002D3A2C"/>
    <w:rsid w:val="002D4EFD"/>
    <w:rsid w:val="002E1B90"/>
    <w:rsid w:val="002F3402"/>
    <w:rsid w:val="003005D9"/>
    <w:rsid w:val="00310AF9"/>
    <w:rsid w:val="00316071"/>
    <w:rsid w:val="00316A4C"/>
    <w:rsid w:val="00325242"/>
    <w:rsid w:val="0033566E"/>
    <w:rsid w:val="003431AF"/>
    <w:rsid w:val="00343E5C"/>
    <w:rsid w:val="003469EA"/>
    <w:rsid w:val="00356361"/>
    <w:rsid w:val="0036017B"/>
    <w:rsid w:val="00362755"/>
    <w:rsid w:val="00362C10"/>
    <w:rsid w:val="00362F23"/>
    <w:rsid w:val="00366900"/>
    <w:rsid w:val="00371691"/>
    <w:rsid w:val="00371D84"/>
    <w:rsid w:val="00373B93"/>
    <w:rsid w:val="00374688"/>
    <w:rsid w:val="003754B5"/>
    <w:rsid w:val="00386E10"/>
    <w:rsid w:val="0039014F"/>
    <w:rsid w:val="0039522B"/>
    <w:rsid w:val="003A6634"/>
    <w:rsid w:val="003B6010"/>
    <w:rsid w:val="003C1096"/>
    <w:rsid w:val="003C3F95"/>
    <w:rsid w:val="003C4923"/>
    <w:rsid w:val="003C694B"/>
    <w:rsid w:val="003D15BF"/>
    <w:rsid w:val="003D366C"/>
    <w:rsid w:val="003D556D"/>
    <w:rsid w:val="003E1EE5"/>
    <w:rsid w:val="003E380D"/>
    <w:rsid w:val="003F24EC"/>
    <w:rsid w:val="003F4329"/>
    <w:rsid w:val="003F6C1D"/>
    <w:rsid w:val="00403BA9"/>
    <w:rsid w:val="00407241"/>
    <w:rsid w:val="00412C83"/>
    <w:rsid w:val="00424E49"/>
    <w:rsid w:val="00426014"/>
    <w:rsid w:val="00427CF9"/>
    <w:rsid w:val="004311FF"/>
    <w:rsid w:val="004338F8"/>
    <w:rsid w:val="00444F2F"/>
    <w:rsid w:val="00460B7D"/>
    <w:rsid w:val="00467CDA"/>
    <w:rsid w:val="00474FC1"/>
    <w:rsid w:val="00475B9A"/>
    <w:rsid w:val="00480CB0"/>
    <w:rsid w:val="00493581"/>
    <w:rsid w:val="004A0213"/>
    <w:rsid w:val="004B34EA"/>
    <w:rsid w:val="004B490F"/>
    <w:rsid w:val="004B5494"/>
    <w:rsid w:val="004C622B"/>
    <w:rsid w:val="004C7D3A"/>
    <w:rsid w:val="004D094C"/>
    <w:rsid w:val="004D236F"/>
    <w:rsid w:val="004D3EF7"/>
    <w:rsid w:val="004F4E0A"/>
    <w:rsid w:val="005018A8"/>
    <w:rsid w:val="00505A39"/>
    <w:rsid w:val="00515682"/>
    <w:rsid w:val="005200D3"/>
    <w:rsid w:val="005240BF"/>
    <w:rsid w:val="00525D5D"/>
    <w:rsid w:val="00527101"/>
    <w:rsid w:val="0053550D"/>
    <w:rsid w:val="00541678"/>
    <w:rsid w:val="00546EFC"/>
    <w:rsid w:val="00552394"/>
    <w:rsid w:val="0055448F"/>
    <w:rsid w:val="00566F93"/>
    <w:rsid w:val="00573832"/>
    <w:rsid w:val="00581162"/>
    <w:rsid w:val="00582C14"/>
    <w:rsid w:val="00585390"/>
    <w:rsid w:val="005939A5"/>
    <w:rsid w:val="005A148C"/>
    <w:rsid w:val="005A5D9E"/>
    <w:rsid w:val="005B71D9"/>
    <w:rsid w:val="005D3CD0"/>
    <w:rsid w:val="005E33AA"/>
    <w:rsid w:val="005E623C"/>
    <w:rsid w:val="005E6F34"/>
    <w:rsid w:val="005E78A5"/>
    <w:rsid w:val="005F30D0"/>
    <w:rsid w:val="005F3DC2"/>
    <w:rsid w:val="005F5ABD"/>
    <w:rsid w:val="00605104"/>
    <w:rsid w:val="0062197B"/>
    <w:rsid w:val="00621BA2"/>
    <w:rsid w:val="00624C3A"/>
    <w:rsid w:val="00632207"/>
    <w:rsid w:val="006335BC"/>
    <w:rsid w:val="0063491C"/>
    <w:rsid w:val="00654C35"/>
    <w:rsid w:val="00656F71"/>
    <w:rsid w:val="006657F9"/>
    <w:rsid w:val="00667624"/>
    <w:rsid w:val="00676546"/>
    <w:rsid w:val="00681870"/>
    <w:rsid w:val="006925E8"/>
    <w:rsid w:val="006A6369"/>
    <w:rsid w:val="006B0220"/>
    <w:rsid w:val="006B5C99"/>
    <w:rsid w:val="006D0BFD"/>
    <w:rsid w:val="006E5A7B"/>
    <w:rsid w:val="006E5E28"/>
    <w:rsid w:val="006E6574"/>
    <w:rsid w:val="006F53E8"/>
    <w:rsid w:val="00701A38"/>
    <w:rsid w:val="007047C3"/>
    <w:rsid w:val="00704C6A"/>
    <w:rsid w:val="00705C88"/>
    <w:rsid w:val="00712B8C"/>
    <w:rsid w:val="00714CF2"/>
    <w:rsid w:val="007156B9"/>
    <w:rsid w:val="00720817"/>
    <w:rsid w:val="00722850"/>
    <w:rsid w:val="0073353F"/>
    <w:rsid w:val="0073519E"/>
    <w:rsid w:val="007360A1"/>
    <w:rsid w:val="00742E45"/>
    <w:rsid w:val="007446B6"/>
    <w:rsid w:val="007447AF"/>
    <w:rsid w:val="00745313"/>
    <w:rsid w:val="00750816"/>
    <w:rsid w:val="00754021"/>
    <w:rsid w:val="0076442E"/>
    <w:rsid w:val="007657C1"/>
    <w:rsid w:val="00766C34"/>
    <w:rsid w:val="007676B3"/>
    <w:rsid w:val="00792AF3"/>
    <w:rsid w:val="00794E7C"/>
    <w:rsid w:val="00795F21"/>
    <w:rsid w:val="0079746E"/>
    <w:rsid w:val="007A3CAF"/>
    <w:rsid w:val="007A406D"/>
    <w:rsid w:val="007A459B"/>
    <w:rsid w:val="007A62B0"/>
    <w:rsid w:val="007A71A5"/>
    <w:rsid w:val="007C17BF"/>
    <w:rsid w:val="007C5A0C"/>
    <w:rsid w:val="007D1FBC"/>
    <w:rsid w:val="007E0FEE"/>
    <w:rsid w:val="007E3CC3"/>
    <w:rsid w:val="007F2017"/>
    <w:rsid w:val="007F2779"/>
    <w:rsid w:val="007F28B2"/>
    <w:rsid w:val="00802CB6"/>
    <w:rsid w:val="00830624"/>
    <w:rsid w:val="0083186A"/>
    <w:rsid w:val="008339BB"/>
    <w:rsid w:val="00842D7C"/>
    <w:rsid w:val="008476D7"/>
    <w:rsid w:val="00852581"/>
    <w:rsid w:val="00855BF0"/>
    <w:rsid w:val="0086419A"/>
    <w:rsid w:val="0087023B"/>
    <w:rsid w:val="00885E93"/>
    <w:rsid w:val="008862C4"/>
    <w:rsid w:val="00893F7A"/>
    <w:rsid w:val="008A051D"/>
    <w:rsid w:val="008A179F"/>
    <w:rsid w:val="008A35D7"/>
    <w:rsid w:val="008B0864"/>
    <w:rsid w:val="008B15B4"/>
    <w:rsid w:val="008B6903"/>
    <w:rsid w:val="008B7676"/>
    <w:rsid w:val="008C7413"/>
    <w:rsid w:val="008D16B7"/>
    <w:rsid w:val="008D5DE7"/>
    <w:rsid w:val="008E6AE6"/>
    <w:rsid w:val="008F0116"/>
    <w:rsid w:val="008F143D"/>
    <w:rsid w:val="008F3F77"/>
    <w:rsid w:val="00903354"/>
    <w:rsid w:val="00910A01"/>
    <w:rsid w:val="009246C2"/>
    <w:rsid w:val="009252C0"/>
    <w:rsid w:val="009308C5"/>
    <w:rsid w:val="00932865"/>
    <w:rsid w:val="0094034F"/>
    <w:rsid w:val="0094772D"/>
    <w:rsid w:val="00950422"/>
    <w:rsid w:val="00957EE0"/>
    <w:rsid w:val="00963C90"/>
    <w:rsid w:val="0096450D"/>
    <w:rsid w:val="00966A2B"/>
    <w:rsid w:val="00966CFF"/>
    <w:rsid w:val="00967129"/>
    <w:rsid w:val="0097288F"/>
    <w:rsid w:val="0098124B"/>
    <w:rsid w:val="0098138E"/>
    <w:rsid w:val="009860AB"/>
    <w:rsid w:val="0098655A"/>
    <w:rsid w:val="009904FD"/>
    <w:rsid w:val="00993443"/>
    <w:rsid w:val="00994775"/>
    <w:rsid w:val="009A0F0D"/>
    <w:rsid w:val="009A498D"/>
    <w:rsid w:val="009A6012"/>
    <w:rsid w:val="009A6042"/>
    <w:rsid w:val="009A6940"/>
    <w:rsid w:val="009B0105"/>
    <w:rsid w:val="009B094B"/>
    <w:rsid w:val="009C62DA"/>
    <w:rsid w:val="009D7F7B"/>
    <w:rsid w:val="009E01E1"/>
    <w:rsid w:val="009E7C7F"/>
    <w:rsid w:val="009F11A6"/>
    <w:rsid w:val="009F409A"/>
    <w:rsid w:val="009F4F6A"/>
    <w:rsid w:val="00A0037A"/>
    <w:rsid w:val="00A00588"/>
    <w:rsid w:val="00A046AA"/>
    <w:rsid w:val="00A04C71"/>
    <w:rsid w:val="00A057D1"/>
    <w:rsid w:val="00A06289"/>
    <w:rsid w:val="00A149E0"/>
    <w:rsid w:val="00A17B6F"/>
    <w:rsid w:val="00A17CE0"/>
    <w:rsid w:val="00A218F1"/>
    <w:rsid w:val="00A42306"/>
    <w:rsid w:val="00A4591A"/>
    <w:rsid w:val="00A55ACD"/>
    <w:rsid w:val="00A61C22"/>
    <w:rsid w:val="00A63259"/>
    <w:rsid w:val="00A7452C"/>
    <w:rsid w:val="00A76DCD"/>
    <w:rsid w:val="00A77154"/>
    <w:rsid w:val="00A818DA"/>
    <w:rsid w:val="00A8416B"/>
    <w:rsid w:val="00A86CF1"/>
    <w:rsid w:val="00AA196B"/>
    <w:rsid w:val="00AB0981"/>
    <w:rsid w:val="00AB1B6D"/>
    <w:rsid w:val="00AC582A"/>
    <w:rsid w:val="00AC609F"/>
    <w:rsid w:val="00AD06AE"/>
    <w:rsid w:val="00AE02F4"/>
    <w:rsid w:val="00AE08D2"/>
    <w:rsid w:val="00AE149A"/>
    <w:rsid w:val="00AE4168"/>
    <w:rsid w:val="00B01F7E"/>
    <w:rsid w:val="00B02E43"/>
    <w:rsid w:val="00B03718"/>
    <w:rsid w:val="00B245EC"/>
    <w:rsid w:val="00B3087D"/>
    <w:rsid w:val="00B32CA1"/>
    <w:rsid w:val="00B34794"/>
    <w:rsid w:val="00B50EDE"/>
    <w:rsid w:val="00B51C2F"/>
    <w:rsid w:val="00B52676"/>
    <w:rsid w:val="00B60421"/>
    <w:rsid w:val="00B66559"/>
    <w:rsid w:val="00B85C91"/>
    <w:rsid w:val="00B90440"/>
    <w:rsid w:val="00B94C07"/>
    <w:rsid w:val="00BA0E5E"/>
    <w:rsid w:val="00BA1EDF"/>
    <w:rsid w:val="00BA58E7"/>
    <w:rsid w:val="00BB0243"/>
    <w:rsid w:val="00BB41FE"/>
    <w:rsid w:val="00BB7F4F"/>
    <w:rsid w:val="00BD29B3"/>
    <w:rsid w:val="00BD3B49"/>
    <w:rsid w:val="00BE1934"/>
    <w:rsid w:val="00BE2511"/>
    <w:rsid w:val="00BE25AF"/>
    <w:rsid w:val="00BF0B14"/>
    <w:rsid w:val="00BF406C"/>
    <w:rsid w:val="00BF40E3"/>
    <w:rsid w:val="00C10B5F"/>
    <w:rsid w:val="00C152CC"/>
    <w:rsid w:val="00C24D30"/>
    <w:rsid w:val="00C31AA8"/>
    <w:rsid w:val="00C321ED"/>
    <w:rsid w:val="00C34370"/>
    <w:rsid w:val="00C440E3"/>
    <w:rsid w:val="00C44AAA"/>
    <w:rsid w:val="00C4540D"/>
    <w:rsid w:val="00C50A67"/>
    <w:rsid w:val="00C50EB4"/>
    <w:rsid w:val="00C52CF5"/>
    <w:rsid w:val="00C543C3"/>
    <w:rsid w:val="00C54609"/>
    <w:rsid w:val="00C64009"/>
    <w:rsid w:val="00C66777"/>
    <w:rsid w:val="00C71104"/>
    <w:rsid w:val="00C74010"/>
    <w:rsid w:val="00C755A5"/>
    <w:rsid w:val="00C913A1"/>
    <w:rsid w:val="00C9330D"/>
    <w:rsid w:val="00C97643"/>
    <w:rsid w:val="00CA1DD6"/>
    <w:rsid w:val="00CA37C7"/>
    <w:rsid w:val="00CA7117"/>
    <w:rsid w:val="00CB24F2"/>
    <w:rsid w:val="00CB5AF7"/>
    <w:rsid w:val="00CB689B"/>
    <w:rsid w:val="00CB6A08"/>
    <w:rsid w:val="00CC3F29"/>
    <w:rsid w:val="00CC6A99"/>
    <w:rsid w:val="00CD4EC9"/>
    <w:rsid w:val="00CF04E6"/>
    <w:rsid w:val="00CF1F2B"/>
    <w:rsid w:val="00CF5EEB"/>
    <w:rsid w:val="00D00AA3"/>
    <w:rsid w:val="00D04320"/>
    <w:rsid w:val="00D07F73"/>
    <w:rsid w:val="00D10422"/>
    <w:rsid w:val="00D2041C"/>
    <w:rsid w:val="00D25ADE"/>
    <w:rsid w:val="00D25E9B"/>
    <w:rsid w:val="00D36BA2"/>
    <w:rsid w:val="00D430C0"/>
    <w:rsid w:val="00D43297"/>
    <w:rsid w:val="00D44DB6"/>
    <w:rsid w:val="00D46A30"/>
    <w:rsid w:val="00D50119"/>
    <w:rsid w:val="00D50741"/>
    <w:rsid w:val="00D51255"/>
    <w:rsid w:val="00D567F3"/>
    <w:rsid w:val="00D56809"/>
    <w:rsid w:val="00D56F91"/>
    <w:rsid w:val="00D6241E"/>
    <w:rsid w:val="00D62E51"/>
    <w:rsid w:val="00D63E9A"/>
    <w:rsid w:val="00D64B2D"/>
    <w:rsid w:val="00D70D2A"/>
    <w:rsid w:val="00D73402"/>
    <w:rsid w:val="00D76990"/>
    <w:rsid w:val="00D82A43"/>
    <w:rsid w:val="00D97228"/>
    <w:rsid w:val="00DA23E6"/>
    <w:rsid w:val="00DA3EF1"/>
    <w:rsid w:val="00DA55FE"/>
    <w:rsid w:val="00DA7B5D"/>
    <w:rsid w:val="00DB2F91"/>
    <w:rsid w:val="00DB3453"/>
    <w:rsid w:val="00DC7807"/>
    <w:rsid w:val="00DD17EB"/>
    <w:rsid w:val="00DD19A0"/>
    <w:rsid w:val="00DE239F"/>
    <w:rsid w:val="00DF333E"/>
    <w:rsid w:val="00DF58E7"/>
    <w:rsid w:val="00E02176"/>
    <w:rsid w:val="00E042DD"/>
    <w:rsid w:val="00E11876"/>
    <w:rsid w:val="00E12BFC"/>
    <w:rsid w:val="00E153F5"/>
    <w:rsid w:val="00E1689C"/>
    <w:rsid w:val="00E17068"/>
    <w:rsid w:val="00E20F83"/>
    <w:rsid w:val="00E21DAD"/>
    <w:rsid w:val="00E2249B"/>
    <w:rsid w:val="00E23CBB"/>
    <w:rsid w:val="00E37B59"/>
    <w:rsid w:val="00E46C88"/>
    <w:rsid w:val="00E552F3"/>
    <w:rsid w:val="00E6689D"/>
    <w:rsid w:val="00E73F7F"/>
    <w:rsid w:val="00E751ED"/>
    <w:rsid w:val="00E84141"/>
    <w:rsid w:val="00E841ED"/>
    <w:rsid w:val="00E84EE8"/>
    <w:rsid w:val="00E92397"/>
    <w:rsid w:val="00E9439E"/>
    <w:rsid w:val="00EA36C6"/>
    <w:rsid w:val="00EB134B"/>
    <w:rsid w:val="00EC464E"/>
    <w:rsid w:val="00EC6E24"/>
    <w:rsid w:val="00EC7F7E"/>
    <w:rsid w:val="00ED5725"/>
    <w:rsid w:val="00ED7031"/>
    <w:rsid w:val="00EE05E0"/>
    <w:rsid w:val="00EE3060"/>
    <w:rsid w:val="00EE4315"/>
    <w:rsid w:val="00EE6CE4"/>
    <w:rsid w:val="00EE6E86"/>
    <w:rsid w:val="00F05636"/>
    <w:rsid w:val="00F26ED3"/>
    <w:rsid w:val="00F30118"/>
    <w:rsid w:val="00F411AA"/>
    <w:rsid w:val="00F438BD"/>
    <w:rsid w:val="00F5096D"/>
    <w:rsid w:val="00F62B7A"/>
    <w:rsid w:val="00F6397D"/>
    <w:rsid w:val="00F70A50"/>
    <w:rsid w:val="00F7293E"/>
    <w:rsid w:val="00F76650"/>
    <w:rsid w:val="00F7770D"/>
    <w:rsid w:val="00F90E58"/>
    <w:rsid w:val="00F9187B"/>
    <w:rsid w:val="00F92385"/>
    <w:rsid w:val="00F94CA9"/>
    <w:rsid w:val="00FA1B4F"/>
    <w:rsid w:val="00FA4664"/>
    <w:rsid w:val="00FB06E7"/>
    <w:rsid w:val="00FB4241"/>
    <w:rsid w:val="00FC381B"/>
    <w:rsid w:val="00FC47F9"/>
    <w:rsid w:val="00FD0495"/>
    <w:rsid w:val="00FE5580"/>
    <w:rsid w:val="00FF110C"/>
    <w:rsid w:val="00FF419D"/>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3AB2C"/>
  <w15:chartTrackingRefBased/>
  <w15:docId w15:val="{DFC9F1B4-0855-B14F-B647-BDD0298AE03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5BC"/>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after="24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12"/>
      </w:numPr>
      <w:ind w:right="2160"/>
      <w:outlineLvl w:val="1"/>
    </w:pPr>
  </w:style>
  <w:style w:type="paragraph" w:styleId="Heading3">
    <w:name w:val="heading 3"/>
    <w:basedOn w:val="Dummy"/>
    <w:next w:val="Standard"/>
    <w:link w:val="Heading3Char"/>
    <w:qFormat/>
    <w:rsid w:val="00E84141"/>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12"/>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12"/>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12"/>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rsid w:val="00B01F7E"/>
    <w:pPr>
      <w:spacing w:after="120"/>
    </w:pPr>
    <w:rPr>
      <w:sz w:val="22"/>
      <w:szCs w:val="20"/>
    </w:rPr>
  </w:style>
  <w:style w:type="character" w:customStyle="1" w:styleId="FootnoteTextChar">
    <w:name w:val="Footnote Text Char"/>
    <w:aliases w:val="Footnote style Char"/>
    <w:basedOn w:val="DefaultParagraphFont"/>
    <w:link w:val="FootnoteText"/>
    <w:rsid w:val="007657C1"/>
    <w:rPr>
      <w:rFonts w:ascii="Book Antiqua" w:hAnsi="Book Antiqua"/>
      <w:szCs w:val="20"/>
    </w:rPr>
  </w:style>
  <w:style w:type="character" w:styleId="FootnoteReference">
    <w:name w:val="footnote reference"/>
    <w:aliases w:val="o,fr,Style 3,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qFormat/>
    <w:rsid w:val="008476D7"/>
    <w:pPr>
      <w:spacing w:after="12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6"/>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numPr>
        <w:ilvl w:val="7"/>
        <w:numId w:val="12"/>
      </w:numPr>
      <w:spacing w:after="12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12"/>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customStyle="1" w:styleId="Default">
    <w:name w:val="Default"/>
    <w:rsid w:val="00026C29"/>
    <w:pPr>
      <w:autoSpaceDE w:val="0"/>
      <w:autoSpaceDN w:val="0"/>
      <w:adjustRightInd w:val="0"/>
      <w:spacing w:after="0" w:line="240" w:lineRule="auto"/>
    </w:pPr>
    <w:rPr>
      <w:rFonts w:ascii="Calibri" w:hAnsi="Calibri" w:cs="Calibri"/>
      <w:color w:val="000000"/>
      <w:sz w:val="24"/>
      <w:szCs w:val="24"/>
    </w:rPr>
  </w:style>
  <w:style w:type="character" w:customStyle="1" w:styleId="normaltextrun1">
    <w:name w:val="normaltextrun1"/>
    <w:basedOn w:val="DefaultParagraphFont"/>
    <w:rsid w:val="00893F7A"/>
  </w:style>
  <w:style w:type="paragraph" w:customStyle="1" w:styleId="paragraph">
    <w:name w:val="paragraph"/>
    <w:basedOn w:val="Normal"/>
    <w:rsid w:val="00893F7A"/>
    <w:rPr>
      <w:rFonts w:ascii="Times New Roman" w:eastAsia="Times New Roman" w:hAnsi="Times New Roman" w:cs="Times New Roman"/>
      <w:sz w:val="24"/>
      <w:szCs w:val="24"/>
    </w:rPr>
  </w:style>
  <w:style w:type="character" w:customStyle="1" w:styleId="eop">
    <w:name w:val="eop"/>
    <w:basedOn w:val="DefaultParagraphFont"/>
    <w:rsid w:val="00893F7A"/>
  </w:style>
  <w:style w:type="character" w:styleId="UnresolvedMention">
    <w:name w:val="Unresolved Mention"/>
    <w:basedOn w:val="DefaultParagraphFont"/>
    <w:uiPriority w:val="99"/>
    <w:semiHidden/>
    <w:unhideWhenUsed/>
    <w:rsid w:val="00893F7A"/>
    <w:rPr>
      <w:color w:val="605E5C"/>
      <w:shd w:val="clear" w:color="auto" w:fill="E1DFDD"/>
    </w:rPr>
  </w:style>
  <w:style w:type="character" w:customStyle="1" w:styleId="apple-converted-space">
    <w:name w:val="apple-converted-space"/>
    <w:basedOn w:val="DefaultParagraphFont"/>
    <w:rsid w:val="00474FC1"/>
  </w:style>
  <w:style w:type="paragraph" w:customStyle="1" w:styleId="titlebar">
    <w:name w:val="title bar"/>
    <w:basedOn w:val="Normal"/>
    <w:rsid w:val="00F94CA9"/>
    <w:pPr>
      <w:keepNext/>
      <w:suppressAutoHyphens/>
      <w:jc w:val="center"/>
    </w:pPr>
    <w:rPr>
      <w:rFonts w:ascii="Helvetica" w:eastAsia="Times New Roman"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65103">
      <w:bodyDiv w:val="1"/>
      <w:marLeft w:val="0"/>
      <w:marRight w:val="0"/>
      <w:marTop w:val="0"/>
      <w:marBottom w:val="0"/>
      <w:divBdr>
        <w:top w:val="none" w:sz="0" w:space="0" w:color="auto"/>
        <w:left w:val="none" w:sz="0" w:space="0" w:color="auto"/>
        <w:bottom w:val="none" w:sz="0" w:space="0" w:color="auto"/>
        <w:right w:val="none" w:sz="0" w:space="0" w:color="auto"/>
      </w:divBdr>
    </w:div>
    <w:div w:id="300237587">
      <w:bodyDiv w:val="1"/>
      <w:marLeft w:val="0"/>
      <w:marRight w:val="0"/>
      <w:marTop w:val="0"/>
      <w:marBottom w:val="0"/>
      <w:divBdr>
        <w:top w:val="none" w:sz="0" w:space="0" w:color="auto"/>
        <w:left w:val="none" w:sz="0" w:space="0" w:color="auto"/>
        <w:bottom w:val="none" w:sz="0" w:space="0" w:color="auto"/>
        <w:right w:val="none" w:sz="0" w:space="0" w:color="auto"/>
      </w:divBdr>
    </w:div>
    <w:div w:id="514347648">
      <w:bodyDiv w:val="1"/>
      <w:marLeft w:val="0"/>
      <w:marRight w:val="0"/>
      <w:marTop w:val="0"/>
      <w:marBottom w:val="0"/>
      <w:divBdr>
        <w:top w:val="none" w:sz="0" w:space="0" w:color="auto"/>
        <w:left w:val="none" w:sz="0" w:space="0" w:color="auto"/>
        <w:bottom w:val="none" w:sz="0" w:space="0" w:color="auto"/>
        <w:right w:val="none" w:sz="0" w:space="0" w:color="auto"/>
      </w:divBdr>
    </w:div>
    <w:div w:id="1036347118">
      <w:bodyDiv w:val="1"/>
      <w:marLeft w:val="0"/>
      <w:marRight w:val="0"/>
      <w:marTop w:val="0"/>
      <w:marBottom w:val="0"/>
      <w:divBdr>
        <w:top w:val="none" w:sz="0" w:space="0" w:color="auto"/>
        <w:left w:val="none" w:sz="0" w:space="0" w:color="auto"/>
        <w:bottom w:val="none" w:sz="0" w:space="0" w:color="auto"/>
        <w:right w:val="none" w:sz="0" w:space="0" w:color="auto"/>
      </w:divBdr>
      <w:divsChild>
        <w:div w:id="965087445">
          <w:marLeft w:val="0"/>
          <w:marRight w:val="0"/>
          <w:marTop w:val="0"/>
          <w:marBottom w:val="240"/>
          <w:divBdr>
            <w:top w:val="none" w:sz="0" w:space="0" w:color="auto"/>
            <w:left w:val="none" w:sz="0" w:space="0" w:color="auto"/>
            <w:bottom w:val="none" w:sz="0" w:space="0" w:color="auto"/>
            <w:right w:val="none" w:sz="0" w:space="0" w:color="auto"/>
          </w:divBdr>
        </w:div>
        <w:div w:id="1139111535">
          <w:marLeft w:val="0"/>
          <w:marRight w:val="0"/>
          <w:marTop w:val="0"/>
          <w:marBottom w:val="240"/>
          <w:divBdr>
            <w:top w:val="none" w:sz="0" w:space="0" w:color="auto"/>
            <w:left w:val="none" w:sz="0" w:space="0" w:color="auto"/>
            <w:bottom w:val="none" w:sz="0" w:space="0" w:color="auto"/>
            <w:right w:val="none" w:sz="0" w:space="0" w:color="auto"/>
          </w:divBdr>
        </w:div>
        <w:div w:id="882398961">
          <w:marLeft w:val="0"/>
          <w:marRight w:val="0"/>
          <w:marTop w:val="0"/>
          <w:marBottom w:val="240"/>
          <w:divBdr>
            <w:top w:val="none" w:sz="0" w:space="0" w:color="auto"/>
            <w:left w:val="none" w:sz="0" w:space="0" w:color="auto"/>
            <w:bottom w:val="none" w:sz="0" w:space="0" w:color="auto"/>
            <w:right w:val="none" w:sz="0" w:space="0" w:color="auto"/>
          </w:divBdr>
        </w:div>
        <w:div w:id="2045907919">
          <w:marLeft w:val="0"/>
          <w:marRight w:val="0"/>
          <w:marTop w:val="0"/>
          <w:marBottom w:val="240"/>
          <w:divBdr>
            <w:top w:val="none" w:sz="0" w:space="0" w:color="auto"/>
            <w:left w:val="none" w:sz="0" w:space="0" w:color="auto"/>
            <w:bottom w:val="none" w:sz="0" w:space="0" w:color="auto"/>
            <w:right w:val="none" w:sz="0" w:space="0" w:color="auto"/>
          </w:divBdr>
        </w:div>
        <w:div w:id="20525296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4.xml" Id="rId17" /><Relationship Type="http://schemas.openxmlformats.org/officeDocument/2006/relationships/numbering" Target="numbering.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yperlink" Target="https://www.cpuc.ca.gov/wsd/complianceprocess/" TargetMode="Externa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yperlink" Target="https://www.cpuc.ca.gov/wsd/complianceprocess/" TargetMode="External" Id="rId14" /><Relationship Type="http://schemas.openxmlformats.org/officeDocument/2006/relationships/hyperlink" Target="http://docs.cpuc.ca.gov/PublishedDocs/Published/G000/M352/K330/352330175.pdf" TargetMode="External" Id="R8b6b667f967042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CDAB7-7B6A-400E-8B98-A5F9A44F5D2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10</ap:Pages>
  <ap:Words>2169</ap:Words>
  <ap:Characters>12369</ap:Characters>
  <ap:Application>Microsoft Office Word</ap:Application>
  <ap:DocSecurity>0</ap:DocSecurity>
  <ap:Lines>103</ap:Lines>
  <ap:Paragraphs>29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14509</ap:CharactersWithSpaces>
  <ap:SharedDoc>false</ap:SharedDoc>
  <ap:HLinks>
    <vt:vector baseType="variant" size="12">
      <vt:variant>
        <vt:i4>3801202</vt:i4>
      </vt:variant>
      <vt:variant>
        <vt:i4>2</vt:i4>
      </vt:variant>
      <vt:variant>
        <vt:i4>0</vt:i4>
      </vt:variant>
      <vt:variant>
        <vt:i4>5</vt:i4>
      </vt:variant>
      <vt:variant>
        <vt:lpwstr>https://www.cpuc.ca.gov/wsd/complianceprocess/</vt:lpwstr>
      </vt:variant>
      <vt:variant>
        <vt:lpwstr/>
      </vt:variant>
      <vt:variant>
        <vt:i4>3801202</vt:i4>
      </vt:variant>
      <vt:variant>
        <vt:i4>0</vt:i4>
      </vt:variant>
      <vt:variant>
        <vt:i4>0</vt:i4>
      </vt:variant>
      <vt:variant>
        <vt:i4>5</vt:i4>
      </vt:variant>
      <vt:variant>
        <vt:lpwstr>https://www.cpuc.ca.gov/wsd/complianceprocess/</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2021-01-08T09:59:45Z</dcterms:created>
  <dcterms:modified xsi:type="dcterms:W3CDTF">2021-01-08T09:59:45Z</dcterms:modified>
</cp:coreProperties>
</file>