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567E3" w:rsidR="00BD6C3F" w:rsidP="00B83EAA" w:rsidRDefault="00BD6C3F" w14:paraId="36E8DCE8" w14:textId="435CC6B6">
      <w:pPr>
        <w:pBdr>
          <w:top w:val="double" w:color="auto" w:sz="6" w:space="1"/>
        </w:pBdr>
        <w:jc w:val="both"/>
        <w:rPr>
          <w:b/>
          <w:i/>
        </w:rPr>
      </w:pPr>
      <w:bookmarkStart w:name="_Hlk35420093" w:id="0"/>
    </w:p>
    <w:p w:rsidRPr="00C567E3" w:rsidR="00BD6C3F" w:rsidRDefault="00F91FB5" w14:paraId="1E6F8C98" w14:textId="77777777">
      <w:pPr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6241D0B7" wp14:anchorId="35E30BA0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2195195" cy="274320"/>
                <wp:effectExtent l="19050" t="20320" r="14605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743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B79" w:rsidRDefault="006A0B79" w14:paraId="6F6EB8B2" w14:textId="77777777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Closed to the Public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left:0;text-align:left;margin-left:0;margin-top:4.6pt;width:172.85pt;height:21.6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o:allowincell="f" fillcolor="#ccc" strokeweight="2pt" w14:anchorId="35E30B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">
                <v:textbox inset="1pt,1pt,1pt,1pt">
                  <w:txbxContent>
                    <w:p w:rsidR="006A0B79" w:rsidRDefault="006A0B79" w14:paraId="6F6EB8B2" w14:textId="77777777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Closed to the Public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Pr="00C567E3" w:rsidR="00BD6C3F" w:rsidRDefault="00BD6C3F" w14:paraId="387174AB" w14:textId="77777777">
      <w:pPr>
        <w:jc w:val="both"/>
        <w:rPr>
          <w:b/>
          <w:i/>
        </w:rPr>
      </w:pPr>
    </w:p>
    <w:p w:rsidRPr="00C567E3" w:rsidR="00BD6C3F" w:rsidRDefault="00BD6C3F" w14:paraId="7395889A" w14:textId="77777777">
      <w:pPr>
        <w:jc w:val="center"/>
        <w:rPr>
          <w:b/>
          <w:i/>
        </w:rPr>
      </w:pPr>
    </w:p>
    <w:p w:rsidRPr="00B83EAA" w:rsidR="00BD6C3F" w:rsidRDefault="00BD6C3F" w14:paraId="4AA67CE6" w14:textId="77777777">
      <w:pPr>
        <w:jc w:val="center"/>
        <w:rPr>
          <w:b/>
          <w:i/>
          <w:sz w:val="28"/>
        </w:rPr>
      </w:pPr>
      <w:r w:rsidRPr="00B83EAA">
        <w:rPr>
          <w:b/>
          <w:i/>
          <w:sz w:val="28"/>
        </w:rPr>
        <w:t>Public Utilities Commission of the State of California</w:t>
      </w:r>
    </w:p>
    <w:p w:rsidRPr="00C567E3" w:rsidR="00BD6C3F" w:rsidRDefault="00BD6C3F" w14:paraId="70124E41" w14:textId="77777777">
      <w:pPr>
        <w:jc w:val="center"/>
        <w:rPr>
          <w:b/>
          <w:i/>
        </w:rPr>
      </w:pPr>
    </w:p>
    <w:p w:rsidRPr="0089231D" w:rsidR="00BD6C3F" w:rsidRDefault="00BD6C3F" w14:paraId="0951177E" w14:textId="012F4743">
      <w:pPr>
        <w:jc w:val="center"/>
        <w:rPr>
          <w:b/>
          <w:i/>
          <w:sz w:val="28"/>
          <w:szCs w:val="28"/>
        </w:rPr>
      </w:pPr>
      <w:r w:rsidRPr="0089231D">
        <w:rPr>
          <w:b/>
          <w:i/>
          <w:sz w:val="28"/>
          <w:szCs w:val="28"/>
        </w:rPr>
        <w:t xml:space="preserve">Ratesetting Deliberative Meeting Agenda No. </w:t>
      </w:r>
      <w:r w:rsidR="007852F3">
        <w:rPr>
          <w:b/>
          <w:i/>
          <w:sz w:val="28"/>
          <w:szCs w:val="28"/>
        </w:rPr>
        <w:t>1</w:t>
      </w:r>
      <w:r w:rsidR="002107A3">
        <w:rPr>
          <w:b/>
          <w:i/>
          <w:sz w:val="28"/>
          <w:szCs w:val="28"/>
        </w:rPr>
        <w:t>3</w:t>
      </w:r>
      <w:r w:rsidR="006D7CE0">
        <w:rPr>
          <w:b/>
          <w:i/>
          <w:sz w:val="28"/>
          <w:szCs w:val="28"/>
        </w:rPr>
        <w:t>5</w:t>
      </w:r>
    </w:p>
    <w:p w:rsidR="00BD6C3F" w:rsidRDefault="002107A3" w14:paraId="06FEE444" w14:textId="1831EA0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Monday</w:t>
      </w:r>
      <w:r w:rsidRPr="0089231D" w:rsidR="00BD6C3F">
        <w:rPr>
          <w:b/>
          <w:i/>
          <w:sz w:val="28"/>
          <w:szCs w:val="28"/>
        </w:rPr>
        <w:t>,</w:t>
      </w:r>
      <w:r w:rsidR="00775D95">
        <w:rPr>
          <w:b/>
          <w:i/>
          <w:sz w:val="28"/>
          <w:szCs w:val="28"/>
        </w:rPr>
        <w:t xml:space="preserve"> </w:t>
      </w:r>
      <w:r w:rsidR="006D7CE0">
        <w:rPr>
          <w:b/>
          <w:i/>
          <w:sz w:val="28"/>
          <w:szCs w:val="28"/>
        </w:rPr>
        <w:t>November 30</w:t>
      </w:r>
      <w:r w:rsidR="000B44AC">
        <w:rPr>
          <w:b/>
          <w:i/>
          <w:sz w:val="28"/>
          <w:szCs w:val="28"/>
        </w:rPr>
        <w:t>,</w:t>
      </w:r>
      <w:r w:rsidR="00501A9C">
        <w:rPr>
          <w:b/>
          <w:i/>
          <w:sz w:val="28"/>
          <w:szCs w:val="28"/>
        </w:rPr>
        <w:t xml:space="preserve"> 20</w:t>
      </w:r>
      <w:r w:rsidR="00294431">
        <w:rPr>
          <w:b/>
          <w:i/>
          <w:sz w:val="28"/>
          <w:szCs w:val="28"/>
        </w:rPr>
        <w:t>20</w:t>
      </w:r>
      <w:r w:rsidRPr="0089231D" w:rsidR="0089231D">
        <w:rPr>
          <w:b/>
          <w:i/>
          <w:sz w:val="28"/>
          <w:szCs w:val="28"/>
        </w:rPr>
        <w:t xml:space="preserve"> </w:t>
      </w:r>
      <w:r w:rsidR="00522ED2">
        <w:rPr>
          <w:b/>
          <w:i/>
          <w:sz w:val="28"/>
          <w:szCs w:val="28"/>
        </w:rPr>
        <w:t>10</w:t>
      </w:r>
      <w:r w:rsidRPr="0089231D" w:rsidR="00BD6C3F">
        <w:rPr>
          <w:b/>
          <w:i/>
          <w:sz w:val="28"/>
          <w:szCs w:val="28"/>
        </w:rPr>
        <w:t>:</w:t>
      </w:r>
      <w:r w:rsidR="00F918E8">
        <w:rPr>
          <w:b/>
          <w:i/>
          <w:sz w:val="28"/>
          <w:szCs w:val="28"/>
        </w:rPr>
        <w:t>0</w:t>
      </w:r>
      <w:r w:rsidRPr="0089231D" w:rsidR="000E491C">
        <w:rPr>
          <w:b/>
          <w:i/>
          <w:sz w:val="28"/>
          <w:szCs w:val="28"/>
        </w:rPr>
        <w:t>0</w:t>
      </w:r>
      <w:r w:rsidR="00F918E8">
        <w:rPr>
          <w:b/>
          <w:i/>
          <w:sz w:val="28"/>
          <w:szCs w:val="28"/>
        </w:rPr>
        <w:t xml:space="preserve"> </w:t>
      </w:r>
      <w:r w:rsidR="00522ED2">
        <w:rPr>
          <w:b/>
          <w:i/>
          <w:sz w:val="28"/>
          <w:szCs w:val="28"/>
        </w:rPr>
        <w:t>a</w:t>
      </w:r>
      <w:r w:rsidRPr="0089231D" w:rsidR="00BD6C3F">
        <w:rPr>
          <w:b/>
          <w:i/>
          <w:sz w:val="28"/>
          <w:szCs w:val="28"/>
        </w:rPr>
        <w:t>.m</w:t>
      </w:r>
      <w:r w:rsidRPr="0089231D" w:rsidR="00740B49">
        <w:rPr>
          <w:b/>
          <w:i/>
          <w:sz w:val="28"/>
          <w:szCs w:val="28"/>
        </w:rPr>
        <w:t>.</w:t>
      </w:r>
    </w:p>
    <w:p w:rsidRPr="0089231D" w:rsidR="00BD6C3F" w:rsidRDefault="007C30DB" w14:paraId="7B87AD9C" w14:textId="40AC98B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Remotely</w:t>
      </w:r>
    </w:p>
    <w:p w:rsidR="00BD6C3F" w:rsidRDefault="00BD6C3F" w14:paraId="1F1C409F" w14:textId="77777777">
      <w:pPr>
        <w:jc w:val="center"/>
        <w:rPr>
          <w:b/>
          <w:i/>
        </w:rPr>
      </w:pPr>
    </w:p>
    <w:p w:rsidRPr="00C567E3" w:rsidR="00D01779" w:rsidRDefault="00D01779" w14:paraId="19E7CC7C" w14:textId="77777777">
      <w:pPr>
        <w:jc w:val="center"/>
        <w:rPr>
          <w:b/>
          <w:i/>
        </w:rPr>
      </w:pPr>
    </w:p>
    <w:p w:rsidRPr="005D7BD0" w:rsidR="00BD6C3F" w:rsidRDefault="00BD6C3F" w14:paraId="6C9C77C7" w14:textId="3A21E521">
      <w:pPr>
        <w:jc w:val="center"/>
        <w:rPr>
          <w:b/>
          <w:u w:val="single"/>
        </w:rPr>
      </w:pPr>
      <w:r w:rsidRPr="005D7BD0">
        <w:rPr>
          <w:b/>
          <w:u w:val="single"/>
        </w:rPr>
        <w:t>Commissioners</w:t>
      </w:r>
    </w:p>
    <w:p w:rsidRPr="00C567E3" w:rsidR="007C30DB" w:rsidRDefault="007C30DB" w14:paraId="415FF69C" w14:textId="77777777">
      <w:pPr>
        <w:jc w:val="center"/>
        <w:rPr>
          <w:b/>
        </w:rPr>
      </w:pPr>
    </w:p>
    <w:p w:rsidRPr="00C567E3" w:rsidR="00BD6C3F" w:rsidRDefault="00294431" w14:paraId="49ABF91D" w14:textId="6B392080">
      <w:pPr>
        <w:jc w:val="center"/>
        <w:rPr>
          <w:b/>
        </w:rPr>
      </w:pPr>
      <w:r>
        <w:rPr>
          <w:b/>
        </w:rPr>
        <w:t>Marybel Batjer</w:t>
      </w:r>
      <w:r w:rsidRPr="00C567E3" w:rsidR="00BD6C3F">
        <w:rPr>
          <w:b/>
        </w:rPr>
        <w:t>, President</w:t>
      </w:r>
    </w:p>
    <w:p w:rsidRPr="005D7BD0" w:rsidR="00BD6C3F" w:rsidRDefault="004C4FD2" w14:paraId="6580B60F" w14:textId="77777777">
      <w:pPr>
        <w:jc w:val="center"/>
      </w:pPr>
      <w:r>
        <w:rPr>
          <w:b/>
        </w:rPr>
        <w:t>Martha Guzman Aceves</w:t>
      </w:r>
    </w:p>
    <w:p w:rsidRPr="0094227C" w:rsidR="002C6125" w:rsidRDefault="002C6125" w14:paraId="31F2E9D2" w14:textId="77777777">
      <w:pPr>
        <w:jc w:val="center"/>
        <w:rPr>
          <w:b/>
        </w:rPr>
      </w:pPr>
      <w:r w:rsidRPr="0094227C">
        <w:rPr>
          <w:b/>
        </w:rPr>
        <w:t>Liane M. Randolph</w:t>
      </w:r>
    </w:p>
    <w:p w:rsidR="00BD6C3F" w:rsidRDefault="004C4FD2" w14:paraId="4F00E837" w14:textId="7D3119EC">
      <w:pPr>
        <w:jc w:val="center"/>
        <w:rPr>
          <w:b/>
        </w:rPr>
      </w:pPr>
      <w:r>
        <w:rPr>
          <w:b/>
        </w:rPr>
        <w:t>Clifford Rechtschaffen</w:t>
      </w:r>
    </w:p>
    <w:p w:rsidR="00294431" w:rsidRDefault="00294431" w14:paraId="5FBC7E2D" w14:textId="71BD3CEA">
      <w:pPr>
        <w:jc w:val="center"/>
        <w:rPr>
          <w:b/>
        </w:rPr>
      </w:pPr>
      <w:r w:rsidRPr="0094227C">
        <w:rPr>
          <w:b/>
        </w:rPr>
        <w:t>Genevieve Shiroma</w:t>
      </w:r>
    </w:p>
    <w:p w:rsidR="00BD6C3F" w:rsidRDefault="00BD6C3F" w14:paraId="70D97865" w14:textId="6E7DFEB4">
      <w:pPr>
        <w:rPr>
          <w:b/>
        </w:rPr>
      </w:pPr>
    </w:p>
    <w:p w:rsidR="00301BC8" w:rsidP="00301BC8" w:rsidRDefault="00301BC8" w14:paraId="2198C8FD" w14:textId="77777777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Pursuant to Executive Order N-29-20, paragraph 3, that was issued on March 17, 2020, Commissioners may participate remotely from teleconferencing locations</w:t>
      </w:r>
    </w:p>
    <w:p w:rsidRPr="0019248B" w:rsidR="0019248B" w:rsidP="0019248B" w:rsidRDefault="0019248B" w14:paraId="36AAFBF1" w14:textId="77777777">
      <w:pPr>
        <w:jc w:val="center"/>
        <w:rPr>
          <w:rFonts w:eastAsia="Calibri"/>
        </w:rPr>
      </w:pPr>
    </w:p>
    <w:p w:rsidRPr="0019248B" w:rsidR="0019248B" w:rsidP="0019248B" w:rsidRDefault="0019248B" w14:paraId="589017C7" w14:textId="2381FE4D">
      <w:pPr>
        <w:jc w:val="center"/>
        <w:rPr>
          <w:rFonts w:eastAsia="Calibri"/>
        </w:rPr>
      </w:pPr>
      <w:r w:rsidRPr="0019248B">
        <w:rPr>
          <w:rFonts w:eastAsia="Calibri"/>
        </w:rPr>
        <w:t>Link to Executive Order N-2</w:t>
      </w:r>
      <w:r w:rsidR="00EB79E4">
        <w:rPr>
          <w:rFonts w:eastAsia="Calibri"/>
        </w:rPr>
        <w:t>9</w:t>
      </w:r>
      <w:r w:rsidRPr="0019248B">
        <w:rPr>
          <w:rFonts w:eastAsia="Calibri"/>
        </w:rPr>
        <w:t>-20:</w:t>
      </w:r>
    </w:p>
    <w:p w:rsidRPr="0019248B" w:rsidR="0019248B" w:rsidP="0019248B" w:rsidRDefault="00455D7A" w14:paraId="6453DCB5" w14:textId="4BE4844C">
      <w:pPr>
        <w:jc w:val="center"/>
      </w:pPr>
      <w:hyperlink w:history="1" r:id="rId8">
        <w:r w:rsidRPr="00EB79E4" w:rsidR="00EB79E4">
          <w:rPr>
            <w:rStyle w:val="Hyperlink"/>
          </w:rPr>
          <w:t>https://www.gov.ca.gov/wp-content/uploads/2020/03/3.17.20-N-29-20-EO.pdf</w:t>
        </w:r>
      </w:hyperlink>
    </w:p>
    <w:p w:rsidRPr="00C567E3" w:rsidR="0019248B" w:rsidRDefault="0019248B" w14:paraId="72A12AFC" w14:textId="77777777">
      <w:pPr>
        <w:rPr>
          <w:b/>
        </w:rPr>
      </w:pPr>
    </w:p>
    <w:p w:rsidR="00BD6C3F" w:rsidP="00B83EAA" w:rsidRDefault="00BD6C3F" w14:paraId="4E247F0B" w14:textId="61B1764B">
      <w:pPr>
        <w:jc w:val="center"/>
        <w:rPr>
          <w:i/>
        </w:rPr>
      </w:pPr>
      <w:r w:rsidRPr="00C567E3">
        <w:rPr>
          <w:i/>
        </w:rPr>
        <w:t xml:space="preserve">This Ratesetting Deliberative Meeting will commence at the above date and time and may be continued from day to day up to the convening of the </w:t>
      </w:r>
      <w:r w:rsidR="00F24F8E">
        <w:rPr>
          <w:i/>
        </w:rPr>
        <w:t>December 3</w:t>
      </w:r>
      <w:r w:rsidR="00DA0DD7">
        <w:rPr>
          <w:i/>
        </w:rPr>
        <w:t>, 2020</w:t>
      </w:r>
      <w:r w:rsidRPr="00C567E3">
        <w:rPr>
          <w:i/>
        </w:rPr>
        <w:t xml:space="preserve"> Business Meeting.</w:t>
      </w:r>
    </w:p>
    <w:p w:rsidRPr="00C567E3" w:rsidR="002E7043" w:rsidP="00B83EAA" w:rsidRDefault="002E7043" w14:paraId="692AACF3" w14:textId="77777777">
      <w:pPr>
        <w:jc w:val="center"/>
        <w:rPr>
          <w:i/>
        </w:rPr>
      </w:pPr>
      <w:r w:rsidRPr="002E7043">
        <w:rPr>
          <w:i/>
        </w:rPr>
        <w:t>This Ratesetting Deliberative Meeting is being held pursuant to Pub. Util. Code § 1701.3(h)(6).</w:t>
      </w:r>
    </w:p>
    <w:p w:rsidRPr="00C567E3" w:rsidR="00BD6C3F" w:rsidRDefault="00BD6C3F" w14:paraId="2539CBF5" w14:textId="77777777">
      <w:pPr>
        <w:rPr>
          <w:i/>
        </w:rPr>
      </w:pPr>
    </w:p>
    <w:p w:rsidR="00BD6C3F" w:rsidRDefault="00BD6C3F" w14:paraId="35523C23" w14:textId="0BEF26E9">
      <w:pPr>
        <w:pBdr>
          <w:bottom w:val="double" w:color="auto" w:sz="6" w:space="1"/>
        </w:pBdr>
        <w:jc w:val="center"/>
        <w:rPr>
          <w:i/>
        </w:rPr>
      </w:pPr>
      <w:r w:rsidRPr="00C567E3">
        <w:rPr>
          <w:i/>
        </w:rPr>
        <w:t xml:space="preserve">Website:  </w:t>
      </w:r>
      <w:hyperlink w:history="1" r:id="rId9">
        <w:r w:rsidRPr="00767F35" w:rsidR="002C6125">
          <w:rPr>
            <w:rStyle w:val="Hyperlink"/>
            <w:i/>
          </w:rPr>
          <w:t>http://www.cpuc.ca.gov</w:t>
        </w:r>
      </w:hyperlink>
    </w:p>
    <w:p w:rsidRPr="00C567E3" w:rsidR="00BD6C3F" w:rsidRDefault="00BD6C3F" w14:paraId="2ED9E528" w14:textId="77777777">
      <w:pPr>
        <w:jc w:val="center"/>
      </w:pPr>
    </w:p>
    <w:p w:rsidRPr="00C567E3" w:rsidR="00BD6C3F" w:rsidRDefault="00BD6C3F" w14:paraId="3ACB257E" w14:textId="77777777">
      <w:pPr>
        <w:jc w:val="center"/>
      </w:pPr>
    </w:p>
    <w:p w:rsidRPr="00C567E3" w:rsidR="00BD6C3F" w:rsidRDefault="00BD6C3F" w14:paraId="1E6A2413" w14:textId="77777777">
      <w:pPr>
        <w:jc w:val="center"/>
      </w:pPr>
      <w:r w:rsidRPr="00C567E3">
        <w:t>Ratesetting Deliberative Meeting</w:t>
      </w:r>
    </w:p>
    <w:p w:rsidRPr="00C567E3" w:rsidR="00BD6C3F" w:rsidRDefault="00EF1B56" w14:paraId="68F6A373" w14:textId="25F6B13F">
      <w:pPr>
        <w:jc w:val="center"/>
      </w:pPr>
      <w:r>
        <w:t>1</w:t>
      </w:r>
      <w:r w:rsidR="00522ED2">
        <w:t>0</w:t>
      </w:r>
      <w:r w:rsidRPr="00C567E3" w:rsidR="00B3196E">
        <w:t>:</w:t>
      </w:r>
      <w:r w:rsidR="00DC2310">
        <w:t>0</w:t>
      </w:r>
      <w:r w:rsidRPr="00C567E3" w:rsidR="000E491C">
        <w:t>0</w:t>
      </w:r>
      <w:r w:rsidR="00566CCC">
        <w:t xml:space="preserve"> </w:t>
      </w:r>
      <w:r w:rsidR="00522ED2">
        <w:t>a</w:t>
      </w:r>
      <w:r w:rsidRPr="00C567E3" w:rsidR="00BD6C3F">
        <w:t>.m.</w:t>
      </w:r>
    </w:p>
    <w:p w:rsidR="008B347B" w:rsidP="00294431" w:rsidRDefault="007C30DB" w14:paraId="5375FDCF" w14:textId="0F846BFB">
      <w:pPr>
        <w:jc w:val="center"/>
      </w:pPr>
      <w:r>
        <w:t>Remotely</w:t>
      </w:r>
    </w:p>
    <w:p w:rsidR="007C30DB" w:rsidP="00294431" w:rsidRDefault="007C30DB" w14:paraId="662F2817" w14:textId="77777777">
      <w:pPr>
        <w:jc w:val="center"/>
      </w:pPr>
    </w:p>
    <w:p w:rsidRPr="00C567E3" w:rsidR="00D865FC" w:rsidP="00D865FC" w:rsidRDefault="00D865FC" w14:paraId="7096C304" w14:textId="77777777">
      <w:pPr>
        <w:jc w:val="center"/>
      </w:pPr>
    </w:p>
    <w:p w:rsidRPr="00C567E3" w:rsidR="00BD6C3F" w:rsidRDefault="00F91FB5" w14:paraId="62C461F8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614C2316" wp14:anchorId="11F0E349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4846955" cy="458470"/>
                <wp:effectExtent l="19050" t="20955" r="20320" b="158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955" cy="45847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01779" w:rsidR="006A0B79" w:rsidP="001F4B5D" w:rsidRDefault="006A0B79" w14:paraId="60A98199" w14:textId="77777777">
                            <w:pPr>
                              <w:tabs>
                                <w:tab w:val="left" w:pos="1350"/>
                              </w:tabs>
                              <w:spacing w:after="60"/>
                              <w:jc w:val="center"/>
                              <w:rPr>
                                <w:sz w:val="22"/>
                              </w:rPr>
                            </w:pPr>
                            <w:r w:rsidRPr="00D01779">
                              <w:rPr>
                                <w:sz w:val="22"/>
                              </w:rPr>
                              <w:t>For further information contact the Public Advisor</w:t>
                            </w:r>
                          </w:p>
                          <w:p w:rsidRPr="00D01779" w:rsidR="006A0B79" w:rsidRDefault="006A0B79" w14:paraId="61DDC59D" w14:textId="11F0933D">
                            <w:pPr>
                              <w:tabs>
                                <w:tab w:val="left" w:pos="1350"/>
                              </w:tabs>
                              <w:jc w:val="center"/>
                              <w:rPr>
                                <w:sz w:val="22"/>
                              </w:rPr>
                            </w:pPr>
                            <w:r w:rsidRPr="00D01779">
                              <w:rPr>
                                <w:sz w:val="22"/>
                              </w:rPr>
                              <w:t xml:space="preserve">Phone: (415) 703-2074   </w:t>
                            </w:r>
                            <w:r w:rsidR="00294431">
                              <w:rPr>
                                <w:sz w:val="22"/>
                              </w:rPr>
                              <w:t>-</w:t>
                            </w:r>
                            <w:r w:rsidRPr="00D01779">
                              <w:rPr>
                                <w:sz w:val="22"/>
                              </w:rPr>
                              <w:t xml:space="preserve">   E-mail: </w:t>
                            </w:r>
                            <w:hyperlink w:history="1" r:id="rId10">
                              <w:r w:rsidRPr="00D01779" w:rsidR="002C6125">
                                <w:rPr>
                                  <w:rStyle w:val="Hyperlink"/>
                                  <w:sz w:val="22"/>
                                </w:rPr>
                                <w:t>public.advisor@cpuc.ca.gov</w:t>
                              </w:r>
                            </w:hyperlink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0;margin-top:-.6pt;width:381.65pt;height:36.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7" o:allowincell="f" fillcolor="#ccc" strokeweight="2pt" w14:anchorId="11F0E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">
                <v:textbox inset="1pt,1pt,1pt,1pt">
                  <w:txbxContent>
                    <w:p w:rsidRPr="00D01779" w:rsidR="006A0B79" w:rsidP="001F4B5D" w:rsidRDefault="006A0B79" w14:paraId="60A98199" w14:textId="77777777">
                      <w:pPr>
                        <w:tabs>
                          <w:tab w:val="left" w:pos="1350"/>
                        </w:tabs>
                        <w:spacing w:after="60"/>
                        <w:jc w:val="center"/>
                        <w:rPr>
                          <w:sz w:val="22"/>
                        </w:rPr>
                      </w:pPr>
                      <w:r w:rsidRPr="00D01779">
                        <w:rPr>
                          <w:sz w:val="22"/>
                        </w:rPr>
                        <w:t>For further information contact the Public Advisor</w:t>
                      </w:r>
                    </w:p>
                    <w:p w:rsidRPr="00D01779" w:rsidR="006A0B79" w:rsidRDefault="006A0B79" w14:paraId="61DDC59D" w14:textId="11F0933D">
                      <w:pPr>
                        <w:tabs>
                          <w:tab w:val="left" w:pos="1350"/>
                        </w:tabs>
                        <w:jc w:val="center"/>
                        <w:rPr>
                          <w:sz w:val="22"/>
                        </w:rPr>
                      </w:pPr>
                      <w:r w:rsidRPr="00D01779">
                        <w:rPr>
                          <w:sz w:val="22"/>
                        </w:rPr>
                        <w:t xml:space="preserve">Phone: (415) 703-2074   </w:t>
                      </w:r>
                      <w:r w:rsidR="00294431">
                        <w:rPr>
                          <w:sz w:val="22"/>
                        </w:rPr>
                        <w:t>-</w:t>
                      </w:r>
                      <w:r w:rsidRPr="00D01779">
                        <w:rPr>
                          <w:sz w:val="22"/>
                        </w:rPr>
                        <w:t xml:space="preserve">   E-mail: </w:t>
                      </w:r>
                      <w:hyperlink w:history="1" r:id="rId11">
                        <w:r w:rsidRPr="00D01779" w:rsidR="002C6125">
                          <w:rPr>
                            <w:rStyle w:val="Hyperlink"/>
                            <w:sz w:val="22"/>
                          </w:rPr>
                          <w:t>public.advisor@cpuc.ca.gov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Pr="00501A9C" w:rsidR="008B347B" w:rsidP="00501A9C" w:rsidRDefault="008B347B" w14:paraId="603EDFBE" w14:textId="77777777">
      <w:pPr>
        <w:sectPr w:rsidRPr="00501A9C" w:rsidR="008B347B" w:rsidSect="00B83EAA">
          <w:footerReference w:type="default" r:id="rId12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1552C4" w:rsidP="00D7400F" w:rsidRDefault="001552C4" w14:paraId="671A563C" w14:textId="68E0268F">
      <w:pPr>
        <w:pStyle w:val="Heading1"/>
        <w:rPr>
          <w:rFonts w:ascii="Arial" w:hAnsi="Arial" w:cs="Arial"/>
          <w:sz w:val="24"/>
        </w:rPr>
      </w:pPr>
      <w:r w:rsidRPr="00DA7A9E">
        <w:rPr>
          <w:rFonts w:ascii="Arial" w:hAnsi="Arial" w:cs="Arial"/>
          <w:sz w:val="24"/>
        </w:rPr>
        <w:lastRenderedPageBreak/>
        <w:t>AGENDA</w:t>
      </w:r>
    </w:p>
    <w:p w:rsidRPr="00EB4AA6" w:rsidR="00EB4AA6" w:rsidP="00EB4AA6" w:rsidRDefault="00EB4AA6" w14:paraId="25C064CA" w14:textId="77777777"/>
    <w:p w:rsidR="00F45E91" w:rsidP="003C668E" w:rsidRDefault="001552C4" w14:paraId="5592FDC6" w14:textId="20340EDA">
      <w:pPr>
        <w:jc w:val="center"/>
        <w:rPr>
          <w:rFonts w:ascii="Arial" w:hAnsi="Arial" w:cs="Arial"/>
          <w:i/>
          <w:sz w:val="22"/>
        </w:rPr>
      </w:pPr>
      <w:r w:rsidRPr="001F4B5D">
        <w:rPr>
          <w:rFonts w:ascii="Arial" w:hAnsi="Arial" w:cs="Arial"/>
          <w:i/>
          <w:sz w:val="22"/>
        </w:rPr>
        <w:t>(Agenda ID number correspond</w:t>
      </w:r>
      <w:r w:rsidR="00BE305D">
        <w:rPr>
          <w:rFonts w:ascii="Arial" w:hAnsi="Arial" w:cs="Arial"/>
          <w:i/>
          <w:sz w:val="22"/>
        </w:rPr>
        <w:t>s</w:t>
      </w:r>
      <w:r w:rsidRPr="001F4B5D">
        <w:rPr>
          <w:rFonts w:ascii="Arial" w:hAnsi="Arial" w:cs="Arial"/>
          <w:i/>
          <w:sz w:val="22"/>
        </w:rPr>
        <w:t xml:space="preserve"> to the </w:t>
      </w:r>
      <w:r w:rsidR="00522ED2">
        <w:rPr>
          <w:rFonts w:ascii="Arial" w:hAnsi="Arial" w:cs="Arial"/>
          <w:i/>
          <w:sz w:val="22"/>
        </w:rPr>
        <w:t>December 3</w:t>
      </w:r>
      <w:r w:rsidR="00C03903">
        <w:rPr>
          <w:rFonts w:ascii="Arial" w:hAnsi="Arial" w:cs="Arial"/>
          <w:i/>
          <w:sz w:val="22"/>
        </w:rPr>
        <w:t>, 2020</w:t>
      </w:r>
      <w:r w:rsidRPr="001F4B5D">
        <w:rPr>
          <w:rFonts w:ascii="Arial" w:hAnsi="Arial" w:cs="Arial"/>
          <w:i/>
          <w:sz w:val="22"/>
        </w:rPr>
        <w:t xml:space="preserve"> Business Meeting Agenda)</w:t>
      </w:r>
    </w:p>
    <w:p w:rsidR="00B75350" w:rsidP="003C668E" w:rsidRDefault="00B75350" w14:paraId="432931D9" w14:textId="77777777">
      <w:pPr>
        <w:jc w:val="center"/>
        <w:rPr>
          <w:rFonts w:ascii="Arial" w:hAnsi="Arial" w:cs="Arial"/>
          <w:i/>
          <w:sz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4"/>
        <w:gridCol w:w="8316"/>
      </w:tblGrid>
      <w:tr w:rsidRPr="00B75350" w:rsidR="004D6724" w:rsidTr="00F45E91" w14:paraId="678DE0EA" w14:textId="77777777">
        <w:trPr>
          <w:trHeight w:val="1458"/>
        </w:trPr>
        <w:tc>
          <w:tcPr>
            <w:tcW w:w="544" w:type="pct"/>
          </w:tcPr>
          <w:p w:rsidRPr="00B75350" w:rsidR="004D6724" w:rsidP="00D35321" w:rsidRDefault="004D6724" w14:paraId="1E6A2215" w14:textId="77777777">
            <w:pPr>
              <w:rPr>
                <w:rFonts w:ascii="Arial" w:hAnsi="Arial" w:cs="Arial"/>
                <w:b/>
              </w:rPr>
            </w:pPr>
            <w:r w:rsidRPr="00B75350">
              <w:rPr>
                <w:rFonts w:ascii="Arial" w:hAnsi="Arial" w:cs="Arial"/>
                <w:b/>
              </w:rPr>
              <w:t>NOTE:</w:t>
            </w:r>
          </w:p>
        </w:tc>
        <w:tc>
          <w:tcPr>
            <w:tcW w:w="4456" w:type="pct"/>
          </w:tcPr>
          <w:p w:rsidR="005659D6" w:rsidP="001512F4" w:rsidRDefault="008F766D" w14:paraId="4EDA654A" w14:textId="3CD12C6D">
            <w:pPr>
              <w:pStyle w:val="Default"/>
              <w:rPr>
                <w:b/>
                <w:bCs/>
              </w:rPr>
            </w:pPr>
            <w:r w:rsidRPr="008F766D">
              <w:rPr>
                <w:b/>
                <w:bCs/>
              </w:rPr>
              <w:t xml:space="preserve">Ex </w:t>
            </w:r>
            <w:proofErr w:type="spellStart"/>
            <w:r w:rsidRPr="008F766D">
              <w:rPr>
                <w:b/>
                <w:bCs/>
              </w:rPr>
              <w:t>Parte</w:t>
            </w:r>
            <w:proofErr w:type="spellEnd"/>
            <w:r w:rsidRPr="008F766D">
              <w:rPr>
                <w:b/>
                <w:bCs/>
              </w:rPr>
              <w:t xml:space="preserve"> communications are prohibited on Agenda ID Number</w:t>
            </w:r>
            <w:r w:rsidR="005659D6">
              <w:rPr>
                <w:b/>
                <w:bCs/>
              </w:rPr>
              <w:t xml:space="preserve"> 1</w:t>
            </w:r>
            <w:r w:rsidR="00522ED2">
              <w:rPr>
                <w:b/>
                <w:bCs/>
              </w:rPr>
              <w:t xml:space="preserve">8906 </w:t>
            </w:r>
            <w:r w:rsidRPr="008F766D">
              <w:rPr>
                <w:b/>
                <w:bCs/>
              </w:rPr>
              <w:t>from the day of the Ratesetting Deliberative Meeting</w:t>
            </w:r>
            <w:r w:rsidR="001512F4">
              <w:rPr>
                <w:b/>
                <w:bCs/>
              </w:rPr>
              <w:t xml:space="preserve"> </w:t>
            </w:r>
            <w:r w:rsidRPr="008F766D">
              <w:rPr>
                <w:b/>
                <w:bCs/>
              </w:rPr>
              <w:t>through the conclusion of the Business Meeting, at which a vote on</w:t>
            </w:r>
            <w:r w:rsidR="001512F4">
              <w:rPr>
                <w:b/>
                <w:bCs/>
              </w:rPr>
              <w:t xml:space="preserve"> </w:t>
            </w:r>
            <w:r w:rsidRPr="008F766D">
              <w:rPr>
                <w:b/>
                <w:bCs/>
              </w:rPr>
              <w:t>the Proposed Decision is scheduled. Rule 8.2(c)(4).</w:t>
            </w:r>
          </w:p>
          <w:p w:rsidRPr="004D6724" w:rsidR="004D6724" w:rsidP="00E01D56" w:rsidRDefault="004D6724" w14:paraId="68AA47B5" w14:textId="394908FD">
            <w:pPr>
              <w:rPr>
                <w:rFonts w:ascii="Arial" w:hAnsi="Arial" w:cs="Arial"/>
                <w:b/>
              </w:rPr>
            </w:pPr>
          </w:p>
        </w:tc>
      </w:tr>
      <w:tr w:rsidRPr="009F731B" w:rsidR="006F7509" w:rsidTr="00C2569A" w14:paraId="548BDE56" w14:textId="77777777">
        <w:trPr>
          <w:trHeight w:val="144"/>
        </w:trPr>
        <w:tc>
          <w:tcPr>
            <w:tcW w:w="544" w:type="pct"/>
          </w:tcPr>
          <w:p w:rsidRPr="00D01779" w:rsidR="006F7509" w:rsidP="000B24D0" w:rsidRDefault="006F7509" w14:paraId="49C97BA5" w14:textId="296B4948">
            <w:pPr>
              <w:rPr>
                <w:rFonts w:ascii="Arial" w:hAnsi="Arial" w:cs="Arial"/>
                <w:b/>
              </w:rPr>
            </w:pPr>
            <w:bookmarkStart w:name="_Hlk48816911" w:id="1"/>
            <w:bookmarkEnd w:id="0"/>
            <w:r>
              <w:rPr>
                <w:rFonts w:ascii="Arial" w:hAnsi="Arial" w:cs="Arial"/>
                <w:b/>
              </w:rPr>
              <w:t>[18</w:t>
            </w:r>
            <w:r w:rsidR="00522ED2">
              <w:rPr>
                <w:rFonts w:ascii="Arial" w:hAnsi="Arial" w:cs="Arial"/>
                <w:b/>
              </w:rPr>
              <w:t>906</w:t>
            </w:r>
            <w:r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4456" w:type="pct"/>
          </w:tcPr>
          <w:p w:rsidR="005659D6" w:rsidP="00522ED2" w:rsidRDefault="00522ED2" w14:paraId="1E293C36" w14:textId="798628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2ED2">
              <w:rPr>
                <w:rFonts w:ascii="Arial" w:hAnsi="Arial" w:cs="Arial"/>
                <w:b/>
                <w:bCs/>
                <w:sz w:val="22"/>
                <w:szCs w:val="22"/>
              </w:rPr>
              <w:t>Pacific Gas and Electric Company's Test Year 2020 General Rate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22ED2">
              <w:rPr>
                <w:rFonts w:ascii="Arial" w:hAnsi="Arial" w:cs="Arial"/>
                <w:b/>
                <w:bCs/>
                <w:sz w:val="22"/>
                <w:szCs w:val="22"/>
              </w:rPr>
              <w:t>Case</w:t>
            </w:r>
          </w:p>
          <w:p w:rsidR="00F918E8" w:rsidP="00F918E8" w:rsidRDefault="00F918E8" w14:paraId="1A4ECAB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522ED2" w:rsidP="00F918E8" w:rsidRDefault="00522ED2" w14:paraId="6E58355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2ED2">
              <w:rPr>
                <w:rFonts w:ascii="Arial" w:hAnsi="Arial" w:cs="Arial"/>
                <w:b/>
                <w:bCs/>
                <w:sz w:val="22"/>
                <w:szCs w:val="22"/>
              </w:rPr>
              <w:t>A.18-12-009</w:t>
            </w:r>
          </w:p>
          <w:p w:rsidR="00F918E8" w:rsidP="00522ED2" w:rsidRDefault="00522ED2" w14:paraId="37801E76" w14:textId="29D2AFF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22ED2">
              <w:rPr>
                <w:rFonts w:ascii="Arial" w:hAnsi="Arial" w:cs="Arial"/>
                <w:sz w:val="22"/>
                <w:szCs w:val="22"/>
              </w:rPr>
              <w:t>Application of Pacific Gas and Electric Company for Authority, Among Other Things, to Increase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ED2">
              <w:rPr>
                <w:rFonts w:ascii="Arial" w:hAnsi="Arial" w:cs="Arial"/>
                <w:sz w:val="22"/>
                <w:szCs w:val="22"/>
              </w:rPr>
              <w:t>Rates and Charges for Electric and Gas Service Effective on January 1, 2020.</w:t>
            </w:r>
          </w:p>
          <w:p w:rsidR="00522ED2" w:rsidP="00522ED2" w:rsidRDefault="00522ED2" w14:paraId="12B6787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918E8" w:rsidP="00F918E8" w:rsidRDefault="00F918E8" w14:paraId="0697D892" w14:textId="25D86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PROPOSED OUTCOME:</w:t>
            </w:r>
            <w:r w:rsidR="00146CB4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  <w:p w:rsidRPr="00522ED2" w:rsidR="00522ED2" w:rsidP="00522ED2" w:rsidRDefault="00522ED2" w14:paraId="1072D41B" w14:textId="77777777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22ED2">
              <w:rPr>
                <w:rFonts w:ascii="Arial" w:hAnsi="Arial" w:cs="Arial"/>
                <w:sz w:val="22"/>
                <w:szCs w:val="22"/>
              </w:rPr>
              <w:t>Adopts the Settlement Agreement involving most of the active parties with</w:t>
            </w:r>
          </w:p>
          <w:p w:rsidRPr="00522ED2" w:rsidR="00522ED2" w:rsidP="007B4233" w:rsidRDefault="00522ED2" w14:paraId="203FBDD1" w14:textId="7777777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22ED2">
              <w:rPr>
                <w:rFonts w:ascii="Arial" w:hAnsi="Arial" w:cs="Arial"/>
                <w:sz w:val="22"/>
                <w:szCs w:val="22"/>
              </w:rPr>
              <w:t>modifications.</w:t>
            </w:r>
          </w:p>
          <w:p w:rsidRPr="00522ED2" w:rsidR="00522ED2" w:rsidP="00F80F12" w:rsidRDefault="00522ED2" w14:paraId="3865353A" w14:textId="41E2A55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22ED2">
              <w:rPr>
                <w:rFonts w:ascii="Arial" w:hAnsi="Arial" w:cs="Arial"/>
                <w:sz w:val="22"/>
                <w:szCs w:val="22"/>
              </w:rPr>
              <w:t>Adopts a Test Year 2020 revenue requirement of $9.102 billion, which is an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ED2">
              <w:rPr>
                <w:rFonts w:ascii="Arial" w:hAnsi="Arial" w:cs="Arial"/>
                <w:sz w:val="22"/>
                <w:szCs w:val="22"/>
              </w:rPr>
              <w:t>increase of $584 million, or 6.9%, over Pacific Gas and Electric Company's (PG&amp;E)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ED2">
              <w:rPr>
                <w:rFonts w:ascii="Arial" w:hAnsi="Arial" w:cs="Arial"/>
                <w:sz w:val="22"/>
                <w:szCs w:val="22"/>
              </w:rPr>
              <w:t>currently authorized revenue requirement.</w:t>
            </w:r>
          </w:p>
          <w:p w:rsidRPr="00522ED2" w:rsidR="00522ED2" w:rsidP="00DA0B07" w:rsidRDefault="00522ED2" w14:paraId="2B42476B" w14:textId="76ED89F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22ED2">
              <w:rPr>
                <w:rFonts w:ascii="Arial" w:hAnsi="Arial" w:cs="Arial"/>
                <w:sz w:val="22"/>
                <w:szCs w:val="22"/>
              </w:rPr>
              <w:t>Adopts Post-Test Year Revenue Requirement Increases of 3.7% in 2021 and 3.6%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ED2">
              <w:rPr>
                <w:rFonts w:ascii="Arial" w:hAnsi="Arial" w:cs="Arial"/>
                <w:sz w:val="22"/>
                <w:szCs w:val="22"/>
              </w:rPr>
              <w:t>in 2022.</w:t>
            </w:r>
          </w:p>
          <w:p w:rsidRPr="00522ED2" w:rsidR="00522ED2" w:rsidP="009E7D45" w:rsidRDefault="00522ED2" w14:paraId="1A766A03" w14:textId="3CF79A33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22ED2">
              <w:rPr>
                <w:rFonts w:ascii="Arial" w:hAnsi="Arial" w:cs="Arial"/>
                <w:sz w:val="22"/>
                <w:szCs w:val="22"/>
              </w:rPr>
              <w:t>Adopts a two-way Wildfire Mitigation Balancing Account that records Community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ED2">
              <w:rPr>
                <w:rFonts w:ascii="Arial" w:hAnsi="Arial" w:cs="Arial"/>
                <w:sz w:val="22"/>
                <w:szCs w:val="22"/>
              </w:rPr>
              <w:t>Wildfire Safety Program costs.</w:t>
            </w:r>
          </w:p>
          <w:p w:rsidR="00F918E8" w:rsidP="00522ED2" w:rsidRDefault="00522ED2" w14:paraId="628D1321" w14:textId="32526A5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22ED2">
              <w:rPr>
                <w:rFonts w:ascii="Arial" w:hAnsi="Arial" w:cs="Arial"/>
                <w:sz w:val="22"/>
                <w:szCs w:val="22"/>
              </w:rPr>
              <w:t>Closes the proceeding.</w:t>
            </w:r>
          </w:p>
          <w:p w:rsidRPr="00146CB4" w:rsidR="00522ED2" w:rsidP="00522ED2" w:rsidRDefault="00522ED2" w14:paraId="1EC6E50D" w14:textId="7777777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918E8" w:rsidP="00F918E8" w:rsidRDefault="00F918E8" w14:paraId="2D03E31D" w14:textId="771A75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SAFETY CONSIDERATIONS:</w:t>
            </w:r>
            <w:r w:rsidR="00146CB4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  <w:p w:rsidR="00F918E8" w:rsidP="00346E90" w:rsidRDefault="00522ED2" w14:paraId="4EC8E48D" w14:textId="16B510D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22ED2">
              <w:rPr>
                <w:rFonts w:ascii="Arial" w:hAnsi="Arial" w:cs="Arial"/>
                <w:sz w:val="22"/>
                <w:szCs w:val="22"/>
              </w:rPr>
              <w:t>Adopts the Settlement Agreement's enhanced wildfire mitigation measures, which are part of PG&amp;E's Community Wildfire Safety Program as well as mitigations for key safety risks identified in PG&amp;E's Risk Assessment and Mitigation Phase proceeding, I.17-11-003.</w:t>
            </w:r>
          </w:p>
          <w:p w:rsidRPr="00522ED2" w:rsidR="00522ED2" w:rsidP="00522ED2" w:rsidRDefault="00522ED2" w14:paraId="3B53BD4E" w14:textId="7777777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918E8" w:rsidP="00F918E8" w:rsidRDefault="00F918E8" w14:paraId="0FD26BEA" w14:textId="4C5515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ESTIMATED COST:</w:t>
            </w:r>
            <w:r w:rsidR="00146CB4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  <w:p w:rsidRPr="00522ED2" w:rsidR="00F918E8" w:rsidP="009E449D" w:rsidRDefault="00522ED2" w14:paraId="6BB0B5F2" w14:textId="4C5DA4FA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iCs/>
                <w:sz w:val="22"/>
              </w:rPr>
            </w:pPr>
            <w:r w:rsidRPr="00522ED2">
              <w:rPr>
                <w:rFonts w:ascii="Arial" w:hAnsi="Arial" w:cs="Arial"/>
                <w:sz w:val="22"/>
                <w:szCs w:val="22"/>
              </w:rPr>
              <w:t>Increases PG&amp;E's revenue requirement by 6.9% (or $584 million) in 2020, 3.7% (or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ED2">
              <w:rPr>
                <w:rFonts w:ascii="Arial" w:hAnsi="Arial" w:cs="Arial"/>
                <w:sz w:val="22"/>
                <w:szCs w:val="22"/>
              </w:rPr>
              <w:t>$339 million) in 2021, and 3.6% (or $344 million) in 2022.</w:t>
            </w:r>
          </w:p>
          <w:p w:rsidRPr="00522ED2" w:rsidR="00522ED2" w:rsidP="00522ED2" w:rsidRDefault="00522ED2" w14:paraId="3F8EE842" w14:textId="77777777">
            <w:pPr>
              <w:pStyle w:val="ListParagraph"/>
              <w:rPr>
                <w:rFonts w:ascii="Arial" w:hAnsi="Arial" w:cs="Arial"/>
                <w:iCs/>
                <w:sz w:val="22"/>
              </w:rPr>
            </w:pPr>
          </w:p>
          <w:p w:rsidR="006F7509" w:rsidP="00C2569A" w:rsidRDefault="006F7509" w14:paraId="285109B7" w14:textId="61394EDA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22"/>
              </w:rPr>
            </w:pPr>
            <w:r w:rsidRPr="001F4B5D">
              <w:rPr>
                <w:rFonts w:ascii="Arial" w:hAnsi="Arial" w:cs="Arial"/>
                <w:color w:val="000000"/>
                <w:sz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2ED2">
              <w:rPr>
                <w:rFonts w:ascii="Arial" w:hAnsi="Arial" w:cs="Arial"/>
                <w:sz w:val="22"/>
                <w:szCs w:val="22"/>
              </w:rPr>
              <w:t>Randolph</w:t>
            </w:r>
            <w:r w:rsidR="008A2B14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659D6" w:rsidR="005659D6">
              <w:rPr>
                <w:rFonts w:ascii="Arial" w:hAnsi="Arial" w:cs="Arial"/>
                <w:sz w:val="22"/>
                <w:szCs w:val="22"/>
              </w:rPr>
              <w:t xml:space="preserve">Judge </w:t>
            </w:r>
            <w:r w:rsidR="00522ED2">
              <w:rPr>
                <w:rFonts w:ascii="Arial" w:hAnsi="Arial" w:cs="Arial"/>
                <w:sz w:val="22"/>
                <w:szCs w:val="22"/>
              </w:rPr>
              <w:t>Lau – Judge Lirag</w:t>
            </w:r>
            <w:r w:rsidRPr="001F4B5D">
              <w:rPr>
                <w:rFonts w:ascii="Arial" w:hAnsi="Arial" w:cs="Arial"/>
                <w:color w:val="000000"/>
                <w:sz w:val="22"/>
              </w:rPr>
              <w:t xml:space="preserve">) </w:t>
            </w:r>
          </w:p>
          <w:p w:rsidR="00522ED2" w:rsidP="00C2569A" w:rsidRDefault="00455D7A" w14:paraId="305A7CB7" w14:textId="3C2F5DD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FF"/>
                <w:sz w:val="22"/>
                <w:szCs w:val="22"/>
              </w:rPr>
            </w:pPr>
            <w:hyperlink w:history="1" r:id="rId13">
              <w:r w:rsidRPr="00B33A48" w:rsidR="00522ED2">
                <w:rPr>
                  <w:rStyle w:val="Hyperlink"/>
                  <w:rFonts w:ascii="Arial" w:hAnsi="Arial" w:cs="Arial"/>
                  <w:sz w:val="22"/>
                  <w:szCs w:val="22"/>
                </w:rPr>
                <w:t>http://docs.cpuc.ca.gov/SearchRes.aspx?docformat=ALL&amp;docid=349206481</w:t>
              </w:r>
            </w:hyperlink>
          </w:p>
          <w:p w:rsidRPr="001F4B5D" w:rsidR="006F7509" w:rsidP="00C2569A" w:rsidRDefault="006F7509" w14:paraId="22B4995F" w14:textId="4BFC7D2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i/>
                <w:iCs/>
                <w:sz w:val="22"/>
              </w:rPr>
            </w:pPr>
            <w:r w:rsidRPr="001F4B5D">
              <w:rPr>
                <w:rFonts w:ascii="Arial" w:hAnsi="Arial" w:cs="Arial"/>
                <w:i/>
                <w:iCs/>
                <w:sz w:val="22"/>
              </w:rPr>
              <w:t>Pub. Util. Code § 311 – This item was mailed for Public Comment.</w:t>
            </w:r>
          </w:p>
          <w:p w:rsidR="006F7509" w:rsidP="00C2569A" w:rsidRDefault="006F7509" w14:paraId="056C9E6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1F4B5D">
              <w:rPr>
                <w:rFonts w:ascii="Arial" w:hAnsi="Arial" w:cs="Arial"/>
                <w:bCs/>
                <w:i/>
                <w:sz w:val="22"/>
              </w:rPr>
              <w:t>Pub. Util. Code §1701.1 -- This proceeding is categorized as Ratesetting</w:t>
            </w:r>
            <w:r w:rsidRPr="001F4B5D">
              <w:rPr>
                <w:rFonts w:ascii="Arial" w:hAnsi="Arial" w:cs="Arial"/>
                <w:bCs/>
                <w:sz w:val="22"/>
              </w:rPr>
              <w:t>.</w:t>
            </w:r>
          </w:p>
          <w:p w:rsidRPr="00146CB4" w:rsidR="006F7509" w:rsidP="007106CC" w:rsidRDefault="006F7509" w14:paraId="0FC6B148" w14:textId="3650E5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 w:rsidRPr="007106C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This matter may be considered during the Ratesetting Deliberative Meeting</w:t>
            </w:r>
            <w:r w:rsidR="00146CB4">
              <w:rPr>
                <w:rFonts w:ascii="Arial" w:hAnsi="Arial" w:cs="Arial"/>
                <w:bCs/>
                <w:iCs/>
                <w:color w:val="000000"/>
              </w:rPr>
              <w:t>.</w:t>
            </w:r>
          </w:p>
        </w:tc>
      </w:tr>
      <w:bookmarkEnd w:id="1"/>
    </w:tbl>
    <w:p w:rsidR="005659D6" w:rsidP="00F918E8" w:rsidRDefault="005659D6" w14:paraId="014DAAEE" w14:textId="1BA31C1E"/>
    <w:sectPr w:rsidR="005659D6" w:rsidSect="00B75350">
      <w:headerReference w:type="default" r:id="rId14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F0FFD" w14:textId="77777777" w:rsidR="00455D7A" w:rsidRDefault="00455D7A">
      <w:r>
        <w:separator/>
      </w:r>
    </w:p>
  </w:endnote>
  <w:endnote w:type="continuationSeparator" w:id="0">
    <w:p w14:paraId="56582513" w14:textId="77777777" w:rsidR="00455D7A" w:rsidRDefault="0045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986D" w14:textId="5D2414EF" w:rsidR="006A0B79" w:rsidRDefault="006A0B7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73BD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4C833" w14:textId="77777777" w:rsidR="00455D7A" w:rsidRDefault="00455D7A">
      <w:r>
        <w:separator/>
      </w:r>
    </w:p>
  </w:footnote>
  <w:footnote w:type="continuationSeparator" w:id="0">
    <w:p w14:paraId="6CEFB19F" w14:textId="77777777" w:rsidR="00455D7A" w:rsidRDefault="00455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3DCD8" w14:textId="34174163" w:rsidR="00CB41D8" w:rsidRDefault="006A0B79" w:rsidP="000B137A">
    <w:pPr>
      <w:pStyle w:val="Header"/>
      <w:tabs>
        <w:tab w:val="clear" w:pos="8640"/>
        <w:tab w:val="right" w:pos="9360"/>
      </w:tabs>
      <w:rPr>
        <w:i/>
        <w:iCs/>
        <w:sz w:val="20"/>
      </w:rPr>
    </w:pPr>
    <w:r>
      <w:rPr>
        <w:i/>
        <w:iCs/>
        <w:sz w:val="20"/>
      </w:rPr>
      <w:t>Ratesetting Deliberativ</w:t>
    </w:r>
    <w:r w:rsidR="00566CCC">
      <w:rPr>
        <w:i/>
        <w:iCs/>
        <w:sz w:val="20"/>
      </w:rPr>
      <w:t xml:space="preserve">e Meeting Agenda No. </w:t>
    </w:r>
    <w:r w:rsidR="0096320A">
      <w:rPr>
        <w:i/>
        <w:iCs/>
        <w:sz w:val="20"/>
      </w:rPr>
      <w:t>1</w:t>
    </w:r>
    <w:r w:rsidR="002107A3">
      <w:rPr>
        <w:i/>
        <w:iCs/>
        <w:sz w:val="20"/>
      </w:rPr>
      <w:t>3</w:t>
    </w:r>
    <w:r w:rsidR="00522ED2">
      <w:rPr>
        <w:i/>
        <w:iCs/>
        <w:sz w:val="20"/>
      </w:rPr>
      <w:t>5</w:t>
    </w:r>
    <w:r w:rsidR="00566CCC">
      <w:rPr>
        <w:i/>
        <w:iCs/>
        <w:sz w:val="20"/>
      </w:rPr>
      <w:tab/>
    </w:r>
    <w:r w:rsidR="00566CCC">
      <w:rPr>
        <w:i/>
        <w:iCs/>
        <w:sz w:val="20"/>
      </w:rPr>
      <w:tab/>
    </w:r>
    <w:r w:rsidR="002107A3">
      <w:rPr>
        <w:i/>
        <w:iCs/>
        <w:sz w:val="20"/>
      </w:rPr>
      <w:t>Mon</w:t>
    </w:r>
    <w:r w:rsidR="00DC2310">
      <w:rPr>
        <w:i/>
        <w:iCs/>
        <w:sz w:val="20"/>
      </w:rPr>
      <w:t>day</w:t>
    </w:r>
    <w:r w:rsidR="00EF4807">
      <w:rPr>
        <w:i/>
        <w:iCs/>
        <w:sz w:val="20"/>
      </w:rPr>
      <w:t xml:space="preserve">, </w:t>
    </w:r>
    <w:r w:rsidR="00522ED2">
      <w:rPr>
        <w:i/>
        <w:iCs/>
        <w:sz w:val="20"/>
      </w:rPr>
      <w:t>November 30</w:t>
    </w:r>
    <w:r w:rsidR="008F766D">
      <w:rPr>
        <w:i/>
        <w:iCs/>
        <w:sz w:val="20"/>
      </w:rPr>
      <w:t>, 2020</w:t>
    </w:r>
  </w:p>
  <w:p w14:paraId="6BAC00B7" w14:textId="77777777" w:rsidR="006A0B79" w:rsidRDefault="006A0B79">
    <w:pPr>
      <w:pBdr>
        <w:top w:val="double" w:sz="6" w:space="1" w:color="auto"/>
      </w:pBdr>
      <w:jc w:val="both"/>
      <w:rPr>
        <w:b/>
        <w:i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7C96"/>
    <w:multiLevelType w:val="hybridMultilevel"/>
    <w:tmpl w:val="A9DE5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1E1650"/>
    <w:multiLevelType w:val="hybridMultilevel"/>
    <w:tmpl w:val="5B1E2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2390"/>
    <w:multiLevelType w:val="hybridMultilevel"/>
    <w:tmpl w:val="DF7C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4E276C"/>
    <w:multiLevelType w:val="hybridMultilevel"/>
    <w:tmpl w:val="50C4E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F4D8E"/>
    <w:multiLevelType w:val="multilevel"/>
    <w:tmpl w:val="F920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16329"/>
    <w:multiLevelType w:val="multilevel"/>
    <w:tmpl w:val="E8E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20B31"/>
    <w:multiLevelType w:val="multilevel"/>
    <w:tmpl w:val="191A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C41A8E"/>
    <w:multiLevelType w:val="multilevel"/>
    <w:tmpl w:val="C4E2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375B1"/>
    <w:multiLevelType w:val="multilevel"/>
    <w:tmpl w:val="58F6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C92B2F"/>
    <w:multiLevelType w:val="multilevel"/>
    <w:tmpl w:val="5B8C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B46E1D"/>
    <w:multiLevelType w:val="hybridMultilevel"/>
    <w:tmpl w:val="A314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2062D"/>
    <w:multiLevelType w:val="hybridMultilevel"/>
    <w:tmpl w:val="A254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887213"/>
    <w:multiLevelType w:val="hybridMultilevel"/>
    <w:tmpl w:val="1AF0D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83CC6"/>
    <w:multiLevelType w:val="multilevel"/>
    <w:tmpl w:val="4B9C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D41C8D"/>
    <w:multiLevelType w:val="hybridMultilevel"/>
    <w:tmpl w:val="FE606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F51BD"/>
    <w:multiLevelType w:val="multilevel"/>
    <w:tmpl w:val="15F4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1A223B"/>
    <w:multiLevelType w:val="hybridMultilevel"/>
    <w:tmpl w:val="F9A02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67BB8"/>
    <w:multiLevelType w:val="multilevel"/>
    <w:tmpl w:val="0932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BA54FD"/>
    <w:multiLevelType w:val="hybridMultilevel"/>
    <w:tmpl w:val="67E05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093130"/>
    <w:multiLevelType w:val="hybridMultilevel"/>
    <w:tmpl w:val="6DF4C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16ECD"/>
    <w:multiLevelType w:val="multilevel"/>
    <w:tmpl w:val="D914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D040A3"/>
    <w:multiLevelType w:val="hybridMultilevel"/>
    <w:tmpl w:val="1086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651A0"/>
    <w:multiLevelType w:val="multilevel"/>
    <w:tmpl w:val="427E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002875"/>
    <w:multiLevelType w:val="multilevel"/>
    <w:tmpl w:val="8224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A840F8"/>
    <w:multiLevelType w:val="hybridMultilevel"/>
    <w:tmpl w:val="5E5E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341DB"/>
    <w:multiLevelType w:val="hybridMultilevel"/>
    <w:tmpl w:val="B00AF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30690"/>
    <w:multiLevelType w:val="hybridMultilevel"/>
    <w:tmpl w:val="17160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92CDB"/>
    <w:multiLevelType w:val="multilevel"/>
    <w:tmpl w:val="ED78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B31383"/>
    <w:multiLevelType w:val="hybridMultilevel"/>
    <w:tmpl w:val="0A24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00B37"/>
    <w:multiLevelType w:val="hybridMultilevel"/>
    <w:tmpl w:val="0192A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01C29"/>
    <w:multiLevelType w:val="hybridMultilevel"/>
    <w:tmpl w:val="EA902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C918C5"/>
    <w:multiLevelType w:val="multilevel"/>
    <w:tmpl w:val="EDE2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DF3960"/>
    <w:multiLevelType w:val="hybridMultilevel"/>
    <w:tmpl w:val="7422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D4F6C"/>
    <w:multiLevelType w:val="hybridMultilevel"/>
    <w:tmpl w:val="5C162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90F4D"/>
    <w:multiLevelType w:val="hybridMultilevel"/>
    <w:tmpl w:val="1C52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14"/>
  </w:num>
  <w:num w:numId="5">
    <w:abstractNumId w:val="33"/>
  </w:num>
  <w:num w:numId="6">
    <w:abstractNumId w:val="26"/>
  </w:num>
  <w:num w:numId="7">
    <w:abstractNumId w:val="19"/>
  </w:num>
  <w:num w:numId="8">
    <w:abstractNumId w:val="1"/>
  </w:num>
  <w:num w:numId="9">
    <w:abstractNumId w:val="9"/>
  </w:num>
  <w:num w:numId="10">
    <w:abstractNumId w:val="25"/>
  </w:num>
  <w:num w:numId="11">
    <w:abstractNumId w:val="12"/>
  </w:num>
  <w:num w:numId="12">
    <w:abstractNumId w:val="4"/>
  </w:num>
  <w:num w:numId="13">
    <w:abstractNumId w:val="20"/>
  </w:num>
  <w:num w:numId="14">
    <w:abstractNumId w:val="34"/>
  </w:num>
  <w:num w:numId="15">
    <w:abstractNumId w:val="28"/>
  </w:num>
  <w:num w:numId="16">
    <w:abstractNumId w:val="18"/>
  </w:num>
  <w:num w:numId="17">
    <w:abstractNumId w:val="10"/>
  </w:num>
  <w:num w:numId="18">
    <w:abstractNumId w:val="21"/>
  </w:num>
  <w:num w:numId="19">
    <w:abstractNumId w:val="5"/>
  </w:num>
  <w:num w:numId="20">
    <w:abstractNumId w:val="17"/>
  </w:num>
  <w:num w:numId="21">
    <w:abstractNumId w:val="7"/>
  </w:num>
  <w:num w:numId="22">
    <w:abstractNumId w:val="15"/>
  </w:num>
  <w:num w:numId="23">
    <w:abstractNumId w:val="6"/>
  </w:num>
  <w:num w:numId="24">
    <w:abstractNumId w:val="22"/>
  </w:num>
  <w:num w:numId="25">
    <w:abstractNumId w:val="8"/>
  </w:num>
  <w:num w:numId="26">
    <w:abstractNumId w:val="27"/>
  </w:num>
  <w:num w:numId="27">
    <w:abstractNumId w:val="23"/>
  </w:num>
  <w:num w:numId="28">
    <w:abstractNumId w:val="13"/>
  </w:num>
  <w:num w:numId="29">
    <w:abstractNumId w:val="31"/>
  </w:num>
  <w:num w:numId="30">
    <w:abstractNumId w:val="30"/>
  </w:num>
  <w:num w:numId="31">
    <w:abstractNumId w:val="29"/>
  </w:num>
  <w:num w:numId="32">
    <w:abstractNumId w:val="0"/>
  </w:num>
  <w:num w:numId="33">
    <w:abstractNumId w:val="2"/>
  </w:num>
  <w:num w:numId="34">
    <w:abstractNumId w:val="11"/>
  </w:num>
  <w:num w:numId="35">
    <w:abstractNumId w:val="2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3F"/>
    <w:rsid w:val="00000517"/>
    <w:rsid w:val="00000ACA"/>
    <w:rsid w:val="00002FA6"/>
    <w:rsid w:val="00010050"/>
    <w:rsid w:val="00012396"/>
    <w:rsid w:val="0001622A"/>
    <w:rsid w:val="000220E8"/>
    <w:rsid w:val="00027CDD"/>
    <w:rsid w:val="00032D6E"/>
    <w:rsid w:val="000333BA"/>
    <w:rsid w:val="00033D04"/>
    <w:rsid w:val="00036742"/>
    <w:rsid w:val="00037B8D"/>
    <w:rsid w:val="0004190F"/>
    <w:rsid w:val="00042563"/>
    <w:rsid w:val="00046F2D"/>
    <w:rsid w:val="00050ADF"/>
    <w:rsid w:val="0005766D"/>
    <w:rsid w:val="00057AC3"/>
    <w:rsid w:val="00060F1B"/>
    <w:rsid w:val="000647AA"/>
    <w:rsid w:val="00080169"/>
    <w:rsid w:val="00091684"/>
    <w:rsid w:val="00092D51"/>
    <w:rsid w:val="000A1EC1"/>
    <w:rsid w:val="000A2386"/>
    <w:rsid w:val="000A7FB1"/>
    <w:rsid w:val="000B137A"/>
    <w:rsid w:val="000B24D0"/>
    <w:rsid w:val="000B44AC"/>
    <w:rsid w:val="000B6B52"/>
    <w:rsid w:val="000B758C"/>
    <w:rsid w:val="000C03B8"/>
    <w:rsid w:val="000C19F8"/>
    <w:rsid w:val="000C4B12"/>
    <w:rsid w:val="000C7B9C"/>
    <w:rsid w:val="000C7BCC"/>
    <w:rsid w:val="000D6160"/>
    <w:rsid w:val="000D651F"/>
    <w:rsid w:val="000D6DEB"/>
    <w:rsid w:val="000E491C"/>
    <w:rsid w:val="000F4C3D"/>
    <w:rsid w:val="000F642A"/>
    <w:rsid w:val="00105623"/>
    <w:rsid w:val="00131EDF"/>
    <w:rsid w:val="001408B9"/>
    <w:rsid w:val="001443F1"/>
    <w:rsid w:val="00144E69"/>
    <w:rsid w:val="00146CB4"/>
    <w:rsid w:val="00146E67"/>
    <w:rsid w:val="001512E8"/>
    <w:rsid w:val="001512F4"/>
    <w:rsid w:val="001552C4"/>
    <w:rsid w:val="001618D7"/>
    <w:rsid w:val="00161A5F"/>
    <w:rsid w:val="00170E06"/>
    <w:rsid w:val="00177155"/>
    <w:rsid w:val="00177DF8"/>
    <w:rsid w:val="00181168"/>
    <w:rsid w:val="00182A75"/>
    <w:rsid w:val="00182AEA"/>
    <w:rsid w:val="00187A53"/>
    <w:rsid w:val="0019222E"/>
    <w:rsid w:val="0019248B"/>
    <w:rsid w:val="001A38C1"/>
    <w:rsid w:val="001A49E2"/>
    <w:rsid w:val="001A7FCE"/>
    <w:rsid w:val="001B3274"/>
    <w:rsid w:val="001B6809"/>
    <w:rsid w:val="001C6BDE"/>
    <w:rsid w:val="001D11ED"/>
    <w:rsid w:val="001D1DE8"/>
    <w:rsid w:val="001D2128"/>
    <w:rsid w:val="001D447B"/>
    <w:rsid w:val="001E16B0"/>
    <w:rsid w:val="001E25F7"/>
    <w:rsid w:val="001E4E64"/>
    <w:rsid w:val="001F29AD"/>
    <w:rsid w:val="001F4B5D"/>
    <w:rsid w:val="00203DA9"/>
    <w:rsid w:val="002107A3"/>
    <w:rsid w:val="00222B21"/>
    <w:rsid w:val="00225775"/>
    <w:rsid w:val="00226D72"/>
    <w:rsid w:val="00231216"/>
    <w:rsid w:val="00232D2E"/>
    <w:rsid w:val="0023480A"/>
    <w:rsid w:val="00236EB8"/>
    <w:rsid w:val="0023703B"/>
    <w:rsid w:val="002407E0"/>
    <w:rsid w:val="00242DD3"/>
    <w:rsid w:val="00247B6C"/>
    <w:rsid w:val="002518A0"/>
    <w:rsid w:val="002552E7"/>
    <w:rsid w:val="00284360"/>
    <w:rsid w:val="00292251"/>
    <w:rsid w:val="00294431"/>
    <w:rsid w:val="00296975"/>
    <w:rsid w:val="0029720B"/>
    <w:rsid w:val="002A086B"/>
    <w:rsid w:val="002A2928"/>
    <w:rsid w:val="002A426D"/>
    <w:rsid w:val="002B0A28"/>
    <w:rsid w:val="002B0BB2"/>
    <w:rsid w:val="002B220C"/>
    <w:rsid w:val="002B3E65"/>
    <w:rsid w:val="002B6774"/>
    <w:rsid w:val="002B74F9"/>
    <w:rsid w:val="002C6125"/>
    <w:rsid w:val="002C6CBC"/>
    <w:rsid w:val="002D3933"/>
    <w:rsid w:val="002D57A8"/>
    <w:rsid w:val="002D70FE"/>
    <w:rsid w:val="002E6F3B"/>
    <w:rsid w:val="002E7043"/>
    <w:rsid w:val="002E73BC"/>
    <w:rsid w:val="00300903"/>
    <w:rsid w:val="00301BC8"/>
    <w:rsid w:val="00304562"/>
    <w:rsid w:val="00316081"/>
    <w:rsid w:val="00322239"/>
    <w:rsid w:val="00322503"/>
    <w:rsid w:val="00327BD6"/>
    <w:rsid w:val="00343664"/>
    <w:rsid w:val="00343F6B"/>
    <w:rsid w:val="00350623"/>
    <w:rsid w:val="003640B4"/>
    <w:rsid w:val="00364E84"/>
    <w:rsid w:val="00367DED"/>
    <w:rsid w:val="00376561"/>
    <w:rsid w:val="00386CF2"/>
    <w:rsid w:val="00387521"/>
    <w:rsid w:val="00387754"/>
    <w:rsid w:val="00392410"/>
    <w:rsid w:val="00397983"/>
    <w:rsid w:val="00397EBF"/>
    <w:rsid w:val="003A31BF"/>
    <w:rsid w:val="003B40D4"/>
    <w:rsid w:val="003C668E"/>
    <w:rsid w:val="003D7A01"/>
    <w:rsid w:val="003F2B64"/>
    <w:rsid w:val="003F2BAE"/>
    <w:rsid w:val="003F5E86"/>
    <w:rsid w:val="0040047A"/>
    <w:rsid w:val="00401C69"/>
    <w:rsid w:val="00403081"/>
    <w:rsid w:val="00405340"/>
    <w:rsid w:val="004077C8"/>
    <w:rsid w:val="00411E1A"/>
    <w:rsid w:val="00417881"/>
    <w:rsid w:val="0042025D"/>
    <w:rsid w:val="0042346E"/>
    <w:rsid w:val="00423D5F"/>
    <w:rsid w:val="00425017"/>
    <w:rsid w:val="004318C7"/>
    <w:rsid w:val="004507E0"/>
    <w:rsid w:val="004519B7"/>
    <w:rsid w:val="00454EAD"/>
    <w:rsid w:val="00455D7A"/>
    <w:rsid w:val="004605F2"/>
    <w:rsid w:val="00462814"/>
    <w:rsid w:val="004742F3"/>
    <w:rsid w:val="00474BF8"/>
    <w:rsid w:val="00485A2D"/>
    <w:rsid w:val="004865FC"/>
    <w:rsid w:val="004876A5"/>
    <w:rsid w:val="004908BD"/>
    <w:rsid w:val="004B0D0D"/>
    <w:rsid w:val="004C052A"/>
    <w:rsid w:val="004C4FD2"/>
    <w:rsid w:val="004C6C90"/>
    <w:rsid w:val="004D27D7"/>
    <w:rsid w:val="004D6724"/>
    <w:rsid w:val="004F57A4"/>
    <w:rsid w:val="00501A9C"/>
    <w:rsid w:val="0050511F"/>
    <w:rsid w:val="00506F39"/>
    <w:rsid w:val="0051474C"/>
    <w:rsid w:val="00514901"/>
    <w:rsid w:val="00520218"/>
    <w:rsid w:val="00522ED2"/>
    <w:rsid w:val="0052382B"/>
    <w:rsid w:val="005257D0"/>
    <w:rsid w:val="00526111"/>
    <w:rsid w:val="0053363C"/>
    <w:rsid w:val="005449C7"/>
    <w:rsid w:val="00555FDB"/>
    <w:rsid w:val="00557C7D"/>
    <w:rsid w:val="00562831"/>
    <w:rsid w:val="00562CC5"/>
    <w:rsid w:val="005659D6"/>
    <w:rsid w:val="00566CCC"/>
    <w:rsid w:val="00591A6D"/>
    <w:rsid w:val="00597B35"/>
    <w:rsid w:val="005A0A70"/>
    <w:rsid w:val="005A12BE"/>
    <w:rsid w:val="005A4CBF"/>
    <w:rsid w:val="005B079B"/>
    <w:rsid w:val="005B12CE"/>
    <w:rsid w:val="005B4399"/>
    <w:rsid w:val="005C41D0"/>
    <w:rsid w:val="005C4727"/>
    <w:rsid w:val="005D0554"/>
    <w:rsid w:val="005D131C"/>
    <w:rsid w:val="005D5BE9"/>
    <w:rsid w:val="005D7BD0"/>
    <w:rsid w:val="005E1E66"/>
    <w:rsid w:val="005E247D"/>
    <w:rsid w:val="005E3939"/>
    <w:rsid w:val="005E3E5A"/>
    <w:rsid w:val="005E5F70"/>
    <w:rsid w:val="005E7954"/>
    <w:rsid w:val="00607857"/>
    <w:rsid w:val="00626432"/>
    <w:rsid w:val="00642B56"/>
    <w:rsid w:val="00644AE1"/>
    <w:rsid w:val="00656081"/>
    <w:rsid w:val="00663CAE"/>
    <w:rsid w:val="00667333"/>
    <w:rsid w:val="006712A4"/>
    <w:rsid w:val="00682013"/>
    <w:rsid w:val="00683A51"/>
    <w:rsid w:val="00686E85"/>
    <w:rsid w:val="00692396"/>
    <w:rsid w:val="00693FF0"/>
    <w:rsid w:val="006952F9"/>
    <w:rsid w:val="0069619D"/>
    <w:rsid w:val="006A0B79"/>
    <w:rsid w:val="006A0F13"/>
    <w:rsid w:val="006A2A4A"/>
    <w:rsid w:val="006A3786"/>
    <w:rsid w:val="006A6986"/>
    <w:rsid w:val="006B4CC3"/>
    <w:rsid w:val="006C5577"/>
    <w:rsid w:val="006D389B"/>
    <w:rsid w:val="006D48A5"/>
    <w:rsid w:val="006D7CE0"/>
    <w:rsid w:val="006E2142"/>
    <w:rsid w:val="006E5A6B"/>
    <w:rsid w:val="006E77BD"/>
    <w:rsid w:val="006F39F8"/>
    <w:rsid w:val="006F3C7E"/>
    <w:rsid w:val="006F7509"/>
    <w:rsid w:val="0070310A"/>
    <w:rsid w:val="00704440"/>
    <w:rsid w:val="007106CC"/>
    <w:rsid w:val="0071179C"/>
    <w:rsid w:val="0072111F"/>
    <w:rsid w:val="00723292"/>
    <w:rsid w:val="007335F3"/>
    <w:rsid w:val="00733D44"/>
    <w:rsid w:val="007377B9"/>
    <w:rsid w:val="00740B49"/>
    <w:rsid w:val="0075467E"/>
    <w:rsid w:val="00770E9B"/>
    <w:rsid w:val="00772B6E"/>
    <w:rsid w:val="00773C1E"/>
    <w:rsid w:val="0077494A"/>
    <w:rsid w:val="00775152"/>
    <w:rsid w:val="00775D95"/>
    <w:rsid w:val="007767A4"/>
    <w:rsid w:val="00780CBB"/>
    <w:rsid w:val="00783A32"/>
    <w:rsid w:val="007852F3"/>
    <w:rsid w:val="0079035F"/>
    <w:rsid w:val="00793DAC"/>
    <w:rsid w:val="007A2ACE"/>
    <w:rsid w:val="007A3C97"/>
    <w:rsid w:val="007B0300"/>
    <w:rsid w:val="007B0847"/>
    <w:rsid w:val="007B41D8"/>
    <w:rsid w:val="007B4233"/>
    <w:rsid w:val="007B5809"/>
    <w:rsid w:val="007B5ED2"/>
    <w:rsid w:val="007C30DB"/>
    <w:rsid w:val="007C4317"/>
    <w:rsid w:val="007D2F69"/>
    <w:rsid w:val="007D3349"/>
    <w:rsid w:val="00824A00"/>
    <w:rsid w:val="0082523F"/>
    <w:rsid w:val="00826C7B"/>
    <w:rsid w:val="0084424D"/>
    <w:rsid w:val="00844858"/>
    <w:rsid w:val="00845A31"/>
    <w:rsid w:val="008541D6"/>
    <w:rsid w:val="00856579"/>
    <w:rsid w:val="0086227D"/>
    <w:rsid w:val="00864C41"/>
    <w:rsid w:val="00870CEF"/>
    <w:rsid w:val="0089231D"/>
    <w:rsid w:val="008A1245"/>
    <w:rsid w:val="008A2B14"/>
    <w:rsid w:val="008B347B"/>
    <w:rsid w:val="008B3763"/>
    <w:rsid w:val="008B3B7D"/>
    <w:rsid w:val="008C62B9"/>
    <w:rsid w:val="008D37D1"/>
    <w:rsid w:val="008F1BB9"/>
    <w:rsid w:val="008F3BB3"/>
    <w:rsid w:val="008F766D"/>
    <w:rsid w:val="00900972"/>
    <w:rsid w:val="00910BC1"/>
    <w:rsid w:val="00914C40"/>
    <w:rsid w:val="00925900"/>
    <w:rsid w:val="00933EAB"/>
    <w:rsid w:val="00936B3B"/>
    <w:rsid w:val="0094227C"/>
    <w:rsid w:val="00945A3D"/>
    <w:rsid w:val="00950EF7"/>
    <w:rsid w:val="00951835"/>
    <w:rsid w:val="00952274"/>
    <w:rsid w:val="00957C68"/>
    <w:rsid w:val="0096032A"/>
    <w:rsid w:val="00963027"/>
    <w:rsid w:val="0096320A"/>
    <w:rsid w:val="00972D02"/>
    <w:rsid w:val="00976C55"/>
    <w:rsid w:val="00977B06"/>
    <w:rsid w:val="0098017D"/>
    <w:rsid w:val="0098651D"/>
    <w:rsid w:val="00994D28"/>
    <w:rsid w:val="0099543C"/>
    <w:rsid w:val="00995F39"/>
    <w:rsid w:val="009A0E1A"/>
    <w:rsid w:val="009B7D63"/>
    <w:rsid w:val="009C119D"/>
    <w:rsid w:val="009C3427"/>
    <w:rsid w:val="009C48C6"/>
    <w:rsid w:val="009D1D59"/>
    <w:rsid w:val="009D1E62"/>
    <w:rsid w:val="009D204E"/>
    <w:rsid w:val="009D392B"/>
    <w:rsid w:val="009D5BC5"/>
    <w:rsid w:val="009D73BD"/>
    <w:rsid w:val="009D7CB4"/>
    <w:rsid w:val="009E246A"/>
    <w:rsid w:val="009E69AF"/>
    <w:rsid w:val="009E766B"/>
    <w:rsid w:val="009F57B6"/>
    <w:rsid w:val="009F6C9F"/>
    <w:rsid w:val="009F731B"/>
    <w:rsid w:val="00A20812"/>
    <w:rsid w:val="00A25A66"/>
    <w:rsid w:val="00A265FC"/>
    <w:rsid w:val="00A30E77"/>
    <w:rsid w:val="00A3191B"/>
    <w:rsid w:val="00A367C2"/>
    <w:rsid w:val="00A50962"/>
    <w:rsid w:val="00A512AE"/>
    <w:rsid w:val="00A56E0E"/>
    <w:rsid w:val="00A57A56"/>
    <w:rsid w:val="00A61B2D"/>
    <w:rsid w:val="00A61E88"/>
    <w:rsid w:val="00A63AB6"/>
    <w:rsid w:val="00A63D83"/>
    <w:rsid w:val="00A70D52"/>
    <w:rsid w:val="00A7228B"/>
    <w:rsid w:val="00A76944"/>
    <w:rsid w:val="00A771C0"/>
    <w:rsid w:val="00A80383"/>
    <w:rsid w:val="00A81DB2"/>
    <w:rsid w:val="00A82D4D"/>
    <w:rsid w:val="00A869A7"/>
    <w:rsid w:val="00AB089D"/>
    <w:rsid w:val="00AB51E1"/>
    <w:rsid w:val="00AC04FE"/>
    <w:rsid w:val="00AC2731"/>
    <w:rsid w:val="00AC4EC5"/>
    <w:rsid w:val="00AC60BA"/>
    <w:rsid w:val="00AC614D"/>
    <w:rsid w:val="00AD3447"/>
    <w:rsid w:val="00AE372C"/>
    <w:rsid w:val="00AE3E8E"/>
    <w:rsid w:val="00AF4492"/>
    <w:rsid w:val="00AF6DBF"/>
    <w:rsid w:val="00B01EFE"/>
    <w:rsid w:val="00B03751"/>
    <w:rsid w:val="00B04E3D"/>
    <w:rsid w:val="00B110BC"/>
    <w:rsid w:val="00B15E23"/>
    <w:rsid w:val="00B2015E"/>
    <w:rsid w:val="00B25DAC"/>
    <w:rsid w:val="00B3196E"/>
    <w:rsid w:val="00B32AB8"/>
    <w:rsid w:val="00B36ECF"/>
    <w:rsid w:val="00B471FF"/>
    <w:rsid w:val="00B47DED"/>
    <w:rsid w:val="00B61991"/>
    <w:rsid w:val="00B71088"/>
    <w:rsid w:val="00B75350"/>
    <w:rsid w:val="00B758A3"/>
    <w:rsid w:val="00B7675F"/>
    <w:rsid w:val="00B83EAA"/>
    <w:rsid w:val="00B85366"/>
    <w:rsid w:val="00B8691A"/>
    <w:rsid w:val="00BA3A1E"/>
    <w:rsid w:val="00BB030B"/>
    <w:rsid w:val="00BB0D8B"/>
    <w:rsid w:val="00BD5F19"/>
    <w:rsid w:val="00BD615D"/>
    <w:rsid w:val="00BD6C3F"/>
    <w:rsid w:val="00BD7D28"/>
    <w:rsid w:val="00BE1058"/>
    <w:rsid w:val="00BE305D"/>
    <w:rsid w:val="00BE5A72"/>
    <w:rsid w:val="00BF0B78"/>
    <w:rsid w:val="00BF1693"/>
    <w:rsid w:val="00BF6E50"/>
    <w:rsid w:val="00C029E5"/>
    <w:rsid w:val="00C03903"/>
    <w:rsid w:val="00C15D63"/>
    <w:rsid w:val="00C25C96"/>
    <w:rsid w:val="00C33003"/>
    <w:rsid w:val="00C348A9"/>
    <w:rsid w:val="00C34FB1"/>
    <w:rsid w:val="00C405E5"/>
    <w:rsid w:val="00C4458A"/>
    <w:rsid w:val="00C567E3"/>
    <w:rsid w:val="00C60798"/>
    <w:rsid w:val="00C63061"/>
    <w:rsid w:val="00C650AE"/>
    <w:rsid w:val="00C70A2E"/>
    <w:rsid w:val="00C823C8"/>
    <w:rsid w:val="00C91E5C"/>
    <w:rsid w:val="00CA10E4"/>
    <w:rsid w:val="00CB41D8"/>
    <w:rsid w:val="00CB52F6"/>
    <w:rsid w:val="00CB7720"/>
    <w:rsid w:val="00CB7D12"/>
    <w:rsid w:val="00CD06A2"/>
    <w:rsid w:val="00CD2D8E"/>
    <w:rsid w:val="00CD5A05"/>
    <w:rsid w:val="00CD7E80"/>
    <w:rsid w:val="00CE18CA"/>
    <w:rsid w:val="00CE464F"/>
    <w:rsid w:val="00CE5625"/>
    <w:rsid w:val="00CF5DD5"/>
    <w:rsid w:val="00CF6456"/>
    <w:rsid w:val="00D01779"/>
    <w:rsid w:val="00D03618"/>
    <w:rsid w:val="00D03A2F"/>
    <w:rsid w:val="00D12956"/>
    <w:rsid w:val="00D15838"/>
    <w:rsid w:val="00D16C54"/>
    <w:rsid w:val="00D2094E"/>
    <w:rsid w:val="00D271AD"/>
    <w:rsid w:val="00D40AD7"/>
    <w:rsid w:val="00D40D69"/>
    <w:rsid w:val="00D4211B"/>
    <w:rsid w:val="00D472C7"/>
    <w:rsid w:val="00D51160"/>
    <w:rsid w:val="00D5402F"/>
    <w:rsid w:val="00D57245"/>
    <w:rsid w:val="00D62F32"/>
    <w:rsid w:val="00D71A7C"/>
    <w:rsid w:val="00D72DCA"/>
    <w:rsid w:val="00D7400F"/>
    <w:rsid w:val="00D740FB"/>
    <w:rsid w:val="00D77811"/>
    <w:rsid w:val="00D85E5B"/>
    <w:rsid w:val="00D86351"/>
    <w:rsid w:val="00D865FC"/>
    <w:rsid w:val="00D907E5"/>
    <w:rsid w:val="00D92835"/>
    <w:rsid w:val="00DA0DD7"/>
    <w:rsid w:val="00DA2D4C"/>
    <w:rsid w:val="00DA40C9"/>
    <w:rsid w:val="00DA6786"/>
    <w:rsid w:val="00DA74D3"/>
    <w:rsid w:val="00DA7A9E"/>
    <w:rsid w:val="00DB5B0A"/>
    <w:rsid w:val="00DC0ED4"/>
    <w:rsid w:val="00DC2310"/>
    <w:rsid w:val="00DC4748"/>
    <w:rsid w:val="00DC621C"/>
    <w:rsid w:val="00DD5BB7"/>
    <w:rsid w:val="00DE536B"/>
    <w:rsid w:val="00DF03F1"/>
    <w:rsid w:val="00DF359B"/>
    <w:rsid w:val="00E013BB"/>
    <w:rsid w:val="00E0160B"/>
    <w:rsid w:val="00E01D56"/>
    <w:rsid w:val="00E07AF7"/>
    <w:rsid w:val="00E10072"/>
    <w:rsid w:val="00E10FD4"/>
    <w:rsid w:val="00E11E54"/>
    <w:rsid w:val="00E246BA"/>
    <w:rsid w:val="00E25E07"/>
    <w:rsid w:val="00E32A92"/>
    <w:rsid w:val="00E337E3"/>
    <w:rsid w:val="00E5158E"/>
    <w:rsid w:val="00E544A5"/>
    <w:rsid w:val="00E711EA"/>
    <w:rsid w:val="00E71E56"/>
    <w:rsid w:val="00E74A4E"/>
    <w:rsid w:val="00E802A8"/>
    <w:rsid w:val="00E82E27"/>
    <w:rsid w:val="00E93712"/>
    <w:rsid w:val="00EA4F83"/>
    <w:rsid w:val="00EB23BC"/>
    <w:rsid w:val="00EB4AA6"/>
    <w:rsid w:val="00EB79E4"/>
    <w:rsid w:val="00EE244E"/>
    <w:rsid w:val="00EE42C1"/>
    <w:rsid w:val="00EE474E"/>
    <w:rsid w:val="00EE4A40"/>
    <w:rsid w:val="00EE5EFB"/>
    <w:rsid w:val="00EF1868"/>
    <w:rsid w:val="00EF1B56"/>
    <w:rsid w:val="00EF26D7"/>
    <w:rsid w:val="00EF26DB"/>
    <w:rsid w:val="00EF3A24"/>
    <w:rsid w:val="00EF3DB8"/>
    <w:rsid w:val="00EF4807"/>
    <w:rsid w:val="00F161B5"/>
    <w:rsid w:val="00F2143B"/>
    <w:rsid w:val="00F230E2"/>
    <w:rsid w:val="00F23F05"/>
    <w:rsid w:val="00F24F8E"/>
    <w:rsid w:val="00F31A3B"/>
    <w:rsid w:val="00F31C5E"/>
    <w:rsid w:val="00F342B2"/>
    <w:rsid w:val="00F45D81"/>
    <w:rsid w:val="00F45E91"/>
    <w:rsid w:val="00F50A13"/>
    <w:rsid w:val="00F62ED1"/>
    <w:rsid w:val="00F64FB2"/>
    <w:rsid w:val="00F654E5"/>
    <w:rsid w:val="00F841DD"/>
    <w:rsid w:val="00F86D04"/>
    <w:rsid w:val="00F86E14"/>
    <w:rsid w:val="00F918E8"/>
    <w:rsid w:val="00F91FB5"/>
    <w:rsid w:val="00FA1F7F"/>
    <w:rsid w:val="00FA6045"/>
    <w:rsid w:val="00FA76CF"/>
    <w:rsid w:val="00FB68D9"/>
    <w:rsid w:val="00FC0B70"/>
    <w:rsid w:val="00FC22A4"/>
    <w:rsid w:val="00FD426E"/>
    <w:rsid w:val="00FD6594"/>
    <w:rsid w:val="00F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3A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9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szCs w:val="17"/>
    </w:rPr>
  </w:style>
  <w:style w:type="paragraph" w:styleId="Heading3">
    <w:name w:val="heading 3"/>
    <w:basedOn w:val="Normal"/>
    <w:next w:val="Normal"/>
    <w:qFormat/>
    <w:pPr>
      <w:keepNext/>
      <w:pageBreakBefore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color w:val="000000"/>
      <w:szCs w:val="17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Revision">
    <w:name w:val="Agenda Revision"/>
    <w:basedOn w:val="Normal"/>
    <w:rPr>
      <w:szCs w:val="2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c295">
    <w:name w:val="fc295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fc561">
    <w:name w:val="fc56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BodyText">
    <w:name w:val="Body Text"/>
    <w:basedOn w:val="Normal"/>
    <w:rPr>
      <w:color w:val="000000"/>
      <w:szCs w:val="17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ind w:left="155"/>
      <w:textAlignment w:val="baseline"/>
    </w:pPr>
    <w:rPr>
      <w:sz w:val="26"/>
      <w:szCs w:val="20"/>
    </w:rPr>
  </w:style>
  <w:style w:type="paragraph" w:styleId="BodyText2">
    <w:name w:val="Body Text 2"/>
    <w:basedOn w:val="Normal"/>
    <w:rPr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C0E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552C4"/>
    <w:rPr>
      <w:b/>
      <w:sz w:val="3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0D8B"/>
    <w:rPr>
      <w:color w:val="605E5C"/>
      <w:shd w:val="clear" w:color="auto" w:fill="E1DFDD"/>
    </w:rPr>
  </w:style>
  <w:style w:type="paragraph" w:customStyle="1" w:styleId="Default">
    <w:name w:val="Default"/>
    <w:rsid w:val="008448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86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ca.gov/wp-content/uploads/2020/03/3.17.20-N-29-20-EO.pdf" TargetMode="External"/><Relationship Id="rId13" Type="http://schemas.openxmlformats.org/officeDocument/2006/relationships/hyperlink" Target="http://docs.cpuc.ca.gov/SearchRes.aspx?docformat=ALL&amp;docid=3492064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blic.advisor@cpuc.c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ublic.advisor@cpuc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c.ca.gov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73D8-8B5C-4FCB-84C1-ED21017C8F92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2</ap:Pages>
  <ap:Words>450</ap:Words>
  <ap:Characters>2566</ap:Characters>
  <ap:Application>Microsoft Office Word</ap:Application>
  <ap:DocSecurity>0</ap:DocSecurity>
  <ap:Lines>21</ap:Lines>
  <ap:Paragraphs>6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LinksUpToDate>false</ap:LinksUpToDate>
  <ap:CharactersWithSpaces>3010</ap:CharactersWithSpaces>
  <ap:SharedDoc>false</ap:SharedDoc>
  <ap:HyperlinkBase/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2012-12-05T22:17:00Z</cp:lastPrinted>
  <dcterms:created xsi:type="dcterms:W3CDTF">2020-11-25T10:13:16Z</dcterms:created>
  <dcterms:modified xsi:type="dcterms:W3CDTF">2020-11-25T10:13:16Z</dcterms:modified>
</cp:coreProperties>
</file>