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060B" w:rsidP="0056060B" w:rsidRDefault="00EF6CE0" w14:paraId="3ABF9E54" w14:textId="467231FB">
      <w:pPr>
        <w:keepNext/>
        <w:suppressAutoHyphens/>
        <w:spacing w:after="0"/>
        <w:jc w:val="center"/>
        <w:rPr>
          <w:rFonts w:eastAsia="Times New Roman" w:cs="Times New Roman"/>
          <w:b/>
          <w:sz w:val="24"/>
          <w:szCs w:val="24"/>
        </w:rPr>
      </w:pPr>
      <w:r w:rsidRPr="00DF25C0">
        <w:rPr>
          <w:rFonts w:eastAsia="Times New Roman" w:cs="Times New Roman"/>
          <w:b/>
          <w:sz w:val="24"/>
          <w:szCs w:val="24"/>
        </w:rPr>
        <w:t>PUBLIC UTILITIES COMMISSION OF THE STATE OF CALIFORNIA</w:t>
      </w:r>
    </w:p>
    <w:p w:rsidRPr="00DF25C0" w:rsidR="0056060B" w:rsidP="0056060B" w:rsidRDefault="0056060B" w14:paraId="25F4350A" w14:textId="77777777">
      <w:pPr>
        <w:keepNext/>
        <w:suppressAutoHyphens/>
        <w:spacing w:after="0"/>
        <w:jc w:val="center"/>
        <w:rPr>
          <w:rFonts w:eastAsia="Times New Roman" w:cs="Times New Roman"/>
          <w:b/>
          <w:sz w:val="24"/>
          <w:szCs w:val="24"/>
        </w:rPr>
      </w:pPr>
    </w:p>
    <w:p w:rsidRPr="0056060B" w:rsidR="000B317B" w:rsidP="00B3489E" w:rsidRDefault="00FA1DE3" w14:paraId="419B3A1D" w14:textId="261253DC">
      <w:pPr>
        <w:tabs>
          <w:tab w:val="left" w:pos="6930"/>
        </w:tabs>
        <w:suppressAutoHyphens/>
        <w:spacing w:after="0"/>
        <w:rPr>
          <w:rFonts w:eastAsia="Times New Roman" w:cs="Times New Roman"/>
          <w:b/>
          <w:bCs/>
          <w:sz w:val="24"/>
          <w:szCs w:val="24"/>
        </w:rPr>
      </w:pPr>
      <w:r w:rsidRPr="0056060B">
        <w:rPr>
          <w:rFonts w:eastAsia="Times New Roman" w:cs="Times New Roman"/>
          <w:b/>
          <w:bCs/>
          <w:sz w:val="24"/>
          <w:szCs w:val="24"/>
        </w:rPr>
        <w:t xml:space="preserve"> </w:t>
      </w:r>
      <w:r w:rsidRPr="0056060B">
        <w:rPr>
          <w:rFonts w:eastAsia="Times New Roman" w:cs="Times New Roman"/>
          <w:b/>
          <w:bCs/>
          <w:sz w:val="24"/>
          <w:szCs w:val="24"/>
        </w:rPr>
        <w:tab/>
        <w:t xml:space="preserve">  </w:t>
      </w:r>
      <w:r w:rsidRPr="0056060B" w:rsidR="0056060B">
        <w:rPr>
          <w:rFonts w:eastAsia="Times New Roman" w:cs="Times New Roman"/>
          <w:b/>
          <w:bCs/>
          <w:sz w:val="24"/>
          <w:szCs w:val="24"/>
        </w:rPr>
        <w:t>Agenda ID: 19013</w:t>
      </w:r>
      <w:r w:rsidRPr="0056060B">
        <w:rPr>
          <w:rFonts w:eastAsia="Times New Roman" w:cs="Times New Roman"/>
          <w:b/>
          <w:bCs/>
          <w:sz w:val="24"/>
          <w:szCs w:val="24"/>
        </w:rPr>
        <w:t xml:space="preserve"> </w:t>
      </w:r>
      <w:r w:rsidRPr="0056060B" w:rsidR="00642D34">
        <w:rPr>
          <w:rFonts w:eastAsia="Times New Roman" w:cs="Times New Roman"/>
          <w:b/>
          <w:bCs/>
          <w:sz w:val="24"/>
          <w:szCs w:val="24"/>
        </w:rPr>
        <w:t xml:space="preserve"> </w:t>
      </w:r>
      <w:r w:rsidRPr="0056060B" w:rsidR="00417E99">
        <w:rPr>
          <w:rFonts w:eastAsia="Times New Roman" w:cs="Times New Roman"/>
          <w:b/>
          <w:bCs/>
          <w:sz w:val="24"/>
          <w:szCs w:val="24"/>
        </w:rPr>
        <w:t xml:space="preserve">                 </w:t>
      </w:r>
    </w:p>
    <w:p w:rsidRPr="00DF25C0" w:rsidR="00EF6CE0" w:rsidP="00DE0933" w:rsidRDefault="00EF6CE0" w14:paraId="7B11365C" w14:textId="1374888F">
      <w:pPr>
        <w:tabs>
          <w:tab w:val="left" w:pos="1440"/>
        </w:tabs>
        <w:spacing w:after="0"/>
        <w:rPr>
          <w:rFonts w:eastAsia="Times New Roman" w:cs="Times New Roman"/>
          <w:b/>
          <w:sz w:val="24"/>
          <w:szCs w:val="24"/>
        </w:rPr>
      </w:pPr>
      <w:r w:rsidRPr="00DF25C0">
        <w:rPr>
          <w:rFonts w:eastAsia="Times New Roman" w:cs="Times New Roman"/>
          <w:b/>
          <w:sz w:val="24"/>
          <w:szCs w:val="24"/>
        </w:rPr>
        <w:t>ENERGY DIVISION</w:t>
      </w:r>
      <w:r w:rsidRPr="00DF25C0">
        <w:rPr>
          <w:rFonts w:eastAsia="Times New Roman" w:cs="Times New Roman"/>
          <w:b/>
          <w:sz w:val="24"/>
          <w:szCs w:val="24"/>
        </w:rPr>
        <w:tab/>
      </w:r>
      <w:r w:rsidRPr="00DF25C0">
        <w:rPr>
          <w:rFonts w:eastAsia="Times New Roman" w:cs="Times New Roman"/>
          <w:b/>
          <w:sz w:val="24"/>
          <w:szCs w:val="24"/>
        </w:rPr>
        <w:tab/>
      </w:r>
      <w:r w:rsidRPr="00DF25C0">
        <w:rPr>
          <w:rFonts w:eastAsia="Times New Roman" w:cs="Times New Roman"/>
          <w:b/>
          <w:sz w:val="24"/>
          <w:szCs w:val="24"/>
        </w:rPr>
        <w:tab/>
      </w:r>
      <w:r w:rsidRPr="00DF25C0">
        <w:rPr>
          <w:rFonts w:eastAsia="Times New Roman" w:cs="Times New Roman"/>
          <w:b/>
          <w:sz w:val="24"/>
          <w:szCs w:val="24"/>
        </w:rPr>
        <w:tab/>
      </w:r>
      <w:r w:rsidRPr="00DF25C0" w:rsidR="00417E99">
        <w:rPr>
          <w:rFonts w:eastAsia="Times New Roman" w:cs="Times New Roman"/>
          <w:b/>
          <w:sz w:val="24"/>
          <w:szCs w:val="24"/>
        </w:rPr>
        <w:tab/>
      </w:r>
      <w:r w:rsidRPr="00DF25C0" w:rsidR="00B3489E">
        <w:rPr>
          <w:rFonts w:eastAsia="Times New Roman" w:cs="Times New Roman"/>
          <w:b/>
          <w:sz w:val="24"/>
          <w:szCs w:val="24"/>
        </w:rPr>
        <w:t xml:space="preserve">                      </w:t>
      </w:r>
      <w:r w:rsidRPr="00DF25C0" w:rsidR="008E4EF8">
        <w:rPr>
          <w:rFonts w:eastAsia="Times New Roman" w:cs="Times New Roman"/>
          <w:b/>
          <w:sz w:val="24"/>
          <w:szCs w:val="24"/>
        </w:rPr>
        <w:t>RESOLUTION E-</w:t>
      </w:r>
      <w:r w:rsidR="00914131">
        <w:rPr>
          <w:rFonts w:eastAsia="Times New Roman" w:cs="Times New Roman"/>
          <w:b/>
          <w:sz w:val="24"/>
          <w:szCs w:val="24"/>
        </w:rPr>
        <w:t>5115</w:t>
      </w:r>
      <w:r w:rsidRPr="00DF25C0" w:rsidR="00914131">
        <w:rPr>
          <w:rFonts w:eastAsia="Times New Roman" w:cs="Times New Roman"/>
          <w:b/>
          <w:sz w:val="24"/>
          <w:szCs w:val="24"/>
        </w:rPr>
        <w:t xml:space="preserve"> </w:t>
      </w:r>
    </w:p>
    <w:p w:rsidRPr="00DF25C0" w:rsidR="00EF6CE0" w:rsidP="00DE0933" w:rsidRDefault="00B441B2" w14:paraId="5E5F60BB" w14:textId="78A787D9">
      <w:pPr>
        <w:tabs>
          <w:tab w:val="right" w:pos="8910"/>
        </w:tabs>
        <w:spacing w:after="0"/>
        <w:ind w:left="1440" w:firstLine="720"/>
        <w:rPr>
          <w:rFonts w:eastAsia="Times New Roman" w:cs="Times New Roman"/>
          <w:b/>
          <w:sz w:val="24"/>
          <w:szCs w:val="24"/>
        </w:rPr>
      </w:pPr>
      <w:r w:rsidRPr="00DF25C0">
        <w:rPr>
          <w:rFonts w:eastAsia="Times New Roman" w:cs="Times New Roman"/>
          <w:b/>
          <w:sz w:val="24"/>
          <w:szCs w:val="24"/>
        </w:rPr>
        <w:t xml:space="preserve">                                                 </w:t>
      </w:r>
      <w:r w:rsidRPr="00DF25C0" w:rsidR="009A0E6B">
        <w:rPr>
          <w:rFonts w:eastAsia="Times New Roman" w:cs="Times New Roman"/>
          <w:b/>
          <w:sz w:val="24"/>
          <w:szCs w:val="24"/>
        </w:rPr>
        <w:t xml:space="preserve">                        </w:t>
      </w:r>
      <w:r w:rsidRPr="00DF25C0" w:rsidR="00FA1DE3">
        <w:rPr>
          <w:rFonts w:eastAsia="Times New Roman" w:cs="Times New Roman"/>
          <w:b/>
          <w:sz w:val="24"/>
          <w:szCs w:val="24"/>
        </w:rPr>
        <w:t xml:space="preserve">     </w:t>
      </w:r>
      <w:r w:rsidRPr="00DF25C0" w:rsidR="002C5985">
        <w:rPr>
          <w:rFonts w:eastAsia="Times New Roman" w:cs="Times New Roman"/>
          <w:b/>
          <w:sz w:val="24"/>
          <w:szCs w:val="24"/>
        </w:rPr>
        <w:t xml:space="preserve">    </w:t>
      </w:r>
      <w:r w:rsidR="002F660E">
        <w:rPr>
          <w:rFonts w:eastAsia="Times New Roman" w:cs="Times New Roman"/>
          <w:b/>
          <w:sz w:val="24"/>
          <w:szCs w:val="24"/>
        </w:rPr>
        <w:t>January 14</w:t>
      </w:r>
      <w:r w:rsidRPr="00CE0FC5" w:rsidR="00EF6CE0">
        <w:rPr>
          <w:rFonts w:eastAsia="Times New Roman" w:cs="Times New Roman"/>
          <w:b/>
          <w:sz w:val="24"/>
          <w:szCs w:val="24"/>
        </w:rPr>
        <w:t xml:space="preserve">, </w:t>
      </w:r>
      <w:r w:rsidRPr="00CE0FC5" w:rsidR="002F660E">
        <w:rPr>
          <w:rFonts w:eastAsia="Times New Roman" w:cs="Times New Roman"/>
          <w:b/>
          <w:sz w:val="24"/>
          <w:szCs w:val="24"/>
        </w:rPr>
        <w:t>202</w:t>
      </w:r>
      <w:r w:rsidR="002F660E">
        <w:rPr>
          <w:rFonts w:eastAsia="Times New Roman" w:cs="Times New Roman"/>
          <w:b/>
          <w:sz w:val="24"/>
          <w:szCs w:val="24"/>
        </w:rPr>
        <w:t>1</w:t>
      </w:r>
    </w:p>
    <w:p w:rsidRPr="00DF25C0" w:rsidR="00EF6CE0" w:rsidP="00DE0933" w:rsidRDefault="00EF6CE0" w14:paraId="0C0EC2C6" w14:textId="77777777">
      <w:pPr>
        <w:tabs>
          <w:tab w:val="right" w:pos="8910"/>
        </w:tabs>
        <w:spacing w:after="0"/>
        <w:rPr>
          <w:rFonts w:eastAsia="Times New Roman" w:cs="Times New Roman"/>
          <w:sz w:val="24"/>
          <w:szCs w:val="24"/>
        </w:rPr>
      </w:pPr>
    </w:p>
    <w:p w:rsidRPr="00DF25C0" w:rsidR="00EF6CE0" w:rsidP="00DE0933" w:rsidRDefault="00EF6CE0" w14:paraId="2D52DB6E" w14:textId="77777777">
      <w:pPr>
        <w:keepNext/>
        <w:spacing w:after="0"/>
        <w:jc w:val="center"/>
        <w:rPr>
          <w:rFonts w:eastAsia="Times New Roman" w:cs="Times New Roman"/>
          <w:b/>
          <w:spacing w:val="120"/>
          <w:sz w:val="24"/>
          <w:szCs w:val="24"/>
          <w:u w:val="single"/>
        </w:rPr>
      </w:pPr>
      <w:bookmarkStart w:name="_Ref404993683" w:id="0"/>
      <w:r w:rsidRPr="00DF25C0">
        <w:rPr>
          <w:rFonts w:eastAsia="Times New Roman" w:cs="Times New Roman"/>
          <w:b/>
          <w:spacing w:val="120"/>
          <w:sz w:val="24"/>
          <w:szCs w:val="24"/>
          <w:u w:val="single"/>
        </w:rPr>
        <w:t>RESOLUTION</w:t>
      </w:r>
    </w:p>
    <w:p w:rsidRPr="00DF25C0" w:rsidR="00EF6CE0" w:rsidP="00DE0933" w:rsidRDefault="00EF6CE0" w14:paraId="5EB8D8F6" w14:textId="77777777">
      <w:pPr>
        <w:spacing w:after="0"/>
        <w:rPr>
          <w:rFonts w:eastAsia="Times New Roman" w:cs="Times New Roman"/>
          <w:sz w:val="24"/>
          <w:szCs w:val="24"/>
        </w:rPr>
      </w:pPr>
    </w:p>
    <w:p w:rsidRPr="00DF25C0" w:rsidR="00EF6CE0" w:rsidP="00AD2051" w:rsidRDefault="00CC1905" w14:paraId="74683293" w14:textId="719CBD31">
      <w:pPr>
        <w:pStyle w:val="standard"/>
        <w:rPr>
          <w:rFonts w:ascii="Palatino Linotype" w:hAnsi="Palatino Linotype"/>
          <w:sz w:val="24"/>
          <w:szCs w:val="24"/>
        </w:rPr>
      </w:pPr>
      <w:bookmarkStart w:name="_Hlk57027751" w:id="1"/>
      <w:r w:rsidRPr="1E286DC1">
        <w:rPr>
          <w:rFonts w:ascii="Palatino Linotype" w:hAnsi="Palatino Linotype"/>
          <w:sz w:val="24"/>
          <w:szCs w:val="24"/>
        </w:rPr>
        <w:t xml:space="preserve">Draft </w:t>
      </w:r>
      <w:r w:rsidRPr="1E286DC1" w:rsidR="005242E8">
        <w:rPr>
          <w:rFonts w:ascii="Palatino Linotype" w:hAnsi="Palatino Linotype"/>
          <w:sz w:val="24"/>
          <w:szCs w:val="24"/>
        </w:rPr>
        <w:t xml:space="preserve">Resolution </w:t>
      </w:r>
      <w:r w:rsidRPr="003E7356" w:rsidR="00EF6CE0">
        <w:rPr>
          <w:rFonts w:ascii="Palatino Linotype" w:hAnsi="Palatino Linotype"/>
          <w:sz w:val="24"/>
          <w:szCs w:val="24"/>
        </w:rPr>
        <w:t>E-</w:t>
      </w:r>
      <w:r w:rsidR="00914131">
        <w:rPr>
          <w:rFonts w:ascii="Palatino Linotype" w:hAnsi="Palatino Linotype"/>
          <w:sz w:val="24"/>
          <w:szCs w:val="24"/>
        </w:rPr>
        <w:t>5115</w:t>
      </w:r>
      <w:r w:rsidRPr="1E286DC1" w:rsidR="00EF6CE0">
        <w:rPr>
          <w:rFonts w:ascii="Palatino Linotype" w:hAnsi="Palatino Linotype"/>
          <w:sz w:val="24"/>
          <w:szCs w:val="24"/>
        </w:rPr>
        <w:t xml:space="preserve">. </w:t>
      </w:r>
      <w:r w:rsidRPr="1E286DC1" w:rsidR="00114885">
        <w:rPr>
          <w:rFonts w:ascii="Palatino Linotype" w:hAnsi="Palatino Linotype"/>
          <w:sz w:val="24"/>
          <w:szCs w:val="24"/>
        </w:rPr>
        <w:t xml:space="preserve"> </w:t>
      </w:r>
      <w:r w:rsidRPr="1E286DC1" w:rsidR="00FB6730">
        <w:rPr>
          <w:rFonts w:ascii="Palatino Linotype" w:hAnsi="Palatino Linotype"/>
          <w:sz w:val="24"/>
          <w:szCs w:val="24"/>
        </w:rPr>
        <w:t>Address</w:t>
      </w:r>
      <w:r w:rsidRPr="1E286DC1" w:rsidR="00F72D1A">
        <w:rPr>
          <w:rFonts w:ascii="Palatino Linotype" w:hAnsi="Palatino Linotype"/>
          <w:sz w:val="24"/>
          <w:szCs w:val="24"/>
        </w:rPr>
        <w:t>es</w:t>
      </w:r>
      <w:r w:rsidRPr="1E286DC1" w:rsidR="00D21032">
        <w:rPr>
          <w:rFonts w:ascii="Palatino Linotype" w:hAnsi="Palatino Linotype"/>
          <w:sz w:val="24"/>
          <w:szCs w:val="24"/>
        </w:rPr>
        <w:t xml:space="preserve"> issues related to</w:t>
      </w:r>
      <w:r w:rsidR="00FA43AB">
        <w:rPr>
          <w:rFonts w:ascii="Palatino Linotype" w:hAnsi="Palatino Linotype"/>
          <w:sz w:val="24"/>
          <w:szCs w:val="24"/>
        </w:rPr>
        <w:t xml:space="preserve"> evidence requirements for the determination of</w:t>
      </w:r>
      <w:r w:rsidRPr="1E286DC1" w:rsidR="7ACCB9CB">
        <w:rPr>
          <w:rFonts w:ascii="Palatino Linotype" w:hAnsi="Palatino Linotype"/>
          <w:sz w:val="24"/>
          <w:szCs w:val="24"/>
        </w:rPr>
        <w:t xml:space="preserve"> energy consumption baselines for energy efficiency programs</w:t>
      </w:r>
      <w:r w:rsidRPr="1E286DC1" w:rsidR="00412188">
        <w:rPr>
          <w:rFonts w:ascii="Palatino Linotype" w:hAnsi="Palatino Linotype"/>
          <w:sz w:val="24"/>
          <w:szCs w:val="24"/>
        </w:rPr>
        <w:t xml:space="preserve"> </w:t>
      </w:r>
      <w:r w:rsidRPr="1E286DC1" w:rsidR="00D21032">
        <w:rPr>
          <w:rFonts w:ascii="Palatino Linotype" w:hAnsi="Palatino Linotype"/>
          <w:sz w:val="24"/>
          <w:szCs w:val="24"/>
        </w:rPr>
        <w:t xml:space="preserve">pursuant to </w:t>
      </w:r>
      <w:r w:rsidRPr="1E286DC1" w:rsidR="00017015">
        <w:rPr>
          <w:rFonts w:ascii="Palatino Linotype" w:hAnsi="Palatino Linotype"/>
          <w:sz w:val="24"/>
          <w:szCs w:val="24"/>
        </w:rPr>
        <w:t>D.16-08-019 and Resolution E-4818</w:t>
      </w:r>
      <w:r w:rsidRPr="1E286DC1" w:rsidR="00D21032">
        <w:rPr>
          <w:rFonts w:ascii="Palatino Linotype" w:hAnsi="Palatino Linotype"/>
          <w:sz w:val="24"/>
          <w:szCs w:val="24"/>
        </w:rPr>
        <w:t xml:space="preserve">. </w:t>
      </w:r>
      <w:r w:rsidRPr="1E286DC1" w:rsidR="00017015">
        <w:rPr>
          <w:rFonts w:ascii="Palatino Linotype" w:hAnsi="Palatino Linotype"/>
          <w:sz w:val="24"/>
          <w:szCs w:val="24"/>
        </w:rPr>
        <w:t xml:space="preserve"> </w:t>
      </w:r>
      <w:r w:rsidRPr="1E286DC1" w:rsidR="00D21032">
        <w:rPr>
          <w:rFonts w:ascii="Palatino Linotype" w:hAnsi="Palatino Linotype"/>
          <w:sz w:val="24"/>
          <w:szCs w:val="24"/>
        </w:rPr>
        <w:t xml:space="preserve"> </w:t>
      </w:r>
    </w:p>
    <w:p w:rsidRPr="00DF25C0" w:rsidR="00EF6CE0" w:rsidP="00DE0933" w:rsidRDefault="00EF6CE0" w14:paraId="5C69301B" w14:textId="77777777">
      <w:pPr>
        <w:spacing w:after="0"/>
        <w:ind w:left="720" w:right="720"/>
        <w:rPr>
          <w:rFonts w:eastAsia="Times New Roman" w:cs="Times New Roman"/>
          <w:sz w:val="24"/>
          <w:szCs w:val="24"/>
        </w:rPr>
      </w:pPr>
      <w:r w:rsidRPr="00DF25C0">
        <w:rPr>
          <w:rFonts w:eastAsia="Times New Roman" w:cs="Times New Roman"/>
          <w:sz w:val="24"/>
          <w:szCs w:val="24"/>
        </w:rPr>
        <w:t>PROPOSED OUTCOME:</w:t>
      </w:r>
    </w:p>
    <w:p w:rsidRPr="00DF25C0" w:rsidR="00017015" w:rsidP="002042A2" w:rsidRDefault="00E34A9E" w14:paraId="7A3388A1" w14:textId="6B750908">
      <w:pPr>
        <w:pStyle w:val="ListParagraph"/>
        <w:numPr>
          <w:ilvl w:val="0"/>
          <w:numId w:val="2"/>
        </w:numPr>
        <w:spacing w:before="0" w:after="0"/>
        <w:ind w:left="1440" w:right="720"/>
        <w:rPr>
          <w:rFonts w:eastAsia="Times New Roman" w:cs="Times New Roman"/>
          <w:sz w:val="24"/>
          <w:szCs w:val="24"/>
        </w:rPr>
      </w:pPr>
      <w:r w:rsidRPr="00DF25C0">
        <w:rPr>
          <w:rFonts w:eastAsia="Times New Roman" w:cs="Times New Roman"/>
          <w:sz w:val="24"/>
          <w:szCs w:val="24"/>
        </w:rPr>
        <w:t xml:space="preserve">Adopts </w:t>
      </w:r>
      <w:bookmarkStart w:name="_Hlk512872681" w:id="2"/>
      <w:r w:rsidR="0083395E">
        <w:rPr>
          <w:rFonts w:eastAsia="Times New Roman" w:cs="Times New Roman"/>
          <w:sz w:val="24"/>
          <w:szCs w:val="24"/>
        </w:rPr>
        <w:t>minimum evidence</w:t>
      </w:r>
      <w:r w:rsidRPr="00DF25C0" w:rsidR="00C22A6B">
        <w:rPr>
          <w:rFonts w:eastAsia="Times New Roman" w:cs="Times New Roman"/>
          <w:sz w:val="24"/>
          <w:szCs w:val="24"/>
        </w:rPr>
        <w:t xml:space="preserve"> </w:t>
      </w:r>
      <w:r w:rsidRPr="00DF25C0" w:rsidR="008F4A9F">
        <w:rPr>
          <w:rFonts w:eastAsia="Times New Roman" w:cs="Times New Roman"/>
          <w:i/>
          <w:sz w:val="24"/>
          <w:szCs w:val="24"/>
        </w:rPr>
        <w:t>requirements</w:t>
      </w:r>
      <w:r w:rsidRPr="00DF25C0" w:rsidR="008F4A9F">
        <w:rPr>
          <w:rFonts w:eastAsia="Times New Roman" w:cs="Times New Roman"/>
          <w:sz w:val="24"/>
          <w:szCs w:val="24"/>
        </w:rPr>
        <w:t xml:space="preserve"> </w:t>
      </w:r>
      <w:r w:rsidR="0083395E">
        <w:rPr>
          <w:rFonts w:eastAsia="Times New Roman" w:cs="Times New Roman"/>
          <w:sz w:val="24"/>
          <w:szCs w:val="24"/>
        </w:rPr>
        <w:t xml:space="preserve">guidance </w:t>
      </w:r>
      <w:r w:rsidR="00EF1F78">
        <w:rPr>
          <w:rFonts w:eastAsia="Times New Roman" w:cs="Times New Roman"/>
          <w:sz w:val="24"/>
          <w:szCs w:val="24"/>
        </w:rPr>
        <w:t>to support</w:t>
      </w:r>
      <w:r w:rsidRPr="00DF25C0" w:rsidR="00EF1F78">
        <w:rPr>
          <w:rFonts w:eastAsia="Times New Roman" w:cs="Times New Roman"/>
          <w:sz w:val="24"/>
          <w:szCs w:val="24"/>
        </w:rPr>
        <w:t xml:space="preserve"> </w:t>
      </w:r>
      <w:r w:rsidRPr="00DF25C0" w:rsidR="00F32A72">
        <w:rPr>
          <w:rFonts w:eastAsia="Times New Roman" w:cs="Times New Roman"/>
          <w:sz w:val="24"/>
          <w:szCs w:val="24"/>
        </w:rPr>
        <w:t>custom projects accelerated replacement measure type</w:t>
      </w:r>
      <w:r w:rsidRPr="00DF25C0" w:rsidR="00C22A6B">
        <w:rPr>
          <w:rFonts w:eastAsia="Times New Roman" w:cs="Times New Roman"/>
          <w:sz w:val="24"/>
          <w:szCs w:val="24"/>
        </w:rPr>
        <w:t xml:space="preserve">. </w:t>
      </w:r>
      <w:bookmarkEnd w:id="2"/>
    </w:p>
    <w:p w:rsidRPr="00DF25C0" w:rsidR="009C6DC2" w:rsidP="009C6DC2" w:rsidRDefault="009C6DC2" w14:paraId="31C52425" w14:textId="77777777">
      <w:pPr>
        <w:spacing w:before="120" w:after="0"/>
        <w:ind w:left="720" w:right="720"/>
        <w:rPr>
          <w:rFonts w:eastAsia="Times New Roman" w:cs="Times New Roman"/>
          <w:sz w:val="24"/>
          <w:szCs w:val="24"/>
        </w:rPr>
      </w:pPr>
      <w:r w:rsidRPr="00DF25C0">
        <w:rPr>
          <w:rFonts w:eastAsia="Times New Roman" w:cs="Times New Roman"/>
          <w:sz w:val="24"/>
          <w:szCs w:val="24"/>
        </w:rPr>
        <w:t>SAFETY CONSIDERATIONS:</w:t>
      </w:r>
    </w:p>
    <w:p w:rsidRPr="00DF25C0" w:rsidR="009C6DC2" w:rsidP="002042A2" w:rsidRDefault="009C6DC2" w14:paraId="73087814" w14:textId="77777777">
      <w:pPr>
        <w:pStyle w:val="ListParagraph"/>
        <w:numPr>
          <w:ilvl w:val="0"/>
          <w:numId w:val="3"/>
        </w:numPr>
        <w:spacing w:before="0" w:after="0"/>
        <w:ind w:left="1440" w:right="720"/>
        <w:rPr>
          <w:rFonts w:eastAsia="Times New Roman" w:cs="Times New Roman"/>
          <w:sz w:val="24"/>
          <w:szCs w:val="24"/>
        </w:rPr>
      </w:pPr>
      <w:r w:rsidRPr="00DF25C0">
        <w:rPr>
          <w:rFonts w:eastAsia="Times New Roman" w:cs="Times New Roman"/>
          <w:sz w:val="24"/>
          <w:szCs w:val="24"/>
        </w:rPr>
        <w:t>There is no impact on safety.</w:t>
      </w:r>
    </w:p>
    <w:p w:rsidRPr="00DF25C0" w:rsidR="009C6DC2" w:rsidP="009C6DC2" w:rsidRDefault="009C6DC2" w14:paraId="26F392E6" w14:textId="77777777">
      <w:pPr>
        <w:spacing w:before="120" w:after="0"/>
        <w:ind w:left="720" w:right="720"/>
        <w:rPr>
          <w:rFonts w:eastAsia="Times New Roman" w:cs="Times New Roman"/>
          <w:sz w:val="24"/>
          <w:szCs w:val="24"/>
        </w:rPr>
      </w:pPr>
      <w:r w:rsidRPr="00DF25C0">
        <w:rPr>
          <w:rFonts w:eastAsia="Times New Roman" w:cs="Times New Roman"/>
          <w:sz w:val="24"/>
          <w:szCs w:val="24"/>
        </w:rPr>
        <w:t xml:space="preserve">ESTIMATED COST: </w:t>
      </w:r>
    </w:p>
    <w:p w:rsidRPr="00DF25C0" w:rsidR="009C6DC2" w:rsidP="002042A2" w:rsidRDefault="00AE16D0" w14:paraId="6957504D" w14:textId="7860F94A">
      <w:pPr>
        <w:pStyle w:val="ListParagraph"/>
        <w:numPr>
          <w:ilvl w:val="0"/>
          <w:numId w:val="3"/>
        </w:numPr>
        <w:autoSpaceDE w:val="0"/>
        <w:autoSpaceDN w:val="0"/>
        <w:adjustRightInd w:val="0"/>
        <w:spacing w:before="0" w:after="0"/>
        <w:ind w:left="1440"/>
        <w:contextualSpacing/>
        <w:rPr>
          <w:rFonts w:eastAsia="Times New Roman" w:cs="Times New Roman"/>
          <w:sz w:val="24"/>
          <w:szCs w:val="24"/>
        </w:rPr>
      </w:pPr>
      <w:r>
        <w:rPr>
          <w:rFonts w:eastAsia="Times New Roman" w:cs="Book Antiqua"/>
          <w:color w:val="000000"/>
          <w:sz w:val="24"/>
          <w:szCs w:val="24"/>
        </w:rPr>
        <w:t xml:space="preserve">Does not increase costs beyond the energy efficiency budgets adopted in </w:t>
      </w:r>
      <w:r w:rsidRPr="003E7356" w:rsidR="006E739A">
        <w:rPr>
          <w:rFonts w:eastAsia="Times New Roman" w:cs="Book Antiqua"/>
          <w:color w:val="000000"/>
          <w:sz w:val="24"/>
          <w:szCs w:val="24"/>
        </w:rPr>
        <w:t>D.18-05-041</w:t>
      </w:r>
      <w:r w:rsidRPr="003E7356">
        <w:rPr>
          <w:rFonts w:eastAsia="Times New Roman" w:cs="Book Antiqua"/>
          <w:color w:val="000000"/>
          <w:sz w:val="24"/>
          <w:szCs w:val="24"/>
        </w:rPr>
        <w:t>.</w:t>
      </w:r>
    </w:p>
    <w:p w:rsidRPr="00DF25C0" w:rsidR="009C6DC2" w:rsidP="009C6DC2" w:rsidRDefault="009C6DC2" w14:paraId="55B09681" w14:textId="77777777">
      <w:pPr>
        <w:autoSpaceDE w:val="0"/>
        <w:autoSpaceDN w:val="0"/>
        <w:adjustRightInd w:val="0"/>
        <w:spacing w:after="0"/>
        <w:contextualSpacing/>
        <w:rPr>
          <w:rFonts w:eastAsia="Times New Roman" w:cs="Times New Roman"/>
          <w:sz w:val="24"/>
          <w:szCs w:val="24"/>
        </w:rPr>
      </w:pPr>
    </w:p>
    <w:p w:rsidR="009C6DC2" w:rsidP="009C6DC2" w:rsidRDefault="009C6DC2" w14:paraId="728AA85B" w14:textId="5DCFE255">
      <w:pPr>
        <w:pBdr>
          <w:bottom w:val="single" w:color="auto" w:sz="12" w:space="1"/>
        </w:pBdr>
        <w:autoSpaceDE w:val="0"/>
        <w:autoSpaceDN w:val="0"/>
        <w:adjustRightInd w:val="0"/>
        <w:spacing w:after="0"/>
        <w:ind w:left="720"/>
        <w:rPr>
          <w:rFonts w:eastAsia="Times New Roman" w:cs="Times New Roman"/>
          <w:sz w:val="24"/>
          <w:szCs w:val="24"/>
        </w:rPr>
      </w:pPr>
      <w:r w:rsidRPr="00DF25C0">
        <w:rPr>
          <w:rFonts w:eastAsia="Times New Roman" w:cs="Book Antiqua"/>
          <w:color w:val="000000"/>
          <w:sz w:val="24"/>
          <w:szCs w:val="24"/>
        </w:rPr>
        <w:t xml:space="preserve">By Energy Division’s own motion </w:t>
      </w:r>
      <w:r w:rsidRPr="00DF25C0">
        <w:rPr>
          <w:rFonts w:eastAsia="Times New Roman" w:cs="Times New Roman"/>
          <w:sz w:val="24"/>
          <w:szCs w:val="24"/>
        </w:rPr>
        <w:t>in Compliance with Resolution E-4818.</w:t>
      </w:r>
    </w:p>
    <w:bookmarkEnd w:id="1"/>
    <w:p w:rsidRPr="00DF25C0" w:rsidR="00DF25C0" w:rsidP="009C6DC2" w:rsidRDefault="00DF25C0" w14:paraId="0B2AB7FD" w14:textId="77777777">
      <w:pPr>
        <w:pBdr>
          <w:bottom w:val="single" w:color="auto" w:sz="12" w:space="1"/>
        </w:pBdr>
        <w:autoSpaceDE w:val="0"/>
        <w:autoSpaceDN w:val="0"/>
        <w:adjustRightInd w:val="0"/>
        <w:spacing w:after="0"/>
        <w:ind w:left="720"/>
        <w:rPr>
          <w:rFonts w:eastAsia="Times New Roman" w:cs="Arial"/>
          <w:color w:val="000000"/>
          <w:sz w:val="24"/>
          <w:szCs w:val="24"/>
        </w:rPr>
      </w:pPr>
    </w:p>
    <w:p w:rsidRPr="0044038C" w:rsidR="009C18BB" w:rsidP="0044038C" w:rsidRDefault="00810795" w14:paraId="46723E71" w14:textId="402E4ACC">
      <w:pPr>
        <w:spacing w:after="200" w:line="276" w:lineRule="auto"/>
        <w:rPr>
          <w:rFonts w:eastAsia="Times New Roman" w:cs="Times New Roman"/>
          <w:sz w:val="24"/>
          <w:szCs w:val="24"/>
        </w:rPr>
      </w:pPr>
      <w:r w:rsidRPr="00DF25C0">
        <w:rPr>
          <w:rFonts w:eastAsia="Times New Roman" w:cs="Times New Roman"/>
          <w:sz w:val="24"/>
          <w:szCs w:val="24"/>
        </w:rPr>
        <w:br w:type="page"/>
      </w:r>
    </w:p>
    <w:p w:rsidRPr="00DF25C0" w:rsidR="00EF6CE0" w:rsidP="002042A2" w:rsidRDefault="000B317B" w14:paraId="27D257E2" w14:textId="12E96474">
      <w:pPr>
        <w:pStyle w:val="Heading1"/>
        <w:keepLines w:val="0"/>
        <w:numPr>
          <w:ilvl w:val="0"/>
          <w:numId w:val="5"/>
        </w:numPr>
        <w:spacing w:before="120" w:after="120"/>
        <w:ind w:left="360"/>
        <w:rPr>
          <w:rFonts w:ascii="Palatino Linotype" w:hAnsi="Palatino Linotype" w:eastAsia="Times New Roman" w:cs="Times New Roman"/>
          <w:b/>
          <w:bCs w:val="0"/>
          <w:kern w:val="28"/>
          <w:sz w:val="24"/>
          <w:szCs w:val="24"/>
        </w:rPr>
      </w:pPr>
      <w:bookmarkStart w:name="_Toc512412405" w:id="3"/>
      <w:bookmarkStart w:name="_Toc512412614" w:id="4"/>
      <w:bookmarkStart w:name="_Toc532562894" w:id="5"/>
      <w:r w:rsidRPr="00DF25C0">
        <w:rPr>
          <w:rFonts w:ascii="Palatino Linotype" w:hAnsi="Palatino Linotype" w:eastAsia="Times New Roman" w:cs="Times New Roman"/>
          <w:b/>
          <w:bCs w:val="0"/>
          <w:kern w:val="28"/>
          <w:sz w:val="24"/>
          <w:szCs w:val="24"/>
        </w:rPr>
        <w:lastRenderedPageBreak/>
        <w:t>SUMMARY</w:t>
      </w:r>
      <w:bookmarkEnd w:id="0"/>
      <w:bookmarkEnd w:id="3"/>
      <w:bookmarkEnd w:id="4"/>
      <w:bookmarkEnd w:id="5"/>
    </w:p>
    <w:p w:rsidR="00FF3E77" w:rsidP="003601C2" w:rsidRDefault="03300446" w14:paraId="47AF4BC5" w14:textId="05578BD3">
      <w:pPr>
        <w:pStyle w:val="standard"/>
        <w:rPr>
          <w:sz w:val="24"/>
          <w:szCs w:val="24"/>
        </w:rPr>
      </w:pPr>
      <w:r w:rsidRPr="0043362B">
        <w:rPr>
          <w:rFonts w:ascii="Palatino Linotype" w:hAnsi="Palatino Linotype"/>
          <w:sz w:val="24"/>
          <w:szCs w:val="24"/>
        </w:rPr>
        <w:t xml:space="preserve">This resolution adopts </w:t>
      </w:r>
      <w:r w:rsidRPr="0043362B" w:rsidR="72C08A99">
        <w:rPr>
          <w:rFonts w:ascii="Palatino Linotype" w:hAnsi="Palatino Linotype"/>
          <w:sz w:val="24"/>
          <w:szCs w:val="24"/>
        </w:rPr>
        <w:t xml:space="preserve">guidance for </w:t>
      </w:r>
      <w:r w:rsidRPr="0043362B" w:rsidR="001B6F03">
        <w:rPr>
          <w:rFonts w:ascii="Palatino Linotype" w:hAnsi="Palatino Linotype"/>
          <w:sz w:val="24"/>
          <w:szCs w:val="24"/>
        </w:rPr>
        <w:t xml:space="preserve">the </w:t>
      </w:r>
      <w:r w:rsidRPr="0043362B" w:rsidR="001B6F03">
        <w:rPr>
          <w:sz w:val="24"/>
          <w:szCs w:val="24"/>
        </w:rPr>
        <w:t xml:space="preserve">supporting documentation required </w:t>
      </w:r>
      <w:r w:rsidR="00BB1119">
        <w:rPr>
          <w:sz w:val="24"/>
          <w:szCs w:val="24"/>
        </w:rPr>
        <w:t>when implementing the preponderance of evidence process adopted in Resolution E-4939 for meeting</w:t>
      </w:r>
      <w:r w:rsidRPr="0043362B" w:rsidR="001B6F03">
        <w:rPr>
          <w:sz w:val="24"/>
          <w:szCs w:val="24"/>
        </w:rPr>
        <w:t xml:space="preserve"> </w:t>
      </w:r>
      <w:r w:rsidR="001B6F03">
        <w:rPr>
          <w:rFonts w:ascii="Palatino Linotype" w:hAnsi="Palatino Linotype"/>
          <w:sz w:val="24"/>
          <w:szCs w:val="24"/>
        </w:rPr>
        <w:t xml:space="preserve">“accelerated-replacement” </w:t>
      </w:r>
      <w:r w:rsidR="00BB1119">
        <w:rPr>
          <w:rFonts w:ascii="Palatino Linotype" w:hAnsi="Palatino Linotype"/>
          <w:sz w:val="24"/>
          <w:szCs w:val="24"/>
        </w:rPr>
        <w:t xml:space="preserve">criteria </w:t>
      </w:r>
      <w:r w:rsidR="001B6F03">
        <w:rPr>
          <w:rFonts w:ascii="Palatino Linotype" w:hAnsi="Palatino Linotype"/>
          <w:sz w:val="24"/>
          <w:szCs w:val="24"/>
        </w:rPr>
        <w:t xml:space="preserve">in </w:t>
      </w:r>
      <w:r w:rsidRPr="0043362B" w:rsidR="72C08A99">
        <w:rPr>
          <w:rFonts w:ascii="Palatino Linotype" w:hAnsi="Palatino Linotype"/>
          <w:sz w:val="24"/>
          <w:szCs w:val="24"/>
        </w:rPr>
        <w:t>custom energy efficiency projects</w:t>
      </w:r>
      <w:r w:rsidRPr="1E286DC1" w:rsidR="72C08A99">
        <w:rPr>
          <w:rFonts w:ascii="Palatino Linotype" w:hAnsi="Palatino Linotype"/>
          <w:sz w:val="24"/>
          <w:szCs w:val="24"/>
        </w:rPr>
        <w:t>.</w:t>
      </w:r>
      <w:r w:rsidR="005D298A">
        <w:rPr>
          <w:rStyle w:val="FootnoteReference"/>
          <w:rFonts w:ascii="Palatino Linotype" w:hAnsi="Palatino Linotype"/>
          <w:sz w:val="24"/>
          <w:szCs w:val="24"/>
        </w:rPr>
        <w:footnoteReference w:id="2"/>
      </w:r>
      <w:r w:rsidRPr="1E286DC1" w:rsidR="72C08A99">
        <w:rPr>
          <w:rFonts w:ascii="Palatino Linotype" w:hAnsi="Palatino Linotype"/>
          <w:sz w:val="24"/>
          <w:szCs w:val="24"/>
        </w:rPr>
        <w:t xml:space="preserve"> </w:t>
      </w:r>
      <w:r w:rsidR="001B6F03">
        <w:rPr>
          <w:sz w:val="24"/>
          <w:szCs w:val="24"/>
        </w:rPr>
        <w:t xml:space="preserve"> Accelerated-replacement refers to projects for which an </w:t>
      </w:r>
      <w:r w:rsidRPr="0043362B" w:rsidR="00BB16CB">
        <w:rPr>
          <w:sz w:val="24"/>
          <w:szCs w:val="24"/>
        </w:rPr>
        <w:t>energy efficiency</w:t>
      </w:r>
      <w:r w:rsidRPr="0043362B" w:rsidR="00D507D6">
        <w:rPr>
          <w:sz w:val="24"/>
          <w:szCs w:val="24"/>
        </w:rPr>
        <w:t xml:space="preserve"> </w:t>
      </w:r>
      <w:r w:rsidR="00B77569">
        <w:rPr>
          <w:sz w:val="24"/>
          <w:szCs w:val="24"/>
        </w:rPr>
        <w:t>incentive</w:t>
      </w:r>
      <w:r w:rsidRPr="0043362B" w:rsidR="00D507D6">
        <w:rPr>
          <w:sz w:val="24"/>
          <w:szCs w:val="24"/>
        </w:rPr>
        <w:t xml:space="preserve"> </w:t>
      </w:r>
      <w:r w:rsidRPr="0043362B" w:rsidR="000823FD">
        <w:rPr>
          <w:sz w:val="24"/>
          <w:szCs w:val="24"/>
        </w:rPr>
        <w:t>induced</w:t>
      </w:r>
      <w:r w:rsidRPr="0043362B" w:rsidR="00D507D6">
        <w:rPr>
          <w:sz w:val="24"/>
          <w:szCs w:val="24"/>
        </w:rPr>
        <w:t xml:space="preserve"> </w:t>
      </w:r>
      <w:r w:rsidRPr="0043362B" w:rsidR="001A08B9">
        <w:rPr>
          <w:sz w:val="24"/>
          <w:szCs w:val="24"/>
        </w:rPr>
        <w:t xml:space="preserve">a customer </w:t>
      </w:r>
      <w:r w:rsidRPr="0043362B" w:rsidR="00BE19D1">
        <w:rPr>
          <w:sz w:val="24"/>
          <w:szCs w:val="24"/>
        </w:rPr>
        <w:t>to</w:t>
      </w:r>
      <w:r w:rsidRPr="0043362B" w:rsidR="004C7FEE">
        <w:rPr>
          <w:sz w:val="24"/>
          <w:szCs w:val="24"/>
        </w:rPr>
        <w:t xml:space="preserve"> </w:t>
      </w:r>
      <w:r w:rsidRPr="0043362B" w:rsidR="0031099A">
        <w:rPr>
          <w:sz w:val="24"/>
          <w:szCs w:val="24"/>
        </w:rPr>
        <w:t>replace</w:t>
      </w:r>
      <w:r w:rsidRPr="0043362B" w:rsidR="005F3804">
        <w:rPr>
          <w:sz w:val="24"/>
          <w:szCs w:val="24"/>
        </w:rPr>
        <w:t xml:space="preserve"> </w:t>
      </w:r>
      <w:r w:rsidRPr="0043362B" w:rsidR="00D047BA">
        <w:rPr>
          <w:sz w:val="24"/>
          <w:szCs w:val="24"/>
        </w:rPr>
        <w:t xml:space="preserve">an </w:t>
      </w:r>
      <w:r w:rsidRPr="0043362B" w:rsidR="005F3804">
        <w:rPr>
          <w:sz w:val="24"/>
          <w:szCs w:val="24"/>
        </w:rPr>
        <w:t>inefficient</w:t>
      </w:r>
      <w:r w:rsidRPr="0043362B" w:rsidR="004C7FEE">
        <w:rPr>
          <w:sz w:val="24"/>
          <w:szCs w:val="24"/>
        </w:rPr>
        <w:t xml:space="preserve"> </w:t>
      </w:r>
      <w:r w:rsidRPr="0043362B" w:rsidR="000118D8">
        <w:rPr>
          <w:sz w:val="24"/>
          <w:szCs w:val="24"/>
        </w:rPr>
        <w:t>equipment</w:t>
      </w:r>
      <w:r w:rsidRPr="0043362B" w:rsidR="0031099A">
        <w:rPr>
          <w:sz w:val="24"/>
          <w:szCs w:val="24"/>
        </w:rPr>
        <w:t xml:space="preserve"> or </w:t>
      </w:r>
      <w:r w:rsidRPr="0043362B" w:rsidR="00825B2D">
        <w:rPr>
          <w:sz w:val="24"/>
          <w:szCs w:val="24"/>
        </w:rPr>
        <w:t xml:space="preserve">process </w:t>
      </w:r>
      <w:r w:rsidRPr="0043362B" w:rsidR="007264F9">
        <w:rPr>
          <w:sz w:val="24"/>
          <w:szCs w:val="24"/>
        </w:rPr>
        <w:t xml:space="preserve">with </w:t>
      </w:r>
      <w:r w:rsidRPr="0043362B" w:rsidR="00825B2D">
        <w:rPr>
          <w:sz w:val="24"/>
          <w:szCs w:val="24"/>
        </w:rPr>
        <w:t>one that is</w:t>
      </w:r>
      <w:r w:rsidRPr="0043362B" w:rsidR="007264F9">
        <w:rPr>
          <w:sz w:val="24"/>
          <w:szCs w:val="24"/>
        </w:rPr>
        <w:t xml:space="preserve"> more energy efficient</w:t>
      </w:r>
      <w:r w:rsidR="00D653F6">
        <w:rPr>
          <w:sz w:val="24"/>
          <w:szCs w:val="24"/>
        </w:rPr>
        <w:t xml:space="preserve"> </w:t>
      </w:r>
      <w:r w:rsidR="001B6F03">
        <w:rPr>
          <w:sz w:val="24"/>
          <w:szCs w:val="24"/>
        </w:rPr>
        <w:t xml:space="preserve">while </w:t>
      </w:r>
      <w:r w:rsidR="00D83A79">
        <w:rPr>
          <w:sz w:val="24"/>
          <w:szCs w:val="24"/>
        </w:rPr>
        <w:t xml:space="preserve">the </w:t>
      </w:r>
      <w:r w:rsidR="001B6F03">
        <w:rPr>
          <w:sz w:val="24"/>
          <w:szCs w:val="24"/>
        </w:rPr>
        <w:t xml:space="preserve">existing </w:t>
      </w:r>
      <w:r w:rsidR="00D83A79">
        <w:rPr>
          <w:sz w:val="24"/>
          <w:szCs w:val="24"/>
        </w:rPr>
        <w:t>equipment</w:t>
      </w:r>
      <w:r w:rsidR="001B6F03">
        <w:rPr>
          <w:sz w:val="24"/>
          <w:szCs w:val="24"/>
        </w:rPr>
        <w:t xml:space="preserve"> or process</w:t>
      </w:r>
      <w:r w:rsidR="00D83A79">
        <w:rPr>
          <w:sz w:val="24"/>
          <w:szCs w:val="24"/>
        </w:rPr>
        <w:t xml:space="preserve"> is </w:t>
      </w:r>
      <w:r w:rsidR="001B6F03">
        <w:rPr>
          <w:sz w:val="24"/>
          <w:szCs w:val="24"/>
        </w:rPr>
        <w:t>still</w:t>
      </w:r>
      <w:r w:rsidR="00D83A79">
        <w:rPr>
          <w:sz w:val="24"/>
          <w:szCs w:val="24"/>
        </w:rPr>
        <w:t xml:space="preserve"> function</w:t>
      </w:r>
      <w:r w:rsidR="001B6F03">
        <w:rPr>
          <w:sz w:val="24"/>
          <w:szCs w:val="24"/>
        </w:rPr>
        <w:t>ing</w:t>
      </w:r>
      <w:r w:rsidRPr="0043362B" w:rsidR="004C225D">
        <w:rPr>
          <w:sz w:val="24"/>
          <w:szCs w:val="24"/>
        </w:rPr>
        <w:t>.</w:t>
      </w:r>
      <w:r w:rsidR="00BB1119">
        <w:rPr>
          <w:rStyle w:val="FootnoteReference"/>
          <w:sz w:val="24"/>
          <w:szCs w:val="24"/>
        </w:rPr>
        <w:footnoteReference w:id="3"/>
      </w:r>
      <w:r w:rsidRPr="0043362B" w:rsidR="004C225D">
        <w:rPr>
          <w:sz w:val="24"/>
          <w:szCs w:val="24"/>
        </w:rPr>
        <w:t xml:space="preserve"> </w:t>
      </w:r>
      <w:r w:rsidR="00C97AE7">
        <w:rPr>
          <w:sz w:val="24"/>
          <w:szCs w:val="24"/>
        </w:rPr>
        <w:t xml:space="preserve"> </w:t>
      </w:r>
    </w:p>
    <w:p w:rsidRPr="00DF25C0" w:rsidR="00AE7E16" w:rsidP="003601C2" w:rsidRDefault="001131CD" w14:paraId="002DE567" w14:textId="6AEE55C7">
      <w:pPr>
        <w:pStyle w:val="standard"/>
        <w:rPr>
          <w:rFonts w:ascii="Palatino Linotype" w:hAnsi="Palatino Linotype"/>
          <w:sz w:val="24"/>
          <w:szCs w:val="24"/>
        </w:rPr>
      </w:pPr>
      <w:r>
        <w:rPr>
          <w:rFonts w:ascii="Palatino Linotype" w:hAnsi="Palatino Linotype"/>
          <w:sz w:val="24"/>
          <w:szCs w:val="24"/>
        </w:rPr>
        <w:t xml:space="preserve">In CPUC Decision </w:t>
      </w:r>
      <w:r w:rsidR="006F79AE">
        <w:rPr>
          <w:rFonts w:ascii="Palatino Linotype" w:hAnsi="Palatino Linotype"/>
          <w:sz w:val="24"/>
          <w:szCs w:val="24"/>
        </w:rPr>
        <w:t xml:space="preserve">(D.) </w:t>
      </w:r>
      <w:r>
        <w:rPr>
          <w:rFonts w:ascii="Palatino Linotype" w:hAnsi="Palatino Linotype"/>
          <w:sz w:val="24"/>
          <w:szCs w:val="24"/>
        </w:rPr>
        <w:t>1</w:t>
      </w:r>
      <w:r w:rsidR="006F79AE">
        <w:rPr>
          <w:rFonts w:ascii="Palatino Linotype" w:hAnsi="Palatino Linotype"/>
          <w:sz w:val="24"/>
          <w:szCs w:val="24"/>
        </w:rPr>
        <w:t>6</w:t>
      </w:r>
      <w:r>
        <w:rPr>
          <w:rFonts w:ascii="Palatino Linotype" w:hAnsi="Palatino Linotype"/>
          <w:sz w:val="24"/>
          <w:szCs w:val="24"/>
        </w:rPr>
        <w:t>-08-019 and Resolution E-4818</w:t>
      </w:r>
      <w:r w:rsidR="00D4665E">
        <w:rPr>
          <w:rFonts w:ascii="Palatino Linotype" w:hAnsi="Palatino Linotype"/>
          <w:sz w:val="24"/>
          <w:szCs w:val="24"/>
        </w:rPr>
        <w:t>,</w:t>
      </w:r>
      <w:r>
        <w:rPr>
          <w:rFonts w:ascii="Palatino Linotype" w:hAnsi="Palatino Linotype"/>
          <w:sz w:val="24"/>
          <w:szCs w:val="24"/>
        </w:rPr>
        <w:t xml:space="preserve"> t</w:t>
      </w:r>
      <w:r w:rsidRPr="0043362B" w:rsidR="00581864">
        <w:rPr>
          <w:rFonts w:ascii="Palatino Linotype" w:hAnsi="Palatino Linotype"/>
          <w:sz w:val="24"/>
          <w:szCs w:val="24"/>
        </w:rPr>
        <w:t>he CPUC</w:t>
      </w:r>
      <w:r w:rsidRPr="0043362B" w:rsidR="7F39B63E">
        <w:rPr>
          <w:rFonts w:ascii="Palatino Linotype" w:hAnsi="Palatino Linotype"/>
          <w:sz w:val="24"/>
          <w:szCs w:val="24"/>
        </w:rPr>
        <w:t xml:space="preserve"> </w:t>
      </w:r>
      <w:r w:rsidRPr="0043362B" w:rsidR="00581864">
        <w:rPr>
          <w:rFonts w:ascii="Palatino Linotype" w:hAnsi="Palatino Linotype"/>
          <w:sz w:val="24"/>
          <w:szCs w:val="24"/>
        </w:rPr>
        <w:t>directed</w:t>
      </w:r>
      <w:r w:rsidRPr="0043362B" w:rsidR="7F39B63E">
        <w:rPr>
          <w:rFonts w:ascii="Palatino Linotype" w:hAnsi="Palatino Linotype"/>
          <w:sz w:val="24"/>
          <w:szCs w:val="24"/>
        </w:rPr>
        <w:t xml:space="preserve"> staff to develop rules </w:t>
      </w:r>
      <w:r w:rsidR="00D4665E">
        <w:rPr>
          <w:rFonts w:ascii="Palatino Linotype" w:hAnsi="Palatino Linotype"/>
          <w:sz w:val="24"/>
          <w:szCs w:val="24"/>
        </w:rPr>
        <w:t>setting</w:t>
      </w:r>
      <w:r w:rsidRPr="0043362B" w:rsidR="7F39B63E">
        <w:rPr>
          <w:rFonts w:ascii="Palatino Linotype" w:hAnsi="Palatino Linotype"/>
          <w:sz w:val="24"/>
          <w:szCs w:val="24"/>
        </w:rPr>
        <w:t xml:space="preserve"> </w:t>
      </w:r>
      <w:r w:rsidR="006525B5">
        <w:rPr>
          <w:rFonts w:ascii="Palatino Linotype" w:hAnsi="Palatino Linotype"/>
          <w:sz w:val="24"/>
          <w:szCs w:val="24"/>
        </w:rPr>
        <w:t>the</w:t>
      </w:r>
      <w:r w:rsidR="00C357CD">
        <w:rPr>
          <w:rFonts w:ascii="Palatino Linotype" w:hAnsi="Palatino Linotype"/>
          <w:sz w:val="24"/>
          <w:szCs w:val="24"/>
        </w:rPr>
        <w:t xml:space="preserve"> </w:t>
      </w:r>
      <w:r w:rsidR="006525B5">
        <w:rPr>
          <w:rFonts w:ascii="Palatino Linotype" w:hAnsi="Palatino Linotype"/>
          <w:sz w:val="24"/>
          <w:szCs w:val="24"/>
        </w:rPr>
        <w:t>”p</w:t>
      </w:r>
      <w:r w:rsidRPr="0043362B" w:rsidR="03300446">
        <w:rPr>
          <w:rFonts w:ascii="Palatino Linotype" w:hAnsi="Palatino Linotype"/>
          <w:sz w:val="24"/>
          <w:szCs w:val="24"/>
        </w:rPr>
        <w:t xml:space="preserve">reponderance of </w:t>
      </w:r>
      <w:r w:rsidR="006525B5">
        <w:rPr>
          <w:rFonts w:ascii="Palatino Linotype" w:hAnsi="Palatino Linotype"/>
          <w:sz w:val="24"/>
          <w:szCs w:val="24"/>
        </w:rPr>
        <w:t>e</w:t>
      </w:r>
      <w:r w:rsidRPr="0043362B" w:rsidR="03300446">
        <w:rPr>
          <w:rFonts w:ascii="Palatino Linotype" w:hAnsi="Palatino Linotype"/>
          <w:sz w:val="24"/>
          <w:szCs w:val="24"/>
        </w:rPr>
        <w:t>vidence</w:t>
      </w:r>
      <w:r w:rsidR="00C357CD">
        <w:rPr>
          <w:rFonts w:ascii="Palatino Linotype" w:hAnsi="Palatino Linotype"/>
          <w:sz w:val="24"/>
          <w:szCs w:val="24"/>
        </w:rPr>
        <w:t>”</w:t>
      </w:r>
      <w:r w:rsidRPr="0043362B" w:rsidR="03300446">
        <w:rPr>
          <w:rFonts w:ascii="Palatino Linotype" w:hAnsi="Palatino Linotype"/>
          <w:sz w:val="24"/>
          <w:szCs w:val="24"/>
        </w:rPr>
        <w:t xml:space="preserve"> </w:t>
      </w:r>
      <w:r w:rsidR="00C357CD">
        <w:rPr>
          <w:rFonts w:ascii="Palatino Linotype" w:hAnsi="Palatino Linotype"/>
          <w:sz w:val="24"/>
          <w:szCs w:val="24"/>
        </w:rPr>
        <w:t xml:space="preserve">standard </w:t>
      </w:r>
      <w:r w:rsidR="00B77569">
        <w:rPr>
          <w:rFonts w:ascii="Palatino Linotype" w:hAnsi="Palatino Linotype"/>
          <w:sz w:val="24"/>
          <w:szCs w:val="24"/>
        </w:rPr>
        <w:t>to demonstrate that</w:t>
      </w:r>
      <w:r w:rsidRPr="0043362B" w:rsidR="00B77569">
        <w:rPr>
          <w:rFonts w:ascii="Palatino Linotype" w:hAnsi="Palatino Linotype"/>
          <w:sz w:val="24"/>
          <w:szCs w:val="24"/>
        </w:rPr>
        <w:t xml:space="preserve"> </w:t>
      </w:r>
      <w:r w:rsidRPr="0043362B" w:rsidR="106203F4">
        <w:rPr>
          <w:rFonts w:ascii="Palatino Linotype" w:hAnsi="Palatino Linotype"/>
          <w:sz w:val="24"/>
          <w:szCs w:val="24"/>
        </w:rPr>
        <w:t>the replacement of</w:t>
      </w:r>
      <w:r w:rsidRPr="0043362B" w:rsidR="703C9475">
        <w:rPr>
          <w:rFonts w:ascii="Palatino Linotype" w:hAnsi="Palatino Linotype"/>
          <w:sz w:val="24"/>
          <w:szCs w:val="24"/>
        </w:rPr>
        <w:t xml:space="preserve"> </w:t>
      </w:r>
      <w:r w:rsidRPr="0043362B" w:rsidR="3A4C3F08">
        <w:rPr>
          <w:rFonts w:ascii="Palatino Linotype" w:hAnsi="Palatino Linotype"/>
          <w:sz w:val="24"/>
          <w:szCs w:val="24"/>
        </w:rPr>
        <w:t xml:space="preserve">inefficient </w:t>
      </w:r>
      <w:r w:rsidRPr="0043362B" w:rsidR="703C9475">
        <w:rPr>
          <w:rFonts w:ascii="Palatino Linotype" w:hAnsi="Palatino Linotype"/>
          <w:sz w:val="24"/>
          <w:szCs w:val="24"/>
        </w:rPr>
        <w:t>equipment</w:t>
      </w:r>
      <w:r w:rsidRPr="0043362B" w:rsidR="00E95095">
        <w:rPr>
          <w:rFonts w:ascii="Palatino Linotype" w:hAnsi="Palatino Linotype"/>
          <w:sz w:val="24"/>
          <w:szCs w:val="24"/>
        </w:rPr>
        <w:t xml:space="preserve"> or process</w:t>
      </w:r>
      <w:r w:rsidRPr="0043362B" w:rsidR="52F0C59C">
        <w:rPr>
          <w:rFonts w:ascii="Palatino Linotype" w:hAnsi="Palatino Linotype"/>
          <w:sz w:val="24"/>
          <w:szCs w:val="24"/>
        </w:rPr>
        <w:t xml:space="preserve"> </w:t>
      </w:r>
      <w:r w:rsidRPr="0043362B" w:rsidR="641F8EDA">
        <w:rPr>
          <w:rFonts w:ascii="Palatino Linotype" w:hAnsi="Palatino Linotype"/>
          <w:sz w:val="24"/>
          <w:szCs w:val="24"/>
        </w:rPr>
        <w:t xml:space="preserve">with </w:t>
      </w:r>
      <w:r w:rsidRPr="0043362B" w:rsidR="00B025E9">
        <w:rPr>
          <w:rFonts w:ascii="Palatino Linotype" w:hAnsi="Palatino Linotype"/>
          <w:sz w:val="24"/>
          <w:szCs w:val="24"/>
        </w:rPr>
        <w:t xml:space="preserve">a more </w:t>
      </w:r>
      <w:r w:rsidRPr="0043362B" w:rsidR="641F8EDA">
        <w:rPr>
          <w:rFonts w:ascii="Palatino Linotype" w:hAnsi="Palatino Linotype"/>
          <w:sz w:val="24"/>
          <w:szCs w:val="24"/>
        </w:rPr>
        <w:t>energy efficien</w:t>
      </w:r>
      <w:r w:rsidRPr="0043362B" w:rsidR="162E5963">
        <w:rPr>
          <w:rFonts w:ascii="Palatino Linotype" w:hAnsi="Palatino Linotype"/>
          <w:sz w:val="24"/>
          <w:szCs w:val="24"/>
        </w:rPr>
        <w:t xml:space="preserve">t </w:t>
      </w:r>
      <w:r w:rsidRPr="0043362B" w:rsidR="006427C7">
        <w:rPr>
          <w:rFonts w:ascii="Palatino Linotype" w:hAnsi="Palatino Linotype"/>
          <w:sz w:val="24"/>
          <w:szCs w:val="24"/>
        </w:rPr>
        <w:t>one</w:t>
      </w:r>
      <w:r w:rsidRPr="0043362B" w:rsidR="641F8EDA">
        <w:rPr>
          <w:rFonts w:ascii="Palatino Linotype" w:hAnsi="Palatino Linotype"/>
          <w:sz w:val="24"/>
          <w:szCs w:val="24"/>
        </w:rPr>
        <w:t xml:space="preserve"> </w:t>
      </w:r>
      <w:r w:rsidR="00D4665E">
        <w:rPr>
          <w:rFonts w:ascii="Palatino Linotype" w:hAnsi="Palatino Linotype"/>
          <w:sz w:val="24"/>
          <w:szCs w:val="24"/>
        </w:rPr>
        <w:t>resulted from</w:t>
      </w:r>
      <w:r w:rsidRPr="0043362B" w:rsidR="45310AE8">
        <w:rPr>
          <w:rFonts w:ascii="Palatino Linotype" w:hAnsi="Palatino Linotype"/>
          <w:sz w:val="24"/>
          <w:szCs w:val="24"/>
        </w:rPr>
        <w:t xml:space="preserve"> </w:t>
      </w:r>
      <w:r w:rsidR="00D4665E">
        <w:rPr>
          <w:rFonts w:ascii="Palatino Linotype" w:hAnsi="Palatino Linotype"/>
          <w:sz w:val="24"/>
          <w:szCs w:val="24"/>
        </w:rPr>
        <w:t xml:space="preserve">an energy efficiency </w:t>
      </w:r>
      <w:r w:rsidRPr="0043362B" w:rsidR="00626A5A">
        <w:rPr>
          <w:rFonts w:ascii="Palatino Linotype" w:hAnsi="Palatino Linotype"/>
          <w:sz w:val="24"/>
          <w:szCs w:val="24"/>
        </w:rPr>
        <w:t>program offering</w:t>
      </w:r>
      <w:r w:rsidR="00D4665E">
        <w:rPr>
          <w:rFonts w:ascii="Palatino Linotype" w:hAnsi="Palatino Linotype"/>
          <w:sz w:val="24"/>
          <w:szCs w:val="24"/>
        </w:rPr>
        <w:t xml:space="preserve"> and would not have happened otherwise</w:t>
      </w:r>
      <w:r w:rsidRPr="0043362B" w:rsidDel="00D4665E" w:rsidR="00D4665E">
        <w:rPr>
          <w:rFonts w:ascii="Palatino Linotype" w:hAnsi="Palatino Linotype"/>
          <w:sz w:val="24"/>
          <w:szCs w:val="24"/>
        </w:rPr>
        <w:t xml:space="preserve"> </w:t>
      </w:r>
      <w:r w:rsidRPr="004D0810" w:rsidR="46C8470F">
        <w:rPr>
          <w:rFonts w:ascii="Palatino Linotype" w:hAnsi="Palatino Linotype"/>
          <w:sz w:val="24"/>
          <w:szCs w:val="24"/>
        </w:rPr>
        <w:t>.</w:t>
      </w:r>
      <w:r w:rsidRPr="0043362B" w:rsidR="00A252A2">
        <w:rPr>
          <w:rStyle w:val="FootnoteReference"/>
          <w:rFonts w:ascii="Palatino Linotype" w:hAnsi="Palatino Linotype"/>
          <w:sz w:val="24"/>
          <w:szCs w:val="24"/>
        </w:rPr>
        <w:footnoteReference w:id="4"/>
      </w:r>
      <w:r w:rsidRPr="004D0810" w:rsidR="03300446">
        <w:rPr>
          <w:rFonts w:ascii="Palatino Linotype" w:hAnsi="Palatino Linotype"/>
          <w:sz w:val="24"/>
          <w:szCs w:val="24"/>
        </w:rPr>
        <w:t xml:space="preserve"> </w:t>
      </w:r>
      <w:r w:rsidR="000B2086">
        <w:rPr>
          <w:rFonts w:ascii="Palatino Linotype" w:hAnsi="Palatino Linotype"/>
          <w:sz w:val="24"/>
          <w:szCs w:val="24"/>
        </w:rPr>
        <w:t xml:space="preserve">.  </w:t>
      </w:r>
      <w:r w:rsidRPr="0043362B" w:rsidR="03300446">
        <w:rPr>
          <w:rFonts w:ascii="Palatino Linotype" w:hAnsi="Palatino Linotype"/>
          <w:sz w:val="24"/>
          <w:szCs w:val="24"/>
        </w:rPr>
        <w:t>T</w:t>
      </w:r>
      <w:r w:rsidR="00D4665E">
        <w:rPr>
          <w:rFonts w:ascii="Palatino Linotype" w:hAnsi="Palatino Linotype"/>
          <w:sz w:val="24"/>
          <w:szCs w:val="24"/>
        </w:rPr>
        <w:t xml:space="preserve">o comply with these CPUC directives, </w:t>
      </w:r>
      <w:r w:rsidRPr="0043362B" w:rsidR="7F05DCC1">
        <w:rPr>
          <w:rFonts w:ascii="Palatino Linotype" w:hAnsi="Palatino Linotype"/>
          <w:sz w:val="24"/>
          <w:szCs w:val="24"/>
        </w:rPr>
        <w:t>this resolution</w:t>
      </w:r>
      <w:r w:rsidRPr="0043362B" w:rsidR="03300446">
        <w:rPr>
          <w:rFonts w:ascii="Palatino Linotype" w:hAnsi="Palatino Linotype"/>
          <w:sz w:val="24"/>
          <w:szCs w:val="24"/>
        </w:rPr>
        <w:t xml:space="preserve"> </w:t>
      </w:r>
      <w:r w:rsidR="00D4665E">
        <w:rPr>
          <w:rFonts w:ascii="Palatino Linotype" w:hAnsi="Palatino Linotype"/>
          <w:sz w:val="24"/>
          <w:szCs w:val="24"/>
        </w:rPr>
        <w:t>provides</w:t>
      </w:r>
      <w:r w:rsidRPr="1E286DC1" w:rsidR="03300446">
        <w:rPr>
          <w:rFonts w:ascii="Palatino Linotype" w:hAnsi="Palatino Linotype"/>
          <w:sz w:val="24"/>
          <w:szCs w:val="24"/>
        </w:rPr>
        <w:t xml:space="preserve">:   </w:t>
      </w:r>
    </w:p>
    <w:p w:rsidRPr="00DF25C0" w:rsidR="00AE7E16" w:rsidP="007A3EBD" w:rsidRDefault="00F5424D" w14:paraId="1D8351C1" w14:textId="5B769FB3">
      <w:pPr>
        <w:pStyle w:val="standard"/>
        <w:numPr>
          <w:ilvl w:val="0"/>
          <w:numId w:val="3"/>
        </w:numPr>
        <w:ind w:left="1710"/>
        <w:rPr>
          <w:rFonts w:ascii="Palatino Linotype" w:hAnsi="Palatino Linotype"/>
          <w:sz w:val="24"/>
          <w:szCs w:val="24"/>
        </w:rPr>
      </w:pPr>
      <w:r>
        <w:rPr>
          <w:rFonts w:ascii="Palatino Linotype" w:hAnsi="Palatino Linotype"/>
          <w:sz w:val="24"/>
          <w:szCs w:val="24"/>
        </w:rPr>
        <w:t>D</w:t>
      </w:r>
      <w:r w:rsidR="00A66632">
        <w:rPr>
          <w:rFonts w:ascii="Palatino Linotype" w:hAnsi="Palatino Linotype"/>
          <w:sz w:val="24"/>
          <w:szCs w:val="24"/>
        </w:rPr>
        <w:t>ocumentation</w:t>
      </w:r>
      <w:r>
        <w:rPr>
          <w:rFonts w:ascii="Palatino Linotype" w:hAnsi="Palatino Linotype"/>
          <w:sz w:val="24"/>
          <w:szCs w:val="24"/>
        </w:rPr>
        <w:t xml:space="preserve"> required</w:t>
      </w:r>
      <w:r w:rsidR="0029325D">
        <w:rPr>
          <w:rFonts w:ascii="Palatino Linotype" w:hAnsi="Palatino Linotype"/>
          <w:sz w:val="24"/>
          <w:szCs w:val="24"/>
        </w:rPr>
        <w:t xml:space="preserve"> </w:t>
      </w:r>
      <w:r>
        <w:rPr>
          <w:rFonts w:ascii="Palatino Linotype" w:hAnsi="Palatino Linotype"/>
          <w:sz w:val="24"/>
          <w:szCs w:val="24"/>
        </w:rPr>
        <w:t xml:space="preserve">to demonstrate that existing </w:t>
      </w:r>
      <w:r w:rsidR="004F42D4">
        <w:rPr>
          <w:rFonts w:ascii="Palatino Linotype" w:hAnsi="Palatino Linotype"/>
          <w:sz w:val="24"/>
          <w:szCs w:val="24"/>
        </w:rPr>
        <w:t xml:space="preserve">energy </w:t>
      </w:r>
      <w:r>
        <w:rPr>
          <w:rFonts w:ascii="Palatino Linotype" w:hAnsi="Palatino Linotype"/>
          <w:sz w:val="24"/>
          <w:szCs w:val="24"/>
        </w:rPr>
        <w:t xml:space="preserve">inefficient </w:t>
      </w:r>
      <w:r w:rsidRPr="1E286DC1">
        <w:rPr>
          <w:rFonts w:ascii="Palatino Linotype" w:hAnsi="Palatino Linotype"/>
          <w:sz w:val="24"/>
          <w:szCs w:val="24"/>
        </w:rPr>
        <w:t xml:space="preserve">equipment </w:t>
      </w:r>
      <w:r>
        <w:rPr>
          <w:rFonts w:ascii="Palatino Linotype" w:hAnsi="Palatino Linotype"/>
          <w:sz w:val="24"/>
          <w:szCs w:val="24"/>
        </w:rPr>
        <w:t>would continue to operate at an expected level of service for its remaining useful life</w:t>
      </w:r>
      <w:r w:rsidRPr="1E286DC1" w:rsidR="00FE55F9">
        <w:rPr>
          <w:rFonts w:ascii="Palatino Linotype" w:hAnsi="Palatino Linotype"/>
          <w:sz w:val="24"/>
          <w:szCs w:val="24"/>
        </w:rPr>
        <w:t>,</w:t>
      </w:r>
      <w:r>
        <w:rPr>
          <w:rStyle w:val="FootnoteReference"/>
          <w:rFonts w:ascii="Palatino Linotype" w:hAnsi="Palatino Linotype"/>
          <w:sz w:val="24"/>
          <w:szCs w:val="24"/>
        </w:rPr>
        <w:footnoteReference w:id="5"/>
      </w:r>
    </w:p>
    <w:p w:rsidR="004D5065" w:rsidP="007A3EBD" w:rsidRDefault="00F5424D" w14:paraId="67BE396C" w14:textId="7ED4BD5D">
      <w:pPr>
        <w:pStyle w:val="standard"/>
        <w:numPr>
          <w:ilvl w:val="0"/>
          <w:numId w:val="3"/>
        </w:numPr>
        <w:ind w:left="1710"/>
        <w:rPr>
          <w:rFonts w:ascii="Palatino Linotype" w:hAnsi="Palatino Linotype"/>
          <w:sz w:val="24"/>
          <w:szCs w:val="24"/>
        </w:rPr>
      </w:pPr>
      <w:r>
        <w:rPr>
          <w:rFonts w:ascii="Palatino Linotype" w:hAnsi="Palatino Linotype"/>
          <w:sz w:val="24"/>
          <w:szCs w:val="24"/>
        </w:rPr>
        <w:t>G</w:t>
      </w:r>
      <w:r w:rsidRPr="00DF25C0" w:rsidR="00483450">
        <w:rPr>
          <w:rFonts w:ascii="Palatino Linotype" w:hAnsi="Palatino Linotype"/>
          <w:sz w:val="24"/>
          <w:szCs w:val="24"/>
        </w:rPr>
        <w:t xml:space="preserve">uidance on the minimum </w:t>
      </w:r>
      <w:r w:rsidR="0079519B">
        <w:rPr>
          <w:rFonts w:ascii="Palatino Linotype" w:hAnsi="Palatino Linotype"/>
          <w:sz w:val="24"/>
          <w:szCs w:val="24"/>
        </w:rPr>
        <w:t>documentation</w:t>
      </w:r>
      <w:r w:rsidRPr="00DF25C0" w:rsidR="0079519B">
        <w:rPr>
          <w:rFonts w:ascii="Palatino Linotype" w:hAnsi="Palatino Linotype"/>
          <w:sz w:val="24"/>
          <w:szCs w:val="24"/>
        </w:rPr>
        <w:t xml:space="preserve"> </w:t>
      </w:r>
      <w:r w:rsidRPr="00DF25C0">
        <w:rPr>
          <w:rFonts w:ascii="Palatino Linotype" w:hAnsi="Palatino Linotype"/>
          <w:sz w:val="24"/>
          <w:szCs w:val="24"/>
        </w:rPr>
        <w:t>require</w:t>
      </w:r>
      <w:r>
        <w:rPr>
          <w:rFonts w:ascii="Palatino Linotype" w:hAnsi="Palatino Linotype"/>
          <w:sz w:val="24"/>
          <w:szCs w:val="24"/>
        </w:rPr>
        <w:t xml:space="preserve">d </w:t>
      </w:r>
      <w:r w:rsidRPr="00DF25C0" w:rsidR="00483450">
        <w:rPr>
          <w:rFonts w:ascii="Palatino Linotype" w:hAnsi="Palatino Linotype"/>
          <w:sz w:val="24"/>
          <w:szCs w:val="24"/>
        </w:rPr>
        <w:t xml:space="preserve">to </w:t>
      </w:r>
      <w:r w:rsidR="003014AD">
        <w:rPr>
          <w:rFonts w:ascii="Palatino Linotype" w:hAnsi="Palatino Linotype"/>
          <w:sz w:val="24"/>
          <w:szCs w:val="24"/>
        </w:rPr>
        <w:t>demonstrate</w:t>
      </w:r>
      <w:r w:rsidRPr="00DF25C0" w:rsidR="003014AD">
        <w:rPr>
          <w:rFonts w:ascii="Palatino Linotype" w:hAnsi="Palatino Linotype"/>
          <w:sz w:val="24"/>
          <w:szCs w:val="24"/>
        </w:rPr>
        <w:t xml:space="preserve"> </w:t>
      </w:r>
      <w:r w:rsidRPr="00DF25C0" w:rsidR="00483450">
        <w:rPr>
          <w:rFonts w:ascii="Palatino Linotype" w:hAnsi="Palatino Linotype"/>
          <w:sz w:val="24"/>
          <w:szCs w:val="24"/>
        </w:rPr>
        <w:t>program influence</w:t>
      </w:r>
      <w:r w:rsidRPr="00DF25C0" w:rsidR="00F937EC">
        <w:rPr>
          <w:rFonts w:ascii="Palatino Linotype" w:hAnsi="Palatino Linotype"/>
          <w:sz w:val="24"/>
          <w:szCs w:val="24"/>
        </w:rPr>
        <w:t>,</w:t>
      </w:r>
      <w:r w:rsidR="00A252A2">
        <w:rPr>
          <w:rStyle w:val="FootnoteReference"/>
          <w:rFonts w:ascii="Palatino Linotype" w:hAnsi="Palatino Linotype"/>
          <w:sz w:val="24"/>
          <w:szCs w:val="24"/>
        </w:rPr>
        <w:footnoteReference w:id="6"/>
      </w:r>
      <w:r w:rsidRPr="00DF25C0" w:rsidR="00BC1F38">
        <w:rPr>
          <w:rFonts w:ascii="Palatino Linotype" w:hAnsi="Palatino Linotype"/>
          <w:sz w:val="24"/>
          <w:szCs w:val="24"/>
        </w:rPr>
        <w:t xml:space="preserve"> </w:t>
      </w:r>
      <w:r w:rsidR="009E1B1C">
        <w:rPr>
          <w:rFonts w:ascii="Palatino Linotype" w:hAnsi="Palatino Linotype"/>
          <w:sz w:val="24"/>
          <w:szCs w:val="24"/>
        </w:rPr>
        <w:t xml:space="preserve">and </w:t>
      </w:r>
    </w:p>
    <w:p w:rsidRPr="00DF25C0" w:rsidR="00483450" w:rsidP="007A3EBD" w:rsidRDefault="00F5424D" w14:paraId="0152F950" w14:textId="115A84F3">
      <w:pPr>
        <w:pStyle w:val="standard"/>
        <w:numPr>
          <w:ilvl w:val="0"/>
          <w:numId w:val="3"/>
        </w:numPr>
        <w:ind w:left="1710"/>
        <w:rPr>
          <w:rFonts w:ascii="Palatino Linotype" w:hAnsi="Palatino Linotype"/>
          <w:sz w:val="24"/>
          <w:szCs w:val="24"/>
        </w:rPr>
      </w:pPr>
      <w:r>
        <w:rPr>
          <w:rFonts w:ascii="Palatino Linotype" w:hAnsi="Palatino Linotype"/>
          <w:sz w:val="24"/>
          <w:szCs w:val="24"/>
        </w:rPr>
        <w:lastRenderedPageBreak/>
        <w:t>A description of the</w:t>
      </w:r>
      <w:r w:rsidRPr="00DF25C0" w:rsidR="00483450">
        <w:rPr>
          <w:rFonts w:ascii="Palatino Linotype" w:hAnsi="Palatino Linotype"/>
          <w:sz w:val="24"/>
          <w:szCs w:val="24"/>
        </w:rPr>
        <w:t xml:space="preserve"> </w:t>
      </w:r>
      <w:r w:rsidRPr="00DF25C0" w:rsidR="002A381C">
        <w:rPr>
          <w:rFonts w:ascii="Palatino Linotype" w:hAnsi="Palatino Linotype"/>
          <w:sz w:val="24"/>
          <w:szCs w:val="24"/>
        </w:rPr>
        <w:t xml:space="preserve">process </w:t>
      </w:r>
      <w:r w:rsidRPr="00DF25C0" w:rsidR="00AA53FE">
        <w:rPr>
          <w:rFonts w:ascii="Palatino Linotype" w:hAnsi="Palatino Linotype"/>
          <w:sz w:val="24"/>
          <w:szCs w:val="24"/>
        </w:rPr>
        <w:t xml:space="preserve">for future </w:t>
      </w:r>
      <w:r w:rsidRPr="00DF25C0" w:rsidR="00483450">
        <w:rPr>
          <w:rFonts w:ascii="Palatino Linotype" w:hAnsi="Palatino Linotype"/>
          <w:sz w:val="24"/>
          <w:szCs w:val="24"/>
        </w:rPr>
        <w:t>update</w:t>
      </w:r>
      <w:r w:rsidRPr="00DF25C0" w:rsidR="00AA53FE">
        <w:rPr>
          <w:rFonts w:ascii="Palatino Linotype" w:hAnsi="Palatino Linotype"/>
          <w:sz w:val="24"/>
          <w:szCs w:val="24"/>
        </w:rPr>
        <w:t>s</w:t>
      </w:r>
      <w:r w:rsidRPr="00DF25C0" w:rsidR="00483450">
        <w:rPr>
          <w:rFonts w:ascii="Palatino Linotype" w:hAnsi="Palatino Linotype"/>
          <w:sz w:val="24"/>
          <w:szCs w:val="24"/>
        </w:rPr>
        <w:t xml:space="preserve"> </w:t>
      </w:r>
      <w:r w:rsidRPr="00DF25C0" w:rsidR="00AA53FE">
        <w:rPr>
          <w:rFonts w:ascii="Palatino Linotype" w:hAnsi="Palatino Linotype"/>
          <w:sz w:val="24"/>
          <w:szCs w:val="24"/>
        </w:rPr>
        <w:t xml:space="preserve">to </w:t>
      </w:r>
      <w:r w:rsidR="00DC7D95">
        <w:rPr>
          <w:rFonts w:ascii="Palatino Linotype" w:hAnsi="Palatino Linotype"/>
          <w:sz w:val="24"/>
          <w:szCs w:val="24"/>
        </w:rPr>
        <w:t xml:space="preserve">CPUC </w:t>
      </w:r>
      <w:r>
        <w:rPr>
          <w:rFonts w:ascii="Palatino Linotype" w:hAnsi="Palatino Linotype"/>
          <w:sz w:val="24"/>
          <w:szCs w:val="24"/>
        </w:rPr>
        <w:t>S</w:t>
      </w:r>
      <w:r w:rsidR="00DC7D95">
        <w:rPr>
          <w:rFonts w:ascii="Palatino Linotype" w:hAnsi="Palatino Linotype"/>
          <w:sz w:val="24"/>
          <w:szCs w:val="24"/>
        </w:rPr>
        <w:t>taff’s</w:t>
      </w:r>
      <w:r w:rsidRPr="00DF25C0" w:rsidR="00483450">
        <w:rPr>
          <w:rFonts w:ascii="Palatino Linotype" w:hAnsi="Palatino Linotype"/>
          <w:sz w:val="24"/>
          <w:szCs w:val="24"/>
        </w:rPr>
        <w:t xml:space="preserve"> </w:t>
      </w:r>
      <w:r w:rsidR="006B78FE">
        <w:rPr>
          <w:rFonts w:ascii="Palatino Linotype" w:hAnsi="Palatino Linotype"/>
          <w:sz w:val="24"/>
          <w:szCs w:val="24"/>
        </w:rPr>
        <w:t>Preponderance of Evidence</w:t>
      </w:r>
      <w:r w:rsidRPr="00DF25C0" w:rsidR="006B78FE">
        <w:rPr>
          <w:rFonts w:ascii="Palatino Linotype" w:hAnsi="Palatino Linotype"/>
          <w:sz w:val="24"/>
          <w:szCs w:val="24"/>
        </w:rPr>
        <w:t xml:space="preserve"> </w:t>
      </w:r>
      <w:r w:rsidRPr="00DF25C0" w:rsidR="00AA53FE">
        <w:rPr>
          <w:rFonts w:ascii="Palatino Linotype" w:hAnsi="Palatino Linotype"/>
          <w:sz w:val="24"/>
          <w:szCs w:val="24"/>
        </w:rPr>
        <w:t>Guidance Document</w:t>
      </w:r>
      <w:r w:rsidRPr="00DF25C0" w:rsidR="00483450">
        <w:rPr>
          <w:rFonts w:ascii="Palatino Linotype" w:hAnsi="Palatino Linotype"/>
          <w:sz w:val="24"/>
          <w:szCs w:val="24"/>
        </w:rPr>
        <w:t>.</w:t>
      </w:r>
      <w:r w:rsidR="00A252A2">
        <w:rPr>
          <w:rStyle w:val="FootnoteReference"/>
          <w:rFonts w:ascii="Palatino Linotype" w:hAnsi="Palatino Linotype"/>
          <w:sz w:val="24"/>
          <w:szCs w:val="24"/>
        </w:rPr>
        <w:footnoteReference w:id="7"/>
      </w:r>
    </w:p>
    <w:p w:rsidRPr="00DF25C0" w:rsidR="00704B40" w:rsidP="00C17E88" w:rsidRDefault="001778FF" w14:paraId="2CDC9A43" w14:textId="0833CDE9">
      <w:pPr>
        <w:spacing w:line="360" w:lineRule="auto"/>
        <w:ind w:firstLine="720"/>
        <w:rPr>
          <w:sz w:val="24"/>
          <w:szCs w:val="24"/>
        </w:rPr>
      </w:pPr>
      <w:r>
        <w:rPr>
          <w:sz w:val="24"/>
          <w:szCs w:val="24"/>
        </w:rPr>
        <w:t xml:space="preserve">This Resolution </w:t>
      </w:r>
      <w:r w:rsidR="004D4BD8">
        <w:rPr>
          <w:sz w:val="24"/>
          <w:szCs w:val="24"/>
        </w:rPr>
        <w:t xml:space="preserve">completes the direction of </w:t>
      </w:r>
      <w:r w:rsidR="004F467E">
        <w:rPr>
          <w:sz w:val="24"/>
          <w:szCs w:val="24"/>
        </w:rPr>
        <w:t>(D.)16-08-019</w:t>
      </w:r>
      <w:r w:rsidR="00651651">
        <w:rPr>
          <w:sz w:val="24"/>
          <w:szCs w:val="24"/>
        </w:rPr>
        <w:t xml:space="preserve"> Ordering Paragraph </w:t>
      </w:r>
      <w:r w:rsidR="00454AC6">
        <w:rPr>
          <w:sz w:val="24"/>
          <w:szCs w:val="24"/>
        </w:rPr>
        <w:t>4</w:t>
      </w:r>
      <w:r w:rsidR="002C178E">
        <w:rPr>
          <w:sz w:val="24"/>
          <w:szCs w:val="24"/>
        </w:rPr>
        <w:t>, which</w:t>
      </w:r>
      <w:r w:rsidR="003A6F5D">
        <w:rPr>
          <w:sz w:val="24"/>
          <w:szCs w:val="24"/>
        </w:rPr>
        <w:t xml:space="preserve"> </w:t>
      </w:r>
      <w:r w:rsidR="003D5BEC">
        <w:rPr>
          <w:sz w:val="24"/>
          <w:szCs w:val="24"/>
        </w:rPr>
        <w:t>direct</w:t>
      </w:r>
      <w:r w:rsidR="00584E0F">
        <w:rPr>
          <w:sz w:val="24"/>
          <w:szCs w:val="24"/>
        </w:rPr>
        <w:t>ed</w:t>
      </w:r>
      <w:r w:rsidR="00DB0BA6">
        <w:rPr>
          <w:sz w:val="24"/>
          <w:szCs w:val="24"/>
        </w:rPr>
        <w:t xml:space="preserve"> CPUC staff </w:t>
      </w:r>
      <w:r w:rsidR="005E204D">
        <w:rPr>
          <w:sz w:val="24"/>
          <w:szCs w:val="24"/>
        </w:rPr>
        <w:t>to facilitate a working group</w:t>
      </w:r>
      <w:r w:rsidR="002108C0">
        <w:rPr>
          <w:sz w:val="24"/>
          <w:szCs w:val="24"/>
        </w:rPr>
        <w:t xml:space="preserve"> process</w:t>
      </w:r>
      <w:r w:rsidR="005E204D">
        <w:rPr>
          <w:sz w:val="24"/>
          <w:szCs w:val="24"/>
        </w:rPr>
        <w:t xml:space="preserve"> </w:t>
      </w:r>
      <w:r w:rsidR="00B273B9">
        <w:rPr>
          <w:sz w:val="24"/>
          <w:szCs w:val="24"/>
        </w:rPr>
        <w:t xml:space="preserve">to </w:t>
      </w:r>
      <w:r w:rsidRPr="00B273B9" w:rsidR="00B273B9">
        <w:rPr>
          <w:sz w:val="24"/>
          <w:szCs w:val="24"/>
        </w:rPr>
        <w:t xml:space="preserve">discuss documentation required to meet the preponderance of the evidence standard for accelerated replacement and </w:t>
      </w:r>
      <w:r w:rsidR="00E56711">
        <w:rPr>
          <w:sz w:val="24"/>
          <w:szCs w:val="24"/>
        </w:rPr>
        <w:t>bring forth a resolution to the CPUC</w:t>
      </w:r>
      <w:r w:rsidRPr="00B273B9" w:rsidR="00B273B9">
        <w:rPr>
          <w:sz w:val="24"/>
          <w:szCs w:val="24"/>
        </w:rPr>
        <w:t xml:space="preserve">.  </w:t>
      </w:r>
      <w:r w:rsidR="00AC26BB">
        <w:rPr>
          <w:sz w:val="24"/>
          <w:szCs w:val="24"/>
        </w:rPr>
        <w:t xml:space="preserve"> </w:t>
      </w:r>
      <w:r w:rsidR="00516B99">
        <w:rPr>
          <w:sz w:val="24"/>
          <w:szCs w:val="24"/>
        </w:rPr>
        <w:t xml:space="preserve">  </w:t>
      </w:r>
    </w:p>
    <w:p w:rsidRPr="00DF25C0" w:rsidR="00BE3AC4" w:rsidP="002042A2" w:rsidRDefault="00BE3AC4" w14:paraId="5F5074C4" w14:textId="4B24BE95">
      <w:pPr>
        <w:pStyle w:val="Heading1"/>
        <w:keepLines w:val="0"/>
        <w:numPr>
          <w:ilvl w:val="0"/>
          <w:numId w:val="5"/>
        </w:numPr>
        <w:spacing w:before="120" w:after="120"/>
        <w:ind w:left="360"/>
        <w:rPr>
          <w:rFonts w:ascii="Palatino Linotype" w:hAnsi="Palatino Linotype" w:eastAsia="Times New Roman" w:cs="Times New Roman"/>
          <w:b/>
          <w:bCs w:val="0"/>
          <w:kern w:val="28"/>
          <w:sz w:val="24"/>
          <w:szCs w:val="24"/>
        </w:rPr>
      </w:pPr>
      <w:bookmarkStart w:name="_Toc466363835" w:id="6"/>
      <w:bookmarkStart w:name="_Toc512412406" w:id="7"/>
      <w:bookmarkStart w:name="_Toc512412615" w:id="8"/>
      <w:bookmarkStart w:name="_Toc532562895" w:id="9"/>
      <w:r w:rsidRPr="00DF25C0">
        <w:rPr>
          <w:rFonts w:ascii="Palatino Linotype" w:hAnsi="Palatino Linotype" w:eastAsia="Times New Roman" w:cs="Times New Roman"/>
          <w:b/>
          <w:bCs w:val="0"/>
          <w:kern w:val="28"/>
          <w:sz w:val="24"/>
          <w:szCs w:val="24"/>
        </w:rPr>
        <w:t>BACKGROUND</w:t>
      </w:r>
      <w:bookmarkEnd w:id="6"/>
      <w:bookmarkEnd w:id="7"/>
      <w:bookmarkEnd w:id="8"/>
      <w:bookmarkEnd w:id="9"/>
    </w:p>
    <w:p w:rsidR="00C65F41" w:rsidP="00B920E7" w:rsidRDefault="03300446" w14:paraId="0A1B2E79" w14:textId="5D9036E0">
      <w:pPr>
        <w:pStyle w:val="Default"/>
        <w:spacing w:line="360" w:lineRule="auto"/>
        <w:ind w:firstLine="720"/>
        <w:rPr>
          <w:rFonts w:ascii="Palatino Linotype" w:hAnsi="Palatino Linotype" w:eastAsia="Times New Roman" w:cs="Times New Roman"/>
        </w:rPr>
      </w:pPr>
      <w:r w:rsidRPr="03300446">
        <w:rPr>
          <w:rFonts w:ascii="Palatino Linotype" w:hAnsi="Palatino Linotype"/>
        </w:rPr>
        <w:t>In October of 2015</w:t>
      </w:r>
      <w:r w:rsidR="00B77569">
        <w:rPr>
          <w:rFonts w:ascii="Palatino Linotype" w:hAnsi="Palatino Linotype"/>
        </w:rPr>
        <w:t>,</w:t>
      </w:r>
      <w:r w:rsidRPr="03300446">
        <w:rPr>
          <w:rFonts w:ascii="Palatino Linotype" w:hAnsi="Palatino Linotype"/>
        </w:rPr>
        <w:t xml:space="preserve"> California adopted two pivotal pieces of legislation affecting energy efficiency policy in the state. Senate Bill (SB) 350</w:t>
      </w:r>
      <w:r w:rsidR="00B77569">
        <w:rPr>
          <w:rFonts w:ascii="Palatino Linotype" w:hAnsi="Palatino Linotype"/>
        </w:rPr>
        <w:t xml:space="preserve"> (DeLeon 2015)</w:t>
      </w:r>
      <w:r w:rsidRPr="03300446">
        <w:rPr>
          <w:rFonts w:ascii="Palatino Linotype" w:hAnsi="Palatino Linotype"/>
        </w:rPr>
        <w:t xml:space="preserve"> calls on the California Energy Commission (CEC), the </w:t>
      </w:r>
      <w:r w:rsidR="00B77569">
        <w:rPr>
          <w:rFonts w:ascii="Palatino Linotype" w:hAnsi="Palatino Linotype"/>
        </w:rPr>
        <w:t>CPUC</w:t>
      </w:r>
      <w:r w:rsidRPr="03300446">
        <w:rPr>
          <w:rFonts w:ascii="Palatino Linotype" w:hAnsi="Palatino Linotype"/>
        </w:rPr>
        <w:t>, and publicly owned utilities to work together to double cumulative energy efficiency savings achieved by 2030. The second, Assembly Bill (AB) 802</w:t>
      </w:r>
      <w:r w:rsidR="00B77569">
        <w:rPr>
          <w:rFonts w:ascii="Palatino Linotype" w:hAnsi="Palatino Linotype"/>
        </w:rPr>
        <w:t xml:space="preserve"> (</w:t>
      </w:r>
      <w:r w:rsidR="002744B6">
        <w:rPr>
          <w:rFonts w:ascii="Palatino Linotype" w:hAnsi="Palatino Linotype"/>
        </w:rPr>
        <w:t>Williams</w:t>
      </w:r>
      <w:r w:rsidR="00B77569">
        <w:rPr>
          <w:rFonts w:ascii="Palatino Linotype" w:hAnsi="Palatino Linotype"/>
        </w:rPr>
        <w:t xml:space="preserve"> 2015)</w:t>
      </w:r>
      <w:r w:rsidRPr="03300446">
        <w:rPr>
          <w:rFonts w:ascii="Palatino Linotype" w:hAnsi="Palatino Linotype"/>
        </w:rPr>
        <w:t xml:space="preserve"> calls on the CPUC to authorize investor owned utilities (IOUs) to implement programs that improve the efficiency of existing buildings and take into account all estimated energy usage reductions resulting from measures that bring existing buildings, at a minimum, into conformity with the requirements of Title 24 of the California Code of Regulations.  CPUC Decision (D.)16-08-019, issued on August 18, 2016 within the Energy Efficiency Rulemaking 13-11-005, recognized the complexity of the rules concerning </w:t>
      </w:r>
      <w:r w:rsidR="00CD69DD">
        <w:rPr>
          <w:rFonts w:ascii="Palatino Linotype" w:hAnsi="Palatino Linotype"/>
        </w:rPr>
        <w:t>methods to calculate a building or process’s existing energy usage baseline</w:t>
      </w:r>
      <w:r w:rsidRPr="03300446">
        <w:rPr>
          <w:rFonts w:ascii="Palatino Linotype" w:hAnsi="Palatino Linotype"/>
        </w:rPr>
        <w:t xml:space="preserve"> in addressing AB 802.  The Decision directed CPUC staff to facilitate a</w:t>
      </w:r>
      <w:r w:rsidRPr="005E2EA2">
        <w:rPr>
          <w:rFonts w:ascii="Palatino Linotype" w:hAnsi="Palatino Linotype"/>
        </w:rPr>
        <w:t xml:space="preserve"> working group to develop a consensus set of recommendations to address </w:t>
      </w:r>
      <w:r w:rsidR="00CD69DD">
        <w:rPr>
          <w:rFonts w:ascii="Palatino Linotype" w:hAnsi="Palatino Linotype"/>
        </w:rPr>
        <w:t xml:space="preserve">energy usage </w:t>
      </w:r>
      <w:r w:rsidRPr="005E2EA2">
        <w:rPr>
          <w:rFonts w:ascii="Palatino Linotype" w:hAnsi="Palatino Linotype"/>
        </w:rPr>
        <w:t xml:space="preserve">baseline details that could not be fully addressed in D. 16-08-019, due to insufficient record and consensus opinion available at that time. </w:t>
      </w:r>
      <w:r w:rsidR="00C65F41">
        <w:rPr>
          <w:rFonts w:ascii="Palatino Linotype" w:hAnsi="Palatino Linotype" w:eastAsia="Times New Roman" w:cs="Times New Roman"/>
        </w:rPr>
        <w:t xml:space="preserve">Specifically, </w:t>
      </w:r>
      <w:r w:rsidRPr="00DF25C0" w:rsidR="00C65F41">
        <w:rPr>
          <w:rFonts w:ascii="Palatino Linotype" w:hAnsi="Palatino Linotype" w:eastAsia="Times New Roman" w:cs="Times New Roman"/>
        </w:rPr>
        <w:t xml:space="preserve">Ordering </w:t>
      </w:r>
      <w:r w:rsidR="00C65F41">
        <w:rPr>
          <w:rFonts w:ascii="Palatino Linotype" w:hAnsi="Palatino Linotype" w:eastAsia="Times New Roman" w:cs="Times New Roman"/>
        </w:rPr>
        <w:t>P</w:t>
      </w:r>
      <w:r w:rsidRPr="00DF25C0" w:rsidR="00C65F41">
        <w:rPr>
          <w:rFonts w:ascii="Palatino Linotype" w:hAnsi="Palatino Linotype" w:eastAsia="Times New Roman" w:cs="Times New Roman"/>
        </w:rPr>
        <w:t xml:space="preserve">aragraph 4 of D.16-08-019 directed </w:t>
      </w:r>
      <w:r w:rsidR="00C65F41">
        <w:rPr>
          <w:rFonts w:ascii="Palatino Linotype" w:hAnsi="Palatino Linotype" w:eastAsia="Times New Roman" w:cs="Times New Roman"/>
        </w:rPr>
        <w:t>CPUC</w:t>
      </w:r>
      <w:r w:rsidRPr="00DF25C0" w:rsidR="00C65F41">
        <w:rPr>
          <w:rFonts w:ascii="Palatino Linotype" w:hAnsi="Palatino Linotype" w:eastAsia="Times New Roman" w:cs="Times New Roman"/>
        </w:rPr>
        <w:t xml:space="preserve"> staff to</w:t>
      </w:r>
      <w:r w:rsidR="00C65F41">
        <w:rPr>
          <w:rFonts w:ascii="Palatino Linotype" w:hAnsi="Palatino Linotype" w:eastAsia="Times New Roman" w:cs="Times New Roman"/>
        </w:rPr>
        <w:t>:</w:t>
      </w:r>
      <w:r w:rsidRPr="00DF25C0" w:rsidR="00C65F41">
        <w:rPr>
          <w:rFonts w:ascii="Palatino Linotype" w:hAnsi="Palatino Linotype" w:eastAsia="Times New Roman" w:cs="Times New Roman"/>
        </w:rPr>
        <w:t xml:space="preserve"> </w:t>
      </w:r>
    </w:p>
    <w:p w:rsidR="00C65F41" w:rsidP="00C65F41" w:rsidRDefault="00C65F41" w14:paraId="14BB42E9" w14:textId="77777777">
      <w:pPr>
        <w:pStyle w:val="Default"/>
        <w:rPr>
          <w:rFonts w:ascii="Palatino Linotype" w:hAnsi="Palatino Linotype" w:eastAsia="Times New Roman" w:cs="Times New Roman"/>
        </w:rPr>
      </w:pPr>
    </w:p>
    <w:p w:rsidRPr="00DF25C0" w:rsidR="00C65F41" w:rsidP="00C65F41" w:rsidRDefault="00C65F41" w14:paraId="4FD28A88" w14:textId="0F96F0A0">
      <w:pPr>
        <w:pStyle w:val="Default"/>
        <w:ind w:left="810"/>
        <w:rPr>
          <w:rFonts w:ascii="Palatino Linotype" w:hAnsi="Palatino Linotype" w:eastAsia="Times New Roman" w:cs="Times New Roman"/>
        </w:rPr>
      </w:pPr>
      <w:r w:rsidRPr="00DF25C0">
        <w:rPr>
          <w:rFonts w:ascii="Palatino Linotype" w:hAnsi="Palatino Linotype" w:eastAsia="Times New Roman" w:cs="Times New Roman"/>
        </w:rPr>
        <w:t>“facilitate a working group process … to discuss measure-level baseline rules and documentation required to meet the ’preponderance of the evidence</w:t>
      </w:r>
      <w:r w:rsidR="00224917">
        <w:rPr>
          <w:rFonts w:ascii="Palatino Linotype" w:hAnsi="Palatino Linotype" w:eastAsia="Times New Roman" w:cs="Times New Roman"/>
        </w:rPr>
        <w:t>’</w:t>
      </w:r>
      <w:r w:rsidRPr="00DF25C0">
        <w:rPr>
          <w:rFonts w:ascii="Palatino Linotype" w:hAnsi="Palatino Linotype" w:eastAsia="Times New Roman" w:cs="Times New Roman"/>
        </w:rPr>
        <w:t xml:space="preserve"> standard for accelerated replacement and repair eligible projects.”</w:t>
      </w:r>
    </w:p>
    <w:p w:rsidR="006E38CE" w:rsidP="003B226B" w:rsidRDefault="006E38CE" w14:paraId="47D87875" w14:textId="77777777">
      <w:pPr>
        <w:pStyle w:val="standard"/>
        <w:ind w:left="720"/>
        <w:rPr>
          <w:rFonts w:ascii="Palatino Linotype" w:hAnsi="Palatino Linotype"/>
          <w:sz w:val="24"/>
          <w:szCs w:val="24"/>
        </w:rPr>
      </w:pPr>
    </w:p>
    <w:p w:rsidR="00D8503E" w:rsidP="00C02C98" w:rsidRDefault="00303060" w14:paraId="14FCCB26" w14:textId="7208FE7F">
      <w:pPr>
        <w:pStyle w:val="standard"/>
        <w:rPr>
          <w:sz w:val="24"/>
          <w:szCs w:val="24"/>
        </w:rPr>
      </w:pPr>
      <w:r w:rsidRPr="00303060">
        <w:rPr>
          <w:sz w:val="24"/>
          <w:szCs w:val="24"/>
        </w:rPr>
        <w:t>Resolution E-4939</w:t>
      </w:r>
      <w:r w:rsidR="00162283">
        <w:rPr>
          <w:sz w:val="24"/>
          <w:szCs w:val="24"/>
        </w:rPr>
        <w:t>, dated October 11, 2018,</w:t>
      </w:r>
      <w:r w:rsidRPr="00303060">
        <w:rPr>
          <w:sz w:val="24"/>
          <w:szCs w:val="24"/>
        </w:rPr>
        <w:t xml:space="preserve"> adopt</w:t>
      </w:r>
      <w:r>
        <w:rPr>
          <w:sz w:val="24"/>
          <w:szCs w:val="24"/>
        </w:rPr>
        <w:t>ed</w:t>
      </w:r>
      <w:r w:rsidRPr="00303060">
        <w:rPr>
          <w:sz w:val="24"/>
          <w:szCs w:val="24"/>
        </w:rPr>
        <w:t xml:space="preserve"> the use of a </w:t>
      </w:r>
      <w:r w:rsidR="00120F33">
        <w:rPr>
          <w:sz w:val="24"/>
          <w:szCs w:val="24"/>
        </w:rPr>
        <w:t>“</w:t>
      </w:r>
      <w:r w:rsidRPr="00303060">
        <w:rPr>
          <w:sz w:val="24"/>
          <w:szCs w:val="24"/>
        </w:rPr>
        <w:t>preponderance of evidence</w:t>
      </w:r>
      <w:r w:rsidR="00120F33">
        <w:rPr>
          <w:sz w:val="24"/>
          <w:szCs w:val="24"/>
        </w:rPr>
        <w:t xml:space="preserve">” </w:t>
      </w:r>
      <w:r w:rsidR="00EE36F5">
        <w:rPr>
          <w:rStyle w:val="FootnoteReference"/>
          <w:sz w:val="24"/>
          <w:szCs w:val="24"/>
        </w:rPr>
        <w:footnoteReference w:id="8"/>
      </w:r>
      <w:r w:rsidRPr="00303060">
        <w:rPr>
          <w:sz w:val="24"/>
          <w:szCs w:val="24"/>
        </w:rPr>
        <w:t xml:space="preserve"> determination process for any accelerated-replacement measure type.</w:t>
      </w:r>
      <w:r>
        <w:rPr>
          <w:sz w:val="24"/>
          <w:szCs w:val="24"/>
        </w:rPr>
        <w:t xml:space="preserve"> </w:t>
      </w:r>
    </w:p>
    <w:p w:rsidR="00CA4F2E" w:rsidP="00F5424D" w:rsidRDefault="03300446" w14:paraId="24E4397A" w14:textId="74F81C26">
      <w:pPr>
        <w:pStyle w:val="standard"/>
        <w:rPr>
          <w:rFonts w:ascii="Palatino Linotype" w:hAnsi="Palatino Linotype"/>
          <w:sz w:val="24"/>
          <w:szCs w:val="24"/>
        </w:rPr>
      </w:pPr>
      <w:r w:rsidRPr="03300446">
        <w:rPr>
          <w:rFonts w:ascii="Palatino Linotype" w:hAnsi="Palatino Linotype"/>
          <w:sz w:val="24"/>
          <w:szCs w:val="24"/>
        </w:rPr>
        <w:t xml:space="preserve">CPUC staff facilitated the working groups in accordance with D.16-08-019 and designated the working groups as the “Track 1 Working Group” </w:t>
      </w:r>
      <w:r w:rsidR="00CD69DD">
        <w:rPr>
          <w:rFonts w:ascii="Palatino Linotype" w:hAnsi="Palatino Linotype"/>
          <w:sz w:val="24"/>
          <w:szCs w:val="24"/>
        </w:rPr>
        <w:t xml:space="preserve">(T1WG) </w:t>
      </w:r>
      <w:r w:rsidRPr="03300446">
        <w:rPr>
          <w:rFonts w:ascii="Palatino Linotype" w:hAnsi="Palatino Linotype"/>
          <w:sz w:val="24"/>
          <w:szCs w:val="24"/>
        </w:rPr>
        <w:t>and the “Track 2 Working Group”</w:t>
      </w:r>
      <w:r w:rsidR="004464CF">
        <w:rPr>
          <w:rFonts w:ascii="Palatino Linotype" w:hAnsi="Palatino Linotype"/>
          <w:sz w:val="24"/>
          <w:szCs w:val="24"/>
        </w:rPr>
        <w:t xml:space="preserve"> </w:t>
      </w:r>
      <w:r w:rsidR="00CD69DD">
        <w:rPr>
          <w:rFonts w:ascii="Palatino Linotype" w:hAnsi="Palatino Linotype"/>
          <w:sz w:val="24"/>
          <w:szCs w:val="24"/>
        </w:rPr>
        <w:t>(T2WG)</w:t>
      </w:r>
      <w:r w:rsidR="00871C53">
        <w:rPr>
          <w:rFonts w:ascii="Palatino Linotype" w:hAnsi="Palatino Linotype"/>
          <w:sz w:val="24"/>
          <w:szCs w:val="24"/>
        </w:rPr>
        <w:t xml:space="preserve">.  </w:t>
      </w:r>
      <w:r w:rsidRPr="00DF25C0" w:rsidR="00CA4F2E">
        <w:rPr>
          <w:rFonts w:ascii="Palatino Linotype" w:hAnsi="Palatino Linotype"/>
          <w:sz w:val="24"/>
          <w:szCs w:val="24"/>
        </w:rPr>
        <w:t xml:space="preserve">The Track 1 Working Group </w:t>
      </w:r>
      <w:r w:rsidR="000800E5">
        <w:rPr>
          <w:rFonts w:ascii="Palatino Linotype" w:hAnsi="Palatino Linotype"/>
          <w:sz w:val="24"/>
          <w:szCs w:val="24"/>
        </w:rPr>
        <w:t xml:space="preserve">commenced in October of </w:t>
      </w:r>
      <w:r w:rsidR="00022076">
        <w:rPr>
          <w:rFonts w:ascii="Palatino Linotype" w:hAnsi="Palatino Linotype"/>
          <w:sz w:val="24"/>
          <w:szCs w:val="24"/>
        </w:rPr>
        <w:t>2016 and</w:t>
      </w:r>
      <w:r w:rsidR="000800E5">
        <w:rPr>
          <w:rFonts w:ascii="Palatino Linotype" w:hAnsi="Palatino Linotype"/>
          <w:sz w:val="24"/>
          <w:szCs w:val="24"/>
        </w:rPr>
        <w:t xml:space="preserve"> </w:t>
      </w:r>
      <w:r w:rsidRPr="00DF25C0" w:rsidR="00CA4F2E">
        <w:rPr>
          <w:rFonts w:ascii="Palatino Linotype" w:hAnsi="Palatino Linotype"/>
          <w:sz w:val="24"/>
          <w:szCs w:val="24"/>
        </w:rPr>
        <w:t>was assigned to</w:t>
      </w:r>
      <w:r w:rsidRPr="03300446">
        <w:rPr>
          <w:rFonts w:ascii="Palatino Linotype" w:hAnsi="Palatino Linotype"/>
          <w:sz w:val="24"/>
          <w:szCs w:val="24"/>
        </w:rPr>
        <w:t>:</w:t>
      </w:r>
      <w:r w:rsidRPr="00DF25C0" w:rsidR="00CA4F2E">
        <w:rPr>
          <w:rFonts w:ascii="Palatino Linotype" w:hAnsi="Palatino Linotype"/>
          <w:sz w:val="24"/>
          <w:szCs w:val="24"/>
        </w:rPr>
        <w:t xml:space="preserve"> a) </w:t>
      </w:r>
      <w:r w:rsidR="00AB7B18">
        <w:rPr>
          <w:rFonts w:ascii="Palatino Linotype" w:hAnsi="Palatino Linotype"/>
          <w:sz w:val="24"/>
          <w:szCs w:val="24"/>
        </w:rPr>
        <w:t>identify e</w:t>
      </w:r>
      <w:r w:rsidR="00CD69DD">
        <w:rPr>
          <w:rFonts w:ascii="Palatino Linotype" w:hAnsi="Palatino Linotype"/>
          <w:sz w:val="24"/>
          <w:szCs w:val="24"/>
        </w:rPr>
        <w:t xml:space="preserve">nergy usage baselines at the </w:t>
      </w:r>
      <w:r w:rsidRPr="00DF25C0" w:rsidR="00CA4F2E">
        <w:rPr>
          <w:rFonts w:ascii="Palatino Linotype" w:hAnsi="Palatino Linotype"/>
          <w:sz w:val="24"/>
          <w:szCs w:val="24"/>
        </w:rPr>
        <w:t xml:space="preserve">measure-level and </w:t>
      </w:r>
      <w:r w:rsidR="00AB7B18">
        <w:rPr>
          <w:rFonts w:ascii="Palatino Linotype" w:hAnsi="Palatino Linotype"/>
          <w:sz w:val="24"/>
          <w:szCs w:val="24"/>
        </w:rPr>
        <w:t>determine whether</w:t>
      </w:r>
      <w:r w:rsidRPr="00DF25C0" w:rsidR="00AB7B18">
        <w:rPr>
          <w:rFonts w:ascii="Palatino Linotype" w:hAnsi="Palatino Linotype"/>
          <w:sz w:val="24"/>
          <w:szCs w:val="24"/>
        </w:rPr>
        <w:t xml:space="preserve"> </w:t>
      </w:r>
      <w:r w:rsidRPr="00DF25C0" w:rsidR="00CA4F2E">
        <w:rPr>
          <w:rFonts w:ascii="Palatino Linotype" w:hAnsi="Palatino Linotype"/>
          <w:sz w:val="24"/>
          <w:szCs w:val="24"/>
        </w:rPr>
        <w:t xml:space="preserve">these should vary </w:t>
      </w:r>
      <w:r w:rsidR="00B52EBC">
        <w:rPr>
          <w:rFonts w:ascii="Palatino Linotype" w:hAnsi="Palatino Linotype"/>
          <w:sz w:val="24"/>
          <w:szCs w:val="24"/>
        </w:rPr>
        <w:t>by</w:t>
      </w:r>
      <w:r w:rsidRPr="00DF25C0" w:rsidR="00B52EBC">
        <w:rPr>
          <w:rFonts w:ascii="Palatino Linotype" w:hAnsi="Palatino Linotype"/>
          <w:sz w:val="24"/>
          <w:szCs w:val="24"/>
        </w:rPr>
        <w:t xml:space="preserve"> </w:t>
      </w:r>
      <w:r w:rsidRPr="00DF25C0" w:rsidR="00CA4F2E">
        <w:rPr>
          <w:rFonts w:ascii="Palatino Linotype" w:hAnsi="Palatino Linotype"/>
          <w:sz w:val="24"/>
          <w:szCs w:val="24"/>
        </w:rPr>
        <w:t>sector</w:t>
      </w:r>
      <w:r w:rsidR="00AB7B18">
        <w:rPr>
          <w:rFonts w:ascii="Palatino Linotype" w:hAnsi="Palatino Linotype"/>
          <w:sz w:val="24"/>
          <w:szCs w:val="24"/>
        </w:rPr>
        <w:t>-</w:t>
      </w:r>
      <w:r w:rsidR="00B52EBC">
        <w:rPr>
          <w:rFonts w:ascii="Palatino Linotype" w:hAnsi="Palatino Linotype"/>
          <w:sz w:val="24"/>
          <w:szCs w:val="24"/>
        </w:rPr>
        <w:t xml:space="preserve"> </w:t>
      </w:r>
      <w:r w:rsidRPr="00DF25C0" w:rsidR="00CA4F2E">
        <w:rPr>
          <w:rFonts w:ascii="Palatino Linotype" w:hAnsi="Palatino Linotype"/>
          <w:sz w:val="24"/>
          <w:szCs w:val="24"/>
        </w:rPr>
        <w:t>or program</w:t>
      </w:r>
      <w:r w:rsidR="00AB7B18">
        <w:rPr>
          <w:rFonts w:ascii="Palatino Linotype" w:hAnsi="Palatino Linotype"/>
          <w:sz w:val="24"/>
          <w:szCs w:val="24"/>
        </w:rPr>
        <w:t>-</w:t>
      </w:r>
      <w:r w:rsidR="00454F6B">
        <w:rPr>
          <w:rFonts w:ascii="Palatino Linotype" w:hAnsi="Palatino Linotype"/>
          <w:sz w:val="24"/>
          <w:szCs w:val="24"/>
        </w:rPr>
        <w:t>level</w:t>
      </w:r>
      <w:r w:rsidRPr="00DF25C0" w:rsidR="00CA4F2E">
        <w:rPr>
          <w:rFonts w:ascii="Palatino Linotype" w:hAnsi="Palatino Linotype"/>
          <w:sz w:val="24"/>
          <w:szCs w:val="24"/>
        </w:rPr>
        <w:t xml:space="preserve"> savings categories; and b) </w:t>
      </w:r>
      <w:r w:rsidR="00AB7B18">
        <w:rPr>
          <w:rFonts w:ascii="Palatino Linotype" w:hAnsi="Palatino Linotype"/>
          <w:sz w:val="24"/>
          <w:szCs w:val="24"/>
        </w:rPr>
        <w:t>determine t</w:t>
      </w:r>
      <w:r w:rsidRPr="00DF25C0" w:rsidR="00CA4F2E">
        <w:rPr>
          <w:rFonts w:ascii="Palatino Linotype" w:hAnsi="Palatino Linotype"/>
          <w:sz w:val="24"/>
          <w:szCs w:val="24"/>
        </w:rPr>
        <w:t>he evidence and documentation required to show that a project or piece of equipment is “repair eligible”</w:t>
      </w:r>
      <w:r w:rsidRPr="005B1661" w:rsidR="005B1661">
        <w:rPr>
          <w:rStyle w:val="FootnoteReference"/>
          <w:rFonts w:ascii="Palatino Linotype" w:hAnsi="Palatino Linotype"/>
          <w:sz w:val="24"/>
          <w:szCs w:val="24"/>
        </w:rPr>
        <w:t xml:space="preserve"> </w:t>
      </w:r>
      <w:r w:rsidRPr="00DF25C0" w:rsidR="00CA4F2E">
        <w:rPr>
          <w:rFonts w:ascii="Palatino Linotype" w:hAnsi="Palatino Linotype"/>
          <w:sz w:val="24"/>
          <w:szCs w:val="24"/>
        </w:rPr>
        <w:t>or an “accelerated replacement.</w:t>
      </w:r>
      <w:r w:rsidRPr="00DF25C0" w:rsidR="00B21B54">
        <w:rPr>
          <w:rFonts w:ascii="Palatino Linotype" w:hAnsi="Palatino Linotype"/>
          <w:sz w:val="24"/>
          <w:szCs w:val="24"/>
        </w:rPr>
        <w:t>”</w:t>
      </w:r>
      <w:r w:rsidR="00454F6B">
        <w:rPr>
          <w:rStyle w:val="FootnoteReference"/>
          <w:rFonts w:ascii="Palatino Linotype" w:hAnsi="Palatino Linotype"/>
          <w:sz w:val="24"/>
          <w:szCs w:val="24"/>
        </w:rPr>
        <w:footnoteReference w:id="9"/>
      </w:r>
      <w:r w:rsidRPr="00DF25C0" w:rsidR="00CA4F2E">
        <w:rPr>
          <w:rFonts w:ascii="Palatino Linotype" w:hAnsi="Palatino Linotype"/>
          <w:sz w:val="24"/>
          <w:szCs w:val="24"/>
        </w:rPr>
        <w:t xml:space="preserve">  The Track 2 Working Group </w:t>
      </w:r>
      <w:r w:rsidR="00710A64">
        <w:rPr>
          <w:rFonts w:ascii="Palatino Linotype" w:hAnsi="Palatino Linotype"/>
          <w:sz w:val="24"/>
          <w:szCs w:val="24"/>
        </w:rPr>
        <w:t xml:space="preserve">commenced </w:t>
      </w:r>
      <w:r w:rsidR="00855B5D">
        <w:rPr>
          <w:rFonts w:ascii="Palatino Linotype" w:hAnsi="Palatino Linotype"/>
          <w:sz w:val="24"/>
          <w:szCs w:val="24"/>
        </w:rPr>
        <w:t xml:space="preserve">in April of 2017 and </w:t>
      </w:r>
      <w:r w:rsidRPr="00DF25C0" w:rsidR="00CA4F2E">
        <w:rPr>
          <w:rFonts w:ascii="Palatino Linotype" w:hAnsi="Palatino Linotype"/>
          <w:sz w:val="24"/>
          <w:szCs w:val="24"/>
        </w:rPr>
        <w:t>was</w:t>
      </w:r>
      <w:r w:rsidRPr="03300446">
        <w:rPr>
          <w:rFonts w:ascii="Palatino Linotype" w:hAnsi="Palatino Linotype"/>
          <w:sz w:val="24"/>
          <w:szCs w:val="24"/>
        </w:rPr>
        <w:t xml:space="preserve"> initially</w:t>
      </w:r>
      <w:r w:rsidRPr="00DF25C0" w:rsidR="00CA4F2E">
        <w:rPr>
          <w:rFonts w:ascii="Palatino Linotype" w:hAnsi="Palatino Linotype"/>
          <w:sz w:val="24"/>
          <w:szCs w:val="24"/>
        </w:rPr>
        <w:t xml:space="preserve"> assigned to</w:t>
      </w:r>
      <w:r w:rsidR="00AB7B18">
        <w:rPr>
          <w:rFonts w:ascii="Palatino Linotype" w:hAnsi="Palatino Linotype"/>
          <w:sz w:val="24"/>
          <w:szCs w:val="24"/>
        </w:rPr>
        <w:t xml:space="preserve"> propose improvements to and/or streamlining of </w:t>
      </w:r>
      <w:r w:rsidRPr="00DF25C0" w:rsidR="00CA4F2E">
        <w:rPr>
          <w:rFonts w:ascii="Palatino Linotype" w:hAnsi="Palatino Linotype"/>
          <w:sz w:val="24"/>
          <w:szCs w:val="24"/>
        </w:rPr>
        <w:t xml:space="preserve">the </w:t>
      </w:r>
      <w:r w:rsidR="00CD69DD">
        <w:rPr>
          <w:rFonts w:ascii="Palatino Linotype" w:hAnsi="Palatino Linotype"/>
          <w:sz w:val="24"/>
          <w:szCs w:val="24"/>
        </w:rPr>
        <w:t xml:space="preserve">custom </w:t>
      </w:r>
      <w:r w:rsidR="00B52EBC">
        <w:rPr>
          <w:rFonts w:ascii="Palatino Linotype" w:hAnsi="Palatino Linotype"/>
          <w:sz w:val="24"/>
          <w:szCs w:val="24"/>
        </w:rPr>
        <w:t xml:space="preserve">projects </w:t>
      </w:r>
      <w:r w:rsidRPr="00DF25C0" w:rsidR="00CA4F2E">
        <w:rPr>
          <w:rFonts w:ascii="Palatino Linotype" w:hAnsi="Palatino Linotype"/>
          <w:sz w:val="24"/>
          <w:szCs w:val="24"/>
        </w:rPr>
        <w:t>review processes</w:t>
      </w:r>
      <w:r w:rsidR="00AB7B18">
        <w:rPr>
          <w:rFonts w:ascii="Palatino Linotype" w:hAnsi="Palatino Linotype"/>
          <w:sz w:val="24"/>
          <w:szCs w:val="24"/>
        </w:rPr>
        <w:t xml:space="preserve"> </w:t>
      </w:r>
      <w:r w:rsidRPr="00DF25C0" w:rsidR="00AB7B18">
        <w:rPr>
          <w:rFonts w:ascii="Palatino Linotype" w:hAnsi="Palatino Linotype"/>
          <w:sz w:val="24"/>
          <w:szCs w:val="24"/>
        </w:rPr>
        <w:t xml:space="preserve"> </w:t>
      </w:r>
      <w:r w:rsidRPr="00DF25C0" w:rsidR="00CA4F2E">
        <w:rPr>
          <w:rFonts w:ascii="Palatino Linotype" w:hAnsi="Palatino Linotype"/>
          <w:sz w:val="24"/>
          <w:szCs w:val="24"/>
        </w:rPr>
        <w:t>and the establish</w:t>
      </w:r>
      <w:r w:rsidR="00AB7B18">
        <w:rPr>
          <w:rFonts w:ascii="Palatino Linotype" w:hAnsi="Palatino Linotype"/>
          <w:sz w:val="24"/>
          <w:szCs w:val="24"/>
        </w:rPr>
        <w:t>ment of</w:t>
      </w:r>
      <w:r w:rsidRPr="00DF25C0" w:rsidR="00CA4F2E">
        <w:rPr>
          <w:rFonts w:ascii="Palatino Linotype" w:hAnsi="Palatino Linotype"/>
          <w:sz w:val="24"/>
          <w:szCs w:val="24"/>
        </w:rPr>
        <w:t xml:space="preserve"> industry standard practice (ISP) baseline</w:t>
      </w:r>
      <w:r w:rsidR="00AB7B18">
        <w:rPr>
          <w:rFonts w:ascii="Palatino Linotype" w:hAnsi="Palatino Linotype"/>
          <w:sz w:val="24"/>
          <w:szCs w:val="24"/>
        </w:rPr>
        <w:t>s</w:t>
      </w:r>
      <w:r w:rsidRPr="00DF25C0" w:rsidR="00CA4F2E">
        <w:rPr>
          <w:rFonts w:ascii="Palatino Linotype" w:hAnsi="Palatino Linotype"/>
          <w:sz w:val="24"/>
          <w:szCs w:val="24"/>
        </w:rPr>
        <w:t xml:space="preserve">.  </w:t>
      </w:r>
    </w:p>
    <w:p w:rsidRPr="00DF25C0" w:rsidR="00CC794D" w:rsidP="00203249" w:rsidRDefault="00D568D4" w14:paraId="31FECA23" w14:textId="123A60D7">
      <w:pPr>
        <w:pStyle w:val="standard"/>
        <w:rPr>
          <w:rFonts w:ascii="Palatino Linotype" w:hAnsi="Palatino Linotype"/>
          <w:sz w:val="24"/>
          <w:szCs w:val="24"/>
        </w:rPr>
      </w:pPr>
      <w:r>
        <w:rPr>
          <w:rFonts w:ascii="Palatino Linotype" w:hAnsi="Palatino Linotype"/>
          <w:sz w:val="24"/>
          <w:szCs w:val="24"/>
        </w:rPr>
        <w:t>Track 1</w:t>
      </w:r>
      <w:r w:rsidR="00CC794D">
        <w:rPr>
          <w:rFonts w:ascii="Palatino Linotype" w:hAnsi="Palatino Linotype"/>
          <w:sz w:val="24"/>
          <w:szCs w:val="24"/>
        </w:rPr>
        <w:t xml:space="preserve"> and </w:t>
      </w:r>
      <w:r>
        <w:rPr>
          <w:rFonts w:ascii="Palatino Linotype" w:hAnsi="Palatino Linotype"/>
          <w:sz w:val="24"/>
          <w:szCs w:val="24"/>
        </w:rPr>
        <w:t>Track 2</w:t>
      </w:r>
      <w:r w:rsidR="00CC794D">
        <w:rPr>
          <w:rFonts w:ascii="Palatino Linotype" w:hAnsi="Palatino Linotype"/>
          <w:sz w:val="24"/>
          <w:szCs w:val="24"/>
        </w:rPr>
        <w:t xml:space="preserve"> W</w:t>
      </w:r>
      <w:r>
        <w:rPr>
          <w:rFonts w:ascii="Palatino Linotype" w:hAnsi="Palatino Linotype"/>
          <w:sz w:val="24"/>
          <w:szCs w:val="24"/>
        </w:rPr>
        <w:t xml:space="preserve">orking </w:t>
      </w:r>
      <w:r w:rsidR="00CC794D">
        <w:rPr>
          <w:rFonts w:ascii="Palatino Linotype" w:hAnsi="Palatino Linotype"/>
          <w:sz w:val="24"/>
          <w:szCs w:val="24"/>
        </w:rPr>
        <w:t>G</w:t>
      </w:r>
      <w:r>
        <w:rPr>
          <w:rFonts w:ascii="Palatino Linotype" w:hAnsi="Palatino Linotype"/>
          <w:sz w:val="24"/>
          <w:szCs w:val="24"/>
        </w:rPr>
        <w:t>roup</w:t>
      </w:r>
      <w:r w:rsidR="00CC794D">
        <w:rPr>
          <w:rFonts w:ascii="Palatino Linotype" w:hAnsi="Palatino Linotype"/>
          <w:sz w:val="24"/>
          <w:szCs w:val="24"/>
        </w:rPr>
        <w:t xml:space="preserve">s met </w:t>
      </w:r>
      <w:r w:rsidR="00D97884">
        <w:rPr>
          <w:rFonts w:ascii="Palatino Linotype" w:hAnsi="Palatino Linotype"/>
          <w:sz w:val="24"/>
          <w:szCs w:val="24"/>
        </w:rPr>
        <w:t>regularly to discuss the</w:t>
      </w:r>
      <w:r w:rsidR="00AB7B18">
        <w:rPr>
          <w:rFonts w:ascii="Palatino Linotype" w:hAnsi="Palatino Linotype"/>
          <w:sz w:val="24"/>
          <w:szCs w:val="24"/>
        </w:rPr>
        <w:t>se</w:t>
      </w:r>
      <w:r w:rsidR="00D97884">
        <w:rPr>
          <w:rFonts w:ascii="Palatino Linotype" w:hAnsi="Palatino Linotype"/>
          <w:sz w:val="24"/>
          <w:szCs w:val="24"/>
        </w:rPr>
        <w:t xml:space="preserve"> </w:t>
      </w:r>
      <w:r w:rsidR="00E3599D">
        <w:rPr>
          <w:rFonts w:ascii="Palatino Linotype" w:hAnsi="Palatino Linotype"/>
          <w:sz w:val="24"/>
          <w:szCs w:val="24"/>
        </w:rPr>
        <w:t>issues</w:t>
      </w:r>
      <w:r w:rsidR="00DE097A">
        <w:rPr>
          <w:rFonts w:ascii="Palatino Linotype" w:hAnsi="Palatino Linotype"/>
          <w:sz w:val="24"/>
          <w:szCs w:val="24"/>
        </w:rPr>
        <w:t xml:space="preserve">. </w:t>
      </w:r>
      <w:r w:rsidR="009535DE">
        <w:rPr>
          <w:rFonts w:ascii="Palatino Linotype" w:hAnsi="Palatino Linotype"/>
          <w:sz w:val="24"/>
          <w:szCs w:val="24"/>
        </w:rPr>
        <w:t>Both Working Groups</w:t>
      </w:r>
      <w:r w:rsidR="00DE097A">
        <w:rPr>
          <w:rFonts w:ascii="Palatino Linotype" w:hAnsi="Palatino Linotype"/>
          <w:sz w:val="24"/>
          <w:szCs w:val="24"/>
        </w:rPr>
        <w:t xml:space="preserve"> </w:t>
      </w:r>
      <w:r w:rsidR="00CA314E">
        <w:rPr>
          <w:rFonts w:ascii="Palatino Linotype" w:hAnsi="Palatino Linotype"/>
          <w:sz w:val="24"/>
          <w:szCs w:val="24"/>
        </w:rPr>
        <w:t>consisted of</w:t>
      </w:r>
      <w:r w:rsidR="00DE097A">
        <w:rPr>
          <w:rFonts w:ascii="Palatino Linotype" w:hAnsi="Palatino Linotype"/>
          <w:sz w:val="24"/>
          <w:szCs w:val="24"/>
        </w:rPr>
        <w:t xml:space="preserve"> representatives of</w:t>
      </w:r>
      <w:r w:rsidR="007C7B13">
        <w:rPr>
          <w:rFonts w:ascii="Palatino Linotype" w:hAnsi="Palatino Linotype"/>
          <w:sz w:val="24"/>
          <w:szCs w:val="24"/>
        </w:rPr>
        <w:t xml:space="preserve"> </w:t>
      </w:r>
      <w:r w:rsidR="00C714E1">
        <w:rPr>
          <w:rFonts w:ascii="Palatino Linotype" w:hAnsi="Palatino Linotype"/>
          <w:sz w:val="24"/>
          <w:szCs w:val="24"/>
        </w:rPr>
        <w:t xml:space="preserve">utility staff, </w:t>
      </w:r>
      <w:r w:rsidR="009F5E17">
        <w:rPr>
          <w:rFonts w:ascii="Palatino Linotype" w:hAnsi="Palatino Linotype"/>
          <w:sz w:val="24"/>
          <w:szCs w:val="24"/>
        </w:rPr>
        <w:t xml:space="preserve">program implementers, </w:t>
      </w:r>
      <w:r w:rsidR="007C7B13">
        <w:rPr>
          <w:rFonts w:ascii="Palatino Linotype" w:hAnsi="Palatino Linotype"/>
          <w:sz w:val="24"/>
          <w:szCs w:val="24"/>
        </w:rPr>
        <w:t>industry</w:t>
      </w:r>
      <w:r w:rsidR="00FC616D">
        <w:rPr>
          <w:rFonts w:ascii="Palatino Linotype" w:hAnsi="Palatino Linotype"/>
          <w:sz w:val="24"/>
          <w:szCs w:val="24"/>
        </w:rPr>
        <w:t xml:space="preserve"> and</w:t>
      </w:r>
      <w:r w:rsidR="007C7B13">
        <w:rPr>
          <w:rFonts w:ascii="Palatino Linotype" w:hAnsi="Palatino Linotype"/>
          <w:sz w:val="24"/>
          <w:szCs w:val="24"/>
        </w:rPr>
        <w:t xml:space="preserve"> </w:t>
      </w:r>
      <w:r w:rsidR="00334394">
        <w:rPr>
          <w:rFonts w:ascii="Palatino Linotype" w:hAnsi="Palatino Linotype"/>
          <w:sz w:val="24"/>
          <w:szCs w:val="24"/>
        </w:rPr>
        <w:t xml:space="preserve">trade associations, </w:t>
      </w:r>
      <w:r w:rsidR="00DD7916">
        <w:rPr>
          <w:rFonts w:ascii="Palatino Linotype" w:hAnsi="Palatino Linotype"/>
          <w:sz w:val="24"/>
          <w:szCs w:val="24"/>
        </w:rPr>
        <w:t>customers</w:t>
      </w:r>
      <w:r w:rsidR="009F5E17">
        <w:rPr>
          <w:rFonts w:ascii="Palatino Linotype" w:hAnsi="Palatino Linotype"/>
          <w:sz w:val="24"/>
          <w:szCs w:val="24"/>
        </w:rPr>
        <w:t xml:space="preserve">, </w:t>
      </w:r>
      <w:r w:rsidR="007E0DF2">
        <w:rPr>
          <w:rFonts w:ascii="Palatino Linotype" w:hAnsi="Palatino Linotype"/>
          <w:sz w:val="24"/>
          <w:szCs w:val="24"/>
        </w:rPr>
        <w:t xml:space="preserve">intervener stakeholders, </w:t>
      </w:r>
      <w:r w:rsidR="007A5FB7">
        <w:rPr>
          <w:rFonts w:ascii="Palatino Linotype" w:hAnsi="Palatino Linotype"/>
          <w:sz w:val="24"/>
          <w:szCs w:val="24"/>
        </w:rPr>
        <w:t xml:space="preserve">evaluation consultants, </w:t>
      </w:r>
      <w:r w:rsidR="009F5E17">
        <w:rPr>
          <w:rFonts w:ascii="Palatino Linotype" w:hAnsi="Palatino Linotype"/>
          <w:sz w:val="24"/>
          <w:szCs w:val="24"/>
        </w:rPr>
        <w:t>and CPUC staff.</w:t>
      </w:r>
    </w:p>
    <w:p w:rsidRPr="00DF25C0" w:rsidR="00A31536" w:rsidP="004110E9" w:rsidRDefault="00224E16" w14:paraId="3E871330" w14:textId="6FFA6CA3">
      <w:pPr>
        <w:pStyle w:val="standard"/>
        <w:rPr>
          <w:rFonts w:ascii="Palatino Linotype" w:hAnsi="Palatino Linotype"/>
          <w:sz w:val="24"/>
          <w:szCs w:val="24"/>
        </w:rPr>
      </w:pPr>
      <w:r>
        <w:rPr>
          <w:rFonts w:ascii="Palatino Linotype" w:hAnsi="Palatino Linotype"/>
          <w:sz w:val="24"/>
          <w:szCs w:val="24"/>
        </w:rPr>
        <w:t xml:space="preserve">The T1WG’s Final Report lead to </w:t>
      </w:r>
      <w:r w:rsidR="00622A28">
        <w:rPr>
          <w:rFonts w:ascii="Palatino Linotype" w:hAnsi="Palatino Linotype"/>
          <w:sz w:val="24"/>
          <w:szCs w:val="24"/>
        </w:rPr>
        <w:t xml:space="preserve">the </w:t>
      </w:r>
      <w:r w:rsidRPr="00DF25C0" w:rsidR="00CA4F2E">
        <w:rPr>
          <w:rFonts w:ascii="Palatino Linotype" w:hAnsi="Palatino Linotype"/>
          <w:sz w:val="24"/>
          <w:szCs w:val="24"/>
        </w:rPr>
        <w:t>Resolution E-4818</w:t>
      </w:r>
      <w:r w:rsidR="00622A28">
        <w:rPr>
          <w:rFonts w:ascii="Palatino Linotype" w:hAnsi="Palatino Linotype"/>
          <w:sz w:val="24"/>
          <w:szCs w:val="24"/>
        </w:rPr>
        <w:t>, dated March 3, 2017,</w:t>
      </w:r>
      <w:r w:rsidR="00DB1274">
        <w:rPr>
          <w:rFonts w:ascii="Palatino Linotype" w:hAnsi="Palatino Linotype"/>
          <w:sz w:val="24"/>
          <w:szCs w:val="24"/>
        </w:rPr>
        <w:t xml:space="preserve"> </w:t>
      </w:r>
      <w:r w:rsidR="00AB7B18">
        <w:rPr>
          <w:rFonts w:ascii="Palatino Linotype" w:hAnsi="Palatino Linotype"/>
          <w:sz w:val="24"/>
          <w:szCs w:val="24"/>
        </w:rPr>
        <w:t>which</w:t>
      </w:r>
      <w:r w:rsidRPr="00DF25C0" w:rsidR="00AB7B18">
        <w:rPr>
          <w:rFonts w:ascii="Palatino Linotype" w:hAnsi="Palatino Linotype"/>
          <w:sz w:val="24"/>
          <w:szCs w:val="24"/>
        </w:rPr>
        <w:t xml:space="preserve"> </w:t>
      </w:r>
      <w:r w:rsidR="00AD6C4C">
        <w:rPr>
          <w:rFonts w:ascii="Palatino Linotype" w:hAnsi="Palatino Linotype"/>
          <w:sz w:val="24"/>
          <w:szCs w:val="24"/>
        </w:rPr>
        <w:t xml:space="preserve">adopted </w:t>
      </w:r>
      <w:r w:rsidR="00B34ABE">
        <w:rPr>
          <w:rFonts w:ascii="Palatino Linotype" w:hAnsi="Palatino Linotype"/>
          <w:sz w:val="24"/>
          <w:szCs w:val="24"/>
        </w:rPr>
        <w:t>key definitions concerning alteration and installation types</w:t>
      </w:r>
      <w:r w:rsidR="00352DE4">
        <w:rPr>
          <w:rFonts w:ascii="Palatino Linotype" w:hAnsi="Palatino Linotype"/>
          <w:sz w:val="24"/>
          <w:szCs w:val="24"/>
        </w:rPr>
        <w:t xml:space="preserve"> and standards for the </w:t>
      </w:r>
      <w:r w:rsidR="00352DE4">
        <w:rPr>
          <w:rFonts w:ascii="Palatino Linotype" w:hAnsi="Palatino Linotype"/>
          <w:sz w:val="24"/>
          <w:szCs w:val="24"/>
        </w:rPr>
        <w:lastRenderedPageBreak/>
        <w:t xml:space="preserve">measure-level </w:t>
      </w:r>
      <w:r w:rsidR="00CD69DD">
        <w:rPr>
          <w:rFonts w:ascii="Palatino Linotype" w:hAnsi="Palatino Linotype"/>
          <w:sz w:val="24"/>
          <w:szCs w:val="24"/>
        </w:rPr>
        <w:t xml:space="preserve">energy usage </w:t>
      </w:r>
      <w:r w:rsidR="0056048B">
        <w:rPr>
          <w:rFonts w:ascii="Palatino Linotype" w:hAnsi="Palatino Linotype"/>
          <w:sz w:val="24"/>
          <w:szCs w:val="24"/>
        </w:rPr>
        <w:t>baseline</w:t>
      </w:r>
      <w:r w:rsidR="00CD69DD">
        <w:rPr>
          <w:rFonts w:ascii="Palatino Linotype" w:hAnsi="Palatino Linotype"/>
          <w:sz w:val="24"/>
          <w:szCs w:val="24"/>
        </w:rPr>
        <w:t>s</w:t>
      </w:r>
      <w:r w:rsidR="0056048B">
        <w:rPr>
          <w:rFonts w:ascii="Palatino Linotype" w:hAnsi="Palatino Linotype"/>
          <w:sz w:val="24"/>
          <w:szCs w:val="24"/>
        </w:rPr>
        <w:t xml:space="preserve"> </w:t>
      </w:r>
      <w:r w:rsidR="000773AB">
        <w:rPr>
          <w:rFonts w:ascii="Palatino Linotype" w:hAnsi="Palatino Linotype"/>
          <w:sz w:val="24"/>
          <w:szCs w:val="24"/>
        </w:rPr>
        <w:t xml:space="preserve">for </w:t>
      </w:r>
      <w:r w:rsidR="00D34BD2">
        <w:rPr>
          <w:rFonts w:ascii="Palatino Linotype" w:hAnsi="Palatino Linotype"/>
          <w:sz w:val="24"/>
          <w:szCs w:val="24"/>
        </w:rPr>
        <w:t xml:space="preserve">combinations of these and how they should </w:t>
      </w:r>
      <w:r w:rsidR="00D17616">
        <w:rPr>
          <w:rFonts w:ascii="Palatino Linotype" w:hAnsi="Palatino Linotype"/>
          <w:sz w:val="24"/>
          <w:szCs w:val="24"/>
        </w:rPr>
        <w:t xml:space="preserve">vary by customer class and program delivery.  </w:t>
      </w:r>
      <w:r w:rsidR="009C4DA2">
        <w:rPr>
          <w:rFonts w:ascii="Palatino Linotype" w:hAnsi="Palatino Linotype"/>
          <w:sz w:val="24"/>
          <w:szCs w:val="24"/>
        </w:rPr>
        <w:t xml:space="preserve">Resolution </w:t>
      </w:r>
      <w:r w:rsidR="00185913">
        <w:rPr>
          <w:rFonts w:ascii="Palatino Linotype" w:hAnsi="Palatino Linotype"/>
          <w:sz w:val="24"/>
          <w:szCs w:val="24"/>
        </w:rPr>
        <w:t xml:space="preserve">E-4818 </w:t>
      </w:r>
      <w:r w:rsidR="00CE0C57">
        <w:rPr>
          <w:rFonts w:ascii="Palatino Linotype" w:hAnsi="Palatino Linotype"/>
          <w:sz w:val="24"/>
          <w:szCs w:val="24"/>
        </w:rPr>
        <w:t xml:space="preserve">directed </w:t>
      </w:r>
      <w:r w:rsidRPr="00DF25C0" w:rsidR="00CA4F2E">
        <w:rPr>
          <w:rFonts w:ascii="Palatino Linotype" w:hAnsi="Palatino Linotype"/>
          <w:sz w:val="24"/>
          <w:szCs w:val="24"/>
        </w:rPr>
        <w:t>the T2WG to address four issues deferred from the T1WG.</w:t>
      </w:r>
      <w:r w:rsidRPr="00DF25C0" w:rsidR="00CA4F2E">
        <w:rPr>
          <w:rStyle w:val="FootnoteReference"/>
          <w:rFonts w:ascii="Palatino Linotype" w:hAnsi="Palatino Linotype"/>
          <w:sz w:val="24"/>
          <w:szCs w:val="24"/>
        </w:rPr>
        <w:footnoteReference w:id="10"/>
      </w:r>
      <w:r w:rsidRPr="00DF25C0" w:rsidR="00CA4F2E">
        <w:rPr>
          <w:rFonts w:ascii="Palatino Linotype" w:hAnsi="Palatino Linotype"/>
          <w:sz w:val="24"/>
          <w:szCs w:val="24"/>
        </w:rPr>
        <w:t xml:space="preserve">  </w:t>
      </w:r>
      <w:r w:rsidR="00F50F68">
        <w:rPr>
          <w:rFonts w:ascii="Palatino Linotype" w:hAnsi="Palatino Linotype"/>
          <w:sz w:val="24"/>
          <w:szCs w:val="24"/>
        </w:rPr>
        <w:t xml:space="preserve">The </w:t>
      </w:r>
      <w:r w:rsidR="00BB684F">
        <w:rPr>
          <w:rFonts w:ascii="Palatino Linotype" w:hAnsi="Palatino Linotype"/>
          <w:sz w:val="24"/>
          <w:szCs w:val="24"/>
        </w:rPr>
        <w:t xml:space="preserve">T2WG Final Report lead to </w:t>
      </w:r>
      <w:r w:rsidRPr="00DF25C0" w:rsidR="00CA4F2E">
        <w:rPr>
          <w:rFonts w:ascii="Palatino Linotype" w:hAnsi="Palatino Linotype"/>
          <w:sz w:val="24"/>
          <w:szCs w:val="24"/>
        </w:rPr>
        <w:t>Resolution E-4939</w:t>
      </w:r>
      <w:r w:rsidR="005866DD">
        <w:rPr>
          <w:rFonts w:ascii="Palatino Linotype" w:hAnsi="Palatino Linotype"/>
          <w:sz w:val="24"/>
          <w:szCs w:val="24"/>
        </w:rPr>
        <w:t xml:space="preserve">, dated October </w:t>
      </w:r>
      <w:r w:rsidR="008266AC">
        <w:rPr>
          <w:rFonts w:ascii="Palatino Linotype" w:hAnsi="Palatino Linotype"/>
          <w:sz w:val="24"/>
          <w:szCs w:val="24"/>
        </w:rPr>
        <w:t xml:space="preserve">12, 2018, </w:t>
      </w:r>
      <w:r w:rsidR="006365D2">
        <w:rPr>
          <w:rFonts w:ascii="Palatino Linotype" w:hAnsi="Palatino Linotype"/>
          <w:sz w:val="24"/>
          <w:szCs w:val="24"/>
        </w:rPr>
        <w:t>which</w:t>
      </w:r>
      <w:r w:rsidRPr="00DF25C0" w:rsidR="006365D2">
        <w:rPr>
          <w:rFonts w:ascii="Palatino Linotype" w:hAnsi="Palatino Linotype"/>
          <w:sz w:val="24"/>
          <w:szCs w:val="24"/>
        </w:rPr>
        <w:t xml:space="preserve"> </w:t>
      </w:r>
      <w:r w:rsidRPr="00DF25C0" w:rsidR="00CA4F2E">
        <w:rPr>
          <w:rFonts w:ascii="Palatino Linotype" w:hAnsi="Palatino Linotype"/>
          <w:sz w:val="24"/>
          <w:szCs w:val="24"/>
        </w:rPr>
        <w:t xml:space="preserve">resolved </w:t>
      </w:r>
      <w:r w:rsidR="00AB7B18">
        <w:rPr>
          <w:rFonts w:ascii="Palatino Linotype" w:hAnsi="Palatino Linotype"/>
          <w:sz w:val="24"/>
          <w:szCs w:val="24"/>
        </w:rPr>
        <w:t>three</w:t>
      </w:r>
      <w:r w:rsidRPr="00DF25C0" w:rsidR="00CA4F2E">
        <w:rPr>
          <w:rFonts w:ascii="Palatino Linotype" w:hAnsi="Palatino Linotype"/>
          <w:sz w:val="24"/>
          <w:szCs w:val="24"/>
        </w:rPr>
        <w:t xml:space="preserve"> of the four issues</w:t>
      </w:r>
      <w:r w:rsidR="006365D2">
        <w:rPr>
          <w:rFonts w:ascii="Palatino Linotype" w:hAnsi="Palatino Linotype"/>
          <w:sz w:val="24"/>
          <w:szCs w:val="24"/>
        </w:rPr>
        <w:t xml:space="preserve"> by adopting:</w:t>
      </w:r>
    </w:p>
    <w:p w:rsidRPr="00DF25C0" w:rsidR="00A31536" w:rsidP="004110E9" w:rsidRDefault="00AB7B18" w14:paraId="168B697F" w14:textId="63CBC73E">
      <w:pPr>
        <w:pStyle w:val="ListParagraph"/>
        <w:numPr>
          <w:ilvl w:val="0"/>
          <w:numId w:val="2"/>
        </w:numPr>
        <w:spacing w:before="0" w:after="0"/>
        <w:ind w:left="720" w:right="720"/>
        <w:rPr>
          <w:rFonts w:eastAsia="Times New Roman" w:cs="Times New Roman"/>
          <w:sz w:val="24"/>
          <w:szCs w:val="24"/>
        </w:rPr>
      </w:pPr>
      <w:r>
        <w:rPr>
          <w:rFonts w:eastAsia="Times New Roman" w:cs="Times New Roman"/>
          <w:sz w:val="24"/>
          <w:szCs w:val="24"/>
        </w:rPr>
        <w:t>A</w:t>
      </w:r>
      <w:r w:rsidRPr="00DF25C0" w:rsidR="00A31536">
        <w:rPr>
          <w:rFonts w:eastAsia="Times New Roman" w:cs="Times New Roman"/>
          <w:sz w:val="24"/>
          <w:szCs w:val="24"/>
        </w:rPr>
        <w:t xml:space="preserve"> standard practice baseline definition and baseline selection process</w:t>
      </w:r>
      <w:r>
        <w:rPr>
          <w:rFonts w:eastAsia="Times New Roman" w:cs="Times New Roman"/>
          <w:sz w:val="24"/>
          <w:szCs w:val="24"/>
        </w:rPr>
        <w:t>,</w:t>
      </w:r>
    </w:p>
    <w:p w:rsidRPr="00DF25C0" w:rsidR="00A31536" w:rsidP="004110E9" w:rsidRDefault="00AB7B18" w14:paraId="727F15B4" w14:textId="46A08D19">
      <w:pPr>
        <w:pStyle w:val="ListParagraph"/>
        <w:numPr>
          <w:ilvl w:val="0"/>
          <w:numId w:val="2"/>
        </w:numPr>
        <w:spacing w:before="0" w:after="0"/>
        <w:ind w:left="720" w:right="720"/>
        <w:rPr>
          <w:rFonts w:eastAsia="Times New Roman" w:cs="Times New Roman"/>
          <w:sz w:val="24"/>
          <w:szCs w:val="24"/>
        </w:rPr>
      </w:pPr>
      <w:r>
        <w:rPr>
          <w:rFonts w:eastAsia="Times New Roman" w:cs="Times New Roman"/>
          <w:sz w:val="24"/>
          <w:szCs w:val="24"/>
        </w:rPr>
        <w:t>A</w:t>
      </w:r>
      <w:r w:rsidR="00E66C1D">
        <w:rPr>
          <w:rFonts w:eastAsia="Times New Roman" w:cs="Times New Roman"/>
          <w:sz w:val="24"/>
          <w:szCs w:val="24"/>
        </w:rPr>
        <w:t xml:space="preserve"> single</w:t>
      </w:r>
      <w:r w:rsidRPr="1E286DC1" w:rsidR="00A31536">
        <w:rPr>
          <w:rFonts w:eastAsia="Times New Roman" w:cs="Times New Roman"/>
          <w:sz w:val="24"/>
          <w:szCs w:val="24"/>
        </w:rPr>
        <w:t xml:space="preserve"> preponderance of evidence </w:t>
      </w:r>
      <w:r w:rsidR="007F4303">
        <w:rPr>
          <w:rFonts w:eastAsia="Times New Roman" w:cs="Times New Roman"/>
          <w:sz w:val="24"/>
          <w:szCs w:val="24"/>
        </w:rPr>
        <w:t>determination process</w:t>
      </w:r>
      <w:r w:rsidRPr="1E286DC1" w:rsidR="007F4303">
        <w:rPr>
          <w:rFonts w:eastAsia="Times New Roman" w:cs="Times New Roman"/>
          <w:sz w:val="24"/>
          <w:szCs w:val="24"/>
        </w:rPr>
        <w:t xml:space="preserve"> </w:t>
      </w:r>
      <w:r w:rsidRPr="00516B99" w:rsidR="007F4303">
        <w:rPr>
          <w:sz w:val="24"/>
          <w:szCs w:val="24"/>
        </w:rPr>
        <w:t xml:space="preserve">for any accelerated-replacement measure </w:t>
      </w:r>
      <w:proofErr w:type="gramStart"/>
      <w:r w:rsidRPr="00516B99" w:rsidR="007F4303">
        <w:rPr>
          <w:sz w:val="24"/>
          <w:szCs w:val="24"/>
        </w:rPr>
        <w:t xml:space="preserve">type </w:t>
      </w:r>
      <w:r>
        <w:rPr>
          <w:rFonts w:eastAsia="Times New Roman" w:cs="Times New Roman"/>
          <w:sz w:val="24"/>
          <w:szCs w:val="24"/>
        </w:rPr>
        <w:t>,</w:t>
      </w:r>
      <w:proofErr w:type="gramEnd"/>
      <w:r>
        <w:rPr>
          <w:rFonts w:eastAsia="Times New Roman" w:cs="Times New Roman"/>
          <w:sz w:val="24"/>
          <w:szCs w:val="24"/>
        </w:rPr>
        <w:t xml:space="preserve"> and</w:t>
      </w:r>
      <w:r w:rsidRPr="1E286DC1" w:rsidR="00A31536">
        <w:rPr>
          <w:rFonts w:eastAsia="Times New Roman" w:cs="Times New Roman"/>
          <w:sz w:val="24"/>
          <w:szCs w:val="24"/>
        </w:rPr>
        <w:t xml:space="preserve"> </w:t>
      </w:r>
    </w:p>
    <w:p w:rsidRPr="00DF25C0" w:rsidR="00A31536" w:rsidP="004110E9" w:rsidRDefault="00AB7B18" w14:paraId="684768C6" w14:textId="1851E51B">
      <w:pPr>
        <w:pStyle w:val="ListParagraph"/>
        <w:numPr>
          <w:ilvl w:val="0"/>
          <w:numId w:val="2"/>
        </w:numPr>
        <w:spacing w:before="0" w:after="0"/>
        <w:ind w:left="720" w:right="720"/>
        <w:rPr>
          <w:rFonts w:eastAsia="Times New Roman" w:cs="Times New Roman"/>
          <w:sz w:val="24"/>
          <w:szCs w:val="24"/>
        </w:rPr>
      </w:pPr>
      <w:r>
        <w:rPr>
          <w:sz w:val="24"/>
          <w:szCs w:val="24"/>
        </w:rPr>
        <w:t>A</w:t>
      </w:r>
      <w:r w:rsidRPr="00DF25C0" w:rsidR="00BC5AAF">
        <w:rPr>
          <w:sz w:val="24"/>
          <w:szCs w:val="24"/>
        </w:rPr>
        <w:t xml:space="preserve"> </w:t>
      </w:r>
      <w:r w:rsidRPr="00DF25C0" w:rsidR="00A31536">
        <w:rPr>
          <w:sz w:val="24"/>
          <w:szCs w:val="24"/>
        </w:rPr>
        <w:t>small-sized business customer</w:t>
      </w:r>
      <w:r w:rsidRPr="00DF25C0" w:rsidR="00562DAC">
        <w:rPr>
          <w:sz w:val="24"/>
          <w:szCs w:val="24"/>
        </w:rPr>
        <w:t xml:space="preserve"> definition providing a simplified pathway to an accelerated replacement measure type preponderance of evidence requirement</w:t>
      </w:r>
      <w:r w:rsidR="004649BE">
        <w:rPr>
          <w:sz w:val="24"/>
          <w:szCs w:val="24"/>
        </w:rPr>
        <w:t xml:space="preserve"> to determine program influence</w:t>
      </w:r>
      <w:r w:rsidRPr="00DF25C0" w:rsidR="00BC5AAF">
        <w:rPr>
          <w:sz w:val="24"/>
          <w:szCs w:val="24"/>
        </w:rPr>
        <w:t xml:space="preserve">. </w:t>
      </w:r>
    </w:p>
    <w:p w:rsidRPr="00DF25C0" w:rsidR="00CA4F2E" w:rsidP="004110E9" w:rsidRDefault="00CA4F2E" w14:paraId="292AB5E0" w14:textId="6648AF64">
      <w:pPr>
        <w:pStyle w:val="standard"/>
        <w:spacing w:before="240"/>
        <w:rPr>
          <w:rFonts w:ascii="Palatino Linotype" w:hAnsi="Palatino Linotype"/>
          <w:sz w:val="24"/>
          <w:szCs w:val="24"/>
        </w:rPr>
      </w:pPr>
      <w:r w:rsidRPr="00DF25C0">
        <w:rPr>
          <w:rFonts w:ascii="Palatino Linotype" w:hAnsi="Palatino Linotype"/>
          <w:sz w:val="24"/>
          <w:szCs w:val="24"/>
        </w:rPr>
        <w:t xml:space="preserve">This resolution addresses the remaining </w:t>
      </w:r>
      <w:r w:rsidRPr="00DF25C0" w:rsidR="000E51AA">
        <w:rPr>
          <w:rFonts w:ascii="Palatino Linotype" w:hAnsi="Palatino Linotype"/>
          <w:sz w:val="24"/>
          <w:szCs w:val="24"/>
        </w:rPr>
        <w:t xml:space="preserve">issue, </w:t>
      </w:r>
      <w:r w:rsidRPr="00DF25C0" w:rsidR="00902663">
        <w:rPr>
          <w:rFonts w:ascii="Palatino Linotype" w:hAnsi="Palatino Linotype"/>
          <w:sz w:val="24"/>
          <w:szCs w:val="24"/>
        </w:rPr>
        <w:t xml:space="preserve">the </w:t>
      </w:r>
      <w:r w:rsidR="003A5AC8">
        <w:rPr>
          <w:rFonts w:ascii="Palatino Linotype" w:hAnsi="Palatino Linotype"/>
          <w:sz w:val="24"/>
          <w:szCs w:val="24"/>
        </w:rPr>
        <w:t>p</w:t>
      </w:r>
      <w:r w:rsidRPr="00DF25C0" w:rsidR="000E51AA">
        <w:rPr>
          <w:rFonts w:ascii="Palatino Linotype" w:hAnsi="Palatino Linotype"/>
          <w:sz w:val="24"/>
          <w:szCs w:val="24"/>
        </w:rPr>
        <w:t xml:space="preserve">reponderance of </w:t>
      </w:r>
      <w:r w:rsidR="003A5AC8">
        <w:rPr>
          <w:rFonts w:ascii="Palatino Linotype" w:hAnsi="Palatino Linotype"/>
          <w:sz w:val="24"/>
          <w:szCs w:val="24"/>
        </w:rPr>
        <w:t>e</w:t>
      </w:r>
      <w:r w:rsidRPr="00DF25C0" w:rsidR="000E51AA">
        <w:rPr>
          <w:rFonts w:ascii="Palatino Linotype" w:hAnsi="Palatino Linotype"/>
          <w:sz w:val="24"/>
          <w:szCs w:val="24"/>
        </w:rPr>
        <w:t>vidence requirements</w:t>
      </w:r>
      <w:r w:rsidR="00013E16">
        <w:rPr>
          <w:rFonts w:ascii="Palatino Linotype" w:hAnsi="Palatino Linotype"/>
          <w:sz w:val="24"/>
          <w:szCs w:val="24"/>
        </w:rPr>
        <w:t xml:space="preserve"> </w:t>
      </w:r>
      <w:r w:rsidR="00542906">
        <w:rPr>
          <w:rFonts w:ascii="Palatino Linotype" w:hAnsi="Palatino Linotype"/>
          <w:sz w:val="24"/>
          <w:szCs w:val="24"/>
        </w:rPr>
        <w:t xml:space="preserve">of </w:t>
      </w:r>
      <w:r w:rsidR="00013E16">
        <w:rPr>
          <w:rFonts w:ascii="Palatino Linotype" w:hAnsi="Palatino Linotype"/>
          <w:sz w:val="24"/>
          <w:szCs w:val="24"/>
        </w:rPr>
        <w:t>equipment viability and program influence</w:t>
      </w:r>
      <w:r w:rsidR="004649BE">
        <w:rPr>
          <w:rFonts w:ascii="Palatino Linotype" w:hAnsi="Palatino Linotype"/>
          <w:sz w:val="24"/>
          <w:szCs w:val="24"/>
        </w:rPr>
        <w:t xml:space="preserve"> for </w:t>
      </w:r>
      <w:r w:rsidR="0005430E">
        <w:rPr>
          <w:rFonts w:ascii="Palatino Linotype" w:hAnsi="Palatino Linotype"/>
          <w:sz w:val="24"/>
          <w:szCs w:val="24"/>
        </w:rPr>
        <w:t>accelerated replacement</w:t>
      </w:r>
      <w:r w:rsidR="00B419EE">
        <w:rPr>
          <w:rFonts w:ascii="Palatino Linotype" w:hAnsi="Palatino Linotype"/>
          <w:sz w:val="24"/>
          <w:szCs w:val="24"/>
        </w:rPr>
        <w:t xml:space="preserve"> </w:t>
      </w:r>
      <w:r w:rsidR="001B0EA6">
        <w:rPr>
          <w:rFonts w:ascii="Palatino Linotype" w:hAnsi="Palatino Linotype"/>
          <w:sz w:val="24"/>
          <w:szCs w:val="24"/>
        </w:rPr>
        <w:t>projects</w:t>
      </w:r>
      <w:r w:rsidRPr="00DF25C0" w:rsidR="000E51AA">
        <w:rPr>
          <w:rFonts w:ascii="Palatino Linotype" w:hAnsi="Palatino Linotype"/>
          <w:sz w:val="24"/>
          <w:szCs w:val="24"/>
        </w:rPr>
        <w:t xml:space="preserve">, </w:t>
      </w:r>
      <w:r w:rsidRPr="00DF25C0">
        <w:rPr>
          <w:rFonts w:ascii="Palatino Linotype" w:hAnsi="Palatino Linotype"/>
          <w:sz w:val="24"/>
          <w:szCs w:val="24"/>
        </w:rPr>
        <w:t>as directed in Resolution E-4818 and submitted in the T2WG</w:t>
      </w:r>
      <w:r w:rsidRPr="00DF25C0" w:rsidR="00A67033">
        <w:rPr>
          <w:rFonts w:ascii="Palatino Linotype" w:hAnsi="Palatino Linotype"/>
          <w:sz w:val="24"/>
          <w:szCs w:val="24"/>
        </w:rPr>
        <w:t xml:space="preserve"> Final</w:t>
      </w:r>
      <w:r w:rsidRPr="00DF25C0">
        <w:rPr>
          <w:rFonts w:ascii="Palatino Linotype" w:hAnsi="Palatino Linotype"/>
          <w:sz w:val="24"/>
          <w:szCs w:val="24"/>
        </w:rPr>
        <w:t xml:space="preserve"> Report identified as “Task 2</w:t>
      </w:r>
      <w:r w:rsidR="00E87378">
        <w:rPr>
          <w:rFonts w:ascii="Palatino Linotype" w:hAnsi="Palatino Linotype"/>
          <w:sz w:val="24"/>
          <w:szCs w:val="24"/>
        </w:rPr>
        <w:t>”</w:t>
      </w:r>
      <w:r w:rsidRPr="00DF25C0">
        <w:rPr>
          <w:rFonts w:ascii="Palatino Linotype" w:hAnsi="Palatino Linotype"/>
          <w:sz w:val="24"/>
          <w:szCs w:val="24"/>
        </w:rPr>
        <w:t>.</w:t>
      </w:r>
      <w:r w:rsidR="00E87378">
        <w:rPr>
          <w:rStyle w:val="FootnoteReference"/>
          <w:rFonts w:ascii="Palatino Linotype" w:hAnsi="Palatino Linotype"/>
          <w:sz w:val="24"/>
          <w:szCs w:val="24"/>
        </w:rPr>
        <w:footnoteReference w:id="11"/>
      </w:r>
      <w:r w:rsidR="00327523">
        <w:rPr>
          <w:rFonts w:ascii="Palatino Linotype" w:hAnsi="Palatino Linotype"/>
          <w:sz w:val="24"/>
          <w:szCs w:val="24"/>
        </w:rPr>
        <w:t xml:space="preserve"> </w:t>
      </w:r>
      <w:r w:rsidR="009B124E">
        <w:rPr>
          <w:rFonts w:ascii="Palatino Linotype" w:hAnsi="Palatino Linotype"/>
          <w:sz w:val="24"/>
          <w:szCs w:val="24"/>
        </w:rPr>
        <w:t xml:space="preserve"> </w:t>
      </w:r>
      <w:r w:rsidR="00327523">
        <w:rPr>
          <w:rFonts w:ascii="Palatino Linotype" w:hAnsi="Palatino Linotype"/>
          <w:sz w:val="24"/>
          <w:szCs w:val="24"/>
        </w:rPr>
        <w:t xml:space="preserve">As further detailed below, </w:t>
      </w:r>
      <w:r w:rsidR="00926BE4">
        <w:rPr>
          <w:rFonts w:ascii="Palatino Linotype" w:hAnsi="Palatino Linotype"/>
          <w:sz w:val="24"/>
          <w:szCs w:val="24"/>
        </w:rPr>
        <w:t>we adopt some</w:t>
      </w:r>
      <w:r w:rsidR="00327523">
        <w:rPr>
          <w:rFonts w:ascii="Palatino Linotype" w:hAnsi="Palatino Linotype"/>
          <w:sz w:val="24"/>
          <w:szCs w:val="24"/>
        </w:rPr>
        <w:t xml:space="preserve"> elements of the T2WG</w:t>
      </w:r>
      <w:r w:rsidR="00926BE4">
        <w:rPr>
          <w:rFonts w:ascii="Palatino Linotype" w:hAnsi="Palatino Linotype"/>
          <w:sz w:val="24"/>
          <w:szCs w:val="24"/>
        </w:rPr>
        <w:t xml:space="preserve"> recommendations</w:t>
      </w:r>
      <w:r w:rsidR="008C0314">
        <w:rPr>
          <w:rFonts w:ascii="Palatino Linotype" w:hAnsi="Palatino Linotype"/>
          <w:sz w:val="24"/>
          <w:szCs w:val="24"/>
        </w:rPr>
        <w:t xml:space="preserve"> </w:t>
      </w:r>
      <w:r w:rsidR="00926BE4">
        <w:rPr>
          <w:rFonts w:ascii="Palatino Linotype" w:hAnsi="Palatino Linotype"/>
          <w:sz w:val="24"/>
          <w:szCs w:val="24"/>
        </w:rPr>
        <w:t>while not others</w:t>
      </w:r>
      <w:r w:rsidR="00327523">
        <w:rPr>
          <w:rFonts w:ascii="Palatino Linotype" w:hAnsi="Palatino Linotype"/>
          <w:sz w:val="24"/>
          <w:szCs w:val="24"/>
        </w:rPr>
        <w:t xml:space="preserve">. </w:t>
      </w:r>
    </w:p>
    <w:p w:rsidRPr="00DF25C0" w:rsidR="00CA4F2E" w:rsidP="00CA4F2E" w:rsidRDefault="00CA4F2E" w14:paraId="550479A9" w14:textId="77777777">
      <w:pPr>
        <w:pStyle w:val="ListParagraph"/>
        <w:rPr>
          <w:sz w:val="24"/>
          <w:szCs w:val="24"/>
        </w:rPr>
      </w:pPr>
    </w:p>
    <w:p w:rsidRPr="00DF25C0" w:rsidR="002558F1" w:rsidP="00572621" w:rsidRDefault="007B74EC" w14:paraId="30103B4D" w14:textId="4F4CB3E3">
      <w:pPr>
        <w:pStyle w:val="Heading1"/>
        <w:keepLines w:val="0"/>
        <w:spacing w:before="120" w:after="120"/>
        <w:rPr>
          <w:rFonts w:ascii="Palatino Linotype" w:hAnsi="Palatino Linotype" w:eastAsia="Times New Roman" w:cs="Times New Roman"/>
          <w:b/>
          <w:bCs w:val="0"/>
          <w:kern w:val="28"/>
          <w:sz w:val="24"/>
          <w:szCs w:val="24"/>
        </w:rPr>
      </w:pPr>
      <w:bookmarkStart w:name="_Toc512412409" w:id="10"/>
      <w:bookmarkStart w:name="_Toc512412618" w:id="11"/>
      <w:bookmarkStart w:name="_Toc532562896" w:id="12"/>
      <w:r w:rsidRPr="00DF25C0">
        <w:rPr>
          <w:rFonts w:ascii="Palatino Linotype" w:hAnsi="Palatino Linotype" w:eastAsia="Times New Roman" w:cs="Times New Roman"/>
          <w:b/>
          <w:bCs w:val="0"/>
          <w:kern w:val="28"/>
          <w:sz w:val="24"/>
          <w:szCs w:val="24"/>
        </w:rPr>
        <w:t xml:space="preserve">3.   </w:t>
      </w:r>
      <w:bookmarkEnd w:id="10"/>
      <w:bookmarkEnd w:id="11"/>
      <w:bookmarkEnd w:id="12"/>
      <w:r w:rsidR="009B124E">
        <w:rPr>
          <w:rFonts w:ascii="Palatino Linotype" w:hAnsi="Palatino Linotype" w:eastAsia="Times New Roman" w:cs="Times New Roman"/>
          <w:b/>
          <w:bCs w:val="0"/>
          <w:kern w:val="28"/>
          <w:sz w:val="24"/>
          <w:szCs w:val="24"/>
        </w:rPr>
        <w:t>SUMMARY OF T2WG</w:t>
      </w:r>
      <w:r w:rsidR="00E338CC">
        <w:rPr>
          <w:rFonts w:ascii="Palatino Linotype" w:hAnsi="Palatino Linotype" w:eastAsia="Times New Roman" w:cs="Times New Roman"/>
          <w:b/>
          <w:bCs w:val="0"/>
          <w:kern w:val="28"/>
          <w:sz w:val="24"/>
          <w:szCs w:val="24"/>
        </w:rPr>
        <w:t xml:space="preserve"> PROCESS AND FINAL REPORT</w:t>
      </w:r>
    </w:p>
    <w:p w:rsidRPr="00DF25C0" w:rsidR="00E338CC" w:rsidDel="00AE16D0" w:rsidP="00E338CC" w:rsidRDefault="00E338CC" w14:paraId="062F5CF4" w14:textId="46E3FBFD">
      <w:pPr>
        <w:pStyle w:val="standard"/>
        <w:rPr>
          <w:rFonts w:ascii="Palatino Linotype" w:hAnsi="Palatino Linotype"/>
          <w:sz w:val="24"/>
          <w:szCs w:val="24"/>
        </w:rPr>
      </w:pPr>
      <w:bookmarkStart w:name="_Toc512412411" w:id="13"/>
      <w:bookmarkStart w:name="_Toc512412623" w:id="14"/>
      <w:bookmarkStart w:name="_Toc532562897" w:id="15"/>
      <w:r w:rsidRPr="00DF25C0" w:rsidDel="00AE16D0">
        <w:rPr>
          <w:rFonts w:ascii="Palatino Linotype" w:hAnsi="Palatino Linotype"/>
          <w:sz w:val="24"/>
          <w:szCs w:val="24"/>
        </w:rPr>
        <w:t xml:space="preserve">To avoid confusion during the discussions, the T2WG renamed the </w:t>
      </w:r>
      <w:r w:rsidDel="00AE16D0">
        <w:rPr>
          <w:rFonts w:ascii="Palatino Linotype" w:hAnsi="Palatino Linotype"/>
          <w:sz w:val="24"/>
          <w:szCs w:val="24"/>
        </w:rPr>
        <w:t xml:space="preserve">Resolution E-4818 </w:t>
      </w:r>
      <w:r w:rsidRPr="00DF25C0" w:rsidDel="00AE16D0">
        <w:rPr>
          <w:rFonts w:ascii="Palatino Linotype" w:hAnsi="Palatino Linotype"/>
          <w:sz w:val="24"/>
          <w:szCs w:val="24"/>
        </w:rPr>
        <w:t>approved</w:t>
      </w:r>
      <w:r w:rsidDel="00AE16D0">
        <w:rPr>
          <w:rFonts w:ascii="Palatino Linotype" w:hAnsi="Palatino Linotype"/>
          <w:sz w:val="24"/>
          <w:szCs w:val="24"/>
        </w:rPr>
        <w:t xml:space="preserve"> customer incentive</w:t>
      </w:r>
      <w:r w:rsidRPr="00DF25C0" w:rsidDel="00AE16D0">
        <w:rPr>
          <w:rFonts w:ascii="Palatino Linotype" w:hAnsi="Palatino Linotype"/>
          <w:sz w:val="24"/>
          <w:szCs w:val="24"/>
        </w:rPr>
        <w:t xml:space="preserve"> </w:t>
      </w:r>
      <w:r w:rsidDel="00AE16D0">
        <w:rPr>
          <w:rFonts w:ascii="Palatino Linotype" w:hAnsi="Palatino Linotype"/>
          <w:sz w:val="24"/>
          <w:szCs w:val="24"/>
        </w:rPr>
        <w:t>cutoff</w:t>
      </w:r>
      <w:r w:rsidRPr="00DF25C0" w:rsidDel="00AE16D0">
        <w:rPr>
          <w:rFonts w:ascii="Palatino Linotype" w:hAnsi="Palatino Linotype"/>
          <w:sz w:val="24"/>
          <w:szCs w:val="24"/>
        </w:rPr>
        <w:t xml:space="preserve"> levels as “low rigor,” “medium rigor,” and “full rigor” as follows:</w:t>
      </w:r>
      <w:r w:rsidR="002D00B9">
        <w:rPr>
          <w:rStyle w:val="FootnoteReference"/>
          <w:rFonts w:ascii="Palatino Linotype" w:hAnsi="Palatino Linotype"/>
          <w:sz w:val="24"/>
          <w:szCs w:val="24"/>
        </w:rPr>
        <w:footnoteReference w:id="12"/>
      </w:r>
    </w:p>
    <w:p w:rsidRPr="00DF25C0" w:rsidR="00E338CC" w:rsidDel="00AE16D0" w:rsidP="00E338CC" w:rsidRDefault="00E338CC" w14:paraId="620DBA88" w14:textId="77777777">
      <w:pPr>
        <w:spacing w:after="240"/>
        <w:ind w:left="720"/>
        <w:rPr>
          <w:sz w:val="24"/>
          <w:szCs w:val="24"/>
        </w:rPr>
      </w:pPr>
      <w:r w:rsidRPr="00DF25C0" w:rsidDel="00AE16D0">
        <w:rPr>
          <w:sz w:val="24"/>
          <w:szCs w:val="24"/>
        </w:rPr>
        <w:t xml:space="preserve">a. “Full Rigor” for the largest projects, with incentives greater than $100,000, </w:t>
      </w:r>
    </w:p>
    <w:p w:rsidRPr="00DF25C0" w:rsidR="00E338CC" w:rsidDel="00AE16D0" w:rsidP="00E338CC" w:rsidRDefault="00E338CC" w14:paraId="43B9CE98" w14:textId="77777777">
      <w:pPr>
        <w:spacing w:after="240"/>
        <w:ind w:left="720"/>
        <w:rPr>
          <w:sz w:val="24"/>
          <w:szCs w:val="24"/>
        </w:rPr>
      </w:pPr>
      <w:r w:rsidRPr="00DF25C0" w:rsidDel="00AE16D0">
        <w:rPr>
          <w:sz w:val="24"/>
          <w:szCs w:val="24"/>
        </w:rPr>
        <w:t xml:space="preserve">b. “Medium Rigor” for projects with incentives between $25,000 and $100,000, and </w:t>
      </w:r>
    </w:p>
    <w:p w:rsidRPr="00DF25C0" w:rsidR="00E338CC" w:rsidDel="00AE16D0" w:rsidP="00E338CC" w:rsidRDefault="00E338CC" w14:paraId="4A37793B" w14:textId="77777777">
      <w:pPr>
        <w:spacing w:after="240"/>
        <w:ind w:left="720"/>
        <w:rPr>
          <w:sz w:val="24"/>
          <w:szCs w:val="24"/>
        </w:rPr>
      </w:pPr>
      <w:r w:rsidRPr="00DF25C0" w:rsidDel="00AE16D0">
        <w:rPr>
          <w:sz w:val="24"/>
          <w:szCs w:val="24"/>
        </w:rPr>
        <w:t xml:space="preserve">c. “Low Rigor” for projects with incentives less than $25,000. </w:t>
      </w:r>
    </w:p>
    <w:p w:rsidRPr="00DF25C0" w:rsidR="00E338CC" w:rsidP="00E338CC" w:rsidRDefault="00E1497E" w14:paraId="4D32A85F" w14:textId="59B2585E">
      <w:pPr>
        <w:pStyle w:val="standard"/>
        <w:rPr>
          <w:rFonts w:ascii="Palatino Linotype" w:hAnsi="Palatino Linotype"/>
          <w:sz w:val="24"/>
          <w:szCs w:val="24"/>
        </w:rPr>
      </w:pPr>
      <w:r>
        <w:rPr>
          <w:rFonts w:ascii="Palatino Linotype" w:hAnsi="Palatino Linotype"/>
          <w:sz w:val="24"/>
          <w:szCs w:val="24"/>
        </w:rPr>
        <w:lastRenderedPageBreak/>
        <w:t>Furthermore, d</w:t>
      </w:r>
      <w:r w:rsidRPr="00DF25C0" w:rsidR="00E338CC">
        <w:rPr>
          <w:rFonts w:ascii="Palatino Linotype" w:hAnsi="Palatino Linotype"/>
          <w:sz w:val="24"/>
          <w:szCs w:val="24"/>
        </w:rPr>
        <w:t>uring the T2WG meetings, CPUC Staff clarified its expectation that</w:t>
      </w:r>
      <w:r w:rsidR="00E338CC">
        <w:rPr>
          <w:rFonts w:ascii="Palatino Linotype" w:hAnsi="Palatino Linotype"/>
          <w:sz w:val="24"/>
          <w:szCs w:val="24"/>
        </w:rPr>
        <w:t xml:space="preserve"> the</w:t>
      </w:r>
      <w:r w:rsidRPr="00DF25C0" w:rsidR="00E338CC">
        <w:rPr>
          <w:rFonts w:ascii="Palatino Linotype" w:hAnsi="Palatino Linotype"/>
          <w:sz w:val="24"/>
          <w:szCs w:val="24"/>
        </w:rPr>
        <w:t xml:space="preserve"> </w:t>
      </w:r>
      <w:r w:rsidR="00E338CC">
        <w:rPr>
          <w:rFonts w:ascii="Palatino Linotype" w:hAnsi="Palatino Linotype"/>
          <w:sz w:val="24"/>
          <w:szCs w:val="24"/>
        </w:rPr>
        <w:t>preponderance of evidence</w:t>
      </w:r>
      <w:r w:rsidRPr="00DF25C0" w:rsidR="00E338CC">
        <w:rPr>
          <w:rFonts w:ascii="Palatino Linotype" w:hAnsi="Palatino Linotype"/>
          <w:sz w:val="24"/>
          <w:szCs w:val="24"/>
        </w:rPr>
        <w:t xml:space="preserve"> </w:t>
      </w:r>
      <w:r w:rsidR="00E338CC">
        <w:rPr>
          <w:rFonts w:ascii="Palatino Linotype" w:hAnsi="Palatino Linotype"/>
          <w:sz w:val="24"/>
          <w:szCs w:val="24"/>
        </w:rPr>
        <w:t xml:space="preserve">information </w:t>
      </w:r>
      <w:r w:rsidRPr="00DF25C0" w:rsidR="00E338CC">
        <w:rPr>
          <w:rFonts w:ascii="Palatino Linotype" w:hAnsi="Palatino Linotype"/>
          <w:sz w:val="24"/>
          <w:szCs w:val="24"/>
        </w:rPr>
        <w:t xml:space="preserve">will include the following three types of evidence or documentation requirements, for which the level of </w:t>
      </w:r>
      <w:r w:rsidR="00E338CC">
        <w:rPr>
          <w:rFonts w:ascii="Palatino Linotype" w:hAnsi="Palatino Linotype"/>
          <w:sz w:val="24"/>
          <w:szCs w:val="24"/>
        </w:rPr>
        <w:t>requirements</w:t>
      </w:r>
      <w:r w:rsidRPr="00DF25C0" w:rsidR="00E338CC">
        <w:rPr>
          <w:rFonts w:ascii="Palatino Linotype" w:hAnsi="Palatino Linotype"/>
          <w:sz w:val="24"/>
          <w:szCs w:val="24"/>
        </w:rPr>
        <w:t xml:space="preserve"> for each component should scale with the </w:t>
      </w:r>
      <w:r w:rsidR="00E338CC">
        <w:rPr>
          <w:rFonts w:ascii="Palatino Linotype" w:hAnsi="Palatino Linotype"/>
          <w:sz w:val="24"/>
          <w:szCs w:val="24"/>
        </w:rPr>
        <w:t>customer incentive</w:t>
      </w:r>
      <w:r w:rsidRPr="00DF25C0" w:rsidR="00E338CC">
        <w:rPr>
          <w:rFonts w:ascii="Palatino Linotype" w:hAnsi="Palatino Linotype"/>
          <w:sz w:val="24"/>
          <w:szCs w:val="24"/>
        </w:rPr>
        <w:t xml:space="preserve"> level: </w:t>
      </w:r>
    </w:p>
    <w:p w:rsidRPr="00DF25C0" w:rsidR="00E338CC" w:rsidP="00E338CC" w:rsidRDefault="00E338CC" w14:paraId="2B72197B" w14:textId="77777777">
      <w:pPr>
        <w:spacing w:after="240"/>
        <w:ind w:left="720"/>
        <w:rPr>
          <w:sz w:val="24"/>
          <w:szCs w:val="24"/>
        </w:rPr>
      </w:pPr>
      <w:r w:rsidRPr="00DF25C0">
        <w:rPr>
          <w:sz w:val="24"/>
          <w:szCs w:val="24"/>
        </w:rPr>
        <w:t>a. Evidence of the viability of continued equipment operation.</w:t>
      </w:r>
      <w:r>
        <w:rPr>
          <w:rStyle w:val="FootnoteReference"/>
          <w:sz w:val="24"/>
          <w:szCs w:val="24"/>
        </w:rPr>
        <w:footnoteReference w:id="13"/>
      </w:r>
    </w:p>
    <w:p w:rsidRPr="00DF25C0" w:rsidR="00E338CC" w:rsidP="00E338CC" w:rsidRDefault="00E338CC" w14:paraId="53485CC6" w14:textId="77777777">
      <w:pPr>
        <w:spacing w:after="240"/>
        <w:ind w:left="720"/>
        <w:rPr>
          <w:sz w:val="24"/>
          <w:szCs w:val="24"/>
        </w:rPr>
      </w:pPr>
      <w:r w:rsidRPr="00DF25C0">
        <w:rPr>
          <w:sz w:val="24"/>
          <w:szCs w:val="24"/>
        </w:rPr>
        <w:t xml:space="preserve">b. Survey, questionnaire, or </w:t>
      </w:r>
      <w:r>
        <w:rPr>
          <w:sz w:val="24"/>
          <w:szCs w:val="24"/>
        </w:rPr>
        <w:t xml:space="preserve">customer </w:t>
      </w:r>
      <w:r w:rsidRPr="00DF25C0">
        <w:rPr>
          <w:sz w:val="24"/>
          <w:szCs w:val="24"/>
        </w:rPr>
        <w:t>interview to assess program influence.</w:t>
      </w:r>
    </w:p>
    <w:p w:rsidRPr="00DF25C0" w:rsidR="00E338CC" w:rsidP="00E338CC" w:rsidRDefault="00E338CC" w14:paraId="1A1BF0A6" w14:textId="77777777">
      <w:pPr>
        <w:spacing w:after="240"/>
        <w:ind w:left="720"/>
        <w:rPr>
          <w:sz w:val="24"/>
          <w:szCs w:val="24"/>
        </w:rPr>
      </w:pPr>
      <w:r w:rsidRPr="00DF25C0">
        <w:rPr>
          <w:sz w:val="24"/>
          <w:szCs w:val="24"/>
        </w:rPr>
        <w:t xml:space="preserve">c. A customer affidavit to ensure the project </w:t>
      </w:r>
      <w:r>
        <w:rPr>
          <w:sz w:val="24"/>
          <w:szCs w:val="24"/>
        </w:rPr>
        <w:t>preponderance of evidence</w:t>
      </w:r>
      <w:r w:rsidRPr="00DF25C0">
        <w:rPr>
          <w:sz w:val="24"/>
          <w:szCs w:val="24"/>
        </w:rPr>
        <w:t xml:space="preserve"> documentation is accurate.</w:t>
      </w:r>
    </w:p>
    <w:p w:rsidRPr="00DF25C0" w:rsidR="00664A49" w:rsidDel="009B124E" w:rsidP="00664A49" w:rsidRDefault="00E1497E" w14:paraId="65A101FB" w14:textId="0BDC7050">
      <w:pPr>
        <w:pStyle w:val="standard"/>
        <w:rPr>
          <w:rFonts w:ascii="Palatino Linotype" w:hAnsi="Palatino Linotype"/>
          <w:sz w:val="24"/>
          <w:szCs w:val="24"/>
        </w:rPr>
      </w:pPr>
      <w:r>
        <w:rPr>
          <w:rFonts w:ascii="Palatino Linotype" w:hAnsi="Palatino Linotype"/>
          <w:sz w:val="24"/>
          <w:szCs w:val="24"/>
        </w:rPr>
        <w:t>In that regard, t</w:t>
      </w:r>
      <w:r w:rsidRPr="00DF25C0" w:rsidDel="009B124E" w:rsidR="00664A49">
        <w:rPr>
          <w:rFonts w:ascii="Palatino Linotype" w:hAnsi="Palatino Linotype"/>
          <w:sz w:val="24"/>
          <w:szCs w:val="24"/>
        </w:rPr>
        <w:t>he T2WG</w:t>
      </w:r>
      <w:r w:rsidDel="009B124E" w:rsidR="00664A49">
        <w:rPr>
          <w:rFonts w:ascii="Palatino Linotype" w:hAnsi="Palatino Linotype"/>
          <w:sz w:val="24"/>
          <w:szCs w:val="24"/>
        </w:rPr>
        <w:t xml:space="preserve"> Report</w:t>
      </w:r>
      <w:r w:rsidRPr="00DF25C0" w:rsidDel="009B124E" w:rsidR="00664A49">
        <w:rPr>
          <w:rFonts w:ascii="Palatino Linotype" w:hAnsi="Palatino Linotype"/>
          <w:sz w:val="24"/>
          <w:szCs w:val="24"/>
        </w:rPr>
        <w:t xml:space="preserve"> identified five sub-tasks </w:t>
      </w:r>
      <w:r w:rsidDel="009B124E" w:rsidR="00664A49">
        <w:rPr>
          <w:rFonts w:ascii="Palatino Linotype" w:hAnsi="Palatino Linotype"/>
          <w:sz w:val="24"/>
          <w:szCs w:val="24"/>
        </w:rPr>
        <w:t>to further refine the preponderance of evidence requirements</w:t>
      </w:r>
      <w:r w:rsidRPr="00DF25C0" w:rsidDel="009B124E" w:rsidR="00664A49">
        <w:rPr>
          <w:rFonts w:ascii="Palatino Linotype" w:hAnsi="Palatino Linotype"/>
          <w:sz w:val="24"/>
          <w:szCs w:val="24"/>
        </w:rPr>
        <w:t>:</w:t>
      </w:r>
      <w:r w:rsidR="005B205E">
        <w:rPr>
          <w:rStyle w:val="FootnoteReference"/>
          <w:rFonts w:ascii="Palatino Linotype" w:hAnsi="Palatino Linotype"/>
          <w:sz w:val="24"/>
          <w:szCs w:val="24"/>
        </w:rPr>
        <w:footnoteReference w:id="14"/>
      </w:r>
    </w:p>
    <w:p w:rsidRPr="00DF25C0" w:rsidR="00664A49" w:rsidDel="009B124E" w:rsidP="00664A49" w:rsidRDefault="00664A49" w14:paraId="6CD5E999" w14:textId="77777777">
      <w:pPr>
        <w:pStyle w:val="ListParagraph"/>
        <w:numPr>
          <w:ilvl w:val="0"/>
          <w:numId w:val="10"/>
        </w:numPr>
        <w:spacing w:before="100" w:after="200" w:line="276" w:lineRule="auto"/>
        <w:ind w:left="1440" w:right="900"/>
        <w:contextualSpacing/>
        <w:rPr>
          <w:sz w:val="24"/>
          <w:szCs w:val="24"/>
        </w:rPr>
      </w:pPr>
      <w:r w:rsidRPr="00DF25C0" w:rsidDel="009B124E">
        <w:rPr>
          <w:b/>
          <w:sz w:val="24"/>
          <w:szCs w:val="24"/>
        </w:rPr>
        <w:t>Task 2-1, Tier thresholds</w:t>
      </w:r>
      <w:r w:rsidRPr="00DF25C0" w:rsidDel="009B124E">
        <w:rPr>
          <w:sz w:val="24"/>
          <w:szCs w:val="24"/>
        </w:rPr>
        <w:t xml:space="preserve">—whether the </w:t>
      </w:r>
      <w:r w:rsidDel="009B124E">
        <w:rPr>
          <w:sz w:val="24"/>
          <w:szCs w:val="24"/>
        </w:rPr>
        <w:t>customer incentive cutoff levels</w:t>
      </w:r>
      <w:r w:rsidRPr="00DF25C0" w:rsidDel="009B124E">
        <w:rPr>
          <w:sz w:val="24"/>
          <w:szCs w:val="24"/>
        </w:rPr>
        <w:t xml:space="preserve"> developed in T1WG and approved in Resolution E-4818 were sufficient to develop </w:t>
      </w:r>
      <w:r w:rsidDel="009B124E">
        <w:rPr>
          <w:sz w:val="24"/>
          <w:szCs w:val="24"/>
        </w:rPr>
        <w:t>preponderance of evidence</w:t>
      </w:r>
      <w:r w:rsidRPr="00DF25C0" w:rsidDel="009B124E">
        <w:rPr>
          <w:sz w:val="24"/>
          <w:szCs w:val="24"/>
        </w:rPr>
        <w:t xml:space="preserve"> requirements that appropriately balanced </w:t>
      </w:r>
      <w:r w:rsidDel="009B124E">
        <w:rPr>
          <w:sz w:val="24"/>
          <w:szCs w:val="24"/>
        </w:rPr>
        <w:t>due diligence</w:t>
      </w:r>
      <w:r w:rsidRPr="00DF25C0" w:rsidDel="009B124E">
        <w:rPr>
          <w:sz w:val="24"/>
          <w:szCs w:val="24"/>
        </w:rPr>
        <w:t xml:space="preserve"> with project value and risk.</w:t>
      </w:r>
    </w:p>
    <w:p w:rsidRPr="00DF25C0" w:rsidR="00664A49" w:rsidDel="009B124E" w:rsidP="00664A49" w:rsidRDefault="00664A49" w14:paraId="656F969B" w14:textId="77777777">
      <w:pPr>
        <w:pStyle w:val="ListParagraph"/>
        <w:numPr>
          <w:ilvl w:val="0"/>
          <w:numId w:val="10"/>
        </w:numPr>
        <w:spacing w:before="100" w:after="200" w:line="276" w:lineRule="auto"/>
        <w:ind w:left="1440" w:right="900"/>
        <w:contextualSpacing/>
        <w:rPr>
          <w:sz w:val="24"/>
          <w:szCs w:val="24"/>
        </w:rPr>
      </w:pPr>
      <w:r w:rsidRPr="00DF25C0" w:rsidDel="009B124E">
        <w:rPr>
          <w:b/>
          <w:sz w:val="24"/>
          <w:szCs w:val="24"/>
        </w:rPr>
        <w:t>Task 2-2, Evidence for equipment viability</w:t>
      </w:r>
      <w:r w:rsidRPr="00DF25C0" w:rsidDel="009B124E">
        <w:rPr>
          <w:sz w:val="24"/>
          <w:szCs w:val="24"/>
        </w:rPr>
        <w:t>—the documentation requirements</w:t>
      </w:r>
      <w:r w:rsidDel="009B124E">
        <w:rPr>
          <w:sz w:val="24"/>
          <w:szCs w:val="24"/>
        </w:rPr>
        <w:t xml:space="preserve"> at the different customer incentive cutoff levels</w:t>
      </w:r>
      <w:r w:rsidRPr="00DF25C0" w:rsidDel="009B124E">
        <w:rPr>
          <w:sz w:val="24"/>
          <w:szCs w:val="24"/>
        </w:rPr>
        <w:t xml:space="preserve"> to demonstrate the equipment viability component of </w:t>
      </w:r>
      <w:r w:rsidDel="009B124E">
        <w:rPr>
          <w:sz w:val="24"/>
          <w:szCs w:val="24"/>
        </w:rPr>
        <w:t>preponderance of evidence requirements</w:t>
      </w:r>
      <w:r w:rsidRPr="00DF25C0" w:rsidDel="009B124E">
        <w:rPr>
          <w:sz w:val="24"/>
          <w:szCs w:val="24"/>
        </w:rPr>
        <w:t>.</w:t>
      </w:r>
    </w:p>
    <w:p w:rsidRPr="00DF25C0" w:rsidR="00664A49" w:rsidDel="009B124E" w:rsidP="00664A49" w:rsidRDefault="00664A49" w14:paraId="04F19440" w14:textId="77777777">
      <w:pPr>
        <w:pStyle w:val="ListParagraph"/>
        <w:numPr>
          <w:ilvl w:val="0"/>
          <w:numId w:val="10"/>
        </w:numPr>
        <w:spacing w:before="100" w:after="200" w:line="276" w:lineRule="auto"/>
        <w:ind w:left="1440" w:right="900"/>
        <w:contextualSpacing/>
        <w:rPr>
          <w:sz w:val="24"/>
          <w:szCs w:val="24"/>
        </w:rPr>
      </w:pPr>
      <w:r w:rsidRPr="00DF25C0" w:rsidDel="009B124E">
        <w:rPr>
          <w:b/>
          <w:sz w:val="24"/>
          <w:szCs w:val="24"/>
        </w:rPr>
        <w:t>Task 2-3, Evidence for influence</w:t>
      </w:r>
      <w:r w:rsidRPr="00DF25C0" w:rsidDel="009B124E">
        <w:rPr>
          <w:sz w:val="24"/>
          <w:szCs w:val="24"/>
        </w:rPr>
        <w:t xml:space="preserve">—the documentation requirements </w:t>
      </w:r>
      <w:r w:rsidDel="009B124E">
        <w:rPr>
          <w:sz w:val="24"/>
          <w:szCs w:val="24"/>
        </w:rPr>
        <w:t>at the different customer incentive cutoff levels</w:t>
      </w:r>
      <w:r w:rsidRPr="00DF25C0" w:rsidDel="009B124E">
        <w:rPr>
          <w:sz w:val="24"/>
          <w:szCs w:val="24"/>
        </w:rPr>
        <w:t xml:space="preserve"> to demonstrate the program influence component of </w:t>
      </w:r>
      <w:r w:rsidDel="009B124E">
        <w:rPr>
          <w:sz w:val="24"/>
          <w:szCs w:val="24"/>
        </w:rPr>
        <w:t>preponderance of evidence requirements</w:t>
      </w:r>
      <w:r w:rsidRPr="00DF25C0" w:rsidDel="009B124E">
        <w:rPr>
          <w:sz w:val="24"/>
          <w:szCs w:val="24"/>
        </w:rPr>
        <w:t>.</w:t>
      </w:r>
    </w:p>
    <w:p w:rsidRPr="00DF25C0" w:rsidR="00664A49" w:rsidDel="009B124E" w:rsidP="00664A49" w:rsidRDefault="00664A49" w14:paraId="42D109DB" w14:textId="77777777">
      <w:pPr>
        <w:pStyle w:val="ListParagraph"/>
        <w:numPr>
          <w:ilvl w:val="0"/>
          <w:numId w:val="10"/>
        </w:numPr>
        <w:spacing w:before="100" w:after="200" w:line="276" w:lineRule="auto"/>
        <w:ind w:left="1440" w:right="900"/>
        <w:contextualSpacing/>
        <w:rPr>
          <w:sz w:val="24"/>
          <w:szCs w:val="24"/>
        </w:rPr>
      </w:pPr>
      <w:r w:rsidRPr="00DF25C0" w:rsidDel="009B124E">
        <w:rPr>
          <w:b/>
          <w:sz w:val="24"/>
          <w:szCs w:val="24"/>
        </w:rPr>
        <w:t>Task 2-4, Questionnaire administration</w:t>
      </w:r>
      <w:r w:rsidRPr="00DF25C0" w:rsidDel="009B124E">
        <w:rPr>
          <w:sz w:val="24"/>
          <w:szCs w:val="24"/>
        </w:rPr>
        <w:t xml:space="preserve">—which party would administer a survey, questionnaire, or </w:t>
      </w:r>
      <w:r w:rsidDel="009B124E">
        <w:rPr>
          <w:sz w:val="24"/>
          <w:szCs w:val="24"/>
        </w:rPr>
        <w:t xml:space="preserve">customer </w:t>
      </w:r>
      <w:r w:rsidRPr="00DF25C0" w:rsidDel="009B124E">
        <w:rPr>
          <w:sz w:val="24"/>
          <w:szCs w:val="24"/>
        </w:rPr>
        <w:t xml:space="preserve">interview to collect information, balancing </w:t>
      </w:r>
      <w:proofErr w:type="gramStart"/>
      <w:r w:rsidRPr="00DF25C0" w:rsidDel="009B124E">
        <w:rPr>
          <w:sz w:val="24"/>
          <w:szCs w:val="24"/>
        </w:rPr>
        <w:t>cost</w:t>
      </w:r>
      <w:proofErr w:type="gramEnd"/>
      <w:r w:rsidRPr="00DF25C0" w:rsidDel="009B124E">
        <w:rPr>
          <w:sz w:val="24"/>
          <w:szCs w:val="24"/>
        </w:rPr>
        <w:t xml:space="preserve"> and complexity of administration with the potential impacts of bias.</w:t>
      </w:r>
    </w:p>
    <w:p w:rsidR="00664A49" w:rsidP="00664A49" w:rsidRDefault="00664A49" w14:paraId="6873EFA5" w14:textId="67C262EE">
      <w:pPr>
        <w:pStyle w:val="ListParagraph"/>
        <w:numPr>
          <w:ilvl w:val="0"/>
          <w:numId w:val="10"/>
        </w:numPr>
        <w:spacing w:before="100" w:after="200" w:line="276" w:lineRule="auto"/>
        <w:ind w:left="1440" w:right="900"/>
        <w:contextualSpacing/>
        <w:rPr>
          <w:sz w:val="24"/>
          <w:szCs w:val="24"/>
        </w:rPr>
      </w:pPr>
      <w:r w:rsidRPr="00DF25C0" w:rsidDel="009B124E">
        <w:rPr>
          <w:b/>
          <w:sz w:val="24"/>
          <w:szCs w:val="24"/>
        </w:rPr>
        <w:lastRenderedPageBreak/>
        <w:t>Task 2-5, Customer affidavit</w:t>
      </w:r>
      <w:r w:rsidRPr="00DF25C0" w:rsidDel="009B124E">
        <w:rPr>
          <w:sz w:val="24"/>
          <w:szCs w:val="24"/>
        </w:rPr>
        <w:t xml:space="preserve">—a statement to be signed by the customer to affirm accuracy of the information provided for </w:t>
      </w:r>
      <w:r w:rsidDel="009B124E">
        <w:rPr>
          <w:sz w:val="24"/>
          <w:szCs w:val="24"/>
        </w:rPr>
        <w:t>preponderance of evidence</w:t>
      </w:r>
      <w:r w:rsidRPr="00DF25C0" w:rsidDel="009B124E">
        <w:rPr>
          <w:sz w:val="24"/>
          <w:szCs w:val="24"/>
        </w:rPr>
        <w:t>.</w:t>
      </w:r>
    </w:p>
    <w:p w:rsidR="00D24B21" w:rsidP="00F94DA4" w:rsidRDefault="00E1497E" w14:paraId="3DFA964E" w14:textId="5E73CCA1">
      <w:pPr>
        <w:spacing w:before="100" w:after="200" w:line="276" w:lineRule="auto"/>
        <w:ind w:right="900"/>
        <w:contextualSpacing/>
        <w:rPr>
          <w:sz w:val="24"/>
          <w:szCs w:val="24"/>
        </w:rPr>
      </w:pPr>
      <w:r>
        <w:rPr>
          <w:sz w:val="24"/>
          <w:szCs w:val="24"/>
        </w:rPr>
        <w:t>The discussion on each of these task</w:t>
      </w:r>
      <w:r w:rsidR="00F94DA4">
        <w:rPr>
          <w:sz w:val="24"/>
          <w:szCs w:val="24"/>
        </w:rPr>
        <w:t>s</w:t>
      </w:r>
      <w:r>
        <w:rPr>
          <w:sz w:val="24"/>
          <w:szCs w:val="24"/>
        </w:rPr>
        <w:t xml:space="preserve"> in the working group is briefly described below.</w:t>
      </w:r>
      <w:bookmarkEnd w:id="13"/>
      <w:bookmarkEnd w:id="14"/>
      <w:bookmarkEnd w:id="15"/>
    </w:p>
    <w:p w:rsidR="0092332C" w:rsidP="00F94DA4" w:rsidRDefault="0092332C" w14:paraId="0E235DD8" w14:textId="7BB2B0A8">
      <w:pPr>
        <w:pStyle w:val="Heading4"/>
        <w:keepLines w:val="0"/>
        <w:spacing w:before="120" w:after="120"/>
        <w:ind w:left="3150" w:right="720" w:hanging="1710"/>
        <w:rPr>
          <w:rFonts w:ascii="Palatino Linotype" w:hAnsi="Palatino Linotype" w:eastAsia="Times New Roman" w:cs="Times New Roman"/>
          <w:bCs w:val="0"/>
          <w:i w:val="0"/>
          <w:iCs w:val="0"/>
          <w:color w:val="auto"/>
          <w:sz w:val="24"/>
          <w:szCs w:val="24"/>
        </w:rPr>
      </w:pPr>
      <w:r w:rsidRPr="00DF25C0">
        <w:rPr>
          <w:rFonts w:ascii="Palatino Linotype" w:hAnsi="Palatino Linotype" w:eastAsia="Times New Roman" w:cs="Times New Roman"/>
          <w:bCs w:val="0"/>
          <w:i w:val="0"/>
          <w:iCs w:val="0"/>
          <w:color w:val="auto"/>
          <w:sz w:val="24"/>
          <w:szCs w:val="24"/>
        </w:rPr>
        <w:t>3</w:t>
      </w:r>
      <w:r w:rsidR="00F94DA4">
        <w:rPr>
          <w:rFonts w:ascii="Palatino Linotype" w:hAnsi="Palatino Linotype" w:eastAsia="Times New Roman" w:cs="Times New Roman"/>
          <w:bCs w:val="0"/>
          <w:i w:val="0"/>
          <w:iCs w:val="0"/>
          <w:color w:val="auto"/>
          <w:sz w:val="24"/>
          <w:szCs w:val="24"/>
        </w:rPr>
        <w:t>.</w:t>
      </w:r>
      <w:r w:rsidRPr="00DF25C0">
        <w:rPr>
          <w:rFonts w:ascii="Palatino Linotype" w:hAnsi="Palatino Linotype" w:eastAsia="Times New Roman" w:cs="Times New Roman"/>
          <w:bCs w:val="0"/>
          <w:i w:val="0"/>
          <w:iCs w:val="0"/>
          <w:color w:val="auto"/>
          <w:sz w:val="24"/>
          <w:szCs w:val="24"/>
        </w:rPr>
        <w:t>1</w:t>
      </w:r>
      <w:r w:rsidR="00EA30E6">
        <w:rPr>
          <w:rFonts w:ascii="Palatino Linotype" w:hAnsi="Palatino Linotype" w:eastAsia="Times New Roman" w:cs="Times New Roman"/>
          <w:bCs w:val="0"/>
          <w:i w:val="0"/>
          <w:iCs w:val="0"/>
          <w:color w:val="auto"/>
          <w:sz w:val="24"/>
          <w:szCs w:val="24"/>
        </w:rPr>
        <w:t>.</w:t>
      </w:r>
      <w:r w:rsidRPr="00DF25C0">
        <w:rPr>
          <w:rFonts w:ascii="Palatino Linotype" w:hAnsi="Palatino Linotype" w:eastAsia="Times New Roman" w:cs="Times New Roman"/>
          <w:bCs w:val="0"/>
          <w:i w:val="0"/>
          <w:iCs w:val="0"/>
          <w:color w:val="auto"/>
          <w:sz w:val="24"/>
          <w:szCs w:val="24"/>
        </w:rPr>
        <w:t xml:space="preserve">   Task 2-1, Tier Thresholds</w:t>
      </w:r>
    </w:p>
    <w:p w:rsidRPr="00F94DA4" w:rsidR="00F94DA4" w:rsidP="00F94DA4" w:rsidRDefault="00F94DA4" w14:paraId="113009E8" w14:textId="77777777"/>
    <w:p w:rsidRPr="00DF25C0" w:rsidR="00E1497E" w:rsidDel="00AE16D0" w:rsidP="00021B7B" w:rsidRDefault="0092332C" w14:paraId="7E322651" w14:textId="33784733">
      <w:pPr>
        <w:pStyle w:val="standard"/>
        <w:rPr>
          <w:sz w:val="24"/>
          <w:szCs w:val="24"/>
        </w:rPr>
      </w:pPr>
      <w:r w:rsidRPr="00DF25C0">
        <w:rPr>
          <w:rFonts w:ascii="Palatino Linotype" w:hAnsi="Palatino Linotype"/>
          <w:sz w:val="24"/>
          <w:szCs w:val="24"/>
        </w:rPr>
        <w:t xml:space="preserve">The T2WG discussed whether the </w:t>
      </w:r>
      <w:r w:rsidR="003E5B61">
        <w:rPr>
          <w:rFonts w:ascii="Palatino Linotype" w:hAnsi="Palatino Linotype"/>
          <w:sz w:val="24"/>
          <w:szCs w:val="24"/>
        </w:rPr>
        <w:t>customer incentive cutoff level s</w:t>
      </w:r>
      <w:r w:rsidRPr="00DF25C0">
        <w:rPr>
          <w:rFonts w:ascii="Palatino Linotype" w:hAnsi="Palatino Linotype"/>
          <w:sz w:val="24"/>
          <w:szCs w:val="24"/>
        </w:rPr>
        <w:t xml:space="preserve"> thresholds developed in T1WG and approved in Resolution E-4818 were sufficient to develop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Pr="00DF25C0">
        <w:rPr>
          <w:rFonts w:ascii="Palatino Linotype" w:hAnsi="Palatino Linotype"/>
          <w:sz w:val="24"/>
          <w:szCs w:val="24"/>
        </w:rPr>
        <w:t xml:space="preserve">requirements that appropriately balanced </w:t>
      </w:r>
      <w:r w:rsidR="00F01BD6">
        <w:rPr>
          <w:rFonts w:ascii="Palatino Linotype" w:hAnsi="Palatino Linotype"/>
          <w:sz w:val="24"/>
          <w:szCs w:val="24"/>
        </w:rPr>
        <w:t>requirement</w:t>
      </w:r>
      <w:r w:rsidR="003E5B61">
        <w:rPr>
          <w:rFonts w:ascii="Palatino Linotype" w:hAnsi="Palatino Linotype"/>
          <w:sz w:val="24"/>
          <w:szCs w:val="24"/>
        </w:rPr>
        <w:t>s</w:t>
      </w:r>
      <w:r w:rsidR="00F01BD6">
        <w:rPr>
          <w:rFonts w:ascii="Palatino Linotype" w:hAnsi="Palatino Linotype"/>
          <w:sz w:val="24"/>
          <w:szCs w:val="24"/>
        </w:rPr>
        <w:t xml:space="preserve"> </w:t>
      </w:r>
      <w:r w:rsidRPr="00DF25C0">
        <w:rPr>
          <w:rFonts w:ascii="Palatino Linotype" w:hAnsi="Palatino Linotype"/>
          <w:sz w:val="24"/>
          <w:szCs w:val="24"/>
        </w:rPr>
        <w:t xml:space="preserve">with project value and risk.  </w:t>
      </w:r>
    </w:p>
    <w:p w:rsidR="0092332C" w:rsidP="0092332C" w:rsidRDefault="0092332C" w14:paraId="7DD3E6DB" w14:textId="11D1B868">
      <w:pPr>
        <w:pStyle w:val="standard"/>
        <w:rPr>
          <w:rFonts w:ascii="Palatino Linotype" w:hAnsi="Palatino Linotype"/>
          <w:sz w:val="24"/>
          <w:szCs w:val="24"/>
        </w:rPr>
      </w:pPr>
      <w:r w:rsidRPr="00DF25C0">
        <w:rPr>
          <w:rFonts w:ascii="Palatino Linotype" w:hAnsi="Palatino Linotype"/>
          <w:sz w:val="24"/>
          <w:szCs w:val="24"/>
        </w:rPr>
        <w:t xml:space="preserve">The T2WG accepted the </w:t>
      </w:r>
      <w:r w:rsidR="003E5B61">
        <w:rPr>
          <w:rFonts w:ascii="Palatino Linotype" w:hAnsi="Palatino Linotype"/>
          <w:sz w:val="24"/>
          <w:szCs w:val="24"/>
        </w:rPr>
        <w:t>customer incentive cutoff</w:t>
      </w:r>
      <w:r w:rsidRPr="00DF25C0" w:rsidR="003E5B61">
        <w:rPr>
          <w:rFonts w:ascii="Palatino Linotype" w:hAnsi="Palatino Linotype"/>
          <w:sz w:val="24"/>
          <w:szCs w:val="24"/>
        </w:rPr>
        <w:t xml:space="preserve"> </w:t>
      </w:r>
      <w:r w:rsidRPr="00DF25C0">
        <w:rPr>
          <w:rFonts w:ascii="Palatino Linotype" w:hAnsi="Palatino Linotype"/>
          <w:sz w:val="24"/>
          <w:szCs w:val="24"/>
        </w:rPr>
        <w:t xml:space="preserve">levels as being appropriate </w:t>
      </w:r>
      <w:proofErr w:type="gramStart"/>
      <w:r w:rsidRPr="00DF25C0">
        <w:rPr>
          <w:rFonts w:ascii="Palatino Linotype" w:hAnsi="Palatino Linotype"/>
          <w:sz w:val="24"/>
          <w:szCs w:val="24"/>
        </w:rPr>
        <w:t>and also</w:t>
      </w:r>
      <w:proofErr w:type="gramEnd"/>
      <w:r w:rsidRPr="00DF25C0">
        <w:rPr>
          <w:rFonts w:ascii="Palatino Linotype" w:hAnsi="Palatino Linotype"/>
          <w:sz w:val="24"/>
          <w:szCs w:val="24"/>
        </w:rPr>
        <w:t xml:space="preserve"> introduced a “Very Low” rigor </w:t>
      </w:r>
      <w:r w:rsidR="001575E9">
        <w:rPr>
          <w:rFonts w:ascii="Palatino Linotype" w:hAnsi="Palatino Linotype"/>
          <w:sz w:val="24"/>
          <w:szCs w:val="24"/>
        </w:rPr>
        <w:t xml:space="preserve">incentive </w:t>
      </w:r>
      <w:r w:rsidRPr="00DF25C0">
        <w:rPr>
          <w:rFonts w:ascii="Palatino Linotype" w:hAnsi="Palatino Linotype"/>
          <w:sz w:val="24"/>
          <w:szCs w:val="24"/>
        </w:rPr>
        <w:t>level category to be added for projects with small</w:t>
      </w:r>
      <w:r w:rsidR="00A36C6B">
        <w:rPr>
          <w:rFonts w:ascii="Palatino Linotype" w:hAnsi="Palatino Linotype"/>
          <w:sz w:val="24"/>
          <w:szCs w:val="24"/>
        </w:rPr>
        <w:t xml:space="preserve"> customer</w:t>
      </w:r>
      <w:r w:rsidRPr="00DF25C0">
        <w:rPr>
          <w:rFonts w:ascii="Palatino Linotype" w:hAnsi="Palatino Linotype"/>
          <w:sz w:val="24"/>
          <w:szCs w:val="24"/>
        </w:rPr>
        <w:t xml:space="preserve"> incentives that warrant a </w:t>
      </w:r>
      <w:r w:rsidRPr="00DF25C0" w:rsidR="003207CD">
        <w:rPr>
          <w:rFonts w:ascii="Palatino Linotype" w:hAnsi="Palatino Linotype"/>
          <w:sz w:val="24"/>
          <w:szCs w:val="24"/>
        </w:rPr>
        <w:t xml:space="preserve">much </w:t>
      </w:r>
      <w:r w:rsidRPr="00DF25C0">
        <w:rPr>
          <w:rFonts w:ascii="Palatino Linotype" w:hAnsi="Palatino Linotype"/>
          <w:sz w:val="24"/>
          <w:szCs w:val="24"/>
        </w:rPr>
        <w:t xml:space="preserve">less rigorous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Pr="00DF25C0">
        <w:rPr>
          <w:rFonts w:ascii="Palatino Linotype" w:hAnsi="Palatino Linotype"/>
          <w:sz w:val="24"/>
          <w:szCs w:val="24"/>
        </w:rPr>
        <w:t xml:space="preserve">requirement.  The </w:t>
      </w:r>
      <w:r w:rsidRPr="00DF25C0" w:rsidR="004D4A60">
        <w:rPr>
          <w:rFonts w:ascii="Palatino Linotype" w:hAnsi="Palatino Linotype"/>
          <w:sz w:val="24"/>
          <w:szCs w:val="24"/>
        </w:rPr>
        <w:t>T2WG</w:t>
      </w:r>
      <w:r w:rsidRPr="00DF25C0">
        <w:rPr>
          <w:rFonts w:ascii="Palatino Linotype" w:hAnsi="Palatino Linotype"/>
          <w:sz w:val="24"/>
          <w:szCs w:val="24"/>
        </w:rPr>
        <w:t xml:space="preserve"> proposed</w:t>
      </w:r>
      <w:r w:rsidR="003F3CBD">
        <w:rPr>
          <w:rFonts w:ascii="Palatino Linotype" w:hAnsi="Palatino Linotype"/>
          <w:sz w:val="24"/>
          <w:szCs w:val="24"/>
        </w:rPr>
        <w:t xml:space="preserve"> </w:t>
      </w:r>
      <w:r w:rsidRPr="00DF25C0">
        <w:rPr>
          <w:rFonts w:ascii="Palatino Linotype" w:hAnsi="Palatino Linotype"/>
          <w:sz w:val="24"/>
          <w:szCs w:val="24"/>
        </w:rPr>
        <w:t xml:space="preserve">maximum </w:t>
      </w:r>
      <w:r w:rsidR="003F3CBD">
        <w:rPr>
          <w:rFonts w:ascii="Palatino Linotype" w:hAnsi="Palatino Linotype"/>
          <w:sz w:val="24"/>
          <w:szCs w:val="24"/>
        </w:rPr>
        <w:t xml:space="preserve">customer </w:t>
      </w:r>
      <w:r w:rsidRPr="00DF25C0">
        <w:rPr>
          <w:rFonts w:ascii="Palatino Linotype" w:hAnsi="Palatino Linotype"/>
          <w:sz w:val="24"/>
          <w:szCs w:val="24"/>
        </w:rPr>
        <w:t xml:space="preserve">incentive threshold for the “Very Low” rigor </w:t>
      </w:r>
      <w:r w:rsidR="001575E9">
        <w:rPr>
          <w:rFonts w:ascii="Palatino Linotype" w:hAnsi="Palatino Linotype"/>
          <w:sz w:val="24"/>
          <w:szCs w:val="24"/>
        </w:rPr>
        <w:t xml:space="preserve">incentive </w:t>
      </w:r>
      <w:r w:rsidRPr="00DF25C0">
        <w:rPr>
          <w:rFonts w:ascii="Palatino Linotype" w:hAnsi="Palatino Linotype"/>
          <w:sz w:val="24"/>
          <w:szCs w:val="24"/>
        </w:rPr>
        <w:t>level in the range of $5,000-$10,000.</w:t>
      </w:r>
      <w:r w:rsidRPr="00DF25C0">
        <w:rPr>
          <w:rStyle w:val="FootnoteReference"/>
          <w:rFonts w:ascii="Palatino Linotype" w:hAnsi="Palatino Linotype"/>
          <w:sz w:val="24"/>
          <w:szCs w:val="24"/>
        </w:rPr>
        <w:footnoteReference w:id="15"/>
      </w:r>
      <w:r w:rsidRPr="00DF25C0">
        <w:rPr>
          <w:rFonts w:ascii="Palatino Linotype" w:hAnsi="Palatino Linotype"/>
          <w:sz w:val="24"/>
          <w:szCs w:val="24"/>
        </w:rPr>
        <w:t xml:space="preserve">  </w:t>
      </w:r>
    </w:p>
    <w:p w:rsidRPr="00DF25C0" w:rsidR="00E1497E" w:rsidP="0092332C" w:rsidRDefault="00021B7B" w14:paraId="359C22FB" w14:textId="28503357">
      <w:pPr>
        <w:pStyle w:val="standard"/>
        <w:rPr>
          <w:rFonts w:ascii="Palatino Linotype" w:hAnsi="Palatino Linotype"/>
          <w:sz w:val="24"/>
          <w:szCs w:val="24"/>
        </w:rPr>
      </w:pPr>
      <w:r>
        <w:rPr>
          <w:sz w:val="24"/>
          <w:szCs w:val="24"/>
        </w:rPr>
        <w:t>Finally, t</w:t>
      </w:r>
      <w:r w:rsidR="00E1497E">
        <w:rPr>
          <w:sz w:val="24"/>
          <w:szCs w:val="24"/>
        </w:rPr>
        <w:t>he T2WG Report also proposed a “</w:t>
      </w:r>
      <w:r w:rsidRPr="005864F8" w:rsidR="00E1497E">
        <w:rPr>
          <w:sz w:val="24"/>
          <w:szCs w:val="24"/>
        </w:rPr>
        <w:t xml:space="preserve">Full rigor” </w:t>
      </w:r>
      <w:r w:rsidR="00E1497E">
        <w:rPr>
          <w:sz w:val="24"/>
          <w:szCs w:val="24"/>
        </w:rPr>
        <w:t>preponderance of evidence requirements for accelerated replacements that</w:t>
      </w:r>
      <w:r w:rsidRPr="005864F8" w:rsidR="00E1497E">
        <w:rPr>
          <w:sz w:val="24"/>
          <w:szCs w:val="24"/>
        </w:rPr>
        <w:t xml:space="preserve"> is not </w:t>
      </w:r>
      <w:r w:rsidR="00E1497E">
        <w:rPr>
          <w:sz w:val="24"/>
          <w:szCs w:val="24"/>
        </w:rPr>
        <w:t>with</w:t>
      </w:r>
      <w:r w:rsidRPr="005864F8" w:rsidR="00E1497E">
        <w:rPr>
          <w:sz w:val="24"/>
          <w:szCs w:val="24"/>
        </w:rPr>
        <w:t>in the scope of the T2WG task</w:t>
      </w:r>
      <w:r w:rsidR="00E1497E">
        <w:rPr>
          <w:sz w:val="24"/>
          <w:szCs w:val="24"/>
        </w:rPr>
        <w:t xml:space="preserve"> per Resolution E-4818.</w:t>
      </w:r>
      <w:r w:rsidR="00E1497E">
        <w:rPr>
          <w:rStyle w:val="FootnoteReference"/>
          <w:sz w:val="24"/>
          <w:szCs w:val="24"/>
        </w:rPr>
        <w:footnoteReference w:id="16"/>
      </w:r>
      <w:r w:rsidR="00E1497E">
        <w:rPr>
          <w:sz w:val="24"/>
          <w:szCs w:val="24"/>
        </w:rPr>
        <w:t xml:space="preserve"> We will provide a preponderance of evidence requirements guidance for the Full Rigor customer incentive tier in a later section in this resolution.</w:t>
      </w:r>
    </w:p>
    <w:p w:rsidRPr="00DF25C0" w:rsidR="0092332C" w:rsidP="001A6AE1" w:rsidRDefault="0092332C" w14:paraId="454C5306" w14:textId="1B22F04C">
      <w:pPr>
        <w:pStyle w:val="Heading4"/>
        <w:keepLines w:val="0"/>
        <w:spacing w:before="120" w:after="120"/>
        <w:ind w:left="3150" w:right="720" w:hanging="1710"/>
        <w:rPr>
          <w:rFonts w:ascii="Palatino Linotype" w:hAnsi="Palatino Linotype" w:eastAsia="Times New Roman" w:cs="Times New Roman"/>
          <w:bCs w:val="0"/>
          <w:i w:val="0"/>
          <w:iCs w:val="0"/>
          <w:color w:val="auto"/>
          <w:sz w:val="24"/>
          <w:szCs w:val="24"/>
        </w:rPr>
      </w:pPr>
      <w:r w:rsidRPr="00DF25C0">
        <w:rPr>
          <w:rFonts w:ascii="Palatino Linotype" w:hAnsi="Palatino Linotype" w:eastAsia="Times New Roman" w:cs="Times New Roman"/>
          <w:bCs w:val="0"/>
          <w:i w:val="0"/>
          <w:iCs w:val="0"/>
          <w:color w:val="auto"/>
          <w:sz w:val="24"/>
          <w:szCs w:val="24"/>
        </w:rPr>
        <w:t>3.2</w:t>
      </w:r>
      <w:r w:rsidR="00EA30E6">
        <w:rPr>
          <w:rFonts w:ascii="Palatino Linotype" w:hAnsi="Palatino Linotype" w:eastAsia="Times New Roman" w:cs="Times New Roman"/>
          <w:bCs w:val="0"/>
          <w:i w:val="0"/>
          <w:iCs w:val="0"/>
          <w:color w:val="auto"/>
          <w:sz w:val="24"/>
          <w:szCs w:val="24"/>
        </w:rPr>
        <w:t>.</w:t>
      </w:r>
      <w:r w:rsidRPr="00DF25C0">
        <w:rPr>
          <w:rFonts w:ascii="Palatino Linotype" w:hAnsi="Palatino Linotype" w:eastAsia="Times New Roman" w:cs="Times New Roman"/>
          <w:bCs w:val="0"/>
          <w:i w:val="0"/>
          <w:iCs w:val="0"/>
          <w:color w:val="auto"/>
          <w:sz w:val="24"/>
          <w:szCs w:val="24"/>
        </w:rPr>
        <w:t xml:space="preserve">   Task 2-2, Evidence of Equipment Viability</w:t>
      </w:r>
    </w:p>
    <w:p w:rsidR="00D826EB" w:rsidP="00DB65C6" w:rsidRDefault="0092332C" w14:paraId="2642B2D2" w14:textId="7DF1AAAF">
      <w:pPr>
        <w:pStyle w:val="standard"/>
        <w:rPr>
          <w:rFonts w:ascii="Palatino Linotype" w:hAnsi="Palatino Linotype"/>
          <w:sz w:val="24"/>
          <w:szCs w:val="24"/>
        </w:rPr>
      </w:pPr>
      <w:r w:rsidRPr="00DF25C0">
        <w:rPr>
          <w:rFonts w:ascii="Palatino Linotype" w:hAnsi="Palatino Linotype"/>
          <w:sz w:val="24"/>
          <w:szCs w:val="24"/>
        </w:rPr>
        <w:t xml:space="preserve">The T2WG discussed the documentation requirements to demonstrate the viability of continued equipment operation. The T2WG defined equipment viability </w:t>
      </w:r>
      <w:r w:rsidRPr="00DF25C0" w:rsidR="00F47B4C">
        <w:rPr>
          <w:rFonts w:ascii="Palatino Linotype" w:hAnsi="Palatino Linotype"/>
          <w:sz w:val="24"/>
          <w:szCs w:val="24"/>
        </w:rPr>
        <w:t xml:space="preserve">by asking </w:t>
      </w:r>
      <w:r w:rsidRPr="00DF25C0">
        <w:rPr>
          <w:rFonts w:ascii="Palatino Linotype" w:hAnsi="Palatino Linotype"/>
          <w:sz w:val="24"/>
          <w:szCs w:val="24"/>
        </w:rPr>
        <w:t xml:space="preserve">“Can the existing equipment continue to operate to meet customer needs?” The T2WG </w:t>
      </w:r>
      <w:r w:rsidRPr="00DF25C0">
        <w:rPr>
          <w:rFonts w:ascii="Palatino Linotype" w:hAnsi="Palatino Linotype"/>
          <w:sz w:val="24"/>
          <w:szCs w:val="24"/>
        </w:rPr>
        <w:lastRenderedPageBreak/>
        <w:t xml:space="preserve">identified two classifications of evidence: physical evidence and self-report data collected by a questionnaire administered to the customer. </w:t>
      </w:r>
    </w:p>
    <w:p w:rsidRPr="00DF25C0" w:rsidR="009B7F04" w:rsidP="009B7F04" w:rsidRDefault="009B7F04" w14:paraId="3D00E072" w14:textId="29F0E1D1">
      <w:pPr>
        <w:pStyle w:val="standard"/>
        <w:rPr>
          <w:rFonts w:ascii="Palatino Linotype" w:hAnsi="Palatino Linotype"/>
          <w:sz w:val="24"/>
          <w:szCs w:val="24"/>
        </w:rPr>
      </w:pPr>
      <w:r w:rsidRPr="00DF25C0">
        <w:rPr>
          <w:rFonts w:ascii="Palatino Linotype" w:hAnsi="Palatino Linotype"/>
          <w:sz w:val="24"/>
          <w:szCs w:val="24"/>
        </w:rPr>
        <w:t xml:space="preserve">The </w:t>
      </w:r>
      <w:r w:rsidRPr="00DF25C0" w:rsidR="004A5C6F">
        <w:rPr>
          <w:rFonts w:ascii="Palatino Linotype" w:hAnsi="Palatino Linotype"/>
          <w:sz w:val="24"/>
          <w:szCs w:val="24"/>
        </w:rPr>
        <w:t>T2WG</w:t>
      </w:r>
      <w:r w:rsidR="004A5C6F">
        <w:rPr>
          <w:rFonts w:ascii="Palatino Linotype" w:hAnsi="Palatino Linotype"/>
          <w:sz w:val="24"/>
          <w:szCs w:val="24"/>
        </w:rPr>
        <w:t xml:space="preserve"> discussed the</w:t>
      </w:r>
      <w:r w:rsidRPr="00DF25C0" w:rsidR="004A5C6F">
        <w:rPr>
          <w:rFonts w:ascii="Palatino Linotype" w:hAnsi="Palatino Linotype"/>
          <w:sz w:val="24"/>
          <w:szCs w:val="24"/>
        </w:rPr>
        <w:t xml:space="preserve"> </w:t>
      </w:r>
      <w:r w:rsidRPr="00DF25C0">
        <w:rPr>
          <w:rFonts w:ascii="Palatino Linotype" w:hAnsi="Palatino Linotype"/>
          <w:sz w:val="24"/>
          <w:szCs w:val="24"/>
        </w:rPr>
        <w:t>following examples of</w:t>
      </w:r>
      <w:r>
        <w:rPr>
          <w:rFonts w:ascii="Palatino Linotype" w:hAnsi="Palatino Linotype"/>
          <w:sz w:val="24"/>
          <w:szCs w:val="24"/>
        </w:rPr>
        <w:t xml:space="preserve"> physical</w:t>
      </w:r>
      <w:r w:rsidRPr="00DF25C0">
        <w:rPr>
          <w:rFonts w:ascii="Palatino Linotype" w:hAnsi="Palatino Linotype"/>
          <w:sz w:val="24"/>
          <w:szCs w:val="24"/>
        </w:rPr>
        <w:t xml:space="preserve"> evidence for equipment viability: </w:t>
      </w:r>
    </w:p>
    <w:p w:rsidRPr="00DF25C0" w:rsidR="009B7F04" w:rsidP="009B7F04" w:rsidRDefault="009B7F04" w14:paraId="65AF3C5F" w14:textId="77777777">
      <w:pPr>
        <w:spacing w:after="120"/>
        <w:ind w:left="720"/>
        <w:rPr>
          <w:sz w:val="24"/>
          <w:szCs w:val="24"/>
        </w:rPr>
      </w:pPr>
      <w:r w:rsidRPr="00DF25C0">
        <w:rPr>
          <w:sz w:val="24"/>
          <w:szCs w:val="24"/>
        </w:rPr>
        <w:t xml:space="preserve">a) Photos and videos. </w:t>
      </w:r>
    </w:p>
    <w:p w:rsidRPr="00DF25C0" w:rsidR="009B7F04" w:rsidP="009B7F04" w:rsidRDefault="009B7F04" w14:paraId="0EABE2E1" w14:textId="77777777">
      <w:pPr>
        <w:spacing w:after="120"/>
        <w:ind w:left="720"/>
        <w:rPr>
          <w:sz w:val="24"/>
          <w:szCs w:val="24"/>
        </w:rPr>
      </w:pPr>
      <w:r w:rsidRPr="00DF25C0">
        <w:rPr>
          <w:sz w:val="24"/>
          <w:szCs w:val="24"/>
        </w:rPr>
        <w:t>b) Operating data.</w:t>
      </w:r>
    </w:p>
    <w:p w:rsidRPr="00DF25C0" w:rsidR="009B7F04" w:rsidP="009B7F04" w:rsidRDefault="009B7F04" w14:paraId="732B8776" w14:textId="77777777">
      <w:pPr>
        <w:spacing w:after="120"/>
        <w:ind w:left="720"/>
        <w:rPr>
          <w:sz w:val="24"/>
          <w:szCs w:val="24"/>
        </w:rPr>
      </w:pPr>
      <w:r w:rsidRPr="00DF25C0">
        <w:rPr>
          <w:sz w:val="24"/>
          <w:szCs w:val="24"/>
        </w:rPr>
        <w:t>c) Current and past maintenance and repairs history or records, as well as costs.</w:t>
      </w:r>
    </w:p>
    <w:p w:rsidRPr="00DF25C0" w:rsidR="009B7F04" w:rsidP="009B7F04" w:rsidRDefault="009B7F04" w14:paraId="67F89CC5" w14:textId="77777777">
      <w:pPr>
        <w:spacing w:after="120"/>
        <w:ind w:left="720"/>
        <w:rPr>
          <w:sz w:val="24"/>
          <w:szCs w:val="24"/>
        </w:rPr>
      </w:pPr>
      <w:r w:rsidRPr="00DF25C0">
        <w:rPr>
          <w:sz w:val="24"/>
          <w:szCs w:val="24"/>
        </w:rPr>
        <w:t>d) Reliability history and issues.</w:t>
      </w:r>
    </w:p>
    <w:p w:rsidRPr="00DF25C0" w:rsidR="009B7F04" w:rsidP="009B7F04" w:rsidRDefault="009B7F04" w14:paraId="47A328C7" w14:textId="77777777">
      <w:pPr>
        <w:spacing w:after="120"/>
        <w:ind w:left="720"/>
        <w:rPr>
          <w:sz w:val="24"/>
          <w:szCs w:val="24"/>
        </w:rPr>
      </w:pPr>
      <w:r w:rsidRPr="00DF25C0">
        <w:rPr>
          <w:sz w:val="24"/>
          <w:szCs w:val="24"/>
        </w:rPr>
        <w:t>e) Information on current plans or budgeting for expansions, remodels, replacements.</w:t>
      </w:r>
    </w:p>
    <w:p w:rsidRPr="00DF25C0" w:rsidR="00D826EB" w:rsidP="009B7F04" w:rsidRDefault="009B7F04" w14:paraId="21732E71" w14:textId="369B46F2">
      <w:pPr>
        <w:pStyle w:val="standard"/>
      </w:pPr>
      <w:r w:rsidRPr="00DF25C0">
        <w:rPr>
          <w:rFonts w:ascii="Palatino Linotype" w:hAnsi="Palatino Linotype"/>
          <w:sz w:val="24"/>
          <w:szCs w:val="24"/>
        </w:rPr>
        <w:t xml:space="preserve">The T2WG discussion on this topic weighed the need to balance rigorous screening against the value of information for different types or sizes of projects. T2WG participants also wanted to avoid making the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007B7B00">
        <w:rPr>
          <w:rFonts w:ascii="Palatino Linotype" w:hAnsi="Palatino Linotype"/>
          <w:sz w:val="24"/>
          <w:szCs w:val="24"/>
        </w:rPr>
        <w:t>requirements</w:t>
      </w:r>
      <w:r w:rsidRPr="00DF25C0" w:rsidR="007B7B00">
        <w:rPr>
          <w:rFonts w:ascii="Palatino Linotype" w:hAnsi="Palatino Linotype"/>
          <w:sz w:val="24"/>
          <w:szCs w:val="24"/>
        </w:rPr>
        <w:t xml:space="preserve"> </w:t>
      </w:r>
      <w:r w:rsidRPr="00DF25C0">
        <w:rPr>
          <w:rFonts w:ascii="Palatino Linotype" w:hAnsi="Palatino Linotype"/>
          <w:sz w:val="24"/>
          <w:szCs w:val="24"/>
        </w:rPr>
        <w:t>more complex. For example, collecting documentation of the types of evidence listed above, especially of information not normally collected by the customer or readily available, increases the transaction costs and customer burden. While important to ensure appropriate use of ratepayer funds, participants believe that the cost of evidence acquisition should not outweigh the potential value of the project or program.</w:t>
      </w:r>
    </w:p>
    <w:p w:rsidRPr="00DF25C0" w:rsidR="00BB12D0" w:rsidP="00021B7B" w:rsidRDefault="00583FC0" w14:paraId="401D6130" w14:textId="1B7E35CD">
      <w:pPr>
        <w:pStyle w:val="standard"/>
        <w:rPr>
          <w:rFonts w:ascii="Palatino Linotype" w:hAnsi="Palatino Linotype"/>
          <w:b/>
          <w:sz w:val="24"/>
          <w:szCs w:val="24"/>
        </w:rPr>
      </w:pPr>
      <w:r>
        <w:rPr>
          <w:rFonts w:ascii="Palatino Linotype" w:hAnsi="Palatino Linotype"/>
          <w:sz w:val="24"/>
          <w:szCs w:val="24"/>
        </w:rPr>
        <w:t xml:space="preserve">The </w:t>
      </w:r>
      <w:r w:rsidR="0015132F">
        <w:rPr>
          <w:rFonts w:ascii="Palatino Linotype" w:hAnsi="Palatino Linotype"/>
          <w:sz w:val="24"/>
          <w:szCs w:val="24"/>
        </w:rPr>
        <w:t xml:space="preserve">T2WG </w:t>
      </w:r>
      <w:r w:rsidRPr="00DF25C0" w:rsidR="0092332C">
        <w:rPr>
          <w:rFonts w:ascii="Palatino Linotype" w:hAnsi="Palatino Linotype"/>
          <w:sz w:val="24"/>
          <w:szCs w:val="24"/>
        </w:rPr>
        <w:t xml:space="preserve">proposed </w:t>
      </w:r>
      <w:r w:rsidR="0015132F">
        <w:rPr>
          <w:rFonts w:ascii="Palatino Linotype" w:hAnsi="Palatino Linotype"/>
          <w:sz w:val="24"/>
          <w:szCs w:val="24"/>
        </w:rPr>
        <w:t xml:space="preserve">a </w:t>
      </w:r>
      <w:r w:rsidR="00747BD5">
        <w:rPr>
          <w:rFonts w:ascii="Palatino Linotype" w:hAnsi="Palatino Linotype"/>
          <w:sz w:val="24"/>
          <w:szCs w:val="24"/>
        </w:rPr>
        <w:t xml:space="preserve">customer </w:t>
      </w:r>
      <w:r w:rsidR="009B7F04">
        <w:rPr>
          <w:rFonts w:ascii="Palatino Linotype" w:hAnsi="Palatino Linotype"/>
          <w:sz w:val="24"/>
          <w:szCs w:val="24"/>
        </w:rPr>
        <w:t xml:space="preserve">self-report </w:t>
      </w:r>
      <w:r w:rsidRPr="00DF25C0" w:rsidR="0092332C">
        <w:rPr>
          <w:rFonts w:ascii="Palatino Linotype" w:hAnsi="Palatino Linotype"/>
          <w:sz w:val="24"/>
          <w:szCs w:val="24"/>
        </w:rPr>
        <w:t xml:space="preserve">questionnaire </w:t>
      </w:r>
      <w:r w:rsidR="0011461A">
        <w:rPr>
          <w:rFonts w:ascii="Palatino Linotype" w:hAnsi="Palatino Linotype"/>
          <w:sz w:val="24"/>
          <w:szCs w:val="24"/>
        </w:rPr>
        <w:t xml:space="preserve">to </w:t>
      </w:r>
      <w:r w:rsidR="006513DB">
        <w:rPr>
          <w:rFonts w:ascii="Palatino Linotype" w:hAnsi="Palatino Linotype"/>
          <w:sz w:val="24"/>
          <w:szCs w:val="24"/>
        </w:rPr>
        <w:t>demonstrate</w:t>
      </w:r>
      <w:r w:rsidRPr="00DF25C0" w:rsidR="0092332C">
        <w:rPr>
          <w:rFonts w:ascii="Palatino Linotype" w:hAnsi="Palatino Linotype"/>
          <w:sz w:val="24"/>
          <w:szCs w:val="24"/>
        </w:rPr>
        <w:t xml:space="preserve"> equipment viability</w:t>
      </w:r>
      <w:r w:rsidR="00FF7B29">
        <w:rPr>
          <w:rFonts w:ascii="Palatino Linotype" w:hAnsi="Palatino Linotype"/>
          <w:sz w:val="24"/>
          <w:szCs w:val="24"/>
        </w:rPr>
        <w:t>.</w:t>
      </w:r>
      <w:r w:rsidR="0015132F">
        <w:rPr>
          <w:rFonts w:ascii="Palatino Linotype" w:hAnsi="Palatino Linotype"/>
          <w:sz w:val="24"/>
          <w:szCs w:val="24"/>
        </w:rPr>
        <w:t xml:space="preserve"> </w:t>
      </w:r>
      <w:r w:rsidR="004F3EC5">
        <w:rPr>
          <w:rFonts w:ascii="Palatino Linotype" w:hAnsi="Palatino Linotype"/>
          <w:sz w:val="24"/>
          <w:szCs w:val="24"/>
        </w:rPr>
        <w:t>The q</w:t>
      </w:r>
      <w:r w:rsidR="00C5169B">
        <w:rPr>
          <w:rFonts w:ascii="Palatino Linotype" w:hAnsi="Palatino Linotype"/>
          <w:sz w:val="24"/>
          <w:szCs w:val="24"/>
        </w:rPr>
        <w:t>uestions</w:t>
      </w:r>
      <w:r w:rsidR="00213331">
        <w:rPr>
          <w:rFonts w:ascii="Palatino Linotype" w:hAnsi="Palatino Linotype"/>
          <w:sz w:val="24"/>
          <w:szCs w:val="24"/>
        </w:rPr>
        <w:t xml:space="preserve"> </w:t>
      </w:r>
      <w:r w:rsidR="004F3EC5">
        <w:rPr>
          <w:rFonts w:ascii="Palatino Linotype" w:hAnsi="Palatino Linotype"/>
          <w:sz w:val="24"/>
          <w:szCs w:val="24"/>
        </w:rPr>
        <w:t xml:space="preserve">and </w:t>
      </w:r>
      <w:r w:rsidR="00B76AD4">
        <w:rPr>
          <w:rFonts w:ascii="Palatino Linotype" w:hAnsi="Palatino Linotype"/>
          <w:sz w:val="24"/>
          <w:szCs w:val="24"/>
        </w:rPr>
        <w:t xml:space="preserve">scoring </w:t>
      </w:r>
      <w:r w:rsidR="00E1497E">
        <w:rPr>
          <w:rFonts w:ascii="Palatino Linotype" w:hAnsi="Palatino Linotype"/>
          <w:sz w:val="24"/>
          <w:szCs w:val="24"/>
        </w:rPr>
        <w:t>are available in the T2WG Final Report.</w:t>
      </w:r>
      <w:r w:rsidRPr="00E1497E" w:rsidR="00E1497E">
        <w:rPr>
          <w:rStyle w:val="FootnoteReference"/>
          <w:rFonts w:ascii="Palatino Linotype" w:hAnsi="Palatino Linotype"/>
          <w:sz w:val="24"/>
          <w:szCs w:val="24"/>
        </w:rPr>
        <w:t xml:space="preserve"> </w:t>
      </w:r>
      <w:r w:rsidRPr="00DF25C0" w:rsidR="00E1497E">
        <w:rPr>
          <w:rStyle w:val="FootnoteReference"/>
          <w:rFonts w:ascii="Palatino Linotype" w:hAnsi="Palatino Linotype"/>
          <w:sz w:val="24"/>
          <w:szCs w:val="24"/>
        </w:rPr>
        <w:footnoteReference w:id="17"/>
      </w:r>
      <w:r w:rsidR="00E1497E">
        <w:rPr>
          <w:rFonts w:ascii="Palatino Linotype" w:hAnsi="Palatino Linotype"/>
          <w:sz w:val="24"/>
          <w:szCs w:val="24"/>
        </w:rPr>
        <w:t xml:space="preserve">  </w:t>
      </w:r>
      <w:r w:rsidRPr="00DF25C0" w:rsidR="00DB65C6">
        <w:rPr>
          <w:rFonts w:ascii="Palatino Linotype" w:hAnsi="Palatino Linotype"/>
          <w:sz w:val="24"/>
          <w:szCs w:val="24"/>
        </w:rPr>
        <w:t>The T2WG</w:t>
      </w:r>
      <w:r w:rsidRPr="00DF25C0" w:rsidR="0092332C">
        <w:rPr>
          <w:rFonts w:ascii="Palatino Linotype" w:hAnsi="Palatino Linotype"/>
          <w:sz w:val="24"/>
          <w:szCs w:val="24"/>
        </w:rPr>
        <w:t xml:space="preserve"> </w:t>
      </w:r>
      <w:r w:rsidRPr="00DF25C0" w:rsidR="00DB65C6">
        <w:rPr>
          <w:rFonts w:ascii="Palatino Linotype" w:hAnsi="Palatino Linotype"/>
          <w:sz w:val="24"/>
          <w:szCs w:val="24"/>
        </w:rPr>
        <w:t xml:space="preserve">Final Report </w:t>
      </w:r>
      <w:r w:rsidRPr="00DF25C0" w:rsidR="0092332C">
        <w:rPr>
          <w:rFonts w:ascii="Palatino Linotype" w:hAnsi="Palatino Linotype"/>
          <w:sz w:val="24"/>
          <w:szCs w:val="24"/>
        </w:rPr>
        <w:t>also includes a proposed pass/fail scoring mechanism</w:t>
      </w:r>
      <w:r w:rsidR="00747BD5">
        <w:rPr>
          <w:rFonts w:ascii="Palatino Linotype" w:hAnsi="Palatino Linotype"/>
          <w:sz w:val="24"/>
          <w:szCs w:val="24"/>
        </w:rPr>
        <w:t xml:space="preserve"> for the questionnaire</w:t>
      </w:r>
      <w:r w:rsidRPr="00DF25C0" w:rsidR="00C255CE">
        <w:rPr>
          <w:rFonts w:ascii="Palatino Linotype" w:hAnsi="Palatino Linotype"/>
          <w:sz w:val="24"/>
          <w:szCs w:val="24"/>
        </w:rPr>
        <w:t>.</w:t>
      </w:r>
      <w:bookmarkStart w:name="_Ref491148510" w:id="16"/>
      <w:bookmarkStart w:name="_Ref491148519" w:id="17"/>
      <w:bookmarkStart w:name="_Toc491619942" w:id="18"/>
      <w:bookmarkStart w:name="_Toc491625534" w:id="19"/>
      <w:bookmarkStart w:name="_Toc491643928" w:id="20"/>
      <w:bookmarkStart w:name="_Toc491692759" w:id="21"/>
      <w:bookmarkStart w:name="_Toc491698392" w:id="22"/>
      <w:bookmarkStart w:name="_Toc491709906" w:id="23"/>
      <w:bookmarkStart w:name="_Toc491709989" w:id="24"/>
      <w:bookmarkStart w:name="_Toc491710015" w:id="25"/>
      <w:bookmarkStart w:name="_Toc491714761" w:id="26"/>
      <w:bookmarkStart w:name="_Ref491730865" w:id="27"/>
      <w:bookmarkStart w:name="_Toc491816374" w:id="28"/>
      <w:bookmarkStart w:name="_Toc491857293" w:id="29"/>
      <w:bookmarkStart w:name="_Toc492558249" w:id="30"/>
      <w:bookmarkStart w:name="_Toc492559044" w:id="31"/>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Pr="00DF25C0" w:rsidR="0092332C" w:rsidP="001A6AE1" w:rsidRDefault="0092332C" w14:paraId="7909995A" w14:textId="04D5D0E5">
      <w:pPr>
        <w:pStyle w:val="Heading4"/>
        <w:keepLines w:val="0"/>
        <w:spacing w:before="120" w:after="120"/>
        <w:ind w:left="3150" w:right="720" w:hanging="1710"/>
        <w:rPr>
          <w:rFonts w:ascii="Palatino Linotype" w:hAnsi="Palatino Linotype" w:eastAsia="Times New Roman" w:cs="Times New Roman"/>
          <w:bCs w:val="0"/>
          <w:i w:val="0"/>
          <w:iCs w:val="0"/>
          <w:color w:val="auto"/>
          <w:sz w:val="24"/>
          <w:szCs w:val="24"/>
        </w:rPr>
      </w:pPr>
      <w:r w:rsidRPr="00DF25C0">
        <w:rPr>
          <w:rFonts w:ascii="Palatino Linotype" w:hAnsi="Palatino Linotype" w:eastAsia="Times New Roman" w:cs="Times New Roman"/>
          <w:bCs w:val="0"/>
          <w:i w:val="0"/>
          <w:iCs w:val="0"/>
          <w:color w:val="auto"/>
          <w:sz w:val="24"/>
          <w:szCs w:val="24"/>
        </w:rPr>
        <w:t>3.3</w:t>
      </w:r>
      <w:r w:rsidR="00EA30E6">
        <w:rPr>
          <w:rFonts w:ascii="Palatino Linotype" w:hAnsi="Palatino Linotype" w:eastAsia="Times New Roman" w:cs="Times New Roman"/>
          <w:bCs w:val="0"/>
          <w:i w:val="0"/>
          <w:iCs w:val="0"/>
          <w:color w:val="auto"/>
          <w:sz w:val="24"/>
          <w:szCs w:val="24"/>
        </w:rPr>
        <w:t>.</w:t>
      </w:r>
      <w:r w:rsidRPr="00DF25C0">
        <w:rPr>
          <w:rFonts w:ascii="Palatino Linotype" w:hAnsi="Palatino Linotype" w:eastAsia="Times New Roman" w:cs="Times New Roman"/>
          <w:bCs w:val="0"/>
          <w:i w:val="0"/>
          <w:iCs w:val="0"/>
          <w:color w:val="auto"/>
          <w:sz w:val="24"/>
          <w:szCs w:val="24"/>
        </w:rPr>
        <w:t xml:space="preserve">  </w:t>
      </w:r>
      <w:r w:rsidR="00927F77">
        <w:rPr>
          <w:rFonts w:ascii="Palatino Linotype" w:hAnsi="Palatino Linotype" w:eastAsia="Times New Roman" w:cs="Times New Roman"/>
          <w:bCs w:val="0"/>
          <w:i w:val="0"/>
          <w:iCs w:val="0"/>
          <w:color w:val="auto"/>
          <w:sz w:val="24"/>
          <w:szCs w:val="24"/>
        </w:rPr>
        <w:t>Task 2-3</w:t>
      </w:r>
      <w:r w:rsidRPr="00DF25C0">
        <w:rPr>
          <w:rFonts w:ascii="Palatino Linotype" w:hAnsi="Palatino Linotype" w:eastAsia="Times New Roman" w:cs="Times New Roman"/>
          <w:bCs w:val="0"/>
          <w:i w:val="0"/>
          <w:iCs w:val="0"/>
          <w:color w:val="auto"/>
          <w:sz w:val="24"/>
          <w:szCs w:val="24"/>
        </w:rPr>
        <w:t xml:space="preserve"> Evidence of Program Influence</w:t>
      </w:r>
    </w:p>
    <w:p w:rsidR="008E6AED" w:rsidP="001A6AE1" w:rsidRDefault="0092332C" w14:paraId="7E3904FA" w14:textId="53E2AFDF">
      <w:pPr>
        <w:pStyle w:val="standard"/>
        <w:rPr>
          <w:rFonts w:ascii="Palatino Linotype" w:hAnsi="Palatino Linotype"/>
          <w:sz w:val="24"/>
          <w:szCs w:val="24"/>
        </w:rPr>
      </w:pPr>
      <w:r w:rsidRPr="00DF25C0">
        <w:rPr>
          <w:rFonts w:ascii="Palatino Linotype" w:hAnsi="Palatino Linotype"/>
          <w:sz w:val="24"/>
          <w:szCs w:val="24"/>
        </w:rPr>
        <w:t xml:space="preserve">The T2WG discussed the documentation requirements to assess the energy efficiency program’s influence in accelerating the replacement of existing </w:t>
      </w:r>
      <w:r w:rsidR="00322005">
        <w:rPr>
          <w:rFonts w:ascii="Palatino Linotype" w:hAnsi="Palatino Linotype"/>
          <w:sz w:val="24"/>
          <w:szCs w:val="24"/>
        </w:rPr>
        <w:t>still function</w:t>
      </w:r>
      <w:r w:rsidR="005377A5">
        <w:rPr>
          <w:rFonts w:ascii="Palatino Linotype" w:hAnsi="Palatino Linotype"/>
          <w:sz w:val="24"/>
          <w:szCs w:val="24"/>
        </w:rPr>
        <w:t>in</w:t>
      </w:r>
      <w:r w:rsidR="00322005">
        <w:rPr>
          <w:rFonts w:ascii="Palatino Linotype" w:hAnsi="Palatino Linotype"/>
          <w:sz w:val="24"/>
          <w:szCs w:val="24"/>
        </w:rPr>
        <w:t xml:space="preserve">g </w:t>
      </w:r>
      <w:r w:rsidRPr="00DF25C0">
        <w:rPr>
          <w:rFonts w:ascii="Palatino Linotype" w:hAnsi="Palatino Linotype"/>
          <w:sz w:val="24"/>
          <w:szCs w:val="24"/>
        </w:rPr>
        <w:lastRenderedPageBreak/>
        <w:t xml:space="preserve">equipment. CPUC staff described this component of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Pr="00DF25C0">
        <w:rPr>
          <w:rFonts w:ascii="Palatino Linotype" w:hAnsi="Palatino Linotype"/>
          <w:sz w:val="24"/>
          <w:szCs w:val="24"/>
        </w:rPr>
        <w:t>as asking: “Would the customer continue to operate the existing equipment?”</w:t>
      </w:r>
      <w:r w:rsidRPr="00DF25C0">
        <w:rPr>
          <w:rStyle w:val="FootnoteReference"/>
          <w:rFonts w:ascii="Palatino Linotype" w:hAnsi="Palatino Linotype"/>
          <w:sz w:val="24"/>
          <w:szCs w:val="24"/>
        </w:rPr>
        <w:footnoteReference w:id="18"/>
      </w:r>
      <w:r w:rsidRPr="00DF25C0">
        <w:rPr>
          <w:rFonts w:ascii="Palatino Linotype" w:hAnsi="Palatino Linotype"/>
          <w:sz w:val="24"/>
          <w:szCs w:val="24"/>
        </w:rPr>
        <w:t xml:space="preserve"> In other words, would the customer </w:t>
      </w:r>
      <w:r w:rsidR="00036320">
        <w:rPr>
          <w:rFonts w:ascii="Palatino Linotype" w:hAnsi="Palatino Linotype"/>
          <w:sz w:val="24"/>
          <w:szCs w:val="24"/>
        </w:rPr>
        <w:t>upgrade</w:t>
      </w:r>
      <w:r w:rsidRPr="00DF25C0">
        <w:rPr>
          <w:rFonts w:ascii="Palatino Linotype" w:hAnsi="Palatino Linotype"/>
          <w:sz w:val="24"/>
          <w:szCs w:val="24"/>
        </w:rPr>
        <w:t xml:space="preserve"> the existing equipment</w:t>
      </w:r>
      <w:r w:rsidR="00036320">
        <w:rPr>
          <w:rFonts w:ascii="Palatino Linotype" w:hAnsi="Palatino Linotype"/>
          <w:sz w:val="24"/>
          <w:szCs w:val="24"/>
        </w:rPr>
        <w:t xml:space="preserve"> to a more energy efficient equipment</w:t>
      </w:r>
      <w:r w:rsidRPr="00DF25C0">
        <w:rPr>
          <w:rFonts w:ascii="Palatino Linotype" w:hAnsi="Palatino Linotype"/>
          <w:sz w:val="24"/>
          <w:szCs w:val="24"/>
        </w:rPr>
        <w:t xml:space="preserve"> without the technical, financial, or other influence of the program?</w:t>
      </w:r>
      <w:r w:rsidRPr="00DF25C0" w:rsidR="001C4558">
        <w:rPr>
          <w:rFonts w:ascii="Palatino Linotype" w:hAnsi="Palatino Linotype"/>
          <w:sz w:val="24"/>
          <w:szCs w:val="24"/>
        </w:rPr>
        <w:t xml:space="preserve"> </w:t>
      </w:r>
      <w:r w:rsidRPr="00DF25C0">
        <w:rPr>
          <w:rFonts w:ascii="Palatino Linotype" w:hAnsi="Palatino Linotype"/>
          <w:sz w:val="24"/>
          <w:szCs w:val="24"/>
        </w:rPr>
        <w:t xml:space="preserve"> The T2WG struggled with the discussion of program influence.  The T2WG did agree on the need for a streamlined approach to assessing program influence (especially for small projects).</w:t>
      </w:r>
      <w:r w:rsidR="008E6AED">
        <w:rPr>
          <w:rFonts w:ascii="Palatino Linotype" w:hAnsi="Palatino Linotype"/>
          <w:sz w:val="24"/>
          <w:szCs w:val="24"/>
        </w:rPr>
        <w:t xml:space="preserve"> </w:t>
      </w:r>
      <w:r w:rsidR="007B7A3B">
        <w:rPr>
          <w:rFonts w:ascii="Palatino Linotype" w:hAnsi="Palatino Linotype"/>
          <w:sz w:val="24"/>
          <w:szCs w:val="24"/>
        </w:rPr>
        <w:t>The</w:t>
      </w:r>
      <w:r w:rsidRPr="00DF25C0" w:rsidR="008E6AED">
        <w:rPr>
          <w:rFonts w:ascii="Palatino Linotype" w:hAnsi="Palatino Linotype"/>
          <w:sz w:val="24"/>
          <w:szCs w:val="24"/>
        </w:rPr>
        <w:t xml:space="preserve"> </w:t>
      </w:r>
      <w:r w:rsidR="006D773D">
        <w:rPr>
          <w:rFonts w:ascii="Palatino Linotype" w:hAnsi="Palatino Linotype"/>
          <w:sz w:val="24"/>
          <w:szCs w:val="24"/>
        </w:rPr>
        <w:t xml:space="preserve">T2WG </w:t>
      </w:r>
      <w:r w:rsidRPr="00DF25C0" w:rsidR="008E6AED">
        <w:rPr>
          <w:rFonts w:ascii="Palatino Linotype" w:hAnsi="Palatino Linotype"/>
          <w:sz w:val="24"/>
          <w:szCs w:val="24"/>
        </w:rPr>
        <w:t>proposed</w:t>
      </w:r>
      <w:r w:rsidR="007B7A3B">
        <w:rPr>
          <w:rFonts w:ascii="Palatino Linotype" w:hAnsi="Palatino Linotype"/>
          <w:sz w:val="24"/>
          <w:szCs w:val="24"/>
        </w:rPr>
        <w:t xml:space="preserve"> </w:t>
      </w:r>
      <w:r w:rsidR="00273443">
        <w:rPr>
          <w:rFonts w:ascii="Palatino Linotype" w:hAnsi="Palatino Linotype"/>
          <w:sz w:val="24"/>
          <w:szCs w:val="24"/>
        </w:rPr>
        <w:t xml:space="preserve">self-report </w:t>
      </w:r>
      <w:r w:rsidRPr="00DF25C0" w:rsidR="008E6AED">
        <w:rPr>
          <w:rFonts w:ascii="Palatino Linotype" w:hAnsi="Palatino Linotype"/>
          <w:sz w:val="24"/>
          <w:szCs w:val="24"/>
        </w:rPr>
        <w:t xml:space="preserve">questionnaire for program influence assessments by </w:t>
      </w:r>
      <w:r w:rsidR="00025C1C">
        <w:rPr>
          <w:rFonts w:ascii="Palatino Linotype" w:hAnsi="Palatino Linotype"/>
          <w:sz w:val="24"/>
          <w:szCs w:val="24"/>
        </w:rPr>
        <w:t xml:space="preserve">customer incentive level </w:t>
      </w:r>
      <w:r w:rsidR="0066375C">
        <w:rPr>
          <w:rFonts w:ascii="Palatino Linotype" w:hAnsi="Palatino Linotype"/>
          <w:sz w:val="24"/>
          <w:szCs w:val="24"/>
        </w:rPr>
        <w:t>t</w:t>
      </w:r>
      <w:r w:rsidRPr="00DF25C0" w:rsidR="008E6AED">
        <w:rPr>
          <w:rFonts w:ascii="Palatino Linotype" w:hAnsi="Palatino Linotype"/>
          <w:sz w:val="24"/>
          <w:szCs w:val="24"/>
        </w:rPr>
        <w:t xml:space="preserve">ier </w:t>
      </w:r>
      <w:r w:rsidR="00AF03AF">
        <w:rPr>
          <w:rFonts w:ascii="Palatino Linotype" w:hAnsi="Palatino Linotype"/>
          <w:sz w:val="24"/>
          <w:szCs w:val="24"/>
        </w:rPr>
        <w:t>referred to as Q4-Q6 of the questionnaire</w:t>
      </w:r>
      <w:r w:rsidR="001A6AE1">
        <w:rPr>
          <w:rFonts w:ascii="Palatino Linotype" w:hAnsi="Palatino Linotype"/>
          <w:sz w:val="24"/>
          <w:szCs w:val="24"/>
        </w:rPr>
        <w:t>.</w:t>
      </w:r>
      <w:r w:rsidRPr="00DF25C0" w:rsidR="00E338CC">
        <w:rPr>
          <w:rStyle w:val="FootnoteReference"/>
          <w:rFonts w:ascii="Palatino Linotype" w:hAnsi="Palatino Linotype"/>
          <w:sz w:val="24"/>
          <w:szCs w:val="24"/>
        </w:rPr>
        <w:footnoteReference w:id="19"/>
      </w:r>
      <w:r w:rsidR="00AF03AF">
        <w:rPr>
          <w:rFonts w:ascii="Palatino Linotype" w:hAnsi="Palatino Linotype"/>
          <w:sz w:val="24"/>
          <w:szCs w:val="24"/>
        </w:rPr>
        <w:t xml:space="preserve"> </w:t>
      </w:r>
    </w:p>
    <w:p w:rsidR="007C7C02" w:rsidP="001A6AE1" w:rsidRDefault="007C7C02" w14:paraId="1A495DD9" w14:textId="77777777">
      <w:pPr>
        <w:pStyle w:val="standard"/>
        <w:rPr>
          <w:rFonts w:ascii="Palatino Linotype" w:hAnsi="Palatino Linotype"/>
          <w:sz w:val="24"/>
          <w:szCs w:val="24"/>
        </w:rPr>
      </w:pPr>
    </w:p>
    <w:p w:rsidRPr="00DF25C0" w:rsidR="0092332C" w:rsidP="001A6AE1" w:rsidRDefault="0092332C" w14:paraId="24675C53" w14:textId="403EB22A">
      <w:pPr>
        <w:pStyle w:val="Heading4"/>
        <w:keepLines w:val="0"/>
        <w:spacing w:before="120" w:after="120"/>
        <w:ind w:left="3150" w:right="720" w:hanging="1710"/>
        <w:rPr>
          <w:rFonts w:ascii="Palatino Linotype" w:hAnsi="Palatino Linotype" w:eastAsia="Times New Roman" w:cs="Times New Roman"/>
          <w:bCs w:val="0"/>
          <w:i w:val="0"/>
          <w:iCs w:val="0"/>
          <w:color w:val="auto"/>
          <w:sz w:val="24"/>
          <w:szCs w:val="24"/>
        </w:rPr>
      </w:pPr>
      <w:r w:rsidRPr="00DF25C0">
        <w:rPr>
          <w:rFonts w:ascii="Palatino Linotype" w:hAnsi="Palatino Linotype" w:eastAsia="Times New Roman" w:cs="Times New Roman"/>
          <w:bCs w:val="0"/>
          <w:i w:val="0"/>
          <w:iCs w:val="0"/>
          <w:color w:val="auto"/>
          <w:sz w:val="24"/>
          <w:szCs w:val="24"/>
        </w:rPr>
        <w:t>3.4</w:t>
      </w:r>
      <w:r w:rsidR="00EA30E6">
        <w:rPr>
          <w:rFonts w:ascii="Palatino Linotype" w:hAnsi="Palatino Linotype" w:eastAsia="Times New Roman" w:cs="Times New Roman"/>
          <w:bCs w:val="0"/>
          <w:i w:val="0"/>
          <w:iCs w:val="0"/>
          <w:color w:val="auto"/>
          <w:sz w:val="24"/>
          <w:szCs w:val="24"/>
        </w:rPr>
        <w:t>.</w:t>
      </w:r>
      <w:r w:rsidRPr="00DF25C0">
        <w:rPr>
          <w:rFonts w:ascii="Palatino Linotype" w:hAnsi="Palatino Linotype" w:eastAsia="Times New Roman" w:cs="Times New Roman"/>
          <w:bCs w:val="0"/>
          <w:i w:val="0"/>
          <w:iCs w:val="0"/>
          <w:color w:val="auto"/>
          <w:sz w:val="24"/>
          <w:szCs w:val="24"/>
        </w:rPr>
        <w:t xml:space="preserve">   </w:t>
      </w:r>
      <w:r w:rsidR="00510DAD">
        <w:rPr>
          <w:rFonts w:ascii="Palatino Linotype" w:hAnsi="Palatino Linotype" w:eastAsia="Times New Roman" w:cs="Times New Roman"/>
          <w:bCs w:val="0"/>
          <w:i w:val="0"/>
          <w:iCs w:val="0"/>
          <w:color w:val="auto"/>
          <w:sz w:val="24"/>
          <w:szCs w:val="24"/>
        </w:rPr>
        <w:t xml:space="preserve">Task 2-4 </w:t>
      </w:r>
      <w:r w:rsidRPr="00DF25C0">
        <w:rPr>
          <w:rFonts w:ascii="Palatino Linotype" w:hAnsi="Palatino Linotype" w:eastAsia="Times New Roman" w:cs="Times New Roman"/>
          <w:bCs w:val="0"/>
          <w:i w:val="0"/>
          <w:iCs w:val="0"/>
          <w:color w:val="auto"/>
          <w:sz w:val="24"/>
          <w:szCs w:val="24"/>
        </w:rPr>
        <w:t>Questionnaire Development and Administration</w:t>
      </w:r>
    </w:p>
    <w:p w:rsidRPr="00DF25C0" w:rsidR="00B1320A" w:rsidP="00BE5511" w:rsidRDefault="00BE5511" w14:paraId="5976C0F0" w14:textId="459C7482">
      <w:pPr>
        <w:pStyle w:val="standard"/>
        <w:rPr>
          <w:rFonts w:ascii="Palatino Linotype" w:hAnsi="Palatino Linotype"/>
          <w:sz w:val="24"/>
          <w:szCs w:val="24"/>
        </w:rPr>
      </w:pPr>
      <w:r w:rsidRPr="00DF25C0">
        <w:rPr>
          <w:rFonts w:ascii="Palatino Linotype" w:hAnsi="Palatino Linotype"/>
          <w:sz w:val="24"/>
          <w:szCs w:val="24"/>
        </w:rPr>
        <w:t xml:space="preserve">The </w:t>
      </w:r>
      <w:r w:rsidRPr="00DF25C0" w:rsidR="0092332C">
        <w:rPr>
          <w:rFonts w:ascii="Palatino Linotype" w:hAnsi="Palatino Linotype"/>
          <w:sz w:val="24"/>
          <w:szCs w:val="24"/>
        </w:rPr>
        <w:t>T2WG participants differed in their perspectives on whether the questionnaire assessing equipment viability and program influence</w:t>
      </w:r>
      <w:r w:rsidR="002750BF">
        <w:rPr>
          <w:rFonts w:ascii="Palatino Linotype" w:hAnsi="Palatino Linotype"/>
          <w:sz w:val="24"/>
          <w:szCs w:val="24"/>
        </w:rPr>
        <w:t xml:space="preserve"> </w:t>
      </w:r>
      <w:r w:rsidRPr="00DF25C0" w:rsidR="0092332C">
        <w:rPr>
          <w:rFonts w:ascii="Palatino Linotype" w:hAnsi="Palatino Linotype"/>
          <w:sz w:val="24"/>
          <w:szCs w:val="24"/>
        </w:rPr>
        <w:t xml:space="preserve">should be general or </w:t>
      </w:r>
      <w:proofErr w:type="gramStart"/>
      <w:r w:rsidRPr="00DF25C0" w:rsidR="0092332C">
        <w:rPr>
          <w:rFonts w:ascii="Palatino Linotype" w:hAnsi="Palatino Linotype"/>
          <w:sz w:val="24"/>
          <w:szCs w:val="24"/>
        </w:rPr>
        <w:t>program</w:t>
      </w:r>
      <w:r w:rsidR="007B7A3B">
        <w:rPr>
          <w:rFonts w:ascii="Palatino Linotype" w:hAnsi="Palatino Linotype"/>
          <w:sz w:val="24"/>
          <w:szCs w:val="24"/>
        </w:rPr>
        <w:t>-</w:t>
      </w:r>
      <w:r w:rsidRPr="00DF25C0" w:rsidR="0092332C">
        <w:rPr>
          <w:rFonts w:ascii="Palatino Linotype" w:hAnsi="Palatino Linotype"/>
          <w:sz w:val="24"/>
          <w:szCs w:val="24"/>
        </w:rPr>
        <w:t>specific</w:t>
      </w:r>
      <w:proofErr w:type="gramEnd"/>
      <w:r w:rsidRPr="00DF25C0" w:rsidR="0092332C">
        <w:rPr>
          <w:rFonts w:ascii="Palatino Linotype" w:hAnsi="Palatino Linotype"/>
          <w:sz w:val="24"/>
          <w:szCs w:val="24"/>
        </w:rPr>
        <w:t xml:space="preserve">. </w:t>
      </w:r>
      <w:r w:rsidR="002750BF">
        <w:rPr>
          <w:rFonts w:ascii="Palatino Linotype" w:hAnsi="Palatino Linotype"/>
          <w:sz w:val="24"/>
          <w:szCs w:val="24"/>
        </w:rPr>
        <w:t xml:space="preserve"> The </w:t>
      </w:r>
      <w:r w:rsidRPr="00DF25C0" w:rsidR="0092332C">
        <w:rPr>
          <w:rFonts w:ascii="Palatino Linotype" w:hAnsi="Palatino Linotype"/>
          <w:sz w:val="24"/>
          <w:szCs w:val="24"/>
        </w:rPr>
        <w:t xml:space="preserve">T2WG </w:t>
      </w:r>
      <w:r w:rsidRPr="00DF25C0" w:rsidR="00B1320A">
        <w:rPr>
          <w:rFonts w:ascii="Palatino Linotype" w:hAnsi="Palatino Linotype"/>
          <w:sz w:val="24"/>
          <w:szCs w:val="24"/>
        </w:rPr>
        <w:t xml:space="preserve">Final </w:t>
      </w:r>
      <w:r w:rsidRPr="00DF25C0" w:rsidR="002750BF">
        <w:rPr>
          <w:rFonts w:ascii="Palatino Linotype" w:hAnsi="Palatino Linotype"/>
          <w:sz w:val="24"/>
          <w:szCs w:val="24"/>
        </w:rPr>
        <w:t xml:space="preserve">Report Table 5 </w:t>
      </w:r>
      <w:r w:rsidRPr="00DF25C0" w:rsidR="0092332C">
        <w:rPr>
          <w:rFonts w:ascii="Palatino Linotype" w:hAnsi="Palatino Linotype"/>
          <w:sz w:val="24"/>
          <w:szCs w:val="24"/>
        </w:rPr>
        <w:t>contains a generalized, statewide questionnaire proposed for all projects with incentives less than $100,000.</w:t>
      </w:r>
      <w:r w:rsidRPr="00DF25C0" w:rsidR="001A6AE1">
        <w:rPr>
          <w:rStyle w:val="FootnoteReference"/>
          <w:rFonts w:ascii="Palatino Linotype" w:hAnsi="Palatino Linotype"/>
          <w:sz w:val="24"/>
          <w:szCs w:val="24"/>
        </w:rPr>
        <w:footnoteReference w:id="20"/>
      </w:r>
      <w:r w:rsidRPr="00DF25C0" w:rsidR="001A6AE1">
        <w:rPr>
          <w:rFonts w:ascii="Palatino Linotype" w:hAnsi="Palatino Linotype"/>
          <w:sz w:val="24"/>
          <w:szCs w:val="24"/>
        </w:rPr>
        <w:t xml:space="preserve"> </w:t>
      </w:r>
      <w:r w:rsidRPr="00DF25C0" w:rsidR="0092332C">
        <w:rPr>
          <w:rFonts w:ascii="Palatino Linotype" w:hAnsi="Palatino Linotype"/>
          <w:sz w:val="24"/>
          <w:szCs w:val="24"/>
        </w:rPr>
        <w:t xml:space="preserve"> </w:t>
      </w:r>
    </w:p>
    <w:p w:rsidRPr="00DF25C0" w:rsidR="0092332C" w:rsidP="0092332C" w:rsidRDefault="0092332C" w14:paraId="3ADEA1C2" w14:textId="046E2A91">
      <w:pPr>
        <w:pStyle w:val="standard"/>
        <w:rPr>
          <w:rFonts w:ascii="Palatino Linotype" w:hAnsi="Palatino Linotype"/>
          <w:sz w:val="24"/>
          <w:szCs w:val="24"/>
        </w:rPr>
      </w:pPr>
      <w:r w:rsidRPr="00DF25C0">
        <w:rPr>
          <w:rFonts w:ascii="Palatino Linotype" w:hAnsi="Palatino Linotype"/>
          <w:sz w:val="24"/>
          <w:szCs w:val="24"/>
        </w:rPr>
        <w:t xml:space="preserve">The T2WG discussed which party would administer a survey, questionnaire, or interview to collect information, balancing </w:t>
      </w:r>
      <w:proofErr w:type="gramStart"/>
      <w:r w:rsidRPr="00DF25C0">
        <w:rPr>
          <w:rFonts w:ascii="Palatino Linotype" w:hAnsi="Palatino Linotype"/>
          <w:sz w:val="24"/>
          <w:szCs w:val="24"/>
        </w:rPr>
        <w:t>cost</w:t>
      </w:r>
      <w:proofErr w:type="gramEnd"/>
      <w:r w:rsidRPr="00DF25C0">
        <w:rPr>
          <w:rFonts w:ascii="Palatino Linotype" w:hAnsi="Palatino Linotype"/>
          <w:sz w:val="24"/>
          <w:szCs w:val="24"/>
        </w:rPr>
        <w:t xml:space="preserve"> and complexity of administration with the potential impacts of bias and financial conflicts of interest.  Some participants suggested that the program implementer or the IOU account representative would collect the required information.  One T2WG participant suggested</w:t>
      </w:r>
      <w:r w:rsidR="007C7C02">
        <w:rPr>
          <w:rFonts w:ascii="Palatino Linotype" w:hAnsi="Palatino Linotype"/>
          <w:sz w:val="24"/>
          <w:szCs w:val="24"/>
        </w:rPr>
        <w:t xml:space="preserve"> </w:t>
      </w:r>
      <w:r w:rsidRPr="00DF25C0">
        <w:rPr>
          <w:rFonts w:ascii="Palatino Linotype" w:hAnsi="Palatino Linotype"/>
          <w:sz w:val="24"/>
          <w:szCs w:val="24"/>
        </w:rPr>
        <w:t>that any questionnaire developed by the T2WG should be considered advisory and subject to testing and validation.</w:t>
      </w:r>
      <w:r w:rsidRPr="00DF25C0" w:rsidR="007C7C02">
        <w:rPr>
          <w:rStyle w:val="FootnoteReference"/>
          <w:rFonts w:ascii="Palatino Linotype" w:hAnsi="Palatino Linotype"/>
          <w:sz w:val="24"/>
          <w:szCs w:val="24"/>
        </w:rPr>
        <w:footnoteReference w:id="21"/>
      </w:r>
      <w:r w:rsidRPr="00DF25C0" w:rsidR="007C7C02">
        <w:rPr>
          <w:rFonts w:ascii="Palatino Linotype" w:hAnsi="Palatino Linotype"/>
          <w:sz w:val="24"/>
          <w:szCs w:val="24"/>
        </w:rPr>
        <w:t xml:space="preserve"> </w:t>
      </w:r>
      <w:r w:rsidRPr="00DF25C0">
        <w:rPr>
          <w:rFonts w:ascii="Palatino Linotype" w:hAnsi="Palatino Linotype"/>
          <w:sz w:val="24"/>
          <w:szCs w:val="24"/>
        </w:rPr>
        <w:t xml:space="preserve"> This participant further suggested that the T2WG identify the guiding principles to be considered in developing a questionnaire and that the formal questionnaire be developed </w:t>
      </w:r>
      <w:r w:rsidRPr="00DF25C0">
        <w:rPr>
          <w:rFonts w:ascii="Palatino Linotype" w:hAnsi="Palatino Linotype"/>
          <w:sz w:val="24"/>
          <w:szCs w:val="24"/>
        </w:rPr>
        <w:lastRenderedPageBreak/>
        <w:t>by an independent CPUC contractor.  CPUC Staff suggested that it is necessary to develop the range of possible types of evidence that should or could be looked for</w:t>
      </w:r>
      <w:r w:rsidRPr="00DF25C0" w:rsidR="004A25FC">
        <w:rPr>
          <w:rFonts w:ascii="Palatino Linotype" w:hAnsi="Palatino Linotype"/>
          <w:sz w:val="24"/>
          <w:szCs w:val="24"/>
        </w:rPr>
        <w:t>,</w:t>
      </w:r>
      <w:r w:rsidRPr="00DF25C0">
        <w:rPr>
          <w:rFonts w:ascii="Palatino Linotype" w:hAnsi="Palatino Linotype"/>
          <w:sz w:val="24"/>
          <w:szCs w:val="24"/>
        </w:rPr>
        <w:t xml:space="preserve"> then engage an expert team with in-depth experience in designing and implementing survey and interview instruments to produce the required instruments.</w:t>
      </w:r>
      <w:r w:rsidRPr="00DF25C0" w:rsidR="007C7C02">
        <w:rPr>
          <w:rStyle w:val="FootnoteReference"/>
          <w:rFonts w:ascii="Palatino Linotype" w:hAnsi="Palatino Linotype"/>
          <w:sz w:val="24"/>
          <w:szCs w:val="24"/>
        </w:rPr>
        <w:footnoteReference w:id="22"/>
      </w:r>
      <w:r w:rsidRPr="00DF25C0">
        <w:rPr>
          <w:rFonts w:ascii="Palatino Linotype" w:hAnsi="Palatino Linotype"/>
          <w:sz w:val="24"/>
          <w:szCs w:val="24"/>
        </w:rPr>
        <w:t xml:space="preserve">  </w:t>
      </w:r>
    </w:p>
    <w:p w:rsidRPr="00DF25C0" w:rsidR="0092332C" w:rsidP="00C97410" w:rsidRDefault="0092332C" w14:paraId="09F0565D" w14:textId="0640F6C7">
      <w:pPr>
        <w:pStyle w:val="Heading4"/>
        <w:keepLines w:val="0"/>
        <w:spacing w:before="120" w:after="120"/>
        <w:ind w:left="3150" w:right="720" w:hanging="1710"/>
        <w:rPr>
          <w:rFonts w:ascii="Palatino Linotype" w:hAnsi="Palatino Linotype" w:eastAsia="Times New Roman" w:cs="Times New Roman"/>
          <w:bCs w:val="0"/>
          <w:i w:val="0"/>
          <w:iCs w:val="0"/>
          <w:color w:val="auto"/>
          <w:sz w:val="24"/>
          <w:szCs w:val="24"/>
        </w:rPr>
      </w:pPr>
      <w:r w:rsidRPr="00DF25C0">
        <w:rPr>
          <w:rFonts w:ascii="Palatino Linotype" w:hAnsi="Palatino Linotype" w:eastAsia="Times New Roman" w:cs="Times New Roman"/>
          <w:bCs w:val="0"/>
          <w:i w:val="0"/>
          <w:iCs w:val="0"/>
          <w:color w:val="auto"/>
          <w:sz w:val="24"/>
          <w:szCs w:val="24"/>
        </w:rPr>
        <w:t>3.5</w:t>
      </w:r>
      <w:r w:rsidR="00EA30E6">
        <w:rPr>
          <w:rFonts w:ascii="Palatino Linotype" w:hAnsi="Palatino Linotype" w:eastAsia="Times New Roman" w:cs="Times New Roman"/>
          <w:bCs w:val="0"/>
          <w:i w:val="0"/>
          <w:iCs w:val="0"/>
          <w:color w:val="auto"/>
          <w:sz w:val="24"/>
          <w:szCs w:val="24"/>
        </w:rPr>
        <w:t>.</w:t>
      </w:r>
      <w:r w:rsidRPr="00DF25C0">
        <w:rPr>
          <w:rFonts w:ascii="Palatino Linotype" w:hAnsi="Palatino Linotype" w:eastAsia="Times New Roman" w:cs="Times New Roman"/>
          <w:bCs w:val="0"/>
          <w:i w:val="0"/>
          <w:iCs w:val="0"/>
          <w:color w:val="auto"/>
          <w:sz w:val="24"/>
          <w:szCs w:val="24"/>
        </w:rPr>
        <w:t xml:space="preserve">  </w:t>
      </w:r>
      <w:r w:rsidR="002013C9">
        <w:rPr>
          <w:rFonts w:ascii="Palatino Linotype" w:hAnsi="Palatino Linotype" w:eastAsia="Times New Roman" w:cs="Times New Roman"/>
          <w:bCs w:val="0"/>
          <w:i w:val="0"/>
          <w:iCs w:val="0"/>
          <w:color w:val="auto"/>
          <w:sz w:val="24"/>
          <w:szCs w:val="24"/>
        </w:rPr>
        <w:t xml:space="preserve">Task 2-5 </w:t>
      </w:r>
      <w:r w:rsidRPr="00DF25C0">
        <w:rPr>
          <w:rFonts w:ascii="Palatino Linotype" w:hAnsi="Palatino Linotype" w:eastAsia="Times New Roman" w:cs="Times New Roman"/>
          <w:bCs w:val="0"/>
          <w:i w:val="0"/>
          <w:iCs w:val="0"/>
          <w:color w:val="auto"/>
          <w:sz w:val="24"/>
          <w:szCs w:val="24"/>
        </w:rPr>
        <w:t>Customer Affidavit</w:t>
      </w:r>
    </w:p>
    <w:p w:rsidRPr="00DF25C0" w:rsidR="00B7231A" w:rsidP="007B7A3B" w:rsidRDefault="0092332C" w14:paraId="1BF9E7DD" w14:textId="0A851BCD">
      <w:pPr>
        <w:pStyle w:val="standard"/>
        <w:rPr>
          <w:rFonts w:ascii="Palatino Linotype" w:hAnsi="Palatino Linotype"/>
          <w:sz w:val="24"/>
          <w:szCs w:val="24"/>
        </w:rPr>
      </w:pPr>
      <w:r w:rsidRPr="00DF25C0">
        <w:rPr>
          <w:rFonts w:ascii="Palatino Linotype" w:hAnsi="Palatino Linotype"/>
          <w:sz w:val="24"/>
          <w:szCs w:val="24"/>
        </w:rPr>
        <w:t xml:space="preserve">The T2WG discussed a statement to be signed by the customer to affirm the accuracy of the information provided for </w:t>
      </w:r>
      <w:r w:rsidR="003C77E1">
        <w:rPr>
          <w:rFonts w:ascii="Palatino Linotype" w:hAnsi="Palatino Linotype"/>
          <w:sz w:val="24"/>
          <w:szCs w:val="24"/>
        </w:rPr>
        <w:t xml:space="preserve">the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Pr="00DF25C0">
        <w:rPr>
          <w:rFonts w:ascii="Palatino Linotype" w:hAnsi="Palatino Linotype"/>
          <w:sz w:val="24"/>
          <w:szCs w:val="24"/>
        </w:rPr>
        <w:t xml:space="preserve">of accelerated replacement. </w:t>
      </w:r>
      <w:r w:rsidRPr="00DF25C0" w:rsidR="001F22CD">
        <w:rPr>
          <w:rFonts w:ascii="Palatino Linotype" w:hAnsi="Palatino Linotype"/>
          <w:sz w:val="24"/>
          <w:szCs w:val="24"/>
        </w:rPr>
        <w:t>T</w:t>
      </w:r>
      <w:r w:rsidRPr="00DF25C0">
        <w:rPr>
          <w:rFonts w:ascii="Palatino Linotype" w:hAnsi="Palatino Linotype"/>
          <w:sz w:val="24"/>
          <w:szCs w:val="24"/>
        </w:rPr>
        <w:t xml:space="preserve">he T2WG </w:t>
      </w:r>
      <w:r w:rsidRPr="00DF25C0" w:rsidR="00965CF0">
        <w:rPr>
          <w:rFonts w:ascii="Palatino Linotype" w:hAnsi="Palatino Linotype"/>
          <w:sz w:val="24"/>
          <w:szCs w:val="24"/>
        </w:rPr>
        <w:t>Final Report</w:t>
      </w:r>
      <w:r w:rsidRPr="00DF25C0" w:rsidR="001F22CD">
        <w:rPr>
          <w:rFonts w:ascii="Palatino Linotype" w:hAnsi="Palatino Linotype"/>
          <w:sz w:val="24"/>
          <w:szCs w:val="24"/>
        </w:rPr>
        <w:t xml:space="preserve"> proposal </w:t>
      </w:r>
      <w:r w:rsidRPr="00DF25C0">
        <w:rPr>
          <w:rFonts w:ascii="Palatino Linotype" w:hAnsi="Palatino Linotype"/>
          <w:sz w:val="24"/>
          <w:szCs w:val="24"/>
        </w:rPr>
        <w:t xml:space="preserve">shows a proposed affidavit statement which varies by </w:t>
      </w:r>
      <w:r w:rsidR="006A1B63">
        <w:rPr>
          <w:rFonts w:ascii="Palatino Linotype" w:hAnsi="Palatino Linotype"/>
          <w:sz w:val="24"/>
          <w:szCs w:val="24"/>
        </w:rPr>
        <w:t xml:space="preserve">the </w:t>
      </w:r>
      <w:r w:rsidR="00A7636C">
        <w:rPr>
          <w:rFonts w:ascii="Palatino Linotype" w:hAnsi="Palatino Linotype"/>
          <w:sz w:val="24"/>
          <w:szCs w:val="24"/>
        </w:rPr>
        <w:t xml:space="preserve">preponderance of evidence </w:t>
      </w:r>
      <w:r w:rsidR="009A185C">
        <w:rPr>
          <w:rFonts w:ascii="Palatino Linotype" w:hAnsi="Palatino Linotype"/>
          <w:sz w:val="24"/>
          <w:szCs w:val="24"/>
        </w:rPr>
        <w:t>customer incentive level</w:t>
      </w:r>
      <w:r w:rsidRPr="00DF25C0">
        <w:rPr>
          <w:rFonts w:ascii="Palatino Linotype" w:hAnsi="Palatino Linotype"/>
          <w:sz w:val="24"/>
          <w:szCs w:val="24"/>
        </w:rPr>
        <w:t xml:space="preserve"> Tier.</w:t>
      </w:r>
      <w:r w:rsidR="00C97410">
        <w:rPr>
          <w:rStyle w:val="FootnoteReference"/>
          <w:rFonts w:ascii="Palatino Linotype" w:hAnsi="Palatino Linotype"/>
          <w:sz w:val="24"/>
          <w:szCs w:val="24"/>
        </w:rPr>
        <w:footnoteReference w:id="23"/>
      </w:r>
      <w:r w:rsidRPr="00DF25C0">
        <w:rPr>
          <w:rFonts w:ascii="Palatino Linotype" w:hAnsi="Palatino Linotype"/>
          <w:sz w:val="24"/>
          <w:szCs w:val="24"/>
        </w:rPr>
        <w:t xml:space="preserve">  The T2WG debated if the affidavit should include a statement that </w:t>
      </w:r>
      <w:r w:rsidRPr="00DF25C0" w:rsidR="003F6DE5">
        <w:rPr>
          <w:rFonts w:ascii="Palatino Linotype" w:hAnsi="Palatino Linotype"/>
          <w:sz w:val="24"/>
          <w:szCs w:val="24"/>
        </w:rPr>
        <w:t xml:space="preserve">the </w:t>
      </w:r>
      <w:r w:rsidRPr="00DF25C0">
        <w:rPr>
          <w:rFonts w:ascii="Palatino Linotype" w:hAnsi="Palatino Linotype"/>
          <w:sz w:val="24"/>
          <w:szCs w:val="24"/>
        </w:rPr>
        <w:t xml:space="preserve">customer “declare, under penalty of perjury under the laws of the State of California, that the foregoing is true and correct.”  The T2WG discussed whether customers should be subject to consequences related to future energy efficiency program participation if their statements were found to be false. </w:t>
      </w:r>
    </w:p>
    <w:p w:rsidR="0010104C" w:rsidP="00302AE2" w:rsidRDefault="0010104C" w14:paraId="5F57AC68" w14:textId="5F40A383">
      <w:pPr>
        <w:pStyle w:val="Heading1"/>
        <w:keepLines w:val="0"/>
        <w:spacing w:before="120" w:after="120"/>
        <w:ind w:left="720"/>
        <w:rPr>
          <w:rFonts w:ascii="Palatino Linotype" w:hAnsi="Palatino Linotype" w:eastAsia="Times New Roman" w:cs="Times New Roman"/>
          <w:b/>
          <w:bCs w:val="0"/>
          <w:kern w:val="28"/>
          <w:sz w:val="24"/>
          <w:szCs w:val="24"/>
        </w:rPr>
      </w:pPr>
      <w:r>
        <w:rPr>
          <w:rFonts w:ascii="Palatino Linotype" w:hAnsi="Palatino Linotype" w:eastAsia="Times New Roman" w:cs="Times New Roman"/>
          <w:b/>
          <w:bCs w:val="0"/>
          <w:kern w:val="28"/>
          <w:sz w:val="24"/>
          <w:szCs w:val="24"/>
        </w:rPr>
        <w:t>4</w:t>
      </w:r>
      <w:r w:rsidRPr="00DF25C0">
        <w:rPr>
          <w:rFonts w:ascii="Palatino Linotype" w:hAnsi="Palatino Linotype" w:eastAsia="Times New Roman" w:cs="Times New Roman"/>
          <w:b/>
          <w:bCs w:val="0"/>
          <w:kern w:val="28"/>
          <w:sz w:val="24"/>
          <w:szCs w:val="24"/>
        </w:rPr>
        <w:t xml:space="preserve">.   </w:t>
      </w:r>
      <w:r w:rsidR="00C514F5">
        <w:rPr>
          <w:rFonts w:ascii="Palatino Linotype" w:hAnsi="Palatino Linotype" w:eastAsia="Times New Roman" w:cs="Times New Roman"/>
          <w:b/>
          <w:bCs w:val="0"/>
          <w:kern w:val="28"/>
          <w:sz w:val="24"/>
          <w:szCs w:val="24"/>
        </w:rPr>
        <w:t xml:space="preserve">ADOPTED CUSTOMER INCENTIVE LEVEL THRESHOLDS AND </w:t>
      </w:r>
      <w:r w:rsidR="001C4512">
        <w:rPr>
          <w:rFonts w:ascii="Palatino Linotype" w:hAnsi="Palatino Linotype" w:eastAsia="Times New Roman" w:cs="Times New Roman"/>
          <w:b/>
          <w:bCs w:val="0"/>
          <w:kern w:val="28"/>
          <w:sz w:val="24"/>
          <w:szCs w:val="24"/>
        </w:rPr>
        <w:t>PREPONDERANCE OF EVIDENCE</w:t>
      </w:r>
      <w:r w:rsidR="00C514F5">
        <w:rPr>
          <w:rFonts w:ascii="Palatino Linotype" w:hAnsi="Palatino Linotype" w:eastAsia="Times New Roman" w:cs="Times New Roman"/>
          <w:b/>
          <w:bCs w:val="0"/>
          <w:kern w:val="28"/>
          <w:sz w:val="24"/>
          <w:szCs w:val="24"/>
        </w:rPr>
        <w:t xml:space="preserve"> REQUIREMENTS FOR </w:t>
      </w:r>
      <w:r w:rsidR="00E1497E">
        <w:rPr>
          <w:rFonts w:ascii="Palatino Linotype" w:hAnsi="Palatino Linotype" w:eastAsia="Times New Roman" w:cs="Times New Roman"/>
          <w:b/>
          <w:bCs w:val="0"/>
          <w:kern w:val="28"/>
          <w:sz w:val="24"/>
          <w:szCs w:val="24"/>
        </w:rPr>
        <w:t xml:space="preserve">CUSTOM </w:t>
      </w:r>
      <w:r w:rsidR="003A5399">
        <w:rPr>
          <w:rFonts w:ascii="Palatino Linotype" w:hAnsi="Palatino Linotype" w:eastAsia="Times New Roman" w:cs="Times New Roman"/>
          <w:b/>
          <w:bCs w:val="0"/>
          <w:kern w:val="28"/>
          <w:sz w:val="24"/>
          <w:szCs w:val="24"/>
        </w:rPr>
        <w:t xml:space="preserve">PROJECTS </w:t>
      </w:r>
      <w:r w:rsidR="00C514F5">
        <w:rPr>
          <w:rFonts w:ascii="Palatino Linotype" w:hAnsi="Palatino Linotype" w:eastAsia="Times New Roman" w:cs="Times New Roman"/>
          <w:b/>
          <w:bCs w:val="0"/>
          <w:kern w:val="28"/>
          <w:sz w:val="24"/>
          <w:szCs w:val="24"/>
        </w:rPr>
        <w:t>ACCELERATED REPLACEMENTS</w:t>
      </w:r>
    </w:p>
    <w:p w:rsidRPr="00E03ED8" w:rsidR="00E03ED8" w:rsidP="00E03ED8" w:rsidRDefault="00E03ED8" w14:paraId="7B288485" w14:textId="77777777"/>
    <w:p w:rsidR="00EA0823" w:rsidP="00302AE2" w:rsidRDefault="00D33E15" w14:paraId="48096111" w14:textId="31F443E0">
      <w:pPr>
        <w:pStyle w:val="standard"/>
        <w:rPr>
          <w:rFonts w:ascii="Palatino Linotype" w:hAnsi="Palatino Linotype"/>
          <w:sz w:val="24"/>
          <w:szCs w:val="24"/>
        </w:rPr>
      </w:pPr>
      <w:bookmarkStart w:name="_Hlk532368870" w:id="32"/>
      <w:r w:rsidRPr="00DF25C0">
        <w:rPr>
          <w:rFonts w:ascii="Palatino Linotype" w:hAnsi="Palatino Linotype"/>
          <w:sz w:val="24"/>
          <w:szCs w:val="24"/>
        </w:rPr>
        <w:t xml:space="preserve">The Preponderance of Evidence standard used in a civil (non-criminal) case is based on the more convincing evidence and its probable truth and accuracy, and not </w:t>
      </w:r>
      <w:r w:rsidRPr="00DF25C0" w:rsidR="003F6DE5">
        <w:rPr>
          <w:rFonts w:ascii="Palatino Linotype" w:hAnsi="Palatino Linotype"/>
          <w:sz w:val="24"/>
          <w:szCs w:val="24"/>
        </w:rPr>
        <w:t xml:space="preserve">simply </w:t>
      </w:r>
      <w:r w:rsidRPr="00DF25C0">
        <w:rPr>
          <w:rFonts w:ascii="Palatino Linotype" w:hAnsi="Palatino Linotype"/>
          <w:sz w:val="24"/>
          <w:szCs w:val="24"/>
        </w:rPr>
        <w:t xml:space="preserve">on the amount of evidence.  We recognize that program administrators and third-party program implementers desire clarity on how to demonstrate equipment viability and program influence to support accelerated replacement </w:t>
      </w:r>
      <w:r w:rsidRPr="00DF25C0" w:rsidR="001C4558">
        <w:rPr>
          <w:rFonts w:ascii="Palatino Linotype" w:hAnsi="Palatino Linotype"/>
          <w:sz w:val="24"/>
          <w:szCs w:val="24"/>
        </w:rPr>
        <w:t xml:space="preserve">measure type </w:t>
      </w:r>
      <w:r w:rsidRPr="00DF25C0">
        <w:rPr>
          <w:rFonts w:ascii="Palatino Linotype" w:hAnsi="Palatino Linotype"/>
          <w:sz w:val="24"/>
          <w:szCs w:val="24"/>
        </w:rPr>
        <w:t>baseline consideration.  Our guidance</w:t>
      </w:r>
      <w:r w:rsidRPr="00DF25C0" w:rsidR="001C4558">
        <w:rPr>
          <w:rFonts w:ascii="Palatino Linotype" w:hAnsi="Palatino Linotype"/>
          <w:sz w:val="24"/>
          <w:szCs w:val="24"/>
        </w:rPr>
        <w:t xml:space="preserve"> herein</w:t>
      </w:r>
      <w:r w:rsidRPr="00DF25C0">
        <w:rPr>
          <w:rFonts w:ascii="Palatino Linotype" w:hAnsi="Palatino Linotype"/>
          <w:sz w:val="24"/>
          <w:szCs w:val="24"/>
        </w:rPr>
        <w:t xml:space="preserve"> </w:t>
      </w:r>
      <w:r w:rsidRPr="00DF25C0" w:rsidR="00FF1CCB">
        <w:rPr>
          <w:rFonts w:ascii="Palatino Linotype" w:hAnsi="Palatino Linotype"/>
          <w:sz w:val="24"/>
          <w:szCs w:val="24"/>
        </w:rPr>
        <w:t>provides</w:t>
      </w:r>
      <w:r w:rsidRPr="00DF25C0">
        <w:rPr>
          <w:rFonts w:ascii="Palatino Linotype" w:hAnsi="Palatino Linotype"/>
          <w:sz w:val="24"/>
          <w:szCs w:val="24"/>
        </w:rPr>
        <w:t xml:space="preserve"> the </w:t>
      </w:r>
      <w:r w:rsidRPr="00DF25C0" w:rsidR="00EA0823">
        <w:rPr>
          <w:rFonts w:ascii="Palatino Linotype" w:hAnsi="Palatino Linotype"/>
          <w:sz w:val="24"/>
          <w:szCs w:val="24"/>
        </w:rPr>
        <w:t xml:space="preserve">minimum expected </w:t>
      </w:r>
      <w:r w:rsidRPr="00DF25C0">
        <w:rPr>
          <w:rFonts w:ascii="Palatino Linotype" w:hAnsi="Palatino Linotype"/>
          <w:sz w:val="24"/>
          <w:szCs w:val="24"/>
        </w:rPr>
        <w:t xml:space="preserve">requirements for </w:t>
      </w:r>
      <w:r w:rsidR="00882AC0">
        <w:rPr>
          <w:rFonts w:ascii="Palatino Linotype" w:hAnsi="Palatino Linotype"/>
          <w:sz w:val="24"/>
          <w:szCs w:val="24"/>
        </w:rPr>
        <w:t>the</w:t>
      </w:r>
      <w:r w:rsidRPr="00DF25C0">
        <w:rPr>
          <w:rFonts w:ascii="Palatino Linotype" w:hAnsi="Palatino Linotype"/>
          <w:sz w:val="24"/>
          <w:szCs w:val="24"/>
        </w:rPr>
        <w:t xml:space="preserve">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Pr="00DF25C0" w:rsidR="00F25D0A">
        <w:rPr>
          <w:rFonts w:ascii="Palatino Linotype" w:hAnsi="Palatino Linotype"/>
          <w:sz w:val="24"/>
          <w:szCs w:val="24"/>
        </w:rPr>
        <w:t>of accelerated replacement</w:t>
      </w:r>
      <w:r w:rsidRPr="00DF25C0">
        <w:rPr>
          <w:rFonts w:ascii="Palatino Linotype" w:hAnsi="Palatino Linotype"/>
          <w:sz w:val="24"/>
          <w:szCs w:val="24"/>
        </w:rPr>
        <w:t xml:space="preserve"> for custom projects.</w:t>
      </w:r>
      <w:r w:rsidR="00203249">
        <w:rPr>
          <w:rFonts w:ascii="Palatino Linotype" w:hAnsi="Palatino Linotype"/>
          <w:sz w:val="24"/>
          <w:szCs w:val="24"/>
        </w:rPr>
        <w:t xml:space="preserve">  We </w:t>
      </w:r>
      <w:r w:rsidR="00A33751">
        <w:rPr>
          <w:rFonts w:ascii="Palatino Linotype" w:hAnsi="Palatino Linotype"/>
          <w:sz w:val="24"/>
          <w:szCs w:val="24"/>
        </w:rPr>
        <w:t>wish</w:t>
      </w:r>
      <w:r w:rsidR="00B3730F">
        <w:rPr>
          <w:rFonts w:ascii="Palatino Linotype" w:hAnsi="Palatino Linotype"/>
          <w:sz w:val="24"/>
          <w:szCs w:val="24"/>
        </w:rPr>
        <w:t xml:space="preserve"> to </w:t>
      </w:r>
      <w:r w:rsidR="00B3730F">
        <w:rPr>
          <w:rFonts w:ascii="Palatino Linotype" w:hAnsi="Palatino Linotype"/>
          <w:sz w:val="24"/>
          <w:szCs w:val="24"/>
        </w:rPr>
        <w:lastRenderedPageBreak/>
        <w:t>stress</w:t>
      </w:r>
      <w:r w:rsidR="00203249">
        <w:rPr>
          <w:rFonts w:ascii="Palatino Linotype" w:hAnsi="Palatino Linotype"/>
          <w:sz w:val="24"/>
          <w:szCs w:val="24"/>
        </w:rPr>
        <w:t xml:space="preserve"> </w:t>
      </w:r>
      <w:r w:rsidR="00A33751">
        <w:rPr>
          <w:rFonts w:ascii="Palatino Linotype" w:hAnsi="Palatino Linotype"/>
          <w:sz w:val="24"/>
          <w:szCs w:val="24"/>
        </w:rPr>
        <w:t>the importance that</w:t>
      </w:r>
      <w:r w:rsidR="00203249">
        <w:rPr>
          <w:rFonts w:ascii="Palatino Linotype" w:hAnsi="Palatino Linotype"/>
          <w:sz w:val="24"/>
          <w:szCs w:val="24"/>
        </w:rPr>
        <w:t xml:space="preserve"> </w:t>
      </w:r>
      <w:r w:rsidR="003C2350">
        <w:rPr>
          <w:rFonts w:ascii="Palatino Linotype" w:hAnsi="Palatino Linotype"/>
          <w:sz w:val="24"/>
          <w:szCs w:val="24"/>
        </w:rPr>
        <w:t xml:space="preserve">documentation of </w:t>
      </w:r>
      <w:r w:rsidR="00EF01CD">
        <w:rPr>
          <w:rFonts w:ascii="Palatino Linotype" w:hAnsi="Palatino Linotype"/>
          <w:sz w:val="24"/>
          <w:szCs w:val="24"/>
        </w:rPr>
        <w:t>this</w:t>
      </w:r>
      <w:r w:rsidR="003C2350">
        <w:rPr>
          <w:rFonts w:ascii="Palatino Linotype" w:hAnsi="Palatino Linotype"/>
          <w:sz w:val="24"/>
          <w:szCs w:val="24"/>
        </w:rPr>
        <w:t xml:space="preserve"> supporting information </w:t>
      </w:r>
      <w:r w:rsidR="00EF01CD">
        <w:rPr>
          <w:rFonts w:ascii="Palatino Linotype" w:hAnsi="Palatino Linotype"/>
          <w:sz w:val="24"/>
          <w:szCs w:val="24"/>
        </w:rPr>
        <w:t>should</w:t>
      </w:r>
      <w:r w:rsidR="003C2350">
        <w:rPr>
          <w:rFonts w:ascii="Palatino Linotype" w:hAnsi="Palatino Linotype"/>
          <w:sz w:val="24"/>
          <w:szCs w:val="24"/>
        </w:rPr>
        <w:t xml:space="preserve"> happen </w:t>
      </w:r>
      <w:r w:rsidRPr="006365D2" w:rsidR="00B3730F">
        <w:rPr>
          <w:rFonts w:ascii="Palatino Linotype" w:hAnsi="Palatino Linotype"/>
          <w:sz w:val="24"/>
          <w:szCs w:val="24"/>
          <w:u w:val="single"/>
        </w:rPr>
        <w:t xml:space="preserve">as a project is </w:t>
      </w:r>
      <w:r w:rsidRPr="006365D2" w:rsidR="00EF01CD">
        <w:rPr>
          <w:rFonts w:ascii="Palatino Linotype" w:hAnsi="Palatino Linotype"/>
          <w:sz w:val="24"/>
          <w:szCs w:val="24"/>
          <w:u w:val="single"/>
        </w:rPr>
        <w:t xml:space="preserve">being </w:t>
      </w:r>
      <w:r w:rsidRPr="006365D2" w:rsidR="00B3730F">
        <w:rPr>
          <w:rFonts w:ascii="Palatino Linotype" w:hAnsi="Palatino Linotype"/>
          <w:sz w:val="24"/>
          <w:szCs w:val="24"/>
          <w:u w:val="single"/>
        </w:rPr>
        <w:t>developed</w:t>
      </w:r>
      <w:r w:rsidR="00EF01CD">
        <w:rPr>
          <w:rFonts w:ascii="Palatino Linotype" w:hAnsi="Palatino Linotype"/>
          <w:sz w:val="24"/>
          <w:szCs w:val="24"/>
        </w:rPr>
        <w:t xml:space="preserve">, </w:t>
      </w:r>
      <w:r w:rsidR="006365D2">
        <w:rPr>
          <w:rFonts w:ascii="Palatino Linotype" w:hAnsi="Palatino Linotype"/>
          <w:sz w:val="24"/>
          <w:szCs w:val="24"/>
        </w:rPr>
        <w:t xml:space="preserve">it should </w:t>
      </w:r>
      <w:r w:rsidR="00EF01CD">
        <w:rPr>
          <w:rFonts w:ascii="Palatino Linotype" w:hAnsi="Palatino Linotype"/>
          <w:sz w:val="24"/>
          <w:szCs w:val="24"/>
        </w:rPr>
        <w:t>not</w:t>
      </w:r>
      <w:r w:rsidR="006365D2">
        <w:rPr>
          <w:rFonts w:ascii="Palatino Linotype" w:hAnsi="Palatino Linotype"/>
          <w:sz w:val="24"/>
          <w:szCs w:val="24"/>
        </w:rPr>
        <w:t xml:space="preserve"> be created or</w:t>
      </w:r>
      <w:r w:rsidR="00EF01CD">
        <w:rPr>
          <w:rFonts w:ascii="Palatino Linotype" w:hAnsi="Palatino Linotype"/>
          <w:sz w:val="24"/>
          <w:szCs w:val="24"/>
        </w:rPr>
        <w:t xml:space="preserve"> re</w:t>
      </w:r>
      <w:r w:rsidR="006365D2">
        <w:rPr>
          <w:rFonts w:ascii="Palatino Linotype" w:hAnsi="Palatino Linotype"/>
          <w:sz w:val="24"/>
          <w:szCs w:val="24"/>
        </w:rPr>
        <w:t>-</w:t>
      </w:r>
      <w:r w:rsidR="00EF01CD">
        <w:rPr>
          <w:rFonts w:ascii="Palatino Linotype" w:hAnsi="Palatino Linotype"/>
          <w:sz w:val="24"/>
          <w:szCs w:val="24"/>
        </w:rPr>
        <w:t xml:space="preserve">created </w:t>
      </w:r>
      <w:r w:rsidR="00A33751">
        <w:rPr>
          <w:rFonts w:ascii="Palatino Linotype" w:hAnsi="Palatino Linotype"/>
          <w:sz w:val="24"/>
          <w:szCs w:val="24"/>
        </w:rPr>
        <w:t>after the fact</w:t>
      </w:r>
      <w:r w:rsidR="00EF01CD">
        <w:rPr>
          <w:rFonts w:ascii="Palatino Linotype" w:hAnsi="Palatino Linotype"/>
          <w:sz w:val="24"/>
          <w:szCs w:val="24"/>
        </w:rPr>
        <w:t xml:space="preserve">.  </w:t>
      </w:r>
    </w:p>
    <w:p w:rsidRPr="00DF25C0" w:rsidR="00302AE2" w:rsidP="00302AE2" w:rsidRDefault="00302AE2" w14:paraId="0C5C7616" w14:textId="77777777">
      <w:pPr>
        <w:pStyle w:val="standard"/>
        <w:rPr>
          <w:rFonts w:ascii="Palatino Linotype" w:hAnsi="Palatino Linotype"/>
          <w:sz w:val="24"/>
          <w:szCs w:val="24"/>
        </w:rPr>
      </w:pPr>
    </w:p>
    <w:p w:rsidRPr="004A6DFF" w:rsidR="00D33E15" w:rsidP="004E4AB6" w:rsidRDefault="00365C33" w14:paraId="02337713" w14:textId="43722FD0">
      <w:pPr>
        <w:pStyle w:val="standard"/>
        <w:ind w:left="720"/>
        <w:rPr>
          <w:rFonts w:ascii="Palatino Linotype" w:hAnsi="Palatino Linotype"/>
          <w:b/>
          <w:bCs/>
          <w:sz w:val="24"/>
          <w:szCs w:val="24"/>
          <w:u w:val="single"/>
        </w:rPr>
      </w:pPr>
      <w:r w:rsidRPr="004A6DFF">
        <w:rPr>
          <w:rFonts w:ascii="Palatino Linotype" w:hAnsi="Palatino Linotype"/>
          <w:b/>
          <w:bCs/>
          <w:sz w:val="24"/>
          <w:szCs w:val="24"/>
          <w:u w:val="single"/>
        </w:rPr>
        <w:t>4.1</w:t>
      </w:r>
      <w:r w:rsidR="00EA30E6">
        <w:rPr>
          <w:rFonts w:ascii="Palatino Linotype" w:hAnsi="Palatino Linotype"/>
          <w:b/>
          <w:bCs/>
          <w:sz w:val="24"/>
          <w:szCs w:val="24"/>
          <w:u w:val="single"/>
        </w:rPr>
        <w:t xml:space="preserve">. </w:t>
      </w:r>
      <w:r w:rsidRPr="004A6DFF">
        <w:rPr>
          <w:rFonts w:ascii="Palatino Linotype" w:hAnsi="Palatino Linotype"/>
          <w:b/>
          <w:bCs/>
          <w:sz w:val="24"/>
          <w:szCs w:val="24"/>
          <w:u w:val="single"/>
        </w:rPr>
        <w:t xml:space="preserve"> </w:t>
      </w:r>
      <w:r w:rsidRPr="004A6DFF" w:rsidR="00FC1D28">
        <w:rPr>
          <w:rFonts w:ascii="Palatino Linotype" w:hAnsi="Palatino Linotype"/>
          <w:b/>
          <w:bCs/>
          <w:sz w:val="24"/>
          <w:szCs w:val="24"/>
          <w:u w:val="single"/>
        </w:rPr>
        <w:t>Customer i</w:t>
      </w:r>
      <w:r w:rsidRPr="004A6DFF" w:rsidR="00D33E15">
        <w:rPr>
          <w:rFonts w:ascii="Palatino Linotype" w:hAnsi="Palatino Linotype"/>
          <w:b/>
          <w:bCs/>
          <w:sz w:val="24"/>
          <w:szCs w:val="24"/>
          <w:u w:val="single"/>
        </w:rPr>
        <w:t>ncentive threshold tiers</w:t>
      </w:r>
    </w:p>
    <w:p w:rsidR="003D2291" w:rsidP="003D2291" w:rsidRDefault="00D33E15" w14:paraId="618808C3" w14:textId="609DC750">
      <w:pPr>
        <w:pStyle w:val="standard"/>
        <w:rPr>
          <w:rFonts w:ascii="Palatino Linotype" w:hAnsi="Palatino Linotype"/>
          <w:b/>
          <w:bCs/>
          <w:sz w:val="24"/>
          <w:szCs w:val="24"/>
        </w:rPr>
      </w:pPr>
      <w:r w:rsidRPr="00DF25C0">
        <w:rPr>
          <w:rFonts w:ascii="Palatino Linotype" w:hAnsi="Palatino Linotype"/>
          <w:b/>
          <w:bCs/>
          <w:sz w:val="24"/>
          <w:szCs w:val="24"/>
        </w:rPr>
        <w:t>We adopt the T2WG Final Report recommendation to rename the</w:t>
      </w:r>
      <w:r w:rsidR="0045122F">
        <w:rPr>
          <w:rFonts w:ascii="Palatino Linotype" w:hAnsi="Palatino Linotype"/>
          <w:b/>
          <w:bCs/>
          <w:sz w:val="24"/>
          <w:szCs w:val="24"/>
        </w:rPr>
        <w:t xml:space="preserve"> customer incentive</w:t>
      </w:r>
      <w:r w:rsidRPr="00DF25C0">
        <w:rPr>
          <w:rFonts w:ascii="Palatino Linotype" w:hAnsi="Palatino Linotype"/>
          <w:b/>
          <w:bCs/>
          <w:sz w:val="24"/>
          <w:szCs w:val="24"/>
        </w:rPr>
        <w:t xml:space="preserve"> tiered levels to Full, Medium, and Low </w:t>
      </w:r>
      <w:r w:rsidR="00DD1BF4">
        <w:rPr>
          <w:rFonts w:ascii="Palatino Linotype" w:hAnsi="Palatino Linotype"/>
          <w:b/>
          <w:bCs/>
          <w:sz w:val="24"/>
          <w:szCs w:val="24"/>
        </w:rPr>
        <w:t xml:space="preserve">Rigor </w:t>
      </w:r>
      <w:r w:rsidR="00F80546">
        <w:rPr>
          <w:rFonts w:ascii="Palatino Linotype" w:hAnsi="Palatino Linotype"/>
          <w:b/>
          <w:bCs/>
          <w:sz w:val="24"/>
          <w:szCs w:val="24"/>
        </w:rPr>
        <w:t>t</w:t>
      </w:r>
      <w:r w:rsidRPr="00DF25C0">
        <w:rPr>
          <w:rFonts w:ascii="Palatino Linotype" w:hAnsi="Palatino Linotype"/>
          <w:b/>
          <w:bCs/>
          <w:sz w:val="24"/>
          <w:szCs w:val="24"/>
        </w:rPr>
        <w:t xml:space="preserve">iers and the </w:t>
      </w:r>
      <w:r w:rsidRPr="00DF25C0" w:rsidR="00EA0823">
        <w:rPr>
          <w:rFonts w:ascii="Palatino Linotype" w:hAnsi="Palatino Linotype"/>
          <w:b/>
          <w:bCs/>
          <w:sz w:val="24"/>
          <w:szCs w:val="24"/>
        </w:rPr>
        <w:t>associated</w:t>
      </w:r>
      <w:r w:rsidRPr="00DF25C0">
        <w:rPr>
          <w:rFonts w:ascii="Palatino Linotype" w:hAnsi="Palatino Linotype"/>
          <w:b/>
          <w:bCs/>
          <w:sz w:val="24"/>
          <w:szCs w:val="24"/>
        </w:rPr>
        <w:t xml:space="preserve"> incentive categories as described in the</w:t>
      </w:r>
      <w:r w:rsidRPr="00DF25C0" w:rsidR="00EA0823">
        <w:rPr>
          <w:rFonts w:ascii="Palatino Linotype" w:hAnsi="Palatino Linotype"/>
          <w:b/>
          <w:bCs/>
          <w:sz w:val="24"/>
          <w:szCs w:val="24"/>
        </w:rPr>
        <w:t xml:space="preserve"> T2WG Final Report</w:t>
      </w:r>
      <w:r w:rsidRPr="00DF25C0" w:rsidR="003F6DE5">
        <w:rPr>
          <w:rFonts w:ascii="Palatino Linotype" w:hAnsi="Palatino Linotype"/>
          <w:b/>
          <w:bCs/>
          <w:sz w:val="24"/>
          <w:szCs w:val="24"/>
        </w:rPr>
        <w:t>.</w:t>
      </w:r>
      <w:r w:rsidRPr="00DF25C0" w:rsidR="00EA0823">
        <w:rPr>
          <w:rStyle w:val="FootnoteReference"/>
          <w:rFonts w:ascii="Palatino Linotype" w:hAnsi="Palatino Linotype"/>
          <w:b/>
          <w:bCs/>
          <w:sz w:val="24"/>
          <w:szCs w:val="24"/>
        </w:rPr>
        <w:footnoteReference w:id="24"/>
      </w:r>
      <w:r w:rsidRPr="00DF25C0">
        <w:rPr>
          <w:rFonts w:ascii="Palatino Linotype" w:hAnsi="Palatino Linotype"/>
          <w:b/>
          <w:bCs/>
          <w:sz w:val="24"/>
          <w:szCs w:val="24"/>
        </w:rPr>
        <w:t xml:space="preserve">  </w:t>
      </w:r>
      <w:r w:rsidR="003D2291">
        <w:rPr>
          <w:rFonts w:ascii="Palatino Linotype" w:hAnsi="Palatino Linotype" w:eastAsia="Palatino Linotype" w:cs="Palatino Linotype"/>
          <w:sz w:val="24"/>
          <w:szCs w:val="24"/>
        </w:rPr>
        <w:t xml:space="preserve">We </w:t>
      </w:r>
      <w:r w:rsidRPr="005E2EA2" w:rsidR="003D2291">
        <w:rPr>
          <w:rFonts w:ascii="Palatino Linotype" w:hAnsi="Palatino Linotype" w:eastAsia="Palatino Linotype" w:cs="Palatino Linotype"/>
          <w:sz w:val="24"/>
          <w:szCs w:val="24"/>
        </w:rPr>
        <w:t>find that</w:t>
      </w:r>
      <w:r w:rsidR="00720907">
        <w:rPr>
          <w:rFonts w:ascii="Palatino Linotype" w:hAnsi="Palatino Linotype" w:eastAsia="Palatino Linotype" w:cs="Palatino Linotype"/>
          <w:sz w:val="24"/>
          <w:szCs w:val="24"/>
        </w:rPr>
        <w:t xml:space="preserve"> </w:t>
      </w:r>
      <w:r w:rsidRPr="005E2EA2" w:rsidR="003D2291">
        <w:rPr>
          <w:rFonts w:ascii="Palatino Linotype" w:hAnsi="Palatino Linotype" w:eastAsia="Palatino Linotype" w:cs="Palatino Linotype"/>
          <w:sz w:val="24"/>
          <w:szCs w:val="24"/>
        </w:rPr>
        <w:t xml:space="preserve">the proposed </w:t>
      </w:r>
      <w:r w:rsidR="003D2291">
        <w:rPr>
          <w:rFonts w:ascii="Palatino Linotype" w:hAnsi="Palatino Linotype" w:eastAsia="Palatino Linotype" w:cs="Palatino Linotype"/>
          <w:sz w:val="24"/>
          <w:szCs w:val="24"/>
        </w:rPr>
        <w:t>T2WG Report custom incentive levels</w:t>
      </w:r>
      <w:r w:rsidRPr="005E2EA2" w:rsidR="003D2291">
        <w:rPr>
          <w:rFonts w:ascii="Palatino Linotype" w:hAnsi="Palatino Linotype" w:eastAsia="Palatino Linotype" w:cs="Palatino Linotype"/>
          <w:sz w:val="24"/>
          <w:szCs w:val="24"/>
        </w:rPr>
        <w:t xml:space="preserve"> </w:t>
      </w:r>
      <w:r w:rsidR="00720907">
        <w:rPr>
          <w:rFonts w:ascii="Palatino Linotype" w:hAnsi="Palatino Linotype" w:eastAsia="Palatino Linotype" w:cs="Palatino Linotype"/>
          <w:sz w:val="24"/>
          <w:szCs w:val="24"/>
        </w:rPr>
        <w:t xml:space="preserve">tiers </w:t>
      </w:r>
      <w:r w:rsidRPr="005E2EA2" w:rsidR="003D2291">
        <w:rPr>
          <w:rFonts w:ascii="Palatino Linotype" w:hAnsi="Palatino Linotype" w:eastAsia="Palatino Linotype" w:cs="Palatino Linotype"/>
          <w:sz w:val="24"/>
          <w:szCs w:val="24"/>
        </w:rPr>
        <w:t xml:space="preserve">satisfy the requirements of (D.) 16-08-019 and Resolution E-4818. </w:t>
      </w:r>
      <w:r w:rsidR="003D2291">
        <w:rPr>
          <w:rFonts w:ascii="Palatino Linotype" w:hAnsi="Palatino Linotype" w:eastAsia="Palatino Linotype" w:cs="Palatino Linotype"/>
          <w:sz w:val="24"/>
          <w:szCs w:val="24"/>
        </w:rPr>
        <w:t xml:space="preserve"> I</w:t>
      </w:r>
      <w:r w:rsidRPr="005E2EA2" w:rsidR="003D2291">
        <w:rPr>
          <w:rFonts w:ascii="Palatino Linotype" w:hAnsi="Palatino Linotype" w:eastAsia="Palatino Linotype" w:cs="Palatino Linotype"/>
          <w:sz w:val="24"/>
          <w:szCs w:val="24"/>
        </w:rPr>
        <w:t xml:space="preserve">t is reasonable to </w:t>
      </w:r>
      <w:r w:rsidR="003D2291">
        <w:rPr>
          <w:rFonts w:ascii="Palatino Linotype" w:hAnsi="Palatino Linotype" w:eastAsia="Palatino Linotype" w:cs="Palatino Linotype"/>
          <w:sz w:val="24"/>
          <w:szCs w:val="24"/>
        </w:rPr>
        <w:t>have</w:t>
      </w:r>
      <w:r w:rsidRPr="005E2EA2" w:rsidR="003D2291">
        <w:rPr>
          <w:rFonts w:ascii="Palatino Linotype" w:hAnsi="Palatino Linotype" w:eastAsia="Palatino Linotype" w:cs="Palatino Linotype"/>
          <w:sz w:val="24"/>
          <w:szCs w:val="24"/>
        </w:rPr>
        <w:t xml:space="preserve"> </w:t>
      </w:r>
      <w:r w:rsidR="003D2291">
        <w:rPr>
          <w:rFonts w:ascii="Palatino Linotype" w:hAnsi="Palatino Linotype" w:eastAsia="Palatino Linotype" w:cs="Palatino Linotype"/>
          <w:sz w:val="24"/>
          <w:szCs w:val="24"/>
        </w:rPr>
        <w:t>a tiered approach based on</w:t>
      </w:r>
      <w:r w:rsidRPr="005E2EA2" w:rsidR="003D2291">
        <w:rPr>
          <w:rFonts w:ascii="Palatino Linotype" w:hAnsi="Palatino Linotype" w:eastAsia="Palatino Linotype" w:cs="Palatino Linotype"/>
          <w:sz w:val="24"/>
          <w:szCs w:val="24"/>
        </w:rPr>
        <w:t xml:space="preserve"> </w:t>
      </w:r>
      <w:r w:rsidR="003D2291">
        <w:rPr>
          <w:rFonts w:ascii="Palatino Linotype" w:hAnsi="Palatino Linotype" w:eastAsia="Palatino Linotype" w:cs="Palatino Linotype"/>
          <w:sz w:val="24"/>
          <w:szCs w:val="24"/>
        </w:rPr>
        <w:t>customer incentive levels</w:t>
      </w:r>
      <w:r w:rsidRPr="005E2EA2" w:rsidR="003D2291">
        <w:rPr>
          <w:rFonts w:ascii="Palatino Linotype" w:hAnsi="Palatino Linotype" w:eastAsia="Palatino Linotype" w:cs="Palatino Linotype"/>
          <w:sz w:val="24"/>
          <w:szCs w:val="24"/>
        </w:rPr>
        <w:t xml:space="preserve"> </w:t>
      </w:r>
      <w:r w:rsidR="003D2291">
        <w:rPr>
          <w:rFonts w:ascii="Palatino Linotype" w:hAnsi="Palatino Linotype" w:eastAsia="Palatino Linotype" w:cs="Palatino Linotype"/>
          <w:sz w:val="24"/>
          <w:szCs w:val="24"/>
        </w:rPr>
        <w:t xml:space="preserve">to determine the required level of documentation to demonstrate </w:t>
      </w:r>
      <w:r w:rsidR="00A7636C">
        <w:rPr>
          <w:rFonts w:ascii="Palatino Linotype" w:hAnsi="Palatino Linotype" w:eastAsia="Palatino Linotype" w:cs="Palatino Linotype"/>
          <w:sz w:val="24"/>
          <w:szCs w:val="24"/>
        </w:rPr>
        <w:t>preponderance of evidence</w:t>
      </w:r>
      <w:r w:rsidRPr="005E2EA2" w:rsidR="003D2291">
        <w:rPr>
          <w:rFonts w:ascii="Palatino Linotype" w:hAnsi="Palatino Linotype" w:eastAsia="Palatino Linotype" w:cs="Palatino Linotype"/>
          <w:sz w:val="24"/>
          <w:szCs w:val="24"/>
        </w:rPr>
        <w:t>.</w:t>
      </w:r>
    </w:p>
    <w:p w:rsidRPr="00DF25C0" w:rsidR="00D33E15" w:rsidP="00AE16D0" w:rsidRDefault="00D33E15" w14:paraId="3EE11C07" w14:textId="18CEFB4D">
      <w:pPr>
        <w:pStyle w:val="standard"/>
        <w:rPr>
          <w:rFonts w:ascii="Palatino Linotype" w:hAnsi="Palatino Linotype"/>
          <w:sz w:val="24"/>
          <w:szCs w:val="24"/>
        </w:rPr>
      </w:pPr>
      <w:r w:rsidRPr="00DF25C0">
        <w:rPr>
          <w:rFonts w:ascii="Palatino Linotype" w:hAnsi="Palatino Linotype"/>
          <w:b/>
          <w:bCs/>
          <w:sz w:val="24"/>
          <w:szCs w:val="24"/>
        </w:rPr>
        <w:t xml:space="preserve">We </w:t>
      </w:r>
      <w:r w:rsidRPr="00DF25C0" w:rsidR="00D038F8">
        <w:rPr>
          <w:rFonts w:ascii="Palatino Linotype" w:hAnsi="Palatino Linotype"/>
          <w:b/>
          <w:bCs/>
          <w:sz w:val="24"/>
          <w:szCs w:val="24"/>
        </w:rPr>
        <w:t xml:space="preserve">also </w:t>
      </w:r>
      <w:r w:rsidRPr="00DF25C0" w:rsidR="00EC13DD">
        <w:rPr>
          <w:rFonts w:ascii="Palatino Linotype" w:hAnsi="Palatino Linotype"/>
          <w:b/>
          <w:bCs/>
          <w:sz w:val="24"/>
          <w:szCs w:val="24"/>
        </w:rPr>
        <w:t>will</w:t>
      </w:r>
      <w:r w:rsidRPr="00DF25C0">
        <w:rPr>
          <w:rFonts w:ascii="Palatino Linotype" w:hAnsi="Palatino Linotype"/>
          <w:b/>
          <w:bCs/>
          <w:sz w:val="24"/>
          <w:szCs w:val="24"/>
        </w:rPr>
        <w:t xml:space="preserve"> adopt the T2WG </w:t>
      </w:r>
      <w:r w:rsidRPr="00DF25C0" w:rsidR="00EA0823">
        <w:rPr>
          <w:rFonts w:ascii="Palatino Linotype" w:hAnsi="Palatino Linotype"/>
          <w:b/>
          <w:bCs/>
          <w:sz w:val="24"/>
          <w:szCs w:val="24"/>
        </w:rPr>
        <w:t xml:space="preserve">Final Report </w:t>
      </w:r>
      <w:r w:rsidRPr="00DF25C0">
        <w:rPr>
          <w:rFonts w:ascii="Palatino Linotype" w:hAnsi="Palatino Linotype"/>
          <w:b/>
          <w:bCs/>
          <w:sz w:val="24"/>
          <w:szCs w:val="24"/>
        </w:rPr>
        <w:t>Proposal 2-2</w:t>
      </w:r>
      <w:r w:rsidRPr="00DF25C0" w:rsidR="00FF1CCB">
        <w:rPr>
          <w:rFonts w:ascii="Palatino Linotype" w:hAnsi="Palatino Linotype"/>
          <w:b/>
          <w:bCs/>
          <w:sz w:val="24"/>
          <w:szCs w:val="24"/>
        </w:rPr>
        <w:t xml:space="preserve">, </w:t>
      </w:r>
      <w:r w:rsidRPr="00DF25C0">
        <w:rPr>
          <w:rFonts w:ascii="Palatino Linotype" w:hAnsi="Palatino Linotype"/>
          <w:b/>
          <w:bCs/>
          <w:sz w:val="24"/>
          <w:szCs w:val="24"/>
        </w:rPr>
        <w:t>a Tier 0 for projects with incentives less than $7,500.</w:t>
      </w:r>
      <w:r w:rsidRPr="00DF25C0" w:rsidR="00AE6B1C">
        <w:rPr>
          <w:rStyle w:val="FootnoteReference"/>
          <w:rFonts w:ascii="Palatino Linotype" w:hAnsi="Palatino Linotype"/>
          <w:b/>
          <w:bCs/>
          <w:sz w:val="24"/>
          <w:szCs w:val="24"/>
        </w:rPr>
        <w:footnoteReference w:id="25"/>
      </w:r>
      <w:r w:rsidRPr="00DF25C0">
        <w:rPr>
          <w:rFonts w:ascii="Palatino Linotype" w:hAnsi="Palatino Linotype"/>
          <w:sz w:val="24"/>
          <w:szCs w:val="24"/>
        </w:rPr>
        <w:t xml:space="preserve">  To be consistent</w:t>
      </w:r>
      <w:r w:rsidRPr="00DF25C0" w:rsidR="00EA0823">
        <w:rPr>
          <w:rFonts w:ascii="Palatino Linotype" w:hAnsi="Palatino Linotype"/>
          <w:sz w:val="24"/>
          <w:szCs w:val="24"/>
        </w:rPr>
        <w:t xml:space="preserve"> in terminology</w:t>
      </w:r>
      <w:r w:rsidRPr="00DF25C0">
        <w:rPr>
          <w:rFonts w:ascii="Palatino Linotype" w:hAnsi="Palatino Linotype"/>
          <w:sz w:val="24"/>
          <w:szCs w:val="24"/>
        </w:rPr>
        <w:t>, th</w:t>
      </w:r>
      <w:r w:rsidRPr="00DF25C0" w:rsidR="000F15AF">
        <w:rPr>
          <w:rFonts w:ascii="Palatino Linotype" w:hAnsi="Palatino Linotype"/>
          <w:sz w:val="24"/>
          <w:szCs w:val="24"/>
        </w:rPr>
        <w:t>e</w:t>
      </w:r>
      <w:r w:rsidRPr="00DF25C0">
        <w:rPr>
          <w:rFonts w:ascii="Palatino Linotype" w:hAnsi="Palatino Linotype"/>
          <w:sz w:val="24"/>
          <w:szCs w:val="24"/>
        </w:rPr>
        <w:t xml:space="preserve"> </w:t>
      </w:r>
      <w:r w:rsidRPr="00DF25C0" w:rsidR="000F15AF">
        <w:rPr>
          <w:rFonts w:ascii="Palatino Linotype" w:hAnsi="Palatino Linotype"/>
          <w:sz w:val="24"/>
          <w:szCs w:val="24"/>
        </w:rPr>
        <w:t xml:space="preserve">Tier </w:t>
      </w:r>
      <w:r w:rsidR="000D0488">
        <w:rPr>
          <w:rFonts w:ascii="Palatino Linotype" w:hAnsi="Palatino Linotype"/>
          <w:sz w:val="24"/>
          <w:szCs w:val="24"/>
        </w:rPr>
        <w:t>0</w:t>
      </w:r>
      <w:r w:rsidRPr="00DF25C0" w:rsidR="000D0488">
        <w:rPr>
          <w:rFonts w:ascii="Palatino Linotype" w:hAnsi="Palatino Linotype"/>
          <w:sz w:val="24"/>
          <w:szCs w:val="24"/>
        </w:rPr>
        <w:t xml:space="preserve"> </w:t>
      </w:r>
      <w:r w:rsidRPr="00DF25C0" w:rsidR="00E84FD7">
        <w:rPr>
          <w:rFonts w:ascii="Palatino Linotype" w:hAnsi="Palatino Linotype"/>
          <w:sz w:val="24"/>
          <w:szCs w:val="24"/>
        </w:rPr>
        <w:t>is</w:t>
      </w:r>
      <w:r w:rsidRPr="00DF25C0" w:rsidR="00EA0823">
        <w:rPr>
          <w:rFonts w:ascii="Palatino Linotype" w:hAnsi="Palatino Linotype"/>
          <w:sz w:val="24"/>
          <w:szCs w:val="24"/>
        </w:rPr>
        <w:t xml:space="preserve"> </w:t>
      </w:r>
      <w:r w:rsidRPr="00DF25C0" w:rsidR="000F15AF">
        <w:rPr>
          <w:rFonts w:ascii="Palatino Linotype" w:hAnsi="Palatino Linotype"/>
          <w:sz w:val="24"/>
          <w:szCs w:val="24"/>
        </w:rPr>
        <w:t>renamed</w:t>
      </w:r>
      <w:r w:rsidR="008D7F5E">
        <w:rPr>
          <w:rFonts w:ascii="Palatino Linotype" w:hAnsi="Palatino Linotype"/>
          <w:sz w:val="24"/>
          <w:szCs w:val="24"/>
        </w:rPr>
        <w:t xml:space="preserve"> here</w:t>
      </w:r>
      <w:r w:rsidRPr="00DF25C0" w:rsidR="000F15AF">
        <w:rPr>
          <w:rFonts w:ascii="Palatino Linotype" w:hAnsi="Palatino Linotype"/>
          <w:sz w:val="24"/>
          <w:szCs w:val="24"/>
        </w:rPr>
        <w:t xml:space="preserve"> </w:t>
      </w:r>
      <w:r w:rsidR="006365D2">
        <w:rPr>
          <w:rFonts w:ascii="Palatino Linotype" w:hAnsi="Palatino Linotype"/>
          <w:sz w:val="24"/>
          <w:szCs w:val="24"/>
        </w:rPr>
        <w:t>as the</w:t>
      </w:r>
      <w:r w:rsidRPr="00DF25C0" w:rsidR="006365D2">
        <w:rPr>
          <w:rFonts w:ascii="Palatino Linotype" w:hAnsi="Palatino Linotype"/>
          <w:sz w:val="24"/>
          <w:szCs w:val="24"/>
        </w:rPr>
        <w:t xml:space="preserve"> </w:t>
      </w:r>
      <w:r w:rsidRPr="00DF25C0">
        <w:rPr>
          <w:rFonts w:ascii="Palatino Linotype" w:hAnsi="Palatino Linotype"/>
          <w:sz w:val="24"/>
          <w:szCs w:val="24"/>
        </w:rPr>
        <w:t>Very Low</w:t>
      </w:r>
      <w:r w:rsidR="00F869E0">
        <w:rPr>
          <w:rFonts w:ascii="Palatino Linotype" w:hAnsi="Palatino Linotype"/>
          <w:sz w:val="24"/>
          <w:szCs w:val="24"/>
        </w:rPr>
        <w:t xml:space="preserve"> Rigor</w:t>
      </w:r>
      <w:r w:rsidRPr="00DF25C0">
        <w:rPr>
          <w:rFonts w:ascii="Palatino Linotype" w:hAnsi="Palatino Linotype"/>
          <w:sz w:val="24"/>
          <w:szCs w:val="24"/>
        </w:rPr>
        <w:t xml:space="preserve"> </w:t>
      </w:r>
      <w:r w:rsidR="002553FC">
        <w:rPr>
          <w:rFonts w:ascii="Palatino Linotype" w:hAnsi="Palatino Linotype"/>
          <w:sz w:val="24"/>
          <w:szCs w:val="24"/>
        </w:rPr>
        <w:t>t</w:t>
      </w:r>
      <w:r w:rsidRPr="00DF25C0">
        <w:rPr>
          <w:rFonts w:ascii="Palatino Linotype" w:hAnsi="Palatino Linotype"/>
          <w:sz w:val="24"/>
          <w:szCs w:val="24"/>
        </w:rPr>
        <w:t xml:space="preserve">ier. </w:t>
      </w:r>
      <w:r w:rsidR="009B124E">
        <w:rPr>
          <w:rFonts w:ascii="Palatino Linotype" w:hAnsi="Palatino Linotype"/>
          <w:sz w:val="24"/>
          <w:szCs w:val="24"/>
        </w:rPr>
        <w:t>Therefore, the adopted Tiers shall be the following:</w:t>
      </w:r>
    </w:p>
    <w:p w:rsidRPr="00DF25C0" w:rsidR="00D33E15" w:rsidP="00AE16D0" w:rsidRDefault="00D33E15" w14:paraId="5CFD10B9" w14:textId="20EA2E48">
      <w:pPr>
        <w:pStyle w:val="standard"/>
        <w:rPr>
          <w:rFonts w:ascii="Palatino Linotype" w:hAnsi="Palatino Linotype"/>
          <w:sz w:val="24"/>
          <w:szCs w:val="24"/>
        </w:rPr>
      </w:pPr>
      <w:r w:rsidRPr="00DF25C0">
        <w:rPr>
          <w:rFonts w:ascii="Palatino Linotype" w:hAnsi="Palatino Linotype"/>
          <w:sz w:val="24"/>
          <w:szCs w:val="24"/>
        </w:rPr>
        <w:t>a) “</w:t>
      </w:r>
      <w:r w:rsidR="005A58A5">
        <w:rPr>
          <w:rFonts w:ascii="Palatino Linotype" w:hAnsi="Palatino Linotype"/>
          <w:sz w:val="24"/>
          <w:szCs w:val="24"/>
        </w:rPr>
        <w:t>Full</w:t>
      </w:r>
      <w:r w:rsidRPr="00DF25C0" w:rsidR="005A58A5">
        <w:rPr>
          <w:rFonts w:ascii="Palatino Linotype" w:hAnsi="Palatino Linotype"/>
          <w:sz w:val="24"/>
          <w:szCs w:val="24"/>
        </w:rPr>
        <w:t xml:space="preserve"> </w:t>
      </w:r>
      <w:r w:rsidRPr="00DF25C0" w:rsidR="00932D6B">
        <w:rPr>
          <w:rFonts w:ascii="Palatino Linotype" w:hAnsi="Palatino Linotype"/>
          <w:sz w:val="24"/>
          <w:szCs w:val="24"/>
        </w:rPr>
        <w:t>Rigor</w:t>
      </w:r>
      <w:r w:rsidRPr="00DF25C0" w:rsidR="00D33CC3">
        <w:rPr>
          <w:rFonts w:ascii="Palatino Linotype" w:hAnsi="Palatino Linotype"/>
          <w:sz w:val="24"/>
          <w:szCs w:val="24"/>
        </w:rPr>
        <w:t>”</w:t>
      </w:r>
      <w:r w:rsidRPr="00DF25C0" w:rsidR="00932D6B">
        <w:rPr>
          <w:rFonts w:ascii="Palatino Linotype" w:hAnsi="Palatino Linotype"/>
          <w:sz w:val="24"/>
          <w:szCs w:val="24"/>
        </w:rPr>
        <w:t xml:space="preserve"> </w:t>
      </w:r>
      <w:r w:rsidRPr="00DF25C0">
        <w:rPr>
          <w:rFonts w:ascii="Palatino Linotype" w:hAnsi="Palatino Linotype"/>
          <w:sz w:val="24"/>
          <w:szCs w:val="24"/>
        </w:rPr>
        <w:t>tier for the largest projects, with incentives $100,000</w:t>
      </w:r>
      <w:r w:rsidR="005A58A5">
        <w:rPr>
          <w:rFonts w:ascii="Palatino Linotype" w:hAnsi="Palatino Linotype"/>
          <w:sz w:val="24"/>
          <w:szCs w:val="24"/>
        </w:rPr>
        <w:t xml:space="preserve"> and greater</w:t>
      </w:r>
      <w:r w:rsidRPr="00DF25C0">
        <w:rPr>
          <w:rFonts w:ascii="Palatino Linotype" w:hAnsi="Palatino Linotype"/>
          <w:sz w:val="24"/>
          <w:szCs w:val="24"/>
        </w:rPr>
        <w:t xml:space="preserve">, </w:t>
      </w:r>
    </w:p>
    <w:p w:rsidRPr="00DF25C0" w:rsidR="00D33E15" w:rsidP="00AE16D0" w:rsidRDefault="00D33E15" w14:paraId="7377721B" w14:textId="5B7386AC">
      <w:pPr>
        <w:pStyle w:val="standard"/>
        <w:rPr>
          <w:rFonts w:ascii="Palatino Linotype" w:hAnsi="Palatino Linotype"/>
          <w:sz w:val="24"/>
          <w:szCs w:val="24"/>
        </w:rPr>
      </w:pPr>
      <w:r w:rsidRPr="00DF25C0">
        <w:rPr>
          <w:rFonts w:ascii="Palatino Linotype" w:hAnsi="Palatino Linotype"/>
          <w:sz w:val="24"/>
          <w:szCs w:val="24"/>
        </w:rPr>
        <w:t xml:space="preserve">b) “Medium </w:t>
      </w:r>
      <w:r w:rsidRPr="00DF25C0" w:rsidR="00D33CC3">
        <w:rPr>
          <w:rFonts w:ascii="Palatino Linotype" w:hAnsi="Palatino Linotype"/>
          <w:sz w:val="24"/>
          <w:szCs w:val="24"/>
        </w:rPr>
        <w:t xml:space="preserve">Rigor” </w:t>
      </w:r>
      <w:r w:rsidRPr="00DF25C0">
        <w:rPr>
          <w:rFonts w:ascii="Palatino Linotype" w:hAnsi="Palatino Linotype"/>
          <w:sz w:val="24"/>
          <w:szCs w:val="24"/>
        </w:rPr>
        <w:t xml:space="preserve">tier for projects with incentives between $25,000 and </w:t>
      </w:r>
      <w:r w:rsidR="003868CF">
        <w:rPr>
          <w:rFonts w:ascii="Palatino Linotype" w:hAnsi="Palatino Linotype"/>
          <w:sz w:val="24"/>
          <w:szCs w:val="24"/>
        </w:rPr>
        <w:t xml:space="preserve">less than </w:t>
      </w:r>
      <w:r w:rsidRPr="00DF25C0">
        <w:rPr>
          <w:rFonts w:ascii="Palatino Linotype" w:hAnsi="Palatino Linotype"/>
          <w:sz w:val="24"/>
          <w:szCs w:val="24"/>
        </w:rPr>
        <w:t xml:space="preserve">$100,000, and </w:t>
      </w:r>
    </w:p>
    <w:p w:rsidRPr="00DF25C0" w:rsidR="00D33E15" w:rsidP="00AE16D0" w:rsidRDefault="00D33E15" w14:paraId="48615B09" w14:textId="7E853AF9">
      <w:pPr>
        <w:pStyle w:val="standard"/>
        <w:rPr>
          <w:rFonts w:ascii="Palatino Linotype" w:hAnsi="Palatino Linotype"/>
          <w:sz w:val="24"/>
          <w:szCs w:val="24"/>
        </w:rPr>
      </w:pPr>
      <w:r w:rsidRPr="00DF25C0">
        <w:rPr>
          <w:rFonts w:ascii="Palatino Linotype" w:hAnsi="Palatino Linotype"/>
          <w:sz w:val="24"/>
          <w:szCs w:val="24"/>
        </w:rPr>
        <w:t>c.</w:t>
      </w:r>
      <w:r w:rsidRPr="00DF25C0" w:rsidR="001C4558">
        <w:rPr>
          <w:rFonts w:ascii="Palatino Linotype" w:hAnsi="Palatino Linotype"/>
          <w:sz w:val="24"/>
          <w:szCs w:val="24"/>
        </w:rPr>
        <w:t>)</w:t>
      </w:r>
      <w:r w:rsidRPr="00DF25C0">
        <w:rPr>
          <w:rFonts w:ascii="Palatino Linotype" w:hAnsi="Palatino Linotype"/>
          <w:sz w:val="24"/>
          <w:szCs w:val="24"/>
        </w:rPr>
        <w:t xml:space="preserve"> “Low </w:t>
      </w:r>
      <w:r w:rsidRPr="00DF25C0" w:rsidR="00D33CC3">
        <w:rPr>
          <w:rFonts w:ascii="Palatino Linotype" w:hAnsi="Palatino Linotype"/>
          <w:sz w:val="24"/>
          <w:szCs w:val="24"/>
        </w:rPr>
        <w:t xml:space="preserve">Rigor” </w:t>
      </w:r>
      <w:r w:rsidRPr="00DF25C0">
        <w:rPr>
          <w:rFonts w:ascii="Palatino Linotype" w:hAnsi="Palatino Linotype"/>
          <w:sz w:val="24"/>
          <w:szCs w:val="24"/>
        </w:rPr>
        <w:t xml:space="preserve">tier for projects with incentives </w:t>
      </w:r>
      <w:r w:rsidR="005A58A5">
        <w:rPr>
          <w:rFonts w:ascii="Palatino Linotype" w:hAnsi="Palatino Linotype"/>
          <w:sz w:val="24"/>
          <w:szCs w:val="24"/>
        </w:rPr>
        <w:t xml:space="preserve">between $7,500 and </w:t>
      </w:r>
      <w:r w:rsidRPr="00DF25C0">
        <w:rPr>
          <w:rFonts w:ascii="Palatino Linotype" w:hAnsi="Palatino Linotype"/>
          <w:sz w:val="24"/>
          <w:szCs w:val="24"/>
        </w:rPr>
        <w:t xml:space="preserve">less than $25,000. </w:t>
      </w:r>
    </w:p>
    <w:p w:rsidRPr="00DF25C0" w:rsidR="00FF1CCB" w:rsidP="00AE16D0" w:rsidRDefault="00D33E15" w14:paraId="69A19AA8" w14:textId="5243AE2F">
      <w:pPr>
        <w:pStyle w:val="standard"/>
        <w:rPr>
          <w:rFonts w:ascii="Palatino Linotype" w:hAnsi="Palatino Linotype"/>
          <w:sz w:val="24"/>
          <w:szCs w:val="24"/>
        </w:rPr>
      </w:pPr>
      <w:r w:rsidRPr="00DF25C0">
        <w:rPr>
          <w:rFonts w:ascii="Palatino Linotype" w:hAnsi="Palatino Linotype"/>
          <w:sz w:val="24"/>
          <w:szCs w:val="24"/>
        </w:rPr>
        <w:t>d) “Very Low</w:t>
      </w:r>
      <w:r w:rsidRPr="00DF25C0" w:rsidR="00D33CC3">
        <w:rPr>
          <w:rFonts w:ascii="Palatino Linotype" w:hAnsi="Palatino Linotype"/>
          <w:sz w:val="24"/>
          <w:szCs w:val="24"/>
        </w:rPr>
        <w:t xml:space="preserve"> Rigor” </w:t>
      </w:r>
      <w:r w:rsidRPr="00DF25C0">
        <w:rPr>
          <w:rFonts w:ascii="Palatino Linotype" w:hAnsi="Palatino Linotype"/>
          <w:sz w:val="24"/>
          <w:szCs w:val="24"/>
        </w:rPr>
        <w:t>tier for projects with incentives less than $7,500.</w:t>
      </w:r>
    </w:p>
    <w:p w:rsidR="00021B7B" w:rsidP="00021B7B" w:rsidRDefault="00D33E15" w14:paraId="79B5968D" w14:textId="0F6D81CE">
      <w:pPr>
        <w:pStyle w:val="standard"/>
        <w:rPr>
          <w:rFonts w:ascii="Palatino Linotype" w:hAnsi="Palatino Linotype"/>
          <w:sz w:val="24"/>
          <w:szCs w:val="24"/>
        </w:rPr>
      </w:pPr>
      <w:r w:rsidRPr="00DF25C0">
        <w:rPr>
          <w:rFonts w:ascii="Palatino Linotype" w:hAnsi="Palatino Linotype"/>
          <w:sz w:val="24"/>
          <w:szCs w:val="24"/>
        </w:rPr>
        <w:t xml:space="preserve">We clarify here that </w:t>
      </w:r>
      <w:r w:rsidRPr="00DF25C0" w:rsidR="002F3C9C">
        <w:rPr>
          <w:rFonts w:ascii="Palatino Linotype" w:hAnsi="Palatino Linotype"/>
          <w:sz w:val="24"/>
          <w:szCs w:val="24"/>
        </w:rPr>
        <w:t>project developers (</w:t>
      </w:r>
      <w:r w:rsidRPr="00DF25C0">
        <w:rPr>
          <w:rFonts w:ascii="Palatino Linotype" w:hAnsi="Palatino Linotype"/>
          <w:sz w:val="24"/>
          <w:szCs w:val="24"/>
        </w:rPr>
        <w:t>program administrator</w:t>
      </w:r>
      <w:r w:rsidRPr="00DF25C0" w:rsidR="003F6DE5">
        <w:rPr>
          <w:rFonts w:ascii="Palatino Linotype" w:hAnsi="Palatino Linotype"/>
          <w:sz w:val="24"/>
          <w:szCs w:val="24"/>
        </w:rPr>
        <w:t>s and</w:t>
      </w:r>
      <w:r w:rsidRPr="00DF25C0">
        <w:rPr>
          <w:rFonts w:ascii="Palatino Linotype" w:hAnsi="Palatino Linotype"/>
          <w:sz w:val="24"/>
          <w:szCs w:val="24"/>
        </w:rPr>
        <w:t xml:space="preserve"> third-party program implementers</w:t>
      </w:r>
      <w:r w:rsidRPr="00DF25C0" w:rsidR="002F3C9C">
        <w:rPr>
          <w:rFonts w:ascii="Palatino Linotype" w:hAnsi="Palatino Linotype"/>
          <w:sz w:val="24"/>
          <w:szCs w:val="24"/>
        </w:rPr>
        <w:t>)</w:t>
      </w:r>
      <w:r w:rsidRPr="00DF25C0">
        <w:rPr>
          <w:rFonts w:ascii="Palatino Linotype" w:hAnsi="Palatino Linotype"/>
          <w:sz w:val="24"/>
          <w:szCs w:val="24"/>
        </w:rPr>
        <w:t xml:space="preserve"> must not disaggregate </w:t>
      </w:r>
      <w:r w:rsidRPr="00DF25C0" w:rsidR="0060039D">
        <w:rPr>
          <w:rFonts w:ascii="Palatino Linotype" w:hAnsi="Palatino Linotype"/>
          <w:sz w:val="24"/>
          <w:szCs w:val="24"/>
        </w:rPr>
        <w:t xml:space="preserve">custom </w:t>
      </w:r>
      <w:r w:rsidRPr="00DF25C0">
        <w:rPr>
          <w:rFonts w:ascii="Palatino Linotype" w:hAnsi="Palatino Linotype"/>
          <w:sz w:val="24"/>
          <w:szCs w:val="24"/>
        </w:rPr>
        <w:t xml:space="preserve">project measures into multiple “customer applications” that are actually a single activity carried out in phases, or separate the project into multiple applications that act to avoid </w:t>
      </w:r>
      <w:r w:rsidR="00750332">
        <w:rPr>
          <w:rFonts w:ascii="Palatino Linotype" w:hAnsi="Palatino Linotype"/>
          <w:sz w:val="24"/>
          <w:szCs w:val="24"/>
        </w:rPr>
        <w:t>the</w:t>
      </w:r>
      <w:r w:rsidR="00F527B7">
        <w:rPr>
          <w:rFonts w:ascii="Palatino Linotype" w:hAnsi="Palatino Linotype"/>
          <w:sz w:val="24"/>
          <w:szCs w:val="24"/>
        </w:rPr>
        <w:t xml:space="preserve"> </w:t>
      </w:r>
      <w:r w:rsidR="00882AC0">
        <w:rPr>
          <w:rFonts w:ascii="Palatino Linotype" w:hAnsi="Palatino Linotype"/>
          <w:sz w:val="24"/>
          <w:szCs w:val="24"/>
        </w:rPr>
        <w:t>customer incentive</w:t>
      </w:r>
      <w:r w:rsidR="00EF2775">
        <w:rPr>
          <w:rFonts w:ascii="Palatino Linotype" w:hAnsi="Palatino Linotype"/>
          <w:sz w:val="24"/>
          <w:szCs w:val="24"/>
        </w:rPr>
        <w:t xml:space="preserve"> </w:t>
      </w:r>
      <w:r w:rsidR="00EF2775">
        <w:rPr>
          <w:rFonts w:ascii="Palatino Linotype" w:hAnsi="Palatino Linotype"/>
          <w:sz w:val="24"/>
          <w:szCs w:val="24"/>
        </w:rPr>
        <w:lastRenderedPageBreak/>
        <w:t>level</w:t>
      </w:r>
      <w:r w:rsidR="00882AC0">
        <w:rPr>
          <w:rFonts w:ascii="Palatino Linotype" w:hAnsi="Palatino Linotype"/>
          <w:sz w:val="24"/>
          <w:szCs w:val="24"/>
        </w:rPr>
        <w:t xml:space="preserve"> </w:t>
      </w:r>
      <w:r w:rsidRPr="00DF25C0" w:rsidR="00882AC0">
        <w:rPr>
          <w:rFonts w:ascii="Palatino Linotype" w:hAnsi="Palatino Linotype"/>
          <w:sz w:val="24"/>
          <w:szCs w:val="24"/>
        </w:rPr>
        <w:t xml:space="preserve"> </w:t>
      </w:r>
      <w:r w:rsidRPr="00DF25C0">
        <w:rPr>
          <w:rFonts w:ascii="Palatino Linotype" w:hAnsi="Palatino Linotype"/>
          <w:sz w:val="24"/>
          <w:szCs w:val="24"/>
        </w:rPr>
        <w:t>threshold</w:t>
      </w:r>
      <w:r w:rsidR="00750332">
        <w:rPr>
          <w:rFonts w:ascii="Palatino Linotype" w:hAnsi="Palatino Linotype"/>
          <w:sz w:val="24"/>
          <w:szCs w:val="24"/>
        </w:rPr>
        <w:t>s</w:t>
      </w:r>
      <w:r w:rsidRPr="00DF25C0">
        <w:rPr>
          <w:rFonts w:ascii="Palatino Linotype" w:hAnsi="Palatino Linotype"/>
          <w:sz w:val="24"/>
          <w:szCs w:val="24"/>
        </w:rPr>
        <w:t>.</w:t>
      </w:r>
      <w:r w:rsidR="00F4253E">
        <w:rPr>
          <w:rFonts w:ascii="Palatino Linotype" w:hAnsi="Palatino Linotype"/>
          <w:sz w:val="24"/>
          <w:szCs w:val="24"/>
        </w:rPr>
        <w:t xml:space="preserve"> </w:t>
      </w:r>
      <w:r w:rsidR="00882AC0">
        <w:rPr>
          <w:rFonts w:ascii="Palatino Linotype" w:hAnsi="Palatino Linotype"/>
          <w:sz w:val="24"/>
          <w:szCs w:val="24"/>
        </w:rPr>
        <w:t xml:space="preserve"> A program administrator will inform CPUC staff </w:t>
      </w:r>
      <w:r w:rsidR="00EE1FAA">
        <w:rPr>
          <w:rFonts w:ascii="Palatino Linotype" w:hAnsi="Palatino Linotype"/>
          <w:sz w:val="24"/>
          <w:szCs w:val="24"/>
        </w:rPr>
        <w:t>in its bi-monthly projects summary list submission</w:t>
      </w:r>
      <w:r w:rsidR="00F77AE0">
        <w:rPr>
          <w:rFonts w:ascii="Palatino Linotype" w:hAnsi="Palatino Linotype"/>
          <w:sz w:val="24"/>
          <w:szCs w:val="24"/>
        </w:rPr>
        <w:t>s</w:t>
      </w:r>
      <w:r w:rsidR="00EE1FAA">
        <w:rPr>
          <w:rFonts w:ascii="Palatino Linotype" w:hAnsi="Palatino Linotype"/>
          <w:sz w:val="24"/>
          <w:szCs w:val="24"/>
        </w:rPr>
        <w:t xml:space="preserve"> </w:t>
      </w:r>
      <w:r w:rsidR="00882AC0">
        <w:rPr>
          <w:rFonts w:ascii="Palatino Linotype" w:hAnsi="Palatino Linotype"/>
          <w:sz w:val="24"/>
          <w:szCs w:val="24"/>
        </w:rPr>
        <w:t>should an activity or project must be split into multiple applications and provide the rationale</w:t>
      </w:r>
      <w:r w:rsidR="00EF2775">
        <w:rPr>
          <w:rFonts w:ascii="Palatino Linotype" w:hAnsi="Palatino Linotype"/>
          <w:sz w:val="24"/>
          <w:szCs w:val="24"/>
        </w:rPr>
        <w:t xml:space="preserve"> for CPUC staff’s approval</w:t>
      </w:r>
      <w:r w:rsidR="00882AC0">
        <w:rPr>
          <w:rFonts w:ascii="Palatino Linotype" w:hAnsi="Palatino Linotype"/>
          <w:sz w:val="24"/>
          <w:szCs w:val="24"/>
        </w:rPr>
        <w:t>.</w:t>
      </w:r>
      <w:r w:rsidR="00EE1FAA">
        <w:rPr>
          <w:rStyle w:val="FootnoteReference"/>
          <w:rFonts w:ascii="Palatino Linotype" w:hAnsi="Palatino Linotype"/>
          <w:sz w:val="24"/>
          <w:szCs w:val="24"/>
        </w:rPr>
        <w:footnoteReference w:id="26"/>
      </w:r>
      <w:r w:rsidR="00882AC0">
        <w:rPr>
          <w:rFonts w:ascii="Palatino Linotype" w:hAnsi="Palatino Linotype"/>
          <w:sz w:val="24"/>
          <w:szCs w:val="24"/>
        </w:rPr>
        <w:t xml:space="preserve">  As part of its custom projects review selection process, CPUC staff will assess to ensure that a single project or activity is not disaggregated into multiple customer applications to avoid the customer incentive </w:t>
      </w:r>
      <w:r w:rsidR="00EF2775">
        <w:rPr>
          <w:rFonts w:ascii="Palatino Linotype" w:hAnsi="Palatino Linotype"/>
          <w:sz w:val="24"/>
          <w:szCs w:val="24"/>
        </w:rPr>
        <w:t xml:space="preserve">level </w:t>
      </w:r>
      <w:r w:rsidR="00882AC0">
        <w:rPr>
          <w:rFonts w:ascii="Palatino Linotype" w:hAnsi="Palatino Linotype"/>
          <w:sz w:val="24"/>
          <w:szCs w:val="24"/>
        </w:rPr>
        <w:t>thresholds.</w:t>
      </w:r>
      <w:r w:rsidRPr="00021B7B" w:rsidR="00021B7B">
        <w:rPr>
          <w:rFonts w:ascii="Palatino Linotype" w:hAnsi="Palatino Linotype"/>
          <w:sz w:val="24"/>
          <w:szCs w:val="24"/>
        </w:rPr>
        <w:t xml:space="preserve"> </w:t>
      </w:r>
    </w:p>
    <w:p w:rsidRPr="00DF25C0" w:rsidR="00021B7B" w:rsidP="00021B7B" w:rsidRDefault="00021B7B" w14:paraId="7F1DD77B" w14:textId="27CE52D8">
      <w:pPr>
        <w:pStyle w:val="standard"/>
        <w:rPr>
          <w:rFonts w:ascii="Palatino Linotype" w:hAnsi="Palatino Linotype"/>
          <w:sz w:val="24"/>
          <w:szCs w:val="24"/>
        </w:rPr>
      </w:pPr>
      <w:r>
        <w:rPr>
          <w:rFonts w:ascii="Palatino Linotype" w:hAnsi="Palatino Linotype"/>
          <w:sz w:val="24"/>
          <w:szCs w:val="24"/>
        </w:rPr>
        <w:t xml:space="preserve">Finally, since </w:t>
      </w:r>
      <w:r w:rsidRPr="00DF25C0">
        <w:rPr>
          <w:rFonts w:ascii="Palatino Linotype" w:hAnsi="Palatino Linotype"/>
          <w:sz w:val="24"/>
          <w:szCs w:val="24"/>
        </w:rPr>
        <w:t xml:space="preserve">the T2WG discussions focused </w:t>
      </w:r>
      <w:r>
        <w:rPr>
          <w:rFonts w:ascii="Palatino Linotype" w:hAnsi="Palatino Linotype"/>
          <w:sz w:val="24"/>
          <w:szCs w:val="24"/>
        </w:rPr>
        <w:t xml:space="preserve">only </w:t>
      </w:r>
      <w:r w:rsidRPr="00DF25C0">
        <w:rPr>
          <w:rFonts w:ascii="Palatino Linotype" w:hAnsi="Palatino Linotype"/>
          <w:sz w:val="24"/>
          <w:szCs w:val="24"/>
        </w:rPr>
        <w:t>on custom projects, we direct</w:t>
      </w:r>
      <w:r>
        <w:rPr>
          <w:rFonts w:ascii="Palatino Linotype" w:hAnsi="Palatino Linotype"/>
          <w:sz w:val="24"/>
          <w:szCs w:val="24"/>
        </w:rPr>
        <w:t xml:space="preserve"> here</w:t>
      </w:r>
      <w:r w:rsidRPr="00DF25C0">
        <w:rPr>
          <w:rFonts w:ascii="Palatino Linotype" w:hAnsi="Palatino Linotype"/>
          <w:sz w:val="24"/>
          <w:szCs w:val="24"/>
        </w:rPr>
        <w:t xml:space="preserve"> CPUC staff to convene a stakeholder workshop to determine the appropriate </w:t>
      </w:r>
      <w:r>
        <w:rPr>
          <w:rFonts w:ascii="Palatino Linotype" w:hAnsi="Palatino Linotype"/>
          <w:sz w:val="24"/>
          <w:szCs w:val="24"/>
        </w:rPr>
        <w:t xml:space="preserve">customer rebate or </w:t>
      </w:r>
      <w:r w:rsidRPr="00DF25C0">
        <w:rPr>
          <w:rFonts w:ascii="Palatino Linotype" w:hAnsi="Palatino Linotype"/>
          <w:sz w:val="24"/>
          <w:szCs w:val="24"/>
        </w:rPr>
        <w:t xml:space="preserve">incentive levels for the </w:t>
      </w:r>
      <w:r>
        <w:rPr>
          <w:rFonts w:ascii="Palatino Linotype" w:hAnsi="Palatino Linotype"/>
          <w:sz w:val="24"/>
          <w:szCs w:val="24"/>
        </w:rPr>
        <w:t>preponderance of evidence</w:t>
      </w:r>
      <w:r w:rsidRPr="00DF25C0">
        <w:rPr>
          <w:rFonts w:ascii="Palatino Linotype" w:hAnsi="Palatino Linotype"/>
          <w:sz w:val="24"/>
          <w:szCs w:val="24"/>
        </w:rPr>
        <w:t xml:space="preserve"> requirements of deemed measures equipment viability </w:t>
      </w:r>
      <w:r>
        <w:rPr>
          <w:rFonts w:ascii="Palatino Linotype" w:hAnsi="Palatino Linotype"/>
          <w:sz w:val="24"/>
          <w:szCs w:val="24"/>
        </w:rPr>
        <w:t xml:space="preserve">and program influence </w:t>
      </w:r>
      <w:r w:rsidRPr="00DF25C0">
        <w:rPr>
          <w:rFonts w:ascii="Palatino Linotype" w:hAnsi="Palatino Linotype"/>
          <w:sz w:val="24"/>
          <w:szCs w:val="24"/>
        </w:rPr>
        <w:t>to support an accelerated replacement baseline consideration.</w:t>
      </w:r>
    </w:p>
    <w:p w:rsidRPr="00DF25C0" w:rsidR="00D33E15" w:rsidP="00882AC0" w:rsidRDefault="00D33E15" w14:paraId="1AE5F9BF" w14:textId="36E07C40">
      <w:pPr>
        <w:pStyle w:val="standard"/>
        <w:rPr>
          <w:rFonts w:ascii="Palatino Linotype" w:hAnsi="Palatino Linotype"/>
          <w:sz w:val="24"/>
          <w:szCs w:val="24"/>
        </w:rPr>
      </w:pPr>
    </w:p>
    <w:p w:rsidRPr="00581763" w:rsidR="00D33E15" w:rsidP="004E572F" w:rsidRDefault="00581763" w14:paraId="4A0457FB" w14:textId="07A74757">
      <w:pPr>
        <w:pStyle w:val="standard"/>
        <w:ind w:left="1440" w:firstLine="0"/>
        <w:rPr>
          <w:rFonts w:ascii="Palatino Linotype" w:hAnsi="Palatino Linotype"/>
          <w:b/>
          <w:bCs/>
          <w:sz w:val="24"/>
          <w:szCs w:val="24"/>
          <w:u w:val="single"/>
        </w:rPr>
      </w:pPr>
      <w:r w:rsidRPr="00581763">
        <w:rPr>
          <w:rFonts w:ascii="Palatino Linotype" w:hAnsi="Palatino Linotype"/>
          <w:b/>
          <w:bCs/>
          <w:sz w:val="24"/>
          <w:szCs w:val="24"/>
          <w:u w:val="single"/>
        </w:rPr>
        <w:t>4.2</w:t>
      </w:r>
      <w:r w:rsidR="00EA30E6">
        <w:rPr>
          <w:rFonts w:ascii="Palatino Linotype" w:hAnsi="Palatino Linotype"/>
          <w:b/>
          <w:bCs/>
          <w:sz w:val="24"/>
          <w:szCs w:val="24"/>
          <w:u w:val="single"/>
        </w:rPr>
        <w:t xml:space="preserve">. </w:t>
      </w:r>
      <w:r w:rsidRPr="00581763">
        <w:rPr>
          <w:rFonts w:ascii="Palatino Linotype" w:hAnsi="Palatino Linotype"/>
          <w:b/>
          <w:bCs/>
          <w:sz w:val="24"/>
          <w:szCs w:val="24"/>
          <w:u w:val="single"/>
        </w:rPr>
        <w:t xml:space="preserve"> </w:t>
      </w:r>
      <w:r w:rsidR="00A7636C">
        <w:rPr>
          <w:rFonts w:ascii="Palatino Linotype" w:hAnsi="Palatino Linotype"/>
          <w:b/>
          <w:bCs/>
          <w:sz w:val="24"/>
          <w:szCs w:val="24"/>
          <w:u w:val="single"/>
        </w:rPr>
        <w:t>Preponderance of Evidence</w:t>
      </w:r>
      <w:r w:rsidRPr="00581763" w:rsidR="00A7636C">
        <w:rPr>
          <w:rFonts w:ascii="Palatino Linotype" w:hAnsi="Palatino Linotype"/>
          <w:b/>
          <w:bCs/>
          <w:sz w:val="24"/>
          <w:szCs w:val="24"/>
          <w:u w:val="single"/>
        </w:rPr>
        <w:t xml:space="preserve"> </w:t>
      </w:r>
      <w:r w:rsidRPr="00581763" w:rsidR="007D1212">
        <w:rPr>
          <w:rFonts w:ascii="Palatino Linotype" w:hAnsi="Palatino Linotype"/>
          <w:b/>
          <w:bCs/>
          <w:sz w:val="24"/>
          <w:szCs w:val="24"/>
          <w:u w:val="single"/>
        </w:rPr>
        <w:t xml:space="preserve">Requirements for </w:t>
      </w:r>
      <w:r w:rsidRPr="00581763" w:rsidR="00D33E15">
        <w:rPr>
          <w:rFonts w:ascii="Palatino Linotype" w:hAnsi="Palatino Linotype"/>
          <w:b/>
          <w:bCs/>
          <w:sz w:val="24"/>
          <w:szCs w:val="24"/>
          <w:u w:val="single"/>
        </w:rPr>
        <w:t xml:space="preserve">Equipment Viability </w:t>
      </w:r>
      <w:r w:rsidRPr="00581763" w:rsidR="009D4EEB">
        <w:rPr>
          <w:rFonts w:ascii="Palatino Linotype" w:hAnsi="Palatino Linotype"/>
          <w:b/>
          <w:bCs/>
          <w:sz w:val="24"/>
          <w:szCs w:val="24"/>
          <w:u w:val="single"/>
        </w:rPr>
        <w:t>for</w:t>
      </w:r>
      <w:r w:rsidRPr="00581763" w:rsidR="00900729">
        <w:rPr>
          <w:rFonts w:ascii="Palatino Linotype" w:hAnsi="Palatino Linotype"/>
          <w:b/>
          <w:bCs/>
          <w:sz w:val="24"/>
          <w:szCs w:val="24"/>
          <w:u w:val="single"/>
        </w:rPr>
        <w:t xml:space="preserve"> the</w:t>
      </w:r>
      <w:r w:rsidRPr="00581763" w:rsidR="009D4EEB">
        <w:rPr>
          <w:rFonts w:ascii="Palatino Linotype" w:hAnsi="Palatino Linotype"/>
          <w:b/>
          <w:bCs/>
          <w:sz w:val="24"/>
          <w:szCs w:val="24"/>
          <w:u w:val="single"/>
        </w:rPr>
        <w:t xml:space="preserve"> Very Low</w:t>
      </w:r>
      <w:r w:rsidRPr="00581763" w:rsidR="00E55C8A">
        <w:rPr>
          <w:rFonts w:ascii="Palatino Linotype" w:hAnsi="Palatino Linotype"/>
          <w:b/>
          <w:bCs/>
          <w:sz w:val="24"/>
          <w:szCs w:val="24"/>
          <w:u w:val="single"/>
        </w:rPr>
        <w:t xml:space="preserve">, Low and Medium Rigor </w:t>
      </w:r>
      <w:r w:rsidRPr="00581763" w:rsidR="00900729">
        <w:rPr>
          <w:rFonts w:ascii="Palatino Linotype" w:hAnsi="Palatino Linotype"/>
          <w:b/>
          <w:bCs/>
          <w:sz w:val="24"/>
          <w:szCs w:val="24"/>
          <w:u w:val="single"/>
        </w:rPr>
        <w:t xml:space="preserve">Customer Incentive Level </w:t>
      </w:r>
      <w:r w:rsidRPr="00581763" w:rsidR="00E55C8A">
        <w:rPr>
          <w:rFonts w:ascii="Palatino Linotype" w:hAnsi="Palatino Linotype"/>
          <w:b/>
          <w:bCs/>
          <w:sz w:val="24"/>
          <w:szCs w:val="24"/>
          <w:u w:val="single"/>
        </w:rPr>
        <w:t>Tiers</w:t>
      </w:r>
    </w:p>
    <w:p w:rsidRPr="006365D2" w:rsidR="00D33E15" w:rsidP="00652856" w:rsidRDefault="003C0C77" w14:paraId="23B025E1" w14:textId="6FE5FED2">
      <w:pPr>
        <w:pStyle w:val="standard"/>
        <w:rPr>
          <w:rFonts w:ascii="Palatino Linotype" w:hAnsi="Palatino Linotype"/>
          <w:sz w:val="24"/>
          <w:szCs w:val="24"/>
        </w:rPr>
      </w:pPr>
      <w:r w:rsidRPr="006365D2">
        <w:rPr>
          <w:rFonts w:ascii="Palatino Linotype" w:hAnsi="Palatino Linotype"/>
          <w:sz w:val="24"/>
          <w:szCs w:val="24"/>
        </w:rPr>
        <w:t xml:space="preserve">For the </w:t>
      </w:r>
      <w:r w:rsidRPr="006365D2" w:rsidR="003B7A5F">
        <w:rPr>
          <w:rFonts w:ascii="Palatino Linotype" w:hAnsi="Palatino Linotype"/>
          <w:sz w:val="24"/>
          <w:szCs w:val="24"/>
          <w:u w:val="single"/>
        </w:rPr>
        <w:t>Very Low, Low and Medium</w:t>
      </w:r>
      <w:r w:rsidRPr="006365D2" w:rsidDel="003B7A5F" w:rsidR="003B7A5F">
        <w:rPr>
          <w:rFonts w:ascii="Palatino Linotype" w:hAnsi="Palatino Linotype"/>
          <w:sz w:val="24"/>
          <w:szCs w:val="24"/>
        </w:rPr>
        <w:t xml:space="preserve"> </w:t>
      </w:r>
      <w:r w:rsidRPr="006365D2">
        <w:rPr>
          <w:rFonts w:ascii="Palatino Linotype" w:hAnsi="Palatino Linotype"/>
          <w:sz w:val="24"/>
          <w:szCs w:val="24"/>
        </w:rPr>
        <w:t>Rigor</w:t>
      </w:r>
      <w:r w:rsidRPr="006365D2" w:rsidR="003B7A5F">
        <w:rPr>
          <w:rFonts w:ascii="Palatino Linotype" w:hAnsi="Palatino Linotype"/>
          <w:sz w:val="24"/>
          <w:szCs w:val="24"/>
        </w:rPr>
        <w:t xml:space="preserve"> customer incentive</w:t>
      </w:r>
      <w:r w:rsidRPr="006365D2">
        <w:rPr>
          <w:rFonts w:ascii="Palatino Linotype" w:hAnsi="Palatino Linotype"/>
          <w:sz w:val="24"/>
          <w:szCs w:val="24"/>
        </w:rPr>
        <w:t xml:space="preserve"> tiers, we adopt the T2WG Final Report proposed Evidence of Equipment Viability Requirements </w:t>
      </w:r>
      <w:r w:rsidRPr="006365D2" w:rsidR="00021B7B">
        <w:rPr>
          <w:rFonts w:ascii="Palatino Linotype" w:hAnsi="Palatino Linotype"/>
          <w:sz w:val="24"/>
          <w:szCs w:val="24"/>
        </w:rPr>
        <w:t xml:space="preserve">for custom projects </w:t>
      </w:r>
      <w:r w:rsidRPr="006365D2">
        <w:rPr>
          <w:rFonts w:ascii="Palatino Linotype" w:hAnsi="Palatino Linotype"/>
          <w:sz w:val="24"/>
          <w:szCs w:val="24"/>
        </w:rPr>
        <w:t>with modifications in Table 5 below.</w:t>
      </w:r>
      <w:r w:rsidRPr="006365D2" w:rsidR="00AE6B1C">
        <w:rPr>
          <w:rStyle w:val="FootnoteReference"/>
          <w:rFonts w:ascii="Palatino Linotype" w:hAnsi="Palatino Linotype"/>
          <w:sz w:val="24"/>
          <w:szCs w:val="24"/>
        </w:rPr>
        <w:footnoteReference w:id="27"/>
      </w:r>
      <w:r w:rsidRPr="006365D2">
        <w:rPr>
          <w:rFonts w:ascii="Palatino Linotype" w:hAnsi="Palatino Linotype"/>
          <w:sz w:val="24"/>
          <w:szCs w:val="24"/>
        </w:rPr>
        <w:t xml:space="preserve"> </w:t>
      </w:r>
    </w:p>
    <w:p w:rsidRPr="00DF25C0" w:rsidR="00CB2260" w:rsidP="00D33E15" w:rsidRDefault="00CB2260" w14:paraId="0B66A78F" w14:textId="77777777">
      <w:pPr>
        <w:pStyle w:val="standard"/>
        <w:rPr>
          <w:rFonts w:ascii="Palatino Linotype" w:hAnsi="Palatino Linotype"/>
          <w:sz w:val="24"/>
          <w:szCs w:val="24"/>
        </w:rPr>
      </w:pPr>
    </w:p>
    <w:p w:rsidRPr="00DF25C0" w:rsidR="00D33E15" w:rsidP="00CB2260" w:rsidRDefault="00D33E15" w14:paraId="37A9FF95" w14:textId="62CC977D">
      <w:pPr>
        <w:pStyle w:val="standard"/>
        <w:ind w:firstLine="0"/>
        <w:rPr>
          <w:rFonts w:ascii="Palatino Linotype" w:hAnsi="Palatino Linotype"/>
          <w:b/>
          <w:sz w:val="24"/>
          <w:szCs w:val="24"/>
        </w:rPr>
      </w:pPr>
      <w:r w:rsidRPr="00DF25C0">
        <w:rPr>
          <w:rFonts w:ascii="Palatino Linotype" w:hAnsi="Palatino Linotype"/>
          <w:b/>
          <w:sz w:val="24"/>
          <w:szCs w:val="24"/>
        </w:rPr>
        <w:t xml:space="preserve">Table </w:t>
      </w:r>
      <w:r w:rsidR="00045355">
        <w:rPr>
          <w:rFonts w:ascii="Palatino Linotype" w:hAnsi="Palatino Linotype"/>
          <w:b/>
          <w:sz w:val="24"/>
          <w:szCs w:val="24"/>
        </w:rPr>
        <w:t>5</w:t>
      </w:r>
      <w:r w:rsidRPr="00DF25C0" w:rsidR="00045355">
        <w:rPr>
          <w:rFonts w:ascii="Palatino Linotype" w:hAnsi="Palatino Linotype"/>
          <w:b/>
          <w:sz w:val="24"/>
          <w:szCs w:val="24"/>
        </w:rPr>
        <w:t xml:space="preserve"> </w:t>
      </w:r>
      <w:r w:rsidRPr="00DF25C0">
        <w:rPr>
          <w:rFonts w:ascii="Palatino Linotype" w:hAnsi="Palatino Linotype"/>
          <w:b/>
          <w:sz w:val="24"/>
          <w:szCs w:val="24"/>
        </w:rPr>
        <w:t>Evidence of Equipment Viability Requirements</w:t>
      </w:r>
    </w:p>
    <w:tbl>
      <w:tblPr>
        <w:tblW w:w="3716"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797"/>
        <w:gridCol w:w="1789"/>
        <w:gridCol w:w="1735"/>
        <w:gridCol w:w="1829"/>
      </w:tblGrid>
      <w:tr w:rsidRPr="00DF25C0" w:rsidR="003B7235" w:rsidTr="003B7235" w14:paraId="41A02F5F" w14:textId="77777777">
        <w:trPr>
          <w:trHeight w:val="266"/>
        </w:trPr>
        <w:tc>
          <w:tcPr>
            <w:tcW w:w="1257" w:type="pct"/>
            <w:shd w:val="clear" w:color="auto" w:fill="7F7F7F" w:themeFill="text1" w:themeFillTint="80"/>
            <w:vAlign w:val="center"/>
            <w:hideMark/>
          </w:tcPr>
          <w:p w:rsidRPr="003B7235" w:rsidR="003B7235" w:rsidP="009B678D" w:rsidRDefault="003B7235" w14:paraId="4A926061" w14:textId="77777777">
            <w:pPr>
              <w:pStyle w:val="standard"/>
              <w:ind w:firstLine="0"/>
              <w:rPr>
                <w:rFonts w:ascii="Palatino Linotype" w:hAnsi="Palatino Linotype"/>
                <w:b/>
                <w:bCs/>
                <w:sz w:val="24"/>
                <w:szCs w:val="24"/>
              </w:rPr>
            </w:pPr>
            <w:r w:rsidRPr="003B7235">
              <w:rPr>
                <w:rFonts w:ascii="Palatino Linotype" w:hAnsi="Palatino Linotype"/>
                <w:b/>
                <w:bCs/>
                <w:sz w:val="24"/>
                <w:szCs w:val="24"/>
              </w:rPr>
              <w:t>Topic</w:t>
            </w:r>
          </w:p>
        </w:tc>
        <w:tc>
          <w:tcPr>
            <w:tcW w:w="1251" w:type="pct"/>
            <w:shd w:val="clear" w:color="auto" w:fill="808080" w:themeFill="background1" w:themeFillShade="80"/>
            <w:vAlign w:val="center"/>
            <w:hideMark/>
          </w:tcPr>
          <w:p w:rsidRPr="00DF25C0" w:rsidR="003B7235" w:rsidP="009B678D" w:rsidRDefault="003B7235" w14:paraId="6C884EC4" w14:textId="77777777">
            <w:pPr>
              <w:pStyle w:val="standard"/>
              <w:ind w:firstLine="0"/>
              <w:rPr>
                <w:rFonts w:ascii="Palatino Linotype" w:hAnsi="Palatino Linotype"/>
                <w:b/>
                <w:bCs/>
                <w:sz w:val="24"/>
                <w:szCs w:val="24"/>
              </w:rPr>
            </w:pPr>
            <w:r w:rsidRPr="00DF25C0">
              <w:rPr>
                <w:rFonts w:ascii="Palatino Linotype" w:hAnsi="Palatino Linotype"/>
                <w:b/>
                <w:bCs/>
                <w:sz w:val="24"/>
                <w:szCs w:val="24"/>
              </w:rPr>
              <w:t>Very Low</w:t>
            </w:r>
          </w:p>
        </w:tc>
        <w:tc>
          <w:tcPr>
            <w:tcW w:w="1213" w:type="pct"/>
            <w:shd w:val="clear" w:color="auto" w:fill="808080" w:themeFill="background1" w:themeFillShade="80"/>
            <w:vAlign w:val="center"/>
            <w:hideMark/>
          </w:tcPr>
          <w:p w:rsidRPr="00DF25C0" w:rsidR="003B7235" w:rsidP="009B678D" w:rsidRDefault="003B7235" w14:paraId="444293C3" w14:textId="77777777">
            <w:pPr>
              <w:pStyle w:val="standard"/>
              <w:ind w:firstLine="0"/>
              <w:rPr>
                <w:rFonts w:ascii="Palatino Linotype" w:hAnsi="Palatino Linotype"/>
                <w:b/>
                <w:bCs/>
                <w:sz w:val="24"/>
                <w:szCs w:val="24"/>
              </w:rPr>
            </w:pPr>
            <w:r w:rsidRPr="00DF25C0">
              <w:rPr>
                <w:rFonts w:ascii="Palatino Linotype" w:hAnsi="Palatino Linotype"/>
                <w:b/>
                <w:bCs/>
                <w:sz w:val="24"/>
                <w:szCs w:val="24"/>
              </w:rPr>
              <w:t>Low</w:t>
            </w:r>
          </w:p>
        </w:tc>
        <w:tc>
          <w:tcPr>
            <w:tcW w:w="1280" w:type="pct"/>
            <w:shd w:val="clear" w:color="auto" w:fill="808080" w:themeFill="background1" w:themeFillShade="80"/>
            <w:vAlign w:val="center"/>
            <w:hideMark/>
          </w:tcPr>
          <w:p w:rsidRPr="00DF25C0" w:rsidR="003B7235" w:rsidP="009B678D" w:rsidRDefault="003B7235" w14:paraId="492B82AC" w14:textId="77777777">
            <w:pPr>
              <w:pStyle w:val="standard"/>
              <w:ind w:firstLine="0"/>
              <w:rPr>
                <w:rFonts w:ascii="Palatino Linotype" w:hAnsi="Palatino Linotype"/>
                <w:b/>
                <w:bCs/>
                <w:sz w:val="24"/>
                <w:szCs w:val="24"/>
              </w:rPr>
            </w:pPr>
            <w:r w:rsidRPr="00DF25C0">
              <w:rPr>
                <w:rFonts w:ascii="Palatino Linotype" w:hAnsi="Palatino Linotype"/>
                <w:b/>
                <w:bCs/>
                <w:sz w:val="24"/>
                <w:szCs w:val="24"/>
              </w:rPr>
              <w:t>Medium</w:t>
            </w:r>
          </w:p>
        </w:tc>
      </w:tr>
      <w:tr w:rsidRPr="00DF25C0" w:rsidR="003B7235" w:rsidTr="003B7235" w14:paraId="255A1618" w14:textId="77777777">
        <w:trPr>
          <w:trHeight w:val="731"/>
        </w:trPr>
        <w:tc>
          <w:tcPr>
            <w:tcW w:w="1257" w:type="pct"/>
            <w:shd w:val="clear" w:color="auto" w:fill="7F7F7F" w:themeFill="text1" w:themeFillTint="80"/>
            <w:vAlign w:val="center"/>
            <w:hideMark/>
          </w:tcPr>
          <w:p w:rsidRPr="003B7235" w:rsidR="003B7235" w:rsidP="009B678D" w:rsidRDefault="003B7235" w14:paraId="5A2ABFDD" w14:textId="4FEF0259">
            <w:pPr>
              <w:pStyle w:val="standard"/>
              <w:ind w:firstLine="0"/>
              <w:rPr>
                <w:rFonts w:ascii="Palatino Linotype" w:hAnsi="Palatino Linotype"/>
                <w:b/>
                <w:bCs/>
                <w:sz w:val="24"/>
                <w:szCs w:val="24"/>
              </w:rPr>
            </w:pPr>
            <w:r w:rsidRPr="003B7235">
              <w:rPr>
                <w:rFonts w:ascii="Palatino Linotype" w:hAnsi="Palatino Linotype"/>
                <w:b/>
                <w:bCs/>
                <w:sz w:val="24"/>
                <w:szCs w:val="24"/>
              </w:rPr>
              <w:t>Customer Incentive threshold</w:t>
            </w:r>
          </w:p>
        </w:tc>
        <w:tc>
          <w:tcPr>
            <w:tcW w:w="1251" w:type="pct"/>
            <w:shd w:val="clear" w:color="auto" w:fill="auto"/>
            <w:vAlign w:val="center"/>
            <w:hideMark/>
          </w:tcPr>
          <w:p w:rsidRPr="00DF25C0" w:rsidR="003B7235" w:rsidP="009B678D" w:rsidRDefault="003B7235" w14:paraId="350F5CC6" w14:textId="77777777">
            <w:pPr>
              <w:pStyle w:val="standard"/>
              <w:ind w:firstLine="0"/>
              <w:rPr>
                <w:rFonts w:ascii="Palatino Linotype" w:hAnsi="Palatino Linotype"/>
                <w:sz w:val="24"/>
                <w:szCs w:val="24"/>
              </w:rPr>
            </w:pPr>
            <w:r w:rsidRPr="00DF25C0">
              <w:rPr>
                <w:rFonts w:ascii="Palatino Linotype" w:hAnsi="Palatino Linotype"/>
                <w:sz w:val="24"/>
                <w:szCs w:val="24"/>
              </w:rPr>
              <w:t>Up to $7,500</w:t>
            </w:r>
          </w:p>
        </w:tc>
        <w:tc>
          <w:tcPr>
            <w:tcW w:w="1213" w:type="pct"/>
            <w:shd w:val="clear" w:color="auto" w:fill="auto"/>
            <w:vAlign w:val="center"/>
            <w:hideMark/>
          </w:tcPr>
          <w:p w:rsidRPr="00DF25C0" w:rsidR="003B7235" w:rsidP="009B678D" w:rsidRDefault="003B7235" w14:paraId="2966E974" w14:textId="77777777">
            <w:pPr>
              <w:pStyle w:val="standard"/>
              <w:ind w:firstLine="0"/>
              <w:rPr>
                <w:rFonts w:ascii="Palatino Linotype" w:hAnsi="Palatino Linotype"/>
                <w:sz w:val="24"/>
                <w:szCs w:val="24"/>
              </w:rPr>
            </w:pPr>
            <w:r w:rsidRPr="00DF25C0">
              <w:rPr>
                <w:rFonts w:ascii="Palatino Linotype" w:hAnsi="Palatino Linotype"/>
                <w:sz w:val="24"/>
                <w:szCs w:val="24"/>
              </w:rPr>
              <w:t>From $7,500 to $25,000</w:t>
            </w:r>
          </w:p>
        </w:tc>
        <w:tc>
          <w:tcPr>
            <w:tcW w:w="1280" w:type="pct"/>
            <w:vAlign w:val="center"/>
            <w:hideMark/>
          </w:tcPr>
          <w:p w:rsidRPr="00DF25C0" w:rsidR="003B7235" w:rsidP="009B678D" w:rsidRDefault="003B7235" w14:paraId="6C16D297" w14:textId="77777777">
            <w:pPr>
              <w:pStyle w:val="standard"/>
              <w:ind w:firstLine="0"/>
              <w:rPr>
                <w:rFonts w:ascii="Palatino Linotype" w:hAnsi="Palatino Linotype"/>
                <w:sz w:val="24"/>
                <w:szCs w:val="24"/>
              </w:rPr>
            </w:pPr>
            <w:r w:rsidRPr="00DF25C0">
              <w:rPr>
                <w:rFonts w:ascii="Palatino Linotype" w:hAnsi="Palatino Linotype"/>
                <w:sz w:val="24"/>
                <w:szCs w:val="24"/>
              </w:rPr>
              <w:t>From $25,000 to $100,000</w:t>
            </w:r>
          </w:p>
        </w:tc>
      </w:tr>
      <w:tr w:rsidRPr="00DF25C0" w:rsidR="003B7235" w:rsidTr="003B7235" w14:paraId="125FB0FD" w14:textId="77777777">
        <w:trPr>
          <w:trHeight w:val="798"/>
        </w:trPr>
        <w:tc>
          <w:tcPr>
            <w:tcW w:w="1257" w:type="pct"/>
            <w:shd w:val="clear" w:color="auto" w:fill="7F7F7F" w:themeFill="text1" w:themeFillTint="80"/>
            <w:vAlign w:val="center"/>
            <w:hideMark/>
          </w:tcPr>
          <w:p w:rsidRPr="003B7235" w:rsidR="003B7235" w:rsidP="009B678D" w:rsidRDefault="003B7235" w14:paraId="1B4303BF" w14:textId="656DAFF4">
            <w:pPr>
              <w:pStyle w:val="standard"/>
              <w:ind w:firstLine="0"/>
              <w:rPr>
                <w:rFonts w:ascii="Palatino Linotype" w:hAnsi="Palatino Linotype"/>
                <w:b/>
                <w:bCs/>
                <w:sz w:val="24"/>
                <w:szCs w:val="24"/>
              </w:rPr>
            </w:pPr>
            <w:r w:rsidRPr="003B7235">
              <w:rPr>
                <w:rFonts w:ascii="Palatino Linotype" w:hAnsi="Palatino Linotype"/>
                <w:b/>
                <w:bCs/>
                <w:sz w:val="24"/>
                <w:szCs w:val="24"/>
              </w:rPr>
              <w:lastRenderedPageBreak/>
              <w:t>Physical Evidence of Equipment Viability</w:t>
            </w:r>
          </w:p>
        </w:tc>
        <w:tc>
          <w:tcPr>
            <w:tcW w:w="1251" w:type="pct"/>
            <w:vAlign w:val="center"/>
            <w:hideMark/>
          </w:tcPr>
          <w:p w:rsidRPr="00DF25C0" w:rsidR="003B7235" w:rsidP="009B678D" w:rsidRDefault="003B7235" w14:paraId="74F381D6" w14:textId="77777777">
            <w:pPr>
              <w:pStyle w:val="standard"/>
              <w:ind w:firstLine="0"/>
              <w:rPr>
                <w:rFonts w:ascii="Palatino Linotype" w:hAnsi="Palatino Linotype"/>
                <w:sz w:val="24"/>
                <w:szCs w:val="24"/>
              </w:rPr>
            </w:pPr>
            <w:r w:rsidRPr="00DF25C0">
              <w:rPr>
                <w:rFonts w:ascii="Palatino Linotype" w:hAnsi="Palatino Linotype"/>
                <w:sz w:val="24"/>
                <w:szCs w:val="24"/>
              </w:rPr>
              <w:t xml:space="preserve">None </w:t>
            </w:r>
          </w:p>
        </w:tc>
        <w:tc>
          <w:tcPr>
            <w:tcW w:w="1213" w:type="pct"/>
            <w:vAlign w:val="center"/>
            <w:hideMark/>
          </w:tcPr>
          <w:p w:rsidRPr="00DF25C0" w:rsidR="003B7235" w:rsidP="009B678D" w:rsidRDefault="003B7235" w14:paraId="3CC8EB93" w14:textId="77777777">
            <w:pPr>
              <w:pStyle w:val="standard"/>
              <w:ind w:firstLine="0"/>
              <w:rPr>
                <w:rFonts w:ascii="Palatino Linotype" w:hAnsi="Palatino Linotype"/>
                <w:sz w:val="24"/>
                <w:szCs w:val="24"/>
              </w:rPr>
            </w:pPr>
            <w:r w:rsidRPr="00DF25C0">
              <w:rPr>
                <w:rFonts w:ascii="Palatino Linotype" w:hAnsi="Palatino Linotype"/>
                <w:sz w:val="24"/>
                <w:szCs w:val="24"/>
              </w:rPr>
              <w:t>Photos or videos</w:t>
            </w:r>
          </w:p>
        </w:tc>
        <w:tc>
          <w:tcPr>
            <w:tcW w:w="1280" w:type="pct"/>
            <w:vAlign w:val="center"/>
            <w:hideMark/>
          </w:tcPr>
          <w:p w:rsidRPr="00DF25C0" w:rsidR="003B7235" w:rsidP="009B678D" w:rsidRDefault="003B7235" w14:paraId="0302318F" w14:textId="709CF2B5">
            <w:pPr>
              <w:pStyle w:val="standard"/>
              <w:ind w:firstLine="0"/>
              <w:rPr>
                <w:rFonts w:ascii="Palatino Linotype" w:hAnsi="Palatino Linotype"/>
                <w:sz w:val="24"/>
                <w:szCs w:val="24"/>
              </w:rPr>
            </w:pPr>
            <w:r w:rsidRPr="00DF25C0">
              <w:rPr>
                <w:rFonts w:ascii="Palatino Linotype" w:hAnsi="Palatino Linotype"/>
                <w:sz w:val="24"/>
                <w:szCs w:val="24"/>
              </w:rPr>
              <w:t>Photos or videos, plus project developer collect additional information</w:t>
            </w:r>
          </w:p>
        </w:tc>
      </w:tr>
      <w:tr w:rsidRPr="00DF25C0" w:rsidR="003B7235" w:rsidTr="003B7235" w14:paraId="7570BF37" w14:textId="77777777">
        <w:trPr>
          <w:trHeight w:val="798"/>
        </w:trPr>
        <w:tc>
          <w:tcPr>
            <w:tcW w:w="1257"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F7F7F" w:themeFill="text1" w:themeFillTint="80"/>
            <w:vAlign w:val="center"/>
            <w:hideMark/>
          </w:tcPr>
          <w:p w:rsidRPr="003B7235" w:rsidR="003B7235" w:rsidP="009B678D" w:rsidRDefault="003B7235" w14:paraId="03D13FE1" w14:textId="77777777">
            <w:pPr>
              <w:pStyle w:val="standard"/>
              <w:ind w:firstLine="0"/>
              <w:rPr>
                <w:rFonts w:ascii="Palatino Linotype" w:hAnsi="Palatino Linotype"/>
                <w:b/>
                <w:bCs/>
                <w:sz w:val="24"/>
                <w:szCs w:val="24"/>
              </w:rPr>
            </w:pPr>
            <w:r w:rsidRPr="003B7235">
              <w:rPr>
                <w:rFonts w:ascii="Palatino Linotype" w:hAnsi="Palatino Linotype"/>
                <w:b/>
                <w:bCs/>
                <w:sz w:val="24"/>
                <w:szCs w:val="24"/>
              </w:rPr>
              <w:t>Customer</w:t>
            </w:r>
          </w:p>
          <w:p w:rsidRPr="003B7235" w:rsidR="003B7235" w:rsidP="009B678D" w:rsidRDefault="003B7235" w14:paraId="78204808" w14:textId="3C04129C">
            <w:pPr>
              <w:pStyle w:val="standard"/>
              <w:ind w:firstLine="0"/>
              <w:rPr>
                <w:rFonts w:ascii="Palatino Linotype" w:hAnsi="Palatino Linotype"/>
                <w:b/>
                <w:bCs/>
                <w:sz w:val="24"/>
                <w:szCs w:val="24"/>
              </w:rPr>
            </w:pPr>
            <w:r w:rsidRPr="003B7235">
              <w:rPr>
                <w:rFonts w:ascii="Palatino Linotype" w:hAnsi="Palatino Linotype"/>
                <w:b/>
                <w:bCs/>
                <w:sz w:val="24"/>
                <w:szCs w:val="24"/>
              </w:rPr>
              <w:t xml:space="preserve">Affidavit </w:t>
            </w:r>
          </w:p>
        </w:tc>
        <w:tc>
          <w:tcPr>
            <w:tcW w:w="125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DF25C0" w:rsidR="003B7235" w:rsidP="009B678D" w:rsidRDefault="003B7235" w14:paraId="0978514C" w14:textId="3D0F91CF">
            <w:pPr>
              <w:pStyle w:val="standard"/>
              <w:ind w:firstLine="0"/>
              <w:rPr>
                <w:rFonts w:ascii="Palatino Linotype" w:hAnsi="Palatino Linotype"/>
                <w:sz w:val="24"/>
                <w:szCs w:val="24"/>
              </w:rPr>
            </w:pPr>
            <w:r w:rsidRPr="00DF25C0">
              <w:rPr>
                <w:rFonts w:ascii="Palatino Linotype" w:hAnsi="Palatino Linotype"/>
                <w:sz w:val="24"/>
                <w:szCs w:val="24"/>
              </w:rPr>
              <w:t>Customer Affidavit Statement</w:t>
            </w:r>
            <w:r>
              <w:rPr>
                <w:rFonts w:ascii="Palatino Linotype" w:hAnsi="Palatino Linotype"/>
                <w:sz w:val="24"/>
                <w:szCs w:val="24"/>
              </w:rPr>
              <w:t xml:space="preserve"> Required</w:t>
            </w:r>
          </w:p>
        </w:tc>
        <w:tc>
          <w:tcPr>
            <w:tcW w:w="121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DF25C0" w:rsidR="003B7235" w:rsidP="009B678D" w:rsidRDefault="003B7235" w14:paraId="67D383C9" w14:textId="3E0BB920">
            <w:pPr>
              <w:pStyle w:val="standard"/>
              <w:ind w:firstLine="0"/>
              <w:rPr>
                <w:rFonts w:ascii="Palatino Linotype" w:hAnsi="Palatino Linotype"/>
                <w:sz w:val="24"/>
                <w:szCs w:val="24"/>
              </w:rPr>
            </w:pPr>
            <w:r w:rsidRPr="00DF25C0">
              <w:rPr>
                <w:rFonts w:ascii="Palatino Linotype" w:hAnsi="Palatino Linotype"/>
                <w:sz w:val="24"/>
                <w:szCs w:val="24"/>
              </w:rPr>
              <w:t>Customer Affidavit Statement</w:t>
            </w:r>
            <w:r>
              <w:rPr>
                <w:rFonts w:ascii="Palatino Linotype" w:hAnsi="Palatino Linotype"/>
                <w:sz w:val="24"/>
                <w:szCs w:val="24"/>
              </w:rPr>
              <w:t xml:space="preserve"> Required</w:t>
            </w:r>
          </w:p>
        </w:tc>
        <w:tc>
          <w:tcPr>
            <w:tcW w:w="128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DF25C0" w:rsidR="003B7235" w:rsidP="009B678D" w:rsidRDefault="003B7235" w14:paraId="3873922F" w14:textId="595B8E2F">
            <w:pPr>
              <w:pStyle w:val="standard"/>
              <w:ind w:firstLine="0"/>
              <w:rPr>
                <w:rFonts w:ascii="Palatino Linotype" w:hAnsi="Palatino Linotype"/>
                <w:sz w:val="24"/>
                <w:szCs w:val="24"/>
              </w:rPr>
            </w:pPr>
            <w:r w:rsidRPr="00DF25C0">
              <w:rPr>
                <w:rFonts w:ascii="Palatino Linotype" w:hAnsi="Palatino Linotype"/>
                <w:sz w:val="24"/>
                <w:szCs w:val="24"/>
              </w:rPr>
              <w:t>Customer Affidavit Statement</w:t>
            </w:r>
            <w:r>
              <w:rPr>
                <w:rFonts w:ascii="Palatino Linotype" w:hAnsi="Palatino Linotype"/>
                <w:sz w:val="24"/>
                <w:szCs w:val="24"/>
              </w:rPr>
              <w:t xml:space="preserve"> Required</w:t>
            </w:r>
          </w:p>
        </w:tc>
      </w:tr>
    </w:tbl>
    <w:p w:rsidRPr="00DF25C0" w:rsidR="00D33E15" w:rsidP="00D33E15" w:rsidRDefault="00D33E15" w14:paraId="0164A130" w14:textId="77777777">
      <w:pPr>
        <w:pStyle w:val="standard"/>
        <w:rPr>
          <w:rFonts w:ascii="Palatino Linotype" w:hAnsi="Palatino Linotype"/>
          <w:sz w:val="24"/>
          <w:szCs w:val="24"/>
        </w:rPr>
      </w:pPr>
    </w:p>
    <w:p w:rsidR="00804FA6" w:rsidP="004E77B4" w:rsidRDefault="003C0C77" w14:paraId="7FAF65B9" w14:textId="215CDE39">
      <w:pPr>
        <w:pStyle w:val="standard"/>
        <w:rPr>
          <w:rFonts w:ascii="Palatino Linotype" w:hAnsi="Palatino Linotype"/>
          <w:b/>
          <w:bCs/>
          <w:sz w:val="24"/>
          <w:szCs w:val="24"/>
        </w:rPr>
      </w:pPr>
      <w:r w:rsidRPr="00DF25C0">
        <w:rPr>
          <w:rFonts w:ascii="Palatino Linotype" w:hAnsi="Palatino Linotype"/>
          <w:sz w:val="24"/>
          <w:szCs w:val="24"/>
        </w:rPr>
        <w:t xml:space="preserve">The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Pr="00DF25C0">
        <w:rPr>
          <w:rFonts w:ascii="Palatino Linotype" w:hAnsi="Palatino Linotype"/>
          <w:sz w:val="24"/>
          <w:szCs w:val="24"/>
        </w:rPr>
        <w:t xml:space="preserve">requirement for equipment viability includes </w:t>
      </w:r>
      <w:r>
        <w:rPr>
          <w:rFonts w:ascii="Palatino Linotype" w:hAnsi="Palatino Linotype"/>
          <w:sz w:val="24"/>
          <w:szCs w:val="24"/>
        </w:rPr>
        <w:t>demonstration</w:t>
      </w:r>
      <w:r w:rsidRPr="00DF25C0">
        <w:rPr>
          <w:rFonts w:ascii="Palatino Linotype" w:hAnsi="Palatino Linotype"/>
          <w:sz w:val="24"/>
          <w:szCs w:val="24"/>
        </w:rPr>
        <w:t xml:space="preserve"> of equipment operation and of its ability to remain in service, meeting customer requirements for its remaining useful life. This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Pr>
          <w:rFonts w:ascii="Palatino Linotype" w:hAnsi="Palatino Linotype"/>
          <w:sz w:val="24"/>
          <w:szCs w:val="24"/>
        </w:rPr>
        <w:t xml:space="preserve">requirement </w:t>
      </w:r>
      <w:r w:rsidRPr="00DF25C0">
        <w:rPr>
          <w:rFonts w:ascii="Palatino Linotype" w:hAnsi="Palatino Linotype"/>
          <w:sz w:val="24"/>
          <w:szCs w:val="24"/>
        </w:rPr>
        <w:t xml:space="preserve">bears the question: “Can the existing equipment continue to operate to meet customer needs?”  </w:t>
      </w:r>
    </w:p>
    <w:p w:rsidR="00FF30AD" w:rsidP="004E77B4" w:rsidRDefault="00D33E15" w14:paraId="63FC541D" w14:textId="02C5F891">
      <w:pPr>
        <w:pStyle w:val="standard"/>
        <w:rPr>
          <w:rFonts w:ascii="Palatino Linotype" w:hAnsi="Palatino Linotype"/>
          <w:sz w:val="24"/>
          <w:szCs w:val="24"/>
        </w:rPr>
      </w:pPr>
      <w:r w:rsidRPr="003D4073">
        <w:rPr>
          <w:rFonts w:ascii="Palatino Linotype" w:hAnsi="Palatino Linotype"/>
          <w:sz w:val="24"/>
          <w:szCs w:val="24"/>
        </w:rPr>
        <w:t xml:space="preserve">We do not adopt the T2WG developed Customer Questionnaire for Equipment Viability </w:t>
      </w:r>
      <w:r w:rsidRPr="003D4073" w:rsidR="00F24858">
        <w:rPr>
          <w:rFonts w:ascii="Palatino Linotype" w:hAnsi="Palatino Linotype"/>
          <w:sz w:val="24"/>
          <w:szCs w:val="24"/>
        </w:rPr>
        <w:t xml:space="preserve">for </w:t>
      </w:r>
      <w:r w:rsidRPr="003D4073" w:rsidR="00437942">
        <w:rPr>
          <w:rFonts w:ascii="Palatino Linotype" w:hAnsi="Palatino Linotype"/>
          <w:sz w:val="24"/>
          <w:szCs w:val="24"/>
        </w:rPr>
        <w:t xml:space="preserve">the customer incentive </w:t>
      </w:r>
      <w:r w:rsidRPr="003D4073" w:rsidR="00F24858">
        <w:rPr>
          <w:rFonts w:ascii="Palatino Linotype" w:hAnsi="Palatino Linotype"/>
          <w:sz w:val="24"/>
          <w:szCs w:val="24"/>
        </w:rPr>
        <w:t>levels in the T2WG Final Report</w:t>
      </w:r>
      <w:r w:rsidR="00A72B40">
        <w:rPr>
          <w:rFonts w:ascii="Palatino Linotype" w:hAnsi="Palatino Linotype"/>
          <w:sz w:val="24"/>
          <w:szCs w:val="24"/>
        </w:rPr>
        <w:t xml:space="preserve"> questions Q1-Q3</w:t>
      </w:r>
      <w:r w:rsidRPr="003D4073" w:rsidR="00EB36A8">
        <w:rPr>
          <w:rFonts w:ascii="Palatino Linotype" w:hAnsi="Palatino Linotype"/>
          <w:sz w:val="24"/>
          <w:szCs w:val="24"/>
        </w:rPr>
        <w:t>.</w:t>
      </w:r>
      <w:r w:rsidRPr="00DF25C0" w:rsidR="007C4810">
        <w:rPr>
          <w:rStyle w:val="FootnoteReference"/>
          <w:rFonts w:ascii="Palatino Linotype" w:hAnsi="Palatino Linotype"/>
          <w:sz w:val="24"/>
          <w:szCs w:val="24"/>
        </w:rPr>
        <w:footnoteReference w:id="28"/>
      </w:r>
      <w:r w:rsidR="004E77B4">
        <w:rPr>
          <w:rFonts w:ascii="Palatino Linotype" w:hAnsi="Palatino Linotype"/>
          <w:sz w:val="24"/>
          <w:szCs w:val="24"/>
        </w:rPr>
        <w:t xml:space="preserve">  </w:t>
      </w:r>
      <w:r w:rsidRPr="00DF25C0" w:rsidR="004E77B4">
        <w:rPr>
          <w:rFonts w:ascii="Palatino Linotype" w:hAnsi="Palatino Linotype"/>
          <w:sz w:val="24"/>
          <w:szCs w:val="24"/>
        </w:rPr>
        <w:t>We appreciate the challenge in crafting questions that lead to unbiased and accurate assessments.</w:t>
      </w:r>
      <w:r w:rsidR="004E77B4">
        <w:rPr>
          <w:rFonts w:ascii="Palatino Linotype" w:hAnsi="Palatino Linotype"/>
          <w:sz w:val="24"/>
          <w:szCs w:val="24"/>
        </w:rPr>
        <w:t xml:space="preserve"> </w:t>
      </w:r>
      <w:bookmarkStart w:name="_Hlk532462076" w:id="33"/>
      <w:r w:rsidRPr="00DF25C0" w:rsidR="00FF30AD">
        <w:rPr>
          <w:rFonts w:ascii="Palatino Linotype" w:hAnsi="Palatino Linotype"/>
          <w:sz w:val="24"/>
          <w:szCs w:val="24"/>
        </w:rPr>
        <w:t xml:space="preserve">The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Pr="00DF25C0" w:rsidR="00FF30AD">
        <w:rPr>
          <w:rFonts w:ascii="Palatino Linotype" w:hAnsi="Palatino Linotype"/>
          <w:sz w:val="24"/>
          <w:szCs w:val="24"/>
        </w:rPr>
        <w:t xml:space="preserve">requirement for equipment viability </w:t>
      </w:r>
      <w:r w:rsidR="00A2093A">
        <w:rPr>
          <w:rFonts w:ascii="Palatino Linotype" w:hAnsi="Palatino Linotype"/>
          <w:sz w:val="24"/>
          <w:szCs w:val="24"/>
        </w:rPr>
        <w:t>must</w:t>
      </w:r>
      <w:r w:rsidRPr="00DF25C0" w:rsidR="00FF30AD">
        <w:rPr>
          <w:rFonts w:ascii="Palatino Linotype" w:hAnsi="Palatino Linotype"/>
          <w:sz w:val="24"/>
          <w:szCs w:val="24"/>
        </w:rPr>
        <w:t xml:space="preserve"> </w:t>
      </w:r>
      <w:r w:rsidR="00FF30AD">
        <w:rPr>
          <w:rFonts w:ascii="Palatino Linotype" w:hAnsi="Palatino Linotype"/>
          <w:sz w:val="24"/>
          <w:szCs w:val="24"/>
        </w:rPr>
        <w:t>demonstrate</w:t>
      </w:r>
      <w:r w:rsidRPr="00DF25C0" w:rsidR="00FF30AD">
        <w:rPr>
          <w:rFonts w:ascii="Palatino Linotype" w:hAnsi="Palatino Linotype"/>
          <w:sz w:val="24"/>
          <w:szCs w:val="24"/>
        </w:rPr>
        <w:t xml:space="preserve"> </w:t>
      </w:r>
      <w:r w:rsidR="0002555A">
        <w:rPr>
          <w:rFonts w:ascii="Palatino Linotype" w:hAnsi="Palatino Linotype"/>
          <w:sz w:val="24"/>
          <w:szCs w:val="24"/>
        </w:rPr>
        <w:t xml:space="preserve">physical </w:t>
      </w:r>
      <w:r w:rsidRPr="00DF25C0" w:rsidR="00FF30AD">
        <w:rPr>
          <w:rFonts w:ascii="Palatino Linotype" w:hAnsi="Palatino Linotype"/>
          <w:sz w:val="24"/>
          <w:szCs w:val="24"/>
        </w:rPr>
        <w:t>equipment operation</w:t>
      </w:r>
      <w:r w:rsidR="006A1083">
        <w:rPr>
          <w:rFonts w:ascii="Palatino Linotype" w:hAnsi="Palatino Linotype"/>
          <w:sz w:val="24"/>
          <w:szCs w:val="24"/>
        </w:rPr>
        <w:t>s</w:t>
      </w:r>
      <w:r w:rsidRPr="00DF25C0" w:rsidR="00FF30AD">
        <w:rPr>
          <w:rFonts w:ascii="Palatino Linotype" w:hAnsi="Palatino Linotype"/>
          <w:sz w:val="24"/>
          <w:szCs w:val="24"/>
        </w:rPr>
        <w:t xml:space="preserve"> and of its ability to remain in service, meeting customer requirements for its remaining useful life. </w:t>
      </w:r>
    </w:p>
    <w:p w:rsidRPr="00DF25C0" w:rsidR="00D33E15" w:rsidP="00794FC8" w:rsidRDefault="007C4810" w14:paraId="285C01CE" w14:textId="325F5775">
      <w:pPr>
        <w:pStyle w:val="standard"/>
        <w:rPr>
          <w:rFonts w:ascii="Palatino Linotype" w:hAnsi="Palatino Linotype"/>
          <w:sz w:val="24"/>
          <w:szCs w:val="24"/>
        </w:rPr>
      </w:pPr>
      <w:r w:rsidRPr="00DF25C0">
        <w:rPr>
          <w:rFonts w:ascii="Palatino Linotype" w:hAnsi="Palatino Linotype"/>
          <w:sz w:val="24"/>
          <w:szCs w:val="24"/>
        </w:rPr>
        <w:t xml:space="preserve">For the </w:t>
      </w:r>
      <w:r w:rsidRPr="00DF25C0" w:rsidR="00D33E15">
        <w:rPr>
          <w:rFonts w:ascii="Palatino Linotype" w:hAnsi="Palatino Linotype"/>
          <w:sz w:val="24"/>
          <w:szCs w:val="24"/>
        </w:rPr>
        <w:t xml:space="preserve">Very Low </w:t>
      </w:r>
      <w:r w:rsidR="00677C9E">
        <w:rPr>
          <w:rFonts w:ascii="Palatino Linotype" w:hAnsi="Palatino Linotype"/>
          <w:sz w:val="24"/>
          <w:szCs w:val="24"/>
        </w:rPr>
        <w:t xml:space="preserve">Rigor </w:t>
      </w:r>
      <w:r w:rsidRPr="00DF25C0" w:rsidR="00D33E15">
        <w:rPr>
          <w:rFonts w:ascii="Palatino Linotype" w:hAnsi="Palatino Linotype"/>
          <w:sz w:val="24"/>
          <w:szCs w:val="24"/>
        </w:rPr>
        <w:t>Tier (Incentives less than $7,500)</w:t>
      </w:r>
      <w:r w:rsidRPr="00DF25C0">
        <w:rPr>
          <w:rFonts w:ascii="Palatino Linotype" w:hAnsi="Palatino Linotype"/>
          <w:sz w:val="24"/>
          <w:szCs w:val="24"/>
        </w:rPr>
        <w:t>, w</w:t>
      </w:r>
      <w:r w:rsidRPr="00DF25C0" w:rsidR="00D33E15">
        <w:rPr>
          <w:rFonts w:ascii="Palatino Linotype" w:hAnsi="Palatino Linotype"/>
          <w:sz w:val="24"/>
          <w:szCs w:val="24"/>
        </w:rPr>
        <w:t xml:space="preserve">e agree with the T2WG </w:t>
      </w:r>
      <w:r w:rsidRPr="00DF25C0" w:rsidR="00D67073">
        <w:rPr>
          <w:rFonts w:ascii="Palatino Linotype" w:hAnsi="Palatino Linotype"/>
          <w:sz w:val="24"/>
          <w:szCs w:val="24"/>
        </w:rPr>
        <w:t>participants</w:t>
      </w:r>
      <w:r w:rsidRPr="00DF25C0" w:rsidR="00D33E15">
        <w:rPr>
          <w:rFonts w:ascii="Palatino Linotype" w:hAnsi="Palatino Linotype"/>
          <w:sz w:val="24"/>
          <w:szCs w:val="24"/>
        </w:rPr>
        <w:t xml:space="preserve"> that the </w:t>
      </w:r>
      <w:r w:rsidR="00A7636C">
        <w:rPr>
          <w:rFonts w:ascii="Palatino Linotype" w:hAnsi="Palatino Linotype"/>
          <w:sz w:val="24"/>
          <w:szCs w:val="24"/>
        </w:rPr>
        <w:t>preponderance of evidence</w:t>
      </w:r>
      <w:r w:rsidRPr="00DF25C0" w:rsidR="00A7636C">
        <w:rPr>
          <w:rFonts w:ascii="Palatino Linotype" w:hAnsi="Palatino Linotype"/>
          <w:sz w:val="24"/>
          <w:szCs w:val="24"/>
        </w:rPr>
        <w:t xml:space="preserve"> </w:t>
      </w:r>
      <w:r w:rsidRPr="00DF25C0" w:rsidR="00D33E15">
        <w:rPr>
          <w:rFonts w:ascii="Palatino Linotype" w:hAnsi="Palatino Linotype"/>
          <w:sz w:val="24"/>
          <w:szCs w:val="24"/>
        </w:rPr>
        <w:t>requirement for th</w:t>
      </w:r>
      <w:r w:rsidRPr="00DF25C0" w:rsidR="003F6DE5">
        <w:rPr>
          <w:rFonts w:ascii="Palatino Linotype" w:hAnsi="Palatino Linotype"/>
          <w:sz w:val="24"/>
          <w:szCs w:val="24"/>
        </w:rPr>
        <w:t>ese</w:t>
      </w:r>
      <w:r w:rsidRPr="00DF25C0" w:rsidR="00D33E15">
        <w:rPr>
          <w:rFonts w:ascii="Palatino Linotype" w:hAnsi="Palatino Linotype"/>
          <w:sz w:val="24"/>
          <w:szCs w:val="24"/>
        </w:rPr>
        <w:t xml:space="preserve"> projects should be </w:t>
      </w:r>
      <w:r w:rsidRPr="00DF25C0" w:rsidR="00D33E15">
        <w:rPr>
          <w:rFonts w:ascii="Palatino Linotype" w:hAnsi="Palatino Linotype"/>
          <w:sz w:val="24"/>
          <w:szCs w:val="24"/>
        </w:rPr>
        <w:lastRenderedPageBreak/>
        <w:t>less complex and rigorous than the other three tiers</w:t>
      </w:r>
      <w:bookmarkEnd w:id="33"/>
      <w:r w:rsidRPr="00DF25C0" w:rsidR="003F6DE5">
        <w:rPr>
          <w:rFonts w:ascii="Palatino Linotype" w:hAnsi="Palatino Linotype"/>
          <w:sz w:val="24"/>
          <w:szCs w:val="24"/>
        </w:rPr>
        <w:t>.</w:t>
      </w:r>
      <w:r w:rsidRPr="00DF25C0" w:rsidR="00794FC8">
        <w:rPr>
          <w:rStyle w:val="FootnoteReference"/>
          <w:rFonts w:ascii="Palatino Linotype" w:hAnsi="Palatino Linotype"/>
          <w:sz w:val="24"/>
          <w:szCs w:val="24"/>
        </w:rPr>
        <w:footnoteReference w:id="29"/>
      </w:r>
      <w:r w:rsidRPr="00DF25C0" w:rsidR="00D33E15">
        <w:rPr>
          <w:rFonts w:ascii="Palatino Linotype" w:hAnsi="Palatino Linotype"/>
          <w:sz w:val="24"/>
          <w:szCs w:val="24"/>
        </w:rPr>
        <w:t xml:space="preserve"> </w:t>
      </w:r>
      <w:r w:rsidRPr="00DF25C0" w:rsidR="00794FC8">
        <w:rPr>
          <w:rFonts w:ascii="Palatino Linotype" w:hAnsi="Palatino Linotype"/>
          <w:sz w:val="24"/>
          <w:szCs w:val="24"/>
        </w:rPr>
        <w:t xml:space="preserve"> </w:t>
      </w:r>
      <w:r w:rsidRPr="00DF25C0" w:rsidR="00D33E15">
        <w:rPr>
          <w:rFonts w:ascii="Palatino Linotype" w:hAnsi="Palatino Linotype"/>
          <w:sz w:val="24"/>
          <w:szCs w:val="24"/>
        </w:rPr>
        <w:t xml:space="preserve">It is sufficient that for </w:t>
      </w:r>
      <w:r w:rsidR="00677C9E">
        <w:rPr>
          <w:rFonts w:ascii="Palatino Linotype" w:hAnsi="Palatino Linotype"/>
          <w:sz w:val="24"/>
          <w:szCs w:val="24"/>
        </w:rPr>
        <w:t>the</w:t>
      </w:r>
      <w:r w:rsidRPr="00DF25C0" w:rsidR="00677C9E">
        <w:rPr>
          <w:rFonts w:ascii="Palatino Linotype" w:hAnsi="Palatino Linotype"/>
          <w:sz w:val="24"/>
          <w:szCs w:val="24"/>
        </w:rPr>
        <w:t xml:space="preserve"> </w:t>
      </w:r>
      <w:r w:rsidRPr="00DF25C0" w:rsidR="00D33E15">
        <w:rPr>
          <w:rFonts w:ascii="Palatino Linotype" w:hAnsi="Palatino Linotype"/>
          <w:sz w:val="24"/>
          <w:szCs w:val="24"/>
        </w:rPr>
        <w:t>Very Low</w:t>
      </w:r>
      <w:r w:rsidR="00677C9E">
        <w:rPr>
          <w:rFonts w:ascii="Palatino Linotype" w:hAnsi="Palatino Linotype"/>
          <w:sz w:val="24"/>
          <w:szCs w:val="24"/>
        </w:rPr>
        <w:t xml:space="preserve"> Rigor</w:t>
      </w:r>
      <w:r w:rsidRPr="00DF25C0" w:rsidR="00D33E15">
        <w:rPr>
          <w:rFonts w:ascii="Palatino Linotype" w:hAnsi="Palatino Linotype"/>
          <w:sz w:val="24"/>
          <w:szCs w:val="24"/>
        </w:rPr>
        <w:t xml:space="preserve"> Tier, the requirement is </w:t>
      </w:r>
      <w:r w:rsidR="00677C9E">
        <w:rPr>
          <w:rFonts w:ascii="Palatino Linotype" w:hAnsi="Palatino Linotype"/>
          <w:sz w:val="24"/>
          <w:szCs w:val="24"/>
        </w:rPr>
        <w:t xml:space="preserve">only </w:t>
      </w:r>
      <w:r w:rsidRPr="00DF25C0" w:rsidR="00D33E15">
        <w:rPr>
          <w:rFonts w:ascii="Palatino Linotype" w:hAnsi="Palatino Linotype"/>
          <w:sz w:val="24"/>
          <w:szCs w:val="24"/>
        </w:rPr>
        <w:t xml:space="preserve">for the customer to complete the Customer Affidavit Statement.  We adopt the </w:t>
      </w:r>
      <w:r w:rsidRPr="00DF25C0" w:rsidR="00895DD7">
        <w:rPr>
          <w:rFonts w:ascii="Palatino Linotype" w:hAnsi="Palatino Linotype"/>
          <w:sz w:val="24"/>
          <w:szCs w:val="24"/>
        </w:rPr>
        <w:t>T2WG Final Report propo</w:t>
      </w:r>
      <w:r w:rsidRPr="00DF25C0" w:rsidR="00D67073">
        <w:rPr>
          <w:rFonts w:ascii="Palatino Linotype" w:hAnsi="Palatino Linotype"/>
          <w:sz w:val="24"/>
          <w:szCs w:val="24"/>
        </w:rPr>
        <w:t>sed</w:t>
      </w:r>
      <w:r w:rsidRPr="00DF25C0" w:rsidR="00895DD7">
        <w:rPr>
          <w:rFonts w:ascii="Palatino Linotype" w:hAnsi="Palatino Linotype"/>
          <w:sz w:val="24"/>
          <w:szCs w:val="24"/>
        </w:rPr>
        <w:t xml:space="preserve"> </w:t>
      </w:r>
      <w:r w:rsidRPr="00DF25C0" w:rsidR="00D33E15">
        <w:rPr>
          <w:rFonts w:ascii="Palatino Linotype" w:hAnsi="Palatino Linotype"/>
          <w:sz w:val="24"/>
          <w:szCs w:val="24"/>
        </w:rPr>
        <w:t xml:space="preserve">Customer Affidavit Statement </w:t>
      </w:r>
      <w:r w:rsidR="00E90222">
        <w:rPr>
          <w:rFonts w:ascii="Palatino Linotype" w:hAnsi="Palatino Linotype"/>
          <w:sz w:val="24"/>
          <w:szCs w:val="24"/>
        </w:rPr>
        <w:t xml:space="preserve">with </w:t>
      </w:r>
      <w:r w:rsidRPr="00DF25C0" w:rsidR="00895DD7">
        <w:rPr>
          <w:rFonts w:ascii="Palatino Linotype" w:hAnsi="Palatino Linotype"/>
          <w:sz w:val="24"/>
          <w:szCs w:val="24"/>
        </w:rPr>
        <w:t>edit</w:t>
      </w:r>
      <w:r w:rsidRPr="00DF25C0" w:rsidR="00D67073">
        <w:rPr>
          <w:rFonts w:ascii="Palatino Linotype" w:hAnsi="Palatino Linotype"/>
          <w:sz w:val="24"/>
          <w:szCs w:val="24"/>
        </w:rPr>
        <w:t>s</w:t>
      </w:r>
      <w:r w:rsidR="00E90222">
        <w:rPr>
          <w:rFonts w:ascii="Palatino Linotype" w:hAnsi="Palatino Linotype"/>
          <w:sz w:val="24"/>
          <w:szCs w:val="24"/>
        </w:rPr>
        <w:t xml:space="preserve"> proposed</w:t>
      </w:r>
      <w:r w:rsidRPr="00DF25C0" w:rsidR="00895DD7">
        <w:rPr>
          <w:rFonts w:ascii="Palatino Linotype" w:hAnsi="Palatino Linotype"/>
          <w:sz w:val="24"/>
          <w:szCs w:val="24"/>
        </w:rPr>
        <w:t xml:space="preserve"> </w:t>
      </w:r>
      <w:r w:rsidRPr="00DF25C0" w:rsidR="00D33E15">
        <w:rPr>
          <w:rFonts w:ascii="Palatino Linotype" w:hAnsi="Palatino Linotype"/>
          <w:sz w:val="24"/>
          <w:szCs w:val="24"/>
        </w:rPr>
        <w:t xml:space="preserve">by </w:t>
      </w:r>
      <w:r w:rsidRPr="00DF25C0" w:rsidR="0007113F">
        <w:rPr>
          <w:rFonts w:ascii="Palatino Linotype" w:hAnsi="Palatino Linotype"/>
          <w:sz w:val="24"/>
          <w:szCs w:val="24"/>
        </w:rPr>
        <w:t xml:space="preserve">the </w:t>
      </w:r>
      <w:r w:rsidRPr="00DF25C0" w:rsidR="00D7208D">
        <w:rPr>
          <w:rFonts w:ascii="Palatino Linotype" w:hAnsi="Palatino Linotype"/>
          <w:sz w:val="24"/>
          <w:szCs w:val="24"/>
        </w:rPr>
        <w:t xml:space="preserve">Public Advocates Office (PAO) </w:t>
      </w:r>
      <w:r w:rsidRPr="00DF25C0" w:rsidR="00D67073">
        <w:rPr>
          <w:rFonts w:ascii="Palatino Linotype" w:hAnsi="Palatino Linotype"/>
          <w:sz w:val="24"/>
          <w:szCs w:val="24"/>
        </w:rPr>
        <w:t>with modification</w:t>
      </w:r>
      <w:r w:rsidR="00E83A8F">
        <w:rPr>
          <w:rFonts w:ascii="Palatino Linotype" w:hAnsi="Palatino Linotype"/>
          <w:sz w:val="24"/>
          <w:szCs w:val="24"/>
        </w:rPr>
        <w:t>, reproduced below</w:t>
      </w:r>
      <w:r w:rsidR="002D6B6C">
        <w:rPr>
          <w:rFonts w:ascii="Palatino Linotype" w:hAnsi="Palatino Linotype"/>
          <w:sz w:val="24"/>
          <w:szCs w:val="24"/>
        </w:rPr>
        <w:t xml:space="preserve"> for the Very Low, Low</w:t>
      </w:r>
      <w:r w:rsidR="009C22B0">
        <w:rPr>
          <w:rFonts w:ascii="Palatino Linotype" w:hAnsi="Palatino Linotype"/>
          <w:sz w:val="24"/>
          <w:szCs w:val="24"/>
        </w:rPr>
        <w:t>,</w:t>
      </w:r>
      <w:r w:rsidR="002D6B6C">
        <w:rPr>
          <w:rFonts w:ascii="Palatino Linotype" w:hAnsi="Palatino Linotype"/>
          <w:sz w:val="24"/>
          <w:szCs w:val="24"/>
        </w:rPr>
        <w:t xml:space="preserve"> and Medium</w:t>
      </w:r>
      <w:r w:rsidR="009C22B0">
        <w:rPr>
          <w:rFonts w:ascii="Palatino Linotype" w:hAnsi="Palatino Linotype"/>
          <w:sz w:val="24"/>
          <w:szCs w:val="24"/>
        </w:rPr>
        <w:t xml:space="preserve"> </w:t>
      </w:r>
      <w:r w:rsidR="00677C9E">
        <w:rPr>
          <w:rFonts w:ascii="Palatino Linotype" w:hAnsi="Palatino Linotype"/>
          <w:sz w:val="24"/>
          <w:szCs w:val="24"/>
        </w:rPr>
        <w:t>Rigor</w:t>
      </w:r>
      <w:r w:rsidR="002D6B6C">
        <w:rPr>
          <w:rFonts w:ascii="Palatino Linotype" w:hAnsi="Palatino Linotype"/>
          <w:sz w:val="24"/>
          <w:szCs w:val="24"/>
        </w:rPr>
        <w:t xml:space="preserve"> </w:t>
      </w:r>
      <w:r w:rsidR="005267E9">
        <w:rPr>
          <w:rFonts w:ascii="Palatino Linotype" w:hAnsi="Palatino Linotype"/>
          <w:sz w:val="24"/>
          <w:szCs w:val="24"/>
        </w:rPr>
        <w:t>Customer Incentive Level T</w:t>
      </w:r>
      <w:r w:rsidR="002D6B6C">
        <w:rPr>
          <w:rFonts w:ascii="Palatino Linotype" w:hAnsi="Palatino Linotype"/>
          <w:sz w:val="24"/>
          <w:szCs w:val="24"/>
        </w:rPr>
        <w:t>iers</w:t>
      </w:r>
      <w:r w:rsidRPr="00DF25C0" w:rsidR="00D33E15">
        <w:rPr>
          <w:rFonts w:ascii="Palatino Linotype" w:hAnsi="Palatino Linotype"/>
          <w:sz w:val="24"/>
          <w:szCs w:val="24"/>
        </w:rPr>
        <w:t>:</w:t>
      </w:r>
      <w:r w:rsidRPr="00DF25C0" w:rsidR="00F92900">
        <w:rPr>
          <w:rStyle w:val="FootnoteReference"/>
          <w:rFonts w:ascii="Palatino Linotype" w:hAnsi="Palatino Linotype"/>
          <w:sz w:val="24"/>
          <w:szCs w:val="24"/>
        </w:rPr>
        <w:footnoteReference w:id="30"/>
      </w:r>
    </w:p>
    <w:p w:rsidRPr="00DF25C0" w:rsidR="00D33E15" w:rsidP="00D33E15" w:rsidRDefault="00D33E15" w14:paraId="6CBE0F74" w14:textId="77777777">
      <w:pPr>
        <w:pStyle w:val="standard"/>
        <w:rPr>
          <w:rFonts w:ascii="Palatino Linotype" w:hAnsi="Palatino Linotype"/>
          <w:sz w:val="24"/>
          <w:szCs w:val="24"/>
        </w:rPr>
      </w:pPr>
      <w:r w:rsidRPr="00DF25C0">
        <w:rPr>
          <w:rFonts w:ascii="Palatino Linotype" w:hAnsi="Palatino Linotype"/>
          <w:sz w:val="24"/>
          <w:szCs w:val="24"/>
        </w:rPr>
        <w:t xml:space="preserve">  </w:t>
      </w:r>
    </w:p>
    <w:tbl>
      <w:tblPr>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Look w:val="04A0" w:firstRow="1" w:lastRow="0" w:firstColumn="1" w:lastColumn="0" w:noHBand="0" w:noVBand="1"/>
      </w:tblPr>
      <w:tblGrid>
        <w:gridCol w:w="8005"/>
      </w:tblGrid>
      <w:tr w:rsidRPr="00DF25C0" w:rsidR="00BE5C62" w:rsidTr="006B0D7E" w14:paraId="2C02DD24" w14:textId="77777777">
        <w:trPr>
          <w:jc w:val="center"/>
        </w:trPr>
        <w:tc>
          <w:tcPr>
            <w:tcW w:w="8005" w:type="dxa"/>
            <w:shd w:val="clear" w:color="auto" w:fill="F2F2F2" w:themeFill="background1" w:themeFillShade="F2"/>
          </w:tcPr>
          <w:p w:rsidRPr="00DF25C0" w:rsidR="00BE5C62" w:rsidP="006B0D7E" w:rsidRDefault="00BE5C62" w14:paraId="0797D0B0" w14:textId="7A7D22CD">
            <w:pPr>
              <w:keepNext/>
              <w:keepLines/>
              <w:rPr>
                <w:b/>
                <w:sz w:val="24"/>
                <w:szCs w:val="24"/>
              </w:rPr>
            </w:pPr>
            <w:r w:rsidRPr="00DF25C0">
              <w:rPr>
                <w:b/>
                <w:sz w:val="24"/>
                <w:szCs w:val="24"/>
              </w:rPr>
              <w:t xml:space="preserve">Customer Affidavit, Proposed edits by </w:t>
            </w:r>
            <w:r w:rsidRPr="00DF25C0" w:rsidR="00D7208D">
              <w:rPr>
                <w:b/>
                <w:sz w:val="24"/>
                <w:szCs w:val="24"/>
              </w:rPr>
              <w:t>PAO</w:t>
            </w:r>
          </w:p>
          <w:p w:rsidRPr="00DF25C0" w:rsidR="00BE5C62" w:rsidP="006B0D7E" w:rsidRDefault="00BE5C62" w14:paraId="662D970C" w14:textId="4548B9F5">
            <w:pPr>
              <w:keepNext/>
              <w:keepLines/>
              <w:rPr>
                <w:sz w:val="24"/>
                <w:szCs w:val="24"/>
              </w:rPr>
            </w:pPr>
            <w:r w:rsidRPr="00DF25C0">
              <w:rPr>
                <w:sz w:val="24"/>
                <w:szCs w:val="24"/>
              </w:rPr>
              <w:t xml:space="preserve">The customer or customer representative who completes the </w:t>
            </w:r>
            <w:r w:rsidRPr="00DF25C0">
              <w:rPr>
                <w:strike/>
                <w:sz w:val="24"/>
                <w:szCs w:val="24"/>
              </w:rPr>
              <w:t>POE questionnaire</w:t>
            </w:r>
            <w:r w:rsidRPr="00DF25C0">
              <w:rPr>
                <w:sz w:val="24"/>
                <w:szCs w:val="24"/>
              </w:rPr>
              <w:t xml:space="preserve"> </w:t>
            </w:r>
            <w:r w:rsidRPr="00DF25C0" w:rsidR="00D67073">
              <w:rPr>
                <w:sz w:val="24"/>
                <w:szCs w:val="24"/>
                <w:u w:val="single"/>
              </w:rPr>
              <w:t xml:space="preserve">project application </w:t>
            </w:r>
            <w:r w:rsidRPr="00DF25C0">
              <w:rPr>
                <w:sz w:val="24"/>
                <w:szCs w:val="24"/>
              </w:rPr>
              <w:t xml:space="preserve">will sign an affidavit </w:t>
            </w:r>
            <w:r w:rsidRPr="00DF25C0">
              <w:rPr>
                <w:strike/>
                <w:color w:val="000000" w:themeColor="text1"/>
                <w:sz w:val="24"/>
                <w:szCs w:val="24"/>
              </w:rPr>
              <w:t>with some fraction</w:t>
            </w:r>
            <w:r w:rsidRPr="00DF25C0">
              <w:rPr>
                <w:color w:val="000000" w:themeColor="text1"/>
                <w:sz w:val="24"/>
                <w:szCs w:val="24"/>
              </w:rPr>
              <w:t xml:space="preserve"> of the following statement </w:t>
            </w:r>
            <w:r w:rsidRPr="00DF25C0">
              <w:rPr>
                <w:strike/>
                <w:color w:val="000000" w:themeColor="text1"/>
                <w:sz w:val="24"/>
                <w:szCs w:val="24"/>
              </w:rPr>
              <w:t xml:space="preserve">depending on the POE Tier Level, as outlined in </w:t>
            </w:r>
            <w:r w:rsidRPr="00DF25C0">
              <w:rPr>
                <w:strike/>
                <w:color w:val="000000" w:themeColor="text1"/>
                <w:sz w:val="24"/>
                <w:szCs w:val="24"/>
              </w:rPr>
              <w:fldChar w:fldCharType="begin"/>
            </w:r>
            <w:r w:rsidRPr="00DF25C0">
              <w:rPr>
                <w:strike/>
                <w:color w:val="000000" w:themeColor="text1"/>
                <w:sz w:val="24"/>
                <w:szCs w:val="24"/>
              </w:rPr>
              <w:instrText xml:space="preserve"> REF _Ref491116989 \h  \* MERGEFORMAT </w:instrText>
            </w:r>
            <w:r w:rsidRPr="00DF25C0">
              <w:rPr>
                <w:strike/>
                <w:color w:val="000000" w:themeColor="text1"/>
                <w:sz w:val="24"/>
                <w:szCs w:val="24"/>
              </w:rPr>
            </w:r>
            <w:r w:rsidRPr="00DF25C0">
              <w:rPr>
                <w:strike/>
                <w:color w:val="000000" w:themeColor="text1"/>
                <w:sz w:val="24"/>
                <w:szCs w:val="24"/>
              </w:rPr>
              <w:fldChar w:fldCharType="separate"/>
            </w:r>
            <w:r w:rsidRPr="00DF25C0">
              <w:rPr>
                <w:strike/>
                <w:color w:val="000000" w:themeColor="text1"/>
                <w:sz w:val="24"/>
                <w:szCs w:val="24"/>
              </w:rPr>
              <w:t xml:space="preserve">Table </w:t>
            </w:r>
            <w:r w:rsidRPr="00DF25C0">
              <w:rPr>
                <w:strike/>
                <w:noProof/>
                <w:color w:val="000000" w:themeColor="text1"/>
                <w:sz w:val="24"/>
                <w:szCs w:val="24"/>
              </w:rPr>
              <w:t>7</w:t>
            </w:r>
            <w:r w:rsidRPr="00DF25C0">
              <w:rPr>
                <w:strike/>
                <w:color w:val="000000" w:themeColor="text1"/>
                <w:sz w:val="24"/>
                <w:szCs w:val="24"/>
              </w:rPr>
              <w:fldChar w:fldCharType="end"/>
            </w:r>
            <w:r w:rsidRPr="00DF25C0">
              <w:rPr>
                <w:sz w:val="24"/>
                <w:szCs w:val="24"/>
              </w:rPr>
              <w:t>:</w:t>
            </w:r>
          </w:p>
          <w:p w:rsidRPr="00DF25C0" w:rsidR="00BE5C62" w:rsidP="006B0D7E" w:rsidRDefault="00BE5C62" w14:paraId="7E08A084" w14:textId="677A0298">
            <w:pPr>
              <w:keepNext/>
              <w:keepLines/>
              <w:spacing w:line="276" w:lineRule="auto"/>
              <w:rPr>
                <w:sz w:val="24"/>
                <w:szCs w:val="24"/>
              </w:rPr>
            </w:pPr>
            <w:r w:rsidRPr="00DF25C0">
              <w:rPr>
                <w:strike/>
                <w:sz w:val="24"/>
                <w:szCs w:val="24"/>
              </w:rPr>
              <w:t xml:space="preserve">[1] </w:t>
            </w:r>
            <w:r w:rsidRPr="00DF25C0">
              <w:rPr>
                <w:sz w:val="24"/>
                <w:szCs w:val="24"/>
              </w:rPr>
              <w:t xml:space="preserve">I, (name), hereby certify that I am authorized to make this declaration as the Customer or as an authorized representative of the Customer (name). </w:t>
            </w:r>
            <w:r w:rsidRPr="00DF25C0">
              <w:rPr>
                <w:strike/>
                <w:sz w:val="24"/>
                <w:szCs w:val="24"/>
              </w:rPr>
              <w:t xml:space="preserve">[2] </w:t>
            </w:r>
            <w:r w:rsidRPr="00DF25C0">
              <w:rPr>
                <w:sz w:val="24"/>
                <w:szCs w:val="24"/>
              </w:rPr>
              <w:t>By signing below, I certify that the</w:t>
            </w:r>
            <w:r w:rsidRPr="00DF25C0" w:rsidR="00F154DF">
              <w:rPr>
                <w:sz w:val="24"/>
                <w:szCs w:val="24"/>
              </w:rPr>
              <w:t xml:space="preserve"> </w:t>
            </w:r>
            <w:r w:rsidRPr="00DF25C0" w:rsidR="00F154DF">
              <w:rPr>
                <w:sz w:val="24"/>
                <w:szCs w:val="24"/>
                <w:u w:val="single"/>
              </w:rPr>
              <w:t>existing equipment</w:t>
            </w:r>
            <w:r w:rsidRPr="00DF25C0" w:rsidR="000B1C67">
              <w:rPr>
                <w:sz w:val="24"/>
                <w:szCs w:val="24"/>
                <w:u w:val="single"/>
              </w:rPr>
              <w:t xml:space="preserve"> being replace</w:t>
            </w:r>
            <w:r w:rsidRPr="00DF25C0" w:rsidR="003F6DE5">
              <w:rPr>
                <w:sz w:val="24"/>
                <w:szCs w:val="24"/>
                <w:u w:val="single"/>
              </w:rPr>
              <w:t>d</w:t>
            </w:r>
            <w:r w:rsidRPr="00DF25C0" w:rsidR="00F154DF">
              <w:rPr>
                <w:sz w:val="24"/>
                <w:szCs w:val="24"/>
                <w:u w:val="single"/>
              </w:rPr>
              <w:t xml:space="preserve"> is in operating condition</w:t>
            </w:r>
            <w:r w:rsidRPr="00DF25C0">
              <w:rPr>
                <w:sz w:val="24"/>
                <w:szCs w:val="24"/>
              </w:rPr>
              <w:t xml:space="preserve"> </w:t>
            </w:r>
            <w:r w:rsidRPr="00DF25C0">
              <w:rPr>
                <w:strike/>
                <w:sz w:val="24"/>
                <w:szCs w:val="24"/>
              </w:rPr>
              <w:t>above is true and correct</w:t>
            </w:r>
            <w:r w:rsidRPr="00DF25C0">
              <w:rPr>
                <w:sz w:val="24"/>
                <w:szCs w:val="24"/>
              </w:rPr>
              <w:t xml:space="preserve"> to the best of my knowledge. </w:t>
            </w:r>
            <w:r w:rsidRPr="00DF25C0">
              <w:rPr>
                <w:strike/>
                <w:sz w:val="24"/>
                <w:szCs w:val="24"/>
              </w:rPr>
              <w:t xml:space="preserve">[3] </w:t>
            </w:r>
            <w:r w:rsidRPr="00DF25C0">
              <w:rPr>
                <w:sz w:val="24"/>
                <w:szCs w:val="24"/>
              </w:rPr>
              <w:t xml:space="preserve">I acknowledge that misrepresentation will result in a rejection of all or part of the project </w:t>
            </w:r>
            <w:r w:rsidRPr="00DF25C0">
              <w:rPr>
                <w:strike/>
                <w:sz w:val="24"/>
                <w:szCs w:val="24"/>
              </w:rPr>
              <w:t xml:space="preserve">[4] </w:t>
            </w:r>
            <w:r w:rsidRPr="00DF25C0">
              <w:rPr>
                <w:sz w:val="24"/>
                <w:szCs w:val="24"/>
              </w:rPr>
              <w:t xml:space="preserve">and that </w:t>
            </w:r>
            <w:r w:rsidRPr="00DF25C0">
              <w:rPr>
                <w:strike/>
                <w:sz w:val="24"/>
                <w:szCs w:val="24"/>
              </w:rPr>
              <w:t xml:space="preserve">I </w:t>
            </w:r>
            <w:r w:rsidRPr="00DF25C0">
              <w:rPr>
                <w:sz w:val="24"/>
                <w:szCs w:val="24"/>
                <w:u w:val="single"/>
              </w:rPr>
              <w:t xml:space="preserve">the Customer </w:t>
            </w:r>
            <w:r w:rsidRPr="00DF25C0">
              <w:rPr>
                <w:sz w:val="24"/>
                <w:szCs w:val="24"/>
              </w:rPr>
              <w:t xml:space="preserve">may be required to return the incentives associated with this project. </w:t>
            </w:r>
            <w:r w:rsidRPr="00DF25C0">
              <w:rPr>
                <w:strike/>
                <w:sz w:val="24"/>
                <w:szCs w:val="24"/>
              </w:rPr>
              <w:t xml:space="preserve">[5] </w:t>
            </w:r>
            <w:r w:rsidRPr="00DF25C0">
              <w:rPr>
                <w:sz w:val="24"/>
                <w:szCs w:val="24"/>
              </w:rPr>
              <w:t>I further acknowledge that misrepresentation will result in future projects</w:t>
            </w:r>
            <w:r w:rsidRPr="00DF25C0">
              <w:rPr>
                <w:sz w:val="24"/>
                <w:szCs w:val="24"/>
                <w:u w:val="single"/>
              </w:rPr>
              <w:t xml:space="preserve"> submitted by the Customer </w:t>
            </w:r>
            <w:r w:rsidRPr="00DF25C0">
              <w:rPr>
                <w:sz w:val="24"/>
                <w:szCs w:val="24"/>
              </w:rPr>
              <w:t xml:space="preserve">being subjected to additional scrutiny </w:t>
            </w:r>
            <w:r w:rsidRPr="00DF25C0">
              <w:rPr>
                <w:strike/>
                <w:sz w:val="24"/>
                <w:szCs w:val="24"/>
              </w:rPr>
              <w:t xml:space="preserve">[6] </w:t>
            </w:r>
            <w:r w:rsidRPr="00DF25C0">
              <w:rPr>
                <w:sz w:val="24"/>
                <w:szCs w:val="24"/>
              </w:rPr>
              <w:t xml:space="preserve">and </w:t>
            </w:r>
            <w:r w:rsidRPr="00DF25C0">
              <w:rPr>
                <w:strike/>
                <w:sz w:val="24"/>
                <w:szCs w:val="24"/>
              </w:rPr>
              <w:t xml:space="preserve">that repeated offenses </w:t>
            </w:r>
            <w:r w:rsidRPr="00DF25C0">
              <w:rPr>
                <w:sz w:val="24"/>
                <w:szCs w:val="24"/>
              </w:rPr>
              <w:t xml:space="preserve">may result in </w:t>
            </w:r>
            <w:r w:rsidRPr="00DF25C0">
              <w:rPr>
                <w:sz w:val="24"/>
                <w:szCs w:val="24"/>
                <w:u w:val="single"/>
              </w:rPr>
              <w:t>Customer</w:t>
            </w:r>
            <w:r w:rsidRPr="00DF25C0">
              <w:rPr>
                <w:sz w:val="24"/>
                <w:szCs w:val="24"/>
              </w:rPr>
              <w:t xml:space="preserve"> probation or suspension from current and future incentive programs. </w:t>
            </w:r>
          </w:p>
        </w:tc>
      </w:tr>
    </w:tbl>
    <w:p w:rsidRPr="00DF25C0" w:rsidR="00D33E15" w:rsidP="00BC1D55" w:rsidRDefault="00D33E15" w14:paraId="79C740B0" w14:textId="77777777">
      <w:pPr>
        <w:pStyle w:val="standard"/>
        <w:ind w:firstLine="0"/>
        <w:rPr>
          <w:rFonts w:ascii="Palatino Linotype" w:hAnsi="Palatino Linotype"/>
          <w:sz w:val="24"/>
          <w:szCs w:val="24"/>
        </w:rPr>
      </w:pPr>
    </w:p>
    <w:p w:rsidRPr="00DF25C0" w:rsidR="00D33E15" w:rsidP="00360DBF" w:rsidRDefault="00BC1D55" w14:paraId="44FB9D4F" w14:textId="2986794C">
      <w:pPr>
        <w:pStyle w:val="standard"/>
        <w:rPr>
          <w:rFonts w:ascii="Palatino Linotype" w:hAnsi="Palatino Linotype"/>
          <w:sz w:val="24"/>
          <w:szCs w:val="24"/>
        </w:rPr>
      </w:pPr>
      <w:r w:rsidRPr="00DF25C0">
        <w:rPr>
          <w:rFonts w:ascii="Palatino Linotype" w:hAnsi="Palatino Linotype"/>
          <w:sz w:val="24"/>
          <w:szCs w:val="24"/>
        </w:rPr>
        <w:t xml:space="preserve">For the </w:t>
      </w:r>
      <w:r w:rsidRPr="00DF25C0" w:rsidR="00D33E15">
        <w:rPr>
          <w:rFonts w:ascii="Palatino Linotype" w:hAnsi="Palatino Linotype"/>
          <w:sz w:val="24"/>
          <w:szCs w:val="24"/>
        </w:rPr>
        <w:t xml:space="preserve">Low </w:t>
      </w:r>
      <w:r w:rsidRPr="00DF25C0" w:rsidR="00D33CC3">
        <w:rPr>
          <w:rFonts w:ascii="Palatino Linotype" w:hAnsi="Palatino Linotype"/>
          <w:sz w:val="24"/>
          <w:szCs w:val="24"/>
        </w:rPr>
        <w:t xml:space="preserve">Rigor tier </w:t>
      </w:r>
      <w:r w:rsidRPr="00DF25C0" w:rsidR="00D33E15">
        <w:rPr>
          <w:rFonts w:ascii="Palatino Linotype" w:hAnsi="Palatino Linotype"/>
          <w:sz w:val="24"/>
          <w:szCs w:val="24"/>
        </w:rPr>
        <w:t>(From $7,500 to $25,000), we require information</w:t>
      </w:r>
      <w:r w:rsidRPr="00DF25C0">
        <w:rPr>
          <w:rFonts w:ascii="Palatino Linotype" w:hAnsi="Palatino Linotype"/>
          <w:sz w:val="24"/>
          <w:szCs w:val="24"/>
        </w:rPr>
        <w:t xml:space="preserve"> in addition to the customer affidavit</w:t>
      </w:r>
      <w:r w:rsidRPr="00DF25C0" w:rsidR="00D33E15">
        <w:rPr>
          <w:rFonts w:ascii="Palatino Linotype" w:hAnsi="Palatino Linotype"/>
          <w:sz w:val="24"/>
          <w:szCs w:val="24"/>
        </w:rPr>
        <w:t xml:space="preserve"> </w:t>
      </w:r>
      <w:r w:rsidRPr="00DF25C0" w:rsidR="0007113F">
        <w:rPr>
          <w:rFonts w:ascii="Palatino Linotype" w:hAnsi="Palatino Linotype"/>
          <w:sz w:val="24"/>
          <w:szCs w:val="24"/>
        </w:rPr>
        <w:t xml:space="preserve">statement </w:t>
      </w:r>
      <w:r w:rsidRPr="00DF25C0" w:rsidR="00D33E15">
        <w:rPr>
          <w:rFonts w:ascii="Palatino Linotype" w:hAnsi="Palatino Linotype"/>
          <w:sz w:val="24"/>
          <w:szCs w:val="24"/>
        </w:rPr>
        <w:t>to answer the question as to whether the existing equipment can continue to operate.  We direct that for</w:t>
      </w:r>
      <w:r w:rsidR="00A342AF">
        <w:rPr>
          <w:rFonts w:ascii="Palatino Linotype" w:hAnsi="Palatino Linotype"/>
          <w:sz w:val="24"/>
          <w:szCs w:val="24"/>
        </w:rPr>
        <w:t xml:space="preserve"> the</w:t>
      </w:r>
      <w:r w:rsidRPr="00DF25C0" w:rsidR="00D33E15">
        <w:rPr>
          <w:rFonts w:ascii="Palatino Linotype" w:hAnsi="Palatino Linotype"/>
          <w:sz w:val="24"/>
          <w:szCs w:val="24"/>
        </w:rPr>
        <w:t xml:space="preserve"> Low</w:t>
      </w:r>
      <w:r w:rsidRPr="00DF25C0" w:rsidR="00D33CC3">
        <w:rPr>
          <w:rFonts w:ascii="Palatino Linotype" w:hAnsi="Palatino Linotype"/>
          <w:sz w:val="24"/>
          <w:szCs w:val="24"/>
        </w:rPr>
        <w:t xml:space="preserve"> Rigor</w:t>
      </w:r>
      <w:r w:rsidRPr="00DF25C0" w:rsidR="00D33E15">
        <w:rPr>
          <w:rFonts w:ascii="Palatino Linotype" w:hAnsi="Palatino Linotype"/>
          <w:sz w:val="24"/>
          <w:szCs w:val="24"/>
        </w:rPr>
        <w:t xml:space="preserve"> </w:t>
      </w:r>
      <w:r w:rsidRPr="00DF25C0" w:rsidR="00D33CC3">
        <w:rPr>
          <w:rFonts w:ascii="Palatino Linotype" w:hAnsi="Palatino Linotype"/>
          <w:sz w:val="24"/>
          <w:szCs w:val="24"/>
        </w:rPr>
        <w:t xml:space="preserve">tier </w:t>
      </w:r>
      <w:r w:rsidRPr="00DF25C0" w:rsidR="00D33E15">
        <w:rPr>
          <w:rFonts w:ascii="Palatino Linotype" w:hAnsi="Palatino Linotype"/>
          <w:sz w:val="24"/>
          <w:szCs w:val="24"/>
        </w:rPr>
        <w:t>projects, photos or videos of the operating equipment be collected and a customer also sign the adopted Customer Affidavit Statement.  We recogniz</w:t>
      </w:r>
      <w:r w:rsidRPr="00DF25C0" w:rsidR="009F0841">
        <w:rPr>
          <w:rFonts w:ascii="Palatino Linotype" w:hAnsi="Palatino Linotype"/>
          <w:sz w:val="24"/>
          <w:szCs w:val="24"/>
        </w:rPr>
        <w:t>e</w:t>
      </w:r>
      <w:r w:rsidRPr="00DF25C0" w:rsidR="00D33E15">
        <w:rPr>
          <w:rFonts w:ascii="Palatino Linotype" w:hAnsi="Palatino Linotype"/>
          <w:sz w:val="24"/>
          <w:szCs w:val="24"/>
        </w:rPr>
        <w:t xml:space="preserve"> that some customers will refuse to submit </w:t>
      </w:r>
      <w:r w:rsidRPr="00DF25C0" w:rsidR="00D33E15">
        <w:rPr>
          <w:rFonts w:ascii="Palatino Linotype" w:hAnsi="Palatino Linotype"/>
          <w:sz w:val="24"/>
          <w:szCs w:val="24"/>
        </w:rPr>
        <w:lastRenderedPageBreak/>
        <w:t>photos or videos due to security concerns</w:t>
      </w:r>
      <w:r w:rsidRPr="00DF25C0" w:rsidR="003F6DE5">
        <w:rPr>
          <w:rFonts w:ascii="Palatino Linotype" w:hAnsi="Palatino Linotype"/>
          <w:sz w:val="24"/>
          <w:szCs w:val="24"/>
        </w:rPr>
        <w:t>.</w:t>
      </w:r>
      <w:r w:rsidRPr="00DF25C0" w:rsidR="009F0841">
        <w:rPr>
          <w:rStyle w:val="FootnoteReference"/>
          <w:rFonts w:ascii="Palatino Linotype" w:hAnsi="Palatino Linotype"/>
          <w:sz w:val="24"/>
          <w:szCs w:val="24"/>
        </w:rPr>
        <w:footnoteReference w:id="31"/>
      </w:r>
      <w:r w:rsidRPr="00DF25C0" w:rsidR="00D33E15">
        <w:rPr>
          <w:rFonts w:ascii="Palatino Linotype" w:hAnsi="Palatino Linotype"/>
          <w:sz w:val="24"/>
          <w:szCs w:val="24"/>
        </w:rPr>
        <w:t xml:space="preserve">  However, waiving provision</w:t>
      </w:r>
      <w:r w:rsidR="006365D2">
        <w:rPr>
          <w:rFonts w:ascii="Palatino Linotype" w:hAnsi="Palatino Linotype"/>
          <w:sz w:val="24"/>
          <w:szCs w:val="24"/>
        </w:rPr>
        <w:t>s</w:t>
      </w:r>
      <w:r w:rsidRPr="00DF25C0" w:rsidR="00D33E15">
        <w:rPr>
          <w:rFonts w:ascii="Palatino Linotype" w:hAnsi="Palatino Linotype"/>
          <w:sz w:val="24"/>
          <w:szCs w:val="24"/>
        </w:rPr>
        <w:t xml:space="preserve"> of required evidence based on customer security concerns should only be allowed when such evidence of currently installed and operating equipment divulges proprietary information or trade secrets. For example, pictures of HVAC equipment or standard off-the-shelf equipment should not be a waived requirement. A site having security constraints cannot have an automatic ability to deny </w:t>
      </w:r>
      <w:r w:rsidRPr="00DF25C0" w:rsidR="003F6DE5">
        <w:rPr>
          <w:rFonts w:ascii="Palatino Linotype" w:hAnsi="Palatino Linotype"/>
          <w:sz w:val="24"/>
          <w:szCs w:val="24"/>
        </w:rPr>
        <w:t xml:space="preserve">the </w:t>
      </w:r>
      <w:r w:rsidRPr="00DF25C0" w:rsidR="00D33E15">
        <w:rPr>
          <w:rFonts w:ascii="Palatino Linotype" w:hAnsi="Palatino Linotype"/>
          <w:sz w:val="24"/>
          <w:szCs w:val="24"/>
        </w:rPr>
        <w:t xml:space="preserve">collection of evidence. The customer has the responsibility to provide evidence as needed to confirm eligibility and support their claims even if others are not able to access the site.  </w:t>
      </w:r>
    </w:p>
    <w:p w:rsidRPr="00DF25C0" w:rsidR="00D33E15" w:rsidP="00D33E15" w:rsidRDefault="001C6C56" w14:paraId="03CEC36F" w14:textId="364AF4EC">
      <w:pPr>
        <w:pStyle w:val="standard"/>
        <w:rPr>
          <w:rFonts w:ascii="Palatino Linotype" w:hAnsi="Palatino Linotype"/>
          <w:sz w:val="24"/>
          <w:szCs w:val="24"/>
        </w:rPr>
      </w:pPr>
      <w:r w:rsidRPr="00DF25C0">
        <w:rPr>
          <w:rFonts w:ascii="Palatino Linotype" w:hAnsi="Palatino Linotype"/>
          <w:sz w:val="24"/>
          <w:szCs w:val="24"/>
        </w:rPr>
        <w:t xml:space="preserve">For the </w:t>
      </w:r>
      <w:r w:rsidRPr="00DF25C0" w:rsidR="00D33E15">
        <w:rPr>
          <w:rFonts w:ascii="Palatino Linotype" w:hAnsi="Palatino Linotype"/>
          <w:sz w:val="24"/>
          <w:szCs w:val="24"/>
        </w:rPr>
        <w:t>Medium</w:t>
      </w:r>
      <w:r w:rsidRPr="00DF25C0" w:rsidR="00D33CC3">
        <w:rPr>
          <w:rFonts w:ascii="Palatino Linotype" w:hAnsi="Palatino Linotype"/>
          <w:sz w:val="24"/>
          <w:szCs w:val="24"/>
        </w:rPr>
        <w:t xml:space="preserve"> Rigor</w:t>
      </w:r>
      <w:r w:rsidRPr="00DF25C0" w:rsidR="00D33E15">
        <w:rPr>
          <w:rFonts w:ascii="Palatino Linotype" w:hAnsi="Palatino Linotype"/>
          <w:sz w:val="24"/>
          <w:szCs w:val="24"/>
        </w:rPr>
        <w:t xml:space="preserve"> </w:t>
      </w:r>
      <w:r w:rsidRPr="00DF25C0" w:rsidR="00D33CC3">
        <w:rPr>
          <w:rFonts w:ascii="Palatino Linotype" w:hAnsi="Palatino Linotype"/>
          <w:sz w:val="24"/>
          <w:szCs w:val="24"/>
        </w:rPr>
        <w:t xml:space="preserve">tier </w:t>
      </w:r>
      <w:r w:rsidRPr="00DF25C0" w:rsidR="00D33E15">
        <w:rPr>
          <w:rFonts w:ascii="Palatino Linotype" w:hAnsi="Palatino Linotype"/>
          <w:sz w:val="24"/>
          <w:szCs w:val="24"/>
        </w:rPr>
        <w:t xml:space="preserve">(From $25,000 to $100,000), </w:t>
      </w:r>
      <w:r w:rsidRPr="00DF25C0" w:rsidR="002D6B6C">
        <w:rPr>
          <w:rFonts w:ascii="Palatino Linotype" w:hAnsi="Palatino Linotype"/>
          <w:sz w:val="24"/>
          <w:szCs w:val="24"/>
        </w:rPr>
        <w:t xml:space="preserve">in addition to the customer affidavit statement </w:t>
      </w:r>
      <w:r w:rsidRPr="00DF25C0" w:rsidR="00D33E15">
        <w:rPr>
          <w:rFonts w:ascii="Palatino Linotype" w:hAnsi="Palatino Linotype"/>
          <w:sz w:val="24"/>
          <w:szCs w:val="24"/>
        </w:rPr>
        <w:t xml:space="preserve">we direct the project developer to </w:t>
      </w:r>
      <w:r w:rsidRPr="00DF25C0" w:rsidR="0007113F">
        <w:rPr>
          <w:rFonts w:ascii="Palatino Linotype" w:hAnsi="Palatino Linotype"/>
          <w:sz w:val="24"/>
          <w:szCs w:val="24"/>
        </w:rPr>
        <w:t>collect</w:t>
      </w:r>
      <w:r w:rsidRPr="00DF25C0" w:rsidR="00D33E15">
        <w:rPr>
          <w:rFonts w:ascii="Palatino Linotype" w:hAnsi="Palatino Linotype"/>
          <w:sz w:val="24"/>
          <w:szCs w:val="24"/>
        </w:rPr>
        <w:t xml:space="preserve"> </w:t>
      </w:r>
      <w:r w:rsidRPr="00DF25C0" w:rsidR="00283C5F">
        <w:rPr>
          <w:rFonts w:ascii="Palatino Linotype" w:hAnsi="Palatino Linotype"/>
          <w:sz w:val="24"/>
          <w:szCs w:val="24"/>
        </w:rPr>
        <w:t xml:space="preserve">additional </w:t>
      </w:r>
      <w:r w:rsidRPr="00DF25C0" w:rsidR="00D33E15">
        <w:rPr>
          <w:rFonts w:ascii="Palatino Linotype" w:hAnsi="Palatino Linotype"/>
          <w:sz w:val="24"/>
          <w:szCs w:val="24"/>
        </w:rPr>
        <w:t xml:space="preserve">supporting information to answer the question </w:t>
      </w:r>
      <w:r w:rsidRPr="00DF25C0" w:rsidR="0007113F">
        <w:rPr>
          <w:rFonts w:ascii="Palatino Linotype" w:hAnsi="Palatino Linotype"/>
          <w:sz w:val="24"/>
          <w:szCs w:val="24"/>
        </w:rPr>
        <w:t xml:space="preserve">of </w:t>
      </w:r>
      <w:r w:rsidRPr="00DF25C0" w:rsidR="00D33E15">
        <w:rPr>
          <w:rFonts w:ascii="Palatino Linotype" w:hAnsi="Palatino Linotype"/>
          <w:sz w:val="24"/>
          <w:szCs w:val="24"/>
        </w:rPr>
        <w:t>whether the existing equipment can continue to operate. The information to demonstrate equipment viability shall include, but is not limited to:</w:t>
      </w:r>
    </w:p>
    <w:p w:rsidRPr="00DF25C0" w:rsidR="00D33E15" w:rsidP="002042A2" w:rsidRDefault="00D33E15" w14:paraId="2E2C23BC" w14:textId="77777777">
      <w:pPr>
        <w:pStyle w:val="standard"/>
        <w:numPr>
          <w:ilvl w:val="0"/>
          <w:numId w:val="6"/>
        </w:numPr>
        <w:spacing w:line="240" w:lineRule="auto"/>
        <w:ind w:left="1627" w:right="907"/>
        <w:rPr>
          <w:rFonts w:ascii="Palatino Linotype" w:hAnsi="Palatino Linotype"/>
          <w:sz w:val="24"/>
          <w:szCs w:val="24"/>
        </w:rPr>
      </w:pPr>
      <w:r w:rsidRPr="00DF25C0">
        <w:rPr>
          <w:rFonts w:ascii="Palatino Linotype" w:hAnsi="Palatino Linotype"/>
          <w:sz w:val="24"/>
          <w:szCs w:val="24"/>
        </w:rPr>
        <w:t xml:space="preserve">Photos and videos </w:t>
      </w:r>
    </w:p>
    <w:p w:rsidRPr="00DF25C0" w:rsidR="00D33E15" w:rsidP="002042A2" w:rsidRDefault="00D33E15" w14:paraId="6E63B5CA" w14:textId="77777777">
      <w:pPr>
        <w:pStyle w:val="standard"/>
        <w:numPr>
          <w:ilvl w:val="0"/>
          <w:numId w:val="6"/>
        </w:numPr>
        <w:spacing w:line="240" w:lineRule="auto"/>
        <w:ind w:left="1627" w:right="907"/>
        <w:rPr>
          <w:rFonts w:ascii="Palatino Linotype" w:hAnsi="Palatino Linotype"/>
          <w:sz w:val="24"/>
          <w:szCs w:val="24"/>
        </w:rPr>
      </w:pPr>
      <w:r w:rsidRPr="00DF25C0">
        <w:rPr>
          <w:rFonts w:ascii="Palatino Linotype" w:hAnsi="Palatino Linotype"/>
          <w:sz w:val="24"/>
          <w:szCs w:val="24"/>
        </w:rPr>
        <w:t>Age of the equipment</w:t>
      </w:r>
    </w:p>
    <w:p w:rsidRPr="00DF25C0" w:rsidR="00D33E15" w:rsidP="002042A2" w:rsidRDefault="00D33E15" w14:paraId="02420611" w14:textId="77777777">
      <w:pPr>
        <w:pStyle w:val="standard"/>
        <w:numPr>
          <w:ilvl w:val="0"/>
          <w:numId w:val="6"/>
        </w:numPr>
        <w:spacing w:line="240" w:lineRule="auto"/>
        <w:ind w:left="1627" w:right="907"/>
        <w:rPr>
          <w:rFonts w:ascii="Palatino Linotype" w:hAnsi="Palatino Linotype"/>
          <w:sz w:val="24"/>
          <w:szCs w:val="24"/>
        </w:rPr>
      </w:pPr>
      <w:r w:rsidRPr="00DF25C0">
        <w:rPr>
          <w:rFonts w:ascii="Palatino Linotype" w:hAnsi="Palatino Linotype"/>
          <w:sz w:val="24"/>
          <w:szCs w:val="24"/>
        </w:rPr>
        <w:t>Operating data</w:t>
      </w:r>
    </w:p>
    <w:p w:rsidRPr="00DF25C0" w:rsidR="00D33E15" w:rsidP="002042A2" w:rsidRDefault="00D33E15" w14:paraId="39EF5B12" w14:textId="1530A0FF">
      <w:pPr>
        <w:pStyle w:val="standard"/>
        <w:numPr>
          <w:ilvl w:val="0"/>
          <w:numId w:val="6"/>
        </w:numPr>
        <w:spacing w:line="240" w:lineRule="auto"/>
        <w:ind w:left="1627" w:right="907"/>
        <w:rPr>
          <w:rFonts w:ascii="Palatino Linotype" w:hAnsi="Palatino Linotype"/>
          <w:sz w:val="24"/>
          <w:szCs w:val="24"/>
        </w:rPr>
      </w:pPr>
      <w:r w:rsidRPr="00DF25C0">
        <w:rPr>
          <w:rFonts w:ascii="Palatino Linotype" w:hAnsi="Palatino Linotype"/>
          <w:sz w:val="24"/>
          <w:szCs w:val="24"/>
        </w:rPr>
        <w:t>Current and past maintenance and repair history or records, as well as costs</w:t>
      </w:r>
    </w:p>
    <w:p w:rsidRPr="00DF25C0" w:rsidR="00D33E15" w:rsidP="002042A2" w:rsidRDefault="00D33E15" w14:paraId="2E85916B" w14:textId="77777777">
      <w:pPr>
        <w:pStyle w:val="standard"/>
        <w:numPr>
          <w:ilvl w:val="0"/>
          <w:numId w:val="6"/>
        </w:numPr>
        <w:spacing w:line="240" w:lineRule="auto"/>
        <w:ind w:left="1627" w:right="907"/>
        <w:rPr>
          <w:rFonts w:ascii="Palatino Linotype" w:hAnsi="Palatino Linotype"/>
          <w:sz w:val="24"/>
          <w:szCs w:val="24"/>
        </w:rPr>
      </w:pPr>
      <w:r w:rsidRPr="00DF25C0">
        <w:rPr>
          <w:rFonts w:ascii="Palatino Linotype" w:hAnsi="Palatino Linotype"/>
          <w:sz w:val="24"/>
          <w:szCs w:val="24"/>
        </w:rPr>
        <w:t>Reliability history and issues</w:t>
      </w:r>
    </w:p>
    <w:p w:rsidRPr="00DF25C0" w:rsidR="00D33E15" w:rsidP="002042A2" w:rsidRDefault="00D33E15" w14:paraId="5528721D" w14:textId="77777777">
      <w:pPr>
        <w:pStyle w:val="standard"/>
        <w:numPr>
          <w:ilvl w:val="0"/>
          <w:numId w:val="6"/>
        </w:numPr>
        <w:spacing w:line="240" w:lineRule="auto"/>
        <w:ind w:left="1627" w:right="907"/>
        <w:rPr>
          <w:rFonts w:ascii="Palatino Linotype" w:hAnsi="Palatino Linotype"/>
          <w:sz w:val="24"/>
          <w:szCs w:val="24"/>
        </w:rPr>
      </w:pPr>
      <w:r w:rsidRPr="00DF25C0">
        <w:rPr>
          <w:rFonts w:ascii="Palatino Linotype" w:hAnsi="Palatino Linotype"/>
          <w:sz w:val="24"/>
          <w:szCs w:val="24"/>
        </w:rPr>
        <w:t>Information on current plans or budgeting for expansions, remodels, replacements</w:t>
      </w:r>
    </w:p>
    <w:p w:rsidRPr="00DE68B7" w:rsidR="00D33E15" w:rsidP="00DE68B7" w:rsidRDefault="00D33E15" w14:paraId="44EB5DF6" w14:textId="779146F1">
      <w:pPr>
        <w:pStyle w:val="standard"/>
        <w:numPr>
          <w:ilvl w:val="0"/>
          <w:numId w:val="6"/>
        </w:numPr>
        <w:ind w:left="1620" w:right="900"/>
        <w:rPr>
          <w:rFonts w:ascii="Palatino Linotype" w:hAnsi="Palatino Linotype"/>
          <w:sz w:val="24"/>
          <w:szCs w:val="24"/>
        </w:rPr>
      </w:pPr>
      <w:r w:rsidRPr="00DF25C0">
        <w:rPr>
          <w:rFonts w:ascii="Palatino Linotype" w:hAnsi="Palatino Linotype"/>
          <w:sz w:val="24"/>
          <w:szCs w:val="24"/>
        </w:rPr>
        <w:t xml:space="preserve">A customer-signed Customer Affidavit Statement </w:t>
      </w:r>
      <w:r w:rsidRPr="00DE68B7">
        <w:rPr>
          <w:rFonts w:ascii="Palatino Linotype" w:hAnsi="Palatino Linotype"/>
          <w:sz w:val="24"/>
          <w:szCs w:val="24"/>
        </w:rPr>
        <w:t xml:space="preserve"> </w:t>
      </w:r>
    </w:p>
    <w:p w:rsidR="007D1212" w:rsidP="00D33E15" w:rsidRDefault="007D1212" w14:paraId="59828EC7" w14:textId="6B6384AB">
      <w:pPr>
        <w:pStyle w:val="standard"/>
        <w:rPr>
          <w:rFonts w:ascii="Palatino Linotype" w:hAnsi="Palatino Linotype"/>
          <w:sz w:val="24"/>
          <w:szCs w:val="24"/>
        </w:rPr>
      </w:pPr>
    </w:p>
    <w:p w:rsidRPr="00E94F5E" w:rsidR="0097543E" w:rsidP="00E94F5E" w:rsidRDefault="003D4073" w14:paraId="552CBB44" w14:textId="503BA972">
      <w:pPr>
        <w:pStyle w:val="standard"/>
        <w:ind w:left="1440" w:firstLine="0"/>
        <w:rPr>
          <w:rFonts w:ascii="Palatino Linotype" w:hAnsi="Palatino Linotype"/>
          <w:b/>
          <w:bCs/>
          <w:sz w:val="24"/>
          <w:szCs w:val="24"/>
          <w:u w:val="single"/>
        </w:rPr>
      </w:pPr>
      <w:r w:rsidRPr="003D4073">
        <w:rPr>
          <w:rFonts w:ascii="Palatino Linotype" w:hAnsi="Palatino Linotype"/>
          <w:b/>
          <w:bCs/>
          <w:sz w:val="24"/>
          <w:szCs w:val="24"/>
          <w:u w:val="single"/>
        </w:rPr>
        <w:t>4.3</w:t>
      </w:r>
      <w:r w:rsidR="00EA30E6">
        <w:rPr>
          <w:rFonts w:ascii="Palatino Linotype" w:hAnsi="Palatino Linotype"/>
          <w:b/>
          <w:bCs/>
          <w:sz w:val="24"/>
          <w:szCs w:val="24"/>
          <w:u w:val="single"/>
        </w:rPr>
        <w:t xml:space="preserve">. </w:t>
      </w:r>
      <w:r w:rsidRPr="003D4073">
        <w:rPr>
          <w:rFonts w:ascii="Palatino Linotype" w:hAnsi="Palatino Linotype"/>
          <w:b/>
          <w:bCs/>
          <w:sz w:val="24"/>
          <w:szCs w:val="24"/>
          <w:u w:val="single"/>
        </w:rPr>
        <w:t xml:space="preserve"> </w:t>
      </w:r>
      <w:r w:rsidR="00F92A88">
        <w:rPr>
          <w:rFonts w:ascii="Palatino Linotype" w:hAnsi="Palatino Linotype"/>
          <w:b/>
          <w:bCs/>
          <w:sz w:val="24"/>
          <w:szCs w:val="24"/>
          <w:u w:val="single"/>
        </w:rPr>
        <w:t>Preponderance of Evidence</w:t>
      </w:r>
      <w:r w:rsidRPr="003D4073" w:rsidR="00F92A88">
        <w:rPr>
          <w:rFonts w:ascii="Palatino Linotype" w:hAnsi="Palatino Linotype"/>
          <w:b/>
          <w:bCs/>
          <w:sz w:val="24"/>
          <w:szCs w:val="24"/>
          <w:u w:val="single"/>
        </w:rPr>
        <w:t xml:space="preserve"> </w:t>
      </w:r>
      <w:r w:rsidRPr="003D4073" w:rsidR="007D1212">
        <w:rPr>
          <w:rFonts w:ascii="Palatino Linotype" w:hAnsi="Palatino Linotype"/>
          <w:b/>
          <w:bCs/>
          <w:sz w:val="24"/>
          <w:szCs w:val="24"/>
          <w:u w:val="single"/>
        </w:rPr>
        <w:t>Requirements for Program Influence for</w:t>
      </w:r>
      <w:r w:rsidRPr="003D4073" w:rsidR="00F02EED">
        <w:rPr>
          <w:rFonts w:ascii="Palatino Linotype" w:hAnsi="Palatino Linotype"/>
          <w:b/>
          <w:bCs/>
          <w:sz w:val="24"/>
          <w:szCs w:val="24"/>
          <w:u w:val="single"/>
        </w:rPr>
        <w:t xml:space="preserve"> the</w:t>
      </w:r>
      <w:r w:rsidRPr="003D4073" w:rsidR="007D1212">
        <w:rPr>
          <w:rFonts w:ascii="Palatino Linotype" w:hAnsi="Palatino Linotype"/>
          <w:b/>
          <w:bCs/>
          <w:sz w:val="24"/>
          <w:szCs w:val="24"/>
          <w:u w:val="single"/>
        </w:rPr>
        <w:t xml:space="preserve"> Very Low, Low and Medium </w:t>
      </w:r>
      <w:r w:rsidRPr="003D4073" w:rsidR="00EF0545">
        <w:rPr>
          <w:rFonts w:ascii="Palatino Linotype" w:hAnsi="Palatino Linotype"/>
          <w:b/>
          <w:bCs/>
          <w:sz w:val="24"/>
          <w:szCs w:val="24"/>
          <w:u w:val="single"/>
        </w:rPr>
        <w:t xml:space="preserve">Rigor </w:t>
      </w:r>
      <w:r w:rsidRPr="003D4073" w:rsidR="00F02EED">
        <w:rPr>
          <w:rFonts w:ascii="Palatino Linotype" w:hAnsi="Palatino Linotype"/>
          <w:b/>
          <w:bCs/>
          <w:sz w:val="24"/>
          <w:szCs w:val="24"/>
          <w:u w:val="single"/>
        </w:rPr>
        <w:t>Customer Incentive</w:t>
      </w:r>
      <w:r w:rsidRPr="003D4073" w:rsidR="007D1212">
        <w:rPr>
          <w:rFonts w:ascii="Palatino Linotype" w:hAnsi="Palatino Linotype"/>
          <w:b/>
          <w:bCs/>
          <w:sz w:val="24"/>
          <w:szCs w:val="24"/>
          <w:u w:val="single"/>
        </w:rPr>
        <w:t xml:space="preserve"> </w:t>
      </w:r>
      <w:r w:rsidRPr="003D4073" w:rsidR="00C77EC9">
        <w:rPr>
          <w:rFonts w:ascii="Palatino Linotype" w:hAnsi="Palatino Linotype"/>
          <w:b/>
          <w:bCs/>
          <w:sz w:val="24"/>
          <w:szCs w:val="24"/>
          <w:u w:val="single"/>
        </w:rPr>
        <w:t xml:space="preserve">Level </w:t>
      </w:r>
      <w:r w:rsidRPr="003D4073" w:rsidR="007D1212">
        <w:rPr>
          <w:rFonts w:ascii="Palatino Linotype" w:hAnsi="Palatino Linotype"/>
          <w:b/>
          <w:bCs/>
          <w:sz w:val="24"/>
          <w:szCs w:val="24"/>
          <w:u w:val="single"/>
        </w:rPr>
        <w:t>Tiers</w:t>
      </w:r>
    </w:p>
    <w:p w:rsidR="009146F7" w:rsidP="00F02EED" w:rsidRDefault="009146F7" w14:paraId="47A5D4C9" w14:textId="77777777">
      <w:pPr>
        <w:pStyle w:val="standard"/>
        <w:rPr>
          <w:rFonts w:ascii="Palatino Linotype" w:hAnsi="Palatino Linotype"/>
          <w:b/>
          <w:bCs/>
          <w:sz w:val="24"/>
          <w:szCs w:val="24"/>
        </w:rPr>
      </w:pPr>
    </w:p>
    <w:p w:rsidR="00F02EED" w:rsidP="00F02EED" w:rsidRDefault="007D1212" w14:paraId="6F441E89" w14:textId="13A54DC9">
      <w:pPr>
        <w:pStyle w:val="standard"/>
        <w:rPr>
          <w:rFonts w:ascii="Palatino Linotype" w:hAnsi="Palatino Linotype"/>
          <w:sz w:val="24"/>
          <w:szCs w:val="24"/>
        </w:rPr>
      </w:pPr>
      <w:r w:rsidRPr="00DF25C0">
        <w:rPr>
          <w:rFonts w:ascii="Palatino Linotype" w:hAnsi="Palatino Linotype"/>
          <w:b/>
          <w:bCs/>
          <w:sz w:val="24"/>
          <w:szCs w:val="24"/>
        </w:rPr>
        <w:lastRenderedPageBreak/>
        <w:t xml:space="preserve">We do not adopt the Customer Questionnaire for the Program Influence requirement for </w:t>
      </w:r>
      <w:r>
        <w:rPr>
          <w:rFonts w:ascii="Palatino Linotype" w:hAnsi="Palatino Linotype"/>
          <w:b/>
          <w:bCs/>
          <w:sz w:val="24"/>
          <w:szCs w:val="24"/>
        </w:rPr>
        <w:t>the customer incentive</w:t>
      </w:r>
      <w:r w:rsidRPr="00DF25C0">
        <w:rPr>
          <w:rFonts w:ascii="Palatino Linotype" w:hAnsi="Palatino Linotype"/>
          <w:b/>
          <w:bCs/>
          <w:sz w:val="24"/>
          <w:szCs w:val="24"/>
        </w:rPr>
        <w:t xml:space="preserve"> </w:t>
      </w:r>
      <w:r w:rsidR="00EF0545">
        <w:rPr>
          <w:rFonts w:ascii="Palatino Linotype" w:hAnsi="Palatino Linotype"/>
          <w:b/>
          <w:bCs/>
          <w:sz w:val="24"/>
          <w:szCs w:val="24"/>
        </w:rPr>
        <w:t>rigor tiers</w:t>
      </w:r>
      <w:r w:rsidRPr="00DF25C0">
        <w:rPr>
          <w:rFonts w:ascii="Palatino Linotype" w:hAnsi="Palatino Linotype"/>
          <w:b/>
          <w:bCs/>
          <w:sz w:val="24"/>
          <w:szCs w:val="24"/>
        </w:rPr>
        <w:t xml:space="preserve"> in the T2WG Final Report</w:t>
      </w:r>
      <w:r w:rsidR="009F6297">
        <w:rPr>
          <w:rFonts w:ascii="Palatino Linotype" w:hAnsi="Palatino Linotype"/>
          <w:b/>
          <w:bCs/>
          <w:sz w:val="24"/>
          <w:szCs w:val="24"/>
        </w:rPr>
        <w:t>, questions Q4-Q6.</w:t>
      </w:r>
      <w:r w:rsidR="00CF48C7">
        <w:rPr>
          <w:rStyle w:val="FootnoteReference"/>
          <w:rFonts w:ascii="Palatino Linotype" w:hAnsi="Palatino Linotype"/>
          <w:b/>
          <w:bCs/>
          <w:sz w:val="24"/>
          <w:szCs w:val="24"/>
        </w:rPr>
        <w:footnoteReference w:id="32"/>
      </w:r>
      <w:r w:rsidRPr="00DF25C0">
        <w:rPr>
          <w:rFonts w:ascii="Palatino Linotype" w:hAnsi="Palatino Linotype"/>
          <w:sz w:val="24"/>
          <w:szCs w:val="24"/>
        </w:rPr>
        <w:t xml:space="preserve">  </w:t>
      </w:r>
      <w:r w:rsidRPr="00F02EED" w:rsidR="00F02EED">
        <w:rPr>
          <w:rFonts w:ascii="Palatino Linotype" w:hAnsi="Palatino Linotype"/>
          <w:sz w:val="24"/>
          <w:szCs w:val="24"/>
        </w:rPr>
        <w:t xml:space="preserve">We appreciate the challenge in crafting questions that lead to unbiased and accurate </w:t>
      </w:r>
      <w:r w:rsidR="00F02EED">
        <w:rPr>
          <w:rFonts w:ascii="Palatino Linotype" w:hAnsi="Palatino Linotype"/>
          <w:sz w:val="24"/>
          <w:szCs w:val="24"/>
        </w:rPr>
        <w:t xml:space="preserve">program influence </w:t>
      </w:r>
      <w:r w:rsidRPr="00F02EED" w:rsidR="00F02EED">
        <w:rPr>
          <w:rFonts w:ascii="Palatino Linotype" w:hAnsi="Palatino Linotype"/>
          <w:sz w:val="24"/>
          <w:szCs w:val="24"/>
        </w:rPr>
        <w:t>assessments.</w:t>
      </w:r>
      <w:r w:rsidR="00F02EED">
        <w:rPr>
          <w:rFonts w:ascii="Palatino Linotype" w:hAnsi="Palatino Linotype"/>
          <w:sz w:val="24"/>
          <w:szCs w:val="24"/>
        </w:rPr>
        <w:t xml:space="preserve">  </w:t>
      </w:r>
      <w:r w:rsidRPr="00DF25C0" w:rsidR="00F02EED">
        <w:rPr>
          <w:rFonts w:ascii="Palatino Linotype" w:hAnsi="Palatino Linotype"/>
          <w:sz w:val="24"/>
          <w:szCs w:val="24"/>
        </w:rPr>
        <w:t>We confirm that the project developer must collect and assess both evidence supporting and evidence not supporting equipment viability and program influence.   We agree with CPUC staff that the T2WG proposed questionnaire includes some questions that could appear to be leading questions.</w:t>
      </w:r>
      <w:r w:rsidRPr="00DF25C0" w:rsidR="00F02EED">
        <w:rPr>
          <w:rStyle w:val="FootnoteReference"/>
          <w:rFonts w:ascii="Palatino Linotype" w:hAnsi="Palatino Linotype"/>
          <w:sz w:val="24"/>
          <w:szCs w:val="24"/>
        </w:rPr>
        <w:footnoteReference w:id="33"/>
      </w:r>
      <w:r w:rsidRPr="00DF25C0" w:rsidR="00F02EED">
        <w:rPr>
          <w:rFonts w:ascii="Palatino Linotype" w:hAnsi="Palatino Linotype"/>
          <w:sz w:val="24"/>
          <w:szCs w:val="24"/>
        </w:rPr>
        <w:t xml:space="preserve">  For example</w:t>
      </w:r>
      <w:r w:rsidR="0084157E">
        <w:rPr>
          <w:rFonts w:ascii="Palatino Linotype" w:hAnsi="Palatino Linotype"/>
          <w:sz w:val="24"/>
          <w:szCs w:val="24"/>
        </w:rPr>
        <w:t>,</w:t>
      </w:r>
      <w:r w:rsidRPr="00DF25C0" w:rsidR="00F02EED">
        <w:rPr>
          <w:rFonts w:ascii="Palatino Linotype" w:hAnsi="Palatino Linotype"/>
          <w:sz w:val="24"/>
          <w:szCs w:val="24"/>
        </w:rPr>
        <w:t xml:space="preserve"> Question 6 in Table 5</w:t>
      </w:r>
      <w:r w:rsidR="00F02EED">
        <w:rPr>
          <w:rFonts w:ascii="Palatino Linotype" w:hAnsi="Palatino Linotype"/>
          <w:sz w:val="24"/>
          <w:szCs w:val="24"/>
        </w:rPr>
        <w:t xml:space="preserve"> of the T2WG Final Report</w:t>
      </w:r>
      <w:r w:rsidRPr="00DF25C0" w:rsidR="00F02EED">
        <w:rPr>
          <w:rFonts w:ascii="Palatino Linotype" w:hAnsi="Palatino Linotype"/>
          <w:sz w:val="24"/>
          <w:szCs w:val="24"/>
        </w:rPr>
        <w:t xml:space="preserve"> is “The technical information and services provided by the PA team are essential for my decision to approve this project.”</w:t>
      </w:r>
      <w:r w:rsidR="00F02EED">
        <w:rPr>
          <w:rFonts w:ascii="Palatino Linotype" w:hAnsi="Palatino Linotype"/>
          <w:sz w:val="24"/>
          <w:szCs w:val="24"/>
        </w:rPr>
        <w:t xml:space="preserve"> </w:t>
      </w:r>
    </w:p>
    <w:p w:rsidRPr="00F02EED" w:rsidR="00F02EED" w:rsidP="00F02EED" w:rsidRDefault="00F02EED" w14:paraId="3149EDCF" w14:textId="578B7F2E">
      <w:pPr>
        <w:pStyle w:val="standard"/>
        <w:rPr>
          <w:rFonts w:ascii="Palatino Linotype" w:hAnsi="Palatino Linotype"/>
          <w:sz w:val="24"/>
          <w:szCs w:val="24"/>
        </w:rPr>
      </w:pPr>
      <w:r w:rsidRPr="007960C0">
        <w:rPr>
          <w:rFonts w:ascii="Palatino Linotype" w:hAnsi="Palatino Linotype"/>
          <w:b/>
          <w:bCs/>
          <w:sz w:val="24"/>
          <w:szCs w:val="24"/>
        </w:rPr>
        <w:t xml:space="preserve">In lieu of adopting a questionnaire, we provide the following </w:t>
      </w:r>
      <w:r w:rsidR="00DD0432">
        <w:rPr>
          <w:rFonts w:ascii="Palatino Linotype" w:hAnsi="Palatino Linotype"/>
          <w:b/>
          <w:bCs/>
          <w:sz w:val="24"/>
          <w:szCs w:val="24"/>
        </w:rPr>
        <w:t>preponderance of evidence</w:t>
      </w:r>
      <w:r w:rsidRPr="007960C0" w:rsidR="00DD0432">
        <w:rPr>
          <w:rFonts w:ascii="Palatino Linotype" w:hAnsi="Palatino Linotype"/>
          <w:b/>
          <w:bCs/>
          <w:sz w:val="24"/>
          <w:szCs w:val="24"/>
        </w:rPr>
        <w:t xml:space="preserve"> </w:t>
      </w:r>
      <w:r w:rsidRPr="007960C0">
        <w:rPr>
          <w:rFonts w:ascii="Palatino Linotype" w:hAnsi="Palatino Linotype"/>
          <w:b/>
          <w:bCs/>
          <w:sz w:val="24"/>
          <w:szCs w:val="24"/>
        </w:rPr>
        <w:t>guidance on the minimum information requirements</w:t>
      </w:r>
      <w:r w:rsidRPr="007960C0" w:rsidR="00C77EC9">
        <w:rPr>
          <w:rFonts w:ascii="Palatino Linotype" w:hAnsi="Palatino Linotype"/>
          <w:b/>
          <w:bCs/>
          <w:sz w:val="24"/>
          <w:szCs w:val="24"/>
        </w:rPr>
        <w:t xml:space="preserve"> for project developers to document</w:t>
      </w:r>
      <w:r w:rsidRPr="007960C0">
        <w:rPr>
          <w:rFonts w:ascii="Palatino Linotype" w:hAnsi="Palatino Linotype"/>
          <w:b/>
          <w:bCs/>
          <w:sz w:val="24"/>
          <w:szCs w:val="24"/>
        </w:rPr>
        <w:t xml:space="preserve"> support </w:t>
      </w:r>
      <w:r w:rsidR="0084157E">
        <w:rPr>
          <w:rFonts w:ascii="Palatino Linotype" w:hAnsi="Palatino Linotype"/>
          <w:b/>
          <w:bCs/>
          <w:sz w:val="24"/>
          <w:szCs w:val="24"/>
        </w:rPr>
        <w:t xml:space="preserve">of </w:t>
      </w:r>
      <w:r w:rsidRPr="007960C0">
        <w:rPr>
          <w:rFonts w:ascii="Palatino Linotype" w:hAnsi="Palatino Linotype"/>
          <w:b/>
          <w:bCs/>
          <w:sz w:val="24"/>
          <w:szCs w:val="24"/>
        </w:rPr>
        <w:t>program influence for an accelerated replacement for</w:t>
      </w:r>
      <w:r w:rsidRPr="007960C0" w:rsidR="00EF0545">
        <w:rPr>
          <w:rFonts w:ascii="Palatino Linotype" w:hAnsi="Palatino Linotype"/>
          <w:b/>
          <w:bCs/>
          <w:sz w:val="24"/>
          <w:szCs w:val="24"/>
        </w:rPr>
        <w:t xml:space="preserve"> the</w:t>
      </w:r>
      <w:r w:rsidRPr="007960C0">
        <w:rPr>
          <w:rFonts w:ascii="Palatino Linotype" w:hAnsi="Palatino Linotype"/>
          <w:b/>
          <w:bCs/>
          <w:sz w:val="24"/>
          <w:szCs w:val="24"/>
        </w:rPr>
        <w:t xml:space="preserve"> three customer incentive level thresholds.</w:t>
      </w:r>
      <w:r>
        <w:rPr>
          <w:rFonts w:ascii="Palatino Linotype" w:hAnsi="Palatino Linotype"/>
          <w:sz w:val="24"/>
          <w:szCs w:val="24"/>
        </w:rPr>
        <w:t xml:space="preserve">  </w:t>
      </w:r>
    </w:p>
    <w:p w:rsidRPr="00DF25C0" w:rsidR="001B398A" w:rsidP="001B398A" w:rsidRDefault="001B398A" w14:paraId="2771EE43" w14:textId="79C40837">
      <w:pPr>
        <w:pStyle w:val="standard"/>
        <w:rPr>
          <w:rFonts w:ascii="Palatino Linotype" w:hAnsi="Palatino Linotype"/>
          <w:sz w:val="24"/>
          <w:szCs w:val="24"/>
        </w:rPr>
      </w:pPr>
      <w:r w:rsidRPr="00DF25C0">
        <w:rPr>
          <w:rFonts w:ascii="Palatino Linotype" w:hAnsi="Palatino Linotype"/>
          <w:sz w:val="24"/>
          <w:szCs w:val="24"/>
        </w:rPr>
        <w:t>For the Very Low Rigor tier, we direct the project developer to collect information from the customer and provide written responses to demonstrate program influence.  The information is to include but is not limited to:</w:t>
      </w:r>
    </w:p>
    <w:p w:rsidR="001B398A" w:rsidP="001B398A" w:rsidRDefault="001B398A" w14:paraId="58CE4B44" w14:textId="70E9E0F3">
      <w:pPr>
        <w:pStyle w:val="standard"/>
        <w:numPr>
          <w:ilvl w:val="0"/>
          <w:numId w:val="8"/>
        </w:numPr>
        <w:spacing w:line="240" w:lineRule="auto"/>
        <w:ind w:left="994" w:right="720"/>
        <w:rPr>
          <w:rFonts w:ascii="Palatino Linotype" w:hAnsi="Palatino Linotype"/>
          <w:sz w:val="24"/>
          <w:szCs w:val="24"/>
        </w:rPr>
      </w:pPr>
      <w:r w:rsidRPr="00DF25C0">
        <w:rPr>
          <w:rFonts w:ascii="Palatino Linotype" w:hAnsi="Palatino Linotype"/>
          <w:sz w:val="24"/>
          <w:szCs w:val="24"/>
        </w:rPr>
        <w:t xml:space="preserve">Describe this project’s </w:t>
      </w:r>
      <w:r w:rsidR="007722B0">
        <w:rPr>
          <w:rFonts w:ascii="Palatino Linotype" w:hAnsi="Palatino Linotype"/>
          <w:sz w:val="24"/>
          <w:szCs w:val="24"/>
        </w:rPr>
        <w:t>development</w:t>
      </w:r>
      <w:r w:rsidRPr="00DF25C0">
        <w:rPr>
          <w:rFonts w:ascii="Palatino Linotype" w:hAnsi="Palatino Linotype"/>
          <w:sz w:val="24"/>
          <w:szCs w:val="24"/>
        </w:rPr>
        <w:t>, including factors and decision points that led to the customer’s decision to replace the existing equipment.</w:t>
      </w:r>
    </w:p>
    <w:p w:rsidRPr="00C77EC9" w:rsidR="001B398A" w:rsidP="001B398A" w:rsidRDefault="001B398A" w14:paraId="7D2A621D" w14:textId="77777777">
      <w:pPr>
        <w:pStyle w:val="ListParagraph"/>
        <w:numPr>
          <w:ilvl w:val="0"/>
          <w:numId w:val="8"/>
        </w:numPr>
        <w:ind w:left="990"/>
        <w:rPr>
          <w:rFonts w:eastAsia="Times New Roman" w:cs="Times New Roman"/>
          <w:sz w:val="24"/>
          <w:szCs w:val="24"/>
        </w:rPr>
      </w:pPr>
      <w:r>
        <w:rPr>
          <w:rFonts w:eastAsia="Times New Roman" w:cs="Times New Roman"/>
          <w:sz w:val="24"/>
          <w:szCs w:val="24"/>
        </w:rPr>
        <w:t>Describe the p</w:t>
      </w:r>
      <w:r w:rsidRPr="00C77EC9">
        <w:rPr>
          <w:rFonts w:eastAsia="Times New Roman" w:cs="Times New Roman"/>
          <w:sz w:val="24"/>
          <w:szCs w:val="24"/>
        </w:rPr>
        <w:t xml:space="preserve">roject developer’s services provided to the customer and timing of developer’s engagement compared to customer’s decision-making process. </w:t>
      </w:r>
    </w:p>
    <w:p w:rsidRPr="00DF25C0" w:rsidR="001B398A" w:rsidP="001B398A" w:rsidRDefault="001B398A" w14:paraId="5E0300BF" w14:textId="11B03D98">
      <w:pPr>
        <w:pStyle w:val="standard"/>
        <w:numPr>
          <w:ilvl w:val="0"/>
          <w:numId w:val="8"/>
        </w:numPr>
        <w:spacing w:line="240" w:lineRule="auto"/>
        <w:ind w:left="994" w:right="720"/>
        <w:rPr>
          <w:rFonts w:ascii="Palatino Linotype" w:hAnsi="Palatino Linotype"/>
          <w:sz w:val="24"/>
          <w:szCs w:val="24"/>
        </w:rPr>
      </w:pPr>
      <w:r w:rsidRPr="00DF25C0">
        <w:rPr>
          <w:rFonts w:ascii="Palatino Linotype" w:hAnsi="Palatino Linotype"/>
          <w:sz w:val="24"/>
          <w:szCs w:val="24"/>
        </w:rPr>
        <w:t xml:space="preserve">Describe any major repairs performed to the existing equipment, not related to a full system overhaul, in the last </w:t>
      </w:r>
      <w:r>
        <w:rPr>
          <w:rFonts w:ascii="Palatino Linotype" w:hAnsi="Palatino Linotype"/>
          <w:sz w:val="24"/>
          <w:szCs w:val="24"/>
        </w:rPr>
        <w:t>12</w:t>
      </w:r>
      <w:r w:rsidRPr="00DF25C0">
        <w:rPr>
          <w:rFonts w:ascii="Palatino Linotype" w:hAnsi="Palatino Linotype"/>
          <w:sz w:val="24"/>
          <w:szCs w:val="24"/>
        </w:rPr>
        <w:t xml:space="preserve"> months.  </w:t>
      </w:r>
    </w:p>
    <w:p w:rsidRPr="00DF25C0" w:rsidR="001B398A" w:rsidP="001B398A" w:rsidRDefault="001B398A" w14:paraId="3440964D" w14:textId="204CB1FE">
      <w:pPr>
        <w:pStyle w:val="standard"/>
        <w:numPr>
          <w:ilvl w:val="0"/>
          <w:numId w:val="8"/>
        </w:numPr>
        <w:spacing w:line="240" w:lineRule="auto"/>
        <w:ind w:left="994" w:right="720"/>
        <w:rPr>
          <w:rFonts w:ascii="Palatino Linotype" w:hAnsi="Palatino Linotype"/>
          <w:sz w:val="24"/>
          <w:szCs w:val="24"/>
        </w:rPr>
      </w:pPr>
      <w:r w:rsidRPr="00DF25C0">
        <w:rPr>
          <w:rFonts w:ascii="Palatino Linotype" w:hAnsi="Palatino Linotype"/>
          <w:sz w:val="24"/>
          <w:szCs w:val="24"/>
        </w:rPr>
        <w:t xml:space="preserve">Describe any maintenance issues for the existing equipment, including maintenance costs, in the last </w:t>
      </w:r>
      <w:r>
        <w:rPr>
          <w:rFonts w:ascii="Palatino Linotype" w:hAnsi="Palatino Linotype"/>
          <w:sz w:val="24"/>
          <w:szCs w:val="24"/>
        </w:rPr>
        <w:t>12</w:t>
      </w:r>
      <w:r w:rsidRPr="00DF25C0">
        <w:rPr>
          <w:rFonts w:ascii="Palatino Linotype" w:hAnsi="Palatino Linotype"/>
          <w:sz w:val="24"/>
          <w:szCs w:val="24"/>
        </w:rPr>
        <w:t xml:space="preserve"> months. </w:t>
      </w:r>
    </w:p>
    <w:p w:rsidRPr="00DF25C0" w:rsidR="001B398A" w:rsidP="001B398A" w:rsidRDefault="001B398A" w14:paraId="2CD2C591" w14:textId="5E65F121">
      <w:pPr>
        <w:pStyle w:val="standard"/>
        <w:numPr>
          <w:ilvl w:val="0"/>
          <w:numId w:val="8"/>
        </w:numPr>
        <w:spacing w:line="240" w:lineRule="auto"/>
        <w:ind w:left="994" w:right="720"/>
        <w:rPr>
          <w:rFonts w:ascii="Palatino Linotype" w:hAnsi="Palatino Linotype"/>
          <w:sz w:val="24"/>
          <w:szCs w:val="24"/>
        </w:rPr>
      </w:pPr>
      <w:r w:rsidRPr="00DF25C0">
        <w:rPr>
          <w:rFonts w:ascii="Palatino Linotype" w:hAnsi="Palatino Linotype"/>
          <w:sz w:val="24"/>
          <w:szCs w:val="24"/>
        </w:rPr>
        <w:t>Demonstrate that the project is not part of the customer’s scheduled maintenance or equipment upgrade. Provide</w:t>
      </w:r>
      <w:r>
        <w:rPr>
          <w:rFonts w:ascii="Palatino Linotype" w:hAnsi="Palatino Linotype"/>
          <w:sz w:val="24"/>
          <w:szCs w:val="24"/>
        </w:rPr>
        <w:t xml:space="preserve"> information to demonstrate</w:t>
      </w:r>
      <w:r w:rsidRPr="00DF25C0">
        <w:rPr>
          <w:rFonts w:ascii="Palatino Linotype" w:hAnsi="Palatino Linotype"/>
          <w:sz w:val="24"/>
          <w:szCs w:val="24"/>
        </w:rPr>
        <w:t xml:space="preserve"> </w:t>
      </w:r>
      <w:r w:rsidRPr="00DF25C0">
        <w:rPr>
          <w:rFonts w:ascii="Palatino Linotype" w:hAnsi="Palatino Linotype"/>
          <w:sz w:val="24"/>
          <w:szCs w:val="24"/>
        </w:rPr>
        <w:lastRenderedPageBreak/>
        <w:t>that the customer was not going to do this energy efficiency project anyway.</w:t>
      </w:r>
      <w:r w:rsidR="00D87737">
        <w:rPr>
          <w:rStyle w:val="FootnoteReference"/>
          <w:rFonts w:ascii="Palatino Linotype" w:hAnsi="Palatino Linotype"/>
          <w:sz w:val="24"/>
          <w:szCs w:val="24"/>
        </w:rPr>
        <w:footnoteReference w:id="34"/>
      </w:r>
    </w:p>
    <w:p w:rsidR="00C77EC9" w:rsidP="008C7EFA" w:rsidRDefault="00C77EC9" w14:paraId="7B05D3E4" w14:textId="5300A8AE">
      <w:pPr>
        <w:pStyle w:val="standard"/>
        <w:ind w:firstLine="0"/>
        <w:rPr>
          <w:rFonts w:ascii="Palatino Linotype" w:hAnsi="Palatino Linotype"/>
          <w:sz w:val="24"/>
          <w:szCs w:val="24"/>
        </w:rPr>
      </w:pPr>
    </w:p>
    <w:p w:rsidRPr="00DF25C0" w:rsidR="007D1212" w:rsidP="007D1212" w:rsidRDefault="007D1212" w14:paraId="0D9F8F33" w14:textId="4535F9EE">
      <w:pPr>
        <w:pStyle w:val="standard"/>
        <w:rPr>
          <w:rFonts w:ascii="Palatino Linotype" w:hAnsi="Palatino Linotype"/>
          <w:sz w:val="24"/>
          <w:szCs w:val="24"/>
        </w:rPr>
      </w:pPr>
      <w:r w:rsidRPr="00DF25C0">
        <w:rPr>
          <w:rFonts w:ascii="Palatino Linotype" w:hAnsi="Palatino Linotype"/>
          <w:sz w:val="24"/>
          <w:szCs w:val="24"/>
        </w:rPr>
        <w:t>For the Low Rigor tier, we direct the project developer to collect information from the customer and provide written responses to demonstrate program influence.  The information is to include but is not limited to:</w:t>
      </w:r>
    </w:p>
    <w:p w:rsidR="007D1212" w:rsidP="001B398A" w:rsidRDefault="007D1212" w14:paraId="3D454935" w14:textId="5767B7AC">
      <w:pPr>
        <w:pStyle w:val="standard"/>
        <w:numPr>
          <w:ilvl w:val="0"/>
          <w:numId w:val="15"/>
        </w:numPr>
        <w:spacing w:line="240" w:lineRule="auto"/>
        <w:ind w:left="1080" w:right="720"/>
        <w:rPr>
          <w:rFonts w:ascii="Palatino Linotype" w:hAnsi="Palatino Linotype"/>
          <w:sz w:val="24"/>
          <w:szCs w:val="24"/>
        </w:rPr>
      </w:pPr>
      <w:r w:rsidRPr="00DF25C0">
        <w:rPr>
          <w:rFonts w:ascii="Palatino Linotype" w:hAnsi="Palatino Linotype"/>
          <w:sz w:val="24"/>
          <w:szCs w:val="24"/>
        </w:rPr>
        <w:t xml:space="preserve">Describe this project’s </w:t>
      </w:r>
      <w:r w:rsidR="007722B0">
        <w:rPr>
          <w:rFonts w:ascii="Palatino Linotype" w:hAnsi="Palatino Linotype"/>
          <w:sz w:val="24"/>
          <w:szCs w:val="24"/>
        </w:rPr>
        <w:t>development</w:t>
      </w:r>
      <w:r w:rsidRPr="00DF25C0">
        <w:rPr>
          <w:rFonts w:ascii="Palatino Linotype" w:hAnsi="Palatino Linotype"/>
          <w:sz w:val="24"/>
          <w:szCs w:val="24"/>
        </w:rPr>
        <w:t>, including factors and decision points that led to the customer’s decision to replace the existing equipment.</w:t>
      </w:r>
    </w:p>
    <w:p w:rsidRPr="00C77EC9" w:rsidR="00C77EC9" w:rsidP="001B398A" w:rsidRDefault="00C77EC9" w14:paraId="34905F91" w14:textId="0015FE46">
      <w:pPr>
        <w:pStyle w:val="ListParagraph"/>
        <w:numPr>
          <w:ilvl w:val="0"/>
          <w:numId w:val="15"/>
        </w:numPr>
        <w:ind w:left="1080"/>
        <w:rPr>
          <w:rFonts w:eastAsia="Times New Roman" w:cs="Times New Roman"/>
          <w:sz w:val="24"/>
          <w:szCs w:val="24"/>
        </w:rPr>
      </w:pPr>
      <w:bookmarkStart w:name="_Hlk50025960" w:id="34"/>
      <w:r>
        <w:rPr>
          <w:rFonts w:eastAsia="Times New Roman" w:cs="Times New Roman"/>
          <w:sz w:val="24"/>
          <w:szCs w:val="24"/>
        </w:rPr>
        <w:t>Describe the p</w:t>
      </w:r>
      <w:r w:rsidRPr="00C77EC9">
        <w:rPr>
          <w:rFonts w:eastAsia="Times New Roman" w:cs="Times New Roman"/>
          <w:sz w:val="24"/>
          <w:szCs w:val="24"/>
        </w:rPr>
        <w:t xml:space="preserve">roject developer’s services provided to the customer and timing of developer’s engagement compared to customer’s decision-making process. </w:t>
      </w:r>
    </w:p>
    <w:bookmarkEnd w:id="34"/>
    <w:p w:rsidRPr="00DF25C0" w:rsidR="007D1212" w:rsidP="001B398A" w:rsidRDefault="007D1212" w14:paraId="26163A24" w14:textId="77777777">
      <w:pPr>
        <w:pStyle w:val="standard"/>
        <w:numPr>
          <w:ilvl w:val="0"/>
          <w:numId w:val="15"/>
        </w:numPr>
        <w:spacing w:line="240" w:lineRule="auto"/>
        <w:ind w:left="1080" w:right="720"/>
        <w:rPr>
          <w:rFonts w:ascii="Palatino Linotype" w:hAnsi="Palatino Linotype"/>
          <w:sz w:val="24"/>
          <w:szCs w:val="24"/>
        </w:rPr>
      </w:pPr>
      <w:r w:rsidRPr="00DF25C0">
        <w:rPr>
          <w:rFonts w:ascii="Palatino Linotype" w:hAnsi="Palatino Linotype"/>
          <w:sz w:val="24"/>
          <w:szCs w:val="24"/>
        </w:rPr>
        <w:t xml:space="preserve">Describe any major repairs performed to the existing equipment, not related to a full system overhaul, in the last 24 months.  </w:t>
      </w:r>
    </w:p>
    <w:p w:rsidRPr="00DF25C0" w:rsidR="007D1212" w:rsidP="001B398A" w:rsidRDefault="007D1212" w14:paraId="3DC14049" w14:textId="77777777">
      <w:pPr>
        <w:pStyle w:val="standard"/>
        <w:numPr>
          <w:ilvl w:val="0"/>
          <w:numId w:val="15"/>
        </w:numPr>
        <w:spacing w:line="240" w:lineRule="auto"/>
        <w:ind w:left="1080" w:right="720"/>
        <w:rPr>
          <w:rFonts w:ascii="Palatino Linotype" w:hAnsi="Palatino Linotype"/>
          <w:sz w:val="24"/>
          <w:szCs w:val="24"/>
        </w:rPr>
      </w:pPr>
      <w:r w:rsidRPr="00DF25C0">
        <w:rPr>
          <w:rFonts w:ascii="Palatino Linotype" w:hAnsi="Palatino Linotype"/>
          <w:sz w:val="24"/>
          <w:szCs w:val="24"/>
        </w:rPr>
        <w:t xml:space="preserve">Describe any maintenance issues for the existing equipment, including maintenance costs, in the last 36 months. </w:t>
      </w:r>
    </w:p>
    <w:p w:rsidRPr="00B7545F" w:rsidR="007D1212" w:rsidP="00B7545F" w:rsidRDefault="007D1212" w14:paraId="39CBF5C1" w14:textId="35CDF691">
      <w:pPr>
        <w:pStyle w:val="standard"/>
        <w:numPr>
          <w:ilvl w:val="0"/>
          <w:numId w:val="15"/>
        </w:numPr>
        <w:spacing w:line="240" w:lineRule="auto"/>
        <w:ind w:left="1080" w:right="720"/>
        <w:rPr>
          <w:rFonts w:ascii="Palatino Linotype" w:hAnsi="Palatino Linotype"/>
          <w:sz w:val="24"/>
          <w:szCs w:val="24"/>
        </w:rPr>
      </w:pPr>
      <w:r w:rsidRPr="00DF25C0">
        <w:rPr>
          <w:rFonts w:ascii="Palatino Linotype" w:hAnsi="Palatino Linotype"/>
          <w:sz w:val="24"/>
          <w:szCs w:val="24"/>
        </w:rPr>
        <w:t>Demonstrate that the project is not part of the customer’s scheduled maintenance or equipment upgrade. Provide</w:t>
      </w:r>
      <w:r w:rsidR="00EF0545">
        <w:rPr>
          <w:rFonts w:ascii="Palatino Linotype" w:hAnsi="Palatino Linotype"/>
          <w:sz w:val="24"/>
          <w:szCs w:val="24"/>
        </w:rPr>
        <w:t xml:space="preserve"> information to demonstrate</w:t>
      </w:r>
      <w:r w:rsidRPr="00DF25C0">
        <w:rPr>
          <w:rFonts w:ascii="Palatino Linotype" w:hAnsi="Palatino Linotype"/>
          <w:sz w:val="24"/>
          <w:szCs w:val="24"/>
        </w:rPr>
        <w:t xml:space="preserve"> that the customer was not going to do this energy efficiency project anyway</w:t>
      </w:r>
      <w:r w:rsidRPr="00B7545F">
        <w:rPr>
          <w:rFonts w:ascii="Palatino Linotype" w:hAnsi="Palatino Linotype"/>
          <w:sz w:val="24"/>
          <w:szCs w:val="24"/>
        </w:rPr>
        <w:t>.</w:t>
      </w:r>
      <w:r w:rsidR="00D87737">
        <w:rPr>
          <w:rStyle w:val="FootnoteReference"/>
          <w:rFonts w:ascii="Palatino Linotype" w:hAnsi="Palatino Linotype"/>
          <w:sz w:val="24"/>
          <w:szCs w:val="24"/>
        </w:rPr>
        <w:footnoteReference w:id="35"/>
      </w:r>
      <w:r w:rsidRPr="00B7545F" w:rsidR="00B7545F">
        <w:rPr>
          <w:rFonts w:ascii="Palatino Linotype" w:hAnsi="Palatino Linotype"/>
          <w:sz w:val="24"/>
          <w:szCs w:val="24"/>
        </w:rPr>
        <w:t xml:space="preserve">  </w:t>
      </w:r>
    </w:p>
    <w:p w:rsidRPr="00DF25C0" w:rsidR="007D1212" w:rsidP="007D1212" w:rsidRDefault="007D1212" w14:paraId="609FC0A8" w14:textId="77777777">
      <w:pPr>
        <w:pStyle w:val="standard"/>
        <w:spacing w:line="240" w:lineRule="auto"/>
        <w:ind w:left="994" w:right="720" w:firstLine="0"/>
        <w:rPr>
          <w:rFonts w:ascii="Palatino Linotype" w:hAnsi="Palatino Linotype"/>
          <w:sz w:val="24"/>
          <w:szCs w:val="24"/>
        </w:rPr>
      </w:pPr>
    </w:p>
    <w:p w:rsidRPr="00DF25C0" w:rsidR="007D1212" w:rsidP="007D1212" w:rsidRDefault="007D1212" w14:paraId="6BAEDB2C" w14:textId="77777777">
      <w:pPr>
        <w:pStyle w:val="standard"/>
        <w:rPr>
          <w:rFonts w:ascii="Palatino Linotype" w:hAnsi="Palatino Linotype"/>
          <w:sz w:val="24"/>
          <w:szCs w:val="24"/>
        </w:rPr>
      </w:pPr>
      <w:r w:rsidRPr="00DF25C0">
        <w:rPr>
          <w:rFonts w:ascii="Palatino Linotype" w:hAnsi="Palatino Linotype"/>
          <w:sz w:val="24"/>
          <w:szCs w:val="24"/>
        </w:rPr>
        <w:t xml:space="preserve">For the Medium Rigor tier, we direct the project developer to collect information from the customer and provide a written response to </w:t>
      </w:r>
      <w:r>
        <w:rPr>
          <w:rFonts w:ascii="Palatino Linotype" w:hAnsi="Palatino Linotype"/>
          <w:sz w:val="24"/>
          <w:szCs w:val="24"/>
        </w:rPr>
        <w:t>demonstrate</w:t>
      </w:r>
      <w:r w:rsidRPr="00DF25C0">
        <w:rPr>
          <w:rFonts w:ascii="Palatino Linotype" w:hAnsi="Palatino Linotype"/>
          <w:sz w:val="24"/>
          <w:szCs w:val="24"/>
        </w:rPr>
        <w:t xml:space="preserve"> program influence.  The information is to include but is not limited to: </w:t>
      </w:r>
    </w:p>
    <w:p w:rsidRPr="007722B0" w:rsidR="007D1212" w:rsidP="007722B0" w:rsidRDefault="007D1212" w14:paraId="62CC6D68" w14:textId="034AC4E4">
      <w:pPr>
        <w:pStyle w:val="standard"/>
        <w:numPr>
          <w:ilvl w:val="0"/>
          <w:numId w:val="7"/>
        </w:numPr>
        <w:spacing w:line="240" w:lineRule="auto"/>
        <w:ind w:left="1080" w:right="907"/>
        <w:rPr>
          <w:rFonts w:ascii="Palatino Linotype" w:hAnsi="Palatino Linotype"/>
          <w:sz w:val="24"/>
          <w:szCs w:val="24"/>
        </w:rPr>
      </w:pPr>
      <w:r w:rsidRPr="00DF25C0">
        <w:rPr>
          <w:rFonts w:ascii="Palatino Linotype" w:hAnsi="Palatino Linotype"/>
          <w:sz w:val="24"/>
          <w:szCs w:val="24"/>
        </w:rPr>
        <w:t xml:space="preserve">Describe this project’s </w:t>
      </w:r>
      <w:r w:rsidR="007722B0">
        <w:rPr>
          <w:rFonts w:ascii="Palatino Linotype" w:hAnsi="Palatino Linotype"/>
          <w:sz w:val="24"/>
          <w:szCs w:val="24"/>
        </w:rPr>
        <w:t>development, including</w:t>
      </w:r>
      <w:r w:rsidR="002814DD">
        <w:rPr>
          <w:rFonts w:ascii="Palatino Linotype" w:hAnsi="Palatino Linotype"/>
          <w:sz w:val="24"/>
          <w:szCs w:val="24"/>
        </w:rPr>
        <w:t xml:space="preserve"> </w:t>
      </w:r>
      <w:r w:rsidRPr="007722B0">
        <w:rPr>
          <w:rFonts w:ascii="Palatino Linotype" w:hAnsi="Palatino Linotype"/>
          <w:sz w:val="24"/>
          <w:szCs w:val="24"/>
        </w:rPr>
        <w:t xml:space="preserve">the customer’s motivating factors for the project development </w:t>
      </w:r>
      <w:r w:rsidR="007722B0">
        <w:rPr>
          <w:rFonts w:ascii="Palatino Linotype" w:hAnsi="Palatino Linotype"/>
          <w:sz w:val="24"/>
          <w:szCs w:val="24"/>
        </w:rPr>
        <w:t xml:space="preserve">and </w:t>
      </w:r>
      <w:r w:rsidRPr="007722B0">
        <w:rPr>
          <w:rFonts w:ascii="Palatino Linotype" w:hAnsi="Palatino Linotype"/>
          <w:sz w:val="24"/>
          <w:szCs w:val="24"/>
        </w:rPr>
        <w:t>all factors that the customer considered as it planned, designed, and selected the project to replace the existing equipment.</w:t>
      </w:r>
    </w:p>
    <w:p w:rsidRPr="007722B0" w:rsidR="007722B0" w:rsidP="002814DD" w:rsidRDefault="007722B0" w14:paraId="48AD669B" w14:textId="048B5B70">
      <w:pPr>
        <w:pStyle w:val="standard"/>
        <w:numPr>
          <w:ilvl w:val="0"/>
          <w:numId w:val="7"/>
        </w:numPr>
        <w:spacing w:line="240" w:lineRule="auto"/>
        <w:ind w:left="1080" w:right="907"/>
        <w:rPr>
          <w:sz w:val="24"/>
          <w:szCs w:val="24"/>
        </w:rPr>
      </w:pPr>
      <w:r w:rsidRPr="002814DD">
        <w:rPr>
          <w:rFonts w:ascii="Palatino Linotype" w:hAnsi="Palatino Linotype"/>
          <w:sz w:val="24"/>
          <w:szCs w:val="24"/>
        </w:rPr>
        <w:lastRenderedPageBreak/>
        <w:t>Describe</w:t>
      </w:r>
      <w:r w:rsidRPr="007722B0">
        <w:rPr>
          <w:sz w:val="24"/>
          <w:szCs w:val="24"/>
        </w:rPr>
        <w:t xml:space="preserve"> the project developer’s services provided to the customer and timing of developer’s engagement compared to customer’s decision-making process. </w:t>
      </w:r>
    </w:p>
    <w:p w:rsidRPr="00DF25C0" w:rsidR="007D1212" w:rsidP="007D1212" w:rsidRDefault="007D1212" w14:paraId="578E1CC6" w14:textId="77777777">
      <w:pPr>
        <w:pStyle w:val="standard"/>
        <w:numPr>
          <w:ilvl w:val="0"/>
          <w:numId w:val="7"/>
        </w:numPr>
        <w:spacing w:line="240" w:lineRule="auto"/>
        <w:ind w:left="1080" w:right="907"/>
        <w:rPr>
          <w:rFonts w:ascii="Palatino Linotype" w:hAnsi="Palatino Linotype"/>
          <w:sz w:val="24"/>
          <w:szCs w:val="24"/>
        </w:rPr>
      </w:pPr>
      <w:r w:rsidRPr="00DF25C0">
        <w:rPr>
          <w:rFonts w:ascii="Palatino Linotype" w:hAnsi="Palatino Linotype"/>
          <w:sz w:val="24"/>
          <w:szCs w:val="24"/>
        </w:rPr>
        <w:t>What is the decision-making process for determining and selecting a specific energy efficiency measure option(s)? What are the customer’s criteria in decision-making?</w:t>
      </w:r>
    </w:p>
    <w:p w:rsidRPr="00DF25C0" w:rsidR="007D1212" w:rsidP="007D1212" w:rsidRDefault="007D1212" w14:paraId="01F2CAA6" w14:textId="77777777">
      <w:pPr>
        <w:pStyle w:val="standard"/>
        <w:numPr>
          <w:ilvl w:val="0"/>
          <w:numId w:val="7"/>
        </w:numPr>
        <w:spacing w:line="240" w:lineRule="auto"/>
        <w:ind w:left="1080" w:right="907"/>
        <w:rPr>
          <w:rFonts w:ascii="Palatino Linotype" w:hAnsi="Palatino Linotype"/>
          <w:sz w:val="24"/>
          <w:szCs w:val="24"/>
        </w:rPr>
      </w:pPr>
      <w:r w:rsidRPr="00DF25C0">
        <w:rPr>
          <w:rFonts w:ascii="Palatino Linotype" w:hAnsi="Palatino Linotype"/>
          <w:sz w:val="24"/>
          <w:szCs w:val="24"/>
        </w:rPr>
        <w:t xml:space="preserve">Describe any major repairs performed on the existing equipment, not related to a full system overhaul, in the last 24 months.  </w:t>
      </w:r>
    </w:p>
    <w:p w:rsidRPr="00DF25C0" w:rsidR="007D1212" w:rsidP="007D1212" w:rsidRDefault="007D1212" w14:paraId="5A54F94D" w14:textId="77777777">
      <w:pPr>
        <w:pStyle w:val="standard"/>
        <w:numPr>
          <w:ilvl w:val="0"/>
          <w:numId w:val="7"/>
        </w:numPr>
        <w:spacing w:line="240" w:lineRule="auto"/>
        <w:ind w:left="1080" w:right="907"/>
        <w:rPr>
          <w:rFonts w:ascii="Palatino Linotype" w:hAnsi="Palatino Linotype"/>
          <w:sz w:val="24"/>
          <w:szCs w:val="24"/>
        </w:rPr>
      </w:pPr>
      <w:r w:rsidRPr="00DF25C0">
        <w:rPr>
          <w:rFonts w:ascii="Palatino Linotype" w:hAnsi="Palatino Linotype"/>
          <w:sz w:val="24"/>
          <w:szCs w:val="24"/>
        </w:rPr>
        <w:t xml:space="preserve">Describe any maintenance issues for the existing equipment in the last 36 months.   </w:t>
      </w:r>
    </w:p>
    <w:p w:rsidRPr="00DF25C0" w:rsidR="007D1212" w:rsidP="007D1212" w:rsidRDefault="007D1212" w14:paraId="08ECE541" w14:textId="77777777">
      <w:pPr>
        <w:pStyle w:val="ListParagraph"/>
        <w:numPr>
          <w:ilvl w:val="0"/>
          <w:numId w:val="7"/>
        </w:numPr>
        <w:ind w:left="1080"/>
        <w:rPr>
          <w:rFonts w:eastAsia="Times New Roman" w:cs="Times New Roman"/>
          <w:sz w:val="24"/>
          <w:szCs w:val="24"/>
        </w:rPr>
      </w:pPr>
      <w:r w:rsidRPr="00DF25C0">
        <w:rPr>
          <w:rFonts w:eastAsia="Times New Roman" w:cs="Times New Roman"/>
          <w:sz w:val="24"/>
          <w:szCs w:val="24"/>
        </w:rPr>
        <w:t>Demonstrate that the project is not part of the customer’s scheduled maintenance or equipment upgrade. Provide evidence that the customer was not going to do this energy efficiency project anyway.</w:t>
      </w:r>
      <w:r>
        <w:rPr>
          <w:rStyle w:val="FootnoteReference"/>
          <w:rFonts w:eastAsia="Times New Roman" w:cs="Times New Roman"/>
          <w:sz w:val="24"/>
          <w:szCs w:val="24"/>
        </w:rPr>
        <w:footnoteReference w:id="36"/>
      </w:r>
    </w:p>
    <w:p w:rsidRPr="00DF25C0" w:rsidR="007D1212" w:rsidP="007D1212" w:rsidRDefault="007D1212" w14:paraId="0323B6C6" w14:textId="77777777">
      <w:pPr>
        <w:pStyle w:val="standard"/>
        <w:numPr>
          <w:ilvl w:val="0"/>
          <w:numId w:val="7"/>
        </w:numPr>
        <w:spacing w:line="240" w:lineRule="auto"/>
        <w:ind w:left="1080" w:right="907"/>
        <w:rPr>
          <w:rFonts w:ascii="Palatino Linotype" w:hAnsi="Palatino Linotype"/>
          <w:sz w:val="24"/>
          <w:szCs w:val="24"/>
        </w:rPr>
      </w:pPr>
      <w:r w:rsidRPr="00DF25C0">
        <w:rPr>
          <w:rFonts w:ascii="Palatino Linotype" w:hAnsi="Palatino Linotype"/>
          <w:sz w:val="24"/>
          <w:szCs w:val="24"/>
        </w:rPr>
        <w:t>What are the customer’s barriers (if any) to adopting a new energy efficiency measure?   What are its resource constraints (if any)?</w:t>
      </w:r>
    </w:p>
    <w:p w:rsidRPr="00DF25C0" w:rsidR="007D1212" w:rsidP="007D1212" w:rsidRDefault="007D1212" w14:paraId="0C277A56" w14:textId="77777777">
      <w:pPr>
        <w:pStyle w:val="standard"/>
        <w:numPr>
          <w:ilvl w:val="0"/>
          <w:numId w:val="7"/>
        </w:numPr>
        <w:spacing w:line="240" w:lineRule="auto"/>
        <w:ind w:left="1080" w:right="907"/>
        <w:rPr>
          <w:rFonts w:ascii="Palatino Linotype" w:hAnsi="Palatino Linotype"/>
          <w:sz w:val="24"/>
          <w:szCs w:val="24"/>
        </w:rPr>
      </w:pPr>
      <w:r w:rsidRPr="00DF25C0">
        <w:rPr>
          <w:rFonts w:ascii="Palatino Linotype" w:hAnsi="Palatino Linotype"/>
          <w:sz w:val="24"/>
          <w:szCs w:val="24"/>
        </w:rPr>
        <w:t xml:space="preserve">What are the regulations (e.g., code, standards) applicable to the existing equipment or process and the relevant energy efficiency measure?  </w:t>
      </w:r>
    </w:p>
    <w:p w:rsidRPr="00DF25C0" w:rsidR="00D33E15" w:rsidP="003F0A37" w:rsidRDefault="00D33E15" w14:paraId="3A167402" w14:textId="77777777">
      <w:pPr>
        <w:pStyle w:val="standard"/>
        <w:ind w:firstLine="0"/>
        <w:rPr>
          <w:rFonts w:ascii="Palatino Linotype" w:hAnsi="Palatino Linotype"/>
          <w:sz w:val="24"/>
          <w:szCs w:val="24"/>
        </w:rPr>
      </w:pPr>
    </w:p>
    <w:p w:rsidRPr="0023245F" w:rsidR="00D33E15" w:rsidP="007D02C4" w:rsidRDefault="0023245F" w14:paraId="0A6D50B7" w14:textId="66776BE5">
      <w:pPr>
        <w:pStyle w:val="standard"/>
        <w:ind w:left="1440" w:firstLine="0"/>
        <w:rPr>
          <w:rFonts w:ascii="Palatino Linotype" w:hAnsi="Palatino Linotype"/>
          <w:b/>
          <w:bCs/>
          <w:sz w:val="24"/>
          <w:szCs w:val="24"/>
          <w:u w:val="single"/>
        </w:rPr>
      </w:pPr>
      <w:r w:rsidRPr="0023245F">
        <w:rPr>
          <w:rFonts w:ascii="Palatino Linotype" w:hAnsi="Palatino Linotype"/>
          <w:b/>
          <w:bCs/>
          <w:sz w:val="24"/>
          <w:szCs w:val="24"/>
          <w:u w:val="single"/>
        </w:rPr>
        <w:t>4.4</w:t>
      </w:r>
      <w:r w:rsidR="00EA30E6">
        <w:rPr>
          <w:rFonts w:ascii="Palatino Linotype" w:hAnsi="Palatino Linotype"/>
          <w:b/>
          <w:bCs/>
          <w:sz w:val="24"/>
          <w:szCs w:val="24"/>
          <w:u w:val="single"/>
        </w:rPr>
        <w:t xml:space="preserve">. </w:t>
      </w:r>
      <w:r w:rsidRPr="0023245F">
        <w:rPr>
          <w:rFonts w:ascii="Palatino Linotype" w:hAnsi="Palatino Linotype"/>
          <w:b/>
          <w:bCs/>
          <w:sz w:val="24"/>
          <w:szCs w:val="24"/>
          <w:u w:val="single"/>
        </w:rPr>
        <w:t xml:space="preserve"> </w:t>
      </w:r>
      <w:r w:rsidR="00DD0432">
        <w:rPr>
          <w:rFonts w:ascii="Palatino Linotype" w:hAnsi="Palatino Linotype"/>
          <w:b/>
          <w:bCs/>
          <w:sz w:val="24"/>
          <w:szCs w:val="24"/>
          <w:u w:val="single"/>
        </w:rPr>
        <w:t>Preponderance of Evidence</w:t>
      </w:r>
      <w:r w:rsidRPr="0023245F" w:rsidR="00DD0432">
        <w:rPr>
          <w:rFonts w:ascii="Palatino Linotype" w:hAnsi="Palatino Linotype"/>
          <w:b/>
          <w:bCs/>
          <w:sz w:val="24"/>
          <w:szCs w:val="24"/>
          <w:u w:val="single"/>
        </w:rPr>
        <w:t xml:space="preserve"> </w:t>
      </w:r>
      <w:r w:rsidRPr="0023245F" w:rsidR="0092375F">
        <w:rPr>
          <w:rFonts w:ascii="Palatino Linotype" w:hAnsi="Palatino Linotype"/>
          <w:b/>
          <w:bCs/>
          <w:sz w:val="24"/>
          <w:szCs w:val="24"/>
          <w:u w:val="single"/>
        </w:rPr>
        <w:t>Requirements</w:t>
      </w:r>
      <w:r w:rsidR="00AD41B1">
        <w:rPr>
          <w:rFonts w:ascii="Palatino Linotype" w:hAnsi="Palatino Linotype"/>
          <w:b/>
          <w:bCs/>
          <w:sz w:val="24"/>
          <w:szCs w:val="24"/>
          <w:u w:val="single"/>
        </w:rPr>
        <w:t xml:space="preserve"> </w:t>
      </w:r>
      <w:r w:rsidRPr="0023245F" w:rsidR="00AD41B1">
        <w:rPr>
          <w:rFonts w:ascii="Palatino Linotype" w:hAnsi="Palatino Linotype"/>
          <w:b/>
          <w:bCs/>
          <w:sz w:val="24"/>
          <w:szCs w:val="24"/>
          <w:u w:val="single"/>
        </w:rPr>
        <w:t>for Accelerated Replacements</w:t>
      </w:r>
      <w:r w:rsidR="00AD41B1">
        <w:rPr>
          <w:rFonts w:ascii="Palatino Linotype" w:hAnsi="Palatino Linotype"/>
          <w:b/>
          <w:bCs/>
          <w:sz w:val="24"/>
          <w:szCs w:val="24"/>
          <w:u w:val="single"/>
        </w:rPr>
        <w:t xml:space="preserve"> for</w:t>
      </w:r>
      <w:r w:rsidR="00A26428">
        <w:rPr>
          <w:rFonts w:ascii="Palatino Linotype" w:hAnsi="Palatino Linotype"/>
          <w:b/>
          <w:bCs/>
          <w:sz w:val="24"/>
          <w:szCs w:val="24"/>
          <w:u w:val="single"/>
        </w:rPr>
        <w:t xml:space="preserve"> the</w:t>
      </w:r>
      <w:r w:rsidRPr="0023245F" w:rsidR="001B398A">
        <w:rPr>
          <w:rFonts w:ascii="Palatino Linotype" w:hAnsi="Palatino Linotype"/>
          <w:b/>
          <w:bCs/>
          <w:sz w:val="24"/>
          <w:szCs w:val="24"/>
          <w:u w:val="single"/>
        </w:rPr>
        <w:t xml:space="preserve"> </w:t>
      </w:r>
      <w:r w:rsidRPr="0023245F">
        <w:rPr>
          <w:rFonts w:ascii="Palatino Linotype" w:hAnsi="Palatino Linotype"/>
          <w:b/>
          <w:bCs/>
          <w:sz w:val="24"/>
          <w:szCs w:val="24"/>
          <w:u w:val="single"/>
        </w:rPr>
        <w:t xml:space="preserve">Full Rigor </w:t>
      </w:r>
      <w:r w:rsidR="00AD41B1">
        <w:rPr>
          <w:rFonts w:ascii="Palatino Linotype" w:hAnsi="Palatino Linotype"/>
          <w:b/>
          <w:bCs/>
          <w:sz w:val="24"/>
          <w:szCs w:val="24"/>
          <w:u w:val="single"/>
        </w:rPr>
        <w:t xml:space="preserve">Customer Incentive Level </w:t>
      </w:r>
      <w:r w:rsidRPr="0023245F">
        <w:rPr>
          <w:rFonts w:ascii="Palatino Linotype" w:hAnsi="Palatino Linotype"/>
          <w:b/>
          <w:bCs/>
          <w:sz w:val="24"/>
          <w:szCs w:val="24"/>
          <w:u w:val="single"/>
        </w:rPr>
        <w:t>Tier</w:t>
      </w:r>
    </w:p>
    <w:p w:rsidR="009146F7" w:rsidP="00562392" w:rsidRDefault="009146F7" w14:paraId="10FB4C28" w14:textId="77777777">
      <w:pPr>
        <w:pStyle w:val="standard"/>
        <w:rPr>
          <w:rFonts w:ascii="Palatino Linotype" w:hAnsi="Palatino Linotype"/>
          <w:sz w:val="24"/>
          <w:szCs w:val="24"/>
        </w:rPr>
      </w:pPr>
    </w:p>
    <w:p w:rsidRPr="00DF25C0" w:rsidR="00D33E15" w:rsidP="00562392" w:rsidRDefault="002503C3" w14:paraId="7F6E10C1" w14:textId="2D903984">
      <w:pPr>
        <w:pStyle w:val="standard"/>
        <w:rPr>
          <w:rFonts w:ascii="Palatino Linotype" w:hAnsi="Palatino Linotype"/>
          <w:sz w:val="24"/>
          <w:szCs w:val="24"/>
        </w:rPr>
      </w:pPr>
      <w:r>
        <w:rPr>
          <w:rFonts w:ascii="Palatino Linotype" w:hAnsi="Palatino Linotype"/>
          <w:sz w:val="24"/>
          <w:szCs w:val="24"/>
        </w:rPr>
        <w:t>Although</w:t>
      </w:r>
      <w:r w:rsidR="004E1294">
        <w:rPr>
          <w:rFonts w:ascii="Palatino Linotype" w:hAnsi="Palatino Linotype"/>
          <w:sz w:val="24"/>
          <w:szCs w:val="24"/>
        </w:rPr>
        <w:t xml:space="preserve"> the</w:t>
      </w:r>
      <w:r>
        <w:rPr>
          <w:rFonts w:ascii="Palatino Linotype" w:hAnsi="Palatino Linotype"/>
          <w:sz w:val="24"/>
          <w:szCs w:val="24"/>
        </w:rPr>
        <w:t xml:space="preserve"> Full Rigor </w:t>
      </w:r>
      <w:r w:rsidR="00DD0432">
        <w:rPr>
          <w:rFonts w:ascii="Palatino Linotype" w:hAnsi="Palatino Linotype"/>
          <w:sz w:val="24"/>
          <w:szCs w:val="24"/>
        </w:rPr>
        <w:t xml:space="preserve">preponderance of evidence </w:t>
      </w:r>
      <w:r>
        <w:rPr>
          <w:rFonts w:ascii="Palatino Linotype" w:hAnsi="Palatino Linotype"/>
          <w:sz w:val="24"/>
          <w:szCs w:val="24"/>
        </w:rPr>
        <w:t xml:space="preserve">requirements </w:t>
      </w:r>
      <w:r w:rsidR="001B398A">
        <w:rPr>
          <w:rFonts w:ascii="Palatino Linotype" w:hAnsi="Palatino Linotype"/>
          <w:sz w:val="24"/>
          <w:szCs w:val="24"/>
        </w:rPr>
        <w:t xml:space="preserve">for equipment viability and program influence </w:t>
      </w:r>
      <w:r w:rsidR="000B5201">
        <w:rPr>
          <w:rFonts w:ascii="Palatino Linotype" w:hAnsi="Palatino Linotype"/>
          <w:sz w:val="24"/>
          <w:szCs w:val="24"/>
        </w:rPr>
        <w:t>for accelerated replacement</w:t>
      </w:r>
      <w:r w:rsidR="001B398A">
        <w:rPr>
          <w:rFonts w:ascii="Palatino Linotype" w:hAnsi="Palatino Linotype"/>
          <w:sz w:val="24"/>
          <w:szCs w:val="24"/>
        </w:rPr>
        <w:t>s</w:t>
      </w:r>
      <w:r w:rsidR="000B5201">
        <w:rPr>
          <w:rFonts w:ascii="Palatino Linotype" w:hAnsi="Palatino Linotype"/>
          <w:sz w:val="24"/>
          <w:szCs w:val="24"/>
        </w:rPr>
        <w:t xml:space="preserve"> </w:t>
      </w:r>
      <w:r w:rsidR="00562392">
        <w:rPr>
          <w:rFonts w:ascii="Palatino Linotype" w:hAnsi="Palatino Linotype"/>
          <w:sz w:val="24"/>
          <w:szCs w:val="24"/>
        </w:rPr>
        <w:t>was</w:t>
      </w:r>
      <w:r>
        <w:rPr>
          <w:rFonts w:ascii="Palatino Linotype" w:hAnsi="Palatino Linotype"/>
          <w:sz w:val="24"/>
          <w:szCs w:val="24"/>
        </w:rPr>
        <w:t xml:space="preserve"> not within the scope of the T2WG activity, </w:t>
      </w:r>
      <w:r w:rsidR="000B5201">
        <w:rPr>
          <w:rFonts w:ascii="Palatino Linotype" w:hAnsi="Palatino Linotype"/>
          <w:sz w:val="24"/>
          <w:szCs w:val="24"/>
        </w:rPr>
        <w:t>we appreciate the T2WG</w:t>
      </w:r>
      <w:r w:rsidR="00562392">
        <w:rPr>
          <w:rFonts w:ascii="Palatino Linotype" w:hAnsi="Palatino Linotype"/>
          <w:sz w:val="24"/>
          <w:szCs w:val="24"/>
        </w:rPr>
        <w:t xml:space="preserve">’s </w:t>
      </w:r>
      <w:r w:rsidR="000B5201">
        <w:rPr>
          <w:rFonts w:ascii="Palatino Linotype" w:hAnsi="Palatino Linotype"/>
          <w:sz w:val="24"/>
          <w:szCs w:val="24"/>
        </w:rPr>
        <w:t>efforts to propose recommendation</w:t>
      </w:r>
      <w:r w:rsidR="00EE2BED">
        <w:rPr>
          <w:rFonts w:ascii="Palatino Linotype" w:hAnsi="Palatino Linotype"/>
          <w:sz w:val="24"/>
          <w:szCs w:val="24"/>
        </w:rPr>
        <w:t>s</w:t>
      </w:r>
      <w:r w:rsidR="000B5201">
        <w:rPr>
          <w:rFonts w:ascii="Palatino Linotype" w:hAnsi="Palatino Linotype"/>
          <w:sz w:val="24"/>
          <w:szCs w:val="24"/>
        </w:rPr>
        <w:t xml:space="preserve"> in the T2WG </w:t>
      </w:r>
      <w:r w:rsidR="00EE2BED">
        <w:rPr>
          <w:rFonts w:ascii="Palatino Linotype" w:hAnsi="Palatino Linotype"/>
          <w:sz w:val="24"/>
          <w:szCs w:val="24"/>
        </w:rPr>
        <w:t xml:space="preserve">Final </w:t>
      </w:r>
      <w:r w:rsidR="000B5201">
        <w:rPr>
          <w:rFonts w:ascii="Palatino Linotype" w:hAnsi="Palatino Linotype"/>
          <w:sz w:val="24"/>
          <w:szCs w:val="24"/>
        </w:rPr>
        <w:t>Report</w:t>
      </w:r>
      <w:r w:rsidR="00693712">
        <w:rPr>
          <w:rFonts w:ascii="Palatino Linotype" w:hAnsi="Palatino Linotype"/>
          <w:sz w:val="24"/>
          <w:szCs w:val="24"/>
        </w:rPr>
        <w:t>.</w:t>
      </w:r>
      <w:r w:rsidRPr="00DF25C0" w:rsidR="00C30621">
        <w:rPr>
          <w:rStyle w:val="FootnoteReference"/>
          <w:rFonts w:ascii="Palatino Linotype" w:hAnsi="Palatino Linotype"/>
          <w:sz w:val="24"/>
          <w:szCs w:val="24"/>
        </w:rPr>
        <w:footnoteReference w:id="37"/>
      </w:r>
      <w:r w:rsidRPr="00DF25C0" w:rsidR="00D33E15">
        <w:rPr>
          <w:rFonts w:ascii="Palatino Linotype" w:hAnsi="Palatino Linotype"/>
          <w:sz w:val="24"/>
          <w:szCs w:val="24"/>
        </w:rPr>
        <w:t xml:space="preserve">  </w:t>
      </w:r>
    </w:p>
    <w:p w:rsidRPr="00DF25C0" w:rsidR="00D33E15" w:rsidP="00D33E15" w:rsidRDefault="00D33E15" w14:paraId="3C85A90F" w14:textId="5E12727D">
      <w:pPr>
        <w:pStyle w:val="standard"/>
        <w:rPr>
          <w:rFonts w:ascii="Palatino Linotype" w:hAnsi="Palatino Linotype"/>
          <w:sz w:val="24"/>
          <w:szCs w:val="24"/>
        </w:rPr>
      </w:pPr>
      <w:r w:rsidRPr="00DF25C0">
        <w:rPr>
          <w:rFonts w:ascii="Palatino Linotype" w:hAnsi="Palatino Linotype"/>
          <w:sz w:val="24"/>
          <w:szCs w:val="24"/>
        </w:rPr>
        <w:lastRenderedPageBreak/>
        <w:t xml:space="preserve">The evidence of program influence </w:t>
      </w:r>
      <w:r w:rsidRPr="00DF25C0" w:rsidR="00923920">
        <w:rPr>
          <w:rFonts w:ascii="Palatino Linotype" w:hAnsi="Palatino Linotype"/>
          <w:sz w:val="24"/>
          <w:szCs w:val="24"/>
        </w:rPr>
        <w:t xml:space="preserve">in general </w:t>
      </w:r>
      <w:r w:rsidRPr="00DF25C0">
        <w:rPr>
          <w:rFonts w:ascii="Palatino Linotype" w:hAnsi="Palatino Linotype"/>
          <w:sz w:val="24"/>
          <w:szCs w:val="24"/>
        </w:rPr>
        <w:t xml:space="preserve">must demonstrate that an energy efficiency program caused a customer to implement a more costly, more efficient equipment or process than they would have otherwise in absence of the program intervention.  Program influence may be in the form of technical assistance and/or financial support. </w:t>
      </w:r>
      <w:r w:rsidRPr="00DF25C0" w:rsidR="00FD7F03">
        <w:rPr>
          <w:rFonts w:ascii="Palatino Linotype" w:hAnsi="Palatino Linotype"/>
          <w:sz w:val="24"/>
          <w:szCs w:val="24"/>
        </w:rPr>
        <w:t xml:space="preserve"> </w:t>
      </w:r>
      <w:r w:rsidRPr="00DF25C0">
        <w:rPr>
          <w:rFonts w:ascii="Palatino Linotype" w:hAnsi="Palatino Linotype"/>
          <w:sz w:val="24"/>
          <w:szCs w:val="24"/>
        </w:rPr>
        <w:t xml:space="preserve">The information may be providing suggestions of alternative designs or products not already under consideration, or analysis of alternatives to demonstrate how the customer requirements can be met or exceeded by selecting an alternative. </w:t>
      </w:r>
      <w:r w:rsidRPr="00DF25C0" w:rsidR="00FD7F03">
        <w:rPr>
          <w:rFonts w:ascii="Palatino Linotype" w:hAnsi="Palatino Linotype"/>
          <w:sz w:val="24"/>
          <w:szCs w:val="24"/>
        </w:rPr>
        <w:t xml:space="preserve"> </w:t>
      </w:r>
      <w:r w:rsidRPr="00DF25C0">
        <w:rPr>
          <w:rFonts w:ascii="Palatino Linotype" w:hAnsi="Palatino Linotype"/>
          <w:sz w:val="24"/>
          <w:szCs w:val="24"/>
        </w:rPr>
        <w:t xml:space="preserve">Qualified financial influence occurs when the availability of incentive support to the customer directly becomes the deciding factor in the selection of a more efficient alternative solution to the one or ones that would otherwise be selected. </w:t>
      </w:r>
    </w:p>
    <w:p w:rsidRPr="00DF25C0" w:rsidR="00D33E15" w:rsidP="00825661" w:rsidRDefault="00D33E15" w14:paraId="0F9C8101" w14:textId="31CAEE96">
      <w:pPr>
        <w:pStyle w:val="standard"/>
        <w:rPr>
          <w:rFonts w:ascii="Palatino Linotype" w:hAnsi="Palatino Linotype"/>
          <w:sz w:val="24"/>
          <w:szCs w:val="24"/>
        </w:rPr>
      </w:pPr>
      <w:r w:rsidRPr="00DF25C0">
        <w:rPr>
          <w:rFonts w:ascii="Palatino Linotype" w:hAnsi="Palatino Linotype"/>
          <w:sz w:val="24"/>
          <w:szCs w:val="24"/>
        </w:rPr>
        <w:t xml:space="preserve">The T2WG Final Report did not address at what point in a project’s development the </w:t>
      </w:r>
      <w:r w:rsidR="00DD0432">
        <w:rPr>
          <w:rFonts w:ascii="Palatino Linotype" w:hAnsi="Palatino Linotype"/>
          <w:sz w:val="24"/>
          <w:szCs w:val="24"/>
        </w:rPr>
        <w:t>preponderance of evidence</w:t>
      </w:r>
      <w:r w:rsidRPr="00DF25C0" w:rsidR="00DD0432">
        <w:rPr>
          <w:rFonts w:ascii="Palatino Linotype" w:hAnsi="Palatino Linotype"/>
          <w:sz w:val="24"/>
          <w:szCs w:val="24"/>
        </w:rPr>
        <w:t xml:space="preserve"> </w:t>
      </w:r>
      <w:r w:rsidRPr="00DF25C0">
        <w:rPr>
          <w:rFonts w:ascii="Palatino Linotype" w:hAnsi="Palatino Linotype"/>
          <w:sz w:val="24"/>
          <w:szCs w:val="24"/>
        </w:rPr>
        <w:t xml:space="preserve">exercise should occur.  Convincing program influence is typically exhibited by the project developer’s actual actions and their impacts on a specific customer’s selection decision on the technology or process option(s) considered prior </w:t>
      </w:r>
      <w:r w:rsidRPr="00DF25C0" w:rsidR="003F6DE5">
        <w:rPr>
          <w:rFonts w:ascii="Palatino Linotype" w:hAnsi="Palatino Linotype"/>
          <w:sz w:val="24"/>
          <w:szCs w:val="24"/>
        </w:rPr>
        <w:t xml:space="preserve">to </w:t>
      </w:r>
      <w:r w:rsidRPr="00DF25C0">
        <w:rPr>
          <w:rFonts w:ascii="Palatino Linotype" w:hAnsi="Palatino Linotype"/>
          <w:sz w:val="24"/>
          <w:szCs w:val="24"/>
        </w:rPr>
        <w:t xml:space="preserve">or during the customer’s decision-making process.  The </w:t>
      </w:r>
      <w:r w:rsidR="00DD0432">
        <w:rPr>
          <w:rFonts w:ascii="Palatino Linotype" w:hAnsi="Palatino Linotype"/>
          <w:sz w:val="24"/>
          <w:szCs w:val="24"/>
        </w:rPr>
        <w:t>preponderance of evidence</w:t>
      </w:r>
      <w:r w:rsidRPr="00DF25C0" w:rsidR="00DD0432">
        <w:rPr>
          <w:rFonts w:ascii="Palatino Linotype" w:hAnsi="Palatino Linotype"/>
          <w:sz w:val="24"/>
          <w:szCs w:val="24"/>
        </w:rPr>
        <w:t xml:space="preserve"> </w:t>
      </w:r>
      <w:r w:rsidR="00D80009">
        <w:rPr>
          <w:rFonts w:ascii="Palatino Linotype" w:hAnsi="Palatino Linotype"/>
          <w:sz w:val="24"/>
          <w:szCs w:val="24"/>
        </w:rPr>
        <w:t>determination</w:t>
      </w:r>
      <w:r w:rsidRPr="00DF25C0">
        <w:rPr>
          <w:rFonts w:ascii="Palatino Linotype" w:hAnsi="Palatino Linotype"/>
          <w:sz w:val="24"/>
          <w:szCs w:val="24"/>
        </w:rPr>
        <w:t xml:space="preserve"> should be</w:t>
      </w:r>
      <w:r w:rsidR="00451BC6">
        <w:rPr>
          <w:rFonts w:ascii="Palatino Linotype" w:hAnsi="Palatino Linotype"/>
          <w:sz w:val="24"/>
          <w:szCs w:val="24"/>
        </w:rPr>
        <w:t xml:space="preserve"> </w:t>
      </w:r>
      <w:proofErr w:type="gramStart"/>
      <w:r w:rsidR="005D4389">
        <w:rPr>
          <w:rFonts w:ascii="Palatino Linotype" w:hAnsi="Palatino Linotype"/>
          <w:sz w:val="24"/>
          <w:szCs w:val="24"/>
        </w:rPr>
        <w:t>conducted</w:t>
      </w:r>
      <w:proofErr w:type="gramEnd"/>
      <w:r w:rsidR="00451BC6">
        <w:rPr>
          <w:rFonts w:ascii="Palatino Linotype" w:hAnsi="Palatino Linotype"/>
          <w:sz w:val="24"/>
          <w:szCs w:val="24"/>
        </w:rPr>
        <w:t xml:space="preserve"> and documentation collected</w:t>
      </w:r>
      <w:r w:rsidRPr="00DF25C0">
        <w:rPr>
          <w:rFonts w:ascii="Palatino Linotype" w:hAnsi="Palatino Linotype"/>
          <w:sz w:val="24"/>
          <w:szCs w:val="24"/>
        </w:rPr>
        <w:t xml:space="preserve"> early in the project development phase when eligibility and measure type are being assessed.</w:t>
      </w:r>
      <w:r w:rsidRPr="00DF25C0" w:rsidR="00FD7F03">
        <w:rPr>
          <w:rFonts w:ascii="Palatino Linotype" w:hAnsi="Palatino Linotype"/>
          <w:sz w:val="24"/>
          <w:szCs w:val="24"/>
        </w:rPr>
        <w:t xml:space="preserve"> </w:t>
      </w:r>
      <w:r w:rsidRPr="00DF25C0">
        <w:rPr>
          <w:rFonts w:ascii="Palatino Linotype" w:hAnsi="Palatino Linotype"/>
          <w:sz w:val="24"/>
          <w:szCs w:val="24"/>
        </w:rPr>
        <w:t xml:space="preserve"> If a project fails the</w:t>
      </w:r>
      <w:r w:rsidRPr="00DF25C0" w:rsidR="00C30621">
        <w:rPr>
          <w:rFonts w:ascii="Palatino Linotype" w:hAnsi="Palatino Linotype"/>
          <w:sz w:val="24"/>
          <w:szCs w:val="24"/>
        </w:rPr>
        <w:t xml:space="preserve"> program influence </w:t>
      </w:r>
      <w:r w:rsidR="00DD0432">
        <w:rPr>
          <w:rFonts w:ascii="Palatino Linotype" w:hAnsi="Palatino Linotype"/>
          <w:sz w:val="24"/>
          <w:szCs w:val="24"/>
        </w:rPr>
        <w:t>preponderance of evidence</w:t>
      </w:r>
      <w:r w:rsidRPr="00DF25C0" w:rsidR="00DD0432">
        <w:rPr>
          <w:rFonts w:ascii="Palatino Linotype" w:hAnsi="Palatino Linotype"/>
          <w:sz w:val="24"/>
          <w:szCs w:val="24"/>
        </w:rPr>
        <w:t xml:space="preserve"> </w:t>
      </w:r>
      <w:r w:rsidRPr="00DF25C0">
        <w:rPr>
          <w:rFonts w:ascii="Palatino Linotype" w:hAnsi="Palatino Linotype"/>
          <w:sz w:val="24"/>
          <w:szCs w:val="24"/>
        </w:rPr>
        <w:t xml:space="preserve">assessment for accelerated replacement, it may still be eligible as a normal replacement project as long as it conforms with </w:t>
      </w:r>
      <w:r w:rsidR="00334BAC">
        <w:rPr>
          <w:rFonts w:ascii="Palatino Linotype" w:hAnsi="Palatino Linotype"/>
          <w:sz w:val="24"/>
          <w:szCs w:val="24"/>
        </w:rPr>
        <w:t>CPUC</w:t>
      </w:r>
      <w:r w:rsidRPr="00DF25C0" w:rsidR="00334BAC">
        <w:rPr>
          <w:rFonts w:ascii="Palatino Linotype" w:hAnsi="Palatino Linotype"/>
          <w:sz w:val="24"/>
          <w:szCs w:val="24"/>
        </w:rPr>
        <w:t xml:space="preserve"> </w:t>
      </w:r>
      <w:r w:rsidRPr="00DF25C0">
        <w:rPr>
          <w:rFonts w:ascii="Palatino Linotype" w:hAnsi="Palatino Linotype"/>
          <w:sz w:val="24"/>
          <w:szCs w:val="24"/>
        </w:rPr>
        <w:t xml:space="preserve">policy, </w:t>
      </w:r>
      <w:r w:rsidR="00487092">
        <w:rPr>
          <w:rFonts w:ascii="Palatino Linotype" w:hAnsi="Palatino Linotype"/>
          <w:sz w:val="24"/>
          <w:szCs w:val="24"/>
        </w:rPr>
        <w:t>CPUC</w:t>
      </w:r>
      <w:r w:rsidRPr="00DF25C0" w:rsidR="00487092">
        <w:rPr>
          <w:rFonts w:ascii="Palatino Linotype" w:hAnsi="Palatino Linotype"/>
          <w:sz w:val="24"/>
          <w:szCs w:val="24"/>
        </w:rPr>
        <w:t xml:space="preserve"> </w:t>
      </w:r>
      <w:r w:rsidRPr="00DF25C0">
        <w:rPr>
          <w:rFonts w:ascii="Palatino Linotype" w:hAnsi="Palatino Linotype"/>
          <w:sz w:val="24"/>
          <w:szCs w:val="24"/>
        </w:rPr>
        <w:t>staff guidance</w:t>
      </w:r>
      <w:r w:rsidRPr="00DF25C0" w:rsidR="003F6DE5">
        <w:rPr>
          <w:rFonts w:ascii="Palatino Linotype" w:hAnsi="Palatino Linotype"/>
          <w:sz w:val="24"/>
          <w:szCs w:val="24"/>
        </w:rPr>
        <w:t>,</w:t>
      </w:r>
      <w:r w:rsidRPr="00DF25C0">
        <w:rPr>
          <w:rFonts w:ascii="Palatino Linotype" w:hAnsi="Palatino Linotype"/>
          <w:sz w:val="24"/>
          <w:szCs w:val="24"/>
        </w:rPr>
        <w:t xml:space="preserve"> and </w:t>
      </w:r>
      <w:r w:rsidRPr="00DF25C0" w:rsidR="00FD7F03">
        <w:rPr>
          <w:rFonts w:ascii="Palatino Linotype" w:hAnsi="Palatino Linotype"/>
          <w:sz w:val="24"/>
          <w:szCs w:val="24"/>
        </w:rPr>
        <w:t>program administrator’s</w:t>
      </w:r>
      <w:r w:rsidRPr="00DF25C0">
        <w:rPr>
          <w:rFonts w:ascii="Palatino Linotype" w:hAnsi="Palatino Linotype"/>
          <w:sz w:val="24"/>
          <w:szCs w:val="24"/>
        </w:rPr>
        <w:t xml:space="preserve"> program rules.  A project developer must avoid “harvesting” a customer that has already planned for implementation activity into their program, because such project decisions happened before the developer can exercise any meaningful intervention. To prevent free</w:t>
      </w:r>
      <w:r w:rsidRPr="00DF25C0" w:rsidR="00825661">
        <w:rPr>
          <w:rFonts w:ascii="Palatino Linotype" w:hAnsi="Palatino Linotype"/>
          <w:sz w:val="24"/>
          <w:szCs w:val="24"/>
        </w:rPr>
        <w:t>-</w:t>
      </w:r>
      <w:r w:rsidRPr="00DF25C0">
        <w:rPr>
          <w:rFonts w:ascii="Palatino Linotype" w:hAnsi="Palatino Linotype"/>
          <w:sz w:val="24"/>
          <w:szCs w:val="24"/>
        </w:rPr>
        <w:t xml:space="preserve">ridership, implementers should not claim influence if their engagement for the specific project does not occur before or during customer’s decision-making process, or results in no additional </w:t>
      </w:r>
      <w:r w:rsidRPr="00DF25C0">
        <w:rPr>
          <w:rFonts w:ascii="Palatino Linotype" w:hAnsi="Palatino Linotype"/>
          <w:sz w:val="24"/>
          <w:szCs w:val="24"/>
        </w:rPr>
        <w:lastRenderedPageBreak/>
        <w:t>efficiency improvement over what the customer is planning to do anyway to meet today’s needs.</w:t>
      </w:r>
      <w:r w:rsidR="00223CDE">
        <w:rPr>
          <w:rStyle w:val="FootnoteReference"/>
          <w:rFonts w:ascii="Palatino Linotype" w:hAnsi="Palatino Linotype"/>
          <w:sz w:val="24"/>
          <w:szCs w:val="24"/>
        </w:rPr>
        <w:footnoteReference w:id="38"/>
      </w:r>
    </w:p>
    <w:p w:rsidRPr="00DF25C0" w:rsidR="00D33E15" w:rsidP="008C7EFA" w:rsidRDefault="00D33E15" w14:paraId="3F3AC865" w14:textId="0E9EB61B">
      <w:pPr>
        <w:pStyle w:val="standard"/>
        <w:rPr>
          <w:rFonts w:ascii="Palatino Linotype" w:hAnsi="Palatino Linotype"/>
          <w:sz w:val="24"/>
          <w:szCs w:val="24"/>
        </w:rPr>
      </w:pPr>
      <w:r w:rsidRPr="00DF25C0">
        <w:rPr>
          <w:rFonts w:ascii="Palatino Linotype" w:hAnsi="Palatino Linotype"/>
          <w:sz w:val="24"/>
          <w:szCs w:val="24"/>
        </w:rPr>
        <w:t xml:space="preserve">The technology or process option(s) must all meet the functional, technical, and economic needs of the customer. Effective influence is typically demonstrated through legitimate difference made by the project developer in encouraging the customer to do more than what the customer would have done as the current practice. </w:t>
      </w:r>
      <w:r w:rsidRPr="00DF25C0" w:rsidR="00FD7F03">
        <w:rPr>
          <w:rFonts w:ascii="Palatino Linotype" w:hAnsi="Palatino Linotype"/>
          <w:sz w:val="24"/>
          <w:szCs w:val="24"/>
        </w:rPr>
        <w:t xml:space="preserve"> </w:t>
      </w:r>
      <w:r w:rsidRPr="00DF25C0">
        <w:rPr>
          <w:rFonts w:ascii="Palatino Linotype" w:hAnsi="Palatino Linotype"/>
          <w:sz w:val="24"/>
          <w:szCs w:val="24"/>
        </w:rPr>
        <w:t xml:space="preserve">Actions such as technical assistance or financial assistance must happen before or during (not after) the customer’s decision-making process of selecting an energy efficient technology or process option. </w:t>
      </w:r>
      <w:r w:rsidRPr="00DF25C0" w:rsidR="00FD7F03">
        <w:rPr>
          <w:rFonts w:ascii="Palatino Linotype" w:hAnsi="Palatino Linotype"/>
          <w:sz w:val="24"/>
          <w:szCs w:val="24"/>
        </w:rPr>
        <w:t xml:space="preserve"> </w:t>
      </w:r>
      <w:r w:rsidRPr="00DF25C0">
        <w:rPr>
          <w:rFonts w:ascii="Palatino Linotype" w:hAnsi="Palatino Linotype"/>
          <w:sz w:val="24"/>
          <w:szCs w:val="24"/>
        </w:rPr>
        <w:t xml:space="preserve">Therefore, documentation must be collected at the program intervention stage to demonstrate what the customer was planning to do prior to when the energy efficiency program intervened in the specific custom project. </w:t>
      </w:r>
      <w:r w:rsidRPr="00DF25C0" w:rsidR="00FD7F03">
        <w:rPr>
          <w:rFonts w:ascii="Palatino Linotype" w:hAnsi="Palatino Linotype"/>
          <w:sz w:val="24"/>
          <w:szCs w:val="24"/>
        </w:rPr>
        <w:t xml:space="preserve"> </w:t>
      </w:r>
      <w:r w:rsidRPr="00DF25C0">
        <w:rPr>
          <w:rFonts w:ascii="Palatino Linotype" w:hAnsi="Palatino Linotype"/>
          <w:sz w:val="24"/>
          <w:szCs w:val="24"/>
        </w:rPr>
        <w:t>The documentation needs to demonstrate how the program</w:t>
      </w:r>
      <w:r w:rsidR="00460B2A">
        <w:rPr>
          <w:rFonts w:ascii="Palatino Linotype" w:hAnsi="Palatino Linotype"/>
          <w:sz w:val="24"/>
          <w:szCs w:val="24"/>
        </w:rPr>
        <w:t>’s</w:t>
      </w:r>
      <w:r w:rsidRPr="00DF25C0">
        <w:rPr>
          <w:rFonts w:ascii="Palatino Linotype" w:hAnsi="Palatino Linotype"/>
          <w:sz w:val="24"/>
          <w:szCs w:val="24"/>
        </w:rPr>
        <w:t xml:space="preserve"> (interventions) </w:t>
      </w:r>
      <w:r w:rsidR="00FA1ADA">
        <w:rPr>
          <w:rFonts w:ascii="Palatino Linotype" w:hAnsi="Palatino Linotype"/>
          <w:sz w:val="24"/>
          <w:szCs w:val="24"/>
        </w:rPr>
        <w:t>convinced</w:t>
      </w:r>
      <w:r w:rsidRPr="00DF25C0" w:rsidR="00FA1ADA">
        <w:rPr>
          <w:rFonts w:ascii="Palatino Linotype" w:hAnsi="Palatino Linotype"/>
          <w:sz w:val="24"/>
          <w:szCs w:val="24"/>
        </w:rPr>
        <w:t xml:space="preserve"> </w:t>
      </w:r>
      <w:r w:rsidRPr="00DF25C0">
        <w:rPr>
          <w:rFonts w:ascii="Palatino Linotype" w:hAnsi="Palatino Linotype"/>
          <w:sz w:val="24"/>
          <w:szCs w:val="24"/>
        </w:rPr>
        <w:t xml:space="preserve">the customer to </w:t>
      </w:r>
      <w:r w:rsidR="00460B2A">
        <w:rPr>
          <w:rFonts w:ascii="Palatino Linotype" w:hAnsi="Palatino Linotype"/>
          <w:sz w:val="24"/>
          <w:szCs w:val="24"/>
        </w:rPr>
        <w:t>accelerate the replacement of the existing equipment or process</w:t>
      </w:r>
      <w:r w:rsidRPr="00DF25C0">
        <w:rPr>
          <w:rFonts w:ascii="Palatino Linotype" w:hAnsi="Palatino Linotype"/>
          <w:sz w:val="24"/>
          <w:szCs w:val="24"/>
        </w:rPr>
        <w:t xml:space="preserve">. </w:t>
      </w:r>
    </w:p>
    <w:p w:rsidRPr="00DF25C0" w:rsidR="00D33E15" w:rsidP="00D33CC3" w:rsidRDefault="00D33E15" w14:paraId="5E016CE5" w14:textId="3BC75606">
      <w:pPr>
        <w:pStyle w:val="standard"/>
        <w:rPr>
          <w:rFonts w:ascii="Palatino Linotype" w:hAnsi="Palatino Linotype"/>
          <w:sz w:val="24"/>
          <w:szCs w:val="24"/>
        </w:rPr>
      </w:pPr>
      <w:r w:rsidRPr="00DF25C0">
        <w:rPr>
          <w:rFonts w:ascii="Palatino Linotype" w:hAnsi="Palatino Linotype"/>
          <w:sz w:val="24"/>
          <w:szCs w:val="24"/>
        </w:rPr>
        <w:t>For the Full</w:t>
      </w:r>
      <w:r w:rsidRPr="00DF25C0" w:rsidR="00D33CC3">
        <w:rPr>
          <w:rFonts w:ascii="Palatino Linotype" w:hAnsi="Palatino Linotype"/>
          <w:sz w:val="24"/>
          <w:szCs w:val="24"/>
        </w:rPr>
        <w:t xml:space="preserve"> Rigor</w:t>
      </w:r>
      <w:r w:rsidR="0063083A">
        <w:rPr>
          <w:rFonts w:ascii="Palatino Linotype" w:hAnsi="Palatino Linotype"/>
          <w:sz w:val="24"/>
          <w:szCs w:val="24"/>
        </w:rPr>
        <w:t xml:space="preserve"> customer incentive level</w:t>
      </w:r>
      <w:r w:rsidRPr="00DF25C0">
        <w:rPr>
          <w:rFonts w:ascii="Palatino Linotype" w:hAnsi="Palatino Linotype"/>
          <w:sz w:val="24"/>
          <w:szCs w:val="24"/>
        </w:rPr>
        <w:t xml:space="preserve"> </w:t>
      </w:r>
      <w:r w:rsidRPr="00DF25C0" w:rsidR="00D33CC3">
        <w:rPr>
          <w:rFonts w:ascii="Palatino Linotype" w:hAnsi="Palatino Linotype"/>
          <w:sz w:val="24"/>
          <w:szCs w:val="24"/>
        </w:rPr>
        <w:t>tier</w:t>
      </w:r>
      <w:r w:rsidRPr="00DF25C0">
        <w:rPr>
          <w:rFonts w:ascii="Palatino Linotype" w:hAnsi="Palatino Linotype"/>
          <w:sz w:val="24"/>
          <w:szCs w:val="24"/>
        </w:rPr>
        <w:t xml:space="preserve">, </w:t>
      </w:r>
      <w:r w:rsidR="00172F13">
        <w:rPr>
          <w:rFonts w:ascii="Palatino Linotype" w:hAnsi="Palatino Linotype"/>
          <w:sz w:val="24"/>
          <w:szCs w:val="24"/>
        </w:rPr>
        <w:t>in addition to the Customer Affidavit Statement for equipment viability</w:t>
      </w:r>
      <w:r w:rsidR="007C497F">
        <w:rPr>
          <w:rFonts w:ascii="Palatino Linotype" w:hAnsi="Palatino Linotype"/>
          <w:sz w:val="24"/>
          <w:szCs w:val="24"/>
        </w:rPr>
        <w:t xml:space="preserve"> </w:t>
      </w:r>
      <w:r w:rsidR="00B17B58">
        <w:rPr>
          <w:rFonts w:ascii="Palatino Linotype" w:hAnsi="Palatino Linotype"/>
          <w:sz w:val="24"/>
          <w:szCs w:val="24"/>
        </w:rPr>
        <w:t xml:space="preserve">discussed </w:t>
      </w:r>
      <w:r w:rsidR="007C497F">
        <w:rPr>
          <w:rFonts w:ascii="Palatino Linotype" w:hAnsi="Palatino Linotype"/>
          <w:sz w:val="24"/>
          <w:szCs w:val="24"/>
        </w:rPr>
        <w:t>in Section 4.2 in this resolution</w:t>
      </w:r>
      <w:r w:rsidR="00172F13">
        <w:rPr>
          <w:rFonts w:ascii="Palatino Linotype" w:hAnsi="Palatino Linotype"/>
          <w:sz w:val="24"/>
          <w:szCs w:val="24"/>
        </w:rPr>
        <w:t xml:space="preserve">, </w:t>
      </w:r>
      <w:r w:rsidRPr="00DF25C0">
        <w:rPr>
          <w:rFonts w:ascii="Palatino Linotype" w:hAnsi="Palatino Linotype"/>
          <w:sz w:val="24"/>
          <w:szCs w:val="24"/>
        </w:rPr>
        <w:t xml:space="preserve">we direct the project developer to collect information from the customer </w:t>
      </w:r>
      <w:r w:rsidRPr="00DF25C0" w:rsidR="001F6622">
        <w:rPr>
          <w:rFonts w:ascii="Palatino Linotype" w:hAnsi="Palatino Linotype"/>
          <w:sz w:val="24"/>
          <w:szCs w:val="24"/>
        </w:rPr>
        <w:t xml:space="preserve">and </w:t>
      </w:r>
      <w:r w:rsidRPr="00DF25C0" w:rsidR="001D10CE">
        <w:rPr>
          <w:rFonts w:ascii="Palatino Linotype" w:hAnsi="Palatino Linotype"/>
          <w:sz w:val="24"/>
          <w:szCs w:val="24"/>
        </w:rPr>
        <w:t xml:space="preserve">provide </w:t>
      </w:r>
      <w:r w:rsidRPr="00DF25C0" w:rsidR="001F6622">
        <w:rPr>
          <w:rFonts w:ascii="Palatino Linotype" w:hAnsi="Palatino Linotype"/>
          <w:sz w:val="24"/>
          <w:szCs w:val="24"/>
        </w:rPr>
        <w:t>a written</w:t>
      </w:r>
      <w:r w:rsidRPr="00DF25C0">
        <w:rPr>
          <w:rFonts w:ascii="Palatino Linotype" w:hAnsi="Palatino Linotype"/>
          <w:sz w:val="24"/>
          <w:szCs w:val="24"/>
        </w:rPr>
        <w:t xml:space="preserve"> </w:t>
      </w:r>
      <w:r w:rsidRPr="00DF25C0" w:rsidR="000B4B0E">
        <w:rPr>
          <w:rFonts w:ascii="Palatino Linotype" w:hAnsi="Palatino Linotype"/>
          <w:sz w:val="24"/>
          <w:szCs w:val="24"/>
        </w:rPr>
        <w:t xml:space="preserve">response </w:t>
      </w:r>
      <w:r w:rsidRPr="00DF25C0">
        <w:rPr>
          <w:rFonts w:ascii="Palatino Linotype" w:hAnsi="Palatino Linotype"/>
          <w:sz w:val="24"/>
          <w:szCs w:val="24"/>
        </w:rPr>
        <w:t xml:space="preserve">to the </w:t>
      </w:r>
      <w:r w:rsidR="00176235">
        <w:rPr>
          <w:rFonts w:ascii="Palatino Linotype" w:hAnsi="Palatino Linotype"/>
          <w:sz w:val="24"/>
          <w:szCs w:val="24"/>
        </w:rPr>
        <w:t xml:space="preserve">questions </w:t>
      </w:r>
      <w:r w:rsidRPr="00DF25C0">
        <w:rPr>
          <w:rFonts w:ascii="Palatino Linotype" w:hAnsi="Palatino Linotype"/>
          <w:sz w:val="24"/>
          <w:szCs w:val="24"/>
        </w:rPr>
        <w:t xml:space="preserve">below </w:t>
      </w:r>
      <w:r w:rsidRPr="00DF25C0" w:rsidR="00672C02">
        <w:rPr>
          <w:rFonts w:ascii="Palatino Linotype" w:hAnsi="Palatino Linotype"/>
          <w:sz w:val="24"/>
          <w:szCs w:val="24"/>
        </w:rPr>
        <w:t xml:space="preserve">to </w:t>
      </w:r>
      <w:r w:rsidR="00EA5328">
        <w:rPr>
          <w:rFonts w:ascii="Palatino Linotype" w:hAnsi="Palatino Linotype"/>
          <w:sz w:val="24"/>
          <w:szCs w:val="24"/>
        </w:rPr>
        <w:t>demonstrate</w:t>
      </w:r>
      <w:r w:rsidRPr="00DF25C0" w:rsidR="00EA5328">
        <w:rPr>
          <w:rFonts w:ascii="Palatino Linotype" w:hAnsi="Palatino Linotype"/>
          <w:sz w:val="24"/>
          <w:szCs w:val="24"/>
        </w:rPr>
        <w:t xml:space="preserve"> </w:t>
      </w:r>
      <w:r w:rsidRPr="00DF25C0" w:rsidR="004E1294">
        <w:rPr>
          <w:rFonts w:ascii="Palatino Linotype" w:hAnsi="Palatino Linotype"/>
          <w:sz w:val="24"/>
          <w:szCs w:val="24"/>
        </w:rPr>
        <w:t xml:space="preserve">equipment viability </w:t>
      </w:r>
      <w:r w:rsidRPr="004E1294" w:rsidR="004E1294">
        <w:rPr>
          <w:rFonts w:ascii="Palatino Linotype" w:hAnsi="Palatino Linotype"/>
          <w:sz w:val="24"/>
          <w:szCs w:val="24"/>
        </w:rPr>
        <w:t xml:space="preserve">and </w:t>
      </w:r>
      <w:r w:rsidRPr="00DF25C0">
        <w:rPr>
          <w:rFonts w:ascii="Palatino Linotype" w:hAnsi="Palatino Linotype"/>
          <w:sz w:val="24"/>
          <w:szCs w:val="24"/>
        </w:rPr>
        <w:t>program influence</w:t>
      </w:r>
      <w:r w:rsidRPr="00DF25C0" w:rsidR="001F6622">
        <w:rPr>
          <w:rFonts w:ascii="Palatino Linotype" w:hAnsi="Palatino Linotype"/>
          <w:sz w:val="24"/>
          <w:szCs w:val="24"/>
        </w:rPr>
        <w:t xml:space="preserve"> </w:t>
      </w:r>
      <w:r w:rsidR="00A17653">
        <w:rPr>
          <w:rFonts w:ascii="Palatino Linotype" w:hAnsi="Palatino Linotype"/>
          <w:sz w:val="24"/>
          <w:szCs w:val="24"/>
        </w:rPr>
        <w:t>for the accelerated replacements measure application type.</w:t>
      </w:r>
      <w:r w:rsidRPr="00DF25C0" w:rsidR="00FD2ED6">
        <w:rPr>
          <w:rFonts w:ascii="Palatino Linotype" w:hAnsi="Palatino Linotype"/>
          <w:sz w:val="24"/>
          <w:szCs w:val="24"/>
        </w:rPr>
        <w:t xml:space="preserve"> </w:t>
      </w:r>
      <w:r w:rsidRPr="00DF25C0" w:rsidR="003C64B9">
        <w:rPr>
          <w:rFonts w:ascii="Palatino Linotype" w:hAnsi="Palatino Linotype"/>
          <w:sz w:val="24"/>
          <w:szCs w:val="24"/>
        </w:rPr>
        <w:t xml:space="preserve"> </w:t>
      </w:r>
      <w:r w:rsidR="00762F7B">
        <w:rPr>
          <w:rFonts w:ascii="Palatino Linotype" w:hAnsi="Palatino Linotype"/>
          <w:sz w:val="24"/>
          <w:szCs w:val="24"/>
        </w:rPr>
        <w:t>Our</w:t>
      </w:r>
      <w:r w:rsidRPr="00DF25C0" w:rsidR="000D2920">
        <w:rPr>
          <w:rFonts w:ascii="Palatino Linotype" w:hAnsi="Palatino Linotype"/>
          <w:sz w:val="24"/>
          <w:szCs w:val="24"/>
        </w:rPr>
        <w:t xml:space="preserve"> </w:t>
      </w:r>
      <w:r w:rsidRPr="00DF25C0" w:rsidR="001828B8">
        <w:rPr>
          <w:rFonts w:ascii="Palatino Linotype" w:hAnsi="Palatino Linotype"/>
          <w:sz w:val="24"/>
          <w:szCs w:val="24"/>
        </w:rPr>
        <w:t>guidance</w:t>
      </w:r>
      <w:r w:rsidRPr="00DF25C0" w:rsidR="00EA465B">
        <w:rPr>
          <w:rFonts w:ascii="Palatino Linotype" w:hAnsi="Palatino Linotype"/>
          <w:sz w:val="24"/>
          <w:szCs w:val="24"/>
        </w:rPr>
        <w:t xml:space="preserve"> described below </w:t>
      </w:r>
      <w:r w:rsidRPr="00DF25C0" w:rsidR="00C83C0E">
        <w:rPr>
          <w:rFonts w:ascii="Palatino Linotype" w:hAnsi="Palatino Linotype"/>
          <w:sz w:val="24"/>
          <w:szCs w:val="24"/>
        </w:rPr>
        <w:t>i</w:t>
      </w:r>
      <w:r w:rsidRPr="00DF25C0" w:rsidR="001828B8">
        <w:rPr>
          <w:rFonts w:ascii="Palatino Linotype" w:hAnsi="Palatino Linotype"/>
          <w:sz w:val="24"/>
          <w:szCs w:val="24"/>
        </w:rPr>
        <w:t>s</w:t>
      </w:r>
      <w:r w:rsidRPr="00DF25C0" w:rsidR="00C83C0E">
        <w:rPr>
          <w:rFonts w:ascii="Palatino Linotype" w:hAnsi="Palatino Linotype"/>
          <w:sz w:val="24"/>
          <w:szCs w:val="24"/>
        </w:rPr>
        <w:t xml:space="preserve"> </w:t>
      </w:r>
      <w:r w:rsidR="00E36931">
        <w:rPr>
          <w:rFonts w:ascii="Palatino Linotype" w:hAnsi="Palatino Linotype"/>
          <w:sz w:val="24"/>
          <w:szCs w:val="24"/>
        </w:rPr>
        <w:t xml:space="preserve">also </w:t>
      </w:r>
      <w:r w:rsidRPr="00DF25C0" w:rsidR="00286488">
        <w:rPr>
          <w:rFonts w:ascii="Palatino Linotype" w:hAnsi="Palatino Linotype"/>
          <w:sz w:val="24"/>
          <w:szCs w:val="24"/>
        </w:rPr>
        <w:t>applicable</w:t>
      </w:r>
      <w:r w:rsidRPr="00DF25C0" w:rsidR="0066473F">
        <w:rPr>
          <w:rFonts w:ascii="Palatino Linotype" w:hAnsi="Palatino Linotype"/>
          <w:sz w:val="24"/>
          <w:szCs w:val="24"/>
        </w:rPr>
        <w:t xml:space="preserve"> minimum</w:t>
      </w:r>
      <w:r w:rsidRPr="00DF25C0" w:rsidR="00286488">
        <w:rPr>
          <w:rFonts w:ascii="Palatino Linotype" w:hAnsi="Palatino Linotype"/>
          <w:sz w:val="24"/>
          <w:szCs w:val="24"/>
        </w:rPr>
        <w:t xml:space="preserve"> </w:t>
      </w:r>
      <w:r w:rsidRPr="00DF25C0" w:rsidR="006E2580">
        <w:rPr>
          <w:rFonts w:ascii="Palatino Linotype" w:hAnsi="Palatino Linotype"/>
          <w:sz w:val="24"/>
          <w:szCs w:val="24"/>
        </w:rPr>
        <w:t>information</w:t>
      </w:r>
      <w:r w:rsidR="00280757">
        <w:rPr>
          <w:rFonts w:ascii="Palatino Linotype" w:hAnsi="Palatino Linotype"/>
          <w:sz w:val="24"/>
          <w:szCs w:val="24"/>
        </w:rPr>
        <w:t xml:space="preserve"> requirements</w:t>
      </w:r>
      <w:r w:rsidRPr="00DF25C0" w:rsidR="006E2580">
        <w:rPr>
          <w:rFonts w:ascii="Palatino Linotype" w:hAnsi="Palatino Linotype"/>
          <w:sz w:val="24"/>
          <w:szCs w:val="24"/>
        </w:rPr>
        <w:t xml:space="preserve"> to </w:t>
      </w:r>
      <w:r w:rsidRPr="00DF25C0" w:rsidR="0066473F">
        <w:rPr>
          <w:rFonts w:ascii="Palatino Linotype" w:hAnsi="Palatino Linotype"/>
          <w:sz w:val="24"/>
          <w:szCs w:val="24"/>
        </w:rPr>
        <w:t xml:space="preserve">support program influence </w:t>
      </w:r>
      <w:r w:rsidR="00E36931">
        <w:rPr>
          <w:rFonts w:ascii="Palatino Linotype" w:hAnsi="Palatino Linotype"/>
          <w:sz w:val="24"/>
          <w:szCs w:val="24"/>
        </w:rPr>
        <w:t xml:space="preserve">for </w:t>
      </w:r>
      <w:r w:rsidR="00A95C10">
        <w:rPr>
          <w:rFonts w:ascii="Palatino Linotype" w:hAnsi="Palatino Linotype"/>
          <w:sz w:val="24"/>
          <w:szCs w:val="24"/>
        </w:rPr>
        <w:t>any</w:t>
      </w:r>
      <w:r w:rsidR="00E36931">
        <w:rPr>
          <w:rFonts w:ascii="Palatino Linotype" w:hAnsi="Palatino Linotype"/>
          <w:sz w:val="24"/>
          <w:szCs w:val="24"/>
        </w:rPr>
        <w:t xml:space="preserve"> </w:t>
      </w:r>
      <w:r w:rsidR="00A17653">
        <w:rPr>
          <w:rFonts w:ascii="Palatino Linotype" w:hAnsi="Palatino Linotype"/>
          <w:sz w:val="24"/>
          <w:szCs w:val="24"/>
        </w:rPr>
        <w:t xml:space="preserve">measure </w:t>
      </w:r>
      <w:r w:rsidR="00E36931">
        <w:rPr>
          <w:rFonts w:ascii="Palatino Linotype" w:hAnsi="Palatino Linotype"/>
          <w:sz w:val="24"/>
          <w:szCs w:val="24"/>
        </w:rPr>
        <w:t xml:space="preserve">application type and </w:t>
      </w:r>
      <w:r w:rsidR="00A17653">
        <w:rPr>
          <w:rFonts w:ascii="Palatino Linotype" w:hAnsi="Palatino Linotype"/>
          <w:sz w:val="24"/>
          <w:szCs w:val="24"/>
        </w:rPr>
        <w:t xml:space="preserve">program </w:t>
      </w:r>
      <w:r w:rsidR="00E36931">
        <w:rPr>
          <w:rFonts w:ascii="Palatino Linotype" w:hAnsi="Palatino Linotype"/>
          <w:sz w:val="24"/>
          <w:szCs w:val="24"/>
        </w:rPr>
        <w:t xml:space="preserve">delivery strategy </w:t>
      </w:r>
      <w:r w:rsidRPr="00DF25C0" w:rsidR="0066473F">
        <w:rPr>
          <w:rFonts w:ascii="Palatino Linotype" w:hAnsi="Palatino Linotype"/>
          <w:sz w:val="24"/>
          <w:szCs w:val="24"/>
        </w:rPr>
        <w:t>in general</w:t>
      </w:r>
      <w:r w:rsidR="0002213E">
        <w:rPr>
          <w:rFonts w:ascii="Palatino Linotype" w:hAnsi="Palatino Linotype"/>
          <w:sz w:val="24"/>
          <w:szCs w:val="24"/>
        </w:rPr>
        <w:t>.</w:t>
      </w:r>
      <w:r w:rsidR="009979DC">
        <w:rPr>
          <w:rStyle w:val="FootnoteReference"/>
          <w:rFonts w:ascii="Palatino Linotype" w:hAnsi="Palatino Linotype"/>
          <w:sz w:val="24"/>
          <w:szCs w:val="24"/>
        </w:rPr>
        <w:footnoteReference w:id="39"/>
      </w:r>
      <w:r w:rsidRPr="00DF25C0" w:rsidR="006E2580">
        <w:rPr>
          <w:rFonts w:ascii="Palatino Linotype" w:hAnsi="Palatino Linotype"/>
          <w:sz w:val="24"/>
          <w:szCs w:val="24"/>
        </w:rPr>
        <w:t xml:space="preserve"> </w:t>
      </w:r>
      <w:r w:rsidRPr="00DF25C0" w:rsidR="00672C02">
        <w:rPr>
          <w:rFonts w:ascii="Palatino Linotype" w:hAnsi="Palatino Linotype"/>
          <w:sz w:val="24"/>
          <w:szCs w:val="24"/>
        </w:rPr>
        <w:t>The</w:t>
      </w:r>
      <w:r w:rsidR="00A76DA1">
        <w:rPr>
          <w:rFonts w:ascii="Palatino Linotype" w:hAnsi="Palatino Linotype"/>
          <w:sz w:val="24"/>
          <w:szCs w:val="24"/>
        </w:rPr>
        <w:t xml:space="preserve"> </w:t>
      </w:r>
      <w:r w:rsidRPr="00DF25C0" w:rsidR="00672C02">
        <w:rPr>
          <w:rFonts w:ascii="Palatino Linotype" w:hAnsi="Palatino Linotype"/>
          <w:sz w:val="24"/>
          <w:szCs w:val="24"/>
        </w:rPr>
        <w:t xml:space="preserve">information is to </w:t>
      </w:r>
      <w:r w:rsidRPr="00DF25C0" w:rsidR="00E369A2">
        <w:rPr>
          <w:rFonts w:ascii="Palatino Linotype" w:hAnsi="Palatino Linotype"/>
          <w:sz w:val="24"/>
          <w:szCs w:val="24"/>
        </w:rPr>
        <w:t>include but is not limited to</w:t>
      </w:r>
      <w:r w:rsidRPr="00DF25C0">
        <w:rPr>
          <w:rFonts w:ascii="Palatino Linotype" w:hAnsi="Palatino Linotype"/>
          <w:sz w:val="24"/>
          <w:szCs w:val="24"/>
        </w:rPr>
        <w:t>:</w:t>
      </w:r>
      <w:bookmarkStart w:name="_Hlk519596990" w:id="36"/>
    </w:p>
    <w:p w:rsidRPr="00DF25C0" w:rsidR="00D33E15" w:rsidP="002042A2" w:rsidRDefault="00D33E15" w14:paraId="77BB8692" w14:textId="742CF12D">
      <w:pPr>
        <w:pStyle w:val="standard"/>
        <w:numPr>
          <w:ilvl w:val="0"/>
          <w:numId w:val="9"/>
        </w:numPr>
        <w:spacing w:line="240" w:lineRule="auto"/>
        <w:ind w:left="1080" w:right="990"/>
        <w:rPr>
          <w:rFonts w:ascii="Palatino Linotype" w:hAnsi="Palatino Linotype"/>
          <w:sz w:val="24"/>
          <w:szCs w:val="24"/>
        </w:rPr>
      </w:pPr>
      <w:r w:rsidRPr="00DF25C0">
        <w:rPr>
          <w:rFonts w:ascii="Palatino Linotype" w:hAnsi="Palatino Linotype"/>
          <w:sz w:val="24"/>
          <w:szCs w:val="24"/>
        </w:rPr>
        <w:t xml:space="preserve">Describe this project’s </w:t>
      </w:r>
      <w:r w:rsidR="00B17B58">
        <w:rPr>
          <w:rFonts w:ascii="Palatino Linotype" w:hAnsi="Palatino Linotype"/>
          <w:sz w:val="24"/>
          <w:szCs w:val="24"/>
        </w:rPr>
        <w:t>development</w:t>
      </w:r>
      <w:r w:rsidRPr="00DF25C0">
        <w:rPr>
          <w:rFonts w:ascii="Palatino Linotype" w:hAnsi="Palatino Linotype"/>
          <w:sz w:val="24"/>
          <w:szCs w:val="24"/>
        </w:rPr>
        <w:t>.</w:t>
      </w:r>
    </w:p>
    <w:p w:rsidRPr="001E7501" w:rsidR="00D33E15" w:rsidP="001E7501" w:rsidRDefault="00D33E15" w14:paraId="70269921" w14:textId="7CEA345B">
      <w:pPr>
        <w:pStyle w:val="ListParagraph"/>
        <w:numPr>
          <w:ilvl w:val="0"/>
          <w:numId w:val="9"/>
        </w:numPr>
        <w:ind w:left="1080"/>
        <w:rPr>
          <w:rFonts w:eastAsia="Times New Roman" w:cs="Times New Roman"/>
          <w:sz w:val="24"/>
          <w:szCs w:val="24"/>
        </w:rPr>
      </w:pPr>
      <w:r w:rsidRPr="007E2D4D">
        <w:rPr>
          <w:sz w:val="24"/>
          <w:szCs w:val="24"/>
        </w:rPr>
        <w:t>Describe the customer’s</w:t>
      </w:r>
      <w:r w:rsidRPr="007E2D4D" w:rsidR="00B36DE7">
        <w:rPr>
          <w:sz w:val="24"/>
          <w:szCs w:val="24"/>
        </w:rPr>
        <w:t xml:space="preserve"> main</w:t>
      </w:r>
      <w:r w:rsidRPr="007E2D4D">
        <w:rPr>
          <w:sz w:val="24"/>
          <w:szCs w:val="24"/>
        </w:rPr>
        <w:t xml:space="preserve"> motivating factors for the project development; include all factors that the customer considered as it planned, designed, and </w:t>
      </w:r>
      <w:r w:rsidRPr="007E2D4D">
        <w:rPr>
          <w:sz w:val="24"/>
          <w:szCs w:val="24"/>
        </w:rPr>
        <w:lastRenderedPageBreak/>
        <w:t>selected the project to replace the existing equipment.</w:t>
      </w:r>
      <w:r w:rsidRPr="007E2D4D" w:rsidR="00B36DE7">
        <w:rPr>
          <w:sz w:val="24"/>
          <w:szCs w:val="24"/>
        </w:rPr>
        <w:t xml:space="preserve">  </w:t>
      </w:r>
      <w:r w:rsidRPr="007E2D4D" w:rsidR="007E2D4D">
        <w:rPr>
          <w:sz w:val="24"/>
          <w:szCs w:val="24"/>
        </w:rPr>
        <w:t>This should include</w:t>
      </w:r>
      <w:r w:rsidRPr="007E2D4D" w:rsidR="00B36DE7">
        <w:rPr>
          <w:rFonts w:eastAsia="Times New Roman" w:cs="Times New Roman"/>
          <w:sz w:val="24"/>
          <w:szCs w:val="24"/>
        </w:rPr>
        <w:t xml:space="preserve"> the eligible and viable energy efficient measure options considered by the customer and the customer’s normal practice in operation and maintenance and availability of records</w:t>
      </w:r>
      <w:r w:rsidRPr="007E2D4D" w:rsidR="007E2D4D">
        <w:rPr>
          <w:rFonts w:eastAsia="Times New Roman" w:cs="Times New Roman"/>
          <w:sz w:val="24"/>
          <w:szCs w:val="24"/>
        </w:rPr>
        <w:t xml:space="preserve"> and the </w:t>
      </w:r>
      <w:r w:rsidR="001B398A">
        <w:rPr>
          <w:rFonts w:eastAsia="Times New Roman" w:cs="Times New Roman"/>
          <w:sz w:val="24"/>
          <w:szCs w:val="24"/>
        </w:rPr>
        <w:t>r</w:t>
      </w:r>
      <w:r w:rsidRPr="007E2D4D" w:rsidR="007E2D4D">
        <w:rPr>
          <w:rFonts w:eastAsia="Times New Roman" w:cs="Times New Roman"/>
          <w:sz w:val="24"/>
          <w:szCs w:val="24"/>
        </w:rPr>
        <w:t xml:space="preserve">ange of relevant regulations and resources considered by the customer. </w:t>
      </w:r>
    </w:p>
    <w:p w:rsidRPr="00DF25C0" w:rsidR="00D33E15" w:rsidP="002042A2" w:rsidRDefault="00D33E15" w14:paraId="13CD7E34" w14:textId="2A0712F5">
      <w:pPr>
        <w:pStyle w:val="standard"/>
        <w:numPr>
          <w:ilvl w:val="0"/>
          <w:numId w:val="9"/>
        </w:numPr>
        <w:spacing w:line="240" w:lineRule="auto"/>
        <w:ind w:left="1080" w:right="990"/>
        <w:rPr>
          <w:rFonts w:ascii="Palatino Linotype" w:hAnsi="Palatino Linotype"/>
          <w:sz w:val="24"/>
          <w:szCs w:val="24"/>
        </w:rPr>
      </w:pPr>
      <w:r w:rsidRPr="00DF25C0">
        <w:rPr>
          <w:rFonts w:ascii="Palatino Linotype" w:hAnsi="Palatino Linotype"/>
          <w:sz w:val="24"/>
          <w:szCs w:val="24"/>
        </w:rPr>
        <w:t xml:space="preserve">Describe a set of problems the customer is trying to resolve, e.g., what are the business needs and wants of production, maintenance, reliability, capacity, competitiveness, productivity, </w:t>
      </w:r>
      <w:r w:rsidRPr="00DF25C0" w:rsidR="000B4B0E">
        <w:rPr>
          <w:rFonts w:ascii="Palatino Linotype" w:hAnsi="Palatino Linotype"/>
          <w:sz w:val="24"/>
          <w:szCs w:val="24"/>
        </w:rPr>
        <w:t xml:space="preserve">and </w:t>
      </w:r>
      <w:r w:rsidRPr="00DF25C0">
        <w:rPr>
          <w:rFonts w:ascii="Palatino Linotype" w:hAnsi="Palatino Linotype"/>
          <w:sz w:val="24"/>
          <w:szCs w:val="24"/>
        </w:rPr>
        <w:t xml:space="preserve">regulations, etc.? </w:t>
      </w:r>
    </w:p>
    <w:p w:rsidRPr="00DF25C0" w:rsidR="00693EF0" w:rsidP="00693EF0" w:rsidRDefault="00D33E15" w14:paraId="54FEC85A" w14:textId="77777777">
      <w:pPr>
        <w:pStyle w:val="standard"/>
        <w:numPr>
          <w:ilvl w:val="0"/>
          <w:numId w:val="9"/>
        </w:numPr>
        <w:spacing w:line="240" w:lineRule="auto"/>
        <w:ind w:left="1080" w:right="990"/>
        <w:rPr>
          <w:rFonts w:ascii="Palatino Linotype" w:hAnsi="Palatino Linotype"/>
          <w:sz w:val="24"/>
          <w:szCs w:val="24"/>
        </w:rPr>
      </w:pPr>
      <w:r w:rsidRPr="00DF25C0">
        <w:rPr>
          <w:rFonts w:ascii="Palatino Linotype" w:hAnsi="Palatino Linotype"/>
          <w:sz w:val="24"/>
          <w:szCs w:val="24"/>
        </w:rPr>
        <w:t xml:space="preserve">What is the decision-making process for determining and selecting a specific energy efficiency measure option(s)? What are the customer’s criteria in decision-making? </w:t>
      </w:r>
      <w:r w:rsidRPr="00DF25C0" w:rsidR="00693EF0">
        <w:rPr>
          <w:rFonts w:ascii="Palatino Linotype" w:hAnsi="Palatino Linotype"/>
          <w:sz w:val="24"/>
          <w:szCs w:val="24"/>
        </w:rPr>
        <w:t>What are the customer’s barriers (if any) to adopting a new energy efficiency measure?   What are its resource constraints (if any)?</w:t>
      </w:r>
    </w:p>
    <w:p w:rsidR="00D33E15" w:rsidP="00693EF0" w:rsidRDefault="00D33E15" w14:paraId="4D6F4411" w14:textId="4D5903EE">
      <w:pPr>
        <w:pStyle w:val="standard"/>
        <w:spacing w:line="240" w:lineRule="auto"/>
        <w:ind w:left="1080" w:right="990" w:firstLine="0"/>
        <w:rPr>
          <w:rFonts w:ascii="Palatino Linotype" w:hAnsi="Palatino Linotype"/>
          <w:sz w:val="24"/>
          <w:szCs w:val="24"/>
        </w:rPr>
      </w:pPr>
      <w:r w:rsidRPr="00DF25C0">
        <w:rPr>
          <w:rFonts w:ascii="Palatino Linotype" w:hAnsi="Palatino Linotype"/>
          <w:sz w:val="24"/>
          <w:szCs w:val="24"/>
        </w:rPr>
        <w:t xml:space="preserve">Clarify the timing of the customer’s decision points and compare them to when the project developer was engaged and interacted with the customer to validate influence on the project. </w:t>
      </w:r>
    </w:p>
    <w:p w:rsidRPr="001E7501" w:rsidR="00B36DE7" w:rsidP="001E7501" w:rsidRDefault="00B36DE7" w14:paraId="2AD932C2" w14:textId="6F20A34D">
      <w:pPr>
        <w:pStyle w:val="ListParagraph"/>
        <w:numPr>
          <w:ilvl w:val="0"/>
          <w:numId w:val="9"/>
        </w:numPr>
        <w:ind w:left="1080"/>
        <w:rPr>
          <w:rFonts w:eastAsia="Times New Roman" w:cs="Times New Roman"/>
          <w:sz w:val="24"/>
          <w:szCs w:val="24"/>
        </w:rPr>
      </w:pPr>
      <w:r>
        <w:rPr>
          <w:rFonts w:eastAsia="Times New Roman" w:cs="Times New Roman"/>
          <w:sz w:val="24"/>
          <w:szCs w:val="24"/>
        </w:rPr>
        <w:t>Describe the p</w:t>
      </w:r>
      <w:r w:rsidRPr="00B36DE7">
        <w:rPr>
          <w:rFonts w:eastAsia="Times New Roman" w:cs="Times New Roman"/>
          <w:sz w:val="24"/>
          <w:szCs w:val="24"/>
        </w:rPr>
        <w:t xml:space="preserve">roject developer’s services provided to the customer and timing of </w:t>
      </w:r>
      <w:r w:rsidR="001B398A">
        <w:rPr>
          <w:rFonts w:eastAsia="Times New Roman" w:cs="Times New Roman"/>
          <w:sz w:val="24"/>
          <w:szCs w:val="24"/>
        </w:rPr>
        <w:t xml:space="preserve">the project </w:t>
      </w:r>
      <w:r w:rsidRPr="00B36DE7">
        <w:rPr>
          <w:rFonts w:eastAsia="Times New Roman" w:cs="Times New Roman"/>
          <w:sz w:val="24"/>
          <w:szCs w:val="24"/>
        </w:rPr>
        <w:t xml:space="preserve">developer’s engagement compared to customer’s decision-making process. </w:t>
      </w:r>
      <w:r w:rsidRPr="00DF25C0" w:rsidR="00693EF0">
        <w:rPr>
          <w:sz w:val="24"/>
          <w:szCs w:val="24"/>
        </w:rPr>
        <w:t>When and how did the program implementers get involved in the specific custom project (e.g., in which stage of the project development), and what information and technical resources did the program implementers bring to the customer during customer’s decision-making process for the specific energy efficiency measure option?</w:t>
      </w:r>
      <w:r w:rsidR="00693EF0">
        <w:rPr>
          <w:sz w:val="24"/>
          <w:szCs w:val="24"/>
        </w:rPr>
        <w:t xml:space="preserve"> Describe the customer’s decision-making process and points.  </w:t>
      </w:r>
    </w:p>
    <w:p w:rsidRPr="00DF25C0" w:rsidR="00D33E15" w:rsidP="002042A2" w:rsidRDefault="00D33E15" w14:paraId="40931C56" w14:textId="63C77415">
      <w:pPr>
        <w:pStyle w:val="standard"/>
        <w:numPr>
          <w:ilvl w:val="0"/>
          <w:numId w:val="9"/>
        </w:numPr>
        <w:spacing w:line="240" w:lineRule="auto"/>
        <w:ind w:left="1080" w:right="990"/>
        <w:rPr>
          <w:rFonts w:ascii="Palatino Linotype" w:hAnsi="Palatino Linotype"/>
          <w:sz w:val="24"/>
          <w:szCs w:val="24"/>
        </w:rPr>
      </w:pPr>
      <w:r w:rsidRPr="00DF25C0">
        <w:rPr>
          <w:rFonts w:ascii="Palatino Linotype" w:hAnsi="Palatino Linotype"/>
          <w:sz w:val="24"/>
          <w:szCs w:val="24"/>
        </w:rPr>
        <w:t xml:space="preserve">Describe </w:t>
      </w:r>
      <w:r w:rsidRPr="00DF25C0" w:rsidR="000B4B0E">
        <w:rPr>
          <w:rFonts w:ascii="Palatino Linotype" w:hAnsi="Palatino Linotype"/>
          <w:sz w:val="24"/>
          <w:szCs w:val="24"/>
        </w:rPr>
        <w:t xml:space="preserve">the age of the equipment </w:t>
      </w:r>
      <w:r w:rsidR="000C4944">
        <w:rPr>
          <w:rFonts w:ascii="Palatino Linotype" w:hAnsi="Palatino Linotype"/>
          <w:sz w:val="24"/>
          <w:szCs w:val="24"/>
        </w:rPr>
        <w:t xml:space="preserve">along with </w:t>
      </w:r>
      <w:r w:rsidR="00A10408">
        <w:rPr>
          <w:rFonts w:ascii="Palatino Linotype" w:hAnsi="Palatino Linotype"/>
          <w:sz w:val="24"/>
          <w:szCs w:val="24"/>
        </w:rPr>
        <w:t xml:space="preserve">its </w:t>
      </w:r>
      <w:r w:rsidR="000C4944">
        <w:rPr>
          <w:rFonts w:ascii="Palatino Linotype" w:hAnsi="Palatino Linotype"/>
          <w:sz w:val="24"/>
          <w:szCs w:val="24"/>
        </w:rPr>
        <w:t xml:space="preserve">estimated remaining useful life </w:t>
      </w:r>
      <w:r w:rsidRPr="00DF25C0" w:rsidR="000B4B0E">
        <w:rPr>
          <w:rFonts w:ascii="Palatino Linotype" w:hAnsi="Palatino Linotype"/>
          <w:sz w:val="24"/>
          <w:szCs w:val="24"/>
        </w:rPr>
        <w:t xml:space="preserve">and any major repairs performed on </w:t>
      </w:r>
      <w:r w:rsidRPr="00DF25C0">
        <w:rPr>
          <w:rFonts w:ascii="Palatino Linotype" w:hAnsi="Palatino Linotype"/>
          <w:sz w:val="24"/>
          <w:szCs w:val="24"/>
        </w:rPr>
        <w:t xml:space="preserve">the existing equipment, not related to a full system overhaul, in the last 24 months.  </w:t>
      </w:r>
    </w:p>
    <w:p w:rsidRPr="00DF25C0" w:rsidR="00D33E15" w:rsidP="002042A2" w:rsidRDefault="00D33E15" w14:paraId="66B2F91D" w14:textId="79552362">
      <w:pPr>
        <w:pStyle w:val="standard"/>
        <w:numPr>
          <w:ilvl w:val="0"/>
          <w:numId w:val="9"/>
        </w:numPr>
        <w:spacing w:line="240" w:lineRule="auto"/>
        <w:ind w:left="1080" w:right="990"/>
        <w:rPr>
          <w:rFonts w:ascii="Palatino Linotype" w:hAnsi="Palatino Linotype"/>
          <w:sz w:val="24"/>
          <w:szCs w:val="24"/>
        </w:rPr>
      </w:pPr>
      <w:r w:rsidRPr="00DF25C0">
        <w:rPr>
          <w:rFonts w:ascii="Palatino Linotype" w:hAnsi="Palatino Linotype"/>
          <w:sz w:val="24"/>
          <w:szCs w:val="24"/>
        </w:rPr>
        <w:t xml:space="preserve">Describe </w:t>
      </w:r>
      <w:r w:rsidRPr="00DF25C0" w:rsidR="000B4B0E">
        <w:rPr>
          <w:rFonts w:ascii="Palatino Linotype" w:hAnsi="Palatino Linotype"/>
          <w:sz w:val="24"/>
          <w:szCs w:val="24"/>
        </w:rPr>
        <w:t xml:space="preserve">any maintenance issues </w:t>
      </w:r>
      <w:r w:rsidRPr="00DF25C0">
        <w:rPr>
          <w:rFonts w:ascii="Palatino Linotype" w:hAnsi="Palatino Linotype"/>
          <w:sz w:val="24"/>
          <w:szCs w:val="24"/>
        </w:rPr>
        <w:t xml:space="preserve">for the existing equipment in the last 36 months.   </w:t>
      </w:r>
    </w:p>
    <w:p w:rsidRPr="00DF25C0" w:rsidR="00D33E15" w:rsidP="002042A2" w:rsidRDefault="00D33E15" w14:paraId="0CE993F8" w14:textId="2BDF21AE">
      <w:pPr>
        <w:pStyle w:val="standard"/>
        <w:numPr>
          <w:ilvl w:val="0"/>
          <w:numId w:val="9"/>
        </w:numPr>
        <w:spacing w:line="240" w:lineRule="auto"/>
        <w:ind w:left="1080" w:right="990"/>
        <w:rPr>
          <w:rFonts w:ascii="Palatino Linotype" w:hAnsi="Palatino Linotype"/>
          <w:sz w:val="24"/>
          <w:szCs w:val="24"/>
        </w:rPr>
      </w:pPr>
      <w:r w:rsidRPr="00DF25C0">
        <w:rPr>
          <w:rFonts w:ascii="Palatino Linotype" w:hAnsi="Palatino Linotype"/>
          <w:sz w:val="24"/>
          <w:szCs w:val="24"/>
        </w:rPr>
        <w:t xml:space="preserve">What are the regulations </w:t>
      </w:r>
      <w:r w:rsidR="00555E9D">
        <w:rPr>
          <w:rFonts w:ascii="Palatino Linotype" w:hAnsi="Palatino Linotype"/>
          <w:sz w:val="24"/>
          <w:szCs w:val="24"/>
        </w:rPr>
        <w:t>or standard p</w:t>
      </w:r>
      <w:r w:rsidR="0083107C">
        <w:rPr>
          <w:rFonts w:ascii="Palatino Linotype" w:hAnsi="Palatino Linotype"/>
          <w:sz w:val="24"/>
          <w:szCs w:val="24"/>
        </w:rPr>
        <w:t>ractices</w:t>
      </w:r>
      <w:r w:rsidRPr="00DF25C0">
        <w:rPr>
          <w:rFonts w:ascii="Palatino Linotype" w:hAnsi="Palatino Linotype"/>
          <w:sz w:val="24"/>
          <w:szCs w:val="24"/>
        </w:rPr>
        <w:t xml:space="preserve"> applicable to the existing equipment or process and the relevant energy efficiency measure?  </w:t>
      </w:r>
    </w:p>
    <w:p w:rsidRPr="00DF25C0" w:rsidR="00D33E15" w:rsidP="002042A2" w:rsidRDefault="00D33E15" w14:paraId="77DE3C79" w14:textId="77777777">
      <w:pPr>
        <w:pStyle w:val="standard"/>
        <w:numPr>
          <w:ilvl w:val="0"/>
          <w:numId w:val="9"/>
        </w:numPr>
        <w:spacing w:line="240" w:lineRule="auto"/>
        <w:ind w:left="1080" w:right="990"/>
        <w:rPr>
          <w:rFonts w:ascii="Palatino Linotype" w:hAnsi="Palatino Linotype"/>
          <w:sz w:val="24"/>
          <w:szCs w:val="24"/>
        </w:rPr>
      </w:pPr>
      <w:r w:rsidRPr="00DF25C0">
        <w:rPr>
          <w:rFonts w:ascii="Palatino Linotype" w:hAnsi="Palatino Linotype"/>
          <w:sz w:val="24"/>
          <w:szCs w:val="24"/>
        </w:rPr>
        <w:t>Has the customer updated any of its existing systems?  If yes, when and what was it? Explain the reasons for switching to the new measure/system.</w:t>
      </w:r>
    </w:p>
    <w:p w:rsidRPr="00DF25C0" w:rsidR="005031E1" w:rsidP="002042A2" w:rsidRDefault="00D33E15" w14:paraId="4A3260C2" w14:textId="77777777">
      <w:pPr>
        <w:pStyle w:val="standard"/>
        <w:numPr>
          <w:ilvl w:val="0"/>
          <w:numId w:val="9"/>
        </w:numPr>
        <w:spacing w:line="240" w:lineRule="auto"/>
        <w:ind w:left="1080" w:right="990"/>
        <w:rPr>
          <w:rFonts w:ascii="Palatino Linotype" w:hAnsi="Palatino Linotype"/>
          <w:sz w:val="24"/>
          <w:szCs w:val="24"/>
        </w:rPr>
      </w:pPr>
      <w:r w:rsidRPr="00DF25C0">
        <w:rPr>
          <w:rFonts w:ascii="Palatino Linotype" w:hAnsi="Palatino Linotype"/>
          <w:sz w:val="24"/>
          <w:szCs w:val="24"/>
        </w:rPr>
        <w:t xml:space="preserve">What is the range of alternative solutions that the customer considered, if any? Describe the range of vendors, equipment efficiency, capacity, and costs. </w:t>
      </w:r>
    </w:p>
    <w:bookmarkEnd w:id="32"/>
    <w:bookmarkEnd w:id="36"/>
    <w:p w:rsidRPr="00DF25C0" w:rsidR="00AF3249" w:rsidP="003058AB" w:rsidRDefault="00AF3249" w14:paraId="0F6601D5" w14:textId="77777777">
      <w:pPr>
        <w:pStyle w:val="standard"/>
        <w:ind w:firstLine="0"/>
        <w:rPr>
          <w:rFonts w:ascii="Palatino Linotype" w:hAnsi="Palatino Linotype"/>
          <w:sz w:val="24"/>
          <w:szCs w:val="24"/>
        </w:rPr>
      </w:pPr>
    </w:p>
    <w:p w:rsidRPr="0023245F" w:rsidR="00080ED5" w:rsidP="00080ED5" w:rsidRDefault="00080ED5" w14:paraId="07E5F0E2" w14:textId="2AB6A08B">
      <w:pPr>
        <w:pStyle w:val="standard"/>
        <w:ind w:left="1440" w:firstLine="0"/>
        <w:rPr>
          <w:rFonts w:ascii="Palatino Linotype" w:hAnsi="Palatino Linotype"/>
          <w:b/>
          <w:bCs/>
          <w:sz w:val="24"/>
          <w:szCs w:val="24"/>
          <w:u w:val="single"/>
        </w:rPr>
      </w:pPr>
      <w:r w:rsidRPr="0023245F">
        <w:rPr>
          <w:rFonts w:ascii="Palatino Linotype" w:hAnsi="Palatino Linotype"/>
          <w:b/>
          <w:bCs/>
          <w:sz w:val="24"/>
          <w:szCs w:val="24"/>
          <w:u w:val="single"/>
        </w:rPr>
        <w:t>4.</w:t>
      </w:r>
      <w:r>
        <w:rPr>
          <w:rFonts w:ascii="Palatino Linotype" w:hAnsi="Palatino Linotype"/>
          <w:b/>
          <w:bCs/>
          <w:sz w:val="24"/>
          <w:szCs w:val="24"/>
          <w:u w:val="single"/>
        </w:rPr>
        <w:t>5</w:t>
      </w:r>
      <w:r w:rsidR="009349BE">
        <w:rPr>
          <w:rFonts w:ascii="Palatino Linotype" w:hAnsi="Palatino Linotype"/>
          <w:b/>
          <w:bCs/>
          <w:sz w:val="24"/>
          <w:szCs w:val="24"/>
          <w:u w:val="single"/>
        </w:rPr>
        <w:t>.</w:t>
      </w:r>
      <w:r>
        <w:rPr>
          <w:rFonts w:ascii="Palatino Linotype" w:hAnsi="Palatino Linotype"/>
          <w:b/>
          <w:bCs/>
          <w:sz w:val="24"/>
          <w:szCs w:val="24"/>
          <w:u w:val="single"/>
        </w:rPr>
        <w:t xml:space="preserve"> </w:t>
      </w:r>
      <w:r w:rsidR="00EA30E6">
        <w:rPr>
          <w:rFonts w:ascii="Palatino Linotype" w:hAnsi="Palatino Linotype"/>
          <w:b/>
          <w:bCs/>
          <w:sz w:val="24"/>
          <w:szCs w:val="24"/>
          <w:u w:val="single"/>
        </w:rPr>
        <w:t xml:space="preserve"> </w:t>
      </w:r>
      <w:r w:rsidR="00DD0432">
        <w:rPr>
          <w:rFonts w:ascii="Palatino Linotype" w:hAnsi="Palatino Linotype"/>
          <w:b/>
          <w:bCs/>
          <w:sz w:val="24"/>
          <w:szCs w:val="24"/>
          <w:u w:val="single"/>
        </w:rPr>
        <w:t>Preponderance of Evidence</w:t>
      </w:r>
      <w:r w:rsidRPr="0023245F" w:rsidR="00DD0432">
        <w:rPr>
          <w:rFonts w:ascii="Palatino Linotype" w:hAnsi="Palatino Linotype"/>
          <w:b/>
          <w:bCs/>
          <w:sz w:val="24"/>
          <w:szCs w:val="24"/>
          <w:u w:val="single"/>
        </w:rPr>
        <w:t xml:space="preserve"> </w:t>
      </w:r>
      <w:r w:rsidRPr="0023245F">
        <w:rPr>
          <w:rFonts w:ascii="Palatino Linotype" w:hAnsi="Palatino Linotype"/>
          <w:b/>
          <w:bCs/>
          <w:sz w:val="24"/>
          <w:szCs w:val="24"/>
          <w:u w:val="single"/>
        </w:rPr>
        <w:t>Requirements</w:t>
      </w:r>
      <w:r>
        <w:rPr>
          <w:rFonts w:ascii="Palatino Linotype" w:hAnsi="Palatino Linotype"/>
          <w:b/>
          <w:bCs/>
          <w:sz w:val="24"/>
          <w:szCs w:val="24"/>
          <w:u w:val="single"/>
        </w:rPr>
        <w:t xml:space="preserve"> </w:t>
      </w:r>
      <w:r w:rsidRPr="0023245F">
        <w:rPr>
          <w:rFonts w:ascii="Palatino Linotype" w:hAnsi="Palatino Linotype"/>
          <w:b/>
          <w:bCs/>
          <w:sz w:val="24"/>
          <w:szCs w:val="24"/>
          <w:u w:val="single"/>
        </w:rPr>
        <w:t>for Accelerated Replacements</w:t>
      </w:r>
      <w:r>
        <w:rPr>
          <w:rFonts w:ascii="Palatino Linotype" w:hAnsi="Palatino Linotype"/>
          <w:b/>
          <w:bCs/>
          <w:sz w:val="24"/>
          <w:szCs w:val="24"/>
          <w:u w:val="single"/>
        </w:rPr>
        <w:t xml:space="preserve"> </w:t>
      </w:r>
      <w:r w:rsidR="00D50584">
        <w:rPr>
          <w:rFonts w:ascii="Palatino Linotype" w:hAnsi="Palatino Linotype"/>
          <w:b/>
          <w:bCs/>
          <w:sz w:val="24"/>
          <w:szCs w:val="24"/>
          <w:u w:val="single"/>
        </w:rPr>
        <w:t xml:space="preserve">Guidance Document </w:t>
      </w:r>
      <w:r w:rsidR="00692744">
        <w:rPr>
          <w:rFonts w:ascii="Palatino Linotype" w:hAnsi="Palatino Linotype"/>
          <w:b/>
          <w:bCs/>
          <w:sz w:val="24"/>
          <w:szCs w:val="24"/>
          <w:u w:val="single"/>
        </w:rPr>
        <w:t>Maintenance</w:t>
      </w:r>
      <w:r w:rsidR="00D50584">
        <w:rPr>
          <w:rFonts w:ascii="Palatino Linotype" w:hAnsi="Palatino Linotype"/>
          <w:b/>
          <w:bCs/>
          <w:sz w:val="24"/>
          <w:szCs w:val="24"/>
          <w:u w:val="single"/>
        </w:rPr>
        <w:t xml:space="preserve"> and Update Process</w:t>
      </w:r>
    </w:p>
    <w:p w:rsidR="00080ED5" w:rsidP="00D33E15" w:rsidRDefault="00080ED5" w14:paraId="0723EA73" w14:textId="77777777">
      <w:pPr>
        <w:pStyle w:val="standard"/>
        <w:rPr>
          <w:rFonts w:ascii="Palatino Linotype" w:hAnsi="Palatino Linotype"/>
          <w:sz w:val="24"/>
          <w:szCs w:val="24"/>
        </w:rPr>
      </w:pPr>
    </w:p>
    <w:p w:rsidRPr="00DF25C0" w:rsidR="0092332C" w:rsidP="00D33E15" w:rsidRDefault="007542CD" w14:paraId="454639AB" w14:textId="76DDE631">
      <w:pPr>
        <w:pStyle w:val="standard"/>
        <w:rPr>
          <w:rFonts w:ascii="Palatino Linotype" w:hAnsi="Palatino Linotype"/>
          <w:sz w:val="24"/>
          <w:szCs w:val="24"/>
          <w:highlight w:val="yellow"/>
        </w:rPr>
      </w:pPr>
      <w:r>
        <w:rPr>
          <w:rFonts w:ascii="Palatino Linotype" w:hAnsi="Palatino Linotype"/>
          <w:sz w:val="24"/>
          <w:szCs w:val="24"/>
        </w:rPr>
        <w:t>We direct t</w:t>
      </w:r>
      <w:r w:rsidR="004E1AA6">
        <w:rPr>
          <w:rFonts w:ascii="Palatino Linotype" w:hAnsi="Palatino Linotype"/>
          <w:sz w:val="24"/>
          <w:szCs w:val="24"/>
        </w:rPr>
        <w:t xml:space="preserve">he </w:t>
      </w:r>
      <w:r w:rsidRPr="00DF25C0" w:rsidR="00036179">
        <w:rPr>
          <w:rFonts w:ascii="Palatino Linotype" w:hAnsi="Palatino Linotype"/>
          <w:sz w:val="24"/>
          <w:szCs w:val="24"/>
        </w:rPr>
        <w:t xml:space="preserve">CPUC staff </w:t>
      </w:r>
      <w:r>
        <w:rPr>
          <w:rFonts w:ascii="Palatino Linotype" w:hAnsi="Palatino Linotype"/>
          <w:sz w:val="24"/>
          <w:szCs w:val="24"/>
        </w:rPr>
        <w:t>to</w:t>
      </w:r>
      <w:r w:rsidRPr="00DF25C0">
        <w:rPr>
          <w:rFonts w:ascii="Palatino Linotype" w:hAnsi="Palatino Linotype"/>
          <w:sz w:val="24"/>
          <w:szCs w:val="24"/>
        </w:rPr>
        <w:t xml:space="preserve"> </w:t>
      </w:r>
      <w:r w:rsidRPr="00DF25C0" w:rsidR="00036179">
        <w:rPr>
          <w:rFonts w:ascii="Palatino Linotype" w:hAnsi="Palatino Linotype"/>
          <w:sz w:val="24"/>
          <w:szCs w:val="24"/>
        </w:rPr>
        <w:t>update</w:t>
      </w:r>
      <w:r w:rsidRPr="00DF25C0" w:rsidR="00571C54">
        <w:rPr>
          <w:rFonts w:ascii="Palatino Linotype" w:hAnsi="Palatino Linotype"/>
          <w:sz w:val="24"/>
          <w:szCs w:val="24"/>
        </w:rPr>
        <w:t xml:space="preserve"> </w:t>
      </w:r>
      <w:r w:rsidRPr="00DF25C0" w:rsidR="00672C02">
        <w:rPr>
          <w:rFonts w:ascii="Palatino Linotype" w:hAnsi="Palatino Linotype"/>
          <w:sz w:val="24"/>
          <w:szCs w:val="24"/>
        </w:rPr>
        <w:t xml:space="preserve">the existing </w:t>
      </w:r>
      <w:r w:rsidR="00DD0432">
        <w:rPr>
          <w:rFonts w:ascii="Palatino Linotype" w:hAnsi="Palatino Linotype"/>
          <w:sz w:val="24"/>
          <w:szCs w:val="24"/>
        </w:rPr>
        <w:t>Preponderance of Evidence</w:t>
      </w:r>
      <w:r w:rsidRPr="00DF25C0" w:rsidR="00DD0432">
        <w:rPr>
          <w:rFonts w:ascii="Palatino Linotype" w:hAnsi="Palatino Linotype"/>
          <w:sz w:val="24"/>
          <w:szCs w:val="24"/>
        </w:rPr>
        <w:t xml:space="preserve"> </w:t>
      </w:r>
      <w:r w:rsidRPr="00DF25C0" w:rsidR="000B4B0E">
        <w:rPr>
          <w:rFonts w:ascii="Palatino Linotype" w:hAnsi="Palatino Linotype"/>
          <w:sz w:val="24"/>
          <w:szCs w:val="24"/>
        </w:rPr>
        <w:t>g</w:t>
      </w:r>
      <w:r w:rsidRPr="00DF25C0" w:rsidR="00672C02">
        <w:rPr>
          <w:rFonts w:ascii="Palatino Linotype" w:hAnsi="Palatino Linotype"/>
          <w:sz w:val="24"/>
          <w:szCs w:val="24"/>
        </w:rPr>
        <w:t>uidance document</w:t>
      </w:r>
      <w:r w:rsidRPr="00DF25C0" w:rsidR="00D33CC3">
        <w:rPr>
          <w:rFonts w:ascii="Palatino Linotype" w:hAnsi="Palatino Linotype"/>
          <w:sz w:val="24"/>
          <w:szCs w:val="24"/>
        </w:rPr>
        <w:t xml:space="preserve"> </w:t>
      </w:r>
      <w:r w:rsidR="00167C31">
        <w:rPr>
          <w:rFonts w:ascii="Palatino Linotype" w:hAnsi="Palatino Linotype"/>
          <w:sz w:val="24"/>
          <w:szCs w:val="24"/>
        </w:rPr>
        <w:t xml:space="preserve">located at the CPUC’s Custom Projects Review webpage </w:t>
      </w:r>
      <w:r w:rsidR="00167C31">
        <w:t xml:space="preserve">at: </w:t>
      </w:r>
      <w:hyperlink w:history="1" r:id="rId11">
        <w:r w:rsidRPr="007C000D" w:rsidR="00167C31">
          <w:rPr>
            <w:rStyle w:val="Hyperlink"/>
          </w:rPr>
          <w:t>https://www.cpuc.ca.gov/General.aspx?id=4133</w:t>
        </w:r>
      </w:hyperlink>
      <w:r w:rsidR="00167C31">
        <w:t xml:space="preserve"> </w:t>
      </w:r>
      <w:r w:rsidRPr="00DF25C0" w:rsidR="00D33CC3">
        <w:rPr>
          <w:rFonts w:ascii="Palatino Linotype" w:hAnsi="Palatino Linotype"/>
          <w:sz w:val="24"/>
          <w:szCs w:val="24"/>
        </w:rPr>
        <w:t>with</w:t>
      </w:r>
      <w:r w:rsidRPr="00DF25C0" w:rsidR="00672C02">
        <w:rPr>
          <w:rFonts w:ascii="Palatino Linotype" w:hAnsi="Palatino Linotype"/>
          <w:sz w:val="24"/>
          <w:szCs w:val="24"/>
        </w:rPr>
        <w:t xml:space="preserve"> </w:t>
      </w:r>
      <w:r w:rsidR="00FA1ADA">
        <w:rPr>
          <w:rFonts w:ascii="Palatino Linotype" w:hAnsi="Palatino Linotype"/>
          <w:sz w:val="24"/>
          <w:szCs w:val="24"/>
        </w:rPr>
        <w:t>the</w:t>
      </w:r>
      <w:r w:rsidRPr="00DF25C0" w:rsidR="00FA1ADA">
        <w:rPr>
          <w:rFonts w:ascii="Palatino Linotype" w:hAnsi="Palatino Linotype"/>
          <w:sz w:val="24"/>
          <w:szCs w:val="24"/>
        </w:rPr>
        <w:t xml:space="preserve"> </w:t>
      </w:r>
      <w:r w:rsidR="00327F40">
        <w:rPr>
          <w:rFonts w:ascii="Palatino Linotype" w:hAnsi="Palatino Linotype"/>
          <w:sz w:val="24"/>
          <w:szCs w:val="24"/>
        </w:rPr>
        <w:t xml:space="preserve">requirements </w:t>
      </w:r>
      <w:r w:rsidR="00FA1ADA">
        <w:rPr>
          <w:rFonts w:ascii="Palatino Linotype" w:hAnsi="Palatino Linotype"/>
          <w:sz w:val="24"/>
          <w:szCs w:val="24"/>
        </w:rPr>
        <w:t xml:space="preserve">and </w:t>
      </w:r>
      <w:r w:rsidRPr="00DF25C0" w:rsidR="00571C54">
        <w:rPr>
          <w:rFonts w:ascii="Palatino Linotype" w:hAnsi="Palatino Linotype"/>
          <w:sz w:val="24"/>
          <w:szCs w:val="24"/>
        </w:rPr>
        <w:t>guidance</w:t>
      </w:r>
      <w:r w:rsidRPr="00DF25C0" w:rsidR="00672C02">
        <w:rPr>
          <w:rFonts w:ascii="Palatino Linotype" w:hAnsi="Palatino Linotype"/>
          <w:sz w:val="24"/>
          <w:szCs w:val="24"/>
        </w:rPr>
        <w:t xml:space="preserve"> </w:t>
      </w:r>
      <w:r w:rsidR="00FA1ADA">
        <w:rPr>
          <w:rFonts w:ascii="Palatino Linotype" w:hAnsi="Palatino Linotype"/>
          <w:sz w:val="24"/>
          <w:szCs w:val="24"/>
        </w:rPr>
        <w:t xml:space="preserve">adopted </w:t>
      </w:r>
      <w:r w:rsidRPr="00DF25C0" w:rsidR="00672C02">
        <w:rPr>
          <w:rFonts w:ascii="Palatino Linotype" w:hAnsi="Palatino Linotype"/>
          <w:sz w:val="24"/>
          <w:szCs w:val="24"/>
        </w:rPr>
        <w:t>herein</w:t>
      </w:r>
      <w:r w:rsidRPr="00DF25C0" w:rsidR="00571C54">
        <w:rPr>
          <w:rFonts w:ascii="Palatino Linotype" w:hAnsi="Palatino Linotype"/>
          <w:sz w:val="24"/>
          <w:szCs w:val="24"/>
        </w:rPr>
        <w:t xml:space="preserve"> </w:t>
      </w:r>
      <w:r w:rsidRPr="00DF25C0" w:rsidR="00036179">
        <w:rPr>
          <w:rFonts w:ascii="Palatino Linotype" w:hAnsi="Palatino Linotype"/>
          <w:sz w:val="24"/>
          <w:szCs w:val="24"/>
        </w:rPr>
        <w:t xml:space="preserve">within </w:t>
      </w:r>
      <w:r w:rsidRPr="00DF25C0" w:rsidR="00025BE5">
        <w:rPr>
          <w:rFonts w:ascii="Palatino Linotype" w:hAnsi="Palatino Linotype"/>
          <w:sz w:val="24"/>
          <w:szCs w:val="24"/>
        </w:rPr>
        <w:t>45</w:t>
      </w:r>
      <w:r w:rsidRPr="00DF25C0" w:rsidR="00571C54">
        <w:rPr>
          <w:rFonts w:ascii="Palatino Linotype" w:hAnsi="Palatino Linotype"/>
          <w:sz w:val="24"/>
          <w:szCs w:val="24"/>
        </w:rPr>
        <w:t xml:space="preserve"> calendar</w:t>
      </w:r>
      <w:r w:rsidRPr="00DF25C0" w:rsidR="00036179">
        <w:rPr>
          <w:rFonts w:ascii="Palatino Linotype" w:hAnsi="Palatino Linotype"/>
          <w:sz w:val="24"/>
          <w:szCs w:val="24"/>
        </w:rPr>
        <w:t xml:space="preserve"> days of the effective date of this resolution.</w:t>
      </w:r>
      <w:r w:rsidR="008C786B">
        <w:rPr>
          <w:rStyle w:val="FootnoteReference"/>
          <w:rFonts w:ascii="Palatino Linotype" w:hAnsi="Palatino Linotype"/>
          <w:sz w:val="24"/>
          <w:szCs w:val="24"/>
        </w:rPr>
        <w:footnoteReference w:id="40"/>
      </w:r>
      <w:r w:rsidRPr="00DF25C0" w:rsidR="00036179">
        <w:rPr>
          <w:rFonts w:ascii="Palatino Linotype" w:hAnsi="Palatino Linotype"/>
          <w:sz w:val="24"/>
          <w:szCs w:val="24"/>
        </w:rPr>
        <w:t xml:space="preserve">  </w:t>
      </w:r>
      <w:r w:rsidR="00664A49">
        <w:rPr>
          <w:rFonts w:ascii="Palatino Linotype" w:hAnsi="Palatino Linotype"/>
          <w:sz w:val="24"/>
          <w:szCs w:val="24"/>
        </w:rPr>
        <w:t>Any subsequent</w:t>
      </w:r>
      <w:r w:rsidRPr="00DF25C0" w:rsidR="00664A49">
        <w:rPr>
          <w:rFonts w:ascii="Palatino Linotype" w:hAnsi="Palatino Linotype"/>
          <w:sz w:val="24"/>
          <w:szCs w:val="24"/>
        </w:rPr>
        <w:t xml:space="preserve"> </w:t>
      </w:r>
      <w:r w:rsidRPr="00DF25C0" w:rsidR="0092332C">
        <w:rPr>
          <w:rFonts w:ascii="Palatino Linotype" w:hAnsi="Palatino Linotype"/>
          <w:sz w:val="24"/>
          <w:szCs w:val="24"/>
        </w:rPr>
        <w:t xml:space="preserve">updates to the </w:t>
      </w:r>
      <w:r w:rsidR="00DD0432">
        <w:rPr>
          <w:rFonts w:ascii="Palatino Linotype" w:hAnsi="Palatino Linotype"/>
          <w:sz w:val="24"/>
          <w:szCs w:val="24"/>
        </w:rPr>
        <w:t>Preponderance of Evidence</w:t>
      </w:r>
      <w:r w:rsidRPr="00DF25C0" w:rsidR="00DD0432">
        <w:rPr>
          <w:rFonts w:ascii="Palatino Linotype" w:hAnsi="Palatino Linotype"/>
          <w:sz w:val="24"/>
          <w:szCs w:val="24"/>
        </w:rPr>
        <w:t xml:space="preserve"> </w:t>
      </w:r>
      <w:r w:rsidRPr="00DF25C0" w:rsidR="00333F26">
        <w:rPr>
          <w:rFonts w:ascii="Palatino Linotype" w:hAnsi="Palatino Linotype"/>
          <w:sz w:val="24"/>
          <w:szCs w:val="24"/>
        </w:rPr>
        <w:t>Guidance Document</w:t>
      </w:r>
      <w:r w:rsidR="00664A49">
        <w:rPr>
          <w:rFonts w:ascii="Palatino Linotype" w:hAnsi="Palatino Linotype"/>
          <w:sz w:val="24"/>
          <w:szCs w:val="24"/>
        </w:rPr>
        <w:t xml:space="preserve">, beyond </w:t>
      </w:r>
      <w:r w:rsidR="00FA1ADA">
        <w:rPr>
          <w:rFonts w:ascii="Palatino Linotype" w:hAnsi="Palatino Linotype"/>
          <w:sz w:val="24"/>
          <w:szCs w:val="24"/>
        </w:rPr>
        <w:t xml:space="preserve">those </w:t>
      </w:r>
      <w:r w:rsidR="00664A49">
        <w:rPr>
          <w:rFonts w:ascii="Palatino Linotype" w:hAnsi="Palatino Linotype"/>
          <w:sz w:val="24"/>
          <w:szCs w:val="24"/>
        </w:rPr>
        <w:t>adopted in this Resolution</w:t>
      </w:r>
      <w:r w:rsidRPr="00DF25C0" w:rsidR="00333F26">
        <w:rPr>
          <w:rFonts w:ascii="Palatino Linotype" w:hAnsi="Palatino Linotype"/>
          <w:sz w:val="24"/>
          <w:szCs w:val="24"/>
        </w:rPr>
        <w:t xml:space="preserve"> </w:t>
      </w:r>
      <w:r w:rsidRPr="00DF25C0" w:rsidR="0092332C">
        <w:rPr>
          <w:rFonts w:ascii="Palatino Linotype" w:hAnsi="Palatino Linotype"/>
          <w:sz w:val="24"/>
          <w:szCs w:val="24"/>
        </w:rPr>
        <w:t xml:space="preserve">shall </w:t>
      </w:r>
      <w:r w:rsidR="00FA1ADA">
        <w:rPr>
          <w:rFonts w:ascii="Palatino Linotype" w:hAnsi="Palatino Linotype"/>
          <w:sz w:val="24"/>
          <w:szCs w:val="24"/>
        </w:rPr>
        <w:t>conform with</w:t>
      </w:r>
      <w:r w:rsidRPr="00DF25C0" w:rsidR="0092332C">
        <w:rPr>
          <w:rFonts w:ascii="Palatino Linotype" w:hAnsi="Palatino Linotype"/>
          <w:sz w:val="24"/>
          <w:szCs w:val="24"/>
        </w:rPr>
        <w:t xml:space="preserve"> the following</w:t>
      </w:r>
      <w:r w:rsidR="000F55E4">
        <w:rPr>
          <w:rFonts w:ascii="Palatino Linotype" w:hAnsi="Palatino Linotype"/>
          <w:sz w:val="24"/>
          <w:szCs w:val="24"/>
        </w:rPr>
        <w:t xml:space="preserve"> document maintenance and update</w:t>
      </w:r>
      <w:r w:rsidRPr="00DF25C0" w:rsidR="0092332C">
        <w:rPr>
          <w:rFonts w:ascii="Palatino Linotype" w:hAnsi="Palatino Linotype"/>
          <w:sz w:val="24"/>
          <w:szCs w:val="24"/>
        </w:rPr>
        <w:t xml:space="preserve"> process:</w:t>
      </w:r>
    </w:p>
    <w:p w:rsidRPr="00DF25C0" w:rsidR="0092332C" w:rsidP="002042A2" w:rsidRDefault="0092332C" w14:paraId="321F1C9B" w14:textId="6B6FDF05">
      <w:pPr>
        <w:pStyle w:val="ListParagraph"/>
        <w:numPr>
          <w:ilvl w:val="0"/>
          <w:numId w:val="4"/>
        </w:numPr>
        <w:spacing w:after="240"/>
        <w:rPr>
          <w:sz w:val="24"/>
          <w:szCs w:val="24"/>
        </w:rPr>
      </w:pPr>
      <w:r w:rsidRPr="00DF25C0">
        <w:rPr>
          <w:sz w:val="24"/>
          <w:szCs w:val="24"/>
        </w:rPr>
        <w:t xml:space="preserve">A draft of any proposed or updated version of the </w:t>
      </w:r>
      <w:r w:rsidR="00333F26">
        <w:rPr>
          <w:sz w:val="24"/>
          <w:szCs w:val="24"/>
        </w:rPr>
        <w:t>Preponderance of Evidence</w:t>
      </w:r>
      <w:r w:rsidRPr="00DF25C0" w:rsidR="00333F26">
        <w:rPr>
          <w:sz w:val="24"/>
          <w:szCs w:val="24"/>
        </w:rPr>
        <w:t xml:space="preserve"> Guidance Document </w:t>
      </w:r>
      <w:r w:rsidRPr="00DF25C0">
        <w:rPr>
          <w:sz w:val="24"/>
          <w:szCs w:val="24"/>
        </w:rPr>
        <w:t xml:space="preserve">shall be </w:t>
      </w:r>
      <w:bookmarkStart w:name="_Hlk532482255" w:id="37"/>
      <w:r w:rsidRPr="00DF25C0">
        <w:rPr>
          <w:sz w:val="24"/>
          <w:szCs w:val="24"/>
        </w:rPr>
        <w:t xml:space="preserve">provided to the service list of R.13-11-005 or its successor proceeding </w:t>
      </w:r>
      <w:bookmarkEnd w:id="37"/>
      <w:r w:rsidRPr="00DF25C0">
        <w:rPr>
          <w:sz w:val="24"/>
          <w:szCs w:val="24"/>
        </w:rPr>
        <w:t xml:space="preserve">on </w:t>
      </w:r>
      <w:r w:rsidRPr="00DF25C0" w:rsidR="00C276C4">
        <w:rPr>
          <w:sz w:val="24"/>
          <w:szCs w:val="24"/>
        </w:rPr>
        <w:t>the CPUC staff’s Public Document Area</w:t>
      </w:r>
      <w:r w:rsidR="003B7235">
        <w:rPr>
          <w:sz w:val="24"/>
          <w:szCs w:val="24"/>
        </w:rPr>
        <w:t xml:space="preserve"> </w:t>
      </w:r>
      <w:r w:rsidRPr="00DF25C0">
        <w:rPr>
          <w:sz w:val="24"/>
          <w:szCs w:val="24"/>
        </w:rPr>
        <w:t xml:space="preserve">for comment by stakeholders and the public with a minimum comment period of </w:t>
      </w:r>
      <w:r w:rsidRPr="00DF25C0" w:rsidR="001E6186">
        <w:rPr>
          <w:sz w:val="24"/>
          <w:szCs w:val="24"/>
        </w:rPr>
        <w:t>14-calendar days</w:t>
      </w:r>
      <w:r w:rsidRPr="00DF25C0">
        <w:rPr>
          <w:sz w:val="24"/>
          <w:szCs w:val="24"/>
        </w:rPr>
        <w:t>;</w:t>
      </w:r>
      <w:r w:rsidRPr="00DF25C0" w:rsidR="00C913A6">
        <w:rPr>
          <w:rStyle w:val="FootnoteReference"/>
          <w:sz w:val="24"/>
          <w:szCs w:val="24"/>
        </w:rPr>
        <w:footnoteReference w:id="41"/>
      </w:r>
    </w:p>
    <w:p w:rsidRPr="00DF25C0" w:rsidR="0092332C" w:rsidP="002042A2" w:rsidRDefault="0092332C" w14:paraId="6E9924B9" w14:textId="6C85A321">
      <w:pPr>
        <w:pStyle w:val="ListParagraph"/>
        <w:numPr>
          <w:ilvl w:val="0"/>
          <w:numId w:val="4"/>
        </w:numPr>
        <w:spacing w:after="240"/>
        <w:rPr>
          <w:sz w:val="24"/>
          <w:szCs w:val="24"/>
        </w:rPr>
      </w:pPr>
      <w:r w:rsidRPr="00DF25C0">
        <w:rPr>
          <w:sz w:val="24"/>
          <w:szCs w:val="24"/>
        </w:rPr>
        <w:t xml:space="preserve">After consideration of </w:t>
      </w:r>
      <w:r w:rsidR="00671E50">
        <w:rPr>
          <w:sz w:val="24"/>
          <w:szCs w:val="24"/>
        </w:rPr>
        <w:t xml:space="preserve">the </w:t>
      </w:r>
      <w:r w:rsidRPr="00DF25C0">
        <w:rPr>
          <w:sz w:val="24"/>
          <w:szCs w:val="24"/>
        </w:rPr>
        <w:t>comments received on the proposed updates</w:t>
      </w:r>
      <w:r w:rsidRPr="00DF25C0" w:rsidR="000B4B0E">
        <w:rPr>
          <w:sz w:val="24"/>
          <w:szCs w:val="24"/>
        </w:rPr>
        <w:t>,</w:t>
      </w:r>
      <w:r w:rsidRPr="00DF25C0">
        <w:rPr>
          <w:sz w:val="24"/>
          <w:szCs w:val="24"/>
        </w:rPr>
        <w:t xml:space="preserve"> </w:t>
      </w:r>
      <w:r w:rsidR="000F55E4">
        <w:rPr>
          <w:sz w:val="24"/>
          <w:szCs w:val="24"/>
        </w:rPr>
        <w:t>CPUC</w:t>
      </w:r>
      <w:r w:rsidRPr="00DF25C0" w:rsidR="000F55E4">
        <w:rPr>
          <w:sz w:val="24"/>
          <w:szCs w:val="24"/>
        </w:rPr>
        <w:t xml:space="preserve"> </w:t>
      </w:r>
      <w:r w:rsidRPr="00DF25C0">
        <w:rPr>
          <w:sz w:val="24"/>
          <w:szCs w:val="24"/>
        </w:rPr>
        <w:t>staff shall update the proposed version as appropriate</w:t>
      </w:r>
      <w:r w:rsidR="001A1F97">
        <w:rPr>
          <w:sz w:val="24"/>
          <w:szCs w:val="24"/>
        </w:rPr>
        <w:t>, with an explanation of which comments were not adopted and why,</w:t>
      </w:r>
      <w:r w:rsidRPr="00DF25C0">
        <w:rPr>
          <w:sz w:val="24"/>
          <w:szCs w:val="24"/>
        </w:rPr>
        <w:t xml:space="preserve"> and post a new version of the </w:t>
      </w:r>
      <w:r w:rsidR="00333F26">
        <w:rPr>
          <w:sz w:val="24"/>
          <w:szCs w:val="24"/>
        </w:rPr>
        <w:t>Preponderance of Evidence Guidance Document</w:t>
      </w:r>
      <w:r w:rsidRPr="00DF25C0" w:rsidR="000B4B0E">
        <w:rPr>
          <w:sz w:val="24"/>
          <w:szCs w:val="24"/>
        </w:rPr>
        <w:t>,</w:t>
      </w:r>
      <w:r w:rsidRPr="00DF25C0">
        <w:rPr>
          <w:sz w:val="24"/>
          <w:szCs w:val="24"/>
        </w:rPr>
        <w:t xml:space="preserve"> which shall supersede the previous version. </w:t>
      </w:r>
      <w:r w:rsidR="00327F40">
        <w:rPr>
          <w:sz w:val="24"/>
          <w:szCs w:val="24"/>
        </w:rPr>
        <w:t>If</w:t>
      </w:r>
      <w:r w:rsidRPr="00DF25C0">
        <w:rPr>
          <w:sz w:val="24"/>
          <w:szCs w:val="24"/>
        </w:rPr>
        <w:t xml:space="preserve"> the new</w:t>
      </w:r>
      <w:r w:rsidR="00327F40">
        <w:rPr>
          <w:sz w:val="24"/>
          <w:szCs w:val="24"/>
        </w:rPr>
        <w:t xml:space="preserve"> update</w:t>
      </w:r>
      <w:r w:rsidRPr="00DF25C0">
        <w:rPr>
          <w:sz w:val="24"/>
          <w:szCs w:val="24"/>
        </w:rPr>
        <w:t xml:space="preserve"> version contains any added language covering</w:t>
      </w:r>
      <w:r w:rsidR="00327F40">
        <w:rPr>
          <w:sz w:val="24"/>
          <w:szCs w:val="24"/>
        </w:rPr>
        <w:t xml:space="preserve"> any </w:t>
      </w:r>
      <w:r w:rsidRPr="00DF25C0">
        <w:rPr>
          <w:sz w:val="24"/>
          <w:szCs w:val="24"/>
        </w:rPr>
        <w:t>newly identified issues or problems</w:t>
      </w:r>
      <w:r w:rsidRPr="00DF25C0" w:rsidR="000B4B0E">
        <w:rPr>
          <w:sz w:val="24"/>
          <w:szCs w:val="24"/>
        </w:rPr>
        <w:t>,</w:t>
      </w:r>
      <w:r w:rsidRPr="00DF25C0">
        <w:rPr>
          <w:sz w:val="24"/>
          <w:szCs w:val="24"/>
        </w:rPr>
        <w:t xml:space="preserve"> the new version shall have an effective date no less than </w:t>
      </w:r>
      <w:r w:rsidR="00327F40">
        <w:rPr>
          <w:sz w:val="24"/>
          <w:szCs w:val="24"/>
        </w:rPr>
        <w:t>thirty</w:t>
      </w:r>
      <w:r w:rsidRPr="00DF25C0" w:rsidR="00327F40">
        <w:rPr>
          <w:sz w:val="24"/>
          <w:szCs w:val="24"/>
        </w:rPr>
        <w:t xml:space="preserve"> </w:t>
      </w:r>
      <w:r w:rsidRPr="00DF25C0">
        <w:rPr>
          <w:sz w:val="24"/>
          <w:szCs w:val="24"/>
        </w:rPr>
        <w:t>days after its public posting</w:t>
      </w:r>
      <w:r w:rsidR="00FA1ADA">
        <w:rPr>
          <w:sz w:val="24"/>
          <w:szCs w:val="24"/>
        </w:rPr>
        <w:t>, but if</w:t>
      </w:r>
      <w:r w:rsidR="00327F40">
        <w:rPr>
          <w:sz w:val="24"/>
          <w:szCs w:val="24"/>
        </w:rPr>
        <w:t xml:space="preserve"> the update </w:t>
      </w:r>
      <w:r w:rsidR="00FA1ADA">
        <w:rPr>
          <w:sz w:val="24"/>
          <w:szCs w:val="24"/>
        </w:rPr>
        <w:t>implements</w:t>
      </w:r>
      <w:r w:rsidR="00327F40">
        <w:rPr>
          <w:sz w:val="24"/>
          <w:szCs w:val="24"/>
        </w:rPr>
        <w:t xml:space="preserve"> any new</w:t>
      </w:r>
      <w:r w:rsidR="00FA1ADA">
        <w:rPr>
          <w:sz w:val="24"/>
          <w:szCs w:val="24"/>
        </w:rPr>
        <w:t xml:space="preserve"> formally adopted</w:t>
      </w:r>
      <w:r w:rsidR="00327F40">
        <w:rPr>
          <w:sz w:val="24"/>
          <w:szCs w:val="24"/>
        </w:rPr>
        <w:t xml:space="preserve"> CPUC direction or guidance or </w:t>
      </w:r>
      <w:r w:rsidR="00FA1ADA">
        <w:rPr>
          <w:sz w:val="24"/>
          <w:szCs w:val="24"/>
        </w:rPr>
        <w:t xml:space="preserve">is </w:t>
      </w:r>
      <w:r w:rsidR="00327F40">
        <w:rPr>
          <w:sz w:val="24"/>
          <w:szCs w:val="24"/>
        </w:rPr>
        <w:t xml:space="preserve">minor in nature </w:t>
      </w:r>
      <w:r w:rsidR="00FA1ADA">
        <w:rPr>
          <w:sz w:val="24"/>
          <w:szCs w:val="24"/>
        </w:rPr>
        <w:t>(</w:t>
      </w:r>
      <w:r w:rsidR="00327F40">
        <w:rPr>
          <w:sz w:val="24"/>
          <w:szCs w:val="24"/>
        </w:rPr>
        <w:t>such as correcting a</w:t>
      </w:r>
      <w:r w:rsidR="00FA1ADA">
        <w:rPr>
          <w:sz w:val="24"/>
          <w:szCs w:val="24"/>
        </w:rPr>
        <w:t>n error)</w:t>
      </w:r>
      <w:r w:rsidR="00327F40">
        <w:rPr>
          <w:sz w:val="24"/>
          <w:szCs w:val="24"/>
        </w:rPr>
        <w:t>, the new version shall be effective immediately.</w:t>
      </w:r>
    </w:p>
    <w:p w:rsidRPr="00CD3516" w:rsidR="002236E6" w:rsidP="00CD3516" w:rsidRDefault="00586430" w14:paraId="3D336CC3" w14:textId="3F4A81B0">
      <w:pPr>
        <w:pStyle w:val="ListParagraph"/>
        <w:spacing w:after="200" w:line="276" w:lineRule="auto"/>
        <w:ind w:left="1170"/>
        <w:rPr>
          <w:b/>
          <w:sz w:val="24"/>
          <w:szCs w:val="24"/>
        </w:rPr>
      </w:pPr>
      <w:r w:rsidRPr="00DF25C0">
        <w:rPr>
          <w:sz w:val="24"/>
          <w:szCs w:val="24"/>
        </w:rPr>
        <w:lastRenderedPageBreak/>
        <w:t xml:space="preserve"> </w:t>
      </w:r>
      <w:r w:rsidR="00333F26">
        <w:rPr>
          <w:sz w:val="24"/>
          <w:szCs w:val="24"/>
        </w:rPr>
        <w:t>Preponderance of Evidence</w:t>
      </w:r>
      <w:r w:rsidRPr="00DF25C0" w:rsidR="00333F26">
        <w:rPr>
          <w:sz w:val="24"/>
          <w:szCs w:val="24"/>
        </w:rPr>
        <w:t xml:space="preserve"> Guidance Document </w:t>
      </w:r>
      <w:r w:rsidRPr="00DF25C0">
        <w:rPr>
          <w:sz w:val="24"/>
          <w:szCs w:val="24"/>
        </w:rPr>
        <w:t>shall be updated no more than once annually</w:t>
      </w:r>
      <w:r w:rsidR="00327F40">
        <w:rPr>
          <w:sz w:val="24"/>
          <w:szCs w:val="24"/>
        </w:rPr>
        <w:t xml:space="preserve"> unless the update </w:t>
      </w:r>
      <w:r w:rsidR="00B20B4B">
        <w:rPr>
          <w:sz w:val="24"/>
          <w:szCs w:val="24"/>
        </w:rPr>
        <w:t>is for new CPUC direction or guidance</w:t>
      </w:r>
      <w:r w:rsidRPr="00DF25C0">
        <w:rPr>
          <w:sz w:val="24"/>
          <w:szCs w:val="24"/>
        </w:rPr>
        <w:t xml:space="preserve"> </w:t>
      </w:r>
      <w:r w:rsidR="00044B79">
        <w:rPr>
          <w:sz w:val="24"/>
          <w:szCs w:val="24"/>
        </w:rPr>
        <w:t xml:space="preserve">or for the correction of errors. </w:t>
      </w:r>
    </w:p>
    <w:p w:rsidRPr="00DF25C0" w:rsidR="00EF6CE0" w:rsidP="00201694" w:rsidRDefault="00237A30" w14:paraId="78E04A8E" w14:textId="33873773">
      <w:pPr>
        <w:pStyle w:val="Heading1"/>
        <w:keepLines w:val="0"/>
        <w:spacing w:before="120" w:after="120"/>
        <w:rPr>
          <w:rFonts w:ascii="Palatino Linotype" w:hAnsi="Palatino Linotype" w:eastAsia="Times New Roman" w:cs="Times New Roman"/>
          <w:b/>
          <w:bCs w:val="0"/>
          <w:kern w:val="28"/>
          <w:sz w:val="24"/>
          <w:szCs w:val="24"/>
        </w:rPr>
      </w:pPr>
      <w:bookmarkStart w:name="_Toc512412415" w:id="38"/>
      <w:bookmarkStart w:name="_Toc512412632" w:id="39"/>
      <w:bookmarkStart w:name="_Toc532562901" w:id="40"/>
      <w:r w:rsidRPr="00DF25C0">
        <w:rPr>
          <w:rFonts w:ascii="Palatino Linotype" w:hAnsi="Palatino Linotype" w:eastAsia="Times New Roman" w:cs="Times New Roman"/>
          <w:b/>
          <w:bCs w:val="0"/>
          <w:kern w:val="28"/>
          <w:sz w:val="24"/>
          <w:szCs w:val="24"/>
        </w:rPr>
        <w:t>5</w:t>
      </w:r>
      <w:r w:rsidRPr="00DF25C0" w:rsidR="00201694">
        <w:rPr>
          <w:rFonts w:ascii="Palatino Linotype" w:hAnsi="Palatino Linotype" w:eastAsia="Times New Roman" w:cs="Times New Roman"/>
          <w:b/>
          <w:bCs w:val="0"/>
          <w:kern w:val="28"/>
          <w:sz w:val="24"/>
          <w:szCs w:val="24"/>
        </w:rPr>
        <w:t xml:space="preserve">. </w:t>
      </w:r>
      <w:r w:rsidRPr="00DF25C0" w:rsidR="009F5186">
        <w:rPr>
          <w:rFonts w:ascii="Palatino Linotype" w:hAnsi="Palatino Linotype" w:eastAsia="Times New Roman" w:cs="Times New Roman"/>
          <w:b/>
          <w:bCs w:val="0"/>
          <w:kern w:val="28"/>
          <w:sz w:val="24"/>
          <w:szCs w:val="24"/>
        </w:rPr>
        <w:t xml:space="preserve"> </w:t>
      </w:r>
      <w:r w:rsidRPr="00DF25C0" w:rsidR="000B317B">
        <w:rPr>
          <w:rFonts w:ascii="Palatino Linotype" w:hAnsi="Palatino Linotype" w:eastAsia="Times New Roman" w:cs="Times New Roman"/>
          <w:b/>
          <w:bCs w:val="0"/>
          <w:kern w:val="28"/>
          <w:sz w:val="24"/>
          <w:szCs w:val="24"/>
        </w:rPr>
        <w:t>COMMENTS</w:t>
      </w:r>
      <w:bookmarkEnd w:id="38"/>
      <w:bookmarkEnd w:id="39"/>
      <w:bookmarkEnd w:id="40"/>
    </w:p>
    <w:p w:rsidRPr="00DF25C0" w:rsidR="00F23CB5" w:rsidP="00F23CB5" w:rsidRDefault="00F23CB5" w14:paraId="657EDE4F" w14:textId="0F14D71A">
      <w:pPr>
        <w:spacing w:after="0"/>
        <w:ind w:firstLine="720"/>
        <w:rPr>
          <w:rFonts w:eastAsia="Times New Roman" w:cs="Arial"/>
          <w:color w:val="000000"/>
          <w:sz w:val="24"/>
          <w:szCs w:val="24"/>
        </w:rPr>
      </w:pPr>
      <w:r w:rsidRPr="00DF25C0">
        <w:rPr>
          <w:rFonts w:eastAsia="Times New Roman" w:cs="Arial"/>
          <w:color w:val="000000"/>
          <w:sz w:val="24"/>
          <w:szCs w:val="24"/>
        </w:rPr>
        <w:t xml:space="preserve">Public Utilities Code section 311(g) (1) provides that this resolution must be served on all parties and subject to at least 30 </w:t>
      </w:r>
      <w:r w:rsidRPr="00DF25C0" w:rsidR="00B46F5F">
        <w:rPr>
          <w:rFonts w:eastAsia="Times New Roman" w:cs="Arial"/>
          <w:color w:val="000000"/>
          <w:sz w:val="24"/>
          <w:szCs w:val="24"/>
        </w:rPr>
        <w:t xml:space="preserve">calendar </w:t>
      </w:r>
      <w:r w:rsidRPr="00DF25C0">
        <w:rPr>
          <w:rFonts w:eastAsia="Times New Roman" w:cs="Arial"/>
          <w:color w:val="000000"/>
          <w:sz w:val="24"/>
          <w:szCs w:val="24"/>
        </w:rPr>
        <w:t>days public review and comment prior to a vote of the CPUC. Section 311(g) (2) provides that this 30-</w:t>
      </w:r>
      <w:r w:rsidRPr="00DF25C0" w:rsidR="00B46F5F">
        <w:rPr>
          <w:rFonts w:eastAsia="Times New Roman" w:cs="Arial"/>
          <w:color w:val="000000"/>
          <w:sz w:val="24"/>
          <w:szCs w:val="24"/>
        </w:rPr>
        <w:t xml:space="preserve">calendar </w:t>
      </w:r>
      <w:r w:rsidRPr="00DF25C0">
        <w:rPr>
          <w:rFonts w:eastAsia="Times New Roman" w:cs="Arial"/>
          <w:color w:val="000000"/>
          <w:sz w:val="24"/>
          <w:szCs w:val="24"/>
        </w:rPr>
        <w:t xml:space="preserve">day period may be reduced or waived upon the stipulation of all parties in the proceeding.  </w:t>
      </w:r>
    </w:p>
    <w:p w:rsidRPr="00DD2814" w:rsidR="00DD2814" w:rsidP="00DD2814" w:rsidRDefault="00DD2814" w14:paraId="31ACEDEF" w14:textId="77777777">
      <w:pPr>
        <w:spacing w:after="0"/>
        <w:rPr>
          <w:rFonts w:eastAsia="Times New Roman" w:cs="Times New Roman"/>
          <w:sz w:val="24"/>
          <w:szCs w:val="24"/>
        </w:rPr>
      </w:pPr>
    </w:p>
    <w:p w:rsidRPr="00DD2814" w:rsidR="00DD2814" w:rsidP="00DD2814" w:rsidRDefault="00DD2814" w14:paraId="26709B44" w14:textId="295BF3DF">
      <w:pPr>
        <w:spacing w:after="0"/>
        <w:rPr>
          <w:rFonts w:eastAsia="Times New Roman" w:cs="Times New Roman"/>
          <w:sz w:val="24"/>
          <w:szCs w:val="24"/>
        </w:rPr>
      </w:pPr>
      <w:r w:rsidRPr="00DD2814">
        <w:rPr>
          <w:rFonts w:eastAsia="Times New Roman" w:cs="Times New Roman"/>
          <w:sz w:val="24"/>
          <w:szCs w:val="24"/>
        </w:rPr>
        <w:t>The 30-day review and 2</w:t>
      </w:r>
      <w:r w:rsidR="00ED7687">
        <w:rPr>
          <w:rFonts w:eastAsia="Times New Roman" w:cs="Times New Roman"/>
          <w:sz w:val="24"/>
          <w:szCs w:val="24"/>
        </w:rPr>
        <w:t>0</w:t>
      </w:r>
      <w:r w:rsidRPr="00DD2814">
        <w:rPr>
          <w:rFonts w:eastAsia="Times New Roman" w:cs="Times New Roman"/>
          <w:sz w:val="24"/>
          <w:szCs w:val="24"/>
        </w:rPr>
        <w:t>-day comment period for the draft of this resolution was neither waived nor reduced.  Accordingly, this draft resolution was mailed to parties for comments, and will be placed on the Commission's agenda no earlier than 30 days from today.</w:t>
      </w:r>
    </w:p>
    <w:p w:rsidRPr="00DF25C0" w:rsidR="002F689B" w:rsidP="00F23CB5" w:rsidRDefault="002F689B" w14:paraId="5F17DD6E" w14:textId="77777777">
      <w:pPr>
        <w:spacing w:after="0"/>
        <w:ind w:firstLine="720"/>
        <w:rPr>
          <w:rFonts w:eastAsia="Times New Roman" w:cs="Arial"/>
          <w:color w:val="000000"/>
          <w:sz w:val="24"/>
          <w:szCs w:val="24"/>
        </w:rPr>
      </w:pPr>
    </w:p>
    <w:p w:rsidRPr="00DF25C0" w:rsidR="00A72F8B" w:rsidP="00A72F8B" w:rsidRDefault="00201694" w14:paraId="524685A4" w14:textId="3237098E">
      <w:pPr>
        <w:pStyle w:val="Heading1"/>
        <w:keepLines w:val="0"/>
        <w:spacing w:before="120" w:after="120"/>
        <w:rPr>
          <w:rFonts w:ascii="Palatino Linotype" w:hAnsi="Palatino Linotype" w:eastAsia="Times New Roman" w:cs="Times New Roman"/>
          <w:b/>
          <w:bCs w:val="0"/>
          <w:kern w:val="28"/>
          <w:sz w:val="24"/>
          <w:szCs w:val="24"/>
        </w:rPr>
      </w:pPr>
      <w:bookmarkStart w:name="_Toc532562902" w:id="41"/>
      <w:bookmarkStart w:name="_Toc512412416" w:id="42"/>
      <w:bookmarkStart w:name="_Toc512412633" w:id="43"/>
      <w:r w:rsidRPr="00DF25C0">
        <w:rPr>
          <w:rFonts w:ascii="Palatino Linotype" w:hAnsi="Palatino Linotype" w:eastAsia="Times New Roman" w:cs="Times New Roman"/>
          <w:b/>
          <w:bCs w:val="0"/>
          <w:kern w:val="28"/>
          <w:sz w:val="24"/>
          <w:szCs w:val="24"/>
        </w:rPr>
        <w:t xml:space="preserve">6. </w:t>
      </w:r>
      <w:r w:rsidRPr="00DF25C0" w:rsidR="009F5186">
        <w:rPr>
          <w:rFonts w:ascii="Palatino Linotype" w:hAnsi="Palatino Linotype" w:eastAsia="Times New Roman" w:cs="Times New Roman"/>
          <w:b/>
          <w:bCs w:val="0"/>
          <w:kern w:val="28"/>
          <w:sz w:val="24"/>
          <w:szCs w:val="24"/>
        </w:rPr>
        <w:t xml:space="preserve"> </w:t>
      </w:r>
      <w:r w:rsidRPr="00DF25C0" w:rsidR="00A72F8B">
        <w:rPr>
          <w:rFonts w:ascii="Palatino Linotype" w:hAnsi="Palatino Linotype" w:eastAsia="Times New Roman" w:cs="Times New Roman"/>
          <w:b/>
          <w:bCs w:val="0"/>
          <w:kern w:val="28"/>
          <w:sz w:val="24"/>
          <w:szCs w:val="24"/>
        </w:rPr>
        <w:t>FINDINGS</w:t>
      </w:r>
      <w:bookmarkEnd w:id="41"/>
    </w:p>
    <w:p w:rsidRPr="00DF25C0" w:rsidR="00A72F8B" w:rsidP="002042A2" w:rsidRDefault="00A72F8B" w14:paraId="0139F78A" w14:textId="77777777">
      <w:pPr>
        <w:numPr>
          <w:ilvl w:val="0"/>
          <w:numId w:val="11"/>
        </w:numPr>
        <w:rPr>
          <w:sz w:val="24"/>
          <w:szCs w:val="24"/>
        </w:rPr>
      </w:pPr>
      <w:r w:rsidRPr="00DF25C0">
        <w:rPr>
          <w:sz w:val="24"/>
          <w:szCs w:val="24"/>
        </w:rPr>
        <w:t xml:space="preserve">D.16-08-019 ordered that two working groups be convened to address issues related to the implementation of AB 802.  </w:t>
      </w:r>
    </w:p>
    <w:p w:rsidRPr="00DF25C0" w:rsidR="00A72F8B" w:rsidP="002042A2" w:rsidRDefault="00A72F8B" w14:paraId="04764D8D" w14:textId="1A39E7FE">
      <w:pPr>
        <w:numPr>
          <w:ilvl w:val="0"/>
          <w:numId w:val="11"/>
        </w:numPr>
        <w:rPr>
          <w:sz w:val="24"/>
          <w:szCs w:val="24"/>
        </w:rPr>
      </w:pPr>
      <w:r w:rsidRPr="00DF25C0">
        <w:rPr>
          <w:sz w:val="24"/>
          <w:szCs w:val="24"/>
        </w:rPr>
        <w:t xml:space="preserve">Track 2 Working Group (T2WG) participants submitted a report, identifying issues and recommending changes to </w:t>
      </w:r>
      <w:r w:rsidR="00334BAC">
        <w:rPr>
          <w:sz w:val="24"/>
          <w:szCs w:val="24"/>
        </w:rPr>
        <w:t>CPUC</w:t>
      </w:r>
      <w:r w:rsidRPr="00DF25C0" w:rsidR="00334BAC">
        <w:rPr>
          <w:sz w:val="24"/>
          <w:szCs w:val="24"/>
        </w:rPr>
        <w:t xml:space="preserve"> </w:t>
      </w:r>
      <w:r w:rsidRPr="00DF25C0">
        <w:rPr>
          <w:sz w:val="24"/>
          <w:szCs w:val="24"/>
        </w:rPr>
        <w:t>rules, on September 7, 2017.</w:t>
      </w:r>
    </w:p>
    <w:p w:rsidRPr="00DF25C0" w:rsidR="002F689B" w:rsidP="002042A2" w:rsidRDefault="002F689B" w14:paraId="7AB5CBE0" w14:textId="5B4BFAC0">
      <w:pPr>
        <w:numPr>
          <w:ilvl w:val="0"/>
          <w:numId w:val="11"/>
        </w:numPr>
        <w:rPr>
          <w:sz w:val="24"/>
          <w:szCs w:val="24"/>
        </w:rPr>
      </w:pPr>
      <w:r w:rsidRPr="00DF25C0">
        <w:rPr>
          <w:sz w:val="24"/>
          <w:szCs w:val="24"/>
        </w:rPr>
        <w:t>Resolution E-4939 resolved three of the four issues from the T2WG Final Report.</w:t>
      </w:r>
    </w:p>
    <w:p w:rsidR="00EE6AB1" w:rsidP="002042A2" w:rsidRDefault="00EE6AB1" w14:paraId="745706C6" w14:textId="7DF0D7A7">
      <w:pPr>
        <w:pStyle w:val="standard"/>
        <w:numPr>
          <w:ilvl w:val="0"/>
          <w:numId w:val="11"/>
        </w:numPr>
        <w:spacing w:line="240" w:lineRule="auto"/>
        <w:rPr>
          <w:rFonts w:ascii="Palatino Linotype" w:hAnsi="Palatino Linotype"/>
          <w:sz w:val="24"/>
          <w:szCs w:val="24"/>
        </w:rPr>
      </w:pPr>
      <w:r w:rsidRPr="00DF25C0">
        <w:rPr>
          <w:rFonts w:ascii="Palatino Linotype" w:hAnsi="Palatino Linotype"/>
          <w:sz w:val="24"/>
          <w:szCs w:val="24"/>
        </w:rPr>
        <w:t xml:space="preserve">The </w:t>
      </w:r>
      <w:r w:rsidR="00333F26">
        <w:rPr>
          <w:rFonts w:ascii="Palatino Linotype" w:hAnsi="Palatino Linotype"/>
          <w:sz w:val="24"/>
          <w:szCs w:val="24"/>
        </w:rPr>
        <w:t>preponderance of evidence</w:t>
      </w:r>
      <w:r w:rsidRPr="00DF25C0" w:rsidR="00333F26">
        <w:rPr>
          <w:rFonts w:ascii="Palatino Linotype" w:hAnsi="Palatino Linotype"/>
          <w:sz w:val="24"/>
          <w:szCs w:val="24"/>
        </w:rPr>
        <w:t xml:space="preserve"> </w:t>
      </w:r>
      <w:r w:rsidRPr="00DF25C0">
        <w:rPr>
          <w:rFonts w:ascii="Palatino Linotype" w:hAnsi="Palatino Linotype"/>
          <w:sz w:val="24"/>
          <w:szCs w:val="24"/>
        </w:rPr>
        <w:t xml:space="preserve">requirement for equipment viability </w:t>
      </w:r>
      <w:r w:rsidR="00BE3900">
        <w:rPr>
          <w:rFonts w:ascii="Palatino Linotype" w:hAnsi="Palatino Linotype"/>
          <w:sz w:val="24"/>
          <w:szCs w:val="24"/>
        </w:rPr>
        <w:t xml:space="preserve">must </w:t>
      </w:r>
      <w:r w:rsidRPr="00DF25C0">
        <w:rPr>
          <w:rFonts w:ascii="Palatino Linotype" w:hAnsi="Palatino Linotype"/>
          <w:sz w:val="24"/>
          <w:szCs w:val="24"/>
        </w:rPr>
        <w:t>include evidence of equipment operation and of its ability to remain in service, meeting customer requirements for its remaining useful life.</w:t>
      </w:r>
    </w:p>
    <w:p w:rsidRPr="00DF25C0" w:rsidR="003B012B" w:rsidP="002042A2" w:rsidRDefault="003B012B" w14:paraId="31CDD0C6" w14:textId="3FCF13D2">
      <w:pPr>
        <w:pStyle w:val="standard"/>
        <w:numPr>
          <w:ilvl w:val="0"/>
          <w:numId w:val="11"/>
        </w:numPr>
        <w:spacing w:line="240" w:lineRule="auto"/>
        <w:rPr>
          <w:rFonts w:ascii="Palatino Linotype" w:hAnsi="Palatino Linotype"/>
          <w:sz w:val="24"/>
          <w:szCs w:val="24"/>
        </w:rPr>
      </w:pPr>
      <w:r w:rsidRPr="00DF25C0">
        <w:rPr>
          <w:sz w:val="24"/>
          <w:szCs w:val="24"/>
        </w:rPr>
        <w:t>The evidence of program influence must demonstrate that an energy efficiency program caused a customer to implement a more costly, more efficient equipment or process than they would have otherwise in absence of the program intervention.  Program influence may be in the form of technical assistance and/or financial support.</w:t>
      </w:r>
    </w:p>
    <w:p w:rsidR="00EE6AB1" w:rsidP="002042A2" w:rsidRDefault="00EE6AB1" w14:paraId="5D6C83AC" w14:textId="2E22A7C3">
      <w:pPr>
        <w:pStyle w:val="standard"/>
        <w:numPr>
          <w:ilvl w:val="0"/>
          <w:numId w:val="11"/>
        </w:numPr>
        <w:spacing w:line="240" w:lineRule="auto"/>
        <w:rPr>
          <w:rFonts w:ascii="Palatino Linotype" w:hAnsi="Palatino Linotype"/>
          <w:sz w:val="24"/>
          <w:szCs w:val="24"/>
        </w:rPr>
      </w:pPr>
      <w:r w:rsidRPr="00DF25C0">
        <w:rPr>
          <w:rFonts w:ascii="Palatino Linotype" w:hAnsi="Palatino Linotype"/>
          <w:sz w:val="24"/>
          <w:szCs w:val="24"/>
        </w:rPr>
        <w:t>It is reasonable that the project developer (program administrator</w:t>
      </w:r>
      <w:r w:rsidRPr="00DF25C0" w:rsidR="001B3E45">
        <w:rPr>
          <w:rFonts w:ascii="Palatino Linotype" w:hAnsi="Palatino Linotype"/>
          <w:sz w:val="24"/>
          <w:szCs w:val="24"/>
        </w:rPr>
        <w:t xml:space="preserve"> or</w:t>
      </w:r>
      <w:r w:rsidRPr="00DF25C0">
        <w:rPr>
          <w:rFonts w:ascii="Palatino Linotype" w:hAnsi="Palatino Linotype"/>
          <w:sz w:val="24"/>
          <w:szCs w:val="24"/>
        </w:rPr>
        <w:t xml:space="preserve"> third-party implementer) </w:t>
      </w:r>
      <w:proofErr w:type="gramStart"/>
      <w:r w:rsidRPr="00DF25C0">
        <w:rPr>
          <w:rFonts w:ascii="Palatino Linotype" w:hAnsi="Palatino Linotype"/>
          <w:sz w:val="24"/>
          <w:szCs w:val="24"/>
        </w:rPr>
        <w:t>collect</w:t>
      </w:r>
      <w:proofErr w:type="gramEnd"/>
      <w:r w:rsidRPr="00DF25C0">
        <w:rPr>
          <w:rFonts w:ascii="Palatino Linotype" w:hAnsi="Palatino Linotype"/>
          <w:sz w:val="24"/>
          <w:szCs w:val="24"/>
        </w:rPr>
        <w:t xml:space="preserve"> and assess both evidence supporting and evidence not supporting equipment viability and program influence.   </w:t>
      </w:r>
    </w:p>
    <w:p w:rsidRPr="00DF25C0" w:rsidR="00080ED5" w:rsidP="002042A2" w:rsidRDefault="00080ED5" w14:paraId="028AA568" w14:textId="1B8E2BD7">
      <w:pPr>
        <w:pStyle w:val="standard"/>
        <w:numPr>
          <w:ilvl w:val="0"/>
          <w:numId w:val="11"/>
        </w:numPr>
        <w:spacing w:line="240" w:lineRule="auto"/>
        <w:rPr>
          <w:rFonts w:ascii="Palatino Linotype" w:hAnsi="Palatino Linotype"/>
          <w:sz w:val="24"/>
          <w:szCs w:val="24"/>
        </w:rPr>
      </w:pPr>
      <w:r w:rsidRPr="00DF25C0">
        <w:rPr>
          <w:rFonts w:ascii="Palatino Linotype" w:hAnsi="Palatino Linotype"/>
          <w:sz w:val="24"/>
          <w:szCs w:val="24"/>
        </w:rPr>
        <w:t xml:space="preserve">The </w:t>
      </w:r>
      <w:r w:rsidR="00333F26">
        <w:rPr>
          <w:rFonts w:ascii="Palatino Linotype" w:hAnsi="Palatino Linotype"/>
          <w:sz w:val="24"/>
          <w:szCs w:val="24"/>
        </w:rPr>
        <w:t>preponderance of evidence</w:t>
      </w:r>
      <w:r w:rsidRPr="00DF25C0" w:rsidR="00333F26">
        <w:rPr>
          <w:rFonts w:ascii="Palatino Linotype" w:hAnsi="Palatino Linotype"/>
          <w:sz w:val="24"/>
          <w:szCs w:val="24"/>
        </w:rPr>
        <w:t xml:space="preserve"> </w:t>
      </w:r>
      <w:r>
        <w:rPr>
          <w:rFonts w:ascii="Palatino Linotype" w:hAnsi="Palatino Linotype"/>
          <w:sz w:val="24"/>
          <w:szCs w:val="24"/>
        </w:rPr>
        <w:t>determination</w:t>
      </w:r>
      <w:r w:rsidRPr="00DF25C0">
        <w:rPr>
          <w:rFonts w:ascii="Palatino Linotype" w:hAnsi="Palatino Linotype"/>
          <w:sz w:val="24"/>
          <w:szCs w:val="24"/>
        </w:rPr>
        <w:t xml:space="preserve"> should be</w:t>
      </w:r>
      <w:r>
        <w:rPr>
          <w:rFonts w:ascii="Palatino Linotype" w:hAnsi="Palatino Linotype"/>
          <w:sz w:val="24"/>
          <w:szCs w:val="24"/>
        </w:rPr>
        <w:t xml:space="preserve"> </w:t>
      </w:r>
      <w:proofErr w:type="gramStart"/>
      <w:r w:rsidR="00E20CF0">
        <w:rPr>
          <w:rFonts w:ascii="Palatino Linotype" w:hAnsi="Palatino Linotype"/>
          <w:sz w:val="24"/>
          <w:szCs w:val="24"/>
        </w:rPr>
        <w:t>conducted</w:t>
      </w:r>
      <w:proofErr w:type="gramEnd"/>
      <w:r>
        <w:rPr>
          <w:rFonts w:ascii="Palatino Linotype" w:hAnsi="Palatino Linotype"/>
          <w:sz w:val="24"/>
          <w:szCs w:val="24"/>
        </w:rPr>
        <w:t xml:space="preserve"> and documentation collected</w:t>
      </w:r>
      <w:r w:rsidRPr="00DF25C0">
        <w:rPr>
          <w:rFonts w:ascii="Palatino Linotype" w:hAnsi="Palatino Linotype"/>
          <w:sz w:val="24"/>
          <w:szCs w:val="24"/>
        </w:rPr>
        <w:t xml:space="preserve"> early in the project development phase when eligibility and measure type are being assessed.</w:t>
      </w:r>
    </w:p>
    <w:p w:rsidRPr="00DF25C0" w:rsidR="00EE6AB1" w:rsidP="002042A2" w:rsidRDefault="00EE6AB1" w14:paraId="68079A1B" w14:textId="3834887C">
      <w:pPr>
        <w:pStyle w:val="standard"/>
        <w:numPr>
          <w:ilvl w:val="0"/>
          <w:numId w:val="11"/>
        </w:numPr>
        <w:spacing w:line="240" w:lineRule="auto"/>
        <w:rPr>
          <w:rFonts w:ascii="Palatino Linotype" w:hAnsi="Palatino Linotype"/>
          <w:sz w:val="24"/>
          <w:szCs w:val="24"/>
        </w:rPr>
      </w:pPr>
      <w:r w:rsidRPr="00DF25C0">
        <w:rPr>
          <w:rFonts w:ascii="Palatino Linotype" w:hAnsi="Palatino Linotype"/>
          <w:sz w:val="24"/>
          <w:szCs w:val="24"/>
        </w:rPr>
        <w:t xml:space="preserve">To avoid confusion, the T2WG renamed the </w:t>
      </w:r>
      <w:r w:rsidR="00333F26">
        <w:rPr>
          <w:rFonts w:ascii="Palatino Linotype" w:hAnsi="Palatino Linotype"/>
          <w:sz w:val="24"/>
          <w:szCs w:val="24"/>
        </w:rPr>
        <w:t>preponderance of evidence</w:t>
      </w:r>
      <w:r w:rsidRPr="00DF25C0" w:rsidR="00333F26">
        <w:rPr>
          <w:rFonts w:ascii="Palatino Linotype" w:hAnsi="Palatino Linotype"/>
          <w:sz w:val="24"/>
          <w:szCs w:val="24"/>
        </w:rPr>
        <w:t xml:space="preserve"> </w:t>
      </w:r>
      <w:r w:rsidRPr="00DF25C0">
        <w:rPr>
          <w:rFonts w:ascii="Palatino Linotype" w:hAnsi="Palatino Linotype"/>
          <w:sz w:val="24"/>
          <w:szCs w:val="24"/>
        </w:rPr>
        <w:t xml:space="preserve">guidance </w:t>
      </w:r>
      <w:r w:rsidR="00E6257B">
        <w:rPr>
          <w:rFonts w:ascii="Palatino Linotype" w:hAnsi="Palatino Linotype"/>
          <w:sz w:val="24"/>
          <w:szCs w:val="24"/>
        </w:rPr>
        <w:t xml:space="preserve">customer incentive </w:t>
      </w:r>
      <w:r w:rsidRPr="00DF25C0" w:rsidR="00E6257B">
        <w:rPr>
          <w:rFonts w:ascii="Palatino Linotype" w:hAnsi="Palatino Linotype"/>
          <w:sz w:val="24"/>
          <w:szCs w:val="24"/>
        </w:rPr>
        <w:t xml:space="preserve">level </w:t>
      </w:r>
      <w:r w:rsidRPr="00DF25C0">
        <w:rPr>
          <w:rFonts w:ascii="Palatino Linotype" w:hAnsi="Palatino Linotype"/>
          <w:sz w:val="24"/>
          <w:szCs w:val="24"/>
        </w:rPr>
        <w:t>tier</w:t>
      </w:r>
      <w:r w:rsidR="00E6257B">
        <w:rPr>
          <w:rFonts w:ascii="Palatino Linotype" w:hAnsi="Palatino Linotype"/>
          <w:sz w:val="24"/>
          <w:szCs w:val="24"/>
        </w:rPr>
        <w:t>s</w:t>
      </w:r>
      <w:r w:rsidRPr="00DF25C0">
        <w:rPr>
          <w:rFonts w:ascii="Palatino Linotype" w:hAnsi="Palatino Linotype"/>
          <w:sz w:val="24"/>
          <w:szCs w:val="24"/>
        </w:rPr>
        <w:t xml:space="preserve"> </w:t>
      </w:r>
      <w:r w:rsidR="005D79F5">
        <w:rPr>
          <w:rFonts w:ascii="Palatino Linotype" w:hAnsi="Palatino Linotype"/>
          <w:sz w:val="24"/>
          <w:szCs w:val="24"/>
        </w:rPr>
        <w:t xml:space="preserve">in Resolution E-4818 </w:t>
      </w:r>
      <w:r w:rsidRPr="00DF25C0" w:rsidR="001B3E45">
        <w:rPr>
          <w:rFonts w:ascii="Palatino Linotype" w:hAnsi="Palatino Linotype"/>
          <w:sz w:val="24"/>
          <w:szCs w:val="24"/>
        </w:rPr>
        <w:t xml:space="preserve">as </w:t>
      </w:r>
      <w:r w:rsidRPr="00DF25C0">
        <w:rPr>
          <w:rFonts w:ascii="Palatino Linotype" w:hAnsi="Palatino Linotype"/>
          <w:sz w:val="24"/>
          <w:szCs w:val="24"/>
        </w:rPr>
        <w:t>“low rigor,” “medium rigor,” and “full rigor</w:t>
      </w:r>
      <w:r w:rsidRPr="00DF25C0" w:rsidR="001B3E45">
        <w:rPr>
          <w:rFonts w:ascii="Palatino Linotype" w:hAnsi="Palatino Linotype"/>
          <w:sz w:val="24"/>
          <w:szCs w:val="24"/>
        </w:rPr>
        <w:t>,</w:t>
      </w:r>
      <w:r w:rsidRPr="00DF25C0">
        <w:rPr>
          <w:rFonts w:ascii="Palatino Linotype" w:hAnsi="Palatino Linotype"/>
          <w:sz w:val="24"/>
          <w:szCs w:val="24"/>
        </w:rPr>
        <w:t>”</w:t>
      </w:r>
      <w:r w:rsidRPr="00DF25C0" w:rsidR="001B3E45">
        <w:rPr>
          <w:rFonts w:ascii="Palatino Linotype" w:hAnsi="Palatino Linotype"/>
          <w:sz w:val="24"/>
          <w:szCs w:val="24"/>
        </w:rPr>
        <w:t xml:space="preserve"> and they are</w:t>
      </w:r>
      <w:r w:rsidRPr="00DF25C0">
        <w:rPr>
          <w:rFonts w:ascii="Palatino Linotype" w:hAnsi="Palatino Linotype"/>
          <w:sz w:val="24"/>
          <w:szCs w:val="24"/>
        </w:rPr>
        <w:t xml:space="preserve"> reasonabl</w:t>
      </w:r>
      <w:r w:rsidRPr="00DF25C0" w:rsidR="001B3E45">
        <w:rPr>
          <w:rFonts w:ascii="Palatino Linotype" w:hAnsi="Palatino Linotype"/>
          <w:sz w:val="24"/>
          <w:szCs w:val="24"/>
        </w:rPr>
        <w:t>y named as</w:t>
      </w:r>
      <w:r w:rsidRPr="00DF25C0">
        <w:rPr>
          <w:rFonts w:ascii="Palatino Linotype" w:hAnsi="Palatino Linotype"/>
          <w:sz w:val="24"/>
          <w:szCs w:val="24"/>
        </w:rPr>
        <w:t xml:space="preserve"> follows: </w:t>
      </w:r>
    </w:p>
    <w:p w:rsidRPr="00DF25C0" w:rsidR="00EE6AB1" w:rsidP="001B1D4A" w:rsidRDefault="00EE6AB1" w14:paraId="06AFF3C0" w14:textId="77777777">
      <w:pPr>
        <w:pStyle w:val="ListParagraph"/>
        <w:spacing w:after="120"/>
        <w:ind w:left="1354" w:right="907"/>
        <w:rPr>
          <w:sz w:val="24"/>
          <w:szCs w:val="24"/>
        </w:rPr>
      </w:pPr>
      <w:r w:rsidRPr="00DF25C0">
        <w:rPr>
          <w:sz w:val="24"/>
          <w:szCs w:val="24"/>
        </w:rPr>
        <w:lastRenderedPageBreak/>
        <w:t xml:space="preserve">a. “Full Rigor” for the largest projects, with incentives greater than $100,000, </w:t>
      </w:r>
    </w:p>
    <w:p w:rsidRPr="00DF25C0" w:rsidR="00EE6AB1" w:rsidP="001B1D4A" w:rsidRDefault="00EE6AB1" w14:paraId="2726BC7B" w14:textId="77777777">
      <w:pPr>
        <w:pStyle w:val="ListParagraph"/>
        <w:spacing w:after="120"/>
        <w:ind w:left="1354" w:right="907"/>
        <w:rPr>
          <w:sz w:val="24"/>
          <w:szCs w:val="24"/>
        </w:rPr>
      </w:pPr>
      <w:r w:rsidRPr="00DF25C0">
        <w:rPr>
          <w:sz w:val="24"/>
          <w:szCs w:val="24"/>
        </w:rPr>
        <w:t xml:space="preserve">b. “Medium Rigor” for projects with incentives between $25,000 and $100,000, and </w:t>
      </w:r>
    </w:p>
    <w:p w:rsidRPr="00DF25C0" w:rsidR="00EE6AB1" w:rsidP="00113013" w:rsidRDefault="00EE6AB1" w14:paraId="14198936" w14:textId="77777777">
      <w:pPr>
        <w:pStyle w:val="ListParagraph"/>
        <w:spacing w:after="240"/>
        <w:ind w:left="1350" w:right="900"/>
        <w:rPr>
          <w:sz w:val="24"/>
          <w:szCs w:val="24"/>
        </w:rPr>
      </w:pPr>
      <w:r w:rsidRPr="00DF25C0">
        <w:rPr>
          <w:sz w:val="24"/>
          <w:szCs w:val="24"/>
        </w:rPr>
        <w:t xml:space="preserve">c. “Low Rigor” for projects with incentives less than $25,000. </w:t>
      </w:r>
    </w:p>
    <w:p w:rsidR="00437DBD" w:rsidP="002042A2" w:rsidRDefault="005D79F5" w14:paraId="59C79C84" w14:textId="311735C4">
      <w:pPr>
        <w:pStyle w:val="ListParagraph"/>
        <w:numPr>
          <w:ilvl w:val="0"/>
          <w:numId w:val="11"/>
        </w:numPr>
        <w:spacing w:after="240"/>
        <w:rPr>
          <w:sz w:val="24"/>
          <w:szCs w:val="24"/>
        </w:rPr>
      </w:pPr>
      <w:r>
        <w:rPr>
          <w:sz w:val="24"/>
          <w:szCs w:val="24"/>
        </w:rPr>
        <w:t xml:space="preserve">The T2WG </w:t>
      </w:r>
      <w:proofErr w:type="gramStart"/>
      <w:r>
        <w:rPr>
          <w:sz w:val="24"/>
          <w:szCs w:val="24"/>
        </w:rPr>
        <w:t>proposed</w:t>
      </w:r>
      <w:r w:rsidRPr="00DF25C0">
        <w:rPr>
          <w:sz w:val="24"/>
          <w:szCs w:val="24"/>
        </w:rPr>
        <w:t xml:space="preserve"> </w:t>
      </w:r>
      <w:r w:rsidRPr="00DF25C0" w:rsidR="001B3E45">
        <w:rPr>
          <w:sz w:val="24"/>
          <w:szCs w:val="24"/>
        </w:rPr>
        <w:t>”</w:t>
      </w:r>
      <w:r w:rsidRPr="00DF25C0" w:rsidR="00EE6AB1">
        <w:rPr>
          <w:sz w:val="24"/>
          <w:szCs w:val="24"/>
        </w:rPr>
        <w:t>Very</w:t>
      </w:r>
      <w:proofErr w:type="gramEnd"/>
      <w:r w:rsidRPr="00DF25C0" w:rsidR="00EE6AB1">
        <w:rPr>
          <w:sz w:val="24"/>
          <w:szCs w:val="24"/>
        </w:rPr>
        <w:t xml:space="preserve"> Low Rigor</w:t>
      </w:r>
      <w:r w:rsidRPr="00DF25C0" w:rsidR="001B3E45">
        <w:rPr>
          <w:sz w:val="24"/>
          <w:szCs w:val="24"/>
        </w:rPr>
        <w:t>”</w:t>
      </w:r>
      <w:r w:rsidRPr="00DF25C0" w:rsidR="00EE6AB1">
        <w:rPr>
          <w:sz w:val="24"/>
          <w:szCs w:val="24"/>
        </w:rPr>
        <w:t xml:space="preserve"> </w:t>
      </w:r>
      <w:r w:rsidR="00D23023">
        <w:rPr>
          <w:sz w:val="24"/>
          <w:szCs w:val="24"/>
        </w:rPr>
        <w:t xml:space="preserve">customer incentive level </w:t>
      </w:r>
      <w:r w:rsidRPr="00DF25C0" w:rsidR="00EE6AB1">
        <w:rPr>
          <w:sz w:val="24"/>
          <w:szCs w:val="24"/>
        </w:rPr>
        <w:t>tier for projects with incentives less than $7,500 is reasonable.</w:t>
      </w:r>
    </w:p>
    <w:p w:rsidR="007011F8" w:rsidP="002042A2" w:rsidRDefault="00DB307A" w14:paraId="013FBDC1" w14:textId="5264CB6C">
      <w:pPr>
        <w:pStyle w:val="ListParagraph"/>
        <w:numPr>
          <w:ilvl w:val="0"/>
          <w:numId w:val="11"/>
        </w:numPr>
        <w:spacing w:after="240"/>
        <w:rPr>
          <w:sz w:val="24"/>
          <w:szCs w:val="24"/>
        </w:rPr>
      </w:pPr>
      <w:r>
        <w:rPr>
          <w:sz w:val="24"/>
          <w:szCs w:val="24"/>
        </w:rPr>
        <w:t xml:space="preserve">Developing the </w:t>
      </w:r>
      <w:r w:rsidR="00333F26">
        <w:rPr>
          <w:sz w:val="24"/>
          <w:szCs w:val="24"/>
        </w:rPr>
        <w:t xml:space="preserve">preponderance of evidence </w:t>
      </w:r>
      <w:r>
        <w:rPr>
          <w:sz w:val="24"/>
          <w:szCs w:val="24"/>
        </w:rPr>
        <w:t>requirements</w:t>
      </w:r>
      <w:r w:rsidRPr="00DF25C0">
        <w:rPr>
          <w:sz w:val="24"/>
          <w:szCs w:val="24"/>
        </w:rPr>
        <w:t xml:space="preserve"> </w:t>
      </w:r>
      <w:r w:rsidR="00E05A8D">
        <w:rPr>
          <w:sz w:val="24"/>
          <w:szCs w:val="24"/>
        </w:rPr>
        <w:t>to demonstrate</w:t>
      </w:r>
      <w:r w:rsidRPr="00DF25C0" w:rsidR="00E05A8D">
        <w:rPr>
          <w:sz w:val="24"/>
          <w:szCs w:val="24"/>
        </w:rPr>
        <w:t xml:space="preserve"> equipment viability </w:t>
      </w:r>
      <w:r w:rsidR="00E05A8D">
        <w:rPr>
          <w:sz w:val="24"/>
          <w:szCs w:val="24"/>
        </w:rPr>
        <w:t xml:space="preserve">and </w:t>
      </w:r>
      <w:r w:rsidRPr="00DF25C0" w:rsidR="00E05A8D">
        <w:rPr>
          <w:sz w:val="24"/>
          <w:szCs w:val="24"/>
        </w:rPr>
        <w:t xml:space="preserve">program influence </w:t>
      </w:r>
      <w:r w:rsidRPr="00DF25C0">
        <w:rPr>
          <w:sz w:val="24"/>
          <w:szCs w:val="24"/>
        </w:rPr>
        <w:t xml:space="preserve">for the </w:t>
      </w:r>
      <w:r w:rsidR="005D51FA">
        <w:rPr>
          <w:sz w:val="24"/>
          <w:szCs w:val="24"/>
        </w:rPr>
        <w:t>“</w:t>
      </w:r>
      <w:r w:rsidRPr="00DF25C0">
        <w:rPr>
          <w:sz w:val="24"/>
          <w:szCs w:val="24"/>
        </w:rPr>
        <w:t>Full Rigor</w:t>
      </w:r>
      <w:r w:rsidR="005D51FA">
        <w:rPr>
          <w:sz w:val="24"/>
          <w:szCs w:val="24"/>
        </w:rPr>
        <w:t>”</w:t>
      </w:r>
      <w:r>
        <w:rPr>
          <w:sz w:val="24"/>
          <w:szCs w:val="24"/>
        </w:rPr>
        <w:t xml:space="preserve"> customer incentive level</w:t>
      </w:r>
      <w:r w:rsidRPr="00DF25C0">
        <w:rPr>
          <w:sz w:val="24"/>
          <w:szCs w:val="24"/>
        </w:rPr>
        <w:t xml:space="preserve"> tier </w:t>
      </w:r>
      <w:r w:rsidR="00F2697D">
        <w:rPr>
          <w:sz w:val="24"/>
          <w:szCs w:val="24"/>
        </w:rPr>
        <w:t>was</w:t>
      </w:r>
      <w:r>
        <w:rPr>
          <w:sz w:val="24"/>
          <w:szCs w:val="24"/>
        </w:rPr>
        <w:t xml:space="preserve"> not within the scope of the T2WG</w:t>
      </w:r>
      <w:r w:rsidRPr="00DF25C0">
        <w:rPr>
          <w:sz w:val="24"/>
          <w:szCs w:val="24"/>
        </w:rPr>
        <w:t>.</w:t>
      </w:r>
    </w:p>
    <w:p w:rsidR="00437DBD" w:rsidP="00437DBD" w:rsidRDefault="00437DBD" w14:paraId="59CC51B0" w14:textId="60C0366C">
      <w:pPr>
        <w:pStyle w:val="ListParagraph"/>
        <w:numPr>
          <w:ilvl w:val="0"/>
          <w:numId w:val="11"/>
        </w:numPr>
        <w:spacing w:after="240"/>
        <w:rPr>
          <w:sz w:val="24"/>
          <w:szCs w:val="24"/>
        </w:rPr>
      </w:pPr>
      <w:r>
        <w:rPr>
          <w:sz w:val="24"/>
          <w:szCs w:val="24"/>
        </w:rPr>
        <w:t xml:space="preserve">It is reasonable that a project developer </w:t>
      </w:r>
      <w:r w:rsidRPr="00DF25C0" w:rsidR="006F3C81">
        <w:rPr>
          <w:sz w:val="24"/>
          <w:szCs w:val="24"/>
        </w:rPr>
        <w:t xml:space="preserve">(program administrator or third-party program implementer) </w:t>
      </w:r>
      <w:r>
        <w:rPr>
          <w:sz w:val="24"/>
          <w:szCs w:val="24"/>
        </w:rPr>
        <w:t xml:space="preserve">avoid disaggregating custom project measures into multiple customer application that are actually a single activity carried out in phases or separate a project into multiple applications that act to avoid the customer incentive level </w:t>
      </w:r>
      <w:r w:rsidR="001237E4">
        <w:rPr>
          <w:sz w:val="24"/>
          <w:szCs w:val="24"/>
        </w:rPr>
        <w:t xml:space="preserve">tier rigor </w:t>
      </w:r>
      <w:r>
        <w:rPr>
          <w:sz w:val="24"/>
          <w:szCs w:val="24"/>
        </w:rPr>
        <w:t>thresholds.</w:t>
      </w:r>
    </w:p>
    <w:p w:rsidR="00437DBD" w:rsidP="00437DBD" w:rsidRDefault="00437DBD" w14:paraId="0E66AFB2" w14:textId="24780CAA">
      <w:pPr>
        <w:pStyle w:val="ListParagraph"/>
        <w:numPr>
          <w:ilvl w:val="0"/>
          <w:numId w:val="11"/>
        </w:numPr>
        <w:spacing w:after="240"/>
        <w:rPr>
          <w:sz w:val="24"/>
          <w:szCs w:val="24"/>
        </w:rPr>
      </w:pPr>
      <w:r>
        <w:rPr>
          <w:sz w:val="24"/>
          <w:szCs w:val="24"/>
        </w:rPr>
        <w:t xml:space="preserve">It is reasonable that a program administrator </w:t>
      </w:r>
      <w:r w:rsidR="00F2697D">
        <w:rPr>
          <w:sz w:val="24"/>
          <w:szCs w:val="24"/>
        </w:rPr>
        <w:t>informs</w:t>
      </w:r>
      <w:r>
        <w:rPr>
          <w:sz w:val="24"/>
          <w:szCs w:val="24"/>
        </w:rPr>
        <w:t xml:space="preserve"> the CPUC staff should an activity or project must be split into multiple applications and provide the rationale for CPUC staff’s approval.  </w:t>
      </w:r>
    </w:p>
    <w:p w:rsidRPr="00437DBD" w:rsidR="00EE6AB1" w:rsidP="00437DBD" w:rsidRDefault="00437DBD" w14:paraId="32B19DE2" w14:textId="324FA7F1">
      <w:pPr>
        <w:pStyle w:val="ListParagraph"/>
        <w:numPr>
          <w:ilvl w:val="0"/>
          <w:numId w:val="11"/>
        </w:numPr>
        <w:spacing w:after="240"/>
        <w:rPr>
          <w:sz w:val="24"/>
          <w:szCs w:val="24"/>
        </w:rPr>
      </w:pPr>
      <w:r>
        <w:rPr>
          <w:sz w:val="24"/>
          <w:szCs w:val="24"/>
        </w:rPr>
        <w:t>It is reasonable that as part of its custom projects review selection process, CPUC staff assess to ensure that a single project or activity is not disaggregated into multiple customer applications to avoid the customer incentive level thresholds.</w:t>
      </w:r>
      <w:r w:rsidRPr="00437DBD" w:rsidR="00EE6AB1">
        <w:rPr>
          <w:sz w:val="24"/>
          <w:szCs w:val="24"/>
        </w:rPr>
        <w:t xml:space="preserve">  </w:t>
      </w:r>
    </w:p>
    <w:p w:rsidRPr="00DF25C0" w:rsidR="00EE6AB1" w:rsidP="002042A2" w:rsidRDefault="00EE6AB1" w14:paraId="6302A298" w14:textId="7FDCC7EC">
      <w:pPr>
        <w:pStyle w:val="ListParagraph"/>
        <w:numPr>
          <w:ilvl w:val="0"/>
          <w:numId w:val="11"/>
        </w:numPr>
        <w:spacing w:after="240"/>
        <w:rPr>
          <w:sz w:val="24"/>
          <w:szCs w:val="24"/>
        </w:rPr>
      </w:pPr>
      <w:r w:rsidRPr="00DF25C0">
        <w:rPr>
          <w:sz w:val="24"/>
          <w:szCs w:val="24"/>
        </w:rPr>
        <w:t xml:space="preserve">It is reasonable that for the Very Low </w:t>
      </w:r>
      <w:r w:rsidRPr="00DF25C0" w:rsidR="00D33CC3">
        <w:rPr>
          <w:sz w:val="24"/>
          <w:szCs w:val="24"/>
        </w:rPr>
        <w:t xml:space="preserve">Rigor tier </w:t>
      </w:r>
      <w:r w:rsidRPr="00DF25C0">
        <w:rPr>
          <w:sz w:val="24"/>
          <w:szCs w:val="24"/>
        </w:rPr>
        <w:t xml:space="preserve">(Incentives less than $7,500) and the Low </w:t>
      </w:r>
      <w:r w:rsidRPr="00DF25C0" w:rsidR="00D33CC3">
        <w:rPr>
          <w:sz w:val="24"/>
          <w:szCs w:val="24"/>
        </w:rPr>
        <w:t xml:space="preserve">Rigor tier </w:t>
      </w:r>
      <w:r w:rsidRPr="00DF25C0">
        <w:rPr>
          <w:sz w:val="24"/>
          <w:szCs w:val="24"/>
        </w:rPr>
        <w:t xml:space="preserve">(From $7,500 to $25,000), the equipment viability </w:t>
      </w:r>
      <w:r w:rsidR="00333F26">
        <w:rPr>
          <w:sz w:val="24"/>
          <w:szCs w:val="24"/>
        </w:rPr>
        <w:t>preponderance of evidence</w:t>
      </w:r>
      <w:r w:rsidRPr="00DF25C0" w:rsidR="00333F26">
        <w:rPr>
          <w:sz w:val="24"/>
          <w:szCs w:val="24"/>
        </w:rPr>
        <w:t xml:space="preserve"> </w:t>
      </w:r>
      <w:r w:rsidRPr="00DF25C0">
        <w:rPr>
          <w:sz w:val="24"/>
          <w:szCs w:val="24"/>
        </w:rPr>
        <w:t>requirements should be less complex and rigorous than the other two higher tiers.</w:t>
      </w:r>
    </w:p>
    <w:p w:rsidRPr="00DF25C0" w:rsidR="00EE6AB1" w:rsidP="002042A2" w:rsidRDefault="00EE6AB1" w14:paraId="77248399" w14:textId="15707952">
      <w:pPr>
        <w:pStyle w:val="ListParagraph"/>
        <w:numPr>
          <w:ilvl w:val="0"/>
          <w:numId w:val="11"/>
        </w:numPr>
        <w:spacing w:after="240"/>
        <w:rPr>
          <w:sz w:val="24"/>
          <w:szCs w:val="24"/>
        </w:rPr>
      </w:pPr>
      <w:r w:rsidRPr="00DF25C0">
        <w:rPr>
          <w:sz w:val="24"/>
          <w:szCs w:val="24"/>
        </w:rPr>
        <w:t>It is reasonable that</w:t>
      </w:r>
      <w:r w:rsidRPr="00DF25C0" w:rsidR="001B3E45">
        <w:rPr>
          <w:sz w:val="24"/>
          <w:szCs w:val="24"/>
        </w:rPr>
        <w:t>,</w:t>
      </w:r>
      <w:r w:rsidRPr="00DF25C0">
        <w:rPr>
          <w:sz w:val="24"/>
          <w:szCs w:val="24"/>
        </w:rPr>
        <w:t xml:space="preserve"> for the Medium</w:t>
      </w:r>
      <w:r w:rsidRPr="00DF25C0" w:rsidR="00D33CC3">
        <w:rPr>
          <w:sz w:val="24"/>
          <w:szCs w:val="24"/>
        </w:rPr>
        <w:t xml:space="preserve"> Rigor</w:t>
      </w:r>
      <w:r w:rsidRPr="00DF25C0">
        <w:rPr>
          <w:sz w:val="24"/>
          <w:szCs w:val="24"/>
        </w:rPr>
        <w:t xml:space="preserve"> </w:t>
      </w:r>
      <w:r w:rsidRPr="00DF25C0" w:rsidR="00D33CC3">
        <w:rPr>
          <w:sz w:val="24"/>
          <w:szCs w:val="24"/>
        </w:rPr>
        <w:t xml:space="preserve">tier </w:t>
      </w:r>
      <w:r w:rsidRPr="00DF25C0">
        <w:rPr>
          <w:sz w:val="24"/>
          <w:szCs w:val="24"/>
        </w:rPr>
        <w:t>(From $25,000 to $100,000)</w:t>
      </w:r>
      <w:r w:rsidRPr="00DF25C0" w:rsidR="001B3E45">
        <w:rPr>
          <w:sz w:val="24"/>
          <w:szCs w:val="24"/>
        </w:rPr>
        <w:t>,</w:t>
      </w:r>
      <w:r w:rsidRPr="00DF25C0">
        <w:rPr>
          <w:sz w:val="24"/>
          <w:szCs w:val="24"/>
        </w:rPr>
        <w:t xml:space="preserve"> </w:t>
      </w:r>
      <w:r w:rsidRPr="00DF25C0" w:rsidR="001B3E45">
        <w:rPr>
          <w:sz w:val="24"/>
          <w:szCs w:val="24"/>
        </w:rPr>
        <w:t xml:space="preserve">the </w:t>
      </w:r>
      <w:r w:rsidRPr="00DF25C0">
        <w:rPr>
          <w:sz w:val="24"/>
          <w:szCs w:val="24"/>
        </w:rPr>
        <w:t>project developer (program administrator</w:t>
      </w:r>
      <w:r w:rsidRPr="00DF25C0" w:rsidR="001B3E45">
        <w:rPr>
          <w:sz w:val="24"/>
          <w:szCs w:val="24"/>
        </w:rPr>
        <w:t xml:space="preserve"> or </w:t>
      </w:r>
      <w:r w:rsidRPr="00DF25C0">
        <w:rPr>
          <w:sz w:val="24"/>
          <w:szCs w:val="24"/>
        </w:rPr>
        <w:t xml:space="preserve">third-party program implementer) gather additional supporting information to answer the question of whether the existing equipment can continue to operate. </w:t>
      </w:r>
    </w:p>
    <w:p w:rsidRPr="008C7EFA" w:rsidR="00EE6AB1" w:rsidP="008C7EFA" w:rsidRDefault="00EE6AB1" w14:paraId="43601202" w14:textId="756EA4F7">
      <w:pPr>
        <w:pStyle w:val="ListParagraph"/>
        <w:numPr>
          <w:ilvl w:val="0"/>
          <w:numId w:val="11"/>
        </w:numPr>
        <w:spacing w:after="240"/>
        <w:rPr>
          <w:sz w:val="24"/>
          <w:szCs w:val="24"/>
        </w:rPr>
      </w:pPr>
      <w:r w:rsidRPr="00DF25C0">
        <w:rPr>
          <w:sz w:val="24"/>
          <w:szCs w:val="24"/>
        </w:rPr>
        <w:t xml:space="preserve">The T2WG developed Customer Affidavit Statement as edited by </w:t>
      </w:r>
      <w:r w:rsidRPr="00DF25C0" w:rsidR="00D7208D">
        <w:rPr>
          <w:sz w:val="24"/>
          <w:szCs w:val="24"/>
        </w:rPr>
        <w:t xml:space="preserve">the </w:t>
      </w:r>
      <w:r w:rsidRPr="00DF25C0" w:rsidR="009E75FC">
        <w:rPr>
          <w:sz w:val="24"/>
          <w:szCs w:val="24"/>
        </w:rPr>
        <w:t>Public Advocates Office</w:t>
      </w:r>
      <w:r w:rsidRPr="00DF25C0">
        <w:rPr>
          <w:sz w:val="24"/>
          <w:szCs w:val="24"/>
        </w:rPr>
        <w:t xml:space="preserve"> is reasonable with modifications.  </w:t>
      </w:r>
    </w:p>
    <w:p w:rsidRPr="00DF25C0" w:rsidR="00EE6AB1" w:rsidP="002042A2" w:rsidRDefault="00EE6AB1" w14:paraId="579FB702" w14:textId="4D9F34E9">
      <w:pPr>
        <w:pStyle w:val="ListParagraph"/>
        <w:numPr>
          <w:ilvl w:val="0"/>
          <w:numId w:val="11"/>
        </w:numPr>
        <w:spacing w:after="240"/>
        <w:rPr>
          <w:sz w:val="24"/>
          <w:szCs w:val="24"/>
        </w:rPr>
      </w:pPr>
      <w:r w:rsidRPr="00DF25C0">
        <w:rPr>
          <w:sz w:val="24"/>
          <w:szCs w:val="24"/>
        </w:rPr>
        <w:lastRenderedPageBreak/>
        <w:t>The T2WG</w:t>
      </w:r>
      <w:r w:rsidRPr="00DF25C0" w:rsidR="001B3E45">
        <w:rPr>
          <w:sz w:val="24"/>
          <w:szCs w:val="24"/>
        </w:rPr>
        <w:t>-</w:t>
      </w:r>
      <w:r w:rsidRPr="00DF25C0">
        <w:rPr>
          <w:sz w:val="24"/>
          <w:szCs w:val="24"/>
        </w:rPr>
        <w:t xml:space="preserve">developed Customer Questionnaire to support equipment viability and program influence is not acceptable as it includes questions that could be </w:t>
      </w:r>
      <w:r w:rsidRPr="00DF25C0" w:rsidR="001B1D4A">
        <w:rPr>
          <w:sz w:val="24"/>
          <w:szCs w:val="24"/>
        </w:rPr>
        <w:t>interpreted</w:t>
      </w:r>
      <w:r w:rsidRPr="00DF25C0">
        <w:rPr>
          <w:sz w:val="24"/>
          <w:szCs w:val="24"/>
        </w:rPr>
        <w:t xml:space="preserve"> as leading questions.</w:t>
      </w:r>
    </w:p>
    <w:p w:rsidRPr="00DF25C0" w:rsidR="00EE6AB1" w:rsidP="002042A2" w:rsidRDefault="00EE6AB1" w14:paraId="253CB13A" w14:textId="53EE92D5">
      <w:pPr>
        <w:pStyle w:val="ListParagraph"/>
        <w:numPr>
          <w:ilvl w:val="0"/>
          <w:numId w:val="11"/>
        </w:numPr>
        <w:spacing w:after="240"/>
        <w:rPr>
          <w:sz w:val="24"/>
          <w:szCs w:val="24"/>
        </w:rPr>
      </w:pPr>
      <w:r w:rsidRPr="00DF25C0">
        <w:rPr>
          <w:sz w:val="24"/>
          <w:szCs w:val="24"/>
        </w:rPr>
        <w:t xml:space="preserve">It is reasonable that in lieu of </w:t>
      </w:r>
      <w:r w:rsidR="00575AD3">
        <w:rPr>
          <w:sz w:val="24"/>
          <w:szCs w:val="24"/>
        </w:rPr>
        <w:t xml:space="preserve">using </w:t>
      </w:r>
      <w:r w:rsidRPr="00DF25C0">
        <w:rPr>
          <w:sz w:val="24"/>
          <w:szCs w:val="24"/>
        </w:rPr>
        <w:t xml:space="preserve">a questionnaire, we provide guidance on the minimum </w:t>
      </w:r>
      <w:r w:rsidR="00333F26">
        <w:rPr>
          <w:sz w:val="24"/>
          <w:szCs w:val="24"/>
        </w:rPr>
        <w:t>preponderance of evidence</w:t>
      </w:r>
      <w:r w:rsidRPr="00DF25C0" w:rsidR="00333F26">
        <w:rPr>
          <w:sz w:val="24"/>
          <w:szCs w:val="24"/>
        </w:rPr>
        <w:t xml:space="preserve"> </w:t>
      </w:r>
      <w:r w:rsidRPr="00DF25C0">
        <w:rPr>
          <w:sz w:val="24"/>
          <w:szCs w:val="24"/>
        </w:rPr>
        <w:t xml:space="preserve">requirements to support 1) program influence for all four </w:t>
      </w:r>
      <w:r w:rsidRPr="00DF25C0" w:rsidR="00D33CC3">
        <w:rPr>
          <w:sz w:val="24"/>
          <w:szCs w:val="24"/>
        </w:rPr>
        <w:t xml:space="preserve">rigor </w:t>
      </w:r>
      <w:r w:rsidR="00575AD3">
        <w:rPr>
          <w:sz w:val="24"/>
          <w:szCs w:val="24"/>
        </w:rPr>
        <w:t xml:space="preserve">customer incentive </w:t>
      </w:r>
      <w:r w:rsidRPr="00DF25C0">
        <w:rPr>
          <w:sz w:val="24"/>
          <w:szCs w:val="24"/>
        </w:rPr>
        <w:t xml:space="preserve">tiers and 2) equipment viability for the </w:t>
      </w:r>
      <w:r w:rsidR="00A36152">
        <w:rPr>
          <w:sz w:val="24"/>
          <w:szCs w:val="24"/>
        </w:rPr>
        <w:t>‘</w:t>
      </w:r>
      <w:r w:rsidRPr="00DF25C0">
        <w:rPr>
          <w:sz w:val="24"/>
          <w:szCs w:val="24"/>
        </w:rPr>
        <w:t xml:space="preserve">Full </w:t>
      </w:r>
      <w:r w:rsidRPr="00DF25C0" w:rsidR="00D33CC3">
        <w:rPr>
          <w:sz w:val="24"/>
          <w:szCs w:val="24"/>
        </w:rPr>
        <w:t>Rigor</w:t>
      </w:r>
      <w:r w:rsidR="00A36152">
        <w:rPr>
          <w:sz w:val="24"/>
          <w:szCs w:val="24"/>
        </w:rPr>
        <w:t>’ customer incentive level</w:t>
      </w:r>
      <w:r w:rsidRPr="00DF25C0" w:rsidR="00D33CC3">
        <w:rPr>
          <w:sz w:val="24"/>
          <w:szCs w:val="24"/>
        </w:rPr>
        <w:t xml:space="preserve"> tier</w:t>
      </w:r>
      <w:r w:rsidRPr="00DF25C0">
        <w:rPr>
          <w:sz w:val="24"/>
          <w:szCs w:val="24"/>
        </w:rPr>
        <w:t xml:space="preserve">. </w:t>
      </w:r>
    </w:p>
    <w:p w:rsidR="00EE6AB1" w:rsidP="002042A2" w:rsidRDefault="00EE6AB1" w14:paraId="2467CE52" w14:textId="0283D704">
      <w:pPr>
        <w:pStyle w:val="standard"/>
        <w:numPr>
          <w:ilvl w:val="0"/>
          <w:numId w:val="11"/>
        </w:numPr>
        <w:spacing w:line="240" w:lineRule="auto"/>
        <w:rPr>
          <w:rFonts w:ascii="Palatino Linotype" w:hAnsi="Palatino Linotype"/>
          <w:sz w:val="24"/>
          <w:szCs w:val="24"/>
        </w:rPr>
      </w:pPr>
      <w:r w:rsidRPr="00DF25C0">
        <w:rPr>
          <w:rFonts w:ascii="Palatino Linotype" w:hAnsi="Palatino Linotype"/>
          <w:sz w:val="24"/>
          <w:szCs w:val="24"/>
        </w:rPr>
        <w:t xml:space="preserve">As the T2WG discussions focused on custom projects, it is reasonable that CPUC staff convene a workshop to determine the appropriate incentive </w:t>
      </w:r>
      <w:r w:rsidRPr="00DF25C0" w:rsidR="00D33CC3">
        <w:rPr>
          <w:rFonts w:ascii="Palatino Linotype" w:hAnsi="Palatino Linotype"/>
          <w:sz w:val="24"/>
          <w:szCs w:val="24"/>
        </w:rPr>
        <w:t xml:space="preserve">rigor level </w:t>
      </w:r>
      <w:r w:rsidRPr="00DF25C0">
        <w:rPr>
          <w:rFonts w:ascii="Palatino Linotype" w:hAnsi="Palatino Linotype"/>
          <w:sz w:val="24"/>
          <w:szCs w:val="24"/>
        </w:rPr>
        <w:t>tier</w:t>
      </w:r>
      <w:r w:rsidRPr="00DF25C0" w:rsidR="00D33CC3">
        <w:rPr>
          <w:rFonts w:ascii="Palatino Linotype" w:hAnsi="Palatino Linotype"/>
          <w:sz w:val="24"/>
          <w:szCs w:val="24"/>
        </w:rPr>
        <w:t>s</w:t>
      </w:r>
      <w:r w:rsidRPr="00DF25C0">
        <w:rPr>
          <w:rFonts w:ascii="Palatino Linotype" w:hAnsi="Palatino Linotype"/>
          <w:sz w:val="24"/>
          <w:szCs w:val="24"/>
        </w:rPr>
        <w:t xml:space="preserve"> </w:t>
      </w:r>
      <w:r w:rsidRPr="00DF25C0" w:rsidR="001B1D4A">
        <w:rPr>
          <w:rFonts w:ascii="Palatino Linotype" w:hAnsi="Palatino Linotype"/>
          <w:sz w:val="24"/>
          <w:szCs w:val="24"/>
        </w:rPr>
        <w:t>and</w:t>
      </w:r>
      <w:r w:rsidRPr="00DF25C0" w:rsidR="00D33CC3">
        <w:rPr>
          <w:rFonts w:ascii="Palatino Linotype" w:hAnsi="Palatino Linotype"/>
          <w:sz w:val="24"/>
          <w:szCs w:val="24"/>
        </w:rPr>
        <w:t xml:space="preserve"> the</w:t>
      </w:r>
      <w:r w:rsidRPr="00DF25C0" w:rsidR="001B1D4A">
        <w:rPr>
          <w:rFonts w:ascii="Palatino Linotype" w:hAnsi="Palatino Linotype"/>
          <w:sz w:val="24"/>
          <w:szCs w:val="24"/>
        </w:rPr>
        <w:t xml:space="preserve"> information requirements</w:t>
      </w:r>
      <w:r w:rsidRPr="00DF25C0">
        <w:rPr>
          <w:rFonts w:ascii="Palatino Linotype" w:hAnsi="Palatino Linotype"/>
          <w:sz w:val="24"/>
          <w:szCs w:val="24"/>
        </w:rPr>
        <w:t xml:space="preserve"> for </w:t>
      </w:r>
      <w:r w:rsidR="00F1792F">
        <w:rPr>
          <w:rFonts w:ascii="Palatino Linotype" w:hAnsi="Palatino Linotype"/>
          <w:sz w:val="24"/>
          <w:szCs w:val="24"/>
        </w:rPr>
        <w:t>preponderance of evidence</w:t>
      </w:r>
      <w:r w:rsidRPr="00DF25C0" w:rsidR="00F1792F">
        <w:rPr>
          <w:rFonts w:ascii="Palatino Linotype" w:hAnsi="Palatino Linotype"/>
          <w:sz w:val="24"/>
          <w:szCs w:val="24"/>
        </w:rPr>
        <w:t xml:space="preserve"> </w:t>
      </w:r>
      <w:r w:rsidRPr="00DF25C0">
        <w:rPr>
          <w:rFonts w:ascii="Palatino Linotype" w:hAnsi="Palatino Linotype"/>
          <w:sz w:val="24"/>
          <w:szCs w:val="24"/>
        </w:rPr>
        <w:t>of deemed measures equipment viability to support an accelerated replacement baseline consideration.</w:t>
      </w:r>
    </w:p>
    <w:p w:rsidRPr="00DF25C0" w:rsidR="00A36152" w:rsidP="002042A2" w:rsidRDefault="00D54836" w14:paraId="411CD3CD" w14:textId="16DC5B92">
      <w:pPr>
        <w:pStyle w:val="standard"/>
        <w:numPr>
          <w:ilvl w:val="0"/>
          <w:numId w:val="11"/>
        </w:numPr>
        <w:spacing w:line="240" w:lineRule="auto"/>
        <w:rPr>
          <w:rFonts w:ascii="Palatino Linotype" w:hAnsi="Palatino Linotype"/>
          <w:sz w:val="24"/>
          <w:szCs w:val="24"/>
        </w:rPr>
      </w:pPr>
      <w:r>
        <w:rPr>
          <w:rFonts w:ascii="Palatino Linotype" w:hAnsi="Palatino Linotype"/>
          <w:sz w:val="24"/>
          <w:szCs w:val="24"/>
        </w:rPr>
        <w:t xml:space="preserve">It is reasonable to set a process to </w:t>
      </w:r>
      <w:r w:rsidR="001E74DF">
        <w:rPr>
          <w:rFonts w:ascii="Palatino Linotype" w:hAnsi="Palatino Linotype"/>
          <w:sz w:val="24"/>
          <w:szCs w:val="24"/>
        </w:rPr>
        <w:t xml:space="preserve">maintain and update the </w:t>
      </w:r>
      <w:r w:rsidR="00F1792F">
        <w:rPr>
          <w:rFonts w:ascii="Palatino Linotype" w:hAnsi="Palatino Linotype"/>
          <w:sz w:val="24"/>
          <w:szCs w:val="24"/>
        </w:rPr>
        <w:t xml:space="preserve">Preponderance of evidence Guidance </w:t>
      </w:r>
      <w:r w:rsidR="001E74DF">
        <w:rPr>
          <w:rFonts w:ascii="Palatino Linotype" w:hAnsi="Palatino Linotype"/>
          <w:sz w:val="24"/>
          <w:szCs w:val="24"/>
        </w:rPr>
        <w:t>for accelerated replacement measure type</w:t>
      </w:r>
      <w:r w:rsidR="00ED0651">
        <w:rPr>
          <w:rFonts w:ascii="Palatino Linotype" w:hAnsi="Palatino Linotype"/>
          <w:sz w:val="24"/>
          <w:szCs w:val="24"/>
        </w:rPr>
        <w:t>.</w:t>
      </w:r>
    </w:p>
    <w:bookmarkEnd w:id="42"/>
    <w:bookmarkEnd w:id="43"/>
    <w:p w:rsidR="00B333E7" w:rsidP="003E7356" w:rsidRDefault="00B333E7" w14:paraId="1B2CCE6A" w14:textId="74AAE720">
      <w:pPr>
        <w:spacing w:after="0"/>
        <w:rPr>
          <w:sz w:val="24"/>
          <w:szCs w:val="24"/>
        </w:rPr>
      </w:pPr>
    </w:p>
    <w:p w:rsidRPr="003E7356" w:rsidR="003E7356" w:rsidP="003E7356" w:rsidRDefault="003E7356" w14:paraId="5B719C27" w14:textId="77777777">
      <w:pPr>
        <w:spacing w:after="0"/>
        <w:rPr>
          <w:rFonts w:cs="Calibri"/>
          <w:color w:val="000000"/>
          <w:sz w:val="24"/>
          <w:szCs w:val="24"/>
        </w:rPr>
      </w:pPr>
    </w:p>
    <w:p w:rsidRPr="00DF25C0" w:rsidR="00EF6CE0" w:rsidP="000155BD" w:rsidRDefault="000B317B" w14:paraId="20F780AA" w14:textId="02E8F5CC">
      <w:pPr>
        <w:spacing w:after="0"/>
        <w:rPr>
          <w:rFonts w:eastAsia="Times New Roman" w:cs="Arial"/>
          <w:b/>
          <w:color w:val="000000"/>
          <w:sz w:val="24"/>
          <w:szCs w:val="24"/>
          <w:u w:val="single"/>
        </w:rPr>
      </w:pPr>
      <w:r w:rsidRPr="00DF25C0">
        <w:rPr>
          <w:rFonts w:eastAsia="Times New Roman" w:cs="Arial"/>
          <w:b/>
          <w:color w:val="000000"/>
          <w:sz w:val="24"/>
          <w:szCs w:val="24"/>
          <w:u w:val="single"/>
        </w:rPr>
        <w:t>THEREFORE</w:t>
      </w:r>
      <w:r w:rsidRPr="00DF25C0" w:rsidR="001B1D4A">
        <w:rPr>
          <w:rFonts w:eastAsia="Times New Roman" w:cs="Arial"/>
          <w:b/>
          <w:color w:val="000000"/>
          <w:sz w:val="24"/>
          <w:szCs w:val="24"/>
          <w:u w:val="single"/>
        </w:rPr>
        <w:t>,</w:t>
      </w:r>
      <w:r w:rsidRPr="00DF25C0">
        <w:rPr>
          <w:rFonts w:eastAsia="Times New Roman" w:cs="Arial"/>
          <w:b/>
          <w:color w:val="000000"/>
          <w:sz w:val="24"/>
          <w:szCs w:val="24"/>
          <w:u w:val="single"/>
        </w:rPr>
        <w:t xml:space="preserve"> IT IS ORDERED THAT:</w:t>
      </w:r>
    </w:p>
    <w:p w:rsidRPr="00DF25C0" w:rsidR="000155BD" w:rsidP="000155BD" w:rsidRDefault="000155BD" w14:paraId="1C49A483" w14:textId="77777777">
      <w:pPr>
        <w:spacing w:after="0"/>
        <w:rPr>
          <w:rFonts w:eastAsia="Times New Roman" w:cs="Arial"/>
          <w:color w:val="000000"/>
          <w:sz w:val="24"/>
          <w:szCs w:val="24"/>
          <w:highlight w:val="cyan"/>
        </w:rPr>
      </w:pPr>
    </w:p>
    <w:p w:rsidRPr="00DF25C0" w:rsidR="00113013" w:rsidP="002042A2" w:rsidRDefault="00113013" w14:paraId="77DF8CD9" w14:textId="1C9EDF1C">
      <w:pPr>
        <w:pStyle w:val="ListParagraph"/>
        <w:numPr>
          <w:ilvl w:val="0"/>
          <w:numId w:val="12"/>
        </w:numPr>
        <w:spacing w:after="240"/>
        <w:rPr>
          <w:sz w:val="24"/>
          <w:szCs w:val="24"/>
        </w:rPr>
      </w:pPr>
      <w:r w:rsidRPr="00DF25C0">
        <w:rPr>
          <w:sz w:val="24"/>
          <w:szCs w:val="24"/>
        </w:rPr>
        <w:t>The tiers and associated</w:t>
      </w:r>
      <w:r w:rsidR="00437DBD">
        <w:rPr>
          <w:sz w:val="24"/>
          <w:szCs w:val="24"/>
        </w:rPr>
        <w:t xml:space="preserve"> customer</w:t>
      </w:r>
      <w:r w:rsidRPr="00DF25C0">
        <w:rPr>
          <w:sz w:val="24"/>
          <w:szCs w:val="24"/>
        </w:rPr>
        <w:t xml:space="preserve"> incentive level</w:t>
      </w:r>
      <w:r w:rsidRPr="00DF25C0" w:rsidR="001B3E45">
        <w:rPr>
          <w:sz w:val="24"/>
          <w:szCs w:val="24"/>
        </w:rPr>
        <w:t>s</w:t>
      </w:r>
      <w:r w:rsidRPr="00DF25C0">
        <w:rPr>
          <w:sz w:val="24"/>
          <w:szCs w:val="24"/>
        </w:rPr>
        <w:t xml:space="preserve"> for </w:t>
      </w:r>
      <w:r w:rsidRPr="00DF25C0" w:rsidR="001B3E45">
        <w:rPr>
          <w:sz w:val="24"/>
          <w:szCs w:val="24"/>
        </w:rPr>
        <w:t xml:space="preserve">the </w:t>
      </w:r>
      <w:r w:rsidRPr="00DF25C0">
        <w:rPr>
          <w:sz w:val="24"/>
          <w:szCs w:val="24"/>
        </w:rPr>
        <w:t>preponderance of evidence requirement</w:t>
      </w:r>
      <w:r w:rsidR="00437DBD">
        <w:rPr>
          <w:sz w:val="24"/>
          <w:szCs w:val="24"/>
        </w:rPr>
        <w:t xml:space="preserve"> for the accelerated replacement measure application type</w:t>
      </w:r>
      <w:r w:rsidRPr="00DF25C0">
        <w:rPr>
          <w:sz w:val="24"/>
          <w:szCs w:val="24"/>
        </w:rPr>
        <w:t xml:space="preserve"> is adopted herein as follow:</w:t>
      </w:r>
    </w:p>
    <w:p w:rsidRPr="00DF25C0" w:rsidR="00113013" w:rsidP="00113013" w:rsidRDefault="00113013" w14:paraId="562B60E2" w14:textId="4A689EBD">
      <w:pPr>
        <w:pStyle w:val="ListParagraph"/>
        <w:spacing w:after="240"/>
        <w:ind w:left="1260"/>
        <w:rPr>
          <w:sz w:val="24"/>
          <w:szCs w:val="24"/>
        </w:rPr>
      </w:pPr>
      <w:r w:rsidRPr="00DF25C0">
        <w:rPr>
          <w:sz w:val="24"/>
          <w:szCs w:val="24"/>
        </w:rPr>
        <w:t>a. “Full Rigor” tier for the largest projects, with incentives $100,000</w:t>
      </w:r>
      <w:r w:rsidR="005A58A5">
        <w:rPr>
          <w:sz w:val="24"/>
          <w:szCs w:val="24"/>
        </w:rPr>
        <w:t xml:space="preserve"> and greater</w:t>
      </w:r>
      <w:r w:rsidRPr="00DF25C0">
        <w:rPr>
          <w:sz w:val="24"/>
          <w:szCs w:val="24"/>
        </w:rPr>
        <w:t xml:space="preserve">, </w:t>
      </w:r>
    </w:p>
    <w:p w:rsidRPr="00DF25C0" w:rsidR="00113013" w:rsidP="00113013" w:rsidRDefault="00113013" w14:paraId="5930A846" w14:textId="635D33FC">
      <w:pPr>
        <w:pStyle w:val="ListParagraph"/>
        <w:spacing w:after="240"/>
        <w:ind w:left="1260"/>
        <w:rPr>
          <w:sz w:val="24"/>
          <w:szCs w:val="24"/>
        </w:rPr>
      </w:pPr>
      <w:r w:rsidRPr="00DF25C0">
        <w:rPr>
          <w:sz w:val="24"/>
          <w:szCs w:val="24"/>
        </w:rPr>
        <w:t xml:space="preserve">b. “Medium Rigor” tier for projects with incentives between $25,000 and </w:t>
      </w:r>
      <w:r w:rsidR="009025D8">
        <w:rPr>
          <w:sz w:val="24"/>
          <w:szCs w:val="24"/>
        </w:rPr>
        <w:t xml:space="preserve">less than </w:t>
      </w:r>
      <w:r w:rsidRPr="00DF25C0">
        <w:rPr>
          <w:sz w:val="24"/>
          <w:szCs w:val="24"/>
        </w:rPr>
        <w:t xml:space="preserve">$100,000, and </w:t>
      </w:r>
    </w:p>
    <w:p w:rsidRPr="00DF25C0" w:rsidR="00113013" w:rsidP="00113013" w:rsidRDefault="00113013" w14:paraId="3AB46E08" w14:textId="52C537B0">
      <w:pPr>
        <w:pStyle w:val="ListParagraph"/>
        <w:spacing w:after="240"/>
        <w:ind w:left="1260"/>
        <w:rPr>
          <w:sz w:val="24"/>
          <w:szCs w:val="24"/>
        </w:rPr>
      </w:pPr>
      <w:r w:rsidRPr="00DF25C0">
        <w:rPr>
          <w:sz w:val="24"/>
          <w:szCs w:val="24"/>
        </w:rPr>
        <w:t>c. “Low Rigor” tier for projects with incentives between $7,500 and</w:t>
      </w:r>
      <w:r w:rsidR="009025D8">
        <w:rPr>
          <w:sz w:val="24"/>
          <w:szCs w:val="24"/>
        </w:rPr>
        <w:t xml:space="preserve"> less than</w:t>
      </w:r>
      <w:r w:rsidRPr="00DF25C0">
        <w:rPr>
          <w:sz w:val="24"/>
          <w:szCs w:val="24"/>
        </w:rPr>
        <w:t xml:space="preserve"> $25,000.</w:t>
      </w:r>
    </w:p>
    <w:p w:rsidRPr="00DF25C0" w:rsidR="00113013" w:rsidP="00113013" w:rsidRDefault="00113013" w14:paraId="36EDF243" w14:textId="77777777">
      <w:pPr>
        <w:pStyle w:val="ListParagraph"/>
        <w:spacing w:after="240"/>
        <w:ind w:left="1260"/>
        <w:rPr>
          <w:sz w:val="24"/>
          <w:szCs w:val="24"/>
        </w:rPr>
      </w:pPr>
      <w:r w:rsidRPr="00DF25C0">
        <w:rPr>
          <w:sz w:val="24"/>
          <w:szCs w:val="24"/>
        </w:rPr>
        <w:t>d. “Very Low Rigor” tier for project with incentives less than $7,500.</w:t>
      </w:r>
    </w:p>
    <w:p w:rsidR="00437DBD" w:rsidP="002042A2" w:rsidRDefault="00437DBD" w14:paraId="05BEF056" w14:textId="1772FA6E">
      <w:pPr>
        <w:pStyle w:val="ListParagraph"/>
        <w:numPr>
          <w:ilvl w:val="0"/>
          <w:numId w:val="12"/>
        </w:numPr>
        <w:spacing w:after="240"/>
        <w:rPr>
          <w:sz w:val="24"/>
          <w:szCs w:val="24"/>
        </w:rPr>
      </w:pPr>
      <w:r>
        <w:rPr>
          <w:sz w:val="24"/>
          <w:szCs w:val="24"/>
        </w:rPr>
        <w:t xml:space="preserve">A </w:t>
      </w:r>
      <w:r w:rsidR="00A061BC">
        <w:rPr>
          <w:sz w:val="24"/>
          <w:szCs w:val="24"/>
        </w:rPr>
        <w:t>program administrator</w:t>
      </w:r>
      <w:r>
        <w:rPr>
          <w:sz w:val="24"/>
          <w:szCs w:val="24"/>
        </w:rPr>
        <w:t xml:space="preserve"> must avoid disaggregating custom project measures into multiple customer application that are </w:t>
      </w:r>
      <w:proofErr w:type="gramStart"/>
      <w:r>
        <w:rPr>
          <w:sz w:val="24"/>
          <w:szCs w:val="24"/>
        </w:rPr>
        <w:t>actually a</w:t>
      </w:r>
      <w:proofErr w:type="gramEnd"/>
      <w:r>
        <w:rPr>
          <w:sz w:val="24"/>
          <w:szCs w:val="24"/>
        </w:rPr>
        <w:t xml:space="preserve"> single activity carried out in phases or separate a project into multiple applications that act to avoid the customer incentive level thresholds.</w:t>
      </w:r>
      <w:r w:rsidR="00D20D23">
        <w:rPr>
          <w:sz w:val="24"/>
          <w:szCs w:val="24"/>
        </w:rPr>
        <w:t xml:space="preserve">  </w:t>
      </w:r>
      <w:r w:rsidR="001C5FA8">
        <w:rPr>
          <w:sz w:val="24"/>
          <w:szCs w:val="24"/>
        </w:rPr>
        <w:t xml:space="preserve">A program administrator will inform CPUC staff in its bi-monthly projects summary list submissions should an activity or </w:t>
      </w:r>
      <w:r w:rsidR="001C5FA8">
        <w:rPr>
          <w:sz w:val="24"/>
          <w:szCs w:val="24"/>
        </w:rPr>
        <w:lastRenderedPageBreak/>
        <w:t>project must be split into multiple applications and provide the rationale for CPUC staff’s approval.</w:t>
      </w:r>
      <w:r>
        <w:rPr>
          <w:sz w:val="24"/>
          <w:szCs w:val="24"/>
        </w:rPr>
        <w:t xml:space="preserve">  </w:t>
      </w:r>
    </w:p>
    <w:p w:rsidRPr="00DF25C0" w:rsidR="00113013" w:rsidP="002042A2" w:rsidRDefault="00BC1617" w14:paraId="6173C782" w14:textId="04B36E64">
      <w:pPr>
        <w:pStyle w:val="ListParagraph"/>
        <w:numPr>
          <w:ilvl w:val="0"/>
          <w:numId w:val="12"/>
        </w:numPr>
        <w:spacing w:after="240"/>
        <w:rPr>
          <w:sz w:val="24"/>
          <w:szCs w:val="24"/>
        </w:rPr>
      </w:pPr>
      <w:r w:rsidRPr="00DF25C0">
        <w:rPr>
          <w:sz w:val="24"/>
          <w:szCs w:val="24"/>
        </w:rPr>
        <w:t>For</w:t>
      </w:r>
      <w:r w:rsidRPr="00DF25C0" w:rsidR="00113013">
        <w:rPr>
          <w:sz w:val="24"/>
          <w:szCs w:val="24"/>
        </w:rPr>
        <w:t xml:space="preserve"> the, Very Low</w:t>
      </w:r>
      <w:r w:rsidR="005E36C4">
        <w:rPr>
          <w:sz w:val="24"/>
          <w:szCs w:val="24"/>
        </w:rPr>
        <w:t>,</w:t>
      </w:r>
      <w:r w:rsidRPr="00DF25C0" w:rsidR="00113013">
        <w:rPr>
          <w:sz w:val="24"/>
          <w:szCs w:val="24"/>
        </w:rPr>
        <w:t xml:space="preserve"> </w:t>
      </w:r>
      <w:r w:rsidRPr="00DF25C0" w:rsidR="005E36C4">
        <w:rPr>
          <w:sz w:val="24"/>
          <w:szCs w:val="24"/>
        </w:rPr>
        <w:t>Low</w:t>
      </w:r>
      <w:r w:rsidR="005E36C4">
        <w:rPr>
          <w:sz w:val="24"/>
          <w:szCs w:val="24"/>
        </w:rPr>
        <w:t>,</w:t>
      </w:r>
      <w:r w:rsidRPr="00DF25C0" w:rsidR="005E36C4">
        <w:rPr>
          <w:sz w:val="24"/>
          <w:szCs w:val="24"/>
        </w:rPr>
        <w:t xml:space="preserve"> and Medium </w:t>
      </w:r>
      <w:r w:rsidRPr="00DF25C0" w:rsidR="00113013">
        <w:rPr>
          <w:sz w:val="24"/>
          <w:szCs w:val="24"/>
        </w:rPr>
        <w:t>Rigor</w:t>
      </w:r>
      <w:r w:rsidR="00D0257A">
        <w:rPr>
          <w:sz w:val="24"/>
          <w:szCs w:val="24"/>
        </w:rPr>
        <w:t xml:space="preserve"> customer incentive</w:t>
      </w:r>
      <w:r w:rsidRPr="00DF25C0" w:rsidR="00113013">
        <w:rPr>
          <w:sz w:val="24"/>
          <w:szCs w:val="24"/>
        </w:rPr>
        <w:t xml:space="preserve"> </w:t>
      </w:r>
      <w:r w:rsidRPr="00DF25C0">
        <w:rPr>
          <w:sz w:val="24"/>
          <w:szCs w:val="24"/>
        </w:rPr>
        <w:t>tiers</w:t>
      </w:r>
      <w:r w:rsidRPr="00DF25C0" w:rsidR="00113013">
        <w:rPr>
          <w:sz w:val="24"/>
          <w:szCs w:val="24"/>
        </w:rPr>
        <w:t xml:space="preserve">, we adopt the evidence of equipment viability requirements in Table </w:t>
      </w:r>
      <w:r w:rsidR="00666613">
        <w:rPr>
          <w:sz w:val="24"/>
          <w:szCs w:val="24"/>
        </w:rPr>
        <w:t>5 of this Resolution</w:t>
      </w:r>
      <w:r w:rsidRPr="00DF25C0" w:rsidR="00666613">
        <w:rPr>
          <w:sz w:val="24"/>
          <w:szCs w:val="24"/>
        </w:rPr>
        <w:t xml:space="preserve"> </w:t>
      </w:r>
      <w:r w:rsidRPr="00DF25C0">
        <w:rPr>
          <w:sz w:val="24"/>
          <w:szCs w:val="24"/>
        </w:rPr>
        <w:t>for custom projects</w:t>
      </w:r>
      <w:r w:rsidRPr="00DF25C0" w:rsidR="00113013">
        <w:rPr>
          <w:sz w:val="24"/>
          <w:szCs w:val="24"/>
        </w:rPr>
        <w:t xml:space="preserve">. </w:t>
      </w:r>
    </w:p>
    <w:p w:rsidRPr="00DF25C0" w:rsidR="00113013" w:rsidP="002042A2" w:rsidRDefault="00113013" w14:paraId="31B9B7E5" w14:textId="2BEA7E8A">
      <w:pPr>
        <w:pStyle w:val="ListParagraph"/>
        <w:numPr>
          <w:ilvl w:val="0"/>
          <w:numId w:val="12"/>
        </w:numPr>
        <w:spacing w:after="240"/>
        <w:rPr>
          <w:sz w:val="24"/>
          <w:szCs w:val="24"/>
        </w:rPr>
      </w:pPr>
      <w:r w:rsidRPr="00DF25C0">
        <w:rPr>
          <w:sz w:val="24"/>
          <w:szCs w:val="24"/>
        </w:rPr>
        <w:t xml:space="preserve">We adopt the </w:t>
      </w:r>
      <w:r w:rsidR="002F772D">
        <w:rPr>
          <w:sz w:val="24"/>
          <w:szCs w:val="24"/>
        </w:rPr>
        <w:t xml:space="preserve">use of the </w:t>
      </w:r>
      <w:r w:rsidRPr="00DF25C0">
        <w:rPr>
          <w:sz w:val="24"/>
          <w:szCs w:val="24"/>
        </w:rPr>
        <w:t>Customer Affidavit Statement</w:t>
      </w:r>
      <w:r w:rsidRPr="00DF25C0" w:rsidR="00B46F5F">
        <w:rPr>
          <w:sz w:val="24"/>
          <w:szCs w:val="24"/>
        </w:rPr>
        <w:t xml:space="preserve"> as modified</w:t>
      </w:r>
      <w:r w:rsidRPr="00DF25C0">
        <w:rPr>
          <w:sz w:val="24"/>
          <w:szCs w:val="24"/>
        </w:rPr>
        <w:t xml:space="preserve"> as a requirement to support equipment viability for the Very Low, Low, Medium, and Full </w:t>
      </w:r>
      <w:r w:rsidRPr="00DF25C0" w:rsidR="00A5559A">
        <w:rPr>
          <w:sz w:val="24"/>
          <w:szCs w:val="24"/>
        </w:rPr>
        <w:t xml:space="preserve">Rigor </w:t>
      </w:r>
      <w:r w:rsidR="00D0257A">
        <w:rPr>
          <w:sz w:val="24"/>
          <w:szCs w:val="24"/>
        </w:rPr>
        <w:t xml:space="preserve">customer incentive level </w:t>
      </w:r>
      <w:r w:rsidRPr="00DF25C0">
        <w:rPr>
          <w:sz w:val="24"/>
          <w:szCs w:val="24"/>
        </w:rPr>
        <w:t xml:space="preserve">tiers.  </w:t>
      </w:r>
    </w:p>
    <w:p w:rsidRPr="00DF25C0" w:rsidR="00113013" w:rsidP="002042A2" w:rsidRDefault="001C5FA8" w14:paraId="3CD094B9" w14:textId="64D174C4">
      <w:pPr>
        <w:pStyle w:val="ListParagraph"/>
        <w:numPr>
          <w:ilvl w:val="0"/>
          <w:numId w:val="12"/>
        </w:numPr>
        <w:spacing w:after="240"/>
        <w:rPr>
          <w:sz w:val="24"/>
          <w:szCs w:val="24"/>
        </w:rPr>
      </w:pPr>
      <w:r>
        <w:rPr>
          <w:sz w:val="24"/>
          <w:szCs w:val="24"/>
        </w:rPr>
        <w:t>Program administrators</w:t>
      </w:r>
      <w:r w:rsidRPr="00DF25C0" w:rsidR="00113013">
        <w:rPr>
          <w:sz w:val="24"/>
          <w:szCs w:val="24"/>
        </w:rPr>
        <w:t xml:space="preserve"> shall follow </w:t>
      </w:r>
      <w:r w:rsidR="0031346F">
        <w:rPr>
          <w:sz w:val="24"/>
          <w:szCs w:val="24"/>
        </w:rPr>
        <w:t>the</w:t>
      </w:r>
      <w:r w:rsidRPr="00DF25C0" w:rsidR="0031346F">
        <w:rPr>
          <w:sz w:val="24"/>
          <w:szCs w:val="24"/>
        </w:rPr>
        <w:t xml:space="preserve"> </w:t>
      </w:r>
      <w:r w:rsidRPr="00DF25C0" w:rsidR="00113013">
        <w:rPr>
          <w:sz w:val="24"/>
          <w:szCs w:val="24"/>
        </w:rPr>
        <w:t>minimum requirement</w:t>
      </w:r>
      <w:r w:rsidRPr="00DF25C0" w:rsidR="002110D0">
        <w:rPr>
          <w:sz w:val="24"/>
          <w:szCs w:val="24"/>
        </w:rPr>
        <w:t>s</w:t>
      </w:r>
      <w:r w:rsidRPr="00DF25C0" w:rsidR="00113013">
        <w:rPr>
          <w:sz w:val="24"/>
          <w:szCs w:val="24"/>
        </w:rPr>
        <w:t xml:space="preserve"> guidance</w:t>
      </w:r>
      <w:r w:rsidRPr="00DF25C0" w:rsidR="002110D0">
        <w:rPr>
          <w:sz w:val="24"/>
          <w:szCs w:val="24"/>
        </w:rPr>
        <w:t xml:space="preserve"> </w:t>
      </w:r>
      <w:r w:rsidRPr="00DF25C0" w:rsidR="00113013">
        <w:rPr>
          <w:sz w:val="24"/>
          <w:szCs w:val="24"/>
        </w:rPr>
        <w:t xml:space="preserve">as described in </w:t>
      </w:r>
      <w:r w:rsidR="00CA66D4">
        <w:rPr>
          <w:sz w:val="24"/>
          <w:szCs w:val="24"/>
        </w:rPr>
        <w:t>Section 4.4</w:t>
      </w:r>
      <w:r w:rsidR="009A3230">
        <w:rPr>
          <w:sz w:val="24"/>
          <w:szCs w:val="24"/>
        </w:rPr>
        <w:t xml:space="preserve">, </w:t>
      </w:r>
      <w:r w:rsidR="00F1792F">
        <w:rPr>
          <w:sz w:val="24"/>
          <w:szCs w:val="24"/>
        </w:rPr>
        <w:t xml:space="preserve">Preponderance of Evidence </w:t>
      </w:r>
      <w:r w:rsidR="009A3230">
        <w:rPr>
          <w:sz w:val="24"/>
          <w:szCs w:val="24"/>
        </w:rPr>
        <w:t>Requirements</w:t>
      </w:r>
      <w:r w:rsidRPr="00DF25C0" w:rsidR="009A3230">
        <w:rPr>
          <w:sz w:val="24"/>
          <w:szCs w:val="24"/>
        </w:rPr>
        <w:t xml:space="preserve"> </w:t>
      </w:r>
      <w:r w:rsidR="009A3230">
        <w:rPr>
          <w:sz w:val="24"/>
          <w:szCs w:val="24"/>
        </w:rPr>
        <w:t xml:space="preserve">for Accelerated Replacements for the </w:t>
      </w:r>
      <w:r w:rsidR="00172F13">
        <w:rPr>
          <w:sz w:val="24"/>
          <w:szCs w:val="24"/>
        </w:rPr>
        <w:t>Full Rigor</w:t>
      </w:r>
      <w:r w:rsidR="009A3230">
        <w:rPr>
          <w:sz w:val="24"/>
          <w:szCs w:val="24"/>
        </w:rPr>
        <w:t xml:space="preserve"> Customer Incentive </w:t>
      </w:r>
      <w:r w:rsidR="00A7470E">
        <w:rPr>
          <w:sz w:val="24"/>
          <w:szCs w:val="24"/>
        </w:rPr>
        <w:t>Leve</w:t>
      </w:r>
      <w:r w:rsidR="00172F13">
        <w:rPr>
          <w:sz w:val="24"/>
          <w:szCs w:val="24"/>
        </w:rPr>
        <w:t xml:space="preserve"> Tier</w:t>
      </w:r>
      <w:r w:rsidR="00560703">
        <w:rPr>
          <w:sz w:val="24"/>
          <w:szCs w:val="24"/>
        </w:rPr>
        <w:t xml:space="preserve"> in this resolution</w:t>
      </w:r>
      <w:r w:rsidRPr="00DF25C0" w:rsidR="00113013">
        <w:rPr>
          <w:sz w:val="24"/>
          <w:szCs w:val="24"/>
        </w:rPr>
        <w:t xml:space="preserve">.  </w:t>
      </w:r>
    </w:p>
    <w:p w:rsidR="00317CEF" w:rsidP="002042A2" w:rsidRDefault="00113013" w14:paraId="4765698C" w14:textId="527961B0">
      <w:pPr>
        <w:pStyle w:val="ListParagraph"/>
        <w:numPr>
          <w:ilvl w:val="0"/>
          <w:numId w:val="12"/>
        </w:numPr>
        <w:spacing w:after="240"/>
        <w:rPr>
          <w:sz w:val="24"/>
          <w:szCs w:val="24"/>
        </w:rPr>
      </w:pPr>
      <w:r w:rsidRPr="00DF25C0">
        <w:rPr>
          <w:sz w:val="24"/>
          <w:szCs w:val="24"/>
        </w:rPr>
        <w:t>CPUC staff shall convene stakeholder workshop</w:t>
      </w:r>
      <w:r w:rsidR="00F357FF">
        <w:rPr>
          <w:sz w:val="24"/>
          <w:szCs w:val="24"/>
        </w:rPr>
        <w:t>(s)</w:t>
      </w:r>
      <w:r w:rsidRPr="00DF25C0">
        <w:rPr>
          <w:sz w:val="24"/>
          <w:szCs w:val="24"/>
        </w:rPr>
        <w:t xml:space="preserve"> within </w:t>
      </w:r>
      <w:r w:rsidR="00C030C1">
        <w:rPr>
          <w:sz w:val="24"/>
          <w:szCs w:val="24"/>
        </w:rPr>
        <w:t xml:space="preserve">90 </w:t>
      </w:r>
      <w:r w:rsidR="009730B7">
        <w:rPr>
          <w:sz w:val="24"/>
          <w:szCs w:val="24"/>
        </w:rPr>
        <w:t xml:space="preserve">calendar </w:t>
      </w:r>
      <w:r w:rsidRPr="00DF25C0">
        <w:rPr>
          <w:sz w:val="24"/>
          <w:szCs w:val="24"/>
        </w:rPr>
        <w:t xml:space="preserve">days from the effective date of this resolution to determine the appropriate incentive </w:t>
      </w:r>
      <w:r w:rsidRPr="00DF25C0" w:rsidR="002110D0">
        <w:rPr>
          <w:sz w:val="24"/>
          <w:szCs w:val="24"/>
        </w:rPr>
        <w:t xml:space="preserve">level </w:t>
      </w:r>
      <w:r w:rsidRPr="00DF25C0">
        <w:rPr>
          <w:sz w:val="24"/>
          <w:szCs w:val="24"/>
        </w:rPr>
        <w:t xml:space="preserve">tier </w:t>
      </w:r>
      <w:r w:rsidRPr="00DF25C0" w:rsidR="001B1D4A">
        <w:rPr>
          <w:sz w:val="24"/>
          <w:szCs w:val="24"/>
        </w:rPr>
        <w:t xml:space="preserve">and informational requirements </w:t>
      </w:r>
      <w:r w:rsidRPr="00DF25C0">
        <w:rPr>
          <w:sz w:val="24"/>
          <w:szCs w:val="24"/>
        </w:rPr>
        <w:t xml:space="preserve">for </w:t>
      </w:r>
      <w:r w:rsidR="00F1792F">
        <w:rPr>
          <w:sz w:val="24"/>
          <w:szCs w:val="24"/>
        </w:rPr>
        <w:t>the preponderance of evidence</w:t>
      </w:r>
      <w:r w:rsidRPr="00DF25C0" w:rsidR="00F1792F">
        <w:rPr>
          <w:sz w:val="24"/>
          <w:szCs w:val="24"/>
        </w:rPr>
        <w:t xml:space="preserve"> </w:t>
      </w:r>
      <w:r w:rsidRPr="00DF25C0">
        <w:rPr>
          <w:sz w:val="24"/>
          <w:szCs w:val="24"/>
        </w:rPr>
        <w:t>of deemed measures equipment viability</w:t>
      </w:r>
      <w:r w:rsidRPr="00DF25C0" w:rsidR="001B1D4A">
        <w:rPr>
          <w:sz w:val="24"/>
          <w:szCs w:val="24"/>
        </w:rPr>
        <w:t xml:space="preserve"> and program influence</w:t>
      </w:r>
      <w:r w:rsidRPr="00DF25C0">
        <w:rPr>
          <w:sz w:val="24"/>
          <w:szCs w:val="24"/>
        </w:rPr>
        <w:t xml:space="preserve"> to support an accelerated replacement baseline consideration.</w:t>
      </w:r>
      <w:r w:rsidRPr="00DF25C0" w:rsidR="001B1D4A">
        <w:rPr>
          <w:sz w:val="24"/>
          <w:szCs w:val="24"/>
        </w:rPr>
        <w:t xml:space="preserve"> </w:t>
      </w:r>
    </w:p>
    <w:p w:rsidRPr="00DF25C0" w:rsidR="00113013" w:rsidP="002042A2" w:rsidRDefault="00113013" w14:paraId="26A9446A" w14:textId="2E06CA0E">
      <w:pPr>
        <w:pStyle w:val="ListParagraph"/>
        <w:numPr>
          <w:ilvl w:val="0"/>
          <w:numId w:val="12"/>
        </w:numPr>
        <w:spacing w:after="240"/>
        <w:rPr>
          <w:sz w:val="24"/>
          <w:szCs w:val="24"/>
        </w:rPr>
      </w:pPr>
      <w:r w:rsidRPr="00DF25C0">
        <w:rPr>
          <w:sz w:val="24"/>
          <w:szCs w:val="24"/>
        </w:rPr>
        <w:t xml:space="preserve">CPUC staff shall update the existing </w:t>
      </w:r>
      <w:r w:rsidR="00F1792F">
        <w:rPr>
          <w:sz w:val="24"/>
          <w:szCs w:val="24"/>
        </w:rPr>
        <w:t>Preponderance of Evidence</w:t>
      </w:r>
      <w:r w:rsidRPr="00DF25C0" w:rsidR="00F1792F">
        <w:rPr>
          <w:sz w:val="24"/>
          <w:szCs w:val="24"/>
        </w:rPr>
        <w:t xml:space="preserve"> Guidance Document </w:t>
      </w:r>
      <w:r w:rsidR="00E95DAB">
        <w:rPr>
          <w:sz w:val="24"/>
          <w:szCs w:val="24"/>
        </w:rPr>
        <w:t>to include</w:t>
      </w:r>
      <w:r w:rsidRPr="00DF25C0">
        <w:rPr>
          <w:sz w:val="24"/>
          <w:szCs w:val="24"/>
        </w:rPr>
        <w:t xml:space="preserve"> the appropriate incentive tier levels</w:t>
      </w:r>
      <w:r w:rsidRPr="00DF25C0" w:rsidR="002B1D3B">
        <w:rPr>
          <w:sz w:val="24"/>
          <w:szCs w:val="24"/>
        </w:rPr>
        <w:t xml:space="preserve"> and information</w:t>
      </w:r>
      <w:r w:rsidR="00380CB0">
        <w:rPr>
          <w:sz w:val="24"/>
          <w:szCs w:val="24"/>
        </w:rPr>
        <w:t>al</w:t>
      </w:r>
      <w:r w:rsidRPr="00DF25C0" w:rsidR="002B1D3B">
        <w:rPr>
          <w:sz w:val="24"/>
          <w:szCs w:val="24"/>
        </w:rPr>
        <w:t xml:space="preserve"> requirements</w:t>
      </w:r>
      <w:r w:rsidRPr="00DF25C0">
        <w:rPr>
          <w:sz w:val="24"/>
          <w:szCs w:val="24"/>
        </w:rPr>
        <w:t xml:space="preserve"> for </w:t>
      </w:r>
      <w:r w:rsidR="00F1792F">
        <w:rPr>
          <w:sz w:val="24"/>
          <w:szCs w:val="24"/>
        </w:rPr>
        <w:t>preponderance of evidence</w:t>
      </w:r>
      <w:r w:rsidRPr="00DF25C0" w:rsidR="00F1792F">
        <w:rPr>
          <w:sz w:val="24"/>
          <w:szCs w:val="24"/>
        </w:rPr>
        <w:t xml:space="preserve"> </w:t>
      </w:r>
      <w:r w:rsidRPr="00DF25C0">
        <w:rPr>
          <w:sz w:val="24"/>
          <w:szCs w:val="24"/>
        </w:rPr>
        <w:t xml:space="preserve">of deemed measures equipment viability </w:t>
      </w:r>
      <w:r w:rsidRPr="00DF25C0" w:rsidR="002B1D3B">
        <w:rPr>
          <w:sz w:val="24"/>
          <w:szCs w:val="24"/>
        </w:rPr>
        <w:t xml:space="preserve">and program influence </w:t>
      </w:r>
      <w:r w:rsidRPr="00DF25C0">
        <w:rPr>
          <w:sz w:val="24"/>
          <w:szCs w:val="24"/>
        </w:rPr>
        <w:t xml:space="preserve">to support an accelerated replacement baseline consideration. </w:t>
      </w:r>
    </w:p>
    <w:p w:rsidRPr="00DF25C0" w:rsidR="00113013" w:rsidP="002042A2" w:rsidRDefault="00113013" w14:paraId="4356BCFE" w14:textId="03F27A6C">
      <w:pPr>
        <w:pStyle w:val="ListParagraph"/>
        <w:numPr>
          <w:ilvl w:val="0"/>
          <w:numId w:val="12"/>
        </w:numPr>
        <w:spacing w:after="240"/>
        <w:rPr>
          <w:sz w:val="24"/>
          <w:szCs w:val="24"/>
        </w:rPr>
      </w:pPr>
      <w:r w:rsidRPr="00DF25C0">
        <w:rPr>
          <w:sz w:val="24"/>
          <w:szCs w:val="24"/>
        </w:rPr>
        <w:t xml:space="preserve">CPUC staff shall update the existing </w:t>
      </w:r>
      <w:r w:rsidR="00F1792F">
        <w:rPr>
          <w:sz w:val="24"/>
          <w:szCs w:val="24"/>
        </w:rPr>
        <w:t>Preponderance of Evidence</w:t>
      </w:r>
      <w:r w:rsidRPr="00DF25C0" w:rsidR="00F1792F">
        <w:rPr>
          <w:sz w:val="24"/>
          <w:szCs w:val="24"/>
        </w:rPr>
        <w:t xml:space="preserve"> Guidance Document </w:t>
      </w:r>
      <w:r w:rsidRPr="00DF25C0" w:rsidR="000C0A46">
        <w:rPr>
          <w:sz w:val="24"/>
          <w:szCs w:val="24"/>
        </w:rPr>
        <w:t>with the guidance in</w:t>
      </w:r>
      <w:r w:rsidRPr="00DF25C0">
        <w:rPr>
          <w:sz w:val="24"/>
          <w:szCs w:val="24"/>
        </w:rPr>
        <w:t xml:space="preserve"> this resolution within </w:t>
      </w:r>
      <w:r w:rsidR="002F772D">
        <w:rPr>
          <w:sz w:val="24"/>
          <w:szCs w:val="24"/>
        </w:rPr>
        <w:t>45</w:t>
      </w:r>
      <w:r w:rsidRPr="00DF25C0" w:rsidR="002F772D">
        <w:rPr>
          <w:sz w:val="24"/>
          <w:szCs w:val="24"/>
        </w:rPr>
        <w:t xml:space="preserve"> </w:t>
      </w:r>
      <w:r w:rsidRPr="00DF25C0" w:rsidR="00B46F5F">
        <w:rPr>
          <w:sz w:val="24"/>
          <w:szCs w:val="24"/>
        </w:rPr>
        <w:t xml:space="preserve">calendar </w:t>
      </w:r>
      <w:r w:rsidRPr="00DF25C0">
        <w:rPr>
          <w:sz w:val="24"/>
          <w:szCs w:val="24"/>
        </w:rPr>
        <w:t>days from the effective date of this resolution and post the updated guidance document on the CPUC website</w:t>
      </w:r>
      <w:r w:rsidR="00551F02">
        <w:rPr>
          <w:rStyle w:val="FootnoteReference"/>
          <w:sz w:val="24"/>
          <w:szCs w:val="24"/>
        </w:rPr>
        <w:footnoteReference w:id="42"/>
      </w:r>
      <w:r w:rsidRPr="00DF25C0">
        <w:rPr>
          <w:sz w:val="24"/>
          <w:szCs w:val="24"/>
        </w:rPr>
        <w:t xml:space="preserve">. CPUC staff shall notify the service list of R.13-11-005 or its successor proceeding of the availability of the updated </w:t>
      </w:r>
      <w:r w:rsidR="00F1792F">
        <w:rPr>
          <w:sz w:val="24"/>
          <w:szCs w:val="24"/>
        </w:rPr>
        <w:t>Preponderance of Evidence</w:t>
      </w:r>
      <w:r w:rsidRPr="00DF25C0" w:rsidR="00F1792F">
        <w:rPr>
          <w:sz w:val="24"/>
          <w:szCs w:val="24"/>
        </w:rPr>
        <w:t xml:space="preserve"> Guidance Document</w:t>
      </w:r>
      <w:r w:rsidRPr="00DF25C0">
        <w:rPr>
          <w:sz w:val="24"/>
          <w:szCs w:val="24"/>
        </w:rPr>
        <w:t xml:space="preserve">. </w:t>
      </w:r>
    </w:p>
    <w:p w:rsidR="002E66E2" w:rsidP="00DD2814" w:rsidRDefault="00113013" w14:paraId="14D821F0" w14:textId="5323C7DA">
      <w:pPr>
        <w:pStyle w:val="ListParagraph"/>
        <w:numPr>
          <w:ilvl w:val="0"/>
          <w:numId w:val="12"/>
        </w:numPr>
        <w:spacing w:after="240"/>
        <w:rPr>
          <w:sz w:val="24"/>
          <w:szCs w:val="24"/>
        </w:rPr>
      </w:pPr>
      <w:r w:rsidRPr="00DF25C0">
        <w:rPr>
          <w:sz w:val="24"/>
          <w:szCs w:val="24"/>
        </w:rPr>
        <w:t xml:space="preserve">We adopt the </w:t>
      </w:r>
      <w:r w:rsidR="00F1792F">
        <w:rPr>
          <w:sz w:val="24"/>
          <w:szCs w:val="24"/>
        </w:rPr>
        <w:t>preponderance of Evidence</w:t>
      </w:r>
      <w:r w:rsidRPr="00DF25C0" w:rsidR="00F1792F">
        <w:rPr>
          <w:sz w:val="24"/>
          <w:szCs w:val="24"/>
        </w:rPr>
        <w:t xml:space="preserve"> Guidance Document</w:t>
      </w:r>
      <w:r w:rsidR="00F1792F">
        <w:rPr>
          <w:sz w:val="24"/>
          <w:szCs w:val="24"/>
        </w:rPr>
        <w:t xml:space="preserve"> </w:t>
      </w:r>
      <w:r w:rsidR="0031346F">
        <w:rPr>
          <w:sz w:val="24"/>
          <w:szCs w:val="24"/>
        </w:rPr>
        <w:t>maintenance and</w:t>
      </w:r>
      <w:r w:rsidRPr="00DF25C0">
        <w:rPr>
          <w:sz w:val="24"/>
          <w:szCs w:val="24"/>
        </w:rPr>
        <w:t xml:space="preserve"> update process herein for future updates to the</w:t>
      </w:r>
      <w:r w:rsidRPr="00DF25C0" w:rsidR="00751D5F">
        <w:rPr>
          <w:sz w:val="24"/>
          <w:szCs w:val="24"/>
        </w:rPr>
        <w:t xml:space="preserve"> </w:t>
      </w:r>
      <w:r w:rsidR="00F1792F">
        <w:rPr>
          <w:sz w:val="24"/>
          <w:szCs w:val="24"/>
        </w:rPr>
        <w:t>Preponderance of Evidence</w:t>
      </w:r>
      <w:r w:rsidRPr="00DF25C0" w:rsidR="00F1792F">
        <w:rPr>
          <w:sz w:val="24"/>
          <w:szCs w:val="24"/>
        </w:rPr>
        <w:t xml:space="preserve"> Guidance Document</w:t>
      </w:r>
      <w:r w:rsidRPr="00DF25C0">
        <w:rPr>
          <w:sz w:val="24"/>
          <w:szCs w:val="24"/>
        </w:rPr>
        <w:t xml:space="preserve">.  </w:t>
      </w:r>
    </w:p>
    <w:p w:rsidR="00DD2814" w:rsidP="00DB65E6" w:rsidRDefault="00DD2814" w14:paraId="51D63A9F" w14:textId="77777777">
      <w:pPr>
        <w:pStyle w:val="standard"/>
        <w:rPr>
          <w:rFonts w:ascii="Palatino Linotype" w:hAnsi="Palatino Linotype"/>
          <w:sz w:val="24"/>
          <w:szCs w:val="24"/>
        </w:rPr>
      </w:pPr>
    </w:p>
    <w:p w:rsidRPr="00DF25C0" w:rsidR="00EF6CE0" w:rsidP="00DB65E6" w:rsidRDefault="00EF6CE0" w14:paraId="459A0E57" w14:textId="144C6548">
      <w:pPr>
        <w:pStyle w:val="standard"/>
        <w:rPr>
          <w:rFonts w:ascii="Palatino Linotype" w:hAnsi="Palatino Linotype"/>
          <w:sz w:val="24"/>
          <w:szCs w:val="24"/>
        </w:rPr>
      </w:pPr>
      <w:r w:rsidRPr="00DF25C0">
        <w:rPr>
          <w:rFonts w:ascii="Palatino Linotype" w:hAnsi="Palatino Linotype"/>
          <w:sz w:val="24"/>
          <w:szCs w:val="24"/>
        </w:rPr>
        <w:t>This Resolution is effective today.</w:t>
      </w:r>
    </w:p>
    <w:p w:rsidRPr="00DF25C0" w:rsidR="00EF6CE0" w:rsidP="00B333E7" w:rsidRDefault="00EF6CE0" w14:paraId="62E5E91E" w14:textId="77777777">
      <w:pPr>
        <w:tabs>
          <w:tab w:val="left" w:pos="720"/>
          <w:tab w:val="left" w:pos="1296"/>
          <w:tab w:val="left" w:pos="2016"/>
          <w:tab w:val="left" w:pos="2736"/>
          <w:tab w:val="left" w:pos="3456"/>
          <w:tab w:val="left" w:pos="4176"/>
          <w:tab w:val="left" w:pos="5760"/>
        </w:tabs>
        <w:spacing w:after="0"/>
        <w:rPr>
          <w:rFonts w:eastAsia="Times New Roman" w:cs="Arial"/>
          <w:color w:val="000000"/>
          <w:sz w:val="24"/>
          <w:szCs w:val="24"/>
        </w:rPr>
      </w:pPr>
    </w:p>
    <w:p w:rsidR="00B808B0" w:rsidP="00DD2814" w:rsidRDefault="00EF6CE0" w14:paraId="5D6AB2F0" w14:textId="2CB88347">
      <w:pPr>
        <w:pStyle w:val="standard"/>
        <w:rPr>
          <w:rFonts w:ascii="Palatino Linotype" w:hAnsi="Palatino Linotype"/>
          <w:sz w:val="24"/>
          <w:szCs w:val="24"/>
        </w:rPr>
      </w:pPr>
      <w:r w:rsidRPr="00AA634D">
        <w:rPr>
          <w:rFonts w:ascii="Palatino Linotype" w:hAnsi="Palatino Linotype"/>
          <w:sz w:val="24"/>
          <w:szCs w:val="24"/>
        </w:rPr>
        <w:t xml:space="preserve">I certify that the foregoing resolution was duly introduced, </w:t>
      </w:r>
      <w:proofErr w:type="gramStart"/>
      <w:r w:rsidRPr="00AA634D">
        <w:rPr>
          <w:rFonts w:ascii="Palatino Linotype" w:hAnsi="Palatino Linotype"/>
          <w:sz w:val="24"/>
          <w:szCs w:val="24"/>
        </w:rPr>
        <w:t>passed</w:t>
      </w:r>
      <w:proofErr w:type="gramEnd"/>
      <w:r w:rsidRPr="00AA634D">
        <w:rPr>
          <w:rFonts w:ascii="Palatino Linotype" w:hAnsi="Palatino Linotype"/>
          <w:sz w:val="24"/>
          <w:szCs w:val="24"/>
        </w:rPr>
        <w:t xml:space="preserve"> and adopted at a conference of the Public Utilities Commission of the State of California held on </w:t>
      </w:r>
      <w:r w:rsidRPr="00AA634D" w:rsidR="00914131">
        <w:rPr>
          <w:rFonts w:ascii="Palatino Linotype" w:hAnsi="Palatino Linotype"/>
          <w:sz w:val="24"/>
          <w:szCs w:val="24"/>
        </w:rPr>
        <w:t>January 14</w:t>
      </w:r>
      <w:r w:rsidRPr="00AA634D" w:rsidR="00A72F8B">
        <w:rPr>
          <w:rFonts w:ascii="Palatino Linotype" w:hAnsi="Palatino Linotype"/>
          <w:sz w:val="24"/>
          <w:szCs w:val="24"/>
        </w:rPr>
        <w:t xml:space="preserve">, </w:t>
      </w:r>
      <w:r w:rsidRPr="00AA634D" w:rsidR="001923F1">
        <w:rPr>
          <w:rFonts w:ascii="Palatino Linotype" w:hAnsi="Palatino Linotype"/>
          <w:sz w:val="24"/>
          <w:szCs w:val="24"/>
        </w:rPr>
        <w:t>2021</w:t>
      </w:r>
      <w:r w:rsidRPr="00AA634D">
        <w:rPr>
          <w:rFonts w:ascii="Palatino Linotype" w:hAnsi="Palatino Linotype"/>
          <w:sz w:val="24"/>
          <w:szCs w:val="24"/>
        </w:rPr>
        <w:t>; the</w:t>
      </w:r>
      <w:r w:rsidRPr="00DF25C0">
        <w:rPr>
          <w:rFonts w:ascii="Palatino Linotype" w:hAnsi="Palatino Linotype"/>
          <w:sz w:val="24"/>
          <w:szCs w:val="24"/>
        </w:rPr>
        <w:t xml:space="preserve"> following Commissioners voting favorably thereon:</w:t>
      </w:r>
    </w:p>
    <w:p w:rsidR="0056060B" w:rsidP="00DD2814" w:rsidRDefault="0056060B" w14:paraId="3D9114A2" w14:textId="01D15C87">
      <w:pPr>
        <w:pStyle w:val="standard"/>
        <w:rPr>
          <w:rFonts w:ascii="Palatino Linotype" w:hAnsi="Palatino Linotype"/>
          <w:sz w:val="24"/>
          <w:szCs w:val="24"/>
        </w:rPr>
      </w:pPr>
    </w:p>
    <w:p w:rsidRPr="000B47C0" w:rsidR="0056060B" w:rsidP="0056060B" w:rsidRDefault="0056060B" w14:paraId="58536BF5" w14:textId="77777777">
      <w:pPr>
        <w:tabs>
          <w:tab w:val="left" w:pos="720"/>
          <w:tab w:val="left" w:pos="1152"/>
          <w:tab w:val="left" w:pos="1728"/>
          <w:tab w:val="left" w:pos="3168"/>
          <w:tab w:val="left" w:pos="5040"/>
        </w:tabs>
        <w:spacing w:after="0"/>
        <w:ind w:right="144"/>
        <w:rPr>
          <w:rFonts w:eastAsia="Times New Roman" w:cs="Times New Roman"/>
          <w:sz w:val="26"/>
          <w:szCs w:val="20"/>
        </w:rPr>
      </w:pPr>
      <w:r>
        <w:rPr>
          <w:sz w:val="24"/>
          <w:szCs w:val="24"/>
        </w:rPr>
        <w:tab/>
      </w:r>
    </w:p>
    <w:p w:rsidRPr="000B47C0" w:rsidR="0056060B" w:rsidP="0056060B" w:rsidRDefault="0056060B" w14:paraId="13617F6E" w14:textId="77777777">
      <w:pPr>
        <w:tabs>
          <w:tab w:val="left" w:pos="720"/>
          <w:tab w:val="left" w:pos="1152"/>
          <w:tab w:val="left" w:pos="1728"/>
          <w:tab w:val="left" w:pos="3168"/>
          <w:tab w:val="left" w:pos="5040"/>
        </w:tabs>
        <w:spacing w:after="0"/>
        <w:ind w:right="144"/>
        <w:rPr>
          <w:rFonts w:eastAsia="Times New Roman" w:cs="Times New Roman"/>
          <w:sz w:val="26"/>
          <w:szCs w:val="20"/>
        </w:rPr>
      </w:pP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t>_____________________</w:t>
      </w:r>
    </w:p>
    <w:p w:rsidRPr="000B47C0" w:rsidR="0056060B" w:rsidP="0056060B" w:rsidRDefault="0056060B" w14:paraId="1E62683E" w14:textId="77777777">
      <w:pPr>
        <w:spacing w:after="0"/>
        <w:rPr>
          <w:rFonts w:eastAsia="Times New Roman" w:cs="Times New Roman"/>
          <w:sz w:val="26"/>
          <w:szCs w:val="20"/>
        </w:rPr>
      </w:pP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t>Rachel Peterson</w:t>
      </w:r>
    </w:p>
    <w:p w:rsidRPr="000B47C0" w:rsidR="0056060B" w:rsidP="0056060B" w:rsidRDefault="0056060B" w14:paraId="4045DEBA" w14:textId="77777777">
      <w:pPr>
        <w:spacing w:after="0"/>
        <w:rPr>
          <w:rFonts w:eastAsia="Times New Roman" w:cs="Times New Roman"/>
          <w:sz w:val="26"/>
          <w:szCs w:val="20"/>
        </w:rPr>
      </w:pP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r>
      <w:r w:rsidRPr="000B47C0">
        <w:rPr>
          <w:rFonts w:eastAsia="Times New Roman" w:cs="Times New Roman"/>
          <w:sz w:val="26"/>
          <w:szCs w:val="20"/>
        </w:rPr>
        <w:tab/>
        <w:t>Acting Executive Director</w:t>
      </w:r>
    </w:p>
    <w:p w:rsidRPr="000B47C0" w:rsidR="0056060B" w:rsidP="0056060B" w:rsidRDefault="0056060B" w14:paraId="537E54FE" w14:textId="77777777"/>
    <w:p w:rsidRPr="00B808B0" w:rsidR="0056060B" w:rsidP="00DD2814" w:rsidRDefault="0056060B" w14:paraId="57D75A11" w14:textId="308F82CB">
      <w:pPr>
        <w:pStyle w:val="standard"/>
        <w:rPr>
          <w:rFonts w:ascii="Cambria" w:hAnsi="Cambria"/>
          <w:sz w:val="24"/>
          <w:szCs w:val="24"/>
        </w:rPr>
      </w:pPr>
    </w:p>
    <w:sectPr w:rsidRPr="00B808B0" w:rsidR="0056060B" w:rsidSect="001B6A24">
      <w:headerReference w:type="default" r:id="rId12"/>
      <w:footerReference w:type="default" r:id="rId13"/>
      <w:headerReference w:type="first" r:id="rId14"/>
      <w:footerReference w:type="first" r:id="rId15"/>
      <w:pgSz w:w="12240" w:h="15840"/>
      <w:pgMar w:top="1440" w:right="117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863F6" w14:textId="77777777" w:rsidR="00844581" w:rsidRDefault="00844581" w:rsidP="00C11BE6">
      <w:r>
        <w:separator/>
      </w:r>
    </w:p>
  </w:endnote>
  <w:endnote w:type="continuationSeparator" w:id="0">
    <w:p w14:paraId="0E0C4D09" w14:textId="77777777" w:rsidR="00844581" w:rsidRDefault="00844581" w:rsidP="00C11BE6">
      <w:r>
        <w:continuationSeparator/>
      </w:r>
    </w:p>
  </w:endnote>
  <w:endnote w:type="continuationNotice" w:id="1">
    <w:p w14:paraId="1284F978" w14:textId="77777777" w:rsidR="00844581" w:rsidRDefault="008445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022287"/>
      <w:docPartObj>
        <w:docPartGallery w:val="Page Numbers (Bottom of Page)"/>
        <w:docPartUnique/>
      </w:docPartObj>
    </w:sdtPr>
    <w:sdtEndPr>
      <w:rPr>
        <w:rFonts w:ascii="Palatino Linotype" w:hAnsi="Palatino Linotype"/>
        <w:noProof/>
        <w:sz w:val="22"/>
      </w:rPr>
    </w:sdtEndPr>
    <w:sdtContent>
      <w:p w14:paraId="1BA088B4" w14:textId="0BD4DD1F" w:rsidR="00607E32" w:rsidRDefault="00607E32">
        <w:pPr>
          <w:pStyle w:val="Footer"/>
          <w:jc w:val="center"/>
        </w:pPr>
        <w:r w:rsidRPr="00607E32">
          <w:rPr>
            <w:rFonts w:ascii="Palatino Linotype" w:hAnsi="Palatino Linotype"/>
            <w:sz w:val="22"/>
          </w:rPr>
          <w:fldChar w:fldCharType="begin"/>
        </w:r>
        <w:r w:rsidRPr="00607E32">
          <w:rPr>
            <w:rFonts w:ascii="Palatino Linotype" w:hAnsi="Palatino Linotype"/>
            <w:sz w:val="22"/>
          </w:rPr>
          <w:instrText xml:space="preserve"> PAGE   \* MERGEFORMAT </w:instrText>
        </w:r>
        <w:r w:rsidRPr="00607E32">
          <w:rPr>
            <w:rFonts w:ascii="Palatino Linotype" w:hAnsi="Palatino Linotype"/>
            <w:sz w:val="22"/>
          </w:rPr>
          <w:fldChar w:fldCharType="separate"/>
        </w:r>
        <w:r w:rsidRPr="00607E32">
          <w:rPr>
            <w:rFonts w:ascii="Palatino Linotype" w:hAnsi="Palatino Linotype"/>
            <w:noProof/>
            <w:sz w:val="22"/>
          </w:rPr>
          <w:t>2</w:t>
        </w:r>
        <w:r w:rsidRPr="00607E32">
          <w:rPr>
            <w:rFonts w:ascii="Palatino Linotype" w:hAnsi="Palatino Linotype"/>
            <w:noProof/>
            <w:sz w:val="22"/>
          </w:rPr>
          <w:fldChar w:fldCharType="end"/>
        </w:r>
      </w:p>
    </w:sdtContent>
  </w:sdt>
  <w:p w14:paraId="0376E8E7" w14:textId="62ABF241" w:rsidR="00607E32" w:rsidRDefault="00607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090382"/>
      <w:docPartObj>
        <w:docPartGallery w:val="Page Numbers (Bottom of Page)"/>
        <w:docPartUnique/>
      </w:docPartObj>
    </w:sdtPr>
    <w:sdtEndPr>
      <w:rPr>
        <w:noProof/>
      </w:rPr>
    </w:sdtEndPr>
    <w:sdtContent>
      <w:p w14:paraId="30A987AF" w14:textId="77777777" w:rsidR="00AC0E3A" w:rsidRDefault="00AC0E3A" w:rsidP="00AC0E3A">
        <w:pPr>
          <w:pStyle w:val="Footer"/>
        </w:pPr>
      </w:p>
      <w:p w14:paraId="749C0C9F" w14:textId="583A18BA" w:rsidR="00AC0E3A" w:rsidRDefault="00D42511" w:rsidP="00AC0E3A">
        <w:pPr>
          <w:pStyle w:val="Footer"/>
        </w:pPr>
        <w:r w:rsidRPr="00D54EEF">
          <w:rPr>
            <w:rFonts w:ascii="Palatino Linotype" w:hAnsi="Palatino Linotype"/>
          </w:rPr>
          <w:t>352206130</w:t>
        </w:r>
        <w:r w:rsidR="00AC0E3A">
          <w:tab/>
        </w:r>
        <w:r w:rsidR="00AC0E3A" w:rsidRPr="00607E32">
          <w:rPr>
            <w:rFonts w:ascii="Palatino Linotype" w:hAnsi="Palatino Linotype"/>
            <w:sz w:val="22"/>
          </w:rPr>
          <w:fldChar w:fldCharType="begin"/>
        </w:r>
        <w:r w:rsidR="00AC0E3A" w:rsidRPr="00607E32">
          <w:rPr>
            <w:rFonts w:ascii="Palatino Linotype" w:hAnsi="Palatino Linotype"/>
            <w:sz w:val="22"/>
          </w:rPr>
          <w:instrText xml:space="preserve"> PAGE   \* MERGEFORMAT </w:instrText>
        </w:r>
        <w:r w:rsidR="00AC0E3A" w:rsidRPr="00607E32">
          <w:rPr>
            <w:rFonts w:ascii="Palatino Linotype" w:hAnsi="Palatino Linotype"/>
            <w:sz w:val="22"/>
          </w:rPr>
          <w:fldChar w:fldCharType="separate"/>
        </w:r>
        <w:r w:rsidR="00AC0E3A" w:rsidRPr="00607E32">
          <w:rPr>
            <w:rFonts w:ascii="Palatino Linotype" w:hAnsi="Palatino Linotype"/>
            <w:noProof/>
            <w:sz w:val="22"/>
          </w:rPr>
          <w:t>2</w:t>
        </w:r>
        <w:r w:rsidR="00AC0E3A" w:rsidRPr="00607E32">
          <w:rPr>
            <w:rFonts w:ascii="Palatino Linotype" w:hAnsi="Palatino Linotype"/>
            <w:noProof/>
            <w:sz w:val="22"/>
          </w:rPr>
          <w:fldChar w:fldCharType="end"/>
        </w:r>
      </w:p>
    </w:sdtContent>
  </w:sdt>
  <w:p w14:paraId="3B605433" w14:textId="77777777" w:rsidR="0084157E" w:rsidRPr="00F94921" w:rsidRDefault="0084157E" w:rsidP="006721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2FAD2" w14:textId="77777777" w:rsidR="00844581" w:rsidRDefault="00844581" w:rsidP="00C11BE6">
      <w:r>
        <w:separator/>
      </w:r>
    </w:p>
  </w:footnote>
  <w:footnote w:type="continuationSeparator" w:id="0">
    <w:p w14:paraId="34C52B94" w14:textId="77777777" w:rsidR="00844581" w:rsidRDefault="00844581" w:rsidP="00C11BE6">
      <w:r>
        <w:continuationSeparator/>
      </w:r>
    </w:p>
  </w:footnote>
  <w:footnote w:type="continuationNotice" w:id="1">
    <w:p w14:paraId="3BC37905" w14:textId="77777777" w:rsidR="00844581" w:rsidRDefault="00844581">
      <w:pPr>
        <w:spacing w:after="0"/>
      </w:pPr>
    </w:p>
  </w:footnote>
  <w:footnote w:id="2">
    <w:p w14:paraId="58D2D1E4" w14:textId="18D529BD" w:rsidR="0084157E" w:rsidRDefault="0084157E">
      <w:pPr>
        <w:pStyle w:val="FootnoteText"/>
      </w:pPr>
      <w:r>
        <w:rPr>
          <w:rStyle w:val="FootnoteReference"/>
        </w:rPr>
        <w:footnoteRef/>
      </w:r>
      <w:r>
        <w:t xml:space="preserve"> </w:t>
      </w:r>
      <w:r w:rsidRPr="00855AAA">
        <w:t xml:space="preserve">Custom Energy Efficiency Projects are those projects whose </w:t>
      </w:r>
      <w:r>
        <w:t xml:space="preserve">efficiency </w:t>
      </w:r>
      <w:r w:rsidRPr="00855AAA">
        <w:t>savings are derived from site-specific calculations, rather than pre-determined measure-level values. Custom Programs include projects in Commercial, Residential, Industrial &amp; Agricultural Sectors.</w:t>
      </w:r>
    </w:p>
  </w:footnote>
  <w:footnote w:id="3">
    <w:p w14:paraId="75D80165" w14:textId="22407744" w:rsidR="00BB1119" w:rsidRDefault="00BB1119">
      <w:pPr>
        <w:pStyle w:val="FootnoteText"/>
      </w:pPr>
      <w:r>
        <w:rPr>
          <w:rStyle w:val="FootnoteReference"/>
        </w:rPr>
        <w:footnoteRef/>
      </w:r>
      <w:r>
        <w:t xml:space="preserve"> Accelerated-replacement includes the subcategory of “repair-eligible</w:t>
      </w:r>
      <w:r w:rsidR="00F218C6">
        <w:t>” equipment, since t</w:t>
      </w:r>
      <w:r>
        <w:t xml:space="preserve">he preponderance of evidence determination process adopted in </w:t>
      </w:r>
      <w:r w:rsidRPr="00BB1119">
        <w:t xml:space="preserve">Resolution E-4939 </w:t>
      </w:r>
      <w:r>
        <w:t>applies to all</w:t>
      </w:r>
      <w:r w:rsidRPr="00BB1119">
        <w:t xml:space="preserve"> accelerated-replacement measure type</w:t>
      </w:r>
      <w:r>
        <w:t>s, including those associated with “repair-eligible” equipment,</w:t>
      </w:r>
      <w:r w:rsidRPr="00BB1119">
        <w:t xml:space="preserve"> eliminating </w:t>
      </w:r>
      <w:r w:rsidR="00F218C6">
        <w:t xml:space="preserve">the </w:t>
      </w:r>
      <w:r w:rsidRPr="00BB1119">
        <w:t>need for separate considerations or processes for repair-eligible projects.</w:t>
      </w:r>
    </w:p>
  </w:footnote>
  <w:footnote w:id="4">
    <w:p w14:paraId="6953A46B" w14:textId="77777777" w:rsidR="0084157E" w:rsidRDefault="0084157E" w:rsidP="00A252A2">
      <w:pPr>
        <w:pStyle w:val="FootnoteText"/>
      </w:pPr>
      <w:r>
        <w:rPr>
          <w:rStyle w:val="FootnoteReference"/>
        </w:rPr>
        <w:footnoteRef/>
      </w:r>
      <w:r>
        <w:t xml:space="preserve"> Energy efficiency program administrators includes both investor-own utilities and non-investor owned utilities such as Regional Energy Networks and Community Choice Aggregates.</w:t>
      </w:r>
    </w:p>
  </w:footnote>
  <w:footnote w:id="5">
    <w:p w14:paraId="55A31F44" w14:textId="73622445" w:rsidR="0084157E" w:rsidRDefault="0084157E">
      <w:pPr>
        <w:pStyle w:val="FootnoteText"/>
      </w:pPr>
      <w:r>
        <w:rPr>
          <w:rStyle w:val="FootnoteReference"/>
        </w:rPr>
        <w:footnoteRef/>
      </w:r>
      <w:r>
        <w:t xml:space="preserve"> Note that the required documentation varies by incentive level.</w:t>
      </w:r>
    </w:p>
  </w:footnote>
  <w:footnote w:id="6">
    <w:p w14:paraId="711ED80A" w14:textId="77777777" w:rsidR="0084157E" w:rsidRDefault="0084157E" w:rsidP="00A252A2">
      <w:pPr>
        <w:pStyle w:val="FootnoteText"/>
      </w:pPr>
      <w:r>
        <w:rPr>
          <w:rStyle w:val="FootnoteReference"/>
        </w:rPr>
        <w:footnoteRef/>
      </w:r>
      <w:r>
        <w:t xml:space="preserve"> Program influence is defined as </w:t>
      </w:r>
      <w:r w:rsidRPr="00D7639D">
        <w:t>the replacement of</w:t>
      </w:r>
      <w:r>
        <w:t xml:space="preserve"> an energy</w:t>
      </w:r>
      <w:r w:rsidRPr="00D7639D">
        <w:t xml:space="preserve"> inefficient equipment or process with a more energy efficient one is being done so because of program offerings through a program administrator’s energy efficiency program</w:t>
      </w:r>
      <w:r>
        <w:t>.</w:t>
      </w:r>
    </w:p>
  </w:footnote>
  <w:footnote w:id="7">
    <w:p w14:paraId="16EF0AFE" w14:textId="77777777" w:rsidR="0084157E" w:rsidRDefault="0084157E" w:rsidP="00A252A2">
      <w:pPr>
        <w:pStyle w:val="FootnoteText"/>
      </w:pPr>
      <w:r>
        <w:rPr>
          <w:rStyle w:val="FootnoteReference"/>
        </w:rPr>
        <w:footnoteRef/>
      </w:r>
      <w:r>
        <w:t xml:space="preserve"> CPUC staff’s “</w:t>
      </w:r>
      <w:r w:rsidRPr="006C6CF0">
        <w:t>Project basis as Early Retirement (ER)/Replace-on-burnout (ROB)/Normal Replacement (NR)/New Construction (NC)/Add-on Retrofit (Ret) and remaining/Effective useful Life (RUL/EUL), and Preponderance of evidence</w:t>
      </w:r>
      <w:r>
        <w:t xml:space="preserve">” guidance document is located at: </w:t>
      </w:r>
      <w:r w:rsidRPr="003E667F">
        <w:t>https://www.cpuc.ca.gov/General.aspx?id=4133</w:t>
      </w:r>
      <w:r>
        <w:t>.</w:t>
      </w:r>
      <w:r w:rsidRPr="006C6CF0">
        <w:t xml:space="preserve"> </w:t>
      </w:r>
    </w:p>
  </w:footnote>
  <w:footnote w:id="8">
    <w:p w14:paraId="498C1E97" w14:textId="10DA11EB" w:rsidR="0084157E" w:rsidRDefault="0084157E">
      <w:pPr>
        <w:pStyle w:val="FootnoteText"/>
      </w:pPr>
      <w:r>
        <w:rPr>
          <w:rStyle w:val="FootnoteReference"/>
        </w:rPr>
        <w:footnoteRef/>
      </w:r>
      <w:r>
        <w:t xml:space="preserve"> </w:t>
      </w:r>
      <w:r w:rsidR="001A1F97">
        <w:t xml:space="preserve">A preponderance of evidence </w:t>
      </w:r>
      <w:r>
        <w:t>is the greater weight of the evidence required in a civil (non-criminal) lawsuit for the jury or judge to decide in favor of one side or another.  This preponderance is based on the more convincing evidence and its probable truth or accuracy, and not on the amount of the evidence.</w:t>
      </w:r>
    </w:p>
  </w:footnote>
  <w:footnote w:id="9">
    <w:p w14:paraId="316B2F7B" w14:textId="77777777" w:rsidR="0084157E" w:rsidRDefault="0084157E" w:rsidP="00454F6B">
      <w:pPr>
        <w:pStyle w:val="FootnoteText"/>
      </w:pPr>
      <w:r>
        <w:rPr>
          <w:rStyle w:val="FootnoteReference"/>
        </w:rPr>
        <w:footnoteRef/>
      </w:r>
      <w:r>
        <w:t xml:space="preserve"> The T1WG agreed to define Repair Eligible as equipment that has failed but could be repaired less expensively than the cost of new equipment, and Repair Indefinitely as equipment demonstrated a history of repair well past its effective useful life.</w:t>
      </w:r>
    </w:p>
  </w:footnote>
  <w:footnote w:id="10">
    <w:p w14:paraId="54B0A66E" w14:textId="32C71766" w:rsidR="0084157E" w:rsidRDefault="0084157E" w:rsidP="00CA4F2E">
      <w:pPr>
        <w:pStyle w:val="FootnoteText"/>
      </w:pPr>
      <w:r>
        <w:rPr>
          <w:rStyle w:val="FootnoteReference"/>
        </w:rPr>
        <w:footnoteRef/>
      </w:r>
      <w:r>
        <w:t xml:space="preserve"> See Resolution E-4818, Ordering paragraph 25.</w:t>
      </w:r>
    </w:p>
  </w:footnote>
  <w:footnote w:id="11">
    <w:p w14:paraId="29E45B7B" w14:textId="69383238" w:rsidR="0084157E" w:rsidRDefault="0084157E">
      <w:pPr>
        <w:pStyle w:val="FootnoteText"/>
      </w:pPr>
      <w:r>
        <w:rPr>
          <w:rStyle w:val="FootnoteReference"/>
        </w:rPr>
        <w:footnoteRef/>
      </w:r>
      <w:r>
        <w:t xml:space="preserve"> Track 2 Working Group Final Report on Tasks 1-4, Chapter 5. The Report is available at: </w:t>
      </w:r>
      <w:r w:rsidRPr="0053162A">
        <w:t>https://www.cpuc.ca.gov/general.aspx?id=6442457214</w:t>
      </w:r>
      <w:r>
        <w:t>.</w:t>
      </w:r>
    </w:p>
  </w:footnote>
  <w:footnote w:id="12">
    <w:p w14:paraId="74787286" w14:textId="77777777" w:rsidR="0084157E" w:rsidRDefault="0084157E" w:rsidP="002D00B9">
      <w:pPr>
        <w:pStyle w:val="FootnoteText"/>
      </w:pPr>
      <w:r>
        <w:rPr>
          <w:rStyle w:val="FootnoteReference"/>
        </w:rPr>
        <w:footnoteRef/>
      </w:r>
      <w:r>
        <w:t xml:space="preserve"> </w:t>
      </w:r>
      <w:r w:rsidRPr="005B205E">
        <w:t xml:space="preserve">Rigor in this case reflects the amount of documentation necessary to satisfactorily demonstrate that the energy efficiency program triggered the equipment upgrade. Resolution E-4818 Ordering paragraph 22 originally named categories as Full/Tier 1/Tier 2 Rigor </w:t>
      </w:r>
      <w:proofErr w:type="gramStart"/>
      <w:r w:rsidRPr="005B205E">
        <w:t>Levels</w:t>
      </w:r>
      <w:proofErr w:type="gramEnd"/>
      <w:r w:rsidRPr="005B205E">
        <w:t xml:space="preserve"> respectively</w:t>
      </w:r>
      <w:r>
        <w:t>.</w:t>
      </w:r>
    </w:p>
  </w:footnote>
  <w:footnote w:id="13">
    <w:p w14:paraId="3C1E9D31" w14:textId="77777777" w:rsidR="0084157E" w:rsidRDefault="0084157E" w:rsidP="00E338CC">
      <w:pPr>
        <w:pStyle w:val="FootnoteText"/>
      </w:pPr>
      <w:r>
        <w:rPr>
          <w:rStyle w:val="FootnoteReference"/>
        </w:rPr>
        <w:footnoteRef/>
      </w:r>
      <w:r>
        <w:t xml:space="preserve"> Viability</w:t>
      </w:r>
      <w:r w:rsidRPr="00CF0BD0">
        <w:t xml:space="preserve"> of equipment </w:t>
      </w:r>
      <w:r>
        <w:t>operation is the</w:t>
      </w:r>
      <w:r w:rsidRPr="00CF0BD0">
        <w:t xml:space="preserve"> ability</w:t>
      </w:r>
      <w:r>
        <w:t xml:space="preserve"> of the equipment</w:t>
      </w:r>
      <w:r w:rsidRPr="00CF0BD0">
        <w:t xml:space="preserve"> to remain in service, meeting customer requirements for its remaining useful life</w:t>
      </w:r>
      <w:r>
        <w:t>.</w:t>
      </w:r>
    </w:p>
  </w:footnote>
  <w:footnote w:id="14">
    <w:p w14:paraId="22CD6CD4" w14:textId="3B6CE223" w:rsidR="0084157E" w:rsidRDefault="0084157E">
      <w:pPr>
        <w:pStyle w:val="FootnoteText"/>
      </w:pPr>
      <w:r>
        <w:rPr>
          <w:rStyle w:val="FootnoteReference"/>
        </w:rPr>
        <w:footnoteRef/>
      </w:r>
      <w:r>
        <w:t xml:space="preserve"> See </w:t>
      </w:r>
      <w:r w:rsidRPr="005B205E">
        <w:t xml:space="preserve">T2WG </w:t>
      </w:r>
      <w:r>
        <w:t>Final R</w:t>
      </w:r>
      <w:r w:rsidRPr="005B205E">
        <w:t xml:space="preserve">eport </w:t>
      </w:r>
      <w:r>
        <w:t>p.</w:t>
      </w:r>
      <w:r w:rsidRPr="005B205E">
        <w:t>40.</w:t>
      </w:r>
    </w:p>
  </w:footnote>
  <w:footnote w:id="15">
    <w:p w14:paraId="5CF1A251" w14:textId="18DE900C" w:rsidR="0084157E" w:rsidRDefault="0084157E" w:rsidP="0092332C">
      <w:pPr>
        <w:pStyle w:val="FootnoteText"/>
      </w:pPr>
      <w:r>
        <w:rPr>
          <w:rStyle w:val="FootnoteReference"/>
        </w:rPr>
        <w:footnoteRef/>
      </w:r>
      <w:r>
        <w:t xml:space="preserve"> See T2WG Final Report p.43.</w:t>
      </w:r>
    </w:p>
  </w:footnote>
  <w:footnote w:id="16">
    <w:p w14:paraId="3489E72E" w14:textId="77777777" w:rsidR="0084157E" w:rsidRDefault="0084157E" w:rsidP="00E1497E">
      <w:pPr>
        <w:pStyle w:val="FootnoteText"/>
      </w:pPr>
      <w:r>
        <w:rPr>
          <w:rStyle w:val="FootnoteReference"/>
        </w:rPr>
        <w:footnoteRef/>
      </w:r>
      <w:r>
        <w:t xml:space="preserve"> Resolution E-4818 Ordering paragraph 25 directed the T2WG to d</w:t>
      </w:r>
      <w:r w:rsidRPr="008A0B56">
        <w:t xml:space="preserve">evelop recommendations for what should constitute Tier 1 </w:t>
      </w:r>
      <w:r>
        <w:t xml:space="preserve">(customer incentive from </w:t>
      </w:r>
      <w:r w:rsidRPr="004B296C">
        <w:t>$7,500 to $25,000</w:t>
      </w:r>
      <w:r>
        <w:t xml:space="preserve">) </w:t>
      </w:r>
      <w:r w:rsidRPr="008A0B56">
        <w:t>and Tier 2</w:t>
      </w:r>
      <w:r>
        <w:t xml:space="preserve"> (customer incentive f</w:t>
      </w:r>
      <w:r w:rsidRPr="004B296C">
        <w:t>rom $25,000 to $100,000</w:t>
      </w:r>
      <w:r>
        <w:t>)</w:t>
      </w:r>
      <w:r w:rsidRPr="008A0B56">
        <w:t xml:space="preserve"> Preponderance of Evidence requirements.</w:t>
      </w:r>
    </w:p>
  </w:footnote>
  <w:footnote w:id="17">
    <w:p w14:paraId="74EE08B5" w14:textId="042C3534" w:rsidR="0084157E" w:rsidRDefault="0084157E" w:rsidP="00E1497E">
      <w:pPr>
        <w:pStyle w:val="FootnoteText"/>
      </w:pPr>
      <w:r>
        <w:rPr>
          <w:rStyle w:val="FootnoteReference"/>
        </w:rPr>
        <w:footnoteRef/>
      </w:r>
      <w:r>
        <w:t xml:space="preserve"> See T2WG Final Report, p.48.</w:t>
      </w:r>
    </w:p>
  </w:footnote>
  <w:footnote w:id="18">
    <w:p w14:paraId="4107C8B9" w14:textId="2CF6C938" w:rsidR="0084157E" w:rsidRDefault="0084157E" w:rsidP="0092332C">
      <w:pPr>
        <w:pStyle w:val="FootnoteText"/>
      </w:pPr>
      <w:r>
        <w:rPr>
          <w:rStyle w:val="FootnoteReference"/>
        </w:rPr>
        <w:footnoteRef/>
      </w:r>
      <w:r>
        <w:t xml:space="preserve"> See T2WG Final Report, p.45. </w:t>
      </w:r>
    </w:p>
  </w:footnote>
  <w:footnote w:id="19">
    <w:p w14:paraId="70E4E2F9" w14:textId="51C8EAB8" w:rsidR="0084157E" w:rsidRDefault="0084157E" w:rsidP="00E338CC">
      <w:pPr>
        <w:pStyle w:val="FootnoteText"/>
      </w:pPr>
      <w:r>
        <w:rPr>
          <w:rStyle w:val="FootnoteReference"/>
        </w:rPr>
        <w:footnoteRef/>
      </w:r>
      <w:r>
        <w:t xml:space="preserve"> See T2WG Final Report, p.48.</w:t>
      </w:r>
    </w:p>
  </w:footnote>
  <w:footnote w:id="20">
    <w:p w14:paraId="289C2E49" w14:textId="5282075F" w:rsidR="0084157E" w:rsidRDefault="0084157E" w:rsidP="001A6AE1">
      <w:pPr>
        <w:pStyle w:val="FootnoteText"/>
      </w:pPr>
      <w:r>
        <w:rPr>
          <w:rStyle w:val="FootnoteReference"/>
        </w:rPr>
        <w:footnoteRef/>
      </w:r>
      <w:r>
        <w:t xml:space="preserve"> See T2WG Final Report p.48.</w:t>
      </w:r>
    </w:p>
  </w:footnote>
  <w:footnote w:id="21">
    <w:p w14:paraId="770B168E" w14:textId="77777777" w:rsidR="0084157E" w:rsidRDefault="0084157E" w:rsidP="007C7C02">
      <w:pPr>
        <w:pStyle w:val="FootnoteText"/>
      </w:pPr>
      <w:r>
        <w:rPr>
          <w:rStyle w:val="FootnoteReference"/>
        </w:rPr>
        <w:footnoteRef/>
      </w:r>
      <w:r>
        <w:t xml:space="preserve"> See T2WG Final Report p.46.</w:t>
      </w:r>
    </w:p>
  </w:footnote>
  <w:footnote w:id="22">
    <w:p w14:paraId="21D59D15" w14:textId="77777777" w:rsidR="0084157E" w:rsidRDefault="0084157E" w:rsidP="007C7C02">
      <w:pPr>
        <w:pStyle w:val="FootnoteText"/>
      </w:pPr>
      <w:r>
        <w:rPr>
          <w:rStyle w:val="FootnoteReference"/>
        </w:rPr>
        <w:footnoteRef/>
      </w:r>
      <w:r>
        <w:t xml:space="preserve"> See T2WG Final Report p.47. </w:t>
      </w:r>
    </w:p>
  </w:footnote>
  <w:footnote w:id="23">
    <w:p w14:paraId="1FEF04B9" w14:textId="5852CA43" w:rsidR="0084157E" w:rsidRDefault="0084157E">
      <w:pPr>
        <w:pStyle w:val="FootnoteText"/>
      </w:pPr>
      <w:r>
        <w:rPr>
          <w:rStyle w:val="FootnoteReference"/>
        </w:rPr>
        <w:footnoteRef/>
      </w:r>
      <w:r>
        <w:t xml:space="preserve"> See T2WG Final Report p. 52 and 53.</w:t>
      </w:r>
    </w:p>
  </w:footnote>
  <w:footnote w:id="24">
    <w:p w14:paraId="790ED560" w14:textId="12922E22" w:rsidR="0084157E" w:rsidRDefault="0084157E">
      <w:pPr>
        <w:pStyle w:val="FootnoteText"/>
      </w:pPr>
      <w:r>
        <w:rPr>
          <w:rStyle w:val="FootnoteReference"/>
        </w:rPr>
        <w:footnoteRef/>
      </w:r>
      <w:r>
        <w:t xml:space="preserve"> See T2WG Final Report </w:t>
      </w:r>
      <w:r w:rsidRPr="00D33E15">
        <w:rPr>
          <w:szCs w:val="26"/>
        </w:rPr>
        <w:t xml:space="preserve">Table 4 </w:t>
      </w:r>
      <w:r>
        <w:rPr>
          <w:szCs w:val="26"/>
        </w:rPr>
        <w:t xml:space="preserve">p. </w:t>
      </w:r>
      <w:r w:rsidRPr="00D33E15">
        <w:rPr>
          <w:szCs w:val="26"/>
        </w:rPr>
        <w:t>41</w:t>
      </w:r>
      <w:r>
        <w:rPr>
          <w:szCs w:val="26"/>
        </w:rPr>
        <w:t>.</w:t>
      </w:r>
    </w:p>
  </w:footnote>
  <w:footnote w:id="25">
    <w:p w14:paraId="4985B86E" w14:textId="705FE08E" w:rsidR="0084157E" w:rsidRDefault="0084157E" w:rsidP="00AE6B1C">
      <w:pPr>
        <w:pStyle w:val="FootnoteText"/>
      </w:pPr>
      <w:r>
        <w:rPr>
          <w:rStyle w:val="FootnoteReference"/>
        </w:rPr>
        <w:footnoteRef/>
      </w:r>
      <w:r>
        <w:t xml:space="preserve"> See T2WG Final Report p.43.</w:t>
      </w:r>
    </w:p>
  </w:footnote>
  <w:footnote w:id="26">
    <w:p w14:paraId="3944EDEE" w14:textId="04716710" w:rsidR="0084157E" w:rsidRDefault="0084157E">
      <w:pPr>
        <w:pStyle w:val="FootnoteText"/>
      </w:pPr>
      <w:r>
        <w:rPr>
          <w:rStyle w:val="FootnoteReference"/>
        </w:rPr>
        <w:footnoteRef/>
      </w:r>
      <w:r>
        <w:t xml:space="preserve"> D.11-07-030 Attachment B </w:t>
      </w:r>
      <w:r w:rsidRPr="00F77AE0">
        <w:rPr>
          <w:b/>
          <w:bCs/>
        </w:rPr>
        <w:t>at p</w:t>
      </w:r>
      <w:r>
        <w:rPr>
          <w:b/>
          <w:bCs/>
        </w:rPr>
        <w:t>.</w:t>
      </w:r>
      <w:r>
        <w:t xml:space="preserve"> B-4 directs the utilities to submit bi-monthly summary lists of project applications for CPUC staff to select project applications for review.</w:t>
      </w:r>
    </w:p>
  </w:footnote>
  <w:footnote w:id="27">
    <w:p w14:paraId="5CA4063A" w14:textId="7B264401" w:rsidR="0084157E" w:rsidRDefault="0084157E" w:rsidP="00AE6B1C">
      <w:pPr>
        <w:pStyle w:val="FootnoteText"/>
      </w:pPr>
      <w:r>
        <w:rPr>
          <w:rStyle w:val="FootnoteReference"/>
        </w:rPr>
        <w:footnoteRef/>
      </w:r>
      <w:r>
        <w:t xml:space="preserve"> See T2WG Final Report p.41. </w:t>
      </w:r>
    </w:p>
  </w:footnote>
  <w:footnote w:id="28">
    <w:p w14:paraId="1AE1C4C0" w14:textId="0D007817" w:rsidR="0084157E" w:rsidRDefault="0084157E">
      <w:pPr>
        <w:pStyle w:val="FootnoteText"/>
      </w:pPr>
      <w:r>
        <w:rPr>
          <w:rStyle w:val="FootnoteReference"/>
        </w:rPr>
        <w:footnoteRef/>
      </w:r>
      <w:r>
        <w:t xml:space="preserve"> See T2WG Final Report p.45.</w:t>
      </w:r>
    </w:p>
  </w:footnote>
  <w:footnote w:id="29">
    <w:p w14:paraId="23FDABE9" w14:textId="660BC47F" w:rsidR="0084157E" w:rsidRDefault="0084157E" w:rsidP="00794FC8">
      <w:pPr>
        <w:pStyle w:val="FootnoteText"/>
      </w:pPr>
      <w:r>
        <w:rPr>
          <w:rStyle w:val="FootnoteReference"/>
        </w:rPr>
        <w:footnoteRef/>
      </w:r>
      <w:r>
        <w:t xml:space="preserve"> See </w:t>
      </w:r>
      <w:r w:rsidRPr="00D33E15">
        <w:rPr>
          <w:szCs w:val="26"/>
        </w:rPr>
        <w:t xml:space="preserve">T2WG Final Report </w:t>
      </w:r>
      <w:r>
        <w:rPr>
          <w:szCs w:val="26"/>
        </w:rPr>
        <w:t>p.</w:t>
      </w:r>
      <w:r w:rsidRPr="00D33E15">
        <w:rPr>
          <w:szCs w:val="26"/>
        </w:rPr>
        <w:t>42</w:t>
      </w:r>
      <w:r>
        <w:rPr>
          <w:szCs w:val="26"/>
        </w:rPr>
        <w:t>.</w:t>
      </w:r>
    </w:p>
  </w:footnote>
  <w:footnote w:id="30">
    <w:p w14:paraId="3A5FF6EC" w14:textId="627C2762" w:rsidR="0084157E" w:rsidRDefault="0084157E" w:rsidP="00F92900">
      <w:pPr>
        <w:pStyle w:val="FootnoteText"/>
      </w:pPr>
      <w:r>
        <w:rPr>
          <w:rStyle w:val="FootnoteReference"/>
        </w:rPr>
        <w:footnoteRef/>
      </w:r>
      <w:r>
        <w:t xml:space="preserve"> See T2WG Final Report </w:t>
      </w:r>
      <w:r>
        <w:rPr>
          <w:szCs w:val="26"/>
        </w:rPr>
        <w:t>p.</w:t>
      </w:r>
      <w:r w:rsidRPr="00D33E15">
        <w:rPr>
          <w:szCs w:val="26"/>
        </w:rPr>
        <w:t>54</w:t>
      </w:r>
      <w:r>
        <w:rPr>
          <w:szCs w:val="26"/>
        </w:rPr>
        <w:t>.</w:t>
      </w:r>
    </w:p>
  </w:footnote>
  <w:footnote w:id="31">
    <w:p w14:paraId="6C6D0686" w14:textId="23E16BB0" w:rsidR="0084157E" w:rsidRDefault="0084157E">
      <w:pPr>
        <w:pStyle w:val="FootnoteText"/>
      </w:pPr>
      <w:r>
        <w:rPr>
          <w:rStyle w:val="FootnoteReference"/>
        </w:rPr>
        <w:footnoteRef/>
      </w:r>
      <w:r>
        <w:t xml:space="preserve"> See </w:t>
      </w:r>
      <w:r w:rsidRPr="00D33E15">
        <w:rPr>
          <w:szCs w:val="26"/>
        </w:rPr>
        <w:t xml:space="preserve">T2WG Final Report </w:t>
      </w:r>
      <w:r>
        <w:rPr>
          <w:szCs w:val="26"/>
        </w:rPr>
        <w:t>p.</w:t>
      </w:r>
      <w:r w:rsidRPr="00D33E15">
        <w:rPr>
          <w:szCs w:val="26"/>
        </w:rPr>
        <w:t>44</w:t>
      </w:r>
      <w:r>
        <w:rPr>
          <w:szCs w:val="26"/>
        </w:rPr>
        <w:t>.</w:t>
      </w:r>
    </w:p>
  </w:footnote>
  <w:footnote w:id="32">
    <w:p w14:paraId="453A4813" w14:textId="18CD3AF6" w:rsidR="0084157E" w:rsidRDefault="0084157E">
      <w:pPr>
        <w:pStyle w:val="FootnoteText"/>
      </w:pPr>
      <w:r>
        <w:rPr>
          <w:rStyle w:val="FootnoteReference"/>
        </w:rPr>
        <w:footnoteRef/>
      </w:r>
      <w:r>
        <w:t xml:space="preserve"> See T2WG Final Report Table 4 p.41.  </w:t>
      </w:r>
    </w:p>
  </w:footnote>
  <w:footnote w:id="33">
    <w:p w14:paraId="39C05679" w14:textId="145B9C2D" w:rsidR="0084157E" w:rsidRDefault="0084157E" w:rsidP="00F02EED">
      <w:pPr>
        <w:pStyle w:val="FootnoteText"/>
      </w:pPr>
      <w:r>
        <w:rPr>
          <w:rStyle w:val="FootnoteReference"/>
        </w:rPr>
        <w:footnoteRef/>
      </w:r>
      <w:r>
        <w:t xml:space="preserve"> See T2WG Final Report p.49.</w:t>
      </w:r>
    </w:p>
  </w:footnote>
  <w:footnote w:id="34">
    <w:p w14:paraId="07E06665" w14:textId="18EE1AD9" w:rsidR="00D87737" w:rsidRDefault="00D87737">
      <w:pPr>
        <w:pStyle w:val="FootnoteText"/>
      </w:pPr>
      <w:r>
        <w:rPr>
          <w:rStyle w:val="FootnoteReference"/>
        </w:rPr>
        <w:footnoteRef/>
      </w:r>
      <w:r>
        <w:t xml:space="preserve"> </w:t>
      </w:r>
      <w:r w:rsidR="006D4ECA">
        <w:t xml:space="preserve">Examples may include, but </w:t>
      </w:r>
      <w:r w:rsidR="00CD2817">
        <w:t>are</w:t>
      </w:r>
      <w:r w:rsidR="006D4ECA">
        <w:t xml:space="preserve"> not limited to, providing documentation on the project’s development history or equipment servicing policies that the customer may have, information on the customer’s normal replacement, replacement, remodeling and equipment replacement practices</w:t>
      </w:r>
      <w:r w:rsidR="002822EA">
        <w:t>,</w:t>
      </w:r>
      <w:r w:rsidR="006D4ECA">
        <w:t xml:space="preserve"> or documentation on known standard efficiency equipment alternatives available in the market or those considered by the customer</w:t>
      </w:r>
      <w:r w:rsidRPr="00D87737">
        <w:t xml:space="preserve">.  </w:t>
      </w:r>
    </w:p>
  </w:footnote>
  <w:footnote w:id="35">
    <w:p w14:paraId="3978FA29" w14:textId="0188AC56" w:rsidR="00D87737" w:rsidRDefault="00D87737">
      <w:pPr>
        <w:pStyle w:val="FootnoteText"/>
      </w:pPr>
      <w:r>
        <w:rPr>
          <w:rStyle w:val="FootnoteReference"/>
        </w:rPr>
        <w:footnoteRef/>
      </w:r>
      <w:r>
        <w:t xml:space="preserve"> </w:t>
      </w:r>
      <w:bookmarkStart w:id="35" w:name="_Hlk56245152"/>
      <w:r w:rsidR="006D4ECA">
        <w:t xml:space="preserve">Examples may include, but </w:t>
      </w:r>
      <w:r w:rsidR="00CD2817">
        <w:t>are</w:t>
      </w:r>
      <w:r w:rsidR="006D4ECA">
        <w:t xml:space="preserve"> not limited to,</w:t>
      </w:r>
      <w:r>
        <w:t xml:space="preserve"> provid</w:t>
      </w:r>
      <w:r w:rsidR="006D4ECA">
        <w:t>ing</w:t>
      </w:r>
      <w:r>
        <w:t xml:space="preserve"> documentation on the project’s development history or equipment servicing policies that the </w:t>
      </w:r>
      <w:r w:rsidR="006D4ECA">
        <w:t>customer</w:t>
      </w:r>
      <w:r>
        <w:t xml:space="preserve"> may have</w:t>
      </w:r>
      <w:r w:rsidR="006D4ECA">
        <w:t xml:space="preserve">, </w:t>
      </w:r>
      <w:r>
        <w:t>information on the customer’s normal replacement, replacement, remodeling and equipment replacement practices</w:t>
      </w:r>
      <w:r w:rsidR="002822EA">
        <w:t>,</w:t>
      </w:r>
      <w:r>
        <w:t xml:space="preserve"> or documentation on known standard efficiency equipment alternatives available in the market or those considered by the customer.  </w:t>
      </w:r>
      <w:bookmarkEnd w:id="35"/>
    </w:p>
  </w:footnote>
  <w:footnote w:id="36">
    <w:p w14:paraId="0A255FEB" w14:textId="2D3CC2F4" w:rsidR="0084157E" w:rsidRDefault="0084157E" w:rsidP="00ED3321">
      <w:pPr>
        <w:pStyle w:val="CommentText"/>
      </w:pPr>
      <w:r>
        <w:rPr>
          <w:rStyle w:val="FootnoteReference"/>
        </w:rPr>
        <w:footnoteRef/>
      </w:r>
      <w:r>
        <w:t xml:space="preserve"> </w:t>
      </w:r>
      <w:r w:rsidR="006D4ECA" w:rsidRPr="006D4ECA">
        <w:t xml:space="preserve">Examples may include, but </w:t>
      </w:r>
      <w:r w:rsidR="00CD2817">
        <w:t>are</w:t>
      </w:r>
      <w:r w:rsidR="006D4ECA" w:rsidRPr="006D4ECA">
        <w:t xml:space="preserve"> not limited to, providing documentation on the project’s development history or equipment servicing policies that the customer may have, information on the customer’s normal replacement, replacement, remodeling and equipment replacement practices</w:t>
      </w:r>
      <w:r w:rsidR="002822EA">
        <w:t>,</w:t>
      </w:r>
      <w:r w:rsidR="006D4ECA" w:rsidRPr="006D4ECA">
        <w:t xml:space="preserve"> or documentation on known standard efficiency equipment alternatives available in the market or those considered by the customer.  </w:t>
      </w:r>
      <w:r w:rsidR="005F4CCB">
        <w:t xml:space="preserve">.  </w:t>
      </w:r>
    </w:p>
    <w:p w14:paraId="77BCED01" w14:textId="56DD6EE5" w:rsidR="0084157E" w:rsidRDefault="0084157E" w:rsidP="007D1212">
      <w:pPr>
        <w:pStyle w:val="FootnoteText"/>
      </w:pPr>
    </w:p>
  </w:footnote>
  <w:footnote w:id="37">
    <w:p w14:paraId="354DFDE8" w14:textId="198335A7" w:rsidR="0084157E" w:rsidRDefault="0084157E">
      <w:pPr>
        <w:pStyle w:val="FootnoteText"/>
      </w:pPr>
      <w:r>
        <w:rPr>
          <w:rStyle w:val="FootnoteReference"/>
        </w:rPr>
        <w:footnoteRef/>
      </w:r>
      <w:r>
        <w:t xml:space="preserve"> See T2WG Final Report p.50.</w:t>
      </w:r>
    </w:p>
  </w:footnote>
  <w:footnote w:id="38">
    <w:p w14:paraId="079C887F" w14:textId="77777777" w:rsidR="0084157E" w:rsidRDefault="0084157E" w:rsidP="00223CDE">
      <w:pPr>
        <w:pStyle w:val="FootnoteText"/>
      </w:pPr>
      <w:r>
        <w:rPr>
          <w:rStyle w:val="FootnoteReference"/>
        </w:rPr>
        <w:footnoteRef/>
      </w:r>
      <w:r>
        <w:t xml:space="preserve"> A </w:t>
      </w:r>
      <w:proofErr w:type="gramStart"/>
      <w:r>
        <w:t>free-rider</w:t>
      </w:r>
      <w:proofErr w:type="gramEnd"/>
      <w:r>
        <w:t xml:space="preserve"> is a customer participant who would have taken the more energy efficient action regardless of any program intervention. </w:t>
      </w:r>
    </w:p>
  </w:footnote>
  <w:footnote w:id="39">
    <w:p w14:paraId="44E70B76" w14:textId="77777777" w:rsidR="0084157E" w:rsidRDefault="0084157E" w:rsidP="009979DC">
      <w:pPr>
        <w:pStyle w:val="FootnoteText"/>
      </w:pPr>
      <w:r>
        <w:rPr>
          <w:rStyle w:val="FootnoteReference"/>
        </w:rPr>
        <w:footnoteRef/>
      </w:r>
      <w:r>
        <w:t xml:space="preserve"> R</w:t>
      </w:r>
      <w:r w:rsidRPr="00672F56">
        <w:t>efer to Table 1 in Section 2.5, per the CPUC Resolutions E-4818</w:t>
      </w:r>
      <w:r>
        <w:t xml:space="preserve">. Examples of measure application types include normal replacement, new construction, or add-on equipment. </w:t>
      </w:r>
    </w:p>
  </w:footnote>
  <w:footnote w:id="40">
    <w:p w14:paraId="14F4006A" w14:textId="77777777" w:rsidR="0084157E" w:rsidRDefault="0084157E" w:rsidP="008C786B">
      <w:pPr>
        <w:pStyle w:val="FootnoteText"/>
      </w:pPr>
      <w:r>
        <w:rPr>
          <w:rStyle w:val="FootnoteReference"/>
        </w:rPr>
        <w:footnoteRef/>
      </w:r>
      <w:r>
        <w:t xml:space="preserve"> The “</w:t>
      </w:r>
      <w:r w:rsidRPr="00D85801">
        <w:t>Project basis as Early Retirement (ER)/Replace-on-burnout (ROB)/Normal Replacement (NR)/New Construction (NC)/Add-on Retrofit (Ret) and remaining/Effective useful Life (RUL/EUL), and Preponderance of evidence</w:t>
      </w:r>
      <w:r>
        <w:t>” document.</w:t>
      </w:r>
    </w:p>
  </w:footnote>
  <w:footnote w:id="41">
    <w:p w14:paraId="7E605929" w14:textId="77777777" w:rsidR="0084157E" w:rsidRDefault="0084157E" w:rsidP="00C913A6">
      <w:pPr>
        <w:pStyle w:val="FootnoteText"/>
      </w:pPr>
      <w:r>
        <w:rPr>
          <w:rStyle w:val="FootnoteReference"/>
        </w:rPr>
        <w:footnoteRef/>
      </w:r>
      <w:r>
        <w:t xml:space="preserve"> CPUC Public Documents Area URL: </w:t>
      </w:r>
      <w:r w:rsidRPr="00821A90">
        <w:t>https://pda.energydataweb.com/#!/</w:t>
      </w:r>
      <w:r>
        <w:t xml:space="preserve">.  </w:t>
      </w:r>
    </w:p>
  </w:footnote>
  <w:footnote w:id="42">
    <w:p w14:paraId="39407C7F" w14:textId="628FBBE3" w:rsidR="0084157E" w:rsidRDefault="0084157E">
      <w:pPr>
        <w:pStyle w:val="FootnoteText"/>
      </w:pPr>
      <w:r>
        <w:rPr>
          <w:rStyle w:val="FootnoteReference"/>
        </w:rPr>
        <w:footnoteRef/>
      </w:r>
      <w:r>
        <w:t xml:space="preserve"> </w:t>
      </w:r>
      <w:r w:rsidRPr="0073441C">
        <w:t>https://www.cpuc.ca.gov/General.aspx?id=4133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F2D8" w14:textId="77777777" w:rsidR="001F3E6D" w:rsidRPr="00FB47BA" w:rsidRDefault="001F3E6D" w:rsidP="001F3E6D">
    <w:pPr>
      <w:pStyle w:val="Header"/>
      <w:tabs>
        <w:tab w:val="right" w:pos="9180"/>
      </w:tabs>
      <w:spacing w:after="0"/>
      <w:rPr>
        <w:sz w:val="26"/>
        <w:szCs w:val="26"/>
      </w:rPr>
    </w:pPr>
    <w:r w:rsidRPr="005242E8">
      <w:rPr>
        <w:sz w:val="26"/>
        <w:szCs w:val="26"/>
      </w:rPr>
      <w:t xml:space="preserve">Resolution </w:t>
    </w:r>
    <w:r w:rsidRPr="00856CFB">
      <w:rPr>
        <w:sz w:val="26"/>
        <w:szCs w:val="26"/>
      </w:rPr>
      <w:t>E-</w:t>
    </w:r>
    <w:r>
      <w:rPr>
        <w:sz w:val="26"/>
        <w:szCs w:val="26"/>
      </w:rPr>
      <w:t>5115</w:t>
    </w:r>
    <w:r w:rsidRPr="00FB47BA">
      <w:rPr>
        <w:sz w:val="26"/>
        <w:szCs w:val="26"/>
      </w:rPr>
      <w:tab/>
      <w:t>DRAFT</w:t>
    </w:r>
    <w:r w:rsidRPr="00FB47BA">
      <w:rPr>
        <w:sz w:val="26"/>
        <w:szCs w:val="26"/>
      </w:rPr>
      <w:tab/>
    </w:r>
    <w:r>
      <w:rPr>
        <w:sz w:val="26"/>
        <w:szCs w:val="26"/>
      </w:rPr>
      <w:t>January 14</w:t>
    </w:r>
    <w:r w:rsidRPr="00CE0FC5">
      <w:rPr>
        <w:sz w:val="26"/>
        <w:szCs w:val="26"/>
      </w:rPr>
      <w:t>, 202</w:t>
    </w:r>
    <w:r>
      <w:rPr>
        <w:sz w:val="26"/>
        <w:szCs w:val="26"/>
      </w:rPr>
      <w:t>1</w:t>
    </w:r>
  </w:p>
  <w:p w14:paraId="42C718E4" w14:textId="6DEB02CA" w:rsidR="00AC0E3A" w:rsidRPr="001F3E6D" w:rsidRDefault="00AC0E3A" w:rsidP="001F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AAA6" w14:textId="136C4927" w:rsidR="00AC0E3A" w:rsidRDefault="00AC0E3A">
    <w:pPr>
      <w:pStyle w:val="Header"/>
    </w:pPr>
    <w: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7C1D"/>
    <w:multiLevelType w:val="hybridMultilevel"/>
    <w:tmpl w:val="45BCC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91769E"/>
    <w:multiLevelType w:val="hybridMultilevel"/>
    <w:tmpl w:val="AA6A1BCA"/>
    <w:lvl w:ilvl="0" w:tplc="0664AC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6AB17CC"/>
    <w:multiLevelType w:val="multilevel"/>
    <w:tmpl w:val="D1DA56B6"/>
    <w:lvl w:ilvl="0">
      <w:start w:val="1"/>
      <w:numFmt w:val="decimal"/>
      <w:pStyle w:val="nu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47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CCC4BF6"/>
    <w:multiLevelType w:val="hybridMultilevel"/>
    <w:tmpl w:val="38B4D3F6"/>
    <w:lvl w:ilvl="0" w:tplc="DAC43C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F4A6A20"/>
    <w:multiLevelType w:val="hybridMultilevel"/>
    <w:tmpl w:val="8F588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E59FC"/>
    <w:multiLevelType w:val="hybridMultilevel"/>
    <w:tmpl w:val="4BC649B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71938"/>
    <w:multiLevelType w:val="hybridMultilevel"/>
    <w:tmpl w:val="B0982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465DE"/>
    <w:multiLevelType w:val="hybridMultilevel"/>
    <w:tmpl w:val="F972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1621F"/>
    <w:multiLevelType w:val="hybridMultilevel"/>
    <w:tmpl w:val="A412B41C"/>
    <w:lvl w:ilvl="0" w:tplc="83E0BB36">
      <w:start w:val="1"/>
      <w:numFmt w:val="bullet"/>
      <w:lvlText w:val=""/>
      <w:lvlJc w:val="left"/>
      <w:pPr>
        <w:ind w:left="1080" w:hanging="360"/>
      </w:pPr>
      <w:rPr>
        <w:rFonts w:ascii="Symbol" w:hAnsi="Symbol" w:hint="default"/>
      </w:rPr>
    </w:lvl>
    <w:lvl w:ilvl="1" w:tplc="B74A3E36" w:tentative="1">
      <w:start w:val="1"/>
      <w:numFmt w:val="bullet"/>
      <w:lvlText w:val="o"/>
      <w:lvlJc w:val="left"/>
      <w:pPr>
        <w:ind w:left="1800" w:hanging="360"/>
      </w:pPr>
      <w:rPr>
        <w:rFonts w:ascii="Courier New" w:hAnsi="Courier New" w:cs="Courier New" w:hint="default"/>
      </w:rPr>
    </w:lvl>
    <w:lvl w:ilvl="2" w:tplc="087AAE72" w:tentative="1">
      <w:start w:val="1"/>
      <w:numFmt w:val="bullet"/>
      <w:lvlText w:val=""/>
      <w:lvlJc w:val="left"/>
      <w:pPr>
        <w:ind w:left="2520" w:hanging="360"/>
      </w:pPr>
      <w:rPr>
        <w:rFonts w:ascii="Wingdings" w:hAnsi="Wingdings" w:hint="default"/>
      </w:rPr>
    </w:lvl>
    <w:lvl w:ilvl="3" w:tplc="CC0470BC" w:tentative="1">
      <w:start w:val="1"/>
      <w:numFmt w:val="bullet"/>
      <w:lvlText w:val=""/>
      <w:lvlJc w:val="left"/>
      <w:pPr>
        <w:ind w:left="3240" w:hanging="360"/>
      </w:pPr>
      <w:rPr>
        <w:rFonts w:ascii="Symbol" w:hAnsi="Symbol" w:hint="default"/>
      </w:rPr>
    </w:lvl>
    <w:lvl w:ilvl="4" w:tplc="577C8DC6" w:tentative="1">
      <w:start w:val="1"/>
      <w:numFmt w:val="bullet"/>
      <w:lvlText w:val="o"/>
      <w:lvlJc w:val="left"/>
      <w:pPr>
        <w:ind w:left="3960" w:hanging="360"/>
      </w:pPr>
      <w:rPr>
        <w:rFonts w:ascii="Courier New" w:hAnsi="Courier New" w:cs="Courier New" w:hint="default"/>
      </w:rPr>
    </w:lvl>
    <w:lvl w:ilvl="5" w:tplc="5DC26700" w:tentative="1">
      <w:start w:val="1"/>
      <w:numFmt w:val="bullet"/>
      <w:lvlText w:val=""/>
      <w:lvlJc w:val="left"/>
      <w:pPr>
        <w:ind w:left="4680" w:hanging="360"/>
      </w:pPr>
      <w:rPr>
        <w:rFonts w:ascii="Wingdings" w:hAnsi="Wingdings" w:hint="default"/>
      </w:rPr>
    </w:lvl>
    <w:lvl w:ilvl="6" w:tplc="E18E9162" w:tentative="1">
      <w:start w:val="1"/>
      <w:numFmt w:val="bullet"/>
      <w:lvlText w:val=""/>
      <w:lvlJc w:val="left"/>
      <w:pPr>
        <w:ind w:left="5400" w:hanging="360"/>
      </w:pPr>
      <w:rPr>
        <w:rFonts w:ascii="Symbol" w:hAnsi="Symbol" w:hint="default"/>
      </w:rPr>
    </w:lvl>
    <w:lvl w:ilvl="7" w:tplc="D214F79A" w:tentative="1">
      <w:start w:val="1"/>
      <w:numFmt w:val="bullet"/>
      <w:lvlText w:val="o"/>
      <w:lvlJc w:val="left"/>
      <w:pPr>
        <w:ind w:left="6120" w:hanging="360"/>
      </w:pPr>
      <w:rPr>
        <w:rFonts w:ascii="Courier New" w:hAnsi="Courier New" w:cs="Courier New" w:hint="default"/>
      </w:rPr>
    </w:lvl>
    <w:lvl w:ilvl="8" w:tplc="9594DE82" w:tentative="1">
      <w:start w:val="1"/>
      <w:numFmt w:val="bullet"/>
      <w:lvlText w:val=""/>
      <w:lvlJc w:val="left"/>
      <w:pPr>
        <w:ind w:left="6840" w:hanging="360"/>
      </w:pPr>
      <w:rPr>
        <w:rFonts w:ascii="Wingdings" w:hAnsi="Wingdings" w:hint="default"/>
      </w:rPr>
    </w:lvl>
  </w:abstractNum>
  <w:abstractNum w:abstractNumId="9" w15:restartNumberingAfterBreak="0">
    <w:nsid w:val="570E0F79"/>
    <w:multiLevelType w:val="hybridMultilevel"/>
    <w:tmpl w:val="02B2CD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E157DA"/>
    <w:multiLevelType w:val="hybridMultilevel"/>
    <w:tmpl w:val="8F2E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25476"/>
    <w:multiLevelType w:val="singleLevel"/>
    <w:tmpl w:val="0409000F"/>
    <w:lvl w:ilvl="0">
      <w:start w:val="1"/>
      <w:numFmt w:val="decimal"/>
      <w:lvlText w:val="%1."/>
      <w:lvlJc w:val="left"/>
      <w:pPr>
        <w:ind w:left="720" w:hanging="360"/>
      </w:pPr>
    </w:lvl>
  </w:abstractNum>
  <w:abstractNum w:abstractNumId="12" w15:restartNumberingAfterBreak="0">
    <w:nsid w:val="71C44EE0"/>
    <w:multiLevelType w:val="hybridMultilevel"/>
    <w:tmpl w:val="38B4D3F6"/>
    <w:lvl w:ilvl="0" w:tplc="DAC43C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74A8271C"/>
    <w:multiLevelType w:val="hybridMultilevel"/>
    <w:tmpl w:val="36E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75D1F"/>
    <w:multiLevelType w:val="hybridMultilevel"/>
    <w:tmpl w:val="8F588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0"/>
  </w:num>
  <w:num w:numId="5">
    <w:abstractNumId w:val="10"/>
  </w:num>
  <w:num w:numId="6">
    <w:abstractNumId w:val="13"/>
  </w:num>
  <w:num w:numId="7">
    <w:abstractNumId w:val="14"/>
  </w:num>
  <w:num w:numId="8">
    <w:abstractNumId w:val="12"/>
  </w:num>
  <w:num w:numId="9">
    <w:abstractNumId w:val="4"/>
  </w:num>
  <w:num w:numId="10">
    <w:abstractNumId w:val="6"/>
  </w:num>
  <w:num w:numId="11">
    <w:abstractNumId w:val="11"/>
  </w:num>
  <w:num w:numId="12">
    <w:abstractNumId w:val="5"/>
  </w:num>
  <w:num w:numId="13">
    <w:abstractNumId w:val="3"/>
  </w:num>
  <w:num w:numId="14">
    <w:abstractNumId w:val="7"/>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26"/>
    <w:rsid w:val="000000DF"/>
    <w:rsid w:val="0000042F"/>
    <w:rsid w:val="000015B0"/>
    <w:rsid w:val="00001EAE"/>
    <w:rsid w:val="0000321E"/>
    <w:rsid w:val="00004A50"/>
    <w:rsid w:val="00005CD9"/>
    <w:rsid w:val="00005DA9"/>
    <w:rsid w:val="00005F24"/>
    <w:rsid w:val="00006295"/>
    <w:rsid w:val="000067FD"/>
    <w:rsid w:val="00007C79"/>
    <w:rsid w:val="0001075E"/>
    <w:rsid w:val="0001125C"/>
    <w:rsid w:val="000113DE"/>
    <w:rsid w:val="000116E7"/>
    <w:rsid w:val="000117E2"/>
    <w:rsid w:val="000118D8"/>
    <w:rsid w:val="00013693"/>
    <w:rsid w:val="000136DF"/>
    <w:rsid w:val="00013E16"/>
    <w:rsid w:val="00013EA8"/>
    <w:rsid w:val="00014858"/>
    <w:rsid w:val="0001512D"/>
    <w:rsid w:val="000155BD"/>
    <w:rsid w:val="00015A89"/>
    <w:rsid w:val="00016812"/>
    <w:rsid w:val="000168B3"/>
    <w:rsid w:val="00016B1D"/>
    <w:rsid w:val="00017015"/>
    <w:rsid w:val="0001716B"/>
    <w:rsid w:val="000172BD"/>
    <w:rsid w:val="00017E14"/>
    <w:rsid w:val="00021B7B"/>
    <w:rsid w:val="00022076"/>
    <w:rsid w:val="0002213E"/>
    <w:rsid w:val="000236B8"/>
    <w:rsid w:val="00023A87"/>
    <w:rsid w:val="00023BE8"/>
    <w:rsid w:val="00023F8D"/>
    <w:rsid w:val="00024D6D"/>
    <w:rsid w:val="00025169"/>
    <w:rsid w:val="0002555A"/>
    <w:rsid w:val="00025BE5"/>
    <w:rsid w:val="00025C1C"/>
    <w:rsid w:val="00026A3F"/>
    <w:rsid w:val="00026B31"/>
    <w:rsid w:val="000271C5"/>
    <w:rsid w:val="000275A6"/>
    <w:rsid w:val="00027727"/>
    <w:rsid w:val="00030285"/>
    <w:rsid w:val="0003085C"/>
    <w:rsid w:val="00030D65"/>
    <w:rsid w:val="00030F74"/>
    <w:rsid w:val="000318A1"/>
    <w:rsid w:val="00032474"/>
    <w:rsid w:val="00032F5F"/>
    <w:rsid w:val="00033106"/>
    <w:rsid w:val="0003361B"/>
    <w:rsid w:val="00033FFD"/>
    <w:rsid w:val="00034493"/>
    <w:rsid w:val="00036179"/>
    <w:rsid w:val="00036320"/>
    <w:rsid w:val="00036780"/>
    <w:rsid w:val="000368D5"/>
    <w:rsid w:val="000405C9"/>
    <w:rsid w:val="00040848"/>
    <w:rsid w:val="000413C2"/>
    <w:rsid w:val="000416E1"/>
    <w:rsid w:val="000434BE"/>
    <w:rsid w:val="00043E92"/>
    <w:rsid w:val="00043F77"/>
    <w:rsid w:val="00044299"/>
    <w:rsid w:val="00044B79"/>
    <w:rsid w:val="00044D18"/>
    <w:rsid w:val="0004517C"/>
    <w:rsid w:val="000451E7"/>
    <w:rsid w:val="00045355"/>
    <w:rsid w:val="0004634F"/>
    <w:rsid w:val="00046527"/>
    <w:rsid w:val="00046D9F"/>
    <w:rsid w:val="000508C6"/>
    <w:rsid w:val="00051F9C"/>
    <w:rsid w:val="000539CF"/>
    <w:rsid w:val="0005430E"/>
    <w:rsid w:val="00054B07"/>
    <w:rsid w:val="000559D6"/>
    <w:rsid w:val="00056002"/>
    <w:rsid w:val="0005635D"/>
    <w:rsid w:val="00056528"/>
    <w:rsid w:val="00056712"/>
    <w:rsid w:val="00056A45"/>
    <w:rsid w:val="00060562"/>
    <w:rsid w:val="0006309F"/>
    <w:rsid w:val="000642D0"/>
    <w:rsid w:val="00064D44"/>
    <w:rsid w:val="00066D5F"/>
    <w:rsid w:val="00067238"/>
    <w:rsid w:val="0007113F"/>
    <w:rsid w:val="000723A7"/>
    <w:rsid w:val="0007323C"/>
    <w:rsid w:val="000759C4"/>
    <w:rsid w:val="00075BD3"/>
    <w:rsid w:val="00076C6B"/>
    <w:rsid w:val="000773AB"/>
    <w:rsid w:val="00077A6F"/>
    <w:rsid w:val="000800E5"/>
    <w:rsid w:val="00080364"/>
    <w:rsid w:val="00080C4D"/>
    <w:rsid w:val="00080ED5"/>
    <w:rsid w:val="000810A4"/>
    <w:rsid w:val="000823FD"/>
    <w:rsid w:val="000825AA"/>
    <w:rsid w:val="00082815"/>
    <w:rsid w:val="00082B23"/>
    <w:rsid w:val="000831E0"/>
    <w:rsid w:val="0008351A"/>
    <w:rsid w:val="00083E86"/>
    <w:rsid w:val="0008494E"/>
    <w:rsid w:val="00084A2E"/>
    <w:rsid w:val="00085B38"/>
    <w:rsid w:val="00086BA6"/>
    <w:rsid w:val="00086CC2"/>
    <w:rsid w:val="0008753E"/>
    <w:rsid w:val="00087AEA"/>
    <w:rsid w:val="00087F8A"/>
    <w:rsid w:val="000905A9"/>
    <w:rsid w:val="0009128F"/>
    <w:rsid w:val="000913C4"/>
    <w:rsid w:val="00092106"/>
    <w:rsid w:val="00092410"/>
    <w:rsid w:val="000924FB"/>
    <w:rsid w:val="000927E0"/>
    <w:rsid w:val="00093C00"/>
    <w:rsid w:val="000946EC"/>
    <w:rsid w:val="00094707"/>
    <w:rsid w:val="00094737"/>
    <w:rsid w:val="00094754"/>
    <w:rsid w:val="000949C1"/>
    <w:rsid w:val="000951E8"/>
    <w:rsid w:val="00095C66"/>
    <w:rsid w:val="000964F5"/>
    <w:rsid w:val="0009653B"/>
    <w:rsid w:val="000973CA"/>
    <w:rsid w:val="0009745D"/>
    <w:rsid w:val="000A1340"/>
    <w:rsid w:val="000A1937"/>
    <w:rsid w:val="000A34C7"/>
    <w:rsid w:val="000A41BA"/>
    <w:rsid w:val="000A4378"/>
    <w:rsid w:val="000A46BE"/>
    <w:rsid w:val="000A62B9"/>
    <w:rsid w:val="000A6437"/>
    <w:rsid w:val="000A6A71"/>
    <w:rsid w:val="000A76D1"/>
    <w:rsid w:val="000A7E21"/>
    <w:rsid w:val="000A7E96"/>
    <w:rsid w:val="000B05EA"/>
    <w:rsid w:val="000B1049"/>
    <w:rsid w:val="000B1854"/>
    <w:rsid w:val="000B1C67"/>
    <w:rsid w:val="000B1D72"/>
    <w:rsid w:val="000B2086"/>
    <w:rsid w:val="000B2149"/>
    <w:rsid w:val="000B2C46"/>
    <w:rsid w:val="000B317B"/>
    <w:rsid w:val="000B328D"/>
    <w:rsid w:val="000B4B0E"/>
    <w:rsid w:val="000B5201"/>
    <w:rsid w:val="000B629F"/>
    <w:rsid w:val="000B6B3D"/>
    <w:rsid w:val="000B6E9F"/>
    <w:rsid w:val="000B7349"/>
    <w:rsid w:val="000C0644"/>
    <w:rsid w:val="000C0A46"/>
    <w:rsid w:val="000C1400"/>
    <w:rsid w:val="000C1DC8"/>
    <w:rsid w:val="000C2367"/>
    <w:rsid w:val="000C24D9"/>
    <w:rsid w:val="000C2892"/>
    <w:rsid w:val="000C294B"/>
    <w:rsid w:val="000C2D74"/>
    <w:rsid w:val="000C4944"/>
    <w:rsid w:val="000C512C"/>
    <w:rsid w:val="000C7019"/>
    <w:rsid w:val="000D01A5"/>
    <w:rsid w:val="000D0451"/>
    <w:rsid w:val="000D0488"/>
    <w:rsid w:val="000D110D"/>
    <w:rsid w:val="000D1F56"/>
    <w:rsid w:val="000D25F1"/>
    <w:rsid w:val="000D289F"/>
    <w:rsid w:val="000D2920"/>
    <w:rsid w:val="000D37B9"/>
    <w:rsid w:val="000D49DD"/>
    <w:rsid w:val="000D5490"/>
    <w:rsid w:val="000D54A5"/>
    <w:rsid w:val="000D717D"/>
    <w:rsid w:val="000E041B"/>
    <w:rsid w:val="000E057B"/>
    <w:rsid w:val="000E0C32"/>
    <w:rsid w:val="000E1140"/>
    <w:rsid w:val="000E1301"/>
    <w:rsid w:val="000E187A"/>
    <w:rsid w:val="000E2679"/>
    <w:rsid w:val="000E29C5"/>
    <w:rsid w:val="000E345D"/>
    <w:rsid w:val="000E4065"/>
    <w:rsid w:val="000E50FF"/>
    <w:rsid w:val="000E51AA"/>
    <w:rsid w:val="000E529F"/>
    <w:rsid w:val="000E6682"/>
    <w:rsid w:val="000E67D0"/>
    <w:rsid w:val="000E6924"/>
    <w:rsid w:val="000E6FE1"/>
    <w:rsid w:val="000E71BC"/>
    <w:rsid w:val="000E75D1"/>
    <w:rsid w:val="000E7B30"/>
    <w:rsid w:val="000F094A"/>
    <w:rsid w:val="000F0F42"/>
    <w:rsid w:val="000F112C"/>
    <w:rsid w:val="000F1320"/>
    <w:rsid w:val="000F15AF"/>
    <w:rsid w:val="000F176D"/>
    <w:rsid w:val="000F1A30"/>
    <w:rsid w:val="000F2815"/>
    <w:rsid w:val="000F4C98"/>
    <w:rsid w:val="000F55E4"/>
    <w:rsid w:val="000F743D"/>
    <w:rsid w:val="000F76EC"/>
    <w:rsid w:val="000F7D42"/>
    <w:rsid w:val="000F7DE5"/>
    <w:rsid w:val="0010104C"/>
    <w:rsid w:val="00101A96"/>
    <w:rsid w:val="00101D1F"/>
    <w:rsid w:val="00101D64"/>
    <w:rsid w:val="00103357"/>
    <w:rsid w:val="00104495"/>
    <w:rsid w:val="0010449F"/>
    <w:rsid w:val="0010472A"/>
    <w:rsid w:val="00105378"/>
    <w:rsid w:val="0010658E"/>
    <w:rsid w:val="00107801"/>
    <w:rsid w:val="00110F46"/>
    <w:rsid w:val="00112B8C"/>
    <w:rsid w:val="00113013"/>
    <w:rsid w:val="001131CD"/>
    <w:rsid w:val="00113AEE"/>
    <w:rsid w:val="00114159"/>
    <w:rsid w:val="001141A1"/>
    <w:rsid w:val="0011461A"/>
    <w:rsid w:val="00114885"/>
    <w:rsid w:val="0011574F"/>
    <w:rsid w:val="0011584F"/>
    <w:rsid w:val="00115F4F"/>
    <w:rsid w:val="0011624D"/>
    <w:rsid w:val="001166EC"/>
    <w:rsid w:val="00117B61"/>
    <w:rsid w:val="00117D58"/>
    <w:rsid w:val="0012057F"/>
    <w:rsid w:val="00120F33"/>
    <w:rsid w:val="00121339"/>
    <w:rsid w:val="00122259"/>
    <w:rsid w:val="001223A5"/>
    <w:rsid w:val="00122945"/>
    <w:rsid w:val="00122B94"/>
    <w:rsid w:val="00122D3D"/>
    <w:rsid w:val="00122E47"/>
    <w:rsid w:val="0012372B"/>
    <w:rsid w:val="001237E4"/>
    <w:rsid w:val="001258B5"/>
    <w:rsid w:val="001258E9"/>
    <w:rsid w:val="00126630"/>
    <w:rsid w:val="0012671F"/>
    <w:rsid w:val="00126C5E"/>
    <w:rsid w:val="0012775C"/>
    <w:rsid w:val="00127C67"/>
    <w:rsid w:val="001308FE"/>
    <w:rsid w:val="00130DE9"/>
    <w:rsid w:val="00131789"/>
    <w:rsid w:val="001320E8"/>
    <w:rsid w:val="00132217"/>
    <w:rsid w:val="001322F6"/>
    <w:rsid w:val="001333AA"/>
    <w:rsid w:val="00133412"/>
    <w:rsid w:val="001334BF"/>
    <w:rsid w:val="001335E3"/>
    <w:rsid w:val="00133ADB"/>
    <w:rsid w:val="00133CC5"/>
    <w:rsid w:val="00133D03"/>
    <w:rsid w:val="001344F2"/>
    <w:rsid w:val="00135852"/>
    <w:rsid w:val="001364D6"/>
    <w:rsid w:val="001373DF"/>
    <w:rsid w:val="0013783C"/>
    <w:rsid w:val="001378B4"/>
    <w:rsid w:val="001401CB"/>
    <w:rsid w:val="001405C1"/>
    <w:rsid w:val="001410E6"/>
    <w:rsid w:val="00141C20"/>
    <w:rsid w:val="0014245D"/>
    <w:rsid w:val="00142D3E"/>
    <w:rsid w:val="00142F05"/>
    <w:rsid w:val="00143C64"/>
    <w:rsid w:val="001440DC"/>
    <w:rsid w:val="00144112"/>
    <w:rsid w:val="001454AE"/>
    <w:rsid w:val="001455C7"/>
    <w:rsid w:val="00146F9E"/>
    <w:rsid w:val="0015132F"/>
    <w:rsid w:val="00151677"/>
    <w:rsid w:val="00151C17"/>
    <w:rsid w:val="00153E70"/>
    <w:rsid w:val="001542F2"/>
    <w:rsid w:val="001543B0"/>
    <w:rsid w:val="00154C58"/>
    <w:rsid w:val="00156B07"/>
    <w:rsid w:val="00156BC2"/>
    <w:rsid w:val="00156F17"/>
    <w:rsid w:val="001575E9"/>
    <w:rsid w:val="0015776C"/>
    <w:rsid w:val="00160A12"/>
    <w:rsid w:val="00160B99"/>
    <w:rsid w:val="00161542"/>
    <w:rsid w:val="001615A3"/>
    <w:rsid w:val="00161980"/>
    <w:rsid w:val="00161CE4"/>
    <w:rsid w:val="00162283"/>
    <w:rsid w:val="001624C5"/>
    <w:rsid w:val="00162AB3"/>
    <w:rsid w:val="00163162"/>
    <w:rsid w:val="00163255"/>
    <w:rsid w:val="00163582"/>
    <w:rsid w:val="00163651"/>
    <w:rsid w:val="00163B39"/>
    <w:rsid w:val="00163D07"/>
    <w:rsid w:val="00164E68"/>
    <w:rsid w:val="00165ABC"/>
    <w:rsid w:val="00165C62"/>
    <w:rsid w:val="00166236"/>
    <w:rsid w:val="00167C31"/>
    <w:rsid w:val="00170344"/>
    <w:rsid w:val="001703EB"/>
    <w:rsid w:val="00172598"/>
    <w:rsid w:val="00172821"/>
    <w:rsid w:val="00172AA8"/>
    <w:rsid w:val="00172F13"/>
    <w:rsid w:val="00173320"/>
    <w:rsid w:val="00173396"/>
    <w:rsid w:val="00174389"/>
    <w:rsid w:val="00174B19"/>
    <w:rsid w:val="00174EDA"/>
    <w:rsid w:val="00176235"/>
    <w:rsid w:val="001778FF"/>
    <w:rsid w:val="00180865"/>
    <w:rsid w:val="00182353"/>
    <w:rsid w:val="001828B8"/>
    <w:rsid w:val="0018387E"/>
    <w:rsid w:val="00184799"/>
    <w:rsid w:val="00184952"/>
    <w:rsid w:val="001849E1"/>
    <w:rsid w:val="00185913"/>
    <w:rsid w:val="00185F84"/>
    <w:rsid w:val="00187EEF"/>
    <w:rsid w:val="00190331"/>
    <w:rsid w:val="00190DA2"/>
    <w:rsid w:val="0019177E"/>
    <w:rsid w:val="0019183C"/>
    <w:rsid w:val="00191B6F"/>
    <w:rsid w:val="001923F1"/>
    <w:rsid w:val="00193F73"/>
    <w:rsid w:val="001941E2"/>
    <w:rsid w:val="00195012"/>
    <w:rsid w:val="001979B6"/>
    <w:rsid w:val="00197F0B"/>
    <w:rsid w:val="001A010F"/>
    <w:rsid w:val="001A08B9"/>
    <w:rsid w:val="001A0B71"/>
    <w:rsid w:val="001A0F9D"/>
    <w:rsid w:val="001A12C9"/>
    <w:rsid w:val="001A1F97"/>
    <w:rsid w:val="001A2029"/>
    <w:rsid w:val="001A2052"/>
    <w:rsid w:val="001A3E87"/>
    <w:rsid w:val="001A4507"/>
    <w:rsid w:val="001A47E1"/>
    <w:rsid w:val="001A49ED"/>
    <w:rsid w:val="001A4E14"/>
    <w:rsid w:val="001A5E6B"/>
    <w:rsid w:val="001A669F"/>
    <w:rsid w:val="001A68EE"/>
    <w:rsid w:val="001A6AE1"/>
    <w:rsid w:val="001A6BC3"/>
    <w:rsid w:val="001A6C69"/>
    <w:rsid w:val="001A6E69"/>
    <w:rsid w:val="001A775D"/>
    <w:rsid w:val="001A7D7F"/>
    <w:rsid w:val="001B053B"/>
    <w:rsid w:val="001B0A0A"/>
    <w:rsid w:val="001B0EA6"/>
    <w:rsid w:val="001B0F46"/>
    <w:rsid w:val="001B14C9"/>
    <w:rsid w:val="001B1B6E"/>
    <w:rsid w:val="001B1D4A"/>
    <w:rsid w:val="001B1F12"/>
    <w:rsid w:val="001B2F09"/>
    <w:rsid w:val="001B31C5"/>
    <w:rsid w:val="001B32A4"/>
    <w:rsid w:val="001B398A"/>
    <w:rsid w:val="001B3E45"/>
    <w:rsid w:val="001B3EE5"/>
    <w:rsid w:val="001B428C"/>
    <w:rsid w:val="001B4A59"/>
    <w:rsid w:val="001B4FA5"/>
    <w:rsid w:val="001B5464"/>
    <w:rsid w:val="001B5BA0"/>
    <w:rsid w:val="001B670F"/>
    <w:rsid w:val="001B68DC"/>
    <w:rsid w:val="001B6A24"/>
    <w:rsid w:val="001B6AA5"/>
    <w:rsid w:val="001B6F03"/>
    <w:rsid w:val="001B7BFA"/>
    <w:rsid w:val="001C085A"/>
    <w:rsid w:val="001C08CE"/>
    <w:rsid w:val="001C0E4F"/>
    <w:rsid w:val="001C1908"/>
    <w:rsid w:val="001C1F1C"/>
    <w:rsid w:val="001C2198"/>
    <w:rsid w:val="001C22BE"/>
    <w:rsid w:val="001C2B91"/>
    <w:rsid w:val="001C2DA2"/>
    <w:rsid w:val="001C36A0"/>
    <w:rsid w:val="001C4054"/>
    <w:rsid w:val="001C4512"/>
    <w:rsid w:val="001C4558"/>
    <w:rsid w:val="001C5FA8"/>
    <w:rsid w:val="001C65DA"/>
    <w:rsid w:val="001C6C17"/>
    <w:rsid w:val="001C6C56"/>
    <w:rsid w:val="001C6D46"/>
    <w:rsid w:val="001C739E"/>
    <w:rsid w:val="001C73FE"/>
    <w:rsid w:val="001D00F8"/>
    <w:rsid w:val="001D013C"/>
    <w:rsid w:val="001D0255"/>
    <w:rsid w:val="001D0C4D"/>
    <w:rsid w:val="001D10CE"/>
    <w:rsid w:val="001D2710"/>
    <w:rsid w:val="001D2B1A"/>
    <w:rsid w:val="001D4ADC"/>
    <w:rsid w:val="001D4E1D"/>
    <w:rsid w:val="001D77D8"/>
    <w:rsid w:val="001D7817"/>
    <w:rsid w:val="001D7C1A"/>
    <w:rsid w:val="001E00D3"/>
    <w:rsid w:val="001E0279"/>
    <w:rsid w:val="001E09F8"/>
    <w:rsid w:val="001E0FB3"/>
    <w:rsid w:val="001E1115"/>
    <w:rsid w:val="001E1BD2"/>
    <w:rsid w:val="001E2333"/>
    <w:rsid w:val="001E2EAB"/>
    <w:rsid w:val="001E3081"/>
    <w:rsid w:val="001E3D3D"/>
    <w:rsid w:val="001E4633"/>
    <w:rsid w:val="001E4A09"/>
    <w:rsid w:val="001E5E7C"/>
    <w:rsid w:val="001E6186"/>
    <w:rsid w:val="001E64B0"/>
    <w:rsid w:val="001E6C9C"/>
    <w:rsid w:val="001E74DF"/>
    <w:rsid w:val="001E7501"/>
    <w:rsid w:val="001E754D"/>
    <w:rsid w:val="001F153E"/>
    <w:rsid w:val="001F1845"/>
    <w:rsid w:val="001F1B9D"/>
    <w:rsid w:val="001F1DB4"/>
    <w:rsid w:val="001F22CD"/>
    <w:rsid w:val="001F2761"/>
    <w:rsid w:val="001F2A06"/>
    <w:rsid w:val="001F2BF0"/>
    <w:rsid w:val="001F348A"/>
    <w:rsid w:val="001F3A2C"/>
    <w:rsid w:val="001F3E6D"/>
    <w:rsid w:val="001F4632"/>
    <w:rsid w:val="001F474C"/>
    <w:rsid w:val="001F4CF8"/>
    <w:rsid w:val="001F5345"/>
    <w:rsid w:val="001F5459"/>
    <w:rsid w:val="001F65B0"/>
    <w:rsid w:val="001F6622"/>
    <w:rsid w:val="001F670F"/>
    <w:rsid w:val="001F6C2F"/>
    <w:rsid w:val="001F6D54"/>
    <w:rsid w:val="001F7539"/>
    <w:rsid w:val="001F76A9"/>
    <w:rsid w:val="001F7B2E"/>
    <w:rsid w:val="001F7C51"/>
    <w:rsid w:val="001F7CEA"/>
    <w:rsid w:val="001F7F14"/>
    <w:rsid w:val="00200348"/>
    <w:rsid w:val="002013C9"/>
    <w:rsid w:val="00201694"/>
    <w:rsid w:val="00201A43"/>
    <w:rsid w:val="00201A53"/>
    <w:rsid w:val="00203249"/>
    <w:rsid w:val="0020326F"/>
    <w:rsid w:val="00203322"/>
    <w:rsid w:val="002042A2"/>
    <w:rsid w:val="0020544E"/>
    <w:rsid w:val="00206070"/>
    <w:rsid w:val="00206416"/>
    <w:rsid w:val="00206649"/>
    <w:rsid w:val="00206A6E"/>
    <w:rsid w:val="0020712F"/>
    <w:rsid w:val="00207448"/>
    <w:rsid w:val="00207C8C"/>
    <w:rsid w:val="00210404"/>
    <w:rsid w:val="002108C0"/>
    <w:rsid w:val="0021100D"/>
    <w:rsid w:val="002110D0"/>
    <w:rsid w:val="00211829"/>
    <w:rsid w:val="00212D22"/>
    <w:rsid w:val="00213331"/>
    <w:rsid w:val="00213658"/>
    <w:rsid w:val="002138FE"/>
    <w:rsid w:val="00214184"/>
    <w:rsid w:val="002145E1"/>
    <w:rsid w:val="00214EE7"/>
    <w:rsid w:val="00215043"/>
    <w:rsid w:val="002152E2"/>
    <w:rsid w:val="00215932"/>
    <w:rsid w:val="00217AA2"/>
    <w:rsid w:val="00217FFB"/>
    <w:rsid w:val="00220458"/>
    <w:rsid w:val="00220672"/>
    <w:rsid w:val="00220AA2"/>
    <w:rsid w:val="00220CBA"/>
    <w:rsid w:val="002210FB"/>
    <w:rsid w:val="00221D8C"/>
    <w:rsid w:val="002221DD"/>
    <w:rsid w:val="002224A3"/>
    <w:rsid w:val="00222550"/>
    <w:rsid w:val="002234F0"/>
    <w:rsid w:val="002236E6"/>
    <w:rsid w:val="00223881"/>
    <w:rsid w:val="00223CDE"/>
    <w:rsid w:val="00223E8C"/>
    <w:rsid w:val="00223FD4"/>
    <w:rsid w:val="00224416"/>
    <w:rsid w:val="00224917"/>
    <w:rsid w:val="00224C86"/>
    <w:rsid w:val="00224E16"/>
    <w:rsid w:val="00225687"/>
    <w:rsid w:val="002258F2"/>
    <w:rsid w:val="00226413"/>
    <w:rsid w:val="00226C9E"/>
    <w:rsid w:val="00227439"/>
    <w:rsid w:val="00227BFD"/>
    <w:rsid w:val="00227E95"/>
    <w:rsid w:val="0023041F"/>
    <w:rsid w:val="0023051E"/>
    <w:rsid w:val="0023245F"/>
    <w:rsid w:val="0023276F"/>
    <w:rsid w:val="00232FB0"/>
    <w:rsid w:val="00234159"/>
    <w:rsid w:val="00234B1B"/>
    <w:rsid w:val="002359E6"/>
    <w:rsid w:val="002360A5"/>
    <w:rsid w:val="002361E1"/>
    <w:rsid w:val="0023630C"/>
    <w:rsid w:val="00236950"/>
    <w:rsid w:val="002374A4"/>
    <w:rsid w:val="00237A30"/>
    <w:rsid w:val="00237A7F"/>
    <w:rsid w:val="00237DB2"/>
    <w:rsid w:val="00240363"/>
    <w:rsid w:val="00242AAB"/>
    <w:rsid w:val="00242AEF"/>
    <w:rsid w:val="00242BFC"/>
    <w:rsid w:val="002431BE"/>
    <w:rsid w:val="00243649"/>
    <w:rsid w:val="002439FF"/>
    <w:rsid w:val="00243C04"/>
    <w:rsid w:val="002440E3"/>
    <w:rsid w:val="002442AC"/>
    <w:rsid w:val="00244574"/>
    <w:rsid w:val="00244F02"/>
    <w:rsid w:val="002452FE"/>
    <w:rsid w:val="0024648A"/>
    <w:rsid w:val="00246E1F"/>
    <w:rsid w:val="00247827"/>
    <w:rsid w:val="00247A80"/>
    <w:rsid w:val="002503C3"/>
    <w:rsid w:val="002507B8"/>
    <w:rsid w:val="00250E9F"/>
    <w:rsid w:val="0025140E"/>
    <w:rsid w:val="0025171C"/>
    <w:rsid w:val="002517A0"/>
    <w:rsid w:val="00251AD8"/>
    <w:rsid w:val="00251B56"/>
    <w:rsid w:val="002524A5"/>
    <w:rsid w:val="00253BA5"/>
    <w:rsid w:val="0025534E"/>
    <w:rsid w:val="002553FC"/>
    <w:rsid w:val="002554AD"/>
    <w:rsid w:val="002558F1"/>
    <w:rsid w:val="002566E5"/>
    <w:rsid w:val="0025695C"/>
    <w:rsid w:val="00257BA6"/>
    <w:rsid w:val="002601C4"/>
    <w:rsid w:val="0026043D"/>
    <w:rsid w:val="00260FD5"/>
    <w:rsid w:val="002619C2"/>
    <w:rsid w:val="00261B8B"/>
    <w:rsid w:val="00261DD7"/>
    <w:rsid w:val="00262CDC"/>
    <w:rsid w:val="0026375C"/>
    <w:rsid w:val="002647C7"/>
    <w:rsid w:val="00264D58"/>
    <w:rsid w:val="00265803"/>
    <w:rsid w:val="00265F6A"/>
    <w:rsid w:val="00266539"/>
    <w:rsid w:val="00266A6F"/>
    <w:rsid w:val="00266C84"/>
    <w:rsid w:val="0027088A"/>
    <w:rsid w:val="00271332"/>
    <w:rsid w:val="00271BCA"/>
    <w:rsid w:val="002720BA"/>
    <w:rsid w:val="0027240F"/>
    <w:rsid w:val="00272A5B"/>
    <w:rsid w:val="00273443"/>
    <w:rsid w:val="00273967"/>
    <w:rsid w:val="00273F07"/>
    <w:rsid w:val="002744B6"/>
    <w:rsid w:val="002750BF"/>
    <w:rsid w:val="00275F74"/>
    <w:rsid w:val="00276C85"/>
    <w:rsid w:val="0027748C"/>
    <w:rsid w:val="00277590"/>
    <w:rsid w:val="002776FE"/>
    <w:rsid w:val="00277F61"/>
    <w:rsid w:val="002804FE"/>
    <w:rsid w:val="00280757"/>
    <w:rsid w:val="00280B15"/>
    <w:rsid w:val="00280EC8"/>
    <w:rsid w:val="002814DD"/>
    <w:rsid w:val="00281925"/>
    <w:rsid w:val="00281F5B"/>
    <w:rsid w:val="002822EA"/>
    <w:rsid w:val="00282942"/>
    <w:rsid w:val="002832F1"/>
    <w:rsid w:val="00283859"/>
    <w:rsid w:val="00283C5F"/>
    <w:rsid w:val="00283C87"/>
    <w:rsid w:val="002849CA"/>
    <w:rsid w:val="00284D20"/>
    <w:rsid w:val="00285002"/>
    <w:rsid w:val="00285BC7"/>
    <w:rsid w:val="00286488"/>
    <w:rsid w:val="00290383"/>
    <w:rsid w:val="002919A8"/>
    <w:rsid w:val="002919DE"/>
    <w:rsid w:val="00292122"/>
    <w:rsid w:val="00292179"/>
    <w:rsid w:val="002923C3"/>
    <w:rsid w:val="002926B4"/>
    <w:rsid w:val="0029275C"/>
    <w:rsid w:val="00292D6D"/>
    <w:rsid w:val="0029325D"/>
    <w:rsid w:val="002933CA"/>
    <w:rsid w:val="00294889"/>
    <w:rsid w:val="00294AC7"/>
    <w:rsid w:val="00294FB9"/>
    <w:rsid w:val="0029519A"/>
    <w:rsid w:val="002954A3"/>
    <w:rsid w:val="002960EE"/>
    <w:rsid w:val="0029644C"/>
    <w:rsid w:val="0029652C"/>
    <w:rsid w:val="00296B8F"/>
    <w:rsid w:val="00297612"/>
    <w:rsid w:val="00297840"/>
    <w:rsid w:val="00297B77"/>
    <w:rsid w:val="002A017C"/>
    <w:rsid w:val="002A027F"/>
    <w:rsid w:val="002A05EB"/>
    <w:rsid w:val="002A06A7"/>
    <w:rsid w:val="002A097C"/>
    <w:rsid w:val="002A11CF"/>
    <w:rsid w:val="002A18F4"/>
    <w:rsid w:val="002A24C8"/>
    <w:rsid w:val="002A27A3"/>
    <w:rsid w:val="002A3123"/>
    <w:rsid w:val="002A31D6"/>
    <w:rsid w:val="002A381C"/>
    <w:rsid w:val="002A4241"/>
    <w:rsid w:val="002A46C3"/>
    <w:rsid w:val="002A57AD"/>
    <w:rsid w:val="002A7751"/>
    <w:rsid w:val="002A788A"/>
    <w:rsid w:val="002B08A3"/>
    <w:rsid w:val="002B08AE"/>
    <w:rsid w:val="002B09C7"/>
    <w:rsid w:val="002B0BD0"/>
    <w:rsid w:val="002B1D3B"/>
    <w:rsid w:val="002B2801"/>
    <w:rsid w:val="002B299D"/>
    <w:rsid w:val="002B2B6B"/>
    <w:rsid w:val="002B36A3"/>
    <w:rsid w:val="002B3C97"/>
    <w:rsid w:val="002B4119"/>
    <w:rsid w:val="002B4784"/>
    <w:rsid w:val="002B4EF8"/>
    <w:rsid w:val="002B524A"/>
    <w:rsid w:val="002B52CA"/>
    <w:rsid w:val="002B6C9B"/>
    <w:rsid w:val="002B6EDC"/>
    <w:rsid w:val="002B7685"/>
    <w:rsid w:val="002B7ACC"/>
    <w:rsid w:val="002B7C53"/>
    <w:rsid w:val="002B7DB5"/>
    <w:rsid w:val="002C0356"/>
    <w:rsid w:val="002C121A"/>
    <w:rsid w:val="002C1422"/>
    <w:rsid w:val="002C178E"/>
    <w:rsid w:val="002C194E"/>
    <w:rsid w:val="002C227D"/>
    <w:rsid w:val="002C2677"/>
    <w:rsid w:val="002C2976"/>
    <w:rsid w:val="002C299E"/>
    <w:rsid w:val="002C2F34"/>
    <w:rsid w:val="002C3502"/>
    <w:rsid w:val="002C44E7"/>
    <w:rsid w:val="002C4CFC"/>
    <w:rsid w:val="002C5985"/>
    <w:rsid w:val="002C5E00"/>
    <w:rsid w:val="002C6CC8"/>
    <w:rsid w:val="002C72D7"/>
    <w:rsid w:val="002D00B9"/>
    <w:rsid w:val="002D02DC"/>
    <w:rsid w:val="002D03B1"/>
    <w:rsid w:val="002D1229"/>
    <w:rsid w:val="002D3331"/>
    <w:rsid w:val="002D427D"/>
    <w:rsid w:val="002D4A41"/>
    <w:rsid w:val="002D59D5"/>
    <w:rsid w:val="002D5E14"/>
    <w:rsid w:val="002D6177"/>
    <w:rsid w:val="002D6B6C"/>
    <w:rsid w:val="002D6C38"/>
    <w:rsid w:val="002D6C58"/>
    <w:rsid w:val="002D6DFA"/>
    <w:rsid w:val="002D7873"/>
    <w:rsid w:val="002E0827"/>
    <w:rsid w:val="002E0FA4"/>
    <w:rsid w:val="002E16EC"/>
    <w:rsid w:val="002E1F4D"/>
    <w:rsid w:val="002E2A0F"/>
    <w:rsid w:val="002E3300"/>
    <w:rsid w:val="002E3FF8"/>
    <w:rsid w:val="002E569D"/>
    <w:rsid w:val="002E5C49"/>
    <w:rsid w:val="002E5FC3"/>
    <w:rsid w:val="002E6606"/>
    <w:rsid w:val="002E66E2"/>
    <w:rsid w:val="002E6B7C"/>
    <w:rsid w:val="002E6C9C"/>
    <w:rsid w:val="002E74CC"/>
    <w:rsid w:val="002E773F"/>
    <w:rsid w:val="002F0371"/>
    <w:rsid w:val="002F0386"/>
    <w:rsid w:val="002F0D99"/>
    <w:rsid w:val="002F3511"/>
    <w:rsid w:val="002F3C9C"/>
    <w:rsid w:val="002F41A7"/>
    <w:rsid w:val="002F4538"/>
    <w:rsid w:val="002F4BFD"/>
    <w:rsid w:val="002F4CC7"/>
    <w:rsid w:val="002F4EFD"/>
    <w:rsid w:val="002F5E40"/>
    <w:rsid w:val="002F660E"/>
    <w:rsid w:val="002F689B"/>
    <w:rsid w:val="002F7221"/>
    <w:rsid w:val="002F7377"/>
    <w:rsid w:val="002F772D"/>
    <w:rsid w:val="002F7B53"/>
    <w:rsid w:val="00300895"/>
    <w:rsid w:val="00300C36"/>
    <w:rsid w:val="00300E14"/>
    <w:rsid w:val="00300E36"/>
    <w:rsid w:val="003014AD"/>
    <w:rsid w:val="00301E5D"/>
    <w:rsid w:val="00302847"/>
    <w:rsid w:val="00302AE2"/>
    <w:rsid w:val="00303060"/>
    <w:rsid w:val="003035E1"/>
    <w:rsid w:val="0030473A"/>
    <w:rsid w:val="003047F9"/>
    <w:rsid w:val="00304BF4"/>
    <w:rsid w:val="003055AE"/>
    <w:rsid w:val="003058AB"/>
    <w:rsid w:val="003073E2"/>
    <w:rsid w:val="0031024A"/>
    <w:rsid w:val="00310558"/>
    <w:rsid w:val="0031099A"/>
    <w:rsid w:val="00311104"/>
    <w:rsid w:val="0031165F"/>
    <w:rsid w:val="003116D0"/>
    <w:rsid w:val="003116DA"/>
    <w:rsid w:val="00311C36"/>
    <w:rsid w:val="00312500"/>
    <w:rsid w:val="00312AAA"/>
    <w:rsid w:val="003130CC"/>
    <w:rsid w:val="00313261"/>
    <w:rsid w:val="003132B0"/>
    <w:rsid w:val="0031346F"/>
    <w:rsid w:val="00314B5E"/>
    <w:rsid w:val="003156A9"/>
    <w:rsid w:val="003157A1"/>
    <w:rsid w:val="0031690D"/>
    <w:rsid w:val="00316DFB"/>
    <w:rsid w:val="00317587"/>
    <w:rsid w:val="00317CEF"/>
    <w:rsid w:val="00317E83"/>
    <w:rsid w:val="003207CD"/>
    <w:rsid w:val="00320A44"/>
    <w:rsid w:val="00320F9D"/>
    <w:rsid w:val="00320FEB"/>
    <w:rsid w:val="0032117E"/>
    <w:rsid w:val="00321946"/>
    <w:rsid w:val="00321BF9"/>
    <w:rsid w:val="00321FCD"/>
    <w:rsid w:val="00322005"/>
    <w:rsid w:val="003221F9"/>
    <w:rsid w:val="00323B0C"/>
    <w:rsid w:val="003246DD"/>
    <w:rsid w:val="00324BFB"/>
    <w:rsid w:val="003254C0"/>
    <w:rsid w:val="00325653"/>
    <w:rsid w:val="00326010"/>
    <w:rsid w:val="00326334"/>
    <w:rsid w:val="00326522"/>
    <w:rsid w:val="0032662C"/>
    <w:rsid w:val="0032693F"/>
    <w:rsid w:val="00327523"/>
    <w:rsid w:val="00327A10"/>
    <w:rsid w:val="00327F40"/>
    <w:rsid w:val="00330835"/>
    <w:rsid w:val="00330937"/>
    <w:rsid w:val="0033136A"/>
    <w:rsid w:val="00331947"/>
    <w:rsid w:val="00331A41"/>
    <w:rsid w:val="003321C0"/>
    <w:rsid w:val="00333738"/>
    <w:rsid w:val="00333791"/>
    <w:rsid w:val="003338BD"/>
    <w:rsid w:val="00333E5C"/>
    <w:rsid w:val="00333F26"/>
    <w:rsid w:val="00333FD0"/>
    <w:rsid w:val="00334394"/>
    <w:rsid w:val="00334B72"/>
    <w:rsid w:val="00334BAC"/>
    <w:rsid w:val="00335D27"/>
    <w:rsid w:val="00336840"/>
    <w:rsid w:val="00337BA2"/>
    <w:rsid w:val="00337C41"/>
    <w:rsid w:val="00340026"/>
    <w:rsid w:val="00340C98"/>
    <w:rsid w:val="00341389"/>
    <w:rsid w:val="003414E2"/>
    <w:rsid w:val="00341AAA"/>
    <w:rsid w:val="0034205A"/>
    <w:rsid w:val="00342DAA"/>
    <w:rsid w:val="0034344F"/>
    <w:rsid w:val="0034462E"/>
    <w:rsid w:val="0034485B"/>
    <w:rsid w:val="00344F0B"/>
    <w:rsid w:val="003450C5"/>
    <w:rsid w:val="00345254"/>
    <w:rsid w:val="00345281"/>
    <w:rsid w:val="003459B8"/>
    <w:rsid w:val="00347FFD"/>
    <w:rsid w:val="003517F4"/>
    <w:rsid w:val="00352DE4"/>
    <w:rsid w:val="00353138"/>
    <w:rsid w:val="0035364D"/>
    <w:rsid w:val="00354DB0"/>
    <w:rsid w:val="00355F7B"/>
    <w:rsid w:val="0035646E"/>
    <w:rsid w:val="00356606"/>
    <w:rsid w:val="00356C38"/>
    <w:rsid w:val="003601C2"/>
    <w:rsid w:val="00360DBF"/>
    <w:rsid w:val="00360E33"/>
    <w:rsid w:val="00361D2E"/>
    <w:rsid w:val="00361FFF"/>
    <w:rsid w:val="0036249B"/>
    <w:rsid w:val="0036267A"/>
    <w:rsid w:val="00362FA4"/>
    <w:rsid w:val="00364E1C"/>
    <w:rsid w:val="00365842"/>
    <w:rsid w:val="003659EC"/>
    <w:rsid w:val="00365C33"/>
    <w:rsid w:val="0036668D"/>
    <w:rsid w:val="00366AD1"/>
    <w:rsid w:val="0036749F"/>
    <w:rsid w:val="00367844"/>
    <w:rsid w:val="00370B1A"/>
    <w:rsid w:val="00370E19"/>
    <w:rsid w:val="00371236"/>
    <w:rsid w:val="003715CE"/>
    <w:rsid w:val="0037347A"/>
    <w:rsid w:val="00373839"/>
    <w:rsid w:val="0037452B"/>
    <w:rsid w:val="00375272"/>
    <w:rsid w:val="00375B60"/>
    <w:rsid w:val="00375FD5"/>
    <w:rsid w:val="003766D0"/>
    <w:rsid w:val="003767B4"/>
    <w:rsid w:val="00376FD5"/>
    <w:rsid w:val="003775FA"/>
    <w:rsid w:val="00380745"/>
    <w:rsid w:val="00380CB0"/>
    <w:rsid w:val="00381258"/>
    <w:rsid w:val="00382915"/>
    <w:rsid w:val="00382F75"/>
    <w:rsid w:val="0038337F"/>
    <w:rsid w:val="00384471"/>
    <w:rsid w:val="003857F4"/>
    <w:rsid w:val="003868CF"/>
    <w:rsid w:val="003869A2"/>
    <w:rsid w:val="00386D3E"/>
    <w:rsid w:val="00390234"/>
    <w:rsid w:val="0039042F"/>
    <w:rsid w:val="00390E0B"/>
    <w:rsid w:val="00391A70"/>
    <w:rsid w:val="00392864"/>
    <w:rsid w:val="00393085"/>
    <w:rsid w:val="0039314E"/>
    <w:rsid w:val="00393A87"/>
    <w:rsid w:val="0039468E"/>
    <w:rsid w:val="003948BA"/>
    <w:rsid w:val="00394A68"/>
    <w:rsid w:val="00394AD2"/>
    <w:rsid w:val="00395A09"/>
    <w:rsid w:val="00395D54"/>
    <w:rsid w:val="00396D9D"/>
    <w:rsid w:val="00397CD7"/>
    <w:rsid w:val="00397E6E"/>
    <w:rsid w:val="003A0D67"/>
    <w:rsid w:val="003A1154"/>
    <w:rsid w:val="003A1191"/>
    <w:rsid w:val="003A1297"/>
    <w:rsid w:val="003A1B77"/>
    <w:rsid w:val="003A2D36"/>
    <w:rsid w:val="003A30C7"/>
    <w:rsid w:val="003A4C45"/>
    <w:rsid w:val="003A5399"/>
    <w:rsid w:val="003A56AA"/>
    <w:rsid w:val="003A5AC8"/>
    <w:rsid w:val="003A5BC7"/>
    <w:rsid w:val="003A6381"/>
    <w:rsid w:val="003A65BC"/>
    <w:rsid w:val="003A6878"/>
    <w:rsid w:val="003A6AC6"/>
    <w:rsid w:val="003A6F27"/>
    <w:rsid w:val="003A6F5D"/>
    <w:rsid w:val="003A719D"/>
    <w:rsid w:val="003A78C3"/>
    <w:rsid w:val="003A7AE6"/>
    <w:rsid w:val="003A7CA3"/>
    <w:rsid w:val="003A7CAA"/>
    <w:rsid w:val="003B012B"/>
    <w:rsid w:val="003B096A"/>
    <w:rsid w:val="003B0D10"/>
    <w:rsid w:val="003B123E"/>
    <w:rsid w:val="003B1490"/>
    <w:rsid w:val="003B1A4A"/>
    <w:rsid w:val="003B1B3E"/>
    <w:rsid w:val="003B1B4C"/>
    <w:rsid w:val="003B226B"/>
    <w:rsid w:val="003B2FC3"/>
    <w:rsid w:val="003B3DFA"/>
    <w:rsid w:val="003B40AA"/>
    <w:rsid w:val="003B5C01"/>
    <w:rsid w:val="003B5DFC"/>
    <w:rsid w:val="003B6573"/>
    <w:rsid w:val="003B7235"/>
    <w:rsid w:val="003B73FC"/>
    <w:rsid w:val="003B7A5F"/>
    <w:rsid w:val="003B7CC3"/>
    <w:rsid w:val="003C012A"/>
    <w:rsid w:val="003C043C"/>
    <w:rsid w:val="003C0C77"/>
    <w:rsid w:val="003C1262"/>
    <w:rsid w:val="003C1D3D"/>
    <w:rsid w:val="003C2350"/>
    <w:rsid w:val="003C2BF9"/>
    <w:rsid w:val="003C3012"/>
    <w:rsid w:val="003C3484"/>
    <w:rsid w:val="003C360E"/>
    <w:rsid w:val="003C38D0"/>
    <w:rsid w:val="003C3A55"/>
    <w:rsid w:val="003C4410"/>
    <w:rsid w:val="003C5490"/>
    <w:rsid w:val="003C5521"/>
    <w:rsid w:val="003C5653"/>
    <w:rsid w:val="003C5908"/>
    <w:rsid w:val="003C64B9"/>
    <w:rsid w:val="003C77E1"/>
    <w:rsid w:val="003D0022"/>
    <w:rsid w:val="003D0052"/>
    <w:rsid w:val="003D00E3"/>
    <w:rsid w:val="003D0AEB"/>
    <w:rsid w:val="003D0F4C"/>
    <w:rsid w:val="003D2291"/>
    <w:rsid w:val="003D3453"/>
    <w:rsid w:val="003D3FA5"/>
    <w:rsid w:val="003D4073"/>
    <w:rsid w:val="003D43F6"/>
    <w:rsid w:val="003D4CC5"/>
    <w:rsid w:val="003D5BEC"/>
    <w:rsid w:val="003D5F8F"/>
    <w:rsid w:val="003D698F"/>
    <w:rsid w:val="003D7484"/>
    <w:rsid w:val="003D755F"/>
    <w:rsid w:val="003E0459"/>
    <w:rsid w:val="003E0A14"/>
    <w:rsid w:val="003E1632"/>
    <w:rsid w:val="003E179C"/>
    <w:rsid w:val="003E18C4"/>
    <w:rsid w:val="003E1B19"/>
    <w:rsid w:val="003E1E45"/>
    <w:rsid w:val="003E1F09"/>
    <w:rsid w:val="003E2F47"/>
    <w:rsid w:val="003E3075"/>
    <w:rsid w:val="003E37E5"/>
    <w:rsid w:val="003E4460"/>
    <w:rsid w:val="003E4950"/>
    <w:rsid w:val="003E4EBA"/>
    <w:rsid w:val="003E512D"/>
    <w:rsid w:val="003E55E0"/>
    <w:rsid w:val="003E562E"/>
    <w:rsid w:val="003E5B61"/>
    <w:rsid w:val="003E667F"/>
    <w:rsid w:val="003E7356"/>
    <w:rsid w:val="003E74E3"/>
    <w:rsid w:val="003F020B"/>
    <w:rsid w:val="003F0A37"/>
    <w:rsid w:val="003F11C6"/>
    <w:rsid w:val="003F22D0"/>
    <w:rsid w:val="003F3467"/>
    <w:rsid w:val="003F3955"/>
    <w:rsid w:val="003F3CBD"/>
    <w:rsid w:val="003F3F81"/>
    <w:rsid w:val="003F4108"/>
    <w:rsid w:val="003F4D11"/>
    <w:rsid w:val="003F4D78"/>
    <w:rsid w:val="003F6666"/>
    <w:rsid w:val="003F6DE5"/>
    <w:rsid w:val="003F7143"/>
    <w:rsid w:val="003F77B9"/>
    <w:rsid w:val="003F7F4A"/>
    <w:rsid w:val="004002A9"/>
    <w:rsid w:val="00400399"/>
    <w:rsid w:val="0040077B"/>
    <w:rsid w:val="00400EF7"/>
    <w:rsid w:val="00401110"/>
    <w:rsid w:val="004017D2"/>
    <w:rsid w:val="00401D39"/>
    <w:rsid w:val="0040201B"/>
    <w:rsid w:val="00402AB2"/>
    <w:rsid w:val="00402C4B"/>
    <w:rsid w:val="00403529"/>
    <w:rsid w:val="0040462D"/>
    <w:rsid w:val="004047A5"/>
    <w:rsid w:val="00405FF5"/>
    <w:rsid w:val="00406252"/>
    <w:rsid w:val="00407E67"/>
    <w:rsid w:val="00410EAA"/>
    <w:rsid w:val="004110E9"/>
    <w:rsid w:val="004112B3"/>
    <w:rsid w:val="0041133D"/>
    <w:rsid w:val="00411B1E"/>
    <w:rsid w:val="00411CC8"/>
    <w:rsid w:val="00412188"/>
    <w:rsid w:val="00412460"/>
    <w:rsid w:val="0041290C"/>
    <w:rsid w:val="00414439"/>
    <w:rsid w:val="00414E27"/>
    <w:rsid w:val="004152A3"/>
    <w:rsid w:val="00415380"/>
    <w:rsid w:val="0041579E"/>
    <w:rsid w:val="00415BE5"/>
    <w:rsid w:val="004178A0"/>
    <w:rsid w:val="00417E99"/>
    <w:rsid w:val="0042001D"/>
    <w:rsid w:val="004213A3"/>
    <w:rsid w:val="0042142F"/>
    <w:rsid w:val="00421FE9"/>
    <w:rsid w:val="004224BD"/>
    <w:rsid w:val="00422BB5"/>
    <w:rsid w:val="00423F19"/>
    <w:rsid w:val="00424A10"/>
    <w:rsid w:val="00424E7D"/>
    <w:rsid w:val="004258D5"/>
    <w:rsid w:val="00427777"/>
    <w:rsid w:val="00427E8F"/>
    <w:rsid w:val="00430302"/>
    <w:rsid w:val="00431FAB"/>
    <w:rsid w:val="00433349"/>
    <w:rsid w:val="0043362B"/>
    <w:rsid w:val="00433D4F"/>
    <w:rsid w:val="00433E4C"/>
    <w:rsid w:val="004350AA"/>
    <w:rsid w:val="00435546"/>
    <w:rsid w:val="00436CC1"/>
    <w:rsid w:val="00437942"/>
    <w:rsid w:val="00437DBD"/>
    <w:rsid w:val="0044038C"/>
    <w:rsid w:val="004404E8"/>
    <w:rsid w:val="00440728"/>
    <w:rsid w:val="00441535"/>
    <w:rsid w:val="004415E6"/>
    <w:rsid w:val="00441BE7"/>
    <w:rsid w:val="004425D4"/>
    <w:rsid w:val="00443FA1"/>
    <w:rsid w:val="00444C3F"/>
    <w:rsid w:val="00445402"/>
    <w:rsid w:val="00445A78"/>
    <w:rsid w:val="004464CF"/>
    <w:rsid w:val="00446CEF"/>
    <w:rsid w:val="0045027E"/>
    <w:rsid w:val="0045047B"/>
    <w:rsid w:val="00450E3B"/>
    <w:rsid w:val="0045122F"/>
    <w:rsid w:val="00451428"/>
    <w:rsid w:val="00451BC6"/>
    <w:rsid w:val="00454AC6"/>
    <w:rsid w:val="00454E33"/>
    <w:rsid w:val="00454F6B"/>
    <w:rsid w:val="00455C1F"/>
    <w:rsid w:val="00455F72"/>
    <w:rsid w:val="00456C30"/>
    <w:rsid w:val="004573C8"/>
    <w:rsid w:val="00457560"/>
    <w:rsid w:val="0046070D"/>
    <w:rsid w:val="00460A23"/>
    <w:rsid w:val="00460B2A"/>
    <w:rsid w:val="00461481"/>
    <w:rsid w:val="004614E7"/>
    <w:rsid w:val="00461989"/>
    <w:rsid w:val="00461E2F"/>
    <w:rsid w:val="004625E2"/>
    <w:rsid w:val="004631F0"/>
    <w:rsid w:val="004649BE"/>
    <w:rsid w:val="00464C65"/>
    <w:rsid w:val="00465B96"/>
    <w:rsid w:val="00466177"/>
    <w:rsid w:val="00466911"/>
    <w:rsid w:val="00467962"/>
    <w:rsid w:val="00467B3C"/>
    <w:rsid w:val="00470592"/>
    <w:rsid w:val="004712A9"/>
    <w:rsid w:val="004727D3"/>
    <w:rsid w:val="00472A3C"/>
    <w:rsid w:val="004730D1"/>
    <w:rsid w:val="00474023"/>
    <w:rsid w:val="0047435D"/>
    <w:rsid w:val="00474958"/>
    <w:rsid w:val="004758D4"/>
    <w:rsid w:val="004760B0"/>
    <w:rsid w:val="004761DF"/>
    <w:rsid w:val="00476245"/>
    <w:rsid w:val="00477F53"/>
    <w:rsid w:val="004804CC"/>
    <w:rsid w:val="004805B3"/>
    <w:rsid w:val="004810B1"/>
    <w:rsid w:val="00481483"/>
    <w:rsid w:val="004818CA"/>
    <w:rsid w:val="00482E8A"/>
    <w:rsid w:val="00483450"/>
    <w:rsid w:val="00483490"/>
    <w:rsid w:val="00483677"/>
    <w:rsid w:val="0048377F"/>
    <w:rsid w:val="00483969"/>
    <w:rsid w:val="00483DBB"/>
    <w:rsid w:val="00484607"/>
    <w:rsid w:val="00485ABE"/>
    <w:rsid w:val="00485F30"/>
    <w:rsid w:val="00486519"/>
    <w:rsid w:val="00487092"/>
    <w:rsid w:val="00487260"/>
    <w:rsid w:val="004872D1"/>
    <w:rsid w:val="00487865"/>
    <w:rsid w:val="00487EF8"/>
    <w:rsid w:val="0049032D"/>
    <w:rsid w:val="00490A9F"/>
    <w:rsid w:val="00491EB3"/>
    <w:rsid w:val="00492DEF"/>
    <w:rsid w:val="00493647"/>
    <w:rsid w:val="00493F80"/>
    <w:rsid w:val="00493FC7"/>
    <w:rsid w:val="0049506A"/>
    <w:rsid w:val="004951DE"/>
    <w:rsid w:val="004952EF"/>
    <w:rsid w:val="00495BE4"/>
    <w:rsid w:val="00496001"/>
    <w:rsid w:val="004963B0"/>
    <w:rsid w:val="0049658D"/>
    <w:rsid w:val="004966E4"/>
    <w:rsid w:val="0049741B"/>
    <w:rsid w:val="0049767B"/>
    <w:rsid w:val="004A00FF"/>
    <w:rsid w:val="004A22E2"/>
    <w:rsid w:val="004A25F9"/>
    <w:rsid w:val="004A25FC"/>
    <w:rsid w:val="004A2EF2"/>
    <w:rsid w:val="004A3391"/>
    <w:rsid w:val="004A39D8"/>
    <w:rsid w:val="004A3C32"/>
    <w:rsid w:val="004A3CFD"/>
    <w:rsid w:val="004A40D7"/>
    <w:rsid w:val="004A4595"/>
    <w:rsid w:val="004A5242"/>
    <w:rsid w:val="004A5C6F"/>
    <w:rsid w:val="004A690F"/>
    <w:rsid w:val="004A6DFF"/>
    <w:rsid w:val="004A7352"/>
    <w:rsid w:val="004A73DD"/>
    <w:rsid w:val="004B0572"/>
    <w:rsid w:val="004B0B77"/>
    <w:rsid w:val="004B0BFB"/>
    <w:rsid w:val="004B2228"/>
    <w:rsid w:val="004B261A"/>
    <w:rsid w:val="004B296C"/>
    <w:rsid w:val="004B2A15"/>
    <w:rsid w:val="004B3AFA"/>
    <w:rsid w:val="004B427E"/>
    <w:rsid w:val="004B4B22"/>
    <w:rsid w:val="004B4DCA"/>
    <w:rsid w:val="004B4F78"/>
    <w:rsid w:val="004B5FA2"/>
    <w:rsid w:val="004B65D8"/>
    <w:rsid w:val="004B6EBA"/>
    <w:rsid w:val="004C071B"/>
    <w:rsid w:val="004C08E3"/>
    <w:rsid w:val="004C095C"/>
    <w:rsid w:val="004C113B"/>
    <w:rsid w:val="004C1C11"/>
    <w:rsid w:val="004C225D"/>
    <w:rsid w:val="004C2DE9"/>
    <w:rsid w:val="004C3158"/>
    <w:rsid w:val="004C33D8"/>
    <w:rsid w:val="004C3AD9"/>
    <w:rsid w:val="004C4231"/>
    <w:rsid w:val="004C4743"/>
    <w:rsid w:val="004C484A"/>
    <w:rsid w:val="004C49E7"/>
    <w:rsid w:val="004C4A0F"/>
    <w:rsid w:val="004C4EAE"/>
    <w:rsid w:val="004C52FF"/>
    <w:rsid w:val="004C5BE0"/>
    <w:rsid w:val="004C6DF4"/>
    <w:rsid w:val="004C77D9"/>
    <w:rsid w:val="004C7F88"/>
    <w:rsid w:val="004C7F9D"/>
    <w:rsid w:val="004C7FEE"/>
    <w:rsid w:val="004D00BA"/>
    <w:rsid w:val="004D07C2"/>
    <w:rsid w:val="004D0810"/>
    <w:rsid w:val="004D08C4"/>
    <w:rsid w:val="004D0B84"/>
    <w:rsid w:val="004D0C25"/>
    <w:rsid w:val="004D0C96"/>
    <w:rsid w:val="004D16FD"/>
    <w:rsid w:val="004D1B35"/>
    <w:rsid w:val="004D31A7"/>
    <w:rsid w:val="004D3444"/>
    <w:rsid w:val="004D349B"/>
    <w:rsid w:val="004D36B1"/>
    <w:rsid w:val="004D381E"/>
    <w:rsid w:val="004D3FC0"/>
    <w:rsid w:val="004D4A60"/>
    <w:rsid w:val="004D4BD8"/>
    <w:rsid w:val="004D4D2D"/>
    <w:rsid w:val="004D5065"/>
    <w:rsid w:val="004D5175"/>
    <w:rsid w:val="004D55F0"/>
    <w:rsid w:val="004D5FA9"/>
    <w:rsid w:val="004D6380"/>
    <w:rsid w:val="004D70F1"/>
    <w:rsid w:val="004E103A"/>
    <w:rsid w:val="004E1294"/>
    <w:rsid w:val="004E1599"/>
    <w:rsid w:val="004E1AA6"/>
    <w:rsid w:val="004E1E0D"/>
    <w:rsid w:val="004E204E"/>
    <w:rsid w:val="004E2572"/>
    <w:rsid w:val="004E3192"/>
    <w:rsid w:val="004E3368"/>
    <w:rsid w:val="004E46A4"/>
    <w:rsid w:val="004E4AB6"/>
    <w:rsid w:val="004E5296"/>
    <w:rsid w:val="004E572F"/>
    <w:rsid w:val="004E64AA"/>
    <w:rsid w:val="004E7705"/>
    <w:rsid w:val="004E77B4"/>
    <w:rsid w:val="004E7F28"/>
    <w:rsid w:val="004F0527"/>
    <w:rsid w:val="004F0C0C"/>
    <w:rsid w:val="004F1614"/>
    <w:rsid w:val="004F1F59"/>
    <w:rsid w:val="004F2755"/>
    <w:rsid w:val="004F2E04"/>
    <w:rsid w:val="004F3036"/>
    <w:rsid w:val="004F3210"/>
    <w:rsid w:val="004F363A"/>
    <w:rsid w:val="004F368B"/>
    <w:rsid w:val="004F36BF"/>
    <w:rsid w:val="004F3EC5"/>
    <w:rsid w:val="004F3FA5"/>
    <w:rsid w:val="004F42D4"/>
    <w:rsid w:val="004F42E4"/>
    <w:rsid w:val="004F467E"/>
    <w:rsid w:val="004F6582"/>
    <w:rsid w:val="004F7240"/>
    <w:rsid w:val="004F7343"/>
    <w:rsid w:val="004F78AD"/>
    <w:rsid w:val="005009C9"/>
    <w:rsid w:val="00501AE4"/>
    <w:rsid w:val="005021C8"/>
    <w:rsid w:val="005023C4"/>
    <w:rsid w:val="005024DA"/>
    <w:rsid w:val="005025EA"/>
    <w:rsid w:val="00502E21"/>
    <w:rsid w:val="00503188"/>
    <w:rsid w:val="005031E1"/>
    <w:rsid w:val="00503DC5"/>
    <w:rsid w:val="005040C2"/>
    <w:rsid w:val="0050491C"/>
    <w:rsid w:val="00504C57"/>
    <w:rsid w:val="00504C6B"/>
    <w:rsid w:val="0050552E"/>
    <w:rsid w:val="00506F1B"/>
    <w:rsid w:val="00507531"/>
    <w:rsid w:val="00507E02"/>
    <w:rsid w:val="0051027B"/>
    <w:rsid w:val="00510740"/>
    <w:rsid w:val="005107FD"/>
    <w:rsid w:val="00510DAD"/>
    <w:rsid w:val="0051346E"/>
    <w:rsid w:val="00513A1E"/>
    <w:rsid w:val="00514CE9"/>
    <w:rsid w:val="00514E5E"/>
    <w:rsid w:val="00515582"/>
    <w:rsid w:val="00515644"/>
    <w:rsid w:val="00515A2F"/>
    <w:rsid w:val="005163AA"/>
    <w:rsid w:val="005163E8"/>
    <w:rsid w:val="005169B5"/>
    <w:rsid w:val="00516B99"/>
    <w:rsid w:val="00516BF1"/>
    <w:rsid w:val="005171D9"/>
    <w:rsid w:val="0051784E"/>
    <w:rsid w:val="00517E77"/>
    <w:rsid w:val="00522781"/>
    <w:rsid w:val="00523546"/>
    <w:rsid w:val="005242E8"/>
    <w:rsid w:val="0052465F"/>
    <w:rsid w:val="00524743"/>
    <w:rsid w:val="00525475"/>
    <w:rsid w:val="005259C0"/>
    <w:rsid w:val="00525FC2"/>
    <w:rsid w:val="00526765"/>
    <w:rsid w:val="005267E9"/>
    <w:rsid w:val="00526B51"/>
    <w:rsid w:val="0052721D"/>
    <w:rsid w:val="005273D9"/>
    <w:rsid w:val="00527595"/>
    <w:rsid w:val="00527BFE"/>
    <w:rsid w:val="00530F4D"/>
    <w:rsid w:val="005313FD"/>
    <w:rsid w:val="0053162A"/>
    <w:rsid w:val="00531D87"/>
    <w:rsid w:val="0053228C"/>
    <w:rsid w:val="00532D0B"/>
    <w:rsid w:val="0053391A"/>
    <w:rsid w:val="0053392C"/>
    <w:rsid w:val="00534E7D"/>
    <w:rsid w:val="0053565C"/>
    <w:rsid w:val="005357AE"/>
    <w:rsid w:val="00535A2A"/>
    <w:rsid w:val="0053602C"/>
    <w:rsid w:val="00536A08"/>
    <w:rsid w:val="00536C0E"/>
    <w:rsid w:val="00536D02"/>
    <w:rsid w:val="00537017"/>
    <w:rsid w:val="005377A5"/>
    <w:rsid w:val="005378E1"/>
    <w:rsid w:val="00540C05"/>
    <w:rsid w:val="00541F8D"/>
    <w:rsid w:val="00542906"/>
    <w:rsid w:val="00542B13"/>
    <w:rsid w:val="00542D4D"/>
    <w:rsid w:val="00543409"/>
    <w:rsid w:val="005437FB"/>
    <w:rsid w:val="00543A33"/>
    <w:rsid w:val="00544360"/>
    <w:rsid w:val="00544DCC"/>
    <w:rsid w:val="00545009"/>
    <w:rsid w:val="005452A3"/>
    <w:rsid w:val="00545ED5"/>
    <w:rsid w:val="00546156"/>
    <w:rsid w:val="00546D2A"/>
    <w:rsid w:val="00546FCA"/>
    <w:rsid w:val="00551F02"/>
    <w:rsid w:val="0055293A"/>
    <w:rsid w:val="00552A3E"/>
    <w:rsid w:val="00552D73"/>
    <w:rsid w:val="00552F7F"/>
    <w:rsid w:val="00553156"/>
    <w:rsid w:val="0055359A"/>
    <w:rsid w:val="00553B52"/>
    <w:rsid w:val="00554707"/>
    <w:rsid w:val="00554C85"/>
    <w:rsid w:val="005551F7"/>
    <w:rsid w:val="005556D4"/>
    <w:rsid w:val="00555E9D"/>
    <w:rsid w:val="00556089"/>
    <w:rsid w:val="005570A9"/>
    <w:rsid w:val="00560123"/>
    <w:rsid w:val="0056018C"/>
    <w:rsid w:val="0056048B"/>
    <w:rsid w:val="0056060B"/>
    <w:rsid w:val="00560703"/>
    <w:rsid w:val="00561649"/>
    <w:rsid w:val="00562392"/>
    <w:rsid w:val="00562DAC"/>
    <w:rsid w:val="00562F98"/>
    <w:rsid w:val="005633C0"/>
    <w:rsid w:val="00563B7D"/>
    <w:rsid w:val="00563CDC"/>
    <w:rsid w:val="005643D5"/>
    <w:rsid w:val="00565588"/>
    <w:rsid w:val="0056637A"/>
    <w:rsid w:val="005667FB"/>
    <w:rsid w:val="005673AB"/>
    <w:rsid w:val="0056774E"/>
    <w:rsid w:val="00567EAB"/>
    <w:rsid w:val="0057056B"/>
    <w:rsid w:val="00570F55"/>
    <w:rsid w:val="00571403"/>
    <w:rsid w:val="00571C54"/>
    <w:rsid w:val="00571CA0"/>
    <w:rsid w:val="00572044"/>
    <w:rsid w:val="00572621"/>
    <w:rsid w:val="005729EB"/>
    <w:rsid w:val="00572BA3"/>
    <w:rsid w:val="00572D67"/>
    <w:rsid w:val="00574387"/>
    <w:rsid w:val="00574659"/>
    <w:rsid w:val="005747E9"/>
    <w:rsid w:val="00575AD3"/>
    <w:rsid w:val="00576FB9"/>
    <w:rsid w:val="005808CF"/>
    <w:rsid w:val="00580B69"/>
    <w:rsid w:val="00580E68"/>
    <w:rsid w:val="0058117C"/>
    <w:rsid w:val="00581763"/>
    <w:rsid w:val="00581864"/>
    <w:rsid w:val="00581D60"/>
    <w:rsid w:val="00582DFA"/>
    <w:rsid w:val="00583FC0"/>
    <w:rsid w:val="0058417F"/>
    <w:rsid w:val="00584E0F"/>
    <w:rsid w:val="0058595D"/>
    <w:rsid w:val="00585D41"/>
    <w:rsid w:val="005860D2"/>
    <w:rsid w:val="00586430"/>
    <w:rsid w:val="005864F8"/>
    <w:rsid w:val="005866DD"/>
    <w:rsid w:val="00586CE5"/>
    <w:rsid w:val="00587354"/>
    <w:rsid w:val="00587EE9"/>
    <w:rsid w:val="005900C3"/>
    <w:rsid w:val="00591379"/>
    <w:rsid w:val="00591D7B"/>
    <w:rsid w:val="00592A52"/>
    <w:rsid w:val="00592DC4"/>
    <w:rsid w:val="00593424"/>
    <w:rsid w:val="0059489D"/>
    <w:rsid w:val="00595C8C"/>
    <w:rsid w:val="005960D6"/>
    <w:rsid w:val="00597712"/>
    <w:rsid w:val="005978A8"/>
    <w:rsid w:val="005A1312"/>
    <w:rsid w:val="005A2D2A"/>
    <w:rsid w:val="005A3536"/>
    <w:rsid w:val="005A48BB"/>
    <w:rsid w:val="005A4BCA"/>
    <w:rsid w:val="005A4EB1"/>
    <w:rsid w:val="005A58A5"/>
    <w:rsid w:val="005B0913"/>
    <w:rsid w:val="005B0B7F"/>
    <w:rsid w:val="005B0D12"/>
    <w:rsid w:val="005B0F2A"/>
    <w:rsid w:val="005B101A"/>
    <w:rsid w:val="005B1661"/>
    <w:rsid w:val="005B1EE3"/>
    <w:rsid w:val="005B205E"/>
    <w:rsid w:val="005B2431"/>
    <w:rsid w:val="005B256D"/>
    <w:rsid w:val="005B34D6"/>
    <w:rsid w:val="005B3508"/>
    <w:rsid w:val="005B3A77"/>
    <w:rsid w:val="005B3E6D"/>
    <w:rsid w:val="005B4A00"/>
    <w:rsid w:val="005B4F4F"/>
    <w:rsid w:val="005B6240"/>
    <w:rsid w:val="005B6750"/>
    <w:rsid w:val="005B6C7B"/>
    <w:rsid w:val="005B75A4"/>
    <w:rsid w:val="005B7CE0"/>
    <w:rsid w:val="005C0BC4"/>
    <w:rsid w:val="005C15A9"/>
    <w:rsid w:val="005C21A1"/>
    <w:rsid w:val="005C2BA3"/>
    <w:rsid w:val="005C2F4C"/>
    <w:rsid w:val="005C3E16"/>
    <w:rsid w:val="005C41D5"/>
    <w:rsid w:val="005C49DF"/>
    <w:rsid w:val="005C5660"/>
    <w:rsid w:val="005C5882"/>
    <w:rsid w:val="005C7C3E"/>
    <w:rsid w:val="005D07BC"/>
    <w:rsid w:val="005D0993"/>
    <w:rsid w:val="005D1D0E"/>
    <w:rsid w:val="005D2361"/>
    <w:rsid w:val="005D25A3"/>
    <w:rsid w:val="005D298A"/>
    <w:rsid w:val="005D2B66"/>
    <w:rsid w:val="005D3029"/>
    <w:rsid w:val="005D302C"/>
    <w:rsid w:val="005D303F"/>
    <w:rsid w:val="005D3F47"/>
    <w:rsid w:val="005D4389"/>
    <w:rsid w:val="005D51FA"/>
    <w:rsid w:val="005D5A8E"/>
    <w:rsid w:val="005D6681"/>
    <w:rsid w:val="005D6835"/>
    <w:rsid w:val="005D6BA0"/>
    <w:rsid w:val="005D6E0E"/>
    <w:rsid w:val="005D6E2C"/>
    <w:rsid w:val="005D79F5"/>
    <w:rsid w:val="005D7A06"/>
    <w:rsid w:val="005D7EA4"/>
    <w:rsid w:val="005E08E6"/>
    <w:rsid w:val="005E0D26"/>
    <w:rsid w:val="005E0D73"/>
    <w:rsid w:val="005E15D1"/>
    <w:rsid w:val="005E1606"/>
    <w:rsid w:val="005E17EF"/>
    <w:rsid w:val="005E184C"/>
    <w:rsid w:val="005E1B61"/>
    <w:rsid w:val="005E1C38"/>
    <w:rsid w:val="005E204D"/>
    <w:rsid w:val="005E26F6"/>
    <w:rsid w:val="005E2C19"/>
    <w:rsid w:val="005E2EA2"/>
    <w:rsid w:val="005E36C4"/>
    <w:rsid w:val="005E437B"/>
    <w:rsid w:val="005E4460"/>
    <w:rsid w:val="005E4EA3"/>
    <w:rsid w:val="005E51D2"/>
    <w:rsid w:val="005E5610"/>
    <w:rsid w:val="005E5946"/>
    <w:rsid w:val="005E65B6"/>
    <w:rsid w:val="005E695F"/>
    <w:rsid w:val="005E713E"/>
    <w:rsid w:val="005E7AE9"/>
    <w:rsid w:val="005F0C45"/>
    <w:rsid w:val="005F2FE5"/>
    <w:rsid w:val="005F3101"/>
    <w:rsid w:val="005F3804"/>
    <w:rsid w:val="005F38EE"/>
    <w:rsid w:val="005F3CCC"/>
    <w:rsid w:val="005F4402"/>
    <w:rsid w:val="005F4A47"/>
    <w:rsid w:val="005F4A7D"/>
    <w:rsid w:val="005F4CCB"/>
    <w:rsid w:val="005F628D"/>
    <w:rsid w:val="005F73BF"/>
    <w:rsid w:val="005F7C99"/>
    <w:rsid w:val="005F7E84"/>
    <w:rsid w:val="005F7F03"/>
    <w:rsid w:val="00600301"/>
    <w:rsid w:val="0060039D"/>
    <w:rsid w:val="0060053F"/>
    <w:rsid w:val="0060081E"/>
    <w:rsid w:val="00601AC7"/>
    <w:rsid w:val="0060226D"/>
    <w:rsid w:val="00602A03"/>
    <w:rsid w:val="006036C9"/>
    <w:rsid w:val="00604A04"/>
    <w:rsid w:val="00606748"/>
    <w:rsid w:val="006069D2"/>
    <w:rsid w:val="00606A3E"/>
    <w:rsid w:val="00606C3B"/>
    <w:rsid w:val="00606CDD"/>
    <w:rsid w:val="00607610"/>
    <w:rsid w:val="00607639"/>
    <w:rsid w:val="00607C96"/>
    <w:rsid w:val="00607E32"/>
    <w:rsid w:val="00610438"/>
    <w:rsid w:val="00610A27"/>
    <w:rsid w:val="00610BD4"/>
    <w:rsid w:val="0061163A"/>
    <w:rsid w:val="00615149"/>
    <w:rsid w:val="006153A2"/>
    <w:rsid w:val="00617B14"/>
    <w:rsid w:val="00620292"/>
    <w:rsid w:val="0062115C"/>
    <w:rsid w:val="006212D3"/>
    <w:rsid w:val="006215CC"/>
    <w:rsid w:val="00621E2D"/>
    <w:rsid w:val="00622A28"/>
    <w:rsid w:val="0062312C"/>
    <w:rsid w:val="006238D6"/>
    <w:rsid w:val="00623C3C"/>
    <w:rsid w:val="00623DC2"/>
    <w:rsid w:val="00624DC2"/>
    <w:rsid w:val="00625388"/>
    <w:rsid w:val="006256AF"/>
    <w:rsid w:val="0062572D"/>
    <w:rsid w:val="006257E1"/>
    <w:rsid w:val="0062672C"/>
    <w:rsid w:val="00626A5A"/>
    <w:rsid w:val="0062701A"/>
    <w:rsid w:val="0062740D"/>
    <w:rsid w:val="00627CA0"/>
    <w:rsid w:val="0063083A"/>
    <w:rsid w:val="006322DB"/>
    <w:rsid w:val="00633B84"/>
    <w:rsid w:val="00633ED2"/>
    <w:rsid w:val="006340F6"/>
    <w:rsid w:val="006343A8"/>
    <w:rsid w:val="00635ED6"/>
    <w:rsid w:val="006365D2"/>
    <w:rsid w:val="00636861"/>
    <w:rsid w:val="00636ADD"/>
    <w:rsid w:val="00637073"/>
    <w:rsid w:val="00637DC3"/>
    <w:rsid w:val="00640797"/>
    <w:rsid w:val="006427C7"/>
    <w:rsid w:val="006429C3"/>
    <w:rsid w:val="00642D34"/>
    <w:rsid w:val="00644E06"/>
    <w:rsid w:val="006457A9"/>
    <w:rsid w:val="006460CC"/>
    <w:rsid w:val="0064640A"/>
    <w:rsid w:val="006470FB"/>
    <w:rsid w:val="00647C72"/>
    <w:rsid w:val="006513DB"/>
    <w:rsid w:val="00651651"/>
    <w:rsid w:val="00651D42"/>
    <w:rsid w:val="00652002"/>
    <w:rsid w:val="006520CC"/>
    <w:rsid w:val="006525B5"/>
    <w:rsid w:val="00652856"/>
    <w:rsid w:val="00652C0B"/>
    <w:rsid w:val="00652C45"/>
    <w:rsid w:val="00652D07"/>
    <w:rsid w:val="00653AC8"/>
    <w:rsid w:val="00655315"/>
    <w:rsid w:val="0065547F"/>
    <w:rsid w:val="0065635F"/>
    <w:rsid w:val="006565BA"/>
    <w:rsid w:val="00657778"/>
    <w:rsid w:val="0065796D"/>
    <w:rsid w:val="00660C98"/>
    <w:rsid w:val="00660E31"/>
    <w:rsid w:val="00661025"/>
    <w:rsid w:val="0066156E"/>
    <w:rsid w:val="00661D0D"/>
    <w:rsid w:val="0066375C"/>
    <w:rsid w:val="006638FC"/>
    <w:rsid w:val="00664263"/>
    <w:rsid w:val="0066451F"/>
    <w:rsid w:val="0066473F"/>
    <w:rsid w:val="00664A49"/>
    <w:rsid w:val="006660A9"/>
    <w:rsid w:val="00666461"/>
    <w:rsid w:val="00666613"/>
    <w:rsid w:val="00667848"/>
    <w:rsid w:val="006678BE"/>
    <w:rsid w:val="00667EE0"/>
    <w:rsid w:val="00670968"/>
    <w:rsid w:val="006717E5"/>
    <w:rsid w:val="00671A11"/>
    <w:rsid w:val="00671E50"/>
    <w:rsid w:val="00672166"/>
    <w:rsid w:val="006723C9"/>
    <w:rsid w:val="00672A02"/>
    <w:rsid w:val="00672A14"/>
    <w:rsid w:val="00672C02"/>
    <w:rsid w:val="00672FFB"/>
    <w:rsid w:val="006730D7"/>
    <w:rsid w:val="00674A8D"/>
    <w:rsid w:val="00674D1C"/>
    <w:rsid w:val="006753D7"/>
    <w:rsid w:val="00675D97"/>
    <w:rsid w:val="0067628F"/>
    <w:rsid w:val="006763C2"/>
    <w:rsid w:val="00676D7E"/>
    <w:rsid w:val="006776B5"/>
    <w:rsid w:val="00677770"/>
    <w:rsid w:val="00677C9E"/>
    <w:rsid w:val="00677CEF"/>
    <w:rsid w:val="00680912"/>
    <w:rsid w:val="00680C9C"/>
    <w:rsid w:val="00680E85"/>
    <w:rsid w:val="00680FFF"/>
    <w:rsid w:val="006813DB"/>
    <w:rsid w:val="00681C91"/>
    <w:rsid w:val="00681CC9"/>
    <w:rsid w:val="00681DB0"/>
    <w:rsid w:val="00681EB2"/>
    <w:rsid w:val="00681FF6"/>
    <w:rsid w:val="006829AC"/>
    <w:rsid w:val="0068331C"/>
    <w:rsid w:val="006837F0"/>
    <w:rsid w:val="00683D67"/>
    <w:rsid w:val="00684103"/>
    <w:rsid w:val="00684657"/>
    <w:rsid w:val="006850E1"/>
    <w:rsid w:val="00685939"/>
    <w:rsid w:val="00685D7E"/>
    <w:rsid w:val="00686145"/>
    <w:rsid w:val="0068648B"/>
    <w:rsid w:val="00686955"/>
    <w:rsid w:val="0068710E"/>
    <w:rsid w:val="00687407"/>
    <w:rsid w:val="006875B0"/>
    <w:rsid w:val="00690022"/>
    <w:rsid w:val="0069204B"/>
    <w:rsid w:val="0069223E"/>
    <w:rsid w:val="006922E9"/>
    <w:rsid w:val="00692744"/>
    <w:rsid w:val="00693712"/>
    <w:rsid w:val="00693BB5"/>
    <w:rsid w:val="00693EF0"/>
    <w:rsid w:val="00694008"/>
    <w:rsid w:val="00694392"/>
    <w:rsid w:val="00695E08"/>
    <w:rsid w:val="00696287"/>
    <w:rsid w:val="00696E37"/>
    <w:rsid w:val="006973D6"/>
    <w:rsid w:val="0069751A"/>
    <w:rsid w:val="00697968"/>
    <w:rsid w:val="00697D2B"/>
    <w:rsid w:val="006A048A"/>
    <w:rsid w:val="006A1083"/>
    <w:rsid w:val="006A168E"/>
    <w:rsid w:val="006A1B63"/>
    <w:rsid w:val="006A22BB"/>
    <w:rsid w:val="006A2C5C"/>
    <w:rsid w:val="006A481D"/>
    <w:rsid w:val="006A4FEC"/>
    <w:rsid w:val="006A54D7"/>
    <w:rsid w:val="006A55AC"/>
    <w:rsid w:val="006A57DE"/>
    <w:rsid w:val="006A68E1"/>
    <w:rsid w:val="006A7629"/>
    <w:rsid w:val="006A788A"/>
    <w:rsid w:val="006B0988"/>
    <w:rsid w:val="006B0C83"/>
    <w:rsid w:val="006B0D7E"/>
    <w:rsid w:val="006B2327"/>
    <w:rsid w:val="006B2D1D"/>
    <w:rsid w:val="006B301D"/>
    <w:rsid w:val="006B35BB"/>
    <w:rsid w:val="006B39A9"/>
    <w:rsid w:val="006B4085"/>
    <w:rsid w:val="006B42EC"/>
    <w:rsid w:val="006B4EF6"/>
    <w:rsid w:val="006B5440"/>
    <w:rsid w:val="006B569C"/>
    <w:rsid w:val="006B5875"/>
    <w:rsid w:val="006B60E8"/>
    <w:rsid w:val="006B61D8"/>
    <w:rsid w:val="006B6E7D"/>
    <w:rsid w:val="006B78FE"/>
    <w:rsid w:val="006B79E5"/>
    <w:rsid w:val="006B7EF6"/>
    <w:rsid w:val="006C0196"/>
    <w:rsid w:val="006C08AD"/>
    <w:rsid w:val="006C0E74"/>
    <w:rsid w:val="006C15DD"/>
    <w:rsid w:val="006C1939"/>
    <w:rsid w:val="006C1C80"/>
    <w:rsid w:val="006C35D1"/>
    <w:rsid w:val="006C3CCB"/>
    <w:rsid w:val="006C4822"/>
    <w:rsid w:val="006C53BC"/>
    <w:rsid w:val="006C5706"/>
    <w:rsid w:val="006C6123"/>
    <w:rsid w:val="006C6CF0"/>
    <w:rsid w:val="006D056D"/>
    <w:rsid w:val="006D0BBE"/>
    <w:rsid w:val="006D1C58"/>
    <w:rsid w:val="006D1CA2"/>
    <w:rsid w:val="006D1D4D"/>
    <w:rsid w:val="006D21D1"/>
    <w:rsid w:val="006D3136"/>
    <w:rsid w:val="006D3B6E"/>
    <w:rsid w:val="006D3D03"/>
    <w:rsid w:val="006D405D"/>
    <w:rsid w:val="006D4746"/>
    <w:rsid w:val="006D4ECA"/>
    <w:rsid w:val="006D52EF"/>
    <w:rsid w:val="006D5CB0"/>
    <w:rsid w:val="006D7049"/>
    <w:rsid w:val="006D76A4"/>
    <w:rsid w:val="006D773D"/>
    <w:rsid w:val="006D7B2A"/>
    <w:rsid w:val="006E10CC"/>
    <w:rsid w:val="006E129D"/>
    <w:rsid w:val="006E1DB4"/>
    <w:rsid w:val="006E24A3"/>
    <w:rsid w:val="006E2580"/>
    <w:rsid w:val="006E286B"/>
    <w:rsid w:val="006E2A5A"/>
    <w:rsid w:val="006E2C89"/>
    <w:rsid w:val="006E32D4"/>
    <w:rsid w:val="006E38CE"/>
    <w:rsid w:val="006E3AF9"/>
    <w:rsid w:val="006E3ECE"/>
    <w:rsid w:val="006E3FC5"/>
    <w:rsid w:val="006E440B"/>
    <w:rsid w:val="006E52AE"/>
    <w:rsid w:val="006E6B1D"/>
    <w:rsid w:val="006E70E8"/>
    <w:rsid w:val="006E739A"/>
    <w:rsid w:val="006E775B"/>
    <w:rsid w:val="006E7B72"/>
    <w:rsid w:val="006E7D65"/>
    <w:rsid w:val="006F0110"/>
    <w:rsid w:val="006F17F8"/>
    <w:rsid w:val="006F247D"/>
    <w:rsid w:val="006F2750"/>
    <w:rsid w:val="006F27B4"/>
    <w:rsid w:val="006F2BC4"/>
    <w:rsid w:val="006F3C81"/>
    <w:rsid w:val="006F40F6"/>
    <w:rsid w:val="006F46D0"/>
    <w:rsid w:val="006F59AF"/>
    <w:rsid w:val="006F5F0D"/>
    <w:rsid w:val="006F608F"/>
    <w:rsid w:val="006F669E"/>
    <w:rsid w:val="006F6EFC"/>
    <w:rsid w:val="006F70F1"/>
    <w:rsid w:val="006F7870"/>
    <w:rsid w:val="006F79AE"/>
    <w:rsid w:val="007005CF"/>
    <w:rsid w:val="007011F8"/>
    <w:rsid w:val="007014E3"/>
    <w:rsid w:val="00701AFA"/>
    <w:rsid w:val="00702198"/>
    <w:rsid w:val="007022FB"/>
    <w:rsid w:val="0070236D"/>
    <w:rsid w:val="0070278A"/>
    <w:rsid w:val="00702DF2"/>
    <w:rsid w:val="00703934"/>
    <w:rsid w:val="00703A42"/>
    <w:rsid w:val="00703B7A"/>
    <w:rsid w:val="007042E6"/>
    <w:rsid w:val="00704B40"/>
    <w:rsid w:val="00705166"/>
    <w:rsid w:val="0070535A"/>
    <w:rsid w:val="007057B3"/>
    <w:rsid w:val="00705C85"/>
    <w:rsid w:val="007066A7"/>
    <w:rsid w:val="0070674C"/>
    <w:rsid w:val="00706E1D"/>
    <w:rsid w:val="00707ABD"/>
    <w:rsid w:val="00707D3C"/>
    <w:rsid w:val="007101AA"/>
    <w:rsid w:val="00710257"/>
    <w:rsid w:val="0071040C"/>
    <w:rsid w:val="00710938"/>
    <w:rsid w:val="00710A64"/>
    <w:rsid w:val="00710B83"/>
    <w:rsid w:val="00711136"/>
    <w:rsid w:val="00711862"/>
    <w:rsid w:val="0071297A"/>
    <w:rsid w:val="007133A3"/>
    <w:rsid w:val="00714020"/>
    <w:rsid w:val="007145EE"/>
    <w:rsid w:val="00714672"/>
    <w:rsid w:val="007149A5"/>
    <w:rsid w:val="00714AB5"/>
    <w:rsid w:val="00714D14"/>
    <w:rsid w:val="00714E86"/>
    <w:rsid w:val="007204A1"/>
    <w:rsid w:val="00720907"/>
    <w:rsid w:val="007209D6"/>
    <w:rsid w:val="0072163B"/>
    <w:rsid w:val="00722530"/>
    <w:rsid w:val="007226C4"/>
    <w:rsid w:val="007233A8"/>
    <w:rsid w:val="007237CA"/>
    <w:rsid w:val="00725472"/>
    <w:rsid w:val="0072548C"/>
    <w:rsid w:val="00725D77"/>
    <w:rsid w:val="007260FB"/>
    <w:rsid w:val="007264F9"/>
    <w:rsid w:val="007269A2"/>
    <w:rsid w:val="00730A50"/>
    <w:rsid w:val="00730A59"/>
    <w:rsid w:val="00730CC6"/>
    <w:rsid w:val="00730E68"/>
    <w:rsid w:val="00731925"/>
    <w:rsid w:val="0073221D"/>
    <w:rsid w:val="00732C61"/>
    <w:rsid w:val="00732EE1"/>
    <w:rsid w:val="0073441C"/>
    <w:rsid w:val="007361D2"/>
    <w:rsid w:val="00736368"/>
    <w:rsid w:val="00736426"/>
    <w:rsid w:val="007369A3"/>
    <w:rsid w:val="0073783B"/>
    <w:rsid w:val="00737AB8"/>
    <w:rsid w:val="00737E72"/>
    <w:rsid w:val="00737F13"/>
    <w:rsid w:val="00740559"/>
    <w:rsid w:val="00740695"/>
    <w:rsid w:val="00741212"/>
    <w:rsid w:val="00741842"/>
    <w:rsid w:val="00742790"/>
    <w:rsid w:val="00743A48"/>
    <w:rsid w:val="00743AD9"/>
    <w:rsid w:val="00743E67"/>
    <w:rsid w:val="00744047"/>
    <w:rsid w:val="0074508C"/>
    <w:rsid w:val="0074610B"/>
    <w:rsid w:val="007462F5"/>
    <w:rsid w:val="00746359"/>
    <w:rsid w:val="00747225"/>
    <w:rsid w:val="00747BD5"/>
    <w:rsid w:val="00747BF1"/>
    <w:rsid w:val="00747E3D"/>
    <w:rsid w:val="007502B0"/>
    <w:rsid w:val="00750332"/>
    <w:rsid w:val="007509E7"/>
    <w:rsid w:val="007509F6"/>
    <w:rsid w:val="00750B5F"/>
    <w:rsid w:val="00750C02"/>
    <w:rsid w:val="00750D60"/>
    <w:rsid w:val="00751158"/>
    <w:rsid w:val="00751D5F"/>
    <w:rsid w:val="00751DE5"/>
    <w:rsid w:val="00752140"/>
    <w:rsid w:val="007532E2"/>
    <w:rsid w:val="00753619"/>
    <w:rsid w:val="007542CD"/>
    <w:rsid w:val="00754724"/>
    <w:rsid w:val="00754D71"/>
    <w:rsid w:val="00754EF0"/>
    <w:rsid w:val="0075560F"/>
    <w:rsid w:val="00755EF3"/>
    <w:rsid w:val="00757BB2"/>
    <w:rsid w:val="007601A2"/>
    <w:rsid w:val="0076037D"/>
    <w:rsid w:val="0076050A"/>
    <w:rsid w:val="0076095A"/>
    <w:rsid w:val="00760C42"/>
    <w:rsid w:val="00761CBB"/>
    <w:rsid w:val="0076214F"/>
    <w:rsid w:val="007625C1"/>
    <w:rsid w:val="007629E8"/>
    <w:rsid w:val="00762F7B"/>
    <w:rsid w:val="00763ABC"/>
    <w:rsid w:val="00763B9F"/>
    <w:rsid w:val="00764441"/>
    <w:rsid w:val="00765A02"/>
    <w:rsid w:val="00766F1E"/>
    <w:rsid w:val="007702E2"/>
    <w:rsid w:val="00770B04"/>
    <w:rsid w:val="007715CF"/>
    <w:rsid w:val="00771ACC"/>
    <w:rsid w:val="007722B0"/>
    <w:rsid w:val="00772426"/>
    <w:rsid w:val="007727CF"/>
    <w:rsid w:val="007727DB"/>
    <w:rsid w:val="007730D0"/>
    <w:rsid w:val="007739EF"/>
    <w:rsid w:val="00773C2C"/>
    <w:rsid w:val="00774F6C"/>
    <w:rsid w:val="007756F0"/>
    <w:rsid w:val="00775A78"/>
    <w:rsid w:val="00776C40"/>
    <w:rsid w:val="007778B7"/>
    <w:rsid w:val="007801FF"/>
    <w:rsid w:val="00780C66"/>
    <w:rsid w:val="00780FAC"/>
    <w:rsid w:val="00781158"/>
    <w:rsid w:val="00781FF1"/>
    <w:rsid w:val="00782852"/>
    <w:rsid w:val="00782901"/>
    <w:rsid w:val="007832FD"/>
    <w:rsid w:val="00784230"/>
    <w:rsid w:val="007843B5"/>
    <w:rsid w:val="00785270"/>
    <w:rsid w:val="007859D2"/>
    <w:rsid w:val="007864BE"/>
    <w:rsid w:val="007869A5"/>
    <w:rsid w:val="00787CCC"/>
    <w:rsid w:val="0079064C"/>
    <w:rsid w:val="00790FAC"/>
    <w:rsid w:val="0079259F"/>
    <w:rsid w:val="007926B4"/>
    <w:rsid w:val="00792F83"/>
    <w:rsid w:val="0079304D"/>
    <w:rsid w:val="00793203"/>
    <w:rsid w:val="00793A4C"/>
    <w:rsid w:val="00793B70"/>
    <w:rsid w:val="00794835"/>
    <w:rsid w:val="00794FC8"/>
    <w:rsid w:val="0079519B"/>
    <w:rsid w:val="007952A7"/>
    <w:rsid w:val="00795FD1"/>
    <w:rsid w:val="007960C0"/>
    <w:rsid w:val="007967FC"/>
    <w:rsid w:val="00796B78"/>
    <w:rsid w:val="00797906"/>
    <w:rsid w:val="007A0506"/>
    <w:rsid w:val="007A0E56"/>
    <w:rsid w:val="007A1058"/>
    <w:rsid w:val="007A1C52"/>
    <w:rsid w:val="007A20F7"/>
    <w:rsid w:val="007A241D"/>
    <w:rsid w:val="007A2F35"/>
    <w:rsid w:val="007A3788"/>
    <w:rsid w:val="007A3EBD"/>
    <w:rsid w:val="007A5377"/>
    <w:rsid w:val="007A5685"/>
    <w:rsid w:val="007A5ED2"/>
    <w:rsid w:val="007A5FB7"/>
    <w:rsid w:val="007A6AD2"/>
    <w:rsid w:val="007A77B3"/>
    <w:rsid w:val="007B14CB"/>
    <w:rsid w:val="007B1993"/>
    <w:rsid w:val="007B1A25"/>
    <w:rsid w:val="007B2AA6"/>
    <w:rsid w:val="007B34DB"/>
    <w:rsid w:val="007B369E"/>
    <w:rsid w:val="007B3FBF"/>
    <w:rsid w:val="007B4868"/>
    <w:rsid w:val="007B5876"/>
    <w:rsid w:val="007B66B7"/>
    <w:rsid w:val="007B702C"/>
    <w:rsid w:val="007B74EC"/>
    <w:rsid w:val="007B7684"/>
    <w:rsid w:val="007B7A3B"/>
    <w:rsid w:val="007B7B00"/>
    <w:rsid w:val="007B7E7E"/>
    <w:rsid w:val="007C0196"/>
    <w:rsid w:val="007C071D"/>
    <w:rsid w:val="007C1B87"/>
    <w:rsid w:val="007C1D53"/>
    <w:rsid w:val="007C261C"/>
    <w:rsid w:val="007C2969"/>
    <w:rsid w:val="007C2C10"/>
    <w:rsid w:val="007C2F38"/>
    <w:rsid w:val="007C3656"/>
    <w:rsid w:val="007C389A"/>
    <w:rsid w:val="007C3D69"/>
    <w:rsid w:val="007C3F6E"/>
    <w:rsid w:val="007C421E"/>
    <w:rsid w:val="007C4810"/>
    <w:rsid w:val="007C497F"/>
    <w:rsid w:val="007C4A72"/>
    <w:rsid w:val="007C4AA3"/>
    <w:rsid w:val="007C4DC2"/>
    <w:rsid w:val="007C5672"/>
    <w:rsid w:val="007C7181"/>
    <w:rsid w:val="007C7464"/>
    <w:rsid w:val="007C7608"/>
    <w:rsid w:val="007C765B"/>
    <w:rsid w:val="007C7801"/>
    <w:rsid w:val="007C7B13"/>
    <w:rsid w:val="007C7B9C"/>
    <w:rsid w:val="007C7C02"/>
    <w:rsid w:val="007D02C4"/>
    <w:rsid w:val="007D0F12"/>
    <w:rsid w:val="007D1212"/>
    <w:rsid w:val="007D24A2"/>
    <w:rsid w:val="007D34DA"/>
    <w:rsid w:val="007D3870"/>
    <w:rsid w:val="007D415A"/>
    <w:rsid w:val="007D4606"/>
    <w:rsid w:val="007D51EF"/>
    <w:rsid w:val="007D6629"/>
    <w:rsid w:val="007D7D9B"/>
    <w:rsid w:val="007E0107"/>
    <w:rsid w:val="007E0669"/>
    <w:rsid w:val="007E0B1F"/>
    <w:rsid w:val="007E0DE8"/>
    <w:rsid w:val="007E0DF2"/>
    <w:rsid w:val="007E1212"/>
    <w:rsid w:val="007E1364"/>
    <w:rsid w:val="007E17BB"/>
    <w:rsid w:val="007E1C22"/>
    <w:rsid w:val="007E1EA4"/>
    <w:rsid w:val="007E2D4D"/>
    <w:rsid w:val="007E2EB2"/>
    <w:rsid w:val="007E384E"/>
    <w:rsid w:val="007E3AE1"/>
    <w:rsid w:val="007E41C9"/>
    <w:rsid w:val="007E4746"/>
    <w:rsid w:val="007E49D3"/>
    <w:rsid w:val="007E4CA7"/>
    <w:rsid w:val="007E55AA"/>
    <w:rsid w:val="007E568A"/>
    <w:rsid w:val="007E5940"/>
    <w:rsid w:val="007E5EE5"/>
    <w:rsid w:val="007E654F"/>
    <w:rsid w:val="007E736E"/>
    <w:rsid w:val="007E7755"/>
    <w:rsid w:val="007F035E"/>
    <w:rsid w:val="007F03AB"/>
    <w:rsid w:val="007F0E40"/>
    <w:rsid w:val="007F1353"/>
    <w:rsid w:val="007F20ED"/>
    <w:rsid w:val="007F22B7"/>
    <w:rsid w:val="007F347F"/>
    <w:rsid w:val="007F4303"/>
    <w:rsid w:val="007F4654"/>
    <w:rsid w:val="007F47FC"/>
    <w:rsid w:val="007F4855"/>
    <w:rsid w:val="007F4989"/>
    <w:rsid w:val="007F49B8"/>
    <w:rsid w:val="007F4A69"/>
    <w:rsid w:val="007F4E08"/>
    <w:rsid w:val="007F5213"/>
    <w:rsid w:val="007F56AB"/>
    <w:rsid w:val="007F6E84"/>
    <w:rsid w:val="007F70ED"/>
    <w:rsid w:val="007F7499"/>
    <w:rsid w:val="007F782B"/>
    <w:rsid w:val="007F78BA"/>
    <w:rsid w:val="008003AC"/>
    <w:rsid w:val="00800645"/>
    <w:rsid w:val="00800C4D"/>
    <w:rsid w:val="0080113E"/>
    <w:rsid w:val="00801EF4"/>
    <w:rsid w:val="00803245"/>
    <w:rsid w:val="00803699"/>
    <w:rsid w:val="0080396E"/>
    <w:rsid w:val="00803BD2"/>
    <w:rsid w:val="008042B9"/>
    <w:rsid w:val="00804548"/>
    <w:rsid w:val="008045C4"/>
    <w:rsid w:val="00804BFE"/>
    <w:rsid w:val="00804FA6"/>
    <w:rsid w:val="00805256"/>
    <w:rsid w:val="0080683A"/>
    <w:rsid w:val="00806FCA"/>
    <w:rsid w:val="0080748C"/>
    <w:rsid w:val="0080797F"/>
    <w:rsid w:val="00810795"/>
    <w:rsid w:val="00810DFF"/>
    <w:rsid w:val="008119D1"/>
    <w:rsid w:val="00811F7D"/>
    <w:rsid w:val="008134AD"/>
    <w:rsid w:val="008137F4"/>
    <w:rsid w:val="00813816"/>
    <w:rsid w:val="0081389F"/>
    <w:rsid w:val="00814E6A"/>
    <w:rsid w:val="00814F22"/>
    <w:rsid w:val="008153BA"/>
    <w:rsid w:val="00816641"/>
    <w:rsid w:val="0081717A"/>
    <w:rsid w:val="00817659"/>
    <w:rsid w:val="00820EC6"/>
    <w:rsid w:val="008215E3"/>
    <w:rsid w:val="00821843"/>
    <w:rsid w:val="00821A90"/>
    <w:rsid w:val="00821E5C"/>
    <w:rsid w:val="00821F75"/>
    <w:rsid w:val="008221BC"/>
    <w:rsid w:val="00822D03"/>
    <w:rsid w:val="0082365F"/>
    <w:rsid w:val="00824574"/>
    <w:rsid w:val="00824F52"/>
    <w:rsid w:val="00825661"/>
    <w:rsid w:val="00825A28"/>
    <w:rsid w:val="00825B2D"/>
    <w:rsid w:val="008266AC"/>
    <w:rsid w:val="00826FE5"/>
    <w:rsid w:val="00827EF5"/>
    <w:rsid w:val="00830B0E"/>
    <w:rsid w:val="0083107C"/>
    <w:rsid w:val="00832026"/>
    <w:rsid w:val="0083395E"/>
    <w:rsid w:val="00835744"/>
    <w:rsid w:val="00836528"/>
    <w:rsid w:val="0083664E"/>
    <w:rsid w:val="0083710F"/>
    <w:rsid w:val="0083712A"/>
    <w:rsid w:val="008372FA"/>
    <w:rsid w:val="0084157E"/>
    <w:rsid w:val="00841ADC"/>
    <w:rsid w:val="00841BDC"/>
    <w:rsid w:val="008424F7"/>
    <w:rsid w:val="00842A18"/>
    <w:rsid w:val="00843153"/>
    <w:rsid w:val="008437ED"/>
    <w:rsid w:val="00844581"/>
    <w:rsid w:val="00844D98"/>
    <w:rsid w:val="0084527B"/>
    <w:rsid w:val="00845CEE"/>
    <w:rsid w:val="00846E6F"/>
    <w:rsid w:val="00847108"/>
    <w:rsid w:val="00847232"/>
    <w:rsid w:val="00850186"/>
    <w:rsid w:val="008502A8"/>
    <w:rsid w:val="008503EC"/>
    <w:rsid w:val="00850B16"/>
    <w:rsid w:val="00850B1A"/>
    <w:rsid w:val="00850F78"/>
    <w:rsid w:val="00851350"/>
    <w:rsid w:val="00852786"/>
    <w:rsid w:val="00852A3E"/>
    <w:rsid w:val="00852AAB"/>
    <w:rsid w:val="0085405D"/>
    <w:rsid w:val="00855224"/>
    <w:rsid w:val="008557F2"/>
    <w:rsid w:val="00855AAA"/>
    <w:rsid w:val="00855B5D"/>
    <w:rsid w:val="00855D04"/>
    <w:rsid w:val="00855F88"/>
    <w:rsid w:val="008564A4"/>
    <w:rsid w:val="00856CFB"/>
    <w:rsid w:val="00857473"/>
    <w:rsid w:val="00857538"/>
    <w:rsid w:val="0086012F"/>
    <w:rsid w:val="00860333"/>
    <w:rsid w:val="008603B3"/>
    <w:rsid w:val="00860CEE"/>
    <w:rsid w:val="00861414"/>
    <w:rsid w:val="00861418"/>
    <w:rsid w:val="00862C73"/>
    <w:rsid w:val="0086499A"/>
    <w:rsid w:val="00864EC0"/>
    <w:rsid w:val="0086580A"/>
    <w:rsid w:val="00865C97"/>
    <w:rsid w:val="00865E93"/>
    <w:rsid w:val="00866139"/>
    <w:rsid w:val="00866901"/>
    <w:rsid w:val="00866B2D"/>
    <w:rsid w:val="00867950"/>
    <w:rsid w:val="00870029"/>
    <w:rsid w:val="00871A35"/>
    <w:rsid w:val="00871C40"/>
    <w:rsid w:val="00871C53"/>
    <w:rsid w:val="00872014"/>
    <w:rsid w:val="0087207D"/>
    <w:rsid w:val="008721B7"/>
    <w:rsid w:val="00872212"/>
    <w:rsid w:val="00873361"/>
    <w:rsid w:val="008746AD"/>
    <w:rsid w:val="008749CF"/>
    <w:rsid w:val="00875220"/>
    <w:rsid w:val="00875B55"/>
    <w:rsid w:val="00876F40"/>
    <w:rsid w:val="00876FD0"/>
    <w:rsid w:val="00877778"/>
    <w:rsid w:val="00877942"/>
    <w:rsid w:val="0088037E"/>
    <w:rsid w:val="00880C82"/>
    <w:rsid w:val="00880F25"/>
    <w:rsid w:val="00881145"/>
    <w:rsid w:val="008817A8"/>
    <w:rsid w:val="00881D25"/>
    <w:rsid w:val="008825C9"/>
    <w:rsid w:val="00882AC0"/>
    <w:rsid w:val="008830B0"/>
    <w:rsid w:val="00883493"/>
    <w:rsid w:val="00883ECD"/>
    <w:rsid w:val="008853E0"/>
    <w:rsid w:val="00885C24"/>
    <w:rsid w:val="008860C7"/>
    <w:rsid w:val="008861B1"/>
    <w:rsid w:val="008908CF"/>
    <w:rsid w:val="00890EB5"/>
    <w:rsid w:val="008910BD"/>
    <w:rsid w:val="00891282"/>
    <w:rsid w:val="00891EEB"/>
    <w:rsid w:val="008927DC"/>
    <w:rsid w:val="00892B0F"/>
    <w:rsid w:val="008937A0"/>
    <w:rsid w:val="00893AF6"/>
    <w:rsid w:val="008945E2"/>
    <w:rsid w:val="00895374"/>
    <w:rsid w:val="00895BDA"/>
    <w:rsid w:val="00895D25"/>
    <w:rsid w:val="00895DD7"/>
    <w:rsid w:val="00896152"/>
    <w:rsid w:val="008964B6"/>
    <w:rsid w:val="00896572"/>
    <w:rsid w:val="00896A7E"/>
    <w:rsid w:val="008975C1"/>
    <w:rsid w:val="00897EC5"/>
    <w:rsid w:val="008A0505"/>
    <w:rsid w:val="008A0B56"/>
    <w:rsid w:val="008A0D54"/>
    <w:rsid w:val="008A119A"/>
    <w:rsid w:val="008A2D71"/>
    <w:rsid w:val="008A332F"/>
    <w:rsid w:val="008A43DB"/>
    <w:rsid w:val="008A47D0"/>
    <w:rsid w:val="008A4E80"/>
    <w:rsid w:val="008A4F78"/>
    <w:rsid w:val="008A584F"/>
    <w:rsid w:val="008A689F"/>
    <w:rsid w:val="008A7667"/>
    <w:rsid w:val="008B0CC9"/>
    <w:rsid w:val="008B241A"/>
    <w:rsid w:val="008B2A33"/>
    <w:rsid w:val="008B2AB4"/>
    <w:rsid w:val="008B2DC4"/>
    <w:rsid w:val="008B33AC"/>
    <w:rsid w:val="008B375E"/>
    <w:rsid w:val="008B3976"/>
    <w:rsid w:val="008B514A"/>
    <w:rsid w:val="008B553D"/>
    <w:rsid w:val="008B56A8"/>
    <w:rsid w:val="008B57F3"/>
    <w:rsid w:val="008B58B3"/>
    <w:rsid w:val="008B5A3E"/>
    <w:rsid w:val="008B68C9"/>
    <w:rsid w:val="008B692D"/>
    <w:rsid w:val="008B7734"/>
    <w:rsid w:val="008C00E8"/>
    <w:rsid w:val="008C0314"/>
    <w:rsid w:val="008C08CA"/>
    <w:rsid w:val="008C223B"/>
    <w:rsid w:val="008C2B6B"/>
    <w:rsid w:val="008C4215"/>
    <w:rsid w:val="008C6564"/>
    <w:rsid w:val="008C786B"/>
    <w:rsid w:val="008C7EFA"/>
    <w:rsid w:val="008D0006"/>
    <w:rsid w:val="008D0909"/>
    <w:rsid w:val="008D0A71"/>
    <w:rsid w:val="008D1B1A"/>
    <w:rsid w:val="008D1EA0"/>
    <w:rsid w:val="008D1F84"/>
    <w:rsid w:val="008D25F2"/>
    <w:rsid w:val="008D365F"/>
    <w:rsid w:val="008D3B2B"/>
    <w:rsid w:val="008D3C6A"/>
    <w:rsid w:val="008D4469"/>
    <w:rsid w:val="008D5099"/>
    <w:rsid w:val="008D5797"/>
    <w:rsid w:val="008D5B45"/>
    <w:rsid w:val="008D61F1"/>
    <w:rsid w:val="008D6289"/>
    <w:rsid w:val="008D6CC7"/>
    <w:rsid w:val="008D70FC"/>
    <w:rsid w:val="008D7F5E"/>
    <w:rsid w:val="008E0876"/>
    <w:rsid w:val="008E0C79"/>
    <w:rsid w:val="008E1D58"/>
    <w:rsid w:val="008E22D6"/>
    <w:rsid w:val="008E2980"/>
    <w:rsid w:val="008E2D39"/>
    <w:rsid w:val="008E3D9F"/>
    <w:rsid w:val="008E3E72"/>
    <w:rsid w:val="008E42DE"/>
    <w:rsid w:val="008E4E2C"/>
    <w:rsid w:val="008E4EF8"/>
    <w:rsid w:val="008E52D3"/>
    <w:rsid w:val="008E5E72"/>
    <w:rsid w:val="008E64A7"/>
    <w:rsid w:val="008E64B7"/>
    <w:rsid w:val="008E6AED"/>
    <w:rsid w:val="008E701B"/>
    <w:rsid w:val="008E7541"/>
    <w:rsid w:val="008E7A33"/>
    <w:rsid w:val="008F01E1"/>
    <w:rsid w:val="008F176A"/>
    <w:rsid w:val="008F1AD6"/>
    <w:rsid w:val="008F288B"/>
    <w:rsid w:val="008F2BE9"/>
    <w:rsid w:val="008F33FF"/>
    <w:rsid w:val="008F375E"/>
    <w:rsid w:val="008F37BA"/>
    <w:rsid w:val="008F3E57"/>
    <w:rsid w:val="008F4665"/>
    <w:rsid w:val="008F4A9F"/>
    <w:rsid w:val="008F4B0E"/>
    <w:rsid w:val="008F4DBF"/>
    <w:rsid w:val="008F5679"/>
    <w:rsid w:val="008F57CE"/>
    <w:rsid w:val="008F6473"/>
    <w:rsid w:val="008F6C71"/>
    <w:rsid w:val="008F7429"/>
    <w:rsid w:val="008F7664"/>
    <w:rsid w:val="008F78CC"/>
    <w:rsid w:val="0090050F"/>
    <w:rsid w:val="00900729"/>
    <w:rsid w:val="0090076C"/>
    <w:rsid w:val="00900838"/>
    <w:rsid w:val="00900DB6"/>
    <w:rsid w:val="009011E1"/>
    <w:rsid w:val="009012DC"/>
    <w:rsid w:val="00901902"/>
    <w:rsid w:val="00901BD8"/>
    <w:rsid w:val="009025D8"/>
    <w:rsid w:val="00902663"/>
    <w:rsid w:val="00903529"/>
    <w:rsid w:val="00903B72"/>
    <w:rsid w:val="0090408E"/>
    <w:rsid w:val="009047F4"/>
    <w:rsid w:val="0090487A"/>
    <w:rsid w:val="00904DE1"/>
    <w:rsid w:val="0090574B"/>
    <w:rsid w:val="00905942"/>
    <w:rsid w:val="00905B07"/>
    <w:rsid w:val="009068DF"/>
    <w:rsid w:val="00907B12"/>
    <w:rsid w:val="00907F1E"/>
    <w:rsid w:val="0091185A"/>
    <w:rsid w:val="00912268"/>
    <w:rsid w:val="009128E0"/>
    <w:rsid w:val="00913EC1"/>
    <w:rsid w:val="00914131"/>
    <w:rsid w:val="00914173"/>
    <w:rsid w:val="009146F7"/>
    <w:rsid w:val="00914FC0"/>
    <w:rsid w:val="00915B32"/>
    <w:rsid w:val="00916182"/>
    <w:rsid w:val="009167A6"/>
    <w:rsid w:val="009175A7"/>
    <w:rsid w:val="009177FC"/>
    <w:rsid w:val="00917B43"/>
    <w:rsid w:val="00917C3D"/>
    <w:rsid w:val="00920707"/>
    <w:rsid w:val="0092140D"/>
    <w:rsid w:val="009214F7"/>
    <w:rsid w:val="00921C1D"/>
    <w:rsid w:val="009220B9"/>
    <w:rsid w:val="009226BB"/>
    <w:rsid w:val="00922FA2"/>
    <w:rsid w:val="0092309F"/>
    <w:rsid w:val="0092332C"/>
    <w:rsid w:val="0092375F"/>
    <w:rsid w:val="00923920"/>
    <w:rsid w:val="00923C8B"/>
    <w:rsid w:val="009242FC"/>
    <w:rsid w:val="009242FD"/>
    <w:rsid w:val="009246E6"/>
    <w:rsid w:val="0092481D"/>
    <w:rsid w:val="00925539"/>
    <w:rsid w:val="009262EB"/>
    <w:rsid w:val="00926BE4"/>
    <w:rsid w:val="00926EB8"/>
    <w:rsid w:val="00926F40"/>
    <w:rsid w:val="00927F77"/>
    <w:rsid w:val="009306CC"/>
    <w:rsid w:val="00931677"/>
    <w:rsid w:val="00931ADB"/>
    <w:rsid w:val="00931BAE"/>
    <w:rsid w:val="00932D6B"/>
    <w:rsid w:val="00933A0F"/>
    <w:rsid w:val="00933D07"/>
    <w:rsid w:val="00934977"/>
    <w:rsid w:val="009349BE"/>
    <w:rsid w:val="00934AB6"/>
    <w:rsid w:val="009372DF"/>
    <w:rsid w:val="009372F7"/>
    <w:rsid w:val="00937375"/>
    <w:rsid w:val="009373A5"/>
    <w:rsid w:val="009409F9"/>
    <w:rsid w:val="0094126F"/>
    <w:rsid w:val="0094168B"/>
    <w:rsid w:val="009427F7"/>
    <w:rsid w:val="00944048"/>
    <w:rsid w:val="00944E6F"/>
    <w:rsid w:val="009450DC"/>
    <w:rsid w:val="0094560B"/>
    <w:rsid w:val="0094565B"/>
    <w:rsid w:val="0094659C"/>
    <w:rsid w:val="00946722"/>
    <w:rsid w:val="00946FD8"/>
    <w:rsid w:val="00947714"/>
    <w:rsid w:val="009500C5"/>
    <w:rsid w:val="0095031E"/>
    <w:rsid w:val="00950D8E"/>
    <w:rsid w:val="00950ED6"/>
    <w:rsid w:val="00951B9D"/>
    <w:rsid w:val="009521AA"/>
    <w:rsid w:val="0095291F"/>
    <w:rsid w:val="00952B1B"/>
    <w:rsid w:val="00952FBE"/>
    <w:rsid w:val="00953123"/>
    <w:rsid w:val="009533FA"/>
    <w:rsid w:val="009535DE"/>
    <w:rsid w:val="009558B9"/>
    <w:rsid w:val="00956D82"/>
    <w:rsid w:val="0095727F"/>
    <w:rsid w:val="00957ACF"/>
    <w:rsid w:val="0096013E"/>
    <w:rsid w:val="0096017D"/>
    <w:rsid w:val="00960499"/>
    <w:rsid w:val="00960A85"/>
    <w:rsid w:val="00961C05"/>
    <w:rsid w:val="00961D22"/>
    <w:rsid w:val="00962949"/>
    <w:rsid w:val="00962C28"/>
    <w:rsid w:val="00962F88"/>
    <w:rsid w:val="0096334A"/>
    <w:rsid w:val="009635FC"/>
    <w:rsid w:val="009643F3"/>
    <w:rsid w:val="009645C0"/>
    <w:rsid w:val="009649E5"/>
    <w:rsid w:val="00964D55"/>
    <w:rsid w:val="00965990"/>
    <w:rsid w:val="00965A13"/>
    <w:rsid w:val="00965CF0"/>
    <w:rsid w:val="00965D6D"/>
    <w:rsid w:val="00967990"/>
    <w:rsid w:val="00967FD3"/>
    <w:rsid w:val="0097122E"/>
    <w:rsid w:val="00971743"/>
    <w:rsid w:val="00971999"/>
    <w:rsid w:val="009722B2"/>
    <w:rsid w:val="00972696"/>
    <w:rsid w:val="00972CE4"/>
    <w:rsid w:val="00972D0C"/>
    <w:rsid w:val="00972E2A"/>
    <w:rsid w:val="009730B7"/>
    <w:rsid w:val="009734B9"/>
    <w:rsid w:val="00973530"/>
    <w:rsid w:val="009737BB"/>
    <w:rsid w:val="00973A43"/>
    <w:rsid w:val="00973C9D"/>
    <w:rsid w:val="00974461"/>
    <w:rsid w:val="00974C33"/>
    <w:rsid w:val="00974FFE"/>
    <w:rsid w:val="0097543E"/>
    <w:rsid w:val="0097573B"/>
    <w:rsid w:val="00975DC9"/>
    <w:rsid w:val="00977A74"/>
    <w:rsid w:val="00977BD7"/>
    <w:rsid w:val="00981202"/>
    <w:rsid w:val="0098153C"/>
    <w:rsid w:val="00981DED"/>
    <w:rsid w:val="00981FA4"/>
    <w:rsid w:val="00982463"/>
    <w:rsid w:val="009824D6"/>
    <w:rsid w:val="009828FA"/>
    <w:rsid w:val="00982AB4"/>
    <w:rsid w:val="00983481"/>
    <w:rsid w:val="0098382A"/>
    <w:rsid w:val="00983CAD"/>
    <w:rsid w:val="00984B7F"/>
    <w:rsid w:val="00985310"/>
    <w:rsid w:val="0098577A"/>
    <w:rsid w:val="00985A05"/>
    <w:rsid w:val="0098686E"/>
    <w:rsid w:val="009873BB"/>
    <w:rsid w:val="00987E2A"/>
    <w:rsid w:val="00990662"/>
    <w:rsid w:val="00990A35"/>
    <w:rsid w:val="00991665"/>
    <w:rsid w:val="00992069"/>
    <w:rsid w:val="009920AD"/>
    <w:rsid w:val="00992584"/>
    <w:rsid w:val="009942F7"/>
    <w:rsid w:val="009944B2"/>
    <w:rsid w:val="00994F04"/>
    <w:rsid w:val="00995119"/>
    <w:rsid w:val="009951D5"/>
    <w:rsid w:val="00995646"/>
    <w:rsid w:val="0099580F"/>
    <w:rsid w:val="00996B4D"/>
    <w:rsid w:val="00996CF7"/>
    <w:rsid w:val="009979DC"/>
    <w:rsid w:val="00997E27"/>
    <w:rsid w:val="00997EE9"/>
    <w:rsid w:val="009A08C1"/>
    <w:rsid w:val="009A0E6B"/>
    <w:rsid w:val="009A12CA"/>
    <w:rsid w:val="009A185C"/>
    <w:rsid w:val="009A1B17"/>
    <w:rsid w:val="009A240B"/>
    <w:rsid w:val="009A2426"/>
    <w:rsid w:val="009A250E"/>
    <w:rsid w:val="009A2AC2"/>
    <w:rsid w:val="009A31AF"/>
    <w:rsid w:val="009A3230"/>
    <w:rsid w:val="009A33C5"/>
    <w:rsid w:val="009A36BE"/>
    <w:rsid w:val="009A3BFE"/>
    <w:rsid w:val="009A40EC"/>
    <w:rsid w:val="009A41BB"/>
    <w:rsid w:val="009A4E3E"/>
    <w:rsid w:val="009A4F24"/>
    <w:rsid w:val="009A4F68"/>
    <w:rsid w:val="009A5A7C"/>
    <w:rsid w:val="009A7947"/>
    <w:rsid w:val="009B020F"/>
    <w:rsid w:val="009B124E"/>
    <w:rsid w:val="009B3BFF"/>
    <w:rsid w:val="009B6463"/>
    <w:rsid w:val="009B678D"/>
    <w:rsid w:val="009B6892"/>
    <w:rsid w:val="009B6F0D"/>
    <w:rsid w:val="009B7F04"/>
    <w:rsid w:val="009C023C"/>
    <w:rsid w:val="009C05CD"/>
    <w:rsid w:val="009C0872"/>
    <w:rsid w:val="009C18BB"/>
    <w:rsid w:val="009C22B0"/>
    <w:rsid w:val="009C48F0"/>
    <w:rsid w:val="009C4DA2"/>
    <w:rsid w:val="009C54FD"/>
    <w:rsid w:val="009C5589"/>
    <w:rsid w:val="009C560B"/>
    <w:rsid w:val="009C6737"/>
    <w:rsid w:val="009C6754"/>
    <w:rsid w:val="009C6DC2"/>
    <w:rsid w:val="009C7AA9"/>
    <w:rsid w:val="009D047B"/>
    <w:rsid w:val="009D0D60"/>
    <w:rsid w:val="009D16B4"/>
    <w:rsid w:val="009D1E65"/>
    <w:rsid w:val="009D3322"/>
    <w:rsid w:val="009D368A"/>
    <w:rsid w:val="009D3EB1"/>
    <w:rsid w:val="009D40F2"/>
    <w:rsid w:val="009D4206"/>
    <w:rsid w:val="009D442E"/>
    <w:rsid w:val="009D4561"/>
    <w:rsid w:val="009D4EEB"/>
    <w:rsid w:val="009D55D6"/>
    <w:rsid w:val="009D6581"/>
    <w:rsid w:val="009E06FC"/>
    <w:rsid w:val="009E0718"/>
    <w:rsid w:val="009E0803"/>
    <w:rsid w:val="009E11DE"/>
    <w:rsid w:val="009E1267"/>
    <w:rsid w:val="009E1B1C"/>
    <w:rsid w:val="009E1FC5"/>
    <w:rsid w:val="009E26D9"/>
    <w:rsid w:val="009E302E"/>
    <w:rsid w:val="009E45FA"/>
    <w:rsid w:val="009E4D37"/>
    <w:rsid w:val="009E53ED"/>
    <w:rsid w:val="009E56A9"/>
    <w:rsid w:val="009E5996"/>
    <w:rsid w:val="009E6710"/>
    <w:rsid w:val="009E748A"/>
    <w:rsid w:val="009E75FC"/>
    <w:rsid w:val="009F03A7"/>
    <w:rsid w:val="009F0841"/>
    <w:rsid w:val="009F099A"/>
    <w:rsid w:val="009F1194"/>
    <w:rsid w:val="009F173B"/>
    <w:rsid w:val="009F280F"/>
    <w:rsid w:val="009F40ED"/>
    <w:rsid w:val="009F4863"/>
    <w:rsid w:val="009F4F78"/>
    <w:rsid w:val="009F5051"/>
    <w:rsid w:val="009F5186"/>
    <w:rsid w:val="009F5A1A"/>
    <w:rsid w:val="009F5E17"/>
    <w:rsid w:val="009F5EC0"/>
    <w:rsid w:val="009F619A"/>
    <w:rsid w:val="009F6297"/>
    <w:rsid w:val="009F6889"/>
    <w:rsid w:val="00A0074E"/>
    <w:rsid w:val="00A00966"/>
    <w:rsid w:val="00A00AC1"/>
    <w:rsid w:val="00A018AD"/>
    <w:rsid w:val="00A01B27"/>
    <w:rsid w:val="00A02409"/>
    <w:rsid w:val="00A02B07"/>
    <w:rsid w:val="00A02C47"/>
    <w:rsid w:val="00A02EE2"/>
    <w:rsid w:val="00A03567"/>
    <w:rsid w:val="00A03C49"/>
    <w:rsid w:val="00A03D8B"/>
    <w:rsid w:val="00A03ED1"/>
    <w:rsid w:val="00A043C0"/>
    <w:rsid w:val="00A04655"/>
    <w:rsid w:val="00A048FF"/>
    <w:rsid w:val="00A04E10"/>
    <w:rsid w:val="00A05240"/>
    <w:rsid w:val="00A061BC"/>
    <w:rsid w:val="00A06C9F"/>
    <w:rsid w:val="00A07CF8"/>
    <w:rsid w:val="00A10408"/>
    <w:rsid w:val="00A1090F"/>
    <w:rsid w:val="00A1092D"/>
    <w:rsid w:val="00A109C3"/>
    <w:rsid w:val="00A10BE4"/>
    <w:rsid w:val="00A10EBC"/>
    <w:rsid w:val="00A11666"/>
    <w:rsid w:val="00A11727"/>
    <w:rsid w:val="00A11910"/>
    <w:rsid w:val="00A1209F"/>
    <w:rsid w:val="00A1217C"/>
    <w:rsid w:val="00A123FD"/>
    <w:rsid w:val="00A127D5"/>
    <w:rsid w:val="00A12EB5"/>
    <w:rsid w:val="00A13A55"/>
    <w:rsid w:val="00A15041"/>
    <w:rsid w:val="00A15640"/>
    <w:rsid w:val="00A15952"/>
    <w:rsid w:val="00A16271"/>
    <w:rsid w:val="00A168F8"/>
    <w:rsid w:val="00A16DD1"/>
    <w:rsid w:val="00A17653"/>
    <w:rsid w:val="00A17837"/>
    <w:rsid w:val="00A17E97"/>
    <w:rsid w:val="00A205D9"/>
    <w:rsid w:val="00A205E8"/>
    <w:rsid w:val="00A207C0"/>
    <w:rsid w:val="00A2093A"/>
    <w:rsid w:val="00A2112F"/>
    <w:rsid w:val="00A22B50"/>
    <w:rsid w:val="00A22CAF"/>
    <w:rsid w:val="00A23D05"/>
    <w:rsid w:val="00A2506C"/>
    <w:rsid w:val="00A252A2"/>
    <w:rsid w:val="00A25468"/>
    <w:rsid w:val="00A25DD4"/>
    <w:rsid w:val="00A26428"/>
    <w:rsid w:val="00A26A60"/>
    <w:rsid w:val="00A27052"/>
    <w:rsid w:val="00A27614"/>
    <w:rsid w:val="00A276E7"/>
    <w:rsid w:val="00A30B0B"/>
    <w:rsid w:val="00A31029"/>
    <w:rsid w:val="00A31427"/>
    <w:rsid w:val="00A31536"/>
    <w:rsid w:val="00A31B8E"/>
    <w:rsid w:val="00A33751"/>
    <w:rsid w:val="00A3415F"/>
    <w:rsid w:val="00A342AF"/>
    <w:rsid w:val="00A35723"/>
    <w:rsid w:val="00A36152"/>
    <w:rsid w:val="00A3670D"/>
    <w:rsid w:val="00A36C6B"/>
    <w:rsid w:val="00A370FB"/>
    <w:rsid w:val="00A373D8"/>
    <w:rsid w:val="00A37FD4"/>
    <w:rsid w:val="00A402AA"/>
    <w:rsid w:val="00A413FA"/>
    <w:rsid w:val="00A41525"/>
    <w:rsid w:val="00A415B2"/>
    <w:rsid w:val="00A445F7"/>
    <w:rsid w:val="00A44850"/>
    <w:rsid w:val="00A45034"/>
    <w:rsid w:val="00A45838"/>
    <w:rsid w:val="00A45C0F"/>
    <w:rsid w:val="00A45C35"/>
    <w:rsid w:val="00A45D17"/>
    <w:rsid w:val="00A46AE8"/>
    <w:rsid w:val="00A46E10"/>
    <w:rsid w:val="00A47B79"/>
    <w:rsid w:val="00A47BC3"/>
    <w:rsid w:val="00A507C0"/>
    <w:rsid w:val="00A51722"/>
    <w:rsid w:val="00A51D39"/>
    <w:rsid w:val="00A52C7B"/>
    <w:rsid w:val="00A52C9D"/>
    <w:rsid w:val="00A530A3"/>
    <w:rsid w:val="00A53B76"/>
    <w:rsid w:val="00A54694"/>
    <w:rsid w:val="00A553B0"/>
    <w:rsid w:val="00A5559A"/>
    <w:rsid w:val="00A55781"/>
    <w:rsid w:val="00A56EF8"/>
    <w:rsid w:val="00A579A4"/>
    <w:rsid w:val="00A60384"/>
    <w:rsid w:val="00A606BE"/>
    <w:rsid w:val="00A60D3E"/>
    <w:rsid w:val="00A62350"/>
    <w:rsid w:val="00A62D3B"/>
    <w:rsid w:val="00A637A7"/>
    <w:rsid w:val="00A63CA6"/>
    <w:rsid w:val="00A6400C"/>
    <w:rsid w:val="00A64DFF"/>
    <w:rsid w:val="00A65E83"/>
    <w:rsid w:val="00A664D7"/>
    <w:rsid w:val="00A66555"/>
    <w:rsid w:val="00A66632"/>
    <w:rsid w:val="00A667A4"/>
    <w:rsid w:val="00A66D23"/>
    <w:rsid w:val="00A67033"/>
    <w:rsid w:val="00A6730E"/>
    <w:rsid w:val="00A673F2"/>
    <w:rsid w:val="00A71B0F"/>
    <w:rsid w:val="00A71C44"/>
    <w:rsid w:val="00A72140"/>
    <w:rsid w:val="00A72B40"/>
    <w:rsid w:val="00A72B74"/>
    <w:rsid w:val="00A72B8C"/>
    <w:rsid w:val="00A72C16"/>
    <w:rsid w:val="00A72F8B"/>
    <w:rsid w:val="00A744E8"/>
    <w:rsid w:val="00A7470E"/>
    <w:rsid w:val="00A748B9"/>
    <w:rsid w:val="00A74959"/>
    <w:rsid w:val="00A74CD1"/>
    <w:rsid w:val="00A7636C"/>
    <w:rsid w:val="00A765F3"/>
    <w:rsid w:val="00A76D96"/>
    <w:rsid w:val="00A76DA1"/>
    <w:rsid w:val="00A77379"/>
    <w:rsid w:val="00A8014A"/>
    <w:rsid w:val="00A8021C"/>
    <w:rsid w:val="00A80688"/>
    <w:rsid w:val="00A82A0E"/>
    <w:rsid w:val="00A82B19"/>
    <w:rsid w:val="00A83E75"/>
    <w:rsid w:val="00A84C0B"/>
    <w:rsid w:val="00A869E1"/>
    <w:rsid w:val="00A87172"/>
    <w:rsid w:val="00A901D1"/>
    <w:rsid w:val="00A905BB"/>
    <w:rsid w:val="00A90A86"/>
    <w:rsid w:val="00A91356"/>
    <w:rsid w:val="00A91E15"/>
    <w:rsid w:val="00A92BF8"/>
    <w:rsid w:val="00A93C58"/>
    <w:rsid w:val="00A95122"/>
    <w:rsid w:val="00A95A82"/>
    <w:rsid w:val="00A95C10"/>
    <w:rsid w:val="00A976B8"/>
    <w:rsid w:val="00A9791E"/>
    <w:rsid w:val="00AA02A3"/>
    <w:rsid w:val="00AA19DF"/>
    <w:rsid w:val="00AA1AF1"/>
    <w:rsid w:val="00AA1B27"/>
    <w:rsid w:val="00AA1DF4"/>
    <w:rsid w:val="00AA3966"/>
    <w:rsid w:val="00AA399C"/>
    <w:rsid w:val="00AA3B69"/>
    <w:rsid w:val="00AA40FB"/>
    <w:rsid w:val="00AA51E0"/>
    <w:rsid w:val="00AA53FE"/>
    <w:rsid w:val="00AA634D"/>
    <w:rsid w:val="00AA63EF"/>
    <w:rsid w:val="00AA764B"/>
    <w:rsid w:val="00AA7D3D"/>
    <w:rsid w:val="00AB0CA8"/>
    <w:rsid w:val="00AB171C"/>
    <w:rsid w:val="00AB1CF2"/>
    <w:rsid w:val="00AB1F11"/>
    <w:rsid w:val="00AB1F7A"/>
    <w:rsid w:val="00AB20F7"/>
    <w:rsid w:val="00AB3559"/>
    <w:rsid w:val="00AB3B74"/>
    <w:rsid w:val="00AB497E"/>
    <w:rsid w:val="00AB6469"/>
    <w:rsid w:val="00AB6634"/>
    <w:rsid w:val="00AB7B18"/>
    <w:rsid w:val="00AC0A81"/>
    <w:rsid w:val="00AC0ACB"/>
    <w:rsid w:val="00AC0E3A"/>
    <w:rsid w:val="00AC0FF4"/>
    <w:rsid w:val="00AC17BD"/>
    <w:rsid w:val="00AC1A38"/>
    <w:rsid w:val="00AC1A8E"/>
    <w:rsid w:val="00AC22DE"/>
    <w:rsid w:val="00AC26BB"/>
    <w:rsid w:val="00AC2EC7"/>
    <w:rsid w:val="00AC35AD"/>
    <w:rsid w:val="00AC40AC"/>
    <w:rsid w:val="00AC47BF"/>
    <w:rsid w:val="00AC48C6"/>
    <w:rsid w:val="00AC4AEE"/>
    <w:rsid w:val="00AC51B7"/>
    <w:rsid w:val="00AC54A2"/>
    <w:rsid w:val="00AC56C2"/>
    <w:rsid w:val="00AC57A1"/>
    <w:rsid w:val="00AC57A2"/>
    <w:rsid w:val="00AC6156"/>
    <w:rsid w:val="00AC62B9"/>
    <w:rsid w:val="00AC6491"/>
    <w:rsid w:val="00AC6ACE"/>
    <w:rsid w:val="00AC6AD8"/>
    <w:rsid w:val="00AC7572"/>
    <w:rsid w:val="00AC7945"/>
    <w:rsid w:val="00AC7B44"/>
    <w:rsid w:val="00AC7C0D"/>
    <w:rsid w:val="00AD0B22"/>
    <w:rsid w:val="00AD0D60"/>
    <w:rsid w:val="00AD0E88"/>
    <w:rsid w:val="00AD161B"/>
    <w:rsid w:val="00AD183C"/>
    <w:rsid w:val="00AD2051"/>
    <w:rsid w:val="00AD278E"/>
    <w:rsid w:val="00AD34D3"/>
    <w:rsid w:val="00AD35E1"/>
    <w:rsid w:val="00AD41B1"/>
    <w:rsid w:val="00AD478F"/>
    <w:rsid w:val="00AD54F4"/>
    <w:rsid w:val="00AD58A6"/>
    <w:rsid w:val="00AD5B57"/>
    <w:rsid w:val="00AD61B9"/>
    <w:rsid w:val="00AD6505"/>
    <w:rsid w:val="00AD6700"/>
    <w:rsid w:val="00AD6C4C"/>
    <w:rsid w:val="00AD75F3"/>
    <w:rsid w:val="00AD7B3D"/>
    <w:rsid w:val="00AE1222"/>
    <w:rsid w:val="00AE13E9"/>
    <w:rsid w:val="00AE141B"/>
    <w:rsid w:val="00AE16D0"/>
    <w:rsid w:val="00AE1D7A"/>
    <w:rsid w:val="00AE22AD"/>
    <w:rsid w:val="00AE3839"/>
    <w:rsid w:val="00AE3FEA"/>
    <w:rsid w:val="00AE418E"/>
    <w:rsid w:val="00AE4B6E"/>
    <w:rsid w:val="00AE5A2A"/>
    <w:rsid w:val="00AE6B1C"/>
    <w:rsid w:val="00AE7610"/>
    <w:rsid w:val="00AE7E16"/>
    <w:rsid w:val="00AE7E2D"/>
    <w:rsid w:val="00AF00F0"/>
    <w:rsid w:val="00AF03AF"/>
    <w:rsid w:val="00AF0671"/>
    <w:rsid w:val="00AF2CC2"/>
    <w:rsid w:val="00AF304C"/>
    <w:rsid w:val="00AF3249"/>
    <w:rsid w:val="00AF4AFB"/>
    <w:rsid w:val="00AF5317"/>
    <w:rsid w:val="00AF558D"/>
    <w:rsid w:val="00AF5FED"/>
    <w:rsid w:val="00AF65A5"/>
    <w:rsid w:val="00AF6B61"/>
    <w:rsid w:val="00AF6F81"/>
    <w:rsid w:val="00AF789B"/>
    <w:rsid w:val="00AF78F2"/>
    <w:rsid w:val="00B00D72"/>
    <w:rsid w:val="00B01BFB"/>
    <w:rsid w:val="00B025E9"/>
    <w:rsid w:val="00B0264F"/>
    <w:rsid w:val="00B02789"/>
    <w:rsid w:val="00B03461"/>
    <w:rsid w:val="00B03569"/>
    <w:rsid w:val="00B04BE9"/>
    <w:rsid w:val="00B04E60"/>
    <w:rsid w:val="00B055E6"/>
    <w:rsid w:val="00B05B37"/>
    <w:rsid w:val="00B05B3A"/>
    <w:rsid w:val="00B05EA4"/>
    <w:rsid w:val="00B05EAF"/>
    <w:rsid w:val="00B065FB"/>
    <w:rsid w:val="00B06AEF"/>
    <w:rsid w:val="00B07267"/>
    <w:rsid w:val="00B07F87"/>
    <w:rsid w:val="00B100E9"/>
    <w:rsid w:val="00B10487"/>
    <w:rsid w:val="00B11145"/>
    <w:rsid w:val="00B1320A"/>
    <w:rsid w:val="00B13BC8"/>
    <w:rsid w:val="00B1411D"/>
    <w:rsid w:val="00B1415F"/>
    <w:rsid w:val="00B141A8"/>
    <w:rsid w:val="00B14DA8"/>
    <w:rsid w:val="00B14F11"/>
    <w:rsid w:val="00B15168"/>
    <w:rsid w:val="00B153E2"/>
    <w:rsid w:val="00B16200"/>
    <w:rsid w:val="00B16393"/>
    <w:rsid w:val="00B16E8D"/>
    <w:rsid w:val="00B17602"/>
    <w:rsid w:val="00B17B58"/>
    <w:rsid w:val="00B2056D"/>
    <w:rsid w:val="00B2068D"/>
    <w:rsid w:val="00B20B4B"/>
    <w:rsid w:val="00B21B54"/>
    <w:rsid w:val="00B220E2"/>
    <w:rsid w:val="00B22E08"/>
    <w:rsid w:val="00B22F9C"/>
    <w:rsid w:val="00B2307F"/>
    <w:rsid w:val="00B234C0"/>
    <w:rsid w:val="00B23A46"/>
    <w:rsid w:val="00B23BCE"/>
    <w:rsid w:val="00B24824"/>
    <w:rsid w:val="00B24BB5"/>
    <w:rsid w:val="00B24F1D"/>
    <w:rsid w:val="00B25EA1"/>
    <w:rsid w:val="00B266C7"/>
    <w:rsid w:val="00B273B9"/>
    <w:rsid w:val="00B30349"/>
    <w:rsid w:val="00B303E5"/>
    <w:rsid w:val="00B30FC1"/>
    <w:rsid w:val="00B333E7"/>
    <w:rsid w:val="00B3489E"/>
    <w:rsid w:val="00B34ABE"/>
    <w:rsid w:val="00B35A84"/>
    <w:rsid w:val="00B3671D"/>
    <w:rsid w:val="00B36C59"/>
    <w:rsid w:val="00B36D50"/>
    <w:rsid w:val="00B36D5D"/>
    <w:rsid w:val="00B36DE7"/>
    <w:rsid w:val="00B371A2"/>
    <w:rsid w:val="00B3730F"/>
    <w:rsid w:val="00B403E8"/>
    <w:rsid w:val="00B4073C"/>
    <w:rsid w:val="00B408B0"/>
    <w:rsid w:val="00B40F9F"/>
    <w:rsid w:val="00B4144D"/>
    <w:rsid w:val="00B419EE"/>
    <w:rsid w:val="00B41BFA"/>
    <w:rsid w:val="00B41D2E"/>
    <w:rsid w:val="00B428E6"/>
    <w:rsid w:val="00B42FBA"/>
    <w:rsid w:val="00B43766"/>
    <w:rsid w:val="00B43965"/>
    <w:rsid w:val="00B43AED"/>
    <w:rsid w:val="00B43F3E"/>
    <w:rsid w:val="00B441B2"/>
    <w:rsid w:val="00B443C0"/>
    <w:rsid w:val="00B4495A"/>
    <w:rsid w:val="00B44AF4"/>
    <w:rsid w:val="00B44FEA"/>
    <w:rsid w:val="00B46257"/>
    <w:rsid w:val="00B46356"/>
    <w:rsid w:val="00B46DB0"/>
    <w:rsid w:val="00B46F5F"/>
    <w:rsid w:val="00B47459"/>
    <w:rsid w:val="00B47C79"/>
    <w:rsid w:val="00B47C95"/>
    <w:rsid w:val="00B505BB"/>
    <w:rsid w:val="00B518BD"/>
    <w:rsid w:val="00B51AF6"/>
    <w:rsid w:val="00B51C5C"/>
    <w:rsid w:val="00B5288E"/>
    <w:rsid w:val="00B52D00"/>
    <w:rsid w:val="00B52EBC"/>
    <w:rsid w:val="00B5307B"/>
    <w:rsid w:val="00B530F0"/>
    <w:rsid w:val="00B5310F"/>
    <w:rsid w:val="00B54B87"/>
    <w:rsid w:val="00B54F99"/>
    <w:rsid w:val="00B550F5"/>
    <w:rsid w:val="00B55709"/>
    <w:rsid w:val="00B55E80"/>
    <w:rsid w:val="00B56038"/>
    <w:rsid w:val="00B5611B"/>
    <w:rsid w:val="00B561A9"/>
    <w:rsid w:val="00B607C9"/>
    <w:rsid w:val="00B60900"/>
    <w:rsid w:val="00B61334"/>
    <w:rsid w:val="00B61E6F"/>
    <w:rsid w:val="00B62901"/>
    <w:rsid w:val="00B629B9"/>
    <w:rsid w:val="00B63590"/>
    <w:rsid w:val="00B644B9"/>
    <w:rsid w:val="00B64851"/>
    <w:rsid w:val="00B64BE6"/>
    <w:rsid w:val="00B64ED3"/>
    <w:rsid w:val="00B64EDE"/>
    <w:rsid w:val="00B650F0"/>
    <w:rsid w:val="00B66358"/>
    <w:rsid w:val="00B66584"/>
    <w:rsid w:val="00B678CF"/>
    <w:rsid w:val="00B7171E"/>
    <w:rsid w:val="00B7231A"/>
    <w:rsid w:val="00B733FA"/>
    <w:rsid w:val="00B73744"/>
    <w:rsid w:val="00B7424B"/>
    <w:rsid w:val="00B74306"/>
    <w:rsid w:val="00B7545F"/>
    <w:rsid w:val="00B75B58"/>
    <w:rsid w:val="00B762C6"/>
    <w:rsid w:val="00B76796"/>
    <w:rsid w:val="00B76AD4"/>
    <w:rsid w:val="00B76DBD"/>
    <w:rsid w:val="00B76DF9"/>
    <w:rsid w:val="00B77537"/>
    <w:rsid w:val="00B77569"/>
    <w:rsid w:val="00B77AAD"/>
    <w:rsid w:val="00B8021D"/>
    <w:rsid w:val="00B807DA"/>
    <w:rsid w:val="00B808B0"/>
    <w:rsid w:val="00B808C1"/>
    <w:rsid w:val="00B814E8"/>
    <w:rsid w:val="00B820A4"/>
    <w:rsid w:val="00B82392"/>
    <w:rsid w:val="00B83651"/>
    <w:rsid w:val="00B83933"/>
    <w:rsid w:val="00B83C71"/>
    <w:rsid w:val="00B84468"/>
    <w:rsid w:val="00B84D8C"/>
    <w:rsid w:val="00B84EA7"/>
    <w:rsid w:val="00B8582A"/>
    <w:rsid w:val="00B85EB8"/>
    <w:rsid w:val="00B90D17"/>
    <w:rsid w:val="00B91593"/>
    <w:rsid w:val="00B920B5"/>
    <w:rsid w:val="00B920CF"/>
    <w:rsid w:val="00B920E7"/>
    <w:rsid w:val="00B92104"/>
    <w:rsid w:val="00B925C1"/>
    <w:rsid w:val="00B92B1B"/>
    <w:rsid w:val="00B935DE"/>
    <w:rsid w:val="00B9397E"/>
    <w:rsid w:val="00B940D2"/>
    <w:rsid w:val="00B9440B"/>
    <w:rsid w:val="00B94578"/>
    <w:rsid w:val="00B94BBB"/>
    <w:rsid w:val="00B95F89"/>
    <w:rsid w:val="00B96C14"/>
    <w:rsid w:val="00B974E1"/>
    <w:rsid w:val="00B97604"/>
    <w:rsid w:val="00B97BFB"/>
    <w:rsid w:val="00BA018B"/>
    <w:rsid w:val="00BA0515"/>
    <w:rsid w:val="00BA0A58"/>
    <w:rsid w:val="00BA0BA1"/>
    <w:rsid w:val="00BA0C96"/>
    <w:rsid w:val="00BA2D8D"/>
    <w:rsid w:val="00BA2EB8"/>
    <w:rsid w:val="00BA460D"/>
    <w:rsid w:val="00BA4DE3"/>
    <w:rsid w:val="00BA6307"/>
    <w:rsid w:val="00BA7B03"/>
    <w:rsid w:val="00BA7B4D"/>
    <w:rsid w:val="00BB05B4"/>
    <w:rsid w:val="00BB07EB"/>
    <w:rsid w:val="00BB1119"/>
    <w:rsid w:val="00BB12D0"/>
    <w:rsid w:val="00BB16CB"/>
    <w:rsid w:val="00BB253E"/>
    <w:rsid w:val="00BB33DE"/>
    <w:rsid w:val="00BB379E"/>
    <w:rsid w:val="00BB3C1B"/>
    <w:rsid w:val="00BB46FA"/>
    <w:rsid w:val="00BB52F2"/>
    <w:rsid w:val="00BB62CB"/>
    <w:rsid w:val="00BB684F"/>
    <w:rsid w:val="00BB6B7A"/>
    <w:rsid w:val="00BB7098"/>
    <w:rsid w:val="00BC000E"/>
    <w:rsid w:val="00BC0569"/>
    <w:rsid w:val="00BC0C70"/>
    <w:rsid w:val="00BC0FAF"/>
    <w:rsid w:val="00BC0FE2"/>
    <w:rsid w:val="00BC1617"/>
    <w:rsid w:val="00BC19BB"/>
    <w:rsid w:val="00BC1D55"/>
    <w:rsid w:val="00BC1F38"/>
    <w:rsid w:val="00BC2388"/>
    <w:rsid w:val="00BC267C"/>
    <w:rsid w:val="00BC4048"/>
    <w:rsid w:val="00BC4358"/>
    <w:rsid w:val="00BC4848"/>
    <w:rsid w:val="00BC5050"/>
    <w:rsid w:val="00BC5226"/>
    <w:rsid w:val="00BC5AAF"/>
    <w:rsid w:val="00BC5B76"/>
    <w:rsid w:val="00BC6279"/>
    <w:rsid w:val="00BC6F5F"/>
    <w:rsid w:val="00BD062F"/>
    <w:rsid w:val="00BD0936"/>
    <w:rsid w:val="00BD200C"/>
    <w:rsid w:val="00BD3CF3"/>
    <w:rsid w:val="00BD3F84"/>
    <w:rsid w:val="00BD4C69"/>
    <w:rsid w:val="00BD6164"/>
    <w:rsid w:val="00BD634C"/>
    <w:rsid w:val="00BD6B75"/>
    <w:rsid w:val="00BD707B"/>
    <w:rsid w:val="00BD7218"/>
    <w:rsid w:val="00BD7C95"/>
    <w:rsid w:val="00BD7DE3"/>
    <w:rsid w:val="00BE10E2"/>
    <w:rsid w:val="00BE19D1"/>
    <w:rsid w:val="00BE1F57"/>
    <w:rsid w:val="00BE1F85"/>
    <w:rsid w:val="00BE224F"/>
    <w:rsid w:val="00BE23C2"/>
    <w:rsid w:val="00BE24D8"/>
    <w:rsid w:val="00BE3900"/>
    <w:rsid w:val="00BE3AC4"/>
    <w:rsid w:val="00BE5511"/>
    <w:rsid w:val="00BE5654"/>
    <w:rsid w:val="00BE5C62"/>
    <w:rsid w:val="00BE6028"/>
    <w:rsid w:val="00BE62F1"/>
    <w:rsid w:val="00BE6C31"/>
    <w:rsid w:val="00BE6C41"/>
    <w:rsid w:val="00BE71B1"/>
    <w:rsid w:val="00BE75EE"/>
    <w:rsid w:val="00BE7F0B"/>
    <w:rsid w:val="00BE7F5C"/>
    <w:rsid w:val="00BF18FB"/>
    <w:rsid w:val="00BF1C13"/>
    <w:rsid w:val="00BF1CD0"/>
    <w:rsid w:val="00BF2122"/>
    <w:rsid w:val="00BF236D"/>
    <w:rsid w:val="00BF24B6"/>
    <w:rsid w:val="00BF24B7"/>
    <w:rsid w:val="00BF2D0E"/>
    <w:rsid w:val="00BF317F"/>
    <w:rsid w:val="00BF397B"/>
    <w:rsid w:val="00BF446E"/>
    <w:rsid w:val="00BF4481"/>
    <w:rsid w:val="00BF48EC"/>
    <w:rsid w:val="00BF4E97"/>
    <w:rsid w:val="00BF59B0"/>
    <w:rsid w:val="00BF5F61"/>
    <w:rsid w:val="00BF6DC2"/>
    <w:rsid w:val="00BF7C23"/>
    <w:rsid w:val="00BF7C70"/>
    <w:rsid w:val="00C00C7F"/>
    <w:rsid w:val="00C00DB9"/>
    <w:rsid w:val="00C00FF6"/>
    <w:rsid w:val="00C017BD"/>
    <w:rsid w:val="00C01D14"/>
    <w:rsid w:val="00C02039"/>
    <w:rsid w:val="00C02A1D"/>
    <w:rsid w:val="00C02C98"/>
    <w:rsid w:val="00C02DF2"/>
    <w:rsid w:val="00C02F64"/>
    <w:rsid w:val="00C030C1"/>
    <w:rsid w:val="00C030D6"/>
    <w:rsid w:val="00C03600"/>
    <w:rsid w:val="00C03823"/>
    <w:rsid w:val="00C04134"/>
    <w:rsid w:val="00C0414B"/>
    <w:rsid w:val="00C041EE"/>
    <w:rsid w:val="00C042A4"/>
    <w:rsid w:val="00C04381"/>
    <w:rsid w:val="00C04891"/>
    <w:rsid w:val="00C04B5A"/>
    <w:rsid w:val="00C052DE"/>
    <w:rsid w:val="00C05680"/>
    <w:rsid w:val="00C06597"/>
    <w:rsid w:val="00C066D6"/>
    <w:rsid w:val="00C06C35"/>
    <w:rsid w:val="00C07610"/>
    <w:rsid w:val="00C07FA5"/>
    <w:rsid w:val="00C10276"/>
    <w:rsid w:val="00C10A23"/>
    <w:rsid w:val="00C11340"/>
    <w:rsid w:val="00C11BE6"/>
    <w:rsid w:val="00C126C8"/>
    <w:rsid w:val="00C1305C"/>
    <w:rsid w:val="00C135D5"/>
    <w:rsid w:val="00C14733"/>
    <w:rsid w:val="00C1480A"/>
    <w:rsid w:val="00C14A27"/>
    <w:rsid w:val="00C14D06"/>
    <w:rsid w:val="00C15403"/>
    <w:rsid w:val="00C1562C"/>
    <w:rsid w:val="00C16313"/>
    <w:rsid w:val="00C17E88"/>
    <w:rsid w:val="00C2070E"/>
    <w:rsid w:val="00C214B2"/>
    <w:rsid w:val="00C221DD"/>
    <w:rsid w:val="00C22A6B"/>
    <w:rsid w:val="00C2394F"/>
    <w:rsid w:val="00C2419E"/>
    <w:rsid w:val="00C2443E"/>
    <w:rsid w:val="00C24C65"/>
    <w:rsid w:val="00C253DB"/>
    <w:rsid w:val="00C255CE"/>
    <w:rsid w:val="00C25911"/>
    <w:rsid w:val="00C25915"/>
    <w:rsid w:val="00C276AD"/>
    <w:rsid w:val="00C276C4"/>
    <w:rsid w:val="00C27917"/>
    <w:rsid w:val="00C30621"/>
    <w:rsid w:val="00C325E2"/>
    <w:rsid w:val="00C32717"/>
    <w:rsid w:val="00C33111"/>
    <w:rsid w:val="00C335A6"/>
    <w:rsid w:val="00C33F83"/>
    <w:rsid w:val="00C34B2E"/>
    <w:rsid w:val="00C34DE0"/>
    <w:rsid w:val="00C357CD"/>
    <w:rsid w:val="00C35A0C"/>
    <w:rsid w:val="00C35F9F"/>
    <w:rsid w:val="00C36283"/>
    <w:rsid w:val="00C36FCF"/>
    <w:rsid w:val="00C378B2"/>
    <w:rsid w:val="00C404AE"/>
    <w:rsid w:val="00C40706"/>
    <w:rsid w:val="00C4073D"/>
    <w:rsid w:val="00C40838"/>
    <w:rsid w:val="00C40BE1"/>
    <w:rsid w:val="00C40DC1"/>
    <w:rsid w:val="00C419F0"/>
    <w:rsid w:val="00C4293F"/>
    <w:rsid w:val="00C42D1C"/>
    <w:rsid w:val="00C437EC"/>
    <w:rsid w:val="00C4601A"/>
    <w:rsid w:val="00C46F0B"/>
    <w:rsid w:val="00C47FAF"/>
    <w:rsid w:val="00C5027C"/>
    <w:rsid w:val="00C5082E"/>
    <w:rsid w:val="00C5140A"/>
    <w:rsid w:val="00C514F5"/>
    <w:rsid w:val="00C5169B"/>
    <w:rsid w:val="00C52005"/>
    <w:rsid w:val="00C52C36"/>
    <w:rsid w:val="00C533D2"/>
    <w:rsid w:val="00C5362F"/>
    <w:rsid w:val="00C53F13"/>
    <w:rsid w:val="00C54384"/>
    <w:rsid w:val="00C552A3"/>
    <w:rsid w:val="00C55F03"/>
    <w:rsid w:val="00C5604E"/>
    <w:rsid w:val="00C56A1E"/>
    <w:rsid w:val="00C5731B"/>
    <w:rsid w:val="00C6005A"/>
    <w:rsid w:val="00C60D05"/>
    <w:rsid w:val="00C60DA3"/>
    <w:rsid w:val="00C630BD"/>
    <w:rsid w:val="00C64025"/>
    <w:rsid w:val="00C65F41"/>
    <w:rsid w:val="00C66137"/>
    <w:rsid w:val="00C66F70"/>
    <w:rsid w:val="00C67FD7"/>
    <w:rsid w:val="00C70281"/>
    <w:rsid w:val="00C70586"/>
    <w:rsid w:val="00C70BB8"/>
    <w:rsid w:val="00C714E1"/>
    <w:rsid w:val="00C71F69"/>
    <w:rsid w:val="00C727D8"/>
    <w:rsid w:val="00C73906"/>
    <w:rsid w:val="00C749FA"/>
    <w:rsid w:val="00C74D67"/>
    <w:rsid w:val="00C75D26"/>
    <w:rsid w:val="00C75DE4"/>
    <w:rsid w:val="00C75E4D"/>
    <w:rsid w:val="00C75E79"/>
    <w:rsid w:val="00C7683A"/>
    <w:rsid w:val="00C776E7"/>
    <w:rsid w:val="00C77EC9"/>
    <w:rsid w:val="00C80056"/>
    <w:rsid w:val="00C80234"/>
    <w:rsid w:val="00C8031E"/>
    <w:rsid w:val="00C81288"/>
    <w:rsid w:val="00C819F7"/>
    <w:rsid w:val="00C81B20"/>
    <w:rsid w:val="00C81B75"/>
    <w:rsid w:val="00C81C2D"/>
    <w:rsid w:val="00C81D49"/>
    <w:rsid w:val="00C81F8E"/>
    <w:rsid w:val="00C826DA"/>
    <w:rsid w:val="00C82850"/>
    <w:rsid w:val="00C829E1"/>
    <w:rsid w:val="00C82C2F"/>
    <w:rsid w:val="00C82CB1"/>
    <w:rsid w:val="00C833FD"/>
    <w:rsid w:val="00C83583"/>
    <w:rsid w:val="00C83C0E"/>
    <w:rsid w:val="00C844DB"/>
    <w:rsid w:val="00C844E1"/>
    <w:rsid w:val="00C8592D"/>
    <w:rsid w:val="00C86807"/>
    <w:rsid w:val="00C869D6"/>
    <w:rsid w:val="00C86DA8"/>
    <w:rsid w:val="00C8738B"/>
    <w:rsid w:val="00C873F9"/>
    <w:rsid w:val="00C9031C"/>
    <w:rsid w:val="00C913A6"/>
    <w:rsid w:val="00C917C1"/>
    <w:rsid w:val="00C9238A"/>
    <w:rsid w:val="00C9279E"/>
    <w:rsid w:val="00C92BE7"/>
    <w:rsid w:val="00C93469"/>
    <w:rsid w:val="00C94378"/>
    <w:rsid w:val="00C95478"/>
    <w:rsid w:val="00C955B6"/>
    <w:rsid w:val="00C95821"/>
    <w:rsid w:val="00C96300"/>
    <w:rsid w:val="00C97001"/>
    <w:rsid w:val="00C97410"/>
    <w:rsid w:val="00C97AE7"/>
    <w:rsid w:val="00C97F50"/>
    <w:rsid w:val="00CA0077"/>
    <w:rsid w:val="00CA090F"/>
    <w:rsid w:val="00CA135B"/>
    <w:rsid w:val="00CA171E"/>
    <w:rsid w:val="00CA1E47"/>
    <w:rsid w:val="00CA2057"/>
    <w:rsid w:val="00CA236F"/>
    <w:rsid w:val="00CA30E5"/>
    <w:rsid w:val="00CA314E"/>
    <w:rsid w:val="00CA34FB"/>
    <w:rsid w:val="00CA4034"/>
    <w:rsid w:val="00CA421C"/>
    <w:rsid w:val="00CA43A6"/>
    <w:rsid w:val="00CA4A69"/>
    <w:rsid w:val="00CA4EA3"/>
    <w:rsid w:val="00CA4F2E"/>
    <w:rsid w:val="00CA504B"/>
    <w:rsid w:val="00CA55B2"/>
    <w:rsid w:val="00CA5B6F"/>
    <w:rsid w:val="00CA5BF0"/>
    <w:rsid w:val="00CA6312"/>
    <w:rsid w:val="00CA66D4"/>
    <w:rsid w:val="00CA677E"/>
    <w:rsid w:val="00CA6B08"/>
    <w:rsid w:val="00CA6E1A"/>
    <w:rsid w:val="00CA6FCA"/>
    <w:rsid w:val="00CB0064"/>
    <w:rsid w:val="00CB01C5"/>
    <w:rsid w:val="00CB1117"/>
    <w:rsid w:val="00CB17E8"/>
    <w:rsid w:val="00CB1F58"/>
    <w:rsid w:val="00CB2260"/>
    <w:rsid w:val="00CB29F4"/>
    <w:rsid w:val="00CB2D65"/>
    <w:rsid w:val="00CB37AD"/>
    <w:rsid w:val="00CB3944"/>
    <w:rsid w:val="00CB3F1C"/>
    <w:rsid w:val="00CB49F5"/>
    <w:rsid w:val="00CB60F4"/>
    <w:rsid w:val="00CB6366"/>
    <w:rsid w:val="00CB6373"/>
    <w:rsid w:val="00CB66FE"/>
    <w:rsid w:val="00CC02CC"/>
    <w:rsid w:val="00CC0691"/>
    <w:rsid w:val="00CC1905"/>
    <w:rsid w:val="00CC2906"/>
    <w:rsid w:val="00CC2948"/>
    <w:rsid w:val="00CC4F4E"/>
    <w:rsid w:val="00CC50BD"/>
    <w:rsid w:val="00CC653D"/>
    <w:rsid w:val="00CC7366"/>
    <w:rsid w:val="00CC794D"/>
    <w:rsid w:val="00CC7D37"/>
    <w:rsid w:val="00CC7E8A"/>
    <w:rsid w:val="00CD08E4"/>
    <w:rsid w:val="00CD1880"/>
    <w:rsid w:val="00CD2563"/>
    <w:rsid w:val="00CD2817"/>
    <w:rsid w:val="00CD3516"/>
    <w:rsid w:val="00CD3784"/>
    <w:rsid w:val="00CD3AD5"/>
    <w:rsid w:val="00CD3D77"/>
    <w:rsid w:val="00CD47A5"/>
    <w:rsid w:val="00CD4C66"/>
    <w:rsid w:val="00CD5053"/>
    <w:rsid w:val="00CD5E45"/>
    <w:rsid w:val="00CD6542"/>
    <w:rsid w:val="00CD69DD"/>
    <w:rsid w:val="00CD6BD7"/>
    <w:rsid w:val="00CD7DA0"/>
    <w:rsid w:val="00CE0C57"/>
    <w:rsid w:val="00CE0FC5"/>
    <w:rsid w:val="00CE12DE"/>
    <w:rsid w:val="00CE1CD0"/>
    <w:rsid w:val="00CE24BD"/>
    <w:rsid w:val="00CE2B98"/>
    <w:rsid w:val="00CE3648"/>
    <w:rsid w:val="00CE4052"/>
    <w:rsid w:val="00CE4A71"/>
    <w:rsid w:val="00CE4D7B"/>
    <w:rsid w:val="00CE50FC"/>
    <w:rsid w:val="00CF05C8"/>
    <w:rsid w:val="00CF0BD0"/>
    <w:rsid w:val="00CF0D63"/>
    <w:rsid w:val="00CF1695"/>
    <w:rsid w:val="00CF19AB"/>
    <w:rsid w:val="00CF3CAC"/>
    <w:rsid w:val="00CF424D"/>
    <w:rsid w:val="00CF48C7"/>
    <w:rsid w:val="00CF49FF"/>
    <w:rsid w:val="00CF4AC2"/>
    <w:rsid w:val="00CF4B02"/>
    <w:rsid w:val="00CF4E1C"/>
    <w:rsid w:val="00CF4EFF"/>
    <w:rsid w:val="00CF5491"/>
    <w:rsid w:val="00CF57A0"/>
    <w:rsid w:val="00CF57F5"/>
    <w:rsid w:val="00CF7603"/>
    <w:rsid w:val="00D00449"/>
    <w:rsid w:val="00D00743"/>
    <w:rsid w:val="00D00E50"/>
    <w:rsid w:val="00D01251"/>
    <w:rsid w:val="00D01EC4"/>
    <w:rsid w:val="00D0257A"/>
    <w:rsid w:val="00D02824"/>
    <w:rsid w:val="00D02F34"/>
    <w:rsid w:val="00D03068"/>
    <w:rsid w:val="00D03293"/>
    <w:rsid w:val="00D032DA"/>
    <w:rsid w:val="00D038F8"/>
    <w:rsid w:val="00D03A94"/>
    <w:rsid w:val="00D044D3"/>
    <w:rsid w:val="00D045E3"/>
    <w:rsid w:val="00D047BA"/>
    <w:rsid w:val="00D04C41"/>
    <w:rsid w:val="00D04D4A"/>
    <w:rsid w:val="00D04E0D"/>
    <w:rsid w:val="00D051E2"/>
    <w:rsid w:val="00D05C02"/>
    <w:rsid w:val="00D06215"/>
    <w:rsid w:val="00D06511"/>
    <w:rsid w:val="00D06905"/>
    <w:rsid w:val="00D06934"/>
    <w:rsid w:val="00D07332"/>
    <w:rsid w:val="00D102E5"/>
    <w:rsid w:val="00D105B1"/>
    <w:rsid w:val="00D10A11"/>
    <w:rsid w:val="00D10B87"/>
    <w:rsid w:val="00D10B94"/>
    <w:rsid w:val="00D10D1A"/>
    <w:rsid w:val="00D111BE"/>
    <w:rsid w:val="00D11289"/>
    <w:rsid w:val="00D11375"/>
    <w:rsid w:val="00D118E3"/>
    <w:rsid w:val="00D11D55"/>
    <w:rsid w:val="00D11F7A"/>
    <w:rsid w:val="00D12E7E"/>
    <w:rsid w:val="00D1315A"/>
    <w:rsid w:val="00D136C4"/>
    <w:rsid w:val="00D1468A"/>
    <w:rsid w:val="00D1478C"/>
    <w:rsid w:val="00D14DA5"/>
    <w:rsid w:val="00D15574"/>
    <w:rsid w:val="00D1580E"/>
    <w:rsid w:val="00D17616"/>
    <w:rsid w:val="00D176F4"/>
    <w:rsid w:val="00D204F6"/>
    <w:rsid w:val="00D20626"/>
    <w:rsid w:val="00D20A6D"/>
    <w:rsid w:val="00D20D23"/>
    <w:rsid w:val="00D21032"/>
    <w:rsid w:val="00D21A43"/>
    <w:rsid w:val="00D23023"/>
    <w:rsid w:val="00D2305D"/>
    <w:rsid w:val="00D230EF"/>
    <w:rsid w:val="00D242CF"/>
    <w:rsid w:val="00D24B21"/>
    <w:rsid w:val="00D252BA"/>
    <w:rsid w:val="00D25D2D"/>
    <w:rsid w:val="00D26176"/>
    <w:rsid w:val="00D271BC"/>
    <w:rsid w:val="00D3070F"/>
    <w:rsid w:val="00D30CAE"/>
    <w:rsid w:val="00D32FF0"/>
    <w:rsid w:val="00D33139"/>
    <w:rsid w:val="00D3379A"/>
    <w:rsid w:val="00D33CC3"/>
    <w:rsid w:val="00D33E15"/>
    <w:rsid w:val="00D34BD2"/>
    <w:rsid w:val="00D34CC9"/>
    <w:rsid w:val="00D34E74"/>
    <w:rsid w:val="00D34F54"/>
    <w:rsid w:val="00D35295"/>
    <w:rsid w:val="00D356AD"/>
    <w:rsid w:val="00D3584C"/>
    <w:rsid w:val="00D3599B"/>
    <w:rsid w:val="00D35AD1"/>
    <w:rsid w:val="00D41A89"/>
    <w:rsid w:val="00D41AE5"/>
    <w:rsid w:val="00D42511"/>
    <w:rsid w:val="00D456FB"/>
    <w:rsid w:val="00D4665E"/>
    <w:rsid w:val="00D46689"/>
    <w:rsid w:val="00D50584"/>
    <w:rsid w:val="00D507D6"/>
    <w:rsid w:val="00D50878"/>
    <w:rsid w:val="00D50FFC"/>
    <w:rsid w:val="00D51404"/>
    <w:rsid w:val="00D518DD"/>
    <w:rsid w:val="00D51995"/>
    <w:rsid w:val="00D52039"/>
    <w:rsid w:val="00D54836"/>
    <w:rsid w:val="00D549F9"/>
    <w:rsid w:val="00D54EEF"/>
    <w:rsid w:val="00D552F6"/>
    <w:rsid w:val="00D568D4"/>
    <w:rsid w:val="00D577C4"/>
    <w:rsid w:val="00D57D3D"/>
    <w:rsid w:val="00D607AB"/>
    <w:rsid w:val="00D609A8"/>
    <w:rsid w:val="00D60DD3"/>
    <w:rsid w:val="00D614D2"/>
    <w:rsid w:val="00D62027"/>
    <w:rsid w:val="00D62C6B"/>
    <w:rsid w:val="00D64CE1"/>
    <w:rsid w:val="00D64DEC"/>
    <w:rsid w:val="00D651DA"/>
    <w:rsid w:val="00D653F6"/>
    <w:rsid w:val="00D6555F"/>
    <w:rsid w:val="00D65731"/>
    <w:rsid w:val="00D65A91"/>
    <w:rsid w:val="00D65B68"/>
    <w:rsid w:val="00D65F99"/>
    <w:rsid w:val="00D65FB9"/>
    <w:rsid w:val="00D66976"/>
    <w:rsid w:val="00D67073"/>
    <w:rsid w:val="00D671E2"/>
    <w:rsid w:val="00D6783D"/>
    <w:rsid w:val="00D70575"/>
    <w:rsid w:val="00D7197D"/>
    <w:rsid w:val="00D7208D"/>
    <w:rsid w:val="00D72D33"/>
    <w:rsid w:val="00D7365B"/>
    <w:rsid w:val="00D73A3C"/>
    <w:rsid w:val="00D73F87"/>
    <w:rsid w:val="00D74D81"/>
    <w:rsid w:val="00D75EF5"/>
    <w:rsid w:val="00D762FA"/>
    <w:rsid w:val="00D7639D"/>
    <w:rsid w:val="00D76540"/>
    <w:rsid w:val="00D76BFB"/>
    <w:rsid w:val="00D76C62"/>
    <w:rsid w:val="00D76F9A"/>
    <w:rsid w:val="00D771CA"/>
    <w:rsid w:val="00D80009"/>
    <w:rsid w:val="00D814EF"/>
    <w:rsid w:val="00D81D15"/>
    <w:rsid w:val="00D82281"/>
    <w:rsid w:val="00D8251A"/>
    <w:rsid w:val="00D82587"/>
    <w:rsid w:val="00D826EB"/>
    <w:rsid w:val="00D834D5"/>
    <w:rsid w:val="00D8354F"/>
    <w:rsid w:val="00D83A79"/>
    <w:rsid w:val="00D84C6B"/>
    <w:rsid w:val="00D84DCB"/>
    <w:rsid w:val="00D84EC4"/>
    <w:rsid w:val="00D8503E"/>
    <w:rsid w:val="00D8521B"/>
    <w:rsid w:val="00D85801"/>
    <w:rsid w:val="00D8642B"/>
    <w:rsid w:val="00D86758"/>
    <w:rsid w:val="00D86C43"/>
    <w:rsid w:val="00D87711"/>
    <w:rsid w:val="00D87737"/>
    <w:rsid w:val="00D8795A"/>
    <w:rsid w:val="00D90F2B"/>
    <w:rsid w:val="00D92163"/>
    <w:rsid w:val="00D923DE"/>
    <w:rsid w:val="00D92465"/>
    <w:rsid w:val="00D92968"/>
    <w:rsid w:val="00D9329B"/>
    <w:rsid w:val="00D95087"/>
    <w:rsid w:val="00D952CE"/>
    <w:rsid w:val="00D95365"/>
    <w:rsid w:val="00D95817"/>
    <w:rsid w:val="00D96025"/>
    <w:rsid w:val="00D96449"/>
    <w:rsid w:val="00D96D9D"/>
    <w:rsid w:val="00D97202"/>
    <w:rsid w:val="00D977AB"/>
    <w:rsid w:val="00D97884"/>
    <w:rsid w:val="00DA0320"/>
    <w:rsid w:val="00DA1461"/>
    <w:rsid w:val="00DA1995"/>
    <w:rsid w:val="00DA2042"/>
    <w:rsid w:val="00DA2FF5"/>
    <w:rsid w:val="00DA36CF"/>
    <w:rsid w:val="00DA39C2"/>
    <w:rsid w:val="00DA3FE3"/>
    <w:rsid w:val="00DA4DDB"/>
    <w:rsid w:val="00DA4F74"/>
    <w:rsid w:val="00DA6013"/>
    <w:rsid w:val="00DA6E59"/>
    <w:rsid w:val="00DB0551"/>
    <w:rsid w:val="00DB0629"/>
    <w:rsid w:val="00DB0BA6"/>
    <w:rsid w:val="00DB1274"/>
    <w:rsid w:val="00DB13B3"/>
    <w:rsid w:val="00DB150B"/>
    <w:rsid w:val="00DB1FC9"/>
    <w:rsid w:val="00DB307A"/>
    <w:rsid w:val="00DB48C2"/>
    <w:rsid w:val="00DB4C6F"/>
    <w:rsid w:val="00DB4E0F"/>
    <w:rsid w:val="00DB53A1"/>
    <w:rsid w:val="00DB591F"/>
    <w:rsid w:val="00DB59C5"/>
    <w:rsid w:val="00DB5B3E"/>
    <w:rsid w:val="00DB5C19"/>
    <w:rsid w:val="00DB65C6"/>
    <w:rsid w:val="00DB65D2"/>
    <w:rsid w:val="00DB65E6"/>
    <w:rsid w:val="00DB672D"/>
    <w:rsid w:val="00DB69A6"/>
    <w:rsid w:val="00DB6E24"/>
    <w:rsid w:val="00DB7174"/>
    <w:rsid w:val="00DB7373"/>
    <w:rsid w:val="00DB749B"/>
    <w:rsid w:val="00DB76FC"/>
    <w:rsid w:val="00DC0052"/>
    <w:rsid w:val="00DC1175"/>
    <w:rsid w:val="00DC16E6"/>
    <w:rsid w:val="00DC195C"/>
    <w:rsid w:val="00DC1D33"/>
    <w:rsid w:val="00DC23F6"/>
    <w:rsid w:val="00DC463A"/>
    <w:rsid w:val="00DC5CA4"/>
    <w:rsid w:val="00DC5D9F"/>
    <w:rsid w:val="00DC5FCA"/>
    <w:rsid w:val="00DC6551"/>
    <w:rsid w:val="00DC6B00"/>
    <w:rsid w:val="00DC6B8F"/>
    <w:rsid w:val="00DC6BB2"/>
    <w:rsid w:val="00DC72C7"/>
    <w:rsid w:val="00DC7400"/>
    <w:rsid w:val="00DC7D95"/>
    <w:rsid w:val="00DD0432"/>
    <w:rsid w:val="00DD08BB"/>
    <w:rsid w:val="00DD0ADC"/>
    <w:rsid w:val="00DD115E"/>
    <w:rsid w:val="00DD157B"/>
    <w:rsid w:val="00DD1925"/>
    <w:rsid w:val="00DD1BF4"/>
    <w:rsid w:val="00DD1F09"/>
    <w:rsid w:val="00DD24CD"/>
    <w:rsid w:val="00DD2814"/>
    <w:rsid w:val="00DD3D8B"/>
    <w:rsid w:val="00DD467D"/>
    <w:rsid w:val="00DD531E"/>
    <w:rsid w:val="00DD5544"/>
    <w:rsid w:val="00DD5B48"/>
    <w:rsid w:val="00DD6026"/>
    <w:rsid w:val="00DD6F7D"/>
    <w:rsid w:val="00DD6FA2"/>
    <w:rsid w:val="00DD7916"/>
    <w:rsid w:val="00DE04E4"/>
    <w:rsid w:val="00DE0566"/>
    <w:rsid w:val="00DE062A"/>
    <w:rsid w:val="00DE0933"/>
    <w:rsid w:val="00DE097A"/>
    <w:rsid w:val="00DE157D"/>
    <w:rsid w:val="00DE184C"/>
    <w:rsid w:val="00DE27CF"/>
    <w:rsid w:val="00DE27E8"/>
    <w:rsid w:val="00DE2DA8"/>
    <w:rsid w:val="00DE3964"/>
    <w:rsid w:val="00DE445E"/>
    <w:rsid w:val="00DE5798"/>
    <w:rsid w:val="00DE57D7"/>
    <w:rsid w:val="00DE667C"/>
    <w:rsid w:val="00DE6701"/>
    <w:rsid w:val="00DE68B7"/>
    <w:rsid w:val="00DE68BF"/>
    <w:rsid w:val="00DE6DCB"/>
    <w:rsid w:val="00DE7A5C"/>
    <w:rsid w:val="00DF0078"/>
    <w:rsid w:val="00DF062F"/>
    <w:rsid w:val="00DF0A1F"/>
    <w:rsid w:val="00DF0D6D"/>
    <w:rsid w:val="00DF0ECF"/>
    <w:rsid w:val="00DF1123"/>
    <w:rsid w:val="00DF11C6"/>
    <w:rsid w:val="00DF21B1"/>
    <w:rsid w:val="00DF25C0"/>
    <w:rsid w:val="00DF2666"/>
    <w:rsid w:val="00DF29FC"/>
    <w:rsid w:val="00DF2A62"/>
    <w:rsid w:val="00DF32A1"/>
    <w:rsid w:val="00DF3448"/>
    <w:rsid w:val="00DF4791"/>
    <w:rsid w:val="00DF4E5D"/>
    <w:rsid w:val="00DF5303"/>
    <w:rsid w:val="00DF57D7"/>
    <w:rsid w:val="00DF5A3A"/>
    <w:rsid w:val="00DF6BC6"/>
    <w:rsid w:val="00E01E32"/>
    <w:rsid w:val="00E02DB6"/>
    <w:rsid w:val="00E0364D"/>
    <w:rsid w:val="00E03ED8"/>
    <w:rsid w:val="00E04B06"/>
    <w:rsid w:val="00E05183"/>
    <w:rsid w:val="00E05A8D"/>
    <w:rsid w:val="00E07259"/>
    <w:rsid w:val="00E07534"/>
    <w:rsid w:val="00E10297"/>
    <w:rsid w:val="00E105D4"/>
    <w:rsid w:val="00E10DD0"/>
    <w:rsid w:val="00E1497E"/>
    <w:rsid w:val="00E149C5"/>
    <w:rsid w:val="00E15260"/>
    <w:rsid w:val="00E15DDE"/>
    <w:rsid w:val="00E170EC"/>
    <w:rsid w:val="00E20428"/>
    <w:rsid w:val="00E20CF0"/>
    <w:rsid w:val="00E210A6"/>
    <w:rsid w:val="00E21884"/>
    <w:rsid w:val="00E222E6"/>
    <w:rsid w:val="00E2281B"/>
    <w:rsid w:val="00E23180"/>
    <w:rsid w:val="00E235D1"/>
    <w:rsid w:val="00E237D4"/>
    <w:rsid w:val="00E24CD1"/>
    <w:rsid w:val="00E24EBC"/>
    <w:rsid w:val="00E251AF"/>
    <w:rsid w:val="00E2584F"/>
    <w:rsid w:val="00E25C87"/>
    <w:rsid w:val="00E25EED"/>
    <w:rsid w:val="00E278DE"/>
    <w:rsid w:val="00E278E0"/>
    <w:rsid w:val="00E27A49"/>
    <w:rsid w:val="00E31532"/>
    <w:rsid w:val="00E32487"/>
    <w:rsid w:val="00E32706"/>
    <w:rsid w:val="00E338CC"/>
    <w:rsid w:val="00E339F4"/>
    <w:rsid w:val="00E33C87"/>
    <w:rsid w:val="00E343D7"/>
    <w:rsid w:val="00E3478A"/>
    <w:rsid w:val="00E34A9E"/>
    <w:rsid w:val="00E3599D"/>
    <w:rsid w:val="00E35D82"/>
    <w:rsid w:val="00E36658"/>
    <w:rsid w:val="00E36931"/>
    <w:rsid w:val="00E369A2"/>
    <w:rsid w:val="00E36AEE"/>
    <w:rsid w:val="00E378E5"/>
    <w:rsid w:val="00E37A82"/>
    <w:rsid w:val="00E37F93"/>
    <w:rsid w:val="00E402F5"/>
    <w:rsid w:val="00E403AD"/>
    <w:rsid w:val="00E410F2"/>
    <w:rsid w:val="00E42701"/>
    <w:rsid w:val="00E442B0"/>
    <w:rsid w:val="00E444D1"/>
    <w:rsid w:val="00E450AD"/>
    <w:rsid w:val="00E463C0"/>
    <w:rsid w:val="00E46591"/>
    <w:rsid w:val="00E467C5"/>
    <w:rsid w:val="00E4682F"/>
    <w:rsid w:val="00E47090"/>
    <w:rsid w:val="00E4728A"/>
    <w:rsid w:val="00E50164"/>
    <w:rsid w:val="00E5082A"/>
    <w:rsid w:val="00E508DE"/>
    <w:rsid w:val="00E51F71"/>
    <w:rsid w:val="00E52302"/>
    <w:rsid w:val="00E52C40"/>
    <w:rsid w:val="00E53010"/>
    <w:rsid w:val="00E532AC"/>
    <w:rsid w:val="00E55315"/>
    <w:rsid w:val="00E55C8A"/>
    <w:rsid w:val="00E55D2C"/>
    <w:rsid w:val="00E55E13"/>
    <w:rsid w:val="00E564A0"/>
    <w:rsid w:val="00E56671"/>
    <w:rsid w:val="00E56711"/>
    <w:rsid w:val="00E571A2"/>
    <w:rsid w:val="00E600D7"/>
    <w:rsid w:val="00E6041A"/>
    <w:rsid w:val="00E606E9"/>
    <w:rsid w:val="00E624CF"/>
    <w:rsid w:val="00E6257B"/>
    <w:rsid w:val="00E627BA"/>
    <w:rsid w:val="00E6395F"/>
    <w:rsid w:val="00E63FA2"/>
    <w:rsid w:val="00E644C9"/>
    <w:rsid w:val="00E64DDD"/>
    <w:rsid w:val="00E66435"/>
    <w:rsid w:val="00E66526"/>
    <w:rsid w:val="00E66C1D"/>
    <w:rsid w:val="00E66F52"/>
    <w:rsid w:val="00E671A1"/>
    <w:rsid w:val="00E67427"/>
    <w:rsid w:val="00E676C9"/>
    <w:rsid w:val="00E70824"/>
    <w:rsid w:val="00E7143F"/>
    <w:rsid w:val="00E71AB0"/>
    <w:rsid w:val="00E71B66"/>
    <w:rsid w:val="00E720B9"/>
    <w:rsid w:val="00E7239C"/>
    <w:rsid w:val="00E7273E"/>
    <w:rsid w:val="00E731D2"/>
    <w:rsid w:val="00E733ED"/>
    <w:rsid w:val="00E73FEB"/>
    <w:rsid w:val="00E741CC"/>
    <w:rsid w:val="00E74437"/>
    <w:rsid w:val="00E74C9D"/>
    <w:rsid w:val="00E75878"/>
    <w:rsid w:val="00E758F7"/>
    <w:rsid w:val="00E75DD2"/>
    <w:rsid w:val="00E760A6"/>
    <w:rsid w:val="00E767C4"/>
    <w:rsid w:val="00E767FC"/>
    <w:rsid w:val="00E76C41"/>
    <w:rsid w:val="00E80837"/>
    <w:rsid w:val="00E81939"/>
    <w:rsid w:val="00E81D09"/>
    <w:rsid w:val="00E83A8F"/>
    <w:rsid w:val="00E8460E"/>
    <w:rsid w:val="00E84FD7"/>
    <w:rsid w:val="00E85675"/>
    <w:rsid w:val="00E87378"/>
    <w:rsid w:val="00E87D38"/>
    <w:rsid w:val="00E90222"/>
    <w:rsid w:val="00E90FF5"/>
    <w:rsid w:val="00E91069"/>
    <w:rsid w:val="00E91BD2"/>
    <w:rsid w:val="00E93694"/>
    <w:rsid w:val="00E939AD"/>
    <w:rsid w:val="00E93F87"/>
    <w:rsid w:val="00E94329"/>
    <w:rsid w:val="00E94360"/>
    <w:rsid w:val="00E94CC1"/>
    <w:rsid w:val="00E94EE6"/>
    <w:rsid w:val="00E94F5E"/>
    <w:rsid w:val="00E95095"/>
    <w:rsid w:val="00E95490"/>
    <w:rsid w:val="00E95DAB"/>
    <w:rsid w:val="00E9662C"/>
    <w:rsid w:val="00EA0823"/>
    <w:rsid w:val="00EA0C10"/>
    <w:rsid w:val="00EA0C9C"/>
    <w:rsid w:val="00EA119B"/>
    <w:rsid w:val="00EA1453"/>
    <w:rsid w:val="00EA1861"/>
    <w:rsid w:val="00EA1CA3"/>
    <w:rsid w:val="00EA2621"/>
    <w:rsid w:val="00EA2749"/>
    <w:rsid w:val="00EA30E6"/>
    <w:rsid w:val="00EA3185"/>
    <w:rsid w:val="00EA3282"/>
    <w:rsid w:val="00EA36DA"/>
    <w:rsid w:val="00EA465B"/>
    <w:rsid w:val="00EA4A2B"/>
    <w:rsid w:val="00EA5328"/>
    <w:rsid w:val="00EA6490"/>
    <w:rsid w:val="00EA6D44"/>
    <w:rsid w:val="00EA702F"/>
    <w:rsid w:val="00EA77AC"/>
    <w:rsid w:val="00EA77D6"/>
    <w:rsid w:val="00EA7B5E"/>
    <w:rsid w:val="00EB054E"/>
    <w:rsid w:val="00EB1DCB"/>
    <w:rsid w:val="00EB21D0"/>
    <w:rsid w:val="00EB2521"/>
    <w:rsid w:val="00EB2681"/>
    <w:rsid w:val="00EB35E2"/>
    <w:rsid w:val="00EB36A8"/>
    <w:rsid w:val="00EB383B"/>
    <w:rsid w:val="00EB38E3"/>
    <w:rsid w:val="00EB441B"/>
    <w:rsid w:val="00EB4F67"/>
    <w:rsid w:val="00EB6296"/>
    <w:rsid w:val="00EB6CC2"/>
    <w:rsid w:val="00EC00BF"/>
    <w:rsid w:val="00EC13DD"/>
    <w:rsid w:val="00EC1614"/>
    <w:rsid w:val="00EC1F3B"/>
    <w:rsid w:val="00EC23A7"/>
    <w:rsid w:val="00EC2A0A"/>
    <w:rsid w:val="00EC2A32"/>
    <w:rsid w:val="00EC3163"/>
    <w:rsid w:val="00EC399C"/>
    <w:rsid w:val="00EC473B"/>
    <w:rsid w:val="00EC49AE"/>
    <w:rsid w:val="00EC50A8"/>
    <w:rsid w:val="00EC551A"/>
    <w:rsid w:val="00EC5A7C"/>
    <w:rsid w:val="00EC5F50"/>
    <w:rsid w:val="00EC61FA"/>
    <w:rsid w:val="00EC7217"/>
    <w:rsid w:val="00EC7BA8"/>
    <w:rsid w:val="00ED0249"/>
    <w:rsid w:val="00ED03E3"/>
    <w:rsid w:val="00ED058F"/>
    <w:rsid w:val="00ED0651"/>
    <w:rsid w:val="00ED0748"/>
    <w:rsid w:val="00ED0DD9"/>
    <w:rsid w:val="00ED1585"/>
    <w:rsid w:val="00ED1AB6"/>
    <w:rsid w:val="00ED2B6D"/>
    <w:rsid w:val="00ED2D24"/>
    <w:rsid w:val="00ED2F9C"/>
    <w:rsid w:val="00ED30F9"/>
    <w:rsid w:val="00ED329B"/>
    <w:rsid w:val="00ED3321"/>
    <w:rsid w:val="00ED34AD"/>
    <w:rsid w:val="00ED44AC"/>
    <w:rsid w:val="00ED5EC5"/>
    <w:rsid w:val="00ED61A1"/>
    <w:rsid w:val="00ED6D83"/>
    <w:rsid w:val="00ED7226"/>
    <w:rsid w:val="00ED72DB"/>
    <w:rsid w:val="00ED7687"/>
    <w:rsid w:val="00ED774A"/>
    <w:rsid w:val="00ED77BE"/>
    <w:rsid w:val="00ED7D33"/>
    <w:rsid w:val="00ED7D6E"/>
    <w:rsid w:val="00ED7F51"/>
    <w:rsid w:val="00EE1159"/>
    <w:rsid w:val="00EE185A"/>
    <w:rsid w:val="00EE1FAA"/>
    <w:rsid w:val="00EE223E"/>
    <w:rsid w:val="00EE2BED"/>
    <w:rsid w:val="00EE301B"/>
    <w:rsid w:val="00EE336E"/>
    <w:rsid w:val="00EE36F5"/>
    <w:rsid w:val="00EE3E09"/>
    <w:rsid w:val="00EE55A7"/>
    <w:rsid w:val="00EE5708"/>
    <w:rsid w:val="00EE5ADF"/>
    <w:rsid w:val="00EE5F32"/>
    <w:rsid w:val="00EE67FB"/>
    <w:rsid w:val="00EE6872"/>
    <w:rsid w:val="00EE6AB1"/>
    <w:rsid w:val="00EE6CFC"/>
    <w:rsid w:val="00EE6EE6"/>
    <w:rsid w:val="00EE742F"/>
    <w:rsid w:val="00EE7555"/>
    <w:rsid w:val="00EE7B7F"/>
    <w:rsid w:val="00EE7BF4"/>
    <w:rsid w:val="00EE7E34"/>
    <w:rsid w:val="00EF01CD"/>
    <w:rsid w:val="00EF0545"/>
    <w:rsid w:val="00EF0C1C"/>
    <w:rsid w:val="00EF10C1"/>
    <w:rsid w:val="00EF11EB"/>
    <w:rsid w:val="00EF1712"/>
    <w:rsid w:val="00EF1EC9"/>
    <w:rsid w:val="00EF1EFC"/>
    <w:rsid w:val="00EF1F78"/>
    <w:rsid w:val="00EF1FCE"/>
    <w:rsid w:val="00EF2775"/>
    <w:rsid w:val="00EF27F6"/>
    <w:rsid w:val="00EF2C44"/>
    <w:rsid w:val="00EF3FA9"/>
    <w:rsid w:val="00EF4E24"/>
    <w:rsid w:val="00EF546D"/>
    <w:rsid w:val="00EF59F2"/>
    <w:rsid w:val="00EF674D"/>
    <w:rsid w:val="00EF6CE0"/>
    <w:rsid w:val="00EF78D4"/>
    <w:rsid w:val="00EF79E3"/>
    <w:rsid w:val="00EF7A87"/>
    <w:rsid w:val="00EF7AC5"/>
    <w:rsid w:val="00F00DD7"/>
    <w:rsid w:val="00F013C3"/>
    <w:rsid w:val="00F0191A"/>
    <w:rsid w:val="00F01BD6"/>
    <w:rsid w:val="00F02200"/>
    <w:rsid w:val="00F02773"/>
    <w:rsid w:val="00F02EED"/>
    <w:rsid w:val="00F033F1"/>
    <w:rsid w:val="00F03635"/>
    <w:rsid w:val="00F04004"/>
    <w:rsid w:val="00F057A6"/>
    <w:rsid w:val="00F069E0"/>
    <w:rsid w:val="00F1039F"/>
    <w:rsid w:val="00F10D7B"/>
    <w:rsid w:val="00F116D2"/>
    <w:rsid w:val="00F11704"/>
    <w:rsid w:val="00F128CB"/>
    <w:rsid w:val="00F1361D"/>
    <w:rsid w:val="00F13AF3"/>
    <w:rsid w:val="00F154DF"/>
    <w:rsid w:val="00F1678B"/>
    <w:rsid w:val="00F1792F"/>
    <w:rsid w:val="00F2023C"/>
    <w:rsid w:val="00F203D9"/>
    <w:rsid w:val="00F2045B"/>
    <w:rsid w:val="00F207D2"/>
    <w:rsid w:val="00F2096E"/>
    <w:rsid w:val="00F20B7C"/>
    <w:rsid w:val="00F218C6"/>
    <w:rsid w:val="00F21916"/>
    <w:rsid w:val="00F21D1E"/>
    <w:rsid w:val="00F2201E"/>
    <w:rsid w:val="00F22051"/>
    <w:rsid w:val="00F22888"/>
    <w:rsid w:val="00F23A1E"/>
    <w:rsid w:val="00F23B04"/>
    <w:rsid w:val="00F23C37"/>
    <w:rsid w:val="00F23CB5"/>
    <w:rsid w:val="00F244BE"/>
    <w:rsid w:val="00F24551"/>
    <w:rsid w:val="00F2480B"/>
    <w:rsid w:val="00F24858"/>
    <w:rsid w:val="00F250F7"/>
    <w:rsid w:val="00F25D0A"/>
    <w:rsid w:val="00F260B2"/>
    <w:rsid w:val="00F2697D"/>
    <w:rsid w:val="00F26983"/>
    <w:rsid w:val="00F27323"/>
    <w:rsid w:val="00F27703"/>
    <w:rsid w:val="00F303CA"/>
    <w:rsid w:val="00F3099D"/>
    <w:rsid w:val="00F30B64"/>
    <w:rsid w:val="00F30D89"/>
    <w:rsid w:val="00F32324"/>
    <w:rsid w:val="00F3260E"/>
    <w:rsid w:val="00F32A72"/>
    <w:rsid w:val="00F33E91"/>
    <w:rsid w:val="00F34336"/>
    <w:rsid w:val="00F34592"/>
    <w:rsid w:val="00F35442"/>
    <w:rsid w:val="00F354FD"/>
    <w:rsid w:val="00F3551C"/>
    <w:rsid w:val="00F357FF"/>
    <w:rsid w:val="00F40E8F"/>
    <w:rsid w:val="00F41064"/>
    <w:rsid w:val="00F414BD"/>
    <w:rsid w:val="00F4173B"/>
    <w:rsid w:val="00F4253E"/>
    <w:rsid w:val="00F426FD"/>
    <w:rsid w:val="00F429BB"/>
    <w:rsid w:val="00F43E4B"/>
    <w:rsid w:val="00F451F7"/>
    <w:rsid w:val="00F4687F"/>
    <w:rsid w:val="00F4688E"/>
    <w:rsid w:val="00F46B40"/>
    <w:rsid w:val="00F47841"/>
    <w:rsid w:val="00F47B4C"/>
    <w:rsid w:val="00F501B8"/>
    <w:rsid w:val="00F50754"/>
    <w:rsid w:val="00F50850"/>
    <w:rsid w:val="00F50F68"/>
    <w:rsid w:val="00F5137B"/>
    <w:rsid w:val="00F51DCE"/>
    <w:rsid w:val="00F51E85"/>
    <w:rsid w:val="00F5217B"/>
    <w:rsid w:val="00F527B7"/>
    <w:rsid w:val="00F529F2"/>
    <w:rsid w:val="00F52A21"/>
    <w:rsid w:val="00F52CD9"/>
    <w:rsid w:val="00F534C7"/>
    <w:rsid w:val="00F53B0B"/>
    <w:rsid w:val="00F53C3B"/>
    <w:rsid w:val="00F53CF9"/>
    <w:rsid w:val="00F53F2A"/>
    <w:rsid w:val="00F54017"/>
    <w:rsid w:val="00F5424D"/>
    <w:rsid w:val="00F55A58"/>
    <w:rsid w:val="00F55F6B"/>
    <w:rsid w:val="00F55FD0"/>
    <w:rsid w:val="00F568EF"/>
    <w:rsid w:val="00F56C44"/>
    <w:rsid w:val="00F57872"/>
    <w:rsid w:val="00F57B6F"/>
    <w:rsid w:val="00F601EE"/>
    <w:rsid w:val="00F60439"/>
    <w:rsid w:val="00F604B3"/>
    <w:rsid w:val="00F6053E"/>
    <w:rsid w:val="00F62753"/>
    <w:rsid w:val="00F63358"/>
    <w:rsid w:val="00F634BC"/>
    <w:rsid w:val="00F635DA"/>
    <w:rsid w:val="00F6385B"/>
    <w:rsid w:val="00F6470B"/>
    <w:rsid w:val="00F6589B"/>
    <w:rsid w:val="00F65A12"/>
    <w:rsid w:val="00F66F65"/>
    <w:rsid w:val="00F679C2"/>
    <w:rsid w:val="00F67EEE"/>
    <w:rsid w:val="00F70DAC"/>
    <w:rsid w:val="00F717F3"/>
    <w:rsid w:val="00F723F9"/>
    <w:rsid w:val="00F72D1A"/>
    <w:rsid w:val="00F73E03"/>
    <w:rsid w:val="00F766AD"/>
    <w:rsid w:val="00F76865"/>
    <w:rsid w:val="00F7704C"/>
    <w:rsid w:val="00F779B6"/>
    <w:rsid w:val="00F77AE0"/>
    <w:rsid w:val="00F80546"/>
    <w:rsid w:val="00F808BC"/>
    <w:rsid w:val="00F81084"/>
    <w:rsid w:val="00F81201"/>
    <w:rsid w:val="00F815F3"/>
    <w:rsid w:val="00F8168E"/>
    <w:rsid w:val="00F818CE"/>
    <w:rsid w:val="00F82D2B"/>
    <w:rsid w:val="00F83724"/>
    <w:rsid w:val="00F83D7C"/>
    <w:rsid w:val="00F84B7F"/>
    <w:rsid w:val="00F84BEF"/>
    <w:rsid w:val="00F84E16"/>
    <w:rsid w:val="00F85B74"/>
    <w:rsid w:val="00F85D1E"/>
    <w:rsid w:val="00F85D9C"/>
    <w:rsid w:val="00F8624A"/>
    <w:rsid w:val="00F8628A"/>
    <w:rsid w:val="00F869E0"/>
    <w:rsid w:val="00F878D1"/>
    <w:rsid w:val="00F87EF7"/>
    <w:rsid w:val="00F9077B"/>
    <w:rsid w:val="00F919AE"/>
    <w:rsid w:val="00F92431"/>
    <w:rsid w:val="00F92900"/>
    <w:rsid w:val="00F929FF"/>
    <w:rsid w:val="00F92A88"/>
    <w:rsid w:val="00F92CC7"/>
    <w:rsid w:val="00F933D6"/>
    <w:rsid w:val="00F937EC"/>
    <w:rsid w:val="00F94268"/>
    <w:rsid w:val="00F94921"/>
    <w:rsid w:val="00F94BE5"/>
    <w:rsid w:val="00F94DA4"/>
    <w:rsid w:val="00F94DFD"/>
    <w:rsid w:val="00F963AE"/>
    <w:rsid w:val="00F96C44"/>
    <w:rsid w:val="00F97090"/>
    <w:rsid w:val="00F974FC"/>
    <w:rsid w:val="00F976AE"/>
    <w:rsid w:val="00FA021C"/>
    <w:rsid w:val="00FA0527"/>
    <w:rsid w:val="00FA13BA"/>
    <w:rsid w:val="00FA170E"/>
    <w:rsid w:val="00FA1ADA"/>
    <w:rsid w:val="00FA1DE3"/>
    <w:rsid w:val="00FA25E8"/>
    <w:rsid w:val="00FA2963"/>
    <w:rsid w:val="00FA2AE4"/>
    <w:rsid w:val="00FA330C"/>
    <w:rsid w:val="00FA339B"/>
    <w:rsid w:val="00FA36A0"/>
    <w:rsid w:val="00FA43AB"/>
    <w:rsid w:val="00FA4D0B"/>
    <w:rsid w:val="00FA562B"/>
    <w:rsid w:val="00FA5810"/>
    <w:rsid w:val="00FA592C"/>
    <w:rsid w:val="00FA5E3E"/>
    <w:rsid w:val="00FA6C17"/>
    <w:rsid w:val="00FA78D0"/>
    <w:rsid w:val="00FA7B9A"/>
    <w:rsid w:val="00FB05D2"/>
    <w:rsid w:val="00FB1434"/>
    <w:rsid w:val="00FB15F3"/>
    <w:rsid w:val="00FB23BF"/>
    <w:rsid w:val="00FB2F8F"/>
    <w:rsid w:val="00FB326E"/>
    <w:rsid w:val="00FB345F"/>
    <w:rsid w:val="00FB3C40"/>
    <w:rsid w:val="00FB47BA"/>
    <w:rsid w:val="00FB6730"/>
    <w:rsid w:val="00FC19D5"/>
    <w:rsid w:val="00FC1D28"/>
    <w:rsid w:val="00FC2E9D"/>
    <w:rsid w:val="00FC4147"/>
    <w:rsid w:val="00FC595F"/>
    <w:rsid w:val="00FC616D"/>
    <w:rsid w:val="00FC63F7"/>
    <w:rsid w:val="00FC72BB"/>
    <w:rsid w:val="00FC76F5"/>
    <w:rsid w:val="00FC7DE9"/>
    <w:rsid w:val="00FD14D4"/>
    <w:rsid w:val="00FD14DF"/>
    <w:rsid w:val="00FD165B"/>
    <w:rsid w:val="00FD19B3"/>
    <w:rsid w:val="00FD2AEF"/>
    <w:rsid w:val="00FD2C68"/>
    <w:rsid w:val="00FD2ED6"/>
    <w:rsid w:val="00FD3215"/>
    <w:rsid w:val="00FD411A"/>
    <w:rsid w:val="00FD4B35"/>
    <w:rsid w:val="00FD4F9D"/>
    <w:rsid w:val="00FD56FB"/>
    <w:rsid w:val="00FD5AE2"/>
    <w:rsid w:val="00FD5C58"/>
    <w:rsid w:val="00FD6070"/>
    <w:rsid w:val="00FD6140"/>
    <w:rsid w:val="00FD747B"/>
    <w:rsid w:val="00FD7E91"/>
    <w:rsid w:val="00FD7F03"/>
    <w:rsid w:val="00FE02CC"/>
    <w:rsid w:val="00FE131E"/>
    <w:rsid w:val="00FE1FE8"/>
    <w:rsid w:val="00FE27E6"/>
    <w:rsid w:val="00FE417F"/>
    <w:rsid w:val="00FE41B1"/>
    <w:rsid w:val="00FE431E"/>
    <w:rsid w:val="00FE4A48"/>
    <w:rsid w:val="00FE4DFA"/>
    <w:rsid w:val="00FE55A5"/>
    <w:rsid w:val="00FE55F9"/>
    <w:rsid w:val="00FE6CF4"/>
    <w:rsid w:val="00FE6D15"/>
    <w:rsid w:val="00FF0474"/>
    <w:rsid w:val="00FF0E88"/>
    <w:rsid w:val="00FF1134"/>
    <w:rsid w:val="00FF1239"/>
    <w:rsid w:val="00FF179C"/>
    <w:rsid w:val="00FF1CCB"/>
    <w:rsid w:val="00FF2AC6"/>
    <w:rsid w:val="00FF2EC0"/>
    <w:rsid w:val="00FF30AD"/>
    <w:rsid w:val="00FF36F6"/>
    <w:rsid w:val="00FF39ED"/>
    <w:rsid w:val="00FF3B94"/>
    <w:rsid w:val="00FF3E77"/>
    <w:rsid w:val="00FF43D5"/>
    <w:rsid w:val="00FF4C6B"/>
    <w:rsid w:val="00FF6516"/>
    <w:rsid w:val="00FF6762"/>
    <w:rsid w:val="00FF7414"/>
    <w:rsid w:val="00FF7B29"/>
    <w:rsid w:val="00FF7BD3"/>
    <w:rsid w:val="03300446"/>
    <w:rsid w:val="04319FBE"/>
    <w:rsid w:val="047740F7"/>
    <w:rsid w:val="048506C3"/>
    <w:rsid w:val="0539AC2D"/>
    <w:rsid w:val="08B7C7C5"/>
    <w:rsid w:val="106203F4"/>
    <w:rsid w:val="11686712"/>
    <w:rsid w:val="162E5963"/>
    <w:rsid w:val="1DF833A0"/>
    <w:rsid w:val="1E286DC1"/>
    <w:rsid w:val="1E37E4C2"/>
    <w:rsid w:val="21653B41"/>
    <w:rsid w:val="359BA9EF"/>
    <w:rsid w:val="3A4C3F08"/>
    <w:rsid w:val="3BC49C97"/>
    <w:rsid w:val="3CDF8FF0"/>
    <w:rsid w:val="4213AF83"/>
    <w:rsid w:val="45310AE8"/>
    <w:rsid w:val="46C8470F"/>
    <w:rsid w:val="48CF215E"/>
    <w:rsid w:val="5200B534"/>
    <w:rsid w:val="52F0C59C"/>
    <w:rsid w:val="565B6957"/>
    <w:rsid w:val="610AAD03"/>
    <w:rsid w:val="62DBFFE4"/>
    <w:rsid w:val="641F8EDA"/>
    <w:rsid w:val="654CDD93"/>
    <w:rsid w:val="6C272A7F"/>
    <w:rsid w:val="6C6E2A07"/>
    <w:rsid w:val="703C9475"/>
    <w:rsid w:val="72C08A99"/>
    <w:rsid w:val="76C2FD7F"/>
    <w:rsid w:val="7776D0A7"/>
    <w:rsid w:val="79B103F4"/>
    <w:rsid w:val="7ACCB9CB"/>
    <w:rsid w:val="7F05DCC1"/>
    <w:rsid w:val="7F39B63E"/>
  </w:rsids>
  <m:mathPr>
    <m:mathFont m:val="Cambria Math"/>
    <m:brkBin m:val="before"/>
    <m:brkBinSub m:val="--"/>
    <m:smallFrac m:val="0"/>
    <m:dispDef/>
    <m:lMargin m:val="0"/>
    <m:rMargin m:val="0"/>
    <m:defJc m:val="left"/>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53CF7"/>
  <w15:docId w15:val="{E2298B84-140B-41F9-9B28-08FD9D7D4D06}"/>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27"/>
    <w:pPr>
      <w:spacing w:after="80" w:line="240" w:lineRule="auto"/>
    </w:pPr>
    <w:rPr>
      <w:rFonts w:ascii="Palatino Linotype" w:hAnsi="Palatino Linotype"/>
    </w:rPr>
  </w:style>
  <w:style w:type="paragraph" w:styleId="Heading1">
    <w:name w:val="heading 1"/>
    <w:basedOn w:val="Normal"/>
    <w:next w:val="Normal"/>
    <w:link w:val="Heading1Char"/>
    <w:qFormat/>
    <w:rsid w:val="001C739E"/>
    <w:pPr>
      <w:keepNext/>
      <w:keepLines/>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nhideWhenUsed/>
    <w:qFormat/>
    <w:rsid w:val="0096017D"/>
    <w:pPr>
      <w:keepNext/>
      <w:keepLines/>
      <w:spacing w:before="120" w:after="40"/>
      <w:outlineLvl w:val="1"/>
    </w:pPr>
    <w:rPr>
      <w:rFonts w:asciiTheme="majorHAnsi" w:eastAsiaTheme="majorEastAsia" w:hAnsiTheme="majorHAnsi" w:cstheme="majorBidi"/>
      <w:bCs/>
      <w:sz w:val="24"/>
      <w:szCs w:val="26"/>
    </w:rPr>
  </w:style>
  <w:style w:type="paragraph" w:styleId="Heading3">
    <w:name w:val="heading 3"/>
    <w:basedOn w:val="Normal"/>
    <w:next w:val="Normal"/>
    <w:link w:val="Heading3Char"/>
    <w:unhideWhenUsed/>
    <w:qFormat/>
    <w:rsid w:val="00DA1995"/>
    <w:pPr>
      <w:keepNext/>
      <w:keepLines/>
      <w:spacing w:before="80"/>
      <w:outlineLvl w:val="2"/>
    </w:pPr>
    <w:rPr>
      <w:rFonts w:asciiTheme="majorHAnsi" w:eastAsiaTheme="majorEastAsia" w:hAnsiTheme="majorHAnsi" w:cstheme="majorBidi"/>
      <w:bCs/>
    </w:rPr>
  </w:style>
  <w:style w:type="paragraph" w:styleId="Heading4">
    <w:name w:val="heading 4"/>
    <w:basedOn w:val="Normal"/>
    <w:next w:val="Normal"/>
    <w:link w:val="Heading4Char"/>
    <w:unhideWhenUsed/>
    <w:qFormat/>
    <w:rsid w:val="00785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F01E1"/>
    <w:pPr>
      <w:spacing w:after="120"/>
      <w:outlineLvl w:val="4"/>
    </w:pPr>
    <w:rPr>
      <w:rFonts w:ascii="Times New Roman" w:eastAsia="Times New Roman" w:hAnsi="Times New Roman" w:cs="Times New Roman"/>
      <w:sz w:val="24"/>
      <w:szCs w:val="24"/>
    </w:rPr>
  </w:style>
  <w:style w:type="paragraph" w:styleId="Heading6">
    <w:name w:val="heading 6"/>
    <w:basedOn w:val="Heading5"/>
    <w:next w:val="Normal"/>
    <w:link w:val="Heading6Char"/>
    <w:qFormat/>
    <w:rsid w:val="008F01E1"/>
    <w:pPr>
      <w:numPr>
        <w:ilvl w:val="5"/>
      </w:numPr>
      <w:outlineLvl w:val="5"/>
    </w:pPr>
  </w:style>
  <w:style w:type="paragraph" w:styleId="Heading7">
    <w:name w:val="heading 7"/>
    <w:basedOn w:val="Heading6"/>
    <w:next w:val="Normal"/>
    <w:link w:val="Heading7Char"/>
    <w:qFormat/>
    <w:rsid w:val="008F01E1"/>
    <w:pPr>
      <w:numPr>
        <w:ilvl w:val="6"/>
      </w:numPr>
      <w:outlineLvl w:val="6"/>
    </w:pPr>
  </w:style>
  <w:style w:type="paragraph" w:styleId="Heading8">
    <w:name w:val="heading 8"/>
    <w:basedOn w:val="Heading7"/>
    <w:next w:val="Normal"/>
    <w:link w:val="Heading8Char"/>
    <w:qFormat/>
    <w:rsid w:val="008F01E1"/>
    <w:pPr>
      <w:numPr>
        <w:ilvl w:val="7"/>
      </w:numPr>
      <w:outlineLvl w:val="7"/>
    </w:pPr>
  </w:style>
  <w:style w:type="paragraph" w:styleId="Heading9">
    <w:name w:val="heading 9"/>
    <w:basedOn w:val="Heading8"/>
    <w:next w:val="Normal"/>
    <w:link w:val="Heading9Char"/>
    <w:qFormat/>
    <w:rsid w:val="008F01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39E"/>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96017D"/>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rsid w:val="00DA1995"/>
    <w:rPr>
      <w:rFonts w:asciiTheme="majorHAnsi" w:eastAsiaTheme="majorEastAsia" w:hAnsiTheme="majorHAnsi" w:cstheme="majorBidi"/>
      <w:bCs/>
    </w:rPr>
  </w:style>
  <w:style w:type="character" w:customStyle="1" w:styleId="Heading4Char">
    <w:name w:val="Heading 4 Char"/>
    <w:basedOn w:val="DefaultParagraphFont"/>
    <w:link w:val="Heading4"/>
    <w:rsid w:val="007852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F01E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F01E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F01E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F01E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8F01E1"/>
    <w:rPr>
      <w:rFonts w:ascii="Times New Roman" w:eastAsia="Times New Roman" w:hAnsi="Times New Roman" w:cs="Times New Roman"/>
      <w:sz w:val="24"/>
      <w:szCs w:val="24"/>
    </w:rPr>
  </w:style>
  <w:style w:type="table" w:styleId="TableGrid">
    <w:name w:val="Table Grid"/>
    <w:basedOn w:val="TableNormal"/>
    <w:uiPriority w:val="59"/>
    <w:rsid w:val="0030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990"/>
    <w:pPr>
      <w:spacing w:after="0" w:line="240" w:lineRule="auto"/>
    </w:pPr>
  </w:style>
  <w:style w:type="paragraph" w:styleId="Title">
    <w:name w:val="Title"/>
    <w:basedOn w:val="Normal"/>
    <w:next w:val="Normal"/>
    <w:link w:val="TitleChar"/>
    <w:uiPriority w:val="10"/>
    <w:qFormat/>
    <w:rsid w:val="00952FBE"/>
    <w:pPr>
      <w:keepNext/>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952FBE"/>
    <w:rPr>
      <w:rFonts w:eastAsiaTheme="majorEastAsia" w:cstheme="majorBidi"/>
      <w:b/>
      <w:spacing w:val="5"/>
      <w:kern w:val="28"/>
      <w:szCs w:val="52"/>
    </w:rPr>
  </w:style>
  <w:style w:type="paragraph" w:customStyle="1" w:styleId="TblText">
    <w:name w:val="TblText"/>
    <w:basedOn w:val="Normal"/>
    <w:next w:val="Normal"/>
    <w:rsid w:val="00967990"/>
  </w:style>
  <w:style w:type="paragraph" w:styleId="BalloonText">
    <w:name w:val="Balloon Text"/>
    <w:basedOn w:val="Normal"/>
    <w:link w:val="BalloonTextChar"/>
    <w:uiPriority w:val="99"/>
    <w:semiHidden/>
    <w:unhideWhenUsed/>
    <w:rsid w:val="00D65A91"/>
    <w:rPr>
      <w:rFonts w:ascii="Tahoma" w:hAnsi="Tahoma" w:cs="Tahoma"/>
      <w:sz w:val="16"/>
      <w:szCs w:val="16"/>
    </w:rPr>
  </w:style>
  <w:style w:type="character" w:customStyle="1" w:styleId="BalloonTextChar">
    <w:name w:val="Balloon Text Char"/>
    <w:basedOn w:val="DefaultParagraphFont"/>
    <w:link w:val="BalloonText"/>
    <w:uiPriority w:val="99"/>
    <w:semiHidden/>
    <w:rsid w:val="00D65A91"/>
    <w:rPr>
      <w:rFonts w:ascii="Tahoma" w:hAnsi="Tahoma" w:cs="Tahoma"/>
      <w:sz w:val="16"/>
      <w:szCs w:val="16"/>
    </w:rPr>
  </w:style>
  <w:style w:type="paragraph" w:styleId="ListParagraph">
    <w:name w:val="List Paragraph"/>
    <w:basedOn w:val="Normal"/>
    <w:uiPriority w:val="34"/>
    <w:qFormat/>
    <w:rsid w:val="008E0876"/>
    <w:pPr>
      <w:spacing w:before="60" w:after="60"/>
      <w:ind w:left="720"/>
    </w:pPr>
  </w:style>
  <w:style w:type="paragraph" w:styleId="Header">
    <w:name w:val="header"/>
    <w:basedOn w:val="Normal"/>
    <w:link w:val="HeaderChar"/>
    <w:uiPriority w:val="99"/>
    <w:unhideWhenUsed/>
    <w:rsid w:val="00C11BE6"/>
    <w:pPr>
      <w:tabs>
        <w:tab w:val="center" w:pos="4680"/>
        <w:tab w:val="right" w:pos="9360"/>
      </w:tabs>
    </w:pPr>
  </w:style>
  <w:style w:type="character" w:customStyle="1" w:styleId="HeaderChar">
    <w:name w:val="Header Char"/>
    <w:basedOn w:val="DefaultParagraphFont"/>
    <w:link w:val="Header"/>
    <w:uiPriority w:val="99"/>
    <w:rsid w:val="00C11BE6"/>
  </w:style>
  <w:style w:type="paragraph" w:styleId="Footer">
    <w:name w:val="footer"/>
    <w:basedOn w:val="Normal"/>
    <w:link w:val="FooterChar"/>
    <w:uiPriority w:val="99"/>
    <w:unhideWhenUsed/>
    <w:rsid w:val="00082B23"/>
    <w:pPr>
      <w:tabs>
        <w:tab w:val="center" w:pos="4680"/>
        <w:tab w:val="right" w:pos="9360"/>
      </w:tabs>
    </w:pPr>
    <w:rPr>
      <w:rFonts w:ascii="Calibri" w:hAnsi="Calibri"/>
      <w:sz w:val="20"/>
    </w:rPr>
  </w:style>
  <w:style w:type="character" w:customStyle="1" w:styleId="FooterChar">
    <w:name w:val="Footer Char"/>
    <w:basedOn w:val="DefaultParagraphFont"/>
    <w:link w:val="Footer"/>
    <w:uiPriority w:val="99"/>
    <w:rsid w:val="00082B23"/>
    <w:rPr>
      <w:rFonts w:ascii="Calibri" w:hAnsi="Calibri"/>
      <w:sz w:val="20"/>
    </w:rPr>
  </w:style>
  <w:style w:type="character" w:styleId="CommentReference">
    <w:name w:val="annotation reference"/>
    <w:basedOn w:val="DefaultParagraphFont"/>
    <w:uiPriority w:val="99"/>
    <w:semiHidden/>
    <w:unhideWhenUsed/>
    <w:rsid w:val="001B0A0A"/>
    <w:rPr>
      <w:sz w:val="16"/>
      <w:szCs w:val="16"/>
    </w:rPr>
  </w:style>
  <w:style w:type="paragraph" w:styleId="CommentText">
    <w:name w:val="annotation text"/>
    <w:basedOn w:val="Normal"/>
    <w:link w:val="CommentTextChar"/>
    <w:uiPriority w:val="99"/>
    <w:unhideWhenUsed/>
    <w:rsid w:val="001B0A0A"/>
    <w:rPr>
      <w:sz w:val="20"/>
      <w:szCs w:val="20"/>
    </w:rPr>
  </w:style>
  <w:style w:type="character" w:customStyle="1" w:styleId="CommentTextChar">
    <w:name w:val="Comment Text Char"/>
    <w:basedOn w:val="DefaultParagraphFont"/>
    <w:link w:val="CommentText"/>
    <w:uiPriority w:val="99"/>
    <w:rsid w:val="001B0A0A"/>
    <w:rPr>
      <w:sz w:val="20"/>
      <w:szCs w:val="20"/>
    </w:rPr>
  </w:style>
  <w:style w:type="paragraph" w:styleId="CommentSubject">
    <w:name w:val="annotation subject"/>
    <w:basedOn w:val="CommentText"/>
    <w:next w:val="CommentText"/>
    <w:link w:val="CommentSubjectChar"/>
    <w:uiPriority w:val="99"/>
    <w:semiHidden/>
    <w:unhideWhenUsed/>
    <w:rsid w:val="001B0A0A"/>
    <w:rPr>
      <w:b/>
      <w:bCs/>
    </w:rPr>
  </w:style>
  <w:style w:type="character" w:customStyle="1" w:styleId="CommentSubjectChar">
    <w:name w:val="Comment Subject Char"/>
    <w:basedOn w:val="CommentTextChar"/>
    <w:link w:val="CommentSubject"/>
    <w:uiPriority w:val="99"/>
    <w:semiHidden/>
    <w:rsid w:val="001B0A0A"/>
    <w:rPr>
      <w:b/>
      <w:bCs/>
      <w:sz w:val="20"/>
      <w:szCs w:val="20"/>
    </w:rPr>
  </w:style>
  <w:style w:type="character" w:styleId="Hyperlink">
    <w:name w:val="Hyperlink"/>
    <w:basedOn w:val="DefaultParagraphFont"/>
    <w:uiPriority w:val="99"/>
    <w:unhideWhenUsed/>
    <w:rsid w:val="00386D3E"/>
    <w:rPr>
      <w:color w:val="0000FF" w:themeColor="hyperlink"/>
      <w:u w:val="single"/>
    </w:rPr>
  </w:style>
  <w:style w:type="character" w:styleId="PlaceholderText">
    <w:name w:val="Placeholder Text"/>
    <w:basedOn w:val="DefaultParagraphFont"/>
    <w:uiPriority w:val="99"/>
    <w:semiHidden/>
    <w:rsid w:val="00810DFF"/>
    <w:rPr>
      <w:color w:val="808080"/>
    </w:rPr>
  </w:style>
  <w:style w:type="paragraph" w:customStyle="1" w:styleId="Shape">
    <w:name w:val="Shape"/>
    <w:basedOn w:val="Normal"/>
    <w:qFormat/>
    <w:rsid w:val="006E2C89"/>
    <w:pPr>
      <w:jc w:val="center"/>
    </w:pPr>
  </w:style>
  <w:style w:type="paragraph" w:styleId="Caption">
    <w:name w:val="caption"/>
    <w:basedOn w:val="Normal"/>
    <w:next w:val="Normal"/>
    <w:link w:val="CaptionChar"/>
    <w:uiPriority w:val="35"/>
    <w:unhideWhenUsed/>
    <w:qFormat/>
    <w:rsid w:val="00A35723"/>
    <w:pPr>
      <w:keepNext/>
      <w:spacing w:before="100" w:after="40"/>
    </w:pPr>
    <w:rPr>
      <w:b/>
      <w:bCs/>
      <w:szCs w:val="18"/>
    </w:rPr>
  </w:style>
  <w:style w:type="character" w:customStyle="1" w:styleId="CaptionChar">
    <w:name w:val="Caption Char"/>
    <w:basedOn w:val="DefaultParagraphFont"/>
    <w:link w:val="Caption"/>
    <w:locked/>
    <w:rsid w:val="008F01E1"/>
    <w:rPr>
      <w:b/>
      <w:bCs/>
      <w:szCs w:val="18"/>
    </w:rPr>
  </w:style>
  <w:style w:type="paragraph" w:styleId="TOCHeading">
    <w:name w:val="TOC Heading"/>
    <w:basedOn w:val="Heading1"/>
    <w:next w:val="Normal"/>
    <w:uiPriority w:val="39"/>
    <w:unhideWhenUsed/>
    <w:qFormat/>
    <w:rsid w:val="000C0644"/>
    <w:pPr>
      <w:spacing w:before="480" w:line="276" w:lineRule="auto"/>
      <w:outlineLvl w:val="9"/>
    </w:pPr>
    <w:rPr>
      <w:b/>
      <w:color w:val="365F91" w:themeColor="accent1" w:themeShade="BF"/>
      <w:lang w:eastAsia="ja-JP"/>
    </w:rPr>
  </w:style>
  <w:style w:type="paragraph" w:styleId="TOC1">
    <w:name w:val="toc 1"/>
    <w:basedOn w:val="Normal"/>
    <w:next w:val="Normal"/>
    <w:autoRedefine/>
    <w:uiPriority w:val="39"/>
    <w:unhideWhenUsed/>
    <w:rsid w:val="00AC2EC7"/>
    <w:pPr>
      <w:tabs>
        <w:tab w:val="left" w:pos="446"/>
        <w:tab w:val="right" w:leader="dot" w:pos="9350"/>
      </w:tabs>
      <w:spacing w:after="100"/>
    </w:pPr>
  </w:style>
  <w:style w:type="paragraph" w:styleId="TOC2">
    <w:name w:val="toc 2"/>
    <w:basedOn w:val="Normal"/>
    <w:next w:val="Normal"/>
    <w:autoRedefine/>
    <w:uiPriority w:val="39"/>
    <w:unhideWhenUsed/>
    <w:rsid w:val="00AF2CC2"/>
    <w:pPr>
      <w:tabs>
        <w:tab w:val="left" w:pos="880"/>
        <w:tab w:val="right" w:leader="dot" w:pos="9350"/>
      </w:tabs>
      <w:spacing w:before="60" w:after="60"/>
      <w:ind w:left="180"/>
    </w:pPr>
  </w:style>
  <w:style w:type="paragraph" w:customStyle="1" w:styleId="Heading3b">
    <w:name w:val="Heading 3b"/>
    <w:basedOn w:val="Heading3"/>
    <w:next w:val="Normal"/>
    <w:qFormat/>
    <w:rsid w:val="002359E6"/>
  </w:style>
  <w:style w:type="paragraph" w:styleId="TOC3">
    <w:name w:val="toc 3"/>
    <w:basedOn w:val="Normal"/>
    <w:next w:val="Normal"/>
    <w:autoRedefine/>
    <w:uiPriority w:val="39"/>
    <w:unhideWhenUsed/>
    <w:rsid w:val="00621E2D"/>
    <w:pPr>
      <w:tabs>
        <w:tab w:val="left" w:pos="990"/>
        <w:tab w:val="right" w:leader="dot" w:pos="9360"/>
      </w:tabs>
      <w:spacing w:before="60" w:after="60"/>
      <w:ind w:left="1260" w:right="540" w:hanging="630"/>
    </w:pPr>
    <w:rPr>
      <w:sz w:val="20"/>
    </w:rPr>
  </w:style>
  <w:style w:type="paragraph" w:styleId="FootnoteText">
    <w:name w:val="footnote text"/>
    <w:aliases w:val="Footnote Text Char Char Char Char,Footnote Text Char Char,Footnote Text Char Char Char,Footnote Text Char Char Char Char Char Char Char Char Char Char Char Char Char Char Char"/>
    <w:basedOn w:val="Normal"/>
    <w:link w:val="FootnoteTextChar"/>
    <w:semiHidden/>
    <w:unhideWhenUsed/>
    <w:rsid w:val="00BB52F2"/>
    <w:rPr>
      <w:sz w:val="20"/>
      <w:szCs w:val="20"/>
    </w:rPr>
  </w:style>
  <w:style w:type="character" w:customStyle="1" w:styleId="FootnoteTextChar">
    <w:name w:val="Footnote Text Char"/>
    <w:aliases w:val="Footnote Text Char Char Char Char Char,Footnote Text Char Char Char1,Footnote Text Char Char Char Char1,Footnote Text Char Char Char Char Char Char Char Char Char Char Char Char Char Char Char Char"/>
    <w:basedOn w:val="DefaultParagraphFont"/>
    <w:link w:val="FootnoteText"/>
    <w:semiHidden/>
    <w:rsid w:val="00BB52F2"/>
    <w:rPr>
      <w:sz w:val="20"/>
      <w:szCs w:val="20"/>
    </w:rPr>
  </w:style>
  <w:style w:type="character" w:styleId="FootnoteReference">
    <w:name w:val="footnote reference"/>
    <w:basedOn w:val="DefaultParagraphFont"/>
    <w:uiPriority w:val="99"/>
    <w:unhideWhenUsed/>
    <w:rsid w:val="00BB52F2"/>
    <w:rPr>
      <w:vertAlign w:val="superscript"/>
    </w:rPr>
  </w:style>
  <w:style w:type="paragraph" w:styleId="ListBullet">
    <w:name w:val="List Bullet"/>
    <w:basedOn w:val="Normal"/>
    <w:rsid w:val="00546156"/>
    <w:pPr>
      <w:tabs>
        <w:tab w:val="num" w:pos="720"/>
      </w:tabs>
      <w:spacing w:after="0"/>
      <w:ind w:left="720" w:hanging="360"/>
    </w:pPr>
    <w:rPr>
      <w:rFonts w:ascii="Times New Roman" w:eastAsia="Times New Roman" w:hAnsi="Times New Roman" w:cs="Times New Roman"/>
      <w:sz w:val="24"/>
      <w:szCs w:val="20"/>
    </w:rPr>
  </w:style>
  <w:style w:type="paragraph" w:styleId="TableofFigures">
    <w:name w:val="table of figures"/>
    <w:basedOn w:val="Normal"/>
    <w:next w:val="Normal"/>
    <w:link w:val="TableofFiguresChar"/>
    <w:uiPriority w:val="99"/>
    <w:unhideWhenUsed/>
    <w:rsid w:val="00B07267"/>
  </w:style>
  <w:style w:type="character" w:customStyle="1" w:styleId="TableofFiguresChar">
    <w:name w:val="Table of Figures Char"/>
    <w:basedOn w:val="DefaultParagraphFont"/>
    <w:link w:val="TableofFigures"/>
    <w:locked/>
    <w:rsid w:val="008F01E1"/>
  </w:style>
  <w:style w:type="paragraph" w:styleId="Revision">
    <w:name w:val="Revision"/>
    <w:hidden/>
    <w:uiPriority w:val="99"/>
    <w:semiHidden/>
    <w:rsid w:val="00554707"/>
    <w:pPr>
      <w:spacing w:after="0" w:line="240" w:lineRule="auto"/>
    </w:pPr>
  </w:style>
  <w:style w:type="character" w:customStyle="1" w:styleId="FootnoteTextChar2">
    <w:name w:val="Footnote Text Char2"/>
    <w:aliases w:val="Footnote Text Char Char Char Char Char1,Footnote Text Char Char Char2,Footnote Text Char Char1,Footnote Text Char Char Char Char2,Footnote Text Char Char Char Char Char Char Char Char Char Char Char Char Char Char Char Char1"/>
    <w:basedOn w:val="DefaultParagraphFont"/>
    <w:semiHidden/>
    <w:locked/>
    <w:rsid w:val="00DA36CF"/>
    <w:rPr>
      <w:sz w:val="16"/>
      <w:szCs w:val="24"/>
    </w:rPr>
  </w:style>
  <w:style w:type="character" w:customStyle="1" w:styleId="FootnoteChar">
    <w:name w:val="Footnote Char"/>
    <w:basedOn w:val="DefaultParagraphFont"/>
    <w:link w:val="Footnote"/>
    <w:locked/>
    <w:rsid w:val="003A6878"/>
    <w:rPr>
      <w:rFonts w:ascii="Palatino Linotype" w:hAnsi="Palatino Linotype"/>
      <w:sz w:val="20"/>
      <w:szCs w:val="24"/>
    </w:rPr>
  </w:style>
  <w:style w:type="paragraph" w:customStyle="1" w:styleId="Footnote">
    <w:name w:val="Footnote"/>
    <w:basedOn w:val="Normal"/>
    <w:link w:val="FootnoteChar"/>
    <w:rsid w:val="003A6878"/>
    <w:pPr>
      <w:spacing w:after="120"/>
    </w:pPr>
    <w:rPr>
      <w:sz w:val="20"/>
      <w:szCs w:val="24"/>
    </w:rPr>
  </w:style>
  <w:style w:type="character" w:customStyle="1" w:styleId="StrikeoutChar">
    <w:name w:val="Strikeout Char"/>
    <w:link w:val="Strikeout"/>
    <w:locked/>
    <w:rsid w:val="001A3E87"/>
    <w:rPr>
      <w:strike/>
      <w:color w:val="FF0000"/>
      <w:sz w:val="24"/>
      <w:szCs w:val="24"/>
    </w:rPr>
  </w:style>
  <w:style w:type="paragraph" w:customStyle="1" w:styleId="Strikeout">
    <w:name w:val="Strikeout"/>
    <w:basedOn w:val="Normal"/>
    <w:link w:val="StrikeoutChar"/>
    <w:rsid w:val="001A3E87"/>
    <w:pPr>
      <w:spacing w:after="120"/>
    </w:pPr>
    <w:rPr>
      <w:strike/>
      <w:color w:val="FF0000"/>
      <w:sz w:val="24"/>
      <w:szCs w:val="24"/>
    </w:rPr>
  </w:style>
  <w:style w:type="character" w:customStyle="1" w:styleId="UnderlinedChar">
    <w:name w:val="Underlined Char"/>
    <w:link w:val="Underlined"/>
    <w:locked/>
    <w:rsid w:val="001A3E87"/>
    <w:rPr>
      <w:color w:val="4F81BD"/>
      <w:sz w:val="24"/>
      <w:szCs w:val="24"/>
      <w:u w:val="single"/>
    </w:rPr>
  </w:style>
  <w:style w:type="paragraph" w:customStyle="1" w:styleId="Underlined">
    <w:name w:val="Underlined"/>
    <w:basedOn w:val="Normal"/>
    <w:link w:val="UnderlinedChar"/>
    <w:rsid w:val="001A3E87"/>
    <w:pPr>
      <w:spacing w:after="120"/>
    </w:pPr>
    <w:rPr>
      <w:color w:val="4F81BD"/>
      <w:sz w:val="24"/>
      <w:szCs w:val="24"/>
      <w:u w:val="single"/>
    </w:rPr>
  </w:style>
  <w:style w:type="character" w:styleId="FollowedHyperlink">
    <w:name w:val="FollowedHyperlink"/>
    <w:basedOn w:val="DefaultParagraphFont"/>
    <w:rsid w:val="008F01E1"/>
    <w:rPr>
      <w:color w:val="800080"/>
      <w:u w:val="single"/>
    </w:rPr>
  </w:style>
  <w:style w:type="paragraph" w:styleId="NormalWeb">
    <w:name w:val="Normal (Web)"/>
    <w:basedOn w:val="Normal"/>
    <w:uiPriority w:val="99"/>
    <w:rsid w:val="008F01E1"/>
    <w:pPr>
      <w:spacing w:after="63"/>
    </w:pPr>
    <w:rPr>
      <w:rFonts w:ascii="Times New Roman" w:eastAsia="Times New Roman" w:hAnsi="Times New Roman" w:cs="Times New Roman"/>
      <w:sz w:val="24"/>
      <w:szCs w:val="24"/>
    </w:rPr>
  </w:style>
  <w:style w:type="paragraph" w:styleId="ListNumber">
    <w:name w:val="List Number"/>
    <w:basedOn w:val="Normal"/>
    <w:rsid w:val="008F01E1"/>
    <w:pPr>
      <w:tabs>
        <w:tab w:val="num" w:pos="1080"/>
      </w:tabs>
      <w:spacing w:after="120"/>
      <w:ind w:left="1080" w:hanging="360"/>
    </w:pPr>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semiHidden/>
    <w:rsid w:val="008F01E1"/>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8F01E1"/>
    <w:pPr>
      <w:shd w:val="clear" w:color="auto" w:fill="000080"/>
      <w:spacing w:after="120"/>
    </w:pPr>
    <w:rPr>
      <w:rFonts w:ascii="Tahoma" w:eastAsia="Times New Roman" w:hAnsi="Tahoma" w:cs="Tahoma"/>
      <w:sz w:val="24"/>
      <w:szCs w:val="24"/>
    </w:rPr>
  </w:style>
  <w:style w:type="paragraph" w:styleId="PlainText">
    <w:name w:val="Plain Text"/>
    <w:basedOn w:val="Normal"/>
    <w:link w:val="PlainTextChar"/>
    <w:rsid w:val="008F01E1"/>
    <w:pPr>
      <w:spacing w:after="12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F01E1"/>
    <w:rPr>
      <w:rFonts w:ascii="Courier New" w:eastAsia="Times New Roman" w:hAnsi="Courier New" w:cs="Courier New"/>
      <w:sz w:val="20"/>
      <w:szCs w:val="20"/>
    </w:rPr>
  </w:style>
  <w:style w:type="paragraph" w:customStyle="1" w:styleId="Tableleft">
    <w:name w:val="Table left"/>
    <w:basedOn w:val="Normal"/>
    <w:rsid w:val="008F01E1"/>
    <w:pPr>
      <w:keepNext/>
      <w:keepLines/>
      <w:spacing w:before="60" w:after="60"/>
      <w:ind w:left="72" w:right="72"/>
    </w:pPr>
    <w:rPr>
      <w:rFonts w:ascii="Times New Roman" w:eastAsia="Times New Roman" w:hAnsi="Times New Roman" w:cs="Times New Roman"/>
      <w:sz w:val="20"/>
      <w:szCs w:val="20"/>
    </w:rPr>
  </w:style>
  <w:style w:type="paragraph" w:customStyle="1" w:styleId="CoverBar">
    <w:name w:val="Cover Bar"/>
    <w:basedOn w:val="Normal"/>
    <w:rsid w:val="008F01E1"/>
    <w:pPr>
      <w:shd w:val="clear" w:color="auto" w:fill="000000"/>
      <w:spacing w:after="120"/>
    </w:pPr>
    <w:rPr>
      <w:rFonts w:ascii="Times New Roman" w:eastAsia="Times New Roman" w:hAnsi="Times New Roman" w:cs="Times New Roman"/>
      <w:i/>
      <w:iCs/>
      <w:color w:val="FFFFFF"/>
      <w:sz w:val="36"/>
      <w:szCs w:val="24"/>
    </w:rPr>
  </w:style>
  <w:style w:type="paragraph" w:customStyle="1" w:styleId="CoverTitle">
    <w:name w:val="Cover Title"/>
    <w:basedOn w:val="Normal"/>
    <w:rsid w:val="008F01E1"/>
    <w:pPr>
      <w:spacing w:after="120"/>
    </w:pPr>
    <w:rPr>
      <w:rFonts w:ascii="Times New Roman" w:eastAsia="Times New Roman" w:hAnsi="Times New Roman" w:cs="Times New Roman"/>
      <w:b/>
      <w:sz w:val="48"/>
      <w:szCs w:val="24"/>
    </w:rPr>
  </w:style>
  <w:style w:type="paragraph" w:customStyle="1" w:styleId="EquationNumber">
    <w:name w:val="Equation Number"/>
    <w:basedOn w:val="Normal"/>
    <w:rsid w:val="008F01E1"/>
    <w:pPr>
      <w:spacing w:after="120"/>
      <w:jc w:val="right"/>
    </w:pPr>
    <w:rPr>
      <w:rFonts w:ascii="Times New Roman" w:eastAsia="Times New Roman" w:hAnsi="Times New Roman" w:cs="Times New Roman"/>
      <w:sz w:val="24"/>
      <w:szCs w:val="24"/>
    </w:rPr>
  </w:style>
  <w:style w:type="paragraph" w:customStyle="1" w:styleId="FigureCaption">
    <w:name w:val="Figure Caption"/>
    <w:basedOn w:val="Normal"/>
    <w:rsid w:val="008F01E1"/>
    <w:pPr>
      <w:spacing w:after="100" w:afterAutospacing="1"/>
      <w:jc w:val="center"/>
    </w:pPr>
    <w:rPr>
      <w:rFonts w:ascii="Times New Roman" w:eastAsia="Times New Roman" w:hAnsi="Times New Roman" w:cs="Times New Roman"/>
      <w:i/>
      <w:sz w:val="16"/>
      <w:szCs w:val="24"/>
    </w:rPr>
  </w:style>
  <w:style w:type="paragraph" w:customStyle="1" w:styleId="Tablecentered">
    <w:name w:val="Table centered"/>
    <w:basedOn w:val="Tableleft"/>
    <w:rsid w:val="008F01E1"/>
    <w:pPr>
      <w:spacing w:before="0" w:after="0"/>
      <w:ind w:left="0" w:right="0"/>
      <w:jc w:val="center"/>
    </w:pPr>
  </w:style>
  <w:style w:type="paragraph" w:customStyle="1" w:styleId="Tableleftbold">
    <w:name w:val="Table left bold"/>
    <w:basedOn w:val="Tableleft"/>
    <w:rsid w:val="008F01E1"/>
    <w:rPr>
      <w:b/>
    </w:rPr>
  </w:style>
  <w:style w:type="paragraph" w:customStyle="1" w:styleId="NotesforCEC">
    <w:name w:val="Notes for CEC"/>
    <w:basedOn w:val="Normal"/>
    <w:rsid w:val="008F01E1"/>
    <w:pPr>
      <w:spacing w:after="120"/>
    </w:pPr>
    <w:rPr>
      <w:rFonts w:ascii="Times New Roman" w:eastAsia="Times New Roman" w:hAnsi="Times New Roman" w:cs="Times New Roman"/>
      <w:color w:val="FF0000"/>
      <w:sz w:val="24"/>
      <w:szCs w:val="24"/>
    </w:rPr>
  </w:style>
  <w:style w:type="paragraph" w:customStyle="1" w:styleId="Notes">
    <w:name w:val="Notes"/>
    <w:basedOn w:val="Normal"/>
    <w:rsid w:val="008F01E1"/>
    <w:pPr>
      <w:spacing w:after="120"/>
    </w:pPr>
    <w:rPr>
      <w:rFonts w:ascii="Times New Roman" w:eastAsia="Times New Roman" w:hAnsi="Times New Roman" w:cs="Times New Roman"/>
      <w:color w:val="FF6600"/>
      <w:sz w:val="24"/>
      <w:szCs w:val="24"/>
    </w:rPr>
  </w:style>
  <w:style w:type="paragraph" w:customStyle="1" w:styleId="Picture">
    <w:name w:val="Picture"/>
    <w:basedOn w:val="Normal"/>
    <w:next w:val="Caption"/>
    <w:rsid w:val="008F01E1"/>
    <w:pPr>
      <w:keepNext/>
      <w:spacing w:before="240" w:after="120"/>
      <w:jc w:val="center"/>
    </w:pPr>
    <w:rPr>
      <w:rFonts w:ascii="Times New Roman" w:eastAsia="Times New Roman" w:hAnsi="Times New Roman" w:cs="Times New Roman"/>
      <w:sz w:val="24"/>
      <w:szCs w:val="20"/>
    </w:rPr>
  </w:style>
  <w:style w:type="paragraph" w:customStyle="1" w:styleId="CoverProposerandDate">
    <w:name w:val="Cover Proposer and Date"/>
    <w:basedOn w:val="Normal"/>
    <w:rsid w:val="008F01E1"/>
    <w:pPr>
      <w:widowControl w:val="0"/>
      <w:autoSpaceDE w:val="0"/>
      <w:autoSpaceDN w:val="0"/>
      <w:adjustRightInd w:val="0"/>
      <w:spacing w:after="120"/>
    </w:pPr>
    <w:rPr>
      <w:rFonts w:ascii="ArialMT" w:eastAsia="Times New Roman" w:hAnsi="ArialMT" w:cs="ArialMT"/>
      <w:color w:val="000000"/>
      <w:sz w:val="24"/>
      <w:szCs w:val="24"/>
    </w:rPr>
  </w:style>
  <w:style w:type="paragraph" w:customStyle="1" w:styleId="CoverContents">
    <w:name w:val="Cover Contents"/>
    <w:basedOn w:val="Normal"/>
    <w:rsid w:val="008F01E1"/>
    <w:pPr>
      <w:widowControl w:val="0"/>
      <w:autoSpaceDE w:val="0"/>
      <w:autoSpaceDN w:val="0"/>
      <w:adjustRightInd w:val="0"/>
      <w:spacing w:after="120"/>
    </w:pPr>
    <w:rPr>
      <w:rFonts w:ascii="ArialMT" w:eastAsia="Times New Roman" w:hAnsi="ArialMT" w:cs="ArialMT"/>
      <w:b/>
      <w:color w:val="000000"/>
      <w:sz w:val="24"/>
      <w:szCs w:val="24"/>
    </w:rPr>
  </w:style>
  <w:style w:type="paragraph" w:customStyle="1" w:styleId="References">
    <w:name w:val="References"/>
    <w:basedOn w:val="Normal"/>
    <w:rsid w:val="008F01E1"/>
    <w:pPr>
      <w:spacing w:after="200"/>
      <w:ind w:left="567" w:hanging="567"/>
      <w:jc w:val="both"/>
    </w:pPr>
    <w:rPr>
      <w:rFonts w:ascii="Arial" w:eastAsia="Times New Roman" w:hAnsi="Arial" w:cs="Times New Roman"/>
      <w:sz w:val="20"/>
      <w:szCs w:val="20"/>
      <w:lang w:eastAsia="en-GB"/>
    </w:rPr>
  </w:style>
  <w:style w:type="character" w:styleId="PageNumber">
    <w:name w:val="page number"/>
    <w:basedOn w:val="DefaultParagraphFont"/>
    <w:rsid w:val="008F01E1"/>
    <w:rPr>
      <w:rFonts w:ascii="Times New Roman" w:hAnsi="Times New Roman" w:cs="Times New Roman" w:hint="default"/>
    </w:rPr>
  </w:style>
  <w:style w:type="character" w:customStyle="1" w:styleId="CharBold">
    <w:name w:val="Char Bold"/>
    <w:rsid w:val="008F01E1"/>
    <w:rPr>
      <w:b/>
      <w:bCs w:val="0"/>
    </w:rPr>
  </w:style>
  <w:style w:type="character" w:customStyle="1" w:styleId="CharItalic">
    <w:name w:val="Char Italic"/>
    <w:rsid w:val="008F01E1"/>
    <w:rPr>
      <w:i/>
      <w:iCs w:val="0"/>
    </w:rPr>
  </w:style>
  <w:style w:type="paragraph" w:customStyle="1" w:styleId="Tablecenteredbold">
    <w:name w:val="Table centered bold"/>
    <w:basedOn w:val="Tablecentered"/>
    <w:rsid w:val="008F01E1"/>
    <w:rPr>
      <w:b/>
    </w:rPr>
  </w:style>
  <w:style w:type="paragraph" w:customStyle="1" w:styleId="Text">
    <w:name w:val="Text"/>
    <w:basedOn w:val="Normal"/>
    <w:rsid w:val="00680E85"/>
    <w:pPr>
      <w:tabs>
        <w:tab w:val="left" w:pos="5300"/>
      </w:tabs>
      <w:spacing w:after="120" w:line="360" w:lineRule="atLeast"/>
      <w:jc w:val="center"/>
    </w:pPr>
    <w:rPr>
      <w:rFonts w:ascii="Times New Roman" w:eastAsia="Times New Roman" w:hAnsi="Times New Roman" w:cs="Times New Roman"/>
      <w:szCs w:val="20"/>
    </w:rPr>
  </w:style>
  <w:style w:type="paragraph" w:customStyle="1" w:styleId="PIERCoverTitle">
    <w:name w:val="PIER Cover Title"/>
    <w:rsid w:val="007E4CA7"/>
    <w:pPr>
      <w:spacing w:after="0" w:line="240" w:lineRule="auto"/>
      <w:jc w:val="right"/>
    </w:pPr>
    <w:rPr>
      <w:rFonts w:ascii="Arial" w:eastAsia="Times New Roman" w:hAnsi="Arial" w:cs="Times New Roman"/>
      <w:b/>
      <w:sz w:val="36"/>
      <w:szCs w:val="24"/>
    </w:rPr>
  </w:style>
  <w:style w:type="paragraph" w:customStyle="1" w:styleId="PIERCoverVerticalTitle">
    <w:name w:val="PIER Cover Vertical Title"/>
    <w:rsid w:val="007E4CA7"/>
    <w:pPr>
      <w:spacing w:after="0" w:line="240" w:lineRule="auto"/>
      <w:jc w:val="center"/>
    </w:pPr>
    <w:rPr>
      <w:rFonts w:ascii="Arial Narrow" w:eastAsia="Times New Roman" w:hAnsi="Arial Narrow" w:cs="Arial"/>
      <w:b/>
      <w:bCs/>
      <w:smallCaps/>
      <w:sz w:val="48"/>
      <w:szCs w:val="48"/>
    </w:rPr>
  </w:style>
  <w:style w:type="paragraph" w:customStyle="1" w:styleId="PIERCoverArial10">
    <w:name w:val="PIER Cover Arial 10"/>
    <w:basedOn w:val="Normal"/>
    <w:rsid w:val="007E4CA7"/>
    <w:rPr>
      <w:rFonts w:ascii="Arial" w:eastAsia="Times New Roman" w:hAnsi="Arial" w:cs="Arial"/>
      <w:sz w:val="20"/>
      <w:szCs w:val="20"/>
    </w:rPr>
  </w:style>
  <w:style w:type="paragraph" w:customStyle="1" w:styleId="PIERCoverArial12">
    <w:name w:val="PIER Cover Arial 12"/>
    <w:rsid w:val="007E4CA7"/>
    <w:pPr>
      <w:spacing w:after="0" w:line="240" w:lineRule="auto"/>
      <w:ind w:left="2700"/>
    </w:pPr>
    <w:rPr>
      <w:rFonts w:ascii="Arial" w:eastAsia="Times New Roman" w:hAnsi="Arial" w:cs="Times New Roman"/>
      <w:sz w:val="24"/>
      <w:szCs w:val="24"/>
    </w:rPr>
  </w:style>
  <w:style w:type="paragraph" w:customStyle="1" w:styleId="AppendixBHeading1">
    <w:name w:val="Appendix B Heading 1"/>
    <w:basedOn w:val="Heading1"/>
    <w:link w:val="AppendixBHeading1Char"/>
    <w:qFormat/>
    <w:rsid w:val="00FD2AEF"/>
    <w:pPr>
      <w:ind w:left="360" w:hanging="360"/>
    </w:pPr>
  </w:style>
  <w:style w:type="paragraph" w:customStyle="1" w:styleId="AppendixBHeading2">
    <w:name w:val="Appendix B Heading 2"/>
    <w:basedOn w:val="Heading2"/>
    <w:link w:val="AppendixBHeading2Char"/>
    <w:qFormat/>
    <w:rsid w:val="00E508DE"/>
    <w:pPr>
      <w:ind w:left="792" w:hanging="432"/>
    </w:pPr>
  </w:style>
  <w:style w:type="character" w:customStyle="1" w:styleId="AppendixBHeading1Char">
    <w:name w:val="Appendix B Heading 1 Char"/>
    <w:basedOn w:val="Heading1Char"/>
    <w:link w:val="AppendixBHeading1"/>
    <w:rsid w:val="00E508DE"/>
    <w:rPr>
      <w:rFonts w:asciiTheme="majorHAnsi" w:eastAsiaTheme="majorEastAsia" w:hAnsiTheme="majorHAnsi" w:cstheme="majorBidi"/>
      <w:bCs/>
      <w:sz w:val="28"/>
      <w:szCs w:val="28"/>
    </w:rPr>
  </w:style>
  <w:style w:type="character" w:customStyle="1" w:styleId="AppendixBHeading2Char">
    <w:name w:val="Appendix B Heading 2 Char"/>
    <w:basedOn w:val="Heading2Char"/>
    <w:link w:val="AppendixBHeading2"/>
    <w:rsid w:val="00E508DE"/>
    <w:rPr>
      <w:rFonts w:asciiTheme="majorHAnsi" w:eastAsiaTheme="majorEastAsia" w:hAnsiTheme="majorHAnsi" w:cstheme="majorBidi"/>
      <w:bCs/>
      <w:sz w:val="24"/>
      <w:szCs w:val="26"/>
    </w:rPr>
  </w:style>
  <w:style w:type="paragraph" w:customStyle="1" w:styleId="Appx1">
    <w:name w:val="Appx 1"/>
    <w:basedOn w:val="Heading2"/>
    <w:qFormat/>
    <w:rsid w:val="002359E6"/>
  </w:style>
  <w:style w:type="paragraph" w:customStyle="1" w:styleId="AppxBSub1">
    <w:name w:val="Appx B Sub1"/>
    <w:basedOn w:val="Heading2"/>
    <w:next w:val="Normal"/>
    <w:qFormat/>
    <w:rsid w:val="00464C65"/>
  </w:style>
  <w:style w:type="paragraph" w:styleId="EndnoteText">
    <w:name w:val="endnote text"/>
    <w:basedOn w:val="Normal"/>
    <w:link w:val="EndnoteTextChar"/>
    <w:uiPriority w:val="99"/>
    <w:semiHidden/>
    <w:unhideWhenUsed/>
    <w:rsid w:val="003C5490"/>
    <w:pPr>
      <w:spacing w:after="0"/>
    </w:pPr>
    <w:rPr>
      <w:sz w:val="20"/>
      <w:szCs w:val="20"/>
    </w:rPr>
  </w:style>
  <w:style w:type="character" w:customStyle="1" w:styleId="EndnoteTextChar">
    <w:name w:val="Endnote Text Char"/>
    <w:basedOn w:val="DefaultParagraphFont"/>
    <w:link w:val="EndnoteText"/>
    <w:uiPriority w:val="99"/>
    <w:semiHidden/>
    <w:rsid w:val="003C5490"/>
    <w:rPr>
      <w:sz w:val="20"/>
      <w:szCs w:val="20"/>
    </w:rPr>
  </w:style>
  <w:style w:type="character" w:styleId="EndnoteReference">
    <w:name w:val="endnote reference"/>
    <w:basedOn w:val="DefaultParagraphFont"/>
    <w:uiPriority w:val="99"/>
    <w:semiHidden/>
    <w:unhideWhenUsed/>
    <w:rsid w:val="003C5490"/>
    <w:rPr>
      <w:vertAlign w:val="superscript"/>
    </w:rPr>
  </w:style>
  <w:style w:type="table" w:customStyle="1" w:styleId="TableGridLight1">
    <w:name w:val="Table Grid Light1"/>
    <w:basedOn w:val="TableNormal"/>
    <w:uiPriority w:val="40"/>
    <w:rsid w:val="00C327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EF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67844"/>
    <w:rPr>
      <w:i/>
      <w:iCs/>
      <w:color w:val="404040" w:themeColor="text1" w:themeTint="BF"/>
    </w:rPr>
  </w:style>
  <w:style w:type="paragraph" w:customStyle="1" w:styleId="FrontHdg1">
    <w:name w:val="FrontHdg1"/>
    <w:basedOn w:val="Heading1"/>
    <w:qFormat/>
    <w:rsid w:val="00AC2EC7"/>
    <w:pPr>
      <w:spacing w:before="240" w:after="120"/>
      <w:outlineLvl w:val="9"/>
    </w:pPr>
    <w:rPr>
      <w:rFonts w:ascii="Helvetica" w:eastAsia="Times New Roman" w:hAnsi="Helvetica"/>
      <w:b/>
      <w:sz w:val="26"/>
      <w:szCs w:val="26"/>
      <w:u w:val="single"/>
    </w:rPr>
  </w:style>
  <w:style w:type="paragraph" w:customStyle="1" w:styleId="Default">
    <w:name w:val="Default"/>
    <w:rsid w:val="009A4E3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C63F7"/>
    <w:rPr>
      <w:color w:val="808080"/>
      <w:shd w:val="clear" w:color="auto" w:fill="E6E6E6"/>
    </w:rPr>
  </w:style>
  <w:style w:type="paragraph" w:styleId="Index1">
    <w:name w:val="index 1"/>
    <w:basedOn w:val="Normal"/>
    <w:next w:val="Normal"/>
    <w:autoRedefine/>
    <w:uiPriority w:val="99"/>
    <w:semiHidden/>
    <w:unhideWhenUsed/>
    <w:rsid w:val="00DB53A1"/>
    <w:pPr>
      <w:spacing w:after="0"/>
      <w:ind w:left="220" w:hanging="220"/>
    </w:pPr>
  </w:style>
  <w:style w:type="character" w:customStyle="1" w:styleId="titlehead">
    <w:name w:val="titlehead"/>
    <w:basedOn w:val="DefaultParagraphFont"/>
    <w:rsid w:val="00B065FB"/>
  </w:style>
  <w:style w:type="paragraph" w:customStyle="1" w:styleId="standard">
    <w:name w:val="standard"/>
    <w:basedOn w:val="Normal"/>
    <w:link w:val="standardChar"/>
    <w:rsid w:val="0096334A"/>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6334A"/>
    <w:rPr>
      <w:rFonts w:ascii="Palatino" w:eastAsia="Times New Roman" w:hAnsi="Palatino" w:cs="Times New Roman"/>
      <w:sz w:val="26"/>
      <w:szCs w:val="20"/>
    </w:rPr>
  </w:style>
  <w:style w:type="paragraph" w:customStyle="1" w:styleId="num1">
    <w:name w:val="num1"/>
    <w:basedOn w:val="Normal"/>
    <w:link w:val="num1Char"/>
    <w:rsid w:val="00C73906"/>
    <w:pPr>
      <w:numPr>
        <w:numId w:val="1"/>
      </w:numPr>
      <w:tabs>
        <w:tab w:val="left" w:pos="-720"/>
      </w:tabs>
      <w:suppressAutoHyphens/>
      <w:spacing w:after="0" w:line="360" w:lineRule="auto"/>
    </w:pPr>
    <w:rPr>
      <w:rFonts w:ascii="Palatino" w:eastAsia="Times New Roman" w:hAnsi="Palatino" w:cs="Times New Roman"/>
      <w:sz w:val="26"/>
      <w:szCs w:val="20"/>
    </w:rPr>
  </w:style>
  <w:style w:type="character" w:customStyle="1" w:styleId="num1Char">
    <w:name w:val="num1 Char"/>
    <w:link w:val="num1"/>
    <w:rsid w:val="00C73906"/>
    <w:rPr>
      <w:rFonts w:ascii="Palatino" w:eastAsia="Times New Roman" w:hAnsi="Palatino" w:cs="Times New Roman"/>
      <w:sz w:val="26"/>
      <w:szCs w:val="20"/>
    </w:rPr>
  </w:style>
  <w:style w:type="paragraph" w:styleId="TOC4">
    <w:name w:val="toc 4"/>
    <w:basedOn w:val="Normal"/>
    <w:next w:val="Normal"/>
    <w:autoRedefine/>
    <w:uiPriority w:val="39"/>
    <w:unhideWhenUsed/>
    <w:rsid w:val="00F94921"/>
    <w:pPr>
      <w:spacing w:after="100"/>
      <w:ind w:left="660"/>
    </w:pPr>
  </w:style>
  <w:style w:type="paragraph" w:styleId="TOC5">
    <w:name w:val="toc 5"/>
    <w:basedOn w:val="Normal"/>
    <w:next w:val="Normal"/>
    <w:autoRedefine/>
    <w:uiPriority w:val="39"/>
    <w:unhideWhenUsed/>
    <w:rsid w:val="00F94921"/>
    <w:pPr>
      <w:spacing w:after="100"/>
      <w:ind w:left="880"/>
    </w:pPr>
  </w:style>
  <w:style w:type="character" w:customStyle="1" w:styleId="UnresolvedMention2">
    <w:name w:val="Unresolved Mention2"/>
    <w:basedOn w:val="DefaultParagraphFont"/>
    <w:uiPriority w:val="99"/>
    <w:semiHidden/>
    <w:unhideWhenUsed/>
    <w:rsid w:val="00C630BD"/>
    <w:rPr>
      <w:color w:val="808080"/>
      <w:shd w:val="clear" w:color="auto" w:fill="E6E6E6"/>
    </w:rPr>
  </w:style>
  <w:style w:type="character" w:customStyle="1" w:styleId="wordphrase">
    <w:name w:val="wordphrase"/>
    <w:basedOn w:val="DefaultParagraphFont"/>
    <w:rsid w:val="000F1A30"/>
  </w:style>
  <w:style w:type="character" w:styleId="UnresolvedMention">
    <w:name w:val="Unresolved Mention"/>
    <w:basedOn w:val="DefaultParagraphFont"/>
    <w:uiPriority w:val="99"/>
    <w:semiHidden/>
    <w:unhideWhenUsed/>
    <w:rsid w:val="00167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819">
      <w:bodyDiv w:val="1"/>
      <w:marLeft w:val="0"/>
      <w:marRight w:val="0"/>
      <w:marTop w:val="0"/>
      <w:marBottom w:val="0"/>
      <w:divBdr>
        <w:top w:val="none" w:sz="0" w:space="0" w:color="auto"/>
        <w:left w:val="none" w:sz="0" w:space="0" w:color="auto"/>
        <w:bottom w:val="none" w:sz="0" w:space="0" w:color="auto"/>
        <w:right w:val="none" w:sz="0" w:space="0" w:color="auto"/>
      </w:divBdr>
    </w:div>
    <w:div w:id="54089609">
      <w:bodyDiv w:val="1"/>
      <w:marLeft w:val="0"/>
      <w:marRight w:val="0"/>
      <w:marTop w:val="0"/>
      <w:marBottom w:val="0"/>
      <w:divBdr>
        <w:top w:val="none" w:sz="0" w:space="0" w:color="auto"/>
        <w:left w:val="none" w:sz="0" w:space="0" w:color="auto"/>
        <w:bottom w:val="none" w:sz="0" w:space="0" w:color="auto"/>
        <w:right w:val="none" w:sz="0" w:space="0" w:color="auto"/>
      </w:divBdr>
    </w:div>
    <w:div w:id="59257584">
      <w:bodyDiv w:val="1"/>
      <w:marLeft w:val="0"/>
      <w:marRight w:val="0"/>
      <w:marTop w:val="0"/>
      <w:marBottom w:val="0"/>
      <w:divBdr>
        <w:top w:val="none" w:sz="0" w:space="0" w:color="auto"/>
        <w:left w:val="none" w:sz="0" w:space="0" w:color="auto"/>
        <w:bottom w:val="none" w:sz="0" w:space="0" w:color="auto"/>
        <w:right w:val="none" w:sz="0" w:space="0" w:color="auto"/>
      </w:divBdr>
    </w:div>
    <w:div w:id="64227689">
      <w:bodyDiv w:val="1"/>
      <w:marLeft w:val="0"/>
      <w:marRight w:val="0"/>
      <w:marTop w:val="0"/>
      <w:marBottom w:val="0"/>
      <w:divBdr>
        <w:top w:val="none" w:sz="0" w:space="0" w:color="auto"/>
        <w:left w:val="none" w:sz="0" w:space="0" w:color="auto"/>
        <w:bottom w:val="none" w:sz="0" w:space="0" w:color="auto"/>
        <w:right w:val="none" w:sz="0" w:space="0" w:color="auto"/>
      </w:divBdr>
    </w:div>
    <w:div w:id="82843036">
      <w:bodyDiv w:val="1"/>
      <w:marLeft w:val="0"/>
      <w:marRight w:val="0"/>
      <w:marTop w:val="0"/>
      <w:marBottom w:val="0"/>
      <w:divBdr>
        <w:top w:val="none" w:sz="0" w:space="0" w:color="auto"/>
        <w:left w:val="none" w:sz="0" w:space="0" w:color="auto"/>
        <w:bottom w:val="none" w:sz="0" w:space="0" w:color="auto"/>
        <w:right w:val="none" w:sz="0" w:space="0" w:color="auto"/>
      </w:divBdr>
    </w:div>
    <w:div w:id="95444480">
      <w:bodyDiv w:val="1"/>
      <w:marLeft w:val="0"/>
      <w:marRight w:val="0"/>
      <w:marTop w:val="0"/>
      <w:marBottom w:val="0"/>
      <w:divBdr>
        <w:top w:val="none" w:sz="0" w:space="0" w:color="auto"/>
        <w:left w:val="none" w:sz="0" w:space="0" w:color="auto"/>
        <w:bottom w:val="none" w:sz="0" w:space="0" w:color="auto"/>
        <w:right w:val="none" w:sz="0" w:space="0" w:color="auto"/>
      </w:divBdr>
    </w:div>
    <w:div w:id="127288309">
      <w:bodyDiv w:val="1"/>
      <w:marLeft w:val="0"/>
      <w:marRight w:val="0"/>
      <w:marTop w:val="0"/>
      <w:marBottom w:val="0"/>
      <w:divBdr>
        <w:top w:val="none" w:sz="0" w:space="0" w:color="auto"/>
        <w:left w:val="none" w:sz="0" w:space="0" w:color="auto"/>
        <w:bottom w:val="none" w:sz="0" w:space="0" w:color="auto"/>
        <w:right w:val="none" w:sz="0" w:space="0" w:color="auto"/>
      </w:divBdr>
    </w:div>
    <w:div w:id="143010571">
      <w:bodyDiv w:val="1"/>
      <w:marLeft w:val="0"/>
      <w:marRight w:val="0"/>
      <w:marTop w:val="0"/>
      <w:marBottom w:val="0"/>
      <w:divBdr>
        <w:top w:val="none" w:sz="0" w:space="0" w:color="auto"/>
        <w:left w:val="none" w:sz="0" w:space="0" w:color="auto"/>
        <w:bottom w:val="none" w:sz="0" w:space="0" w:color="auto"/>
        <w:right w:val="none" w:sz="0" w:space="0" w:color="auto"/>
      </w:divBdr>
    </w:div>
    <w:div w:id="148642376">
      <w:bodyDiv w:val="1"/>
      <w:marLeft w:val="0"/>
      <w:marRight w:val="0"/>
      <w:marTop w:val="0"/>
      <w:marBottom w:val="0"/>
      <w:divBdr>
        <w:top w:val="none" w:sz="0" w:space="0" w:color="auto"/>
        <w:left w:val="none" w:sz="0" w:space="0" w:color="auto"/>
        <w:bottom w:val="none" w:sz="0" w:space="0" w:color="auto"/>
        <w:right w:val="none" w:sz="0" w:space="0" w:color="auto"/>
      </w:divBdr>
    </w:div>
    <w:div w:id="152913830">
      <w:bodyDiv w:val="1"/>
      <w:marLeft w:val="0"/>
      <w:marRight w:val="0"/>
      <w:marTop w:val="0"/>
      <w:marBottom w:val="0"/>
      <w:divBdr>
        <w:top w:val="none" w:sz="0" w:space="0" w:color="auto"/>
        <w:left w:val="none" w:sz="0" w:space="0" w:color="auto"/>
        <w:bottom w:val="none" w:sz="0" w:space="0" w:color="auto"/>
        <w:right w:val="none" w:sz="0" w:space="0" w:color="auto"/>
      </w:divBdr>
    </w:div>
    <w:div w:id="154228267">
      <w:bodyDiv w:val="1"/>
      <w:marLeft w:val="0"/>
      <w:marRight w:val="0"/>
      <w:marTop w:val="0"/>
      <w:marBottom w:val="0"/>
      <w:divBdr>
        <w:top w:val="none" w:sz="0" w:space="0" w:color="auto"/>
        <w:left w:val="none" w:sz="0" w:space="0" w:color="auto"/>
        <w:bottom w:val="none" w:sz="0" w:space="0" w:color="auto"/>
        <w:right w:val="none" w:sz="0" w:space="0" w:color="auto"/>
      </w:divBdr>
    </w:div>
    <w:div w:id="169491140">
      <w:bodyDiv w:val="1"/>
      <w:marLeft w:val="0"/>
      <w:marRight w:val="0"/>
      <w:marTop w:val="0"/>
      <w:marBottom w:val="0"/>
      <w:divBdr>
        <w:top w:val="none" w:sz="0" w:space="0" w:color="auto"/>
        <w:left w:val="none" w:sz="0" w:space="0" w:color="auto"/>
        <w:bottom w:val="none" w:sz="0" w:space="0" w:color="auto"/>
        <w:right w:val="none" w:sz="0" w:space="0" w:color="auto"/>
      </w:divBdr>
    </w:div>
    <w:div w:id="188879204">
      <w:bodyDiv w:val="1"/>
      <w:marLeft w:val="0"/>
      <w:marRight w:val="0"/>
      <w:marTop w:val="0"/>
      <w:marBottom w:val="0"/>
      <w:divBdr>
        <w:top w:val="none" w:sz="0" w:space="0" w:color="auto"/>
        <w:left w:val="none" w:sz="0" w:space="0" w:color="auto"/>
        <w:bottom w:val="none" w:sz="0" w:space="0" w:color="auto"/>
        <w:right w:val="none" w:sz="0" w:space="0" w:color="auto"/>
      </w:divBdr>
    </w:div>
    <w:div w:id="219446527">
      <w:bodyDiv w:val="1"/>
      <w:marLeft w:val="0"/>
      <w:marRight w:val="0"/>
      <w:marTop w:val="0"/>
      <w:marBottom w:val="0"/>
      <w:divBdr>
        <w:top w:val="none" w:sz="0" w:space="0" w:color="auto"/>
        <w:left w:val="none" w:sz="0" w:space="0" w:color="auto"/>
        <w:bottom w:val="none" w:sz="0" w:space="0" w:color="auto"/>
        <w:right w:val="none" w:sz="0" w:space="0" w:color="auto"/>
      </w:divBdr>
    </w:div>
    <w:div w:id="223836782">
      <w:bodyDiv w:val="1"/>
      <w:marLeft w:val="0"/>
      <w:marRight w:val="0"/>
      <w:marTop w:val="0"/>
      <w:marBottom w:val="0"/>
      <w:divBdr>
        <w:top w:val="none" w:sz="0" w:space="0" w:color="auto"/>
        <w:left w:val="none" w:sz="0" w:space="0" w:color="auto"/>
        <w:bottom w:val="none" w:sz="0" w:space="0" w:color="auto"/>
        <w:right w:val="none" w:sz="0" w:space="0" w:color="auto"/>
      </w:divBdr>
    </w:div>
    <w:div w:id="228423359">
      <w:bodyDiv w:val="1"/>
      <w:marLeft w:val="0"/>
      <w:marRight w:val="0"/>
      <w:marTop w:val="0"/>
      <w:marBottom w:val="0"/>
      <w:divBdr>
        <w:top w:val="none" w:sz="0" w:space="0" w:color="auto"/>
        <w:left w:val="none" w:sz="0" w:space="0" w:color="auto"/>
        <w:bottom w:val="none" w:sz="0" w:space="0" w:color="auto"/>
        <w:right w:val="none" w:sz="0" w:space="0" w:color="auto"/>
      </w:divBdr>
    </w:div>
    <w:div w:id="241531889">
      <w:bodyDiv w:val="1"/>
      <w:marLeft w:val="0"/>
      <w:marRight w:val="0"/>
      <w:marTop w:val="0"/>
      <w:marBottom w:val="0"/>
      <w:divBdr>
        <w:top w:val="none" w:sz="0" w:space="0" w:color="auto"/>
        <w:left w:val="none" w:sz="0" w:space="0" w:color="auto"/>
        <w:bottom w:val="none" w:sz="0" w:space="0" w:color="auto"/>
        <w:right w:val="none" w:sz="0" w:space="0" w:color="auto"/>
      </w:divBdr>
    </w:div>
    <w:div w:id="255287288">
      <w:bodyDiv w:val="1"/>
      <w:marLeft w:val="0"/>
      <w:marRight w:val="0"/>
      <w:marTop w:val="0"/>
      <w:marBottom w:val="0"/>
      <w:divBdr>
        <w:top w:val="none" w:sz="0" w:space="0" w:color="auto"/>
        <w:left w:val="none" w:sz="0" w:space="0" w:color="auto"/>
        <w:bottom w:val="none" w:sz="0" w:space="0" w:color="auto"/>
        <w:right w:val="none" w:sz="0" w:space="0" w:color="auto"/>
      </w:divBdr>
    </w:div>
    <w:div w:id="263852893">
      <w:bodyDiv w:val="1"/>
      <w:marLeft w:val="0"/>
      <w:marRight w:val="0"/>
      <w:marTop w:val="0"/>
      <w:marBottom w:val="0"/>
      <w:divBdr>
        <w:top w:val="none" w:sz="0" w:space="0" w:color="auto"/>
        <w:left w:val="none" w:sz="0" w:space="0" w:color="auto"/>
        <w:bottom w:val="none" w:sz="0" w:space="0" w:color="auto"/>
        <w:right w:val="none" w:sz="0" w:space="0" w:color="auto"/>
      </w:divBdr>
    </w:div>
    <w:div w:id="274681368">
      <w:bodyDiv w:val="1"/>
      <w:marLeft w:val="0"/>
      <w:marRight w:val="0"/>
      <w:marTop w:val="0"/>
      <w:marBottom w:val="0"/>
      <w:divBdr>
        <w:top w:val="none" w:sz="0" w:space="0" w:color="auto"/>
        <w:left w:val="none" w:sz="0" w:space="0" w:color="auto"/>
        <w:bottom w:val="none" w:sz="0" w:space="0" w:color="auto"/>
        <w:right w:val="none" w:sz="0" w:space="0" w:color="auto"/>
      </w:divBdr>
    </w:div>
    <w:div w:id="314573686">
      <w:bodyDiv w:val="1"/>
      <w:marLeft w:val="0"/>
      <w:marRight w:val="0"/>
      <w:marTop w:val="0"/>
      <w:marBottom w:val="0"/>
      <w:divBdr>
        <w:top w:val="none" w:sz="0" w:space="0" w:color="auto"/>
        <w:left w:val="none" w:sz="0" w:space="0" w:color="auto"/>
        <w:bottom w:val="none" w:sz="0" w:space="0" w:color="auto"/>
        <w:right w:val="none" w:sz="0" w:space="0" w:color="auto"/>
      </w:divBdr>
    </w:div>
    <w:div w:id="316501377">
      <w:bodyDiv w:val="1"/>
      <w:marLeft w:val="0"/>
      <w:marRight w:val="0"/>
      <w:marTop w:val="0"/>
      <w:marBottom w:val="0"/>
      <w:divBdr>
        <w:top w:val="none" w:sz="0" w:space="0" w:color="auto"/>
        <w:left w:val="none" w:sz="0" w:space="0" w:color="auto"/>
        <w:bottom w:val="none" w:sz="0" w:space="0" w:color="auto"/>
        <w:right w:val="none" w:sz="0" w:space="0" w:color="auto"/>
      </w:divBdr>
    </w:div>
    <w:div w:id="343482761">
      <w:bodyDiv w:val="1"/>
      <w:marLeft w:val="0"/>
      <w:marRight w:val="0"/>
      <w:marTop w:val="0"/>
      <w:marBottom w:val="0"/>
      <w:divBdr>
        <w:top w:val="none" w:sz="0" w:space="0" w:color="auto"/>
        <w:left w:val="none" w:sz="0" w:space="0" w:color="auto"/>
        <w:bottom w:val="none" w:sz="0" w:space="0" w:color="auto"/>
        <w:right w:val="none" w:sz="0" w:space="0" w:color="auto"/>
      </w:divBdr>
    </w:div>
    <w:div w:id="348726039">
      <w:bodyDiv w:val="1"/>
      <w:marLeft w:val="0"/>
      <w:marRight w:val="0"/>
      <w:marTop w:val="0"/>
      <w:marBottom w:val="0"/>
      <w:divBdr>
        <w:top w:val="none" w:sz="0" w:space="0" w:color="auto"/>
        <w:left w:val="none" w:sz="0" w:space="0" w:color="auto"/>
        <w:bottom w:val="none" w:sz="0" w:space="0" w:color="auto"/>
        <w:right w:val="none" w:sz="0" w:space="0" w:color="auto"/>
      </w:divBdr>
    </w:div>
    <w:div w:id="351999668">
      <w:bodyDiv w:val="1"/>
      <w:marLeft w:val="0"/>
      <w:marRight w:val="0"/>
      <w:marTop w:val="0"/>
      <w:marBottom w:val="0"/>
      <w:divBdr>
        <w:top w:val="none" w:sz="0" w:space="0" w:color="auto"/>
        <w:left w:val="none" w:sz="0" w:space="0" w:color="auto"/>
        <w:bottom w:val="none" w:sz="0" w:space="0" w:color="auto"/>
        <w:right w:val="none" w:sz="0" w:space="0" w:color="auto"/>
      </w:divBdr>
    </w:div>
    <w:div w:id="352459932">
      <w:bodyDiv w:val="1"/>
      <w:marLeft w:val="0"/>
      <w:marRight w:val="0"/>
      <w:marTop w:val="0"/>
      <w:marBottom w:val="0"/>
      <w:divBdr>
        <w:top w:val="none" w:sz="0" w:space="0" w:color="auto"/>
        <w:left w:val="none" w:sz="0" w:space="0" w:color="auto"/>
        <w:bottom w:val="none" w:sz="0" w:space="0" w:color="auto"/>
        <w:right w:val="none" w:sz="0" w:space="0" w:color="auto"/>
      </w:divBdr>
    </w:div>
    <w:div w:id="354575803">
      <w:bodyDiv w:val="1"/>
      <w:marLeft w:val="0"/>
      <w:marRight w:val="0"/>
      <w:marTop w:val="0"/>
      <w:marBottom w:val="0"/>
      <w:divBdr>
        <w:top w:val="none" w:sz="0" w:space="0" w:color="auto"/>
        <w:left w:val="none" w:sz="0" w:space="0" w:color="auto"/>
        <w:bottom w:val="none" w:sz="0" w:space="0" w:color="auto"/>
        <w:right w:val="none" w:sz="0" w:space="0" w:color="auto"/>
      </w:divBdr>
    </w:div>
    <w:div w:id="355278274">
      <w:bodyDiv w:val="1"/>
      <w:marLeft w:val="0"/>
      <w:marRight w:val="0"/>
      <w:marTop w:val="0"/>
      <w:marBottom w:val="0"/>
      <w:divBdr>
        <w:top w:val="none" w:sz="0" w:space="0" w:color="auto"/>
        <w:left w:val="none" w:sz="0" w:space="0" w:color="auto"/>
        <w:bottom w:val="none" w:sz="0" w:space="0" w:color="auto"/>
        <w:right w:val="none" w:sz="0" w:space="0" w:color="auto"/>
      </w:divBdr>
    </w:div>
    <w:div w:id="358048166">
      <w:bodyDiv w:val="1"/>
      <w:marLeft w:val="0"/>
      <w:marRight w:val="0"/>
      <w:marTop w:val="0"/>
      <w:marBottom w:val="0"/>
      <w:divBdr>
        <w:top w:val="none" w:sz="0" w:space="0" w:color="auto"/>
        <w:left w:val="none" w:sz="0" w:space="0" w:color="auto"/>
        <w:bottom w:val="none" w:sz="0" w:space="0" w:color="auto"/>
        <w:right w:val="none" w:sz="0" w:space="0" w:color="auto"/>
      </w:divBdr>
    </w:div>
    <w:div w:id="367342608">
      <w:bodyDiv w:val="1"/>
      <w:marLeft w:val="0"/>
      <w:marRight w:val="0"/>
      <w:marTop w:val="0"/>
      <w:marBottom w:val="0"/>
      <w:divBdr>
        <w:top w:val="none" w:sz="0" w:space="0" w:color="auto"/>
        <w:left w:val="none" w:sz="0" w:space="0" w:color="auto"/>
        <w:bottom w:val="none" w:sz="0" w:space="0" w:color="auto"/>
        <w:right w:val="none" w:sz="0" w:space="0" w:color="auto"/>
      </w:divBdr>
    </w:div>
    <w:div w:id="401484360">
      <w:bodyDiv w:val="1"/>
      <w:marLeft w:val="0"/>
      <w:marRight w:val="0"/>
      <w:marTop w:val="0"/>
      <w:marBottom w:val="0"/>
      <w:divBdr>
        <w:top w:val="none" w:sz="0" w:space="0" w:color="auto"/>
        <w:left w:val="none" w:sz="0" w:space="0" w:color="auto"/>
        <w:bottom w:val="none" w:sz="0" w:space="0" w:color="auto"/>
        <w:right w:val="none" w:sz="0" w:space="0" w:color="auto"/>
      </w:divBdr>
    </w:div>
    <w:div w:id="408038763">
      <w:bodyDiv w:val="1"/>
      <w:marLeft w:val="0"/>
      <w:marRight w:val="0"/>
      <w:marTop w:val="0"/>
      <w:marBottom w:val="0"/>
      <w:divBdr>
        <w:top w:val="none" w:sz="0" w:space="0" w:color="auto"/>
        <w:left w:val="none" w:sz="0" w:space="0" w:color="auto"/>
        <w:bottom w:val="none" w:sz="0" w:space="0" w:color="auto"/>
        <w:right w:val="none" w:sz="0" w:space="0" w:color="auto"/>
      </w:divBdr>
    </w:div>
    <w:div w:id="414135690">
      <w:bodyDiv w:val="1"/>
      <w:marLeft w:val="0"/>
      <w:marRight w:val="0"/>
      <w:marTop w:val="0"/>
      <w:marBottom w:val="0"/>
      <w:divBdr>
        <w:top w:val="none" w:sz="0" w:space="0" w:color="auto"/>
        <w:left w:val="none" w:sz="0" w:space="0" w:color="auto"/>
        <w:bottom w:val="none" w:sz="0" w:space="0" w:color="auto"/>
        <w:right w:val="none" w:sz="0" w:space="0" w:color="auto"/>
      </w:divBdr>
    </w:div>
    <w:div w:id="430666344">
      <w:bodyDiv w:val="1"/>
      <w:marLeft w:val="0"/>
      <w:marRight w:val="0"/>
      <w:marTop w:val="0"/>
      <w:marBottom w:val="0"/>
      <w:divBdr>
        <w:top w:val="none" w:sz="0" w:space="0" w:color="auto"/>
        <w:left w:val="none" w:sz="0" w:space="0" w:color="auto"/>
        <w:bottom w:val="none" w:sz="0" w:space="0" w:color="auto"/>
        <w:right w:val="none" w:sz="0" w:space="0" w:color="auto"/>
      </w:divBdr>
    </w:div>
    <w:div w:id="437067946">
      <w:bodyDiv w:val="1"/>
      <w:marLeft w:val="0"/>
      <w:marRight w:val="0"/>
      <w:marTop w:val="0"/>
      <w:marBottom w:val="0"/>
      <w:divBdr>
        <w:top w:val="none" w:sz="0" w:space="0" w:color="auto"/>
        <w:left w:val="none" w:sz="0" w:space="0" w:color="auto"/>
        <w:bottom w:val="none" w:sz="0" w:space="0" w:color="auto"/>
        <w:right w:val="none" w:sz="0" w:space="0" w:color="auto"/>
      </w:divBdr>
    </w:div>
    <w:div w:id="446390988">
      <w:bodyDiv w:val="1"/>
      <w:marLeft w:val="0"/>
      <w:marRight w:val="0"/>
      <w:marTop w:val="0"/>
      <w:marBottom w:val="0"/>
      <w:divBdr>
        <w:top w:val="none" w:sz="0" w:space="0" w:color="auto"/>
        <w:left w:val="none" w:sz="0" w:space="0" w:color="auto"/>
        <w:bottom w:val="none" w:sz="0" w:space="0" w:color="auto"/>
        <w:right w:val="none" w:sz="0" w:space="0" w:color="auto"/>
      </w:divBdr>
    </w:div>
    <w:div w:id="457067966">
      <w:bodyDiv w:val="1"/>
      <w:marLeft w:val="0"/>
      <w:marRight w:val="0"/>
      <w:marTop w:val="0"/>
      <w:marBottom w:val="0"/>
      <w:divBdr>
        <w:top w:val="none" w:sz="0" w:space="0" w:color="auto"/>
        <w:left w:val="none" w:sz="0" w:space="0" w:color="auto"/>
        <w:bottom w:val="none" w:sz="0" w:space="0" w:color="auto"/>
        <w:right w:val="none" w:sz="0" w:space="0" w:color="auto"/>
      </w:divBdr>
    </w:div>
    <w:div w:id="458306564">
      <w:bodyDiv w:val="1"/>
      <w:marLeft w:val="0"/>
      <w:marRight w:val="0"/>
      <w:marTop w:val="0"/>
      <w:marBottom w:val="0"/>
      <w:divBdr>
        <w:top w:val="none" w:sz="0" w:space="0" w:color="auto"/>
        <w:left w:val="none" w:sz="0" w:space="0" w:color="auto"/>
        <w:bottom w:val="none" w:sz="0" w:space="0" w:color="auto"/>
        <w:right w:val="none" w:sz="0" w:space="0" w:color="auto"/>
      </w:divBdr>
    </w:div>
    <w:div w:id="486751001">
      <w:bodyDiv w:val="1"/>
      <w:marLeft w:val="0"/>
      <w:marRight w:val="0"/>
      <w:marTop w:val="0"/>
      <w:marBottom w:val="0"/>
      <w:divBdr>
        <w:top w:val="none" w:sz="0" w:space="0" w:color="auto"/>
        <w:left w:val="none" w:sz="0" w:space="0" w:color="auto"/>
        <w:bottom w:val="none" w:sz="0" w:space="0" w:color="auto"/>
        <w:right w:val="none" w:sz="0" w:space="0" w:color="auto"/>
      </w:divBdr>
    </w:div>
    <w:div w:id="494105954">
      <w:bodyDiv w:val="1"/>
      <w:marLeft w:val="0"/>
      <w:marRight w:val="0"/>
      <w:marTop w:val="0"/>
      <w:marBottom w:val="0"/>
      <w:divBdr>
        <w:top w:val="none" w:sz="0" w:space="0" w:color="auto"/>
        <w:left w:val="none" w:sz="0" w:space="0" w:color="auto"/>
        <w:bottom w:val="none" w:sz="0" w:space="0" w:color="auto"/>
        <w:right w:val="none" w:sz="0" w:space="0" w:color="auto"/>
      </w:divBdr>
    </w:div>
    <w:div w:id="512300332">
      <w:bodyDiv w:val="1"/>
      <w:marLeft w:val="0"/>
      <w:marRight w:val="0"/>
      <w:marTop w:val="0"/>
      <w:marBottom w:val="0"/>
      <w:divBdr>
        <w:top w:val="none" w:sz="0" w:space="0" w:color="auto"/>
        <w:left w:val="none" w:sz="0" w:space="0" w:color="auto"/>
        <w:bottom w:val="none" w:sz="0" w:space="0" w:color="auto"/>
        <w:right w:val="none" w:sz="0" w:space="0" w:color="auto"/>
      </w:divBdr>
    </w:div>
    <w:div w:id="525949101">
      <w:bodyDiv w:val="1"/>
      <w:marLeft w:val="0"/>
      <w:marRight w:val="0"/>
      <w:marTop w:val="0"/>
      <w:marBottom w:val="0"/>
      <w:divBdr>
        <w:top w:val="none" w:sz="0" w:space="0" w:color="auto"/>
        <w:left w:val="none" w:sz="0" w:space="0" w:color="auto"/>
        <w:bottom w:val="none" w:sz="0" w:space="0" w:color="auto"/>
        <w:right w:val="none" w:sz="0" w:space="0" w:color="auto"/>
      </w:divBdr>
    </w:div>
    <w:div w:id="540746226">
      <w:bodyDiv w:val="1"/>
      <w:marLeft w:val="0"/>
      <w:marRight w:val="0"/>
      <w:marTop w:val="0"/>
      <w:marBottom w:val="0"/>
      <w:divBdr>
        <w:top w:val="none" w:sz="0" w:space="0" w:color="auto"/>
        <w:left w:val="none" w:sz="0" w:space="0" w:color="auto"/>
        <w:bottom w:val="none" w:sz="0" w:space="0" w:color="auto"/>
        <w:right w:val="none" w:sz="0" w:space="0" w:color="auto"/>
      </w:divBdr>
    </w:div>
    <w:div w:id="552542277">
      <w:bodyDiv w:val="1"/>
      <w:marLeft w:val="0"/>
      <w:marRight w:val="0"/>
      <w:marTop w:val="0"/>
      <w:marBottom w:val="0"/>
      <w:divBdr>
        <w:top w:val="none" w:sz="0" w:space="0" w:color="auto"/>
        <w:left w:val="none" w:sz="0" w:space="0" w:color="auto"/>
        <w:bottom w:val="none" w:sz="0" w:space="0" w:color="auto"/>
        <w:right w:val="none" w:sz="0" w:space="0" w:color="auto"/>
      </w:divBdr>
    </w:div>
    <w:div w:id="569968429">
      <w:bodyDiv w:val="1"/>
      <w:marLeft w:val="0"/>
      <w:marRight w:val="0"/>
      <w:marTop w:val="0"/>
      <w:marBottom w:val="0"/>
      <w:divBdr>
        <w:top w:val="none" w:sz="0" w:space="0" w:color="auto"/>
        <w:left w:val="none" w:sz="0" w:space="0" w:color="auto"/>
        <w:bottom w:val="none" w:sz="0" w:space="0" w:color="auto"/>
        <w:right w:val="none" w:sz="0" w:space="0" w:color="auto"/>
      </w:divBdr>
    </w:div>
    <w:div w:id="579488397">
      <w:bodyDiv w:val="1"/>
      <w:marLeft w:val="0"/>
      <w:marRight w:val="0"/>
      <w:marTop w:val="0"/>
      <w:marBottom w:val="0"/>
      <w:divBdr>
        <w:top w:val="none" w:sz="0" w:space="0" w:color="auto"/>
        <w:left w:val="none" w:sz="0" w:space="0" w:color="auto"/>
        <w:bottom w:val="none" w:sz="0" w:space="0" w:color="auto"/>
        <w:right w:val="none" w:sz="0" w:space="0" w:color="auto"/>
      </w:divBdr>
    </w:div>
    <w:div w:id="592779882">
      <w:bodyDiv w:val="1"/>
      <w:marLeft w:val="0"/>
      <w:marRight w:val="0"/>
      <w:marTop w:val="0"/>
      <w:marBottom w:val="0"/>
      <w:divBdr>
        <w:top w:val="none" w:sz="0" w:space="0" w:color="auto"/>
        <w:left w:val="none" w:sz="0" w:space="0" w:color="auto"/>
        <w:bottom w:val="none" w:sz="0" w:space="0" w:color="auto"/>
        <w:right w:val="none" w:sz="0" w:space="0" w:color="auto"/>
      </w:divBdr>
    </w:div>
    <w:div w:id="595945674">
      <w:bodyDiv w:val="1"/>
      <w:marLeft w:val="0"/>
      <w:marRight w:val="0"/>
      <w:marTop w:val="0"/>
      <w:marBottom w:val="0"/>
      <w:divBdr>
        <w:top w:val="none" w:sz="0" w:space="0" w:color="auto"/>
        <w:left w:val="none" w:sz="0" w:space="0" w:color="auto"/>
        <w:bottom w:val="none" w:sz="0" w:space="0" w:color="auto"/>
        <w:right w:val="none" w:sz="0" w:space="0" w:color="auto"/>
      </w:divBdr>
    </w:div>
    <w:div w:id="612522324">
      <w:bodyDiv w:val="1"/>
      <w:marLeft w:val="0"/>
      <w:marRight w:val="0"/>
      <w:marTop w:val="0"/>
      <w:marBottom w:val="0"/>
      <w:divBdr>
        <w:top w:val="none" w:sz="0" w:space="0" w:color="auto"/>
        <w:left w:val="none" w:sz="0" w:space="0" w:color="auto"/>
        <w:bottom w:val="none" w:sz="0" w:space="0" w:color="auto"/>
        <w:right w:val="none" w:sz="0" w:space="0" w:color="auto"/>
      </w:divBdr>
    </w:div>
    <w:div w:id="642202134">
      <w:bodyDiv w:val="1"/>
      <w:marLeft w:val="0"/>
      <w:marRight w:val="0"/>
      <w:marTop w:val="0"/>
      <w:marBottom w:val="0"/>
      <w:divBdr>
        <w:top w:val="none" w:sz="0" w:space="0" w:color="auto"/>
        <w:left w:val="none" w:sz="0" w:space="0" w:color="auto"/>
        <w:bottom w:val="none" w:sz="0" w:space="0" w:color="auto"/>
        <w:right w:val="none" w:sz="0" w:space="0" w:color="auto"/>
      </w:divBdr>
    </w:div>
    <w:div w:id="649796081">
      <w:bodyDiv w:val="1"/>
      <w:marLeft w:val="0"/>
      <w:marRight w:val="0"/>
      <w:marTop w:val="0"/>
      <w:marBottom w:val="0"/>
      <w:divBdr>
        <w:top w:val="none" w:sz="0" w:space="0" w:color="auto"/>
        <w:left w:val="none" w:sz="0" w:space="0" w:color="auto"/>
        <w:bottom w:val="none" w:sz="0" w:space="0" w:color="auto"/>
        <w:right w:val="none" w:sz="0" w:space="0" w:color="auto"/>
      </w:divBdr>
    </w:div>
    <w:div w:id="681512431">
      <w:bodyDiv w:val="1"/>
      <w:marLeft w:val="0"/>
      <w:marRight w:val="0"/>
      <w:marTop w:val="0"/>
      <w:marBottom w:val="0"/>
      <w:divBdr>
        <w:top w:val="none" w:sz="0" w:space="0" w:color="auto"/>
        <w:left w:val="none" w:sz="0" w:space="0" w:color="auto"/>
        <w:bottom w:val="none" w:sz="0" w:space="0" w:color="auto"/>
        <w:right w:val="none" w:sz="0" w:space="0" w:color="auto"/>
      </w:divBdr>
    </w:div>
    <w:div w:id="682165754">
      <w:bodyDiv w:val="1"/>
      <w:marLeft w:val="0"/>
      <w:marRight w:val="0"/>
      <w:marTop w:val="0"/>
      <w:marBottom w:val="0"/>
      <w:divBdr>
        <w:top w:val="none" w:sz="0" w:space="0" w:color="auto"/>
        <w:left w:val="none" w:sz="0" w:space="0" w:color="auto"/>
        <w:bottom w:val="none" w:sz="0" w:space="0" w:color="auto"/>
        <w:right w:val="none" w:sz="0" w:space="0" w:color="auto"/>
      </w:divBdr>
    </w:div>
    <w:div w:id="689725950">
      <w:bodyDiv w:val="1"/>
      <w:marLeft w:val="0"/>
      <w:marRight w:val="0"/>
      <w:marTop w:val="0"/>
      <w:marBottom w:val="0"/>
      <w:divBdr>
        <w:top w:val="none" w:sz="0" w:space="0" w:color="auto"/>
        <w:left w:val="none" w:sz="0" w:space="0" w:color="auto"/>
        <w:bottom w:val="none" w:sz="0" w:space="0" w:color="auto"/>
        <w:right w:val="none" w:sz="0" w:space="0" w:color="auto"/>
      </w:divBdr>
    </w:div>
    <w:div w:id="707072874">
      <w:bodyDiv w:val="1"/>
      <w:marLeft w:val="0"/>
      <w:marRight w:val="0"/>
      <w:marTop w:val="0"/>
      <w:marBottom w:val="0"/>
      <w:divBdr>
        <w:top w:val="none" w:sz="0" w:space="0" w:color="auto"/>
        <w:left w:val="none" w:sz="0" w:space="0" w:color="auto"/>
        <w:bottom w:val="none" w:sz="0" w:space="0" w:color="auto"/>
        <w:right w:val="none" w:sz="0" w:space="0" w:color="auto"/>
      </w:divBdr>
    </w:div>
    <w:div w:id="739984517">
      <w:bodyDiv w:val="1"/>
      <w:marLeft w:val="0"/>
      <w:marRight w:val="0"/>
      <w:marTop w:val="0"/>
      <w:marBottom w:val="0"/>
      <w:divBdr>
        <w:top w:val="none" w:sz="0" w:space="0" w:color="auto"/>
        <w:left w:val="none" w:sz="0" w:space="0" w:color="auto"/>
        <w:bottom w:val="none" w:sz="0" w:space="0" w:color="auto"/>
        <w:right w:val="none" w:sz="0" w:space="0" w:color="auto"/>
      </w:divBdr>
    </w:div>
    <w:div w:id="756023959">
      <w:bodyDiv w:val="1"/>
      <w:marLeft w:val="0"/>
      <w:marRight w:val="0"/>
      <w:marTop w:val="0"/>
      <w:marBottom w:val="0"/>
      <w:divBdr>
        <w:top w:val="none" w:sz="0" w:space="0" w:color="auto"/>
        <w:left w:val="none" w:sz="0" w:space="0" w:color="auto"/>
        <w:bottom w:val="none" w:sz="0" w:space="0" w:color="auto"/>
        <w:right w:val="none" w:sz="0" w:space="0" w:color="auto"/>
      </w:divBdr>
    </w:div>
    <w:div w:id="758335420">
      <w:bodyDiv w:val="1"/>
      <w:marLeft w:val="0"/>
      <w:marRight w:val="0"/>
      <w:marTop w:val="0"/>
      <w:marBottom w:val="0"/>
      <w:divBdr>
        <w:top w:val="none" w:sz="0" w:space="0" w:color="auto"/>
        <w:left w:val="none" w:sz="0" w:space="0" w:color="auto"/>
        <w:bottom w:val="none" w:sz="0" w:space="0" w:color="auto"/>
        <w:right w:val="none" w:sz="0" w:space="0" w:color="auto"/>
      </w:divBdr>
    </w:div>
    <w:div w:id="762188097">
      <w:bodyDiv w:val="1"/>
      <w:marLeft w:val="0"/>
      <w:marRight w:val="0"/>
      <w:marTop w:val="0"/>
      <w:marBottom w:val="0"/>
      <w:divBdr>
        <w:top w:val="none" w:sz="0" w:space="0" w:color="auto"/>
        <w:left w:val="none" w:sz="0" w:space="0" w:color="auto"/>
        <w:bottom w:val="none" w:sz="0" w:space="0" w:color="auto"/>
        <w:right w:val="none" w:sz="0" w:space="0" w:color="auto"/>
      </w:divBdr>
    </w:div>
    <w:div w:id="773016638">
      <w:bodyDiv w:val="1"/>
      <w:marLeft w:val="0"/>
      <w:marRight w:val="0"/>
      <w:marTop w:val="0"/>
      <w:marBottom w:val="0"/>
      <w:divBdr>
        <w:top w:val="none" w:sz="0" w:space="0" w:color="auto"/>
        <w:left w:val="none" w:sz="0" w:space="0" w:color="auto"/>
        <w:bottom w:val="none" w:sz="0" w:space="0" w:color="auto"/>
        <w:right w:val="none" w:sz="0" w:space="0" w:color="auto"/>
      </w:divBdr>
    </w:div>
    <w:div w:id="779762859">
      <w:bodyDiv w:val="1"/>
      <w:marLeft w:val="0"/>
      <w:marRight w:val="0"/>
      <w:marTop w:val="0"/>
      <w:marBottom w:val="0"/>
      <w:divBdr>
        <w:top w:val="none" w:sz="0" w:space="0" w:color="auto"/>
        <w:left w:val="none" w:sz="0" w:space="0" w:color="auto"/>
        <w:bottom w:val="none" w:sz="0" w:space="0" w:color="auto"/>
        <w:right w:val="none" w:sz="0" w:space="0" w:color="auto"/>
      </w:divBdr>
    </w:div>
    <w:div w:id="790633748">
      <w:bodyDiv w:val="1"/>
      <w:marLeft w:val="0"/>
      <w:marRight w:val="0"/>
      <w:marTop w:val="0"/>
      <w:marBottom w:val="0"/>
      <w:divBdr>
        <w:top w:val="none" w:sz="0" w:space="0" w:color="auto"/>
        <w:left w:val="none" w:sz="0" w:space="0" w:color="auto"/>
        <w:bottom w:val="none" w:sz="0" w:space="0" w:color="auto"/>
        <w:right w:val="none" w:sz="0" w:space="0" w:color="auto"/>
      </w:divBdr>
    </w:div>
    <w:div w:id="794058372">
      <w:bodyDiv w:val="1"/>
      <w:marLeft w:val="0"/>
      <w:marRight w:val="0"/>
      <w:marTop w:val="0"/>
      <w:marBottom w:val="0"/>
      <w:divBdr>
        <w:top w:val="none" w:sz="0" w:space="0" w:color="auto"/>
        <w:left w:val="none" w:sz="0" w:space="0" w:color="auto"/>
        <w:bottom w:val="none" w:sz="0" w:space="0" w:color="auto"/>
        <w:right w:val="none" w:sz="0" w:space="0" w:color="auto"/>
      </w:divBdr>
    </w:div>
    <w:div w:id="800149754">
      <w:bodyDiv w:val="1"/>
      <w:marLeft w:val="0"/>
      <w:marRight w:val="0"/>
      <w:marTop w:val="0"/>
      <w:marBottom w:val="0"/>
      <w:divBdr>
        <w:top w:val="none" w:sz="0" w:space="0" w:color="auto"/>
        <w:left w:val="none" w:sz="0" w:space="0" w:color="auto"/>
        <w:bottom w:val="none" w:sz="0" w:space="0" w:color="auto"/>
        <w:right w:val="none" w:sz="0" w:space="0" w:color="auto"/>
      </w:divBdr>
    </w:div>
    <w:div w:id="800226421">
      <w:bodyDiv w:val="1"/>
      <w:marLeft w:val="0"/>
      <w:marRight w:val="0"/>
      <w:marTop w:val="0"/>
      <w:marBottom w:val="0"/>
      <w:divBdr>
        <w:top w:val="none" w:sz="0" w:space="0" w:color="auto"/>
        <w:left w:val="none" w:sz="0" w:space="0" w:color="auto"/>
        <w:bottom w:val="none" w:sz="0" w:space="0" w:color="auto"/>
        <w:right w:val="none" w:sz="0" w:space="0" w:color="auto"/>
      </w:divBdr>
    </w:div>
    <w:div w:id="804348194">
      <w:bodyDiv w:val="1"/>
      <w:marLeft w:val="0"/>
      <w:marRight w:val="0"/>
      <w:marTop w:val="0"/>
      <w:marBottom w:val="0"/>
      <w:divBdr>
        <w:top w:val="none" w:sz="0" w:space="0" w:color="auto"/>
        <w:left w:val="none" w:sz="0" w:space="0" w:color="auto"/>
        <w:bottom w:val="none" w:sz="0" w:space="0" w:color="auto"/>
        <w:right w:val="none" w:sz="0" w:space="0" w:color="auto"/>
      </w:divBdr>
    </w:div>
    <w:div w:id="818112564">
      <w:bodyDiv w:val="1"/>
      <w:marLeft w:val="0"/>
      <w:marRight w:val="0"/>
      <w:marTop w:val="0"/>
      <w:marBottom w:val="0"/>
      <w:divBdr>
        <w:top w:val="none" w:sz="0" w:space="0" w:color="auto"/>
        <w:left w:val="none" w:sz="0" w:space="0" w:color="auto"/>
        <w:bottom w:val="none" w:sz="0" w:space="0" w:color="auto"/>
        <w:right w:val="none" w:sz="0" w:space="0" w:color="auto"/>
      </w:divBdr>
    </w:div>
    <w:div w:id="839656910">
      <w:bodyDiv w:val="1"/>
      <w:marLeft w:val="0"/>
      <w:marRight w:val="0"/>
      <w:marTop w:val="0"/>
      <w:marBottom w:val="0"/>
      <w:divBdr>
        <w:top w:val="none" w:sz="0" w:space="0" w:color="auto"/>
        <w:left w:val="none" w:sz="0" w:space="0" w:color="auto"/>
        <w:bottom w:val="none" w:sz="0" w:space="0" w:color="auto"/>
        <w:right w:val="none" w:sz="0" w:space="0" w:color="auto"/>
      </w:divBdr>
    </w:div>
    <w:div w:id="852184812">
      <w:bodyDiv w:val="1"/>
      <w:marLeft w:val="0"/>
      <w:marRight w:val="0"/>
      <w:marTop w:val="0"/>
      <w:marBottom w:val="0"/>
      <w:divBdr>
        <w:top w:val="none" w:sz="0" w:space="0" w:color="auto"/>
        <w:left w:val="none" w:sz="0" w:space="0" w:color="auto"/>
        <w:bottom w:val="none" w:sz="0" w:space="0" w:color="auto"/>
        <w:right w:val="none" w:sz="0" w:space="0" w:color="auto"/>
      </w:divBdr>
    </w:div>
    <w:div w:id="854421711">
      <w:bodyDiv w:val="1"/>
      <w:marLeft w:val="0"/>
      <w:marRight w:val="0"/>
      <w:marTop w:val="0"/>
      <w:marBottom w:val="0"/>
      <w:divBdr>
        <w:top w:val="none" w:sz="0" w:space="0" w:color="auto"/>
        <w:left w:val="none" w:sz="0" w:space="0" w:color="auto"/>
        <w:bottom w:val="none" w:sz="0" w:space="0" w:color="auto"/>
        <w:right w:val="none" w:sz="0" w:space="0" w:color="auto"/>
      </w:divBdr>
    </w:div>
    <w:div w:id="858474190">
      <w:bodyDiv w:val="1"/>
      <w:marLeft w:val="0"/>
      <w:marRight w:val="0"/>
      <w:marTop w:val="0"/>
      <w:marBottom w:val="0"/>
      <w:divBdr>
        <w:top w:val="none" w:sz="0" w:space="0" w:color="auto"/>
        <w:left w:val="none" w:sz="0" w:space="0" w:color="auto"/>
        <w:bottom w:val="none" w:sz="0" w:space="0" w:color="auto"/>
        <w:right w:val="none" w:sz="0" w:space="0" w:color="auto"/>
      </w:divBdr>
    </w:div>
    <w:div w:id="901596649">
      <w:bodyDiv w:val="1"/>
      <w:marLeft w:val="0"/>
      <w:marRight w:val="0"/>
      <w:marTop w:val="0"/>
      <w:marBottom w:val="0"/>
      <w:divBdr>
        <w:top w:val="none" w:sz="0" w:space="0" w:color="auto"/>
        <w:left w:val="none" w:sz="0" w:space="0" w:color="auto"/>
        <w:bottom w:val="none" w:sz="0" w:space="0" w:color="auto"/>
        <w:right w:val="none" w:sz="0" w:space="0" w:color="auto"/>
      </w:divBdr>
    </w:div>
    <w:div w:id="907501375">
      <w:bodyDiv w:val="1"/>
      <w:marLeft w:val="0"/>
      <w:marRight w:val="0"/>
      <w:marTop w:val="0"/>
      <w:marBottom w:val="0"/>
      <w:divBdr>
        <w:top w:val="none" w:sz="0" w:space="0" w:color="auto"/>
        <w:left w:val="none" w:sz="0" w:space="0" w:color="auto"/>
        <w:bottom w:val="none" w:sz="0" w:space="0" w:color="auto"/>
        <w:right w:val="none" w:sz="0" w:space="0" w:color="auto"/>
      </w:divBdr>
    </w:div>
    <w:div w:id="930897660">
      <w:bodyDiv w:val="1"/>
      <w:marLeft w:val="0"/>
      <w:marRight w:val="0"/>
      <w:marTop w:val="0"/>
      <w:marBottom w:val="0"/>
      <w:divBdr>
        <w:top w:val="none" w:sz="0" w:space="0" w:color="auto"/>
        <w:left w:val="none" w:sz="0" w:space="0" w:color="auto"/>
        <w:bottom w:val="none" w:sz="0" w:space="0" w:color="auto"/>
        <w:right w:val="none" w:sz="0" w:space="0" w:color="auto"/>
      </w:divBdr>
    </w:div>
    <w:div w:id="940650140">
      <w:bodyDiv w:val="1"/>
      <w:marLeft w:val="0"/>
      <w:marRight w:val="0"/>
      <w:marTop w:val="0"/>
      <w:marBottom w:val="0"/>
      <w:divBdr>
        <w:top w:val="none" w:sz="0" w:space="0" w:color="auto"/>
        <w:left w:val="none" w:sz="0" w:space="0" w:color="auto"/>
        <w:bottom w:val="none" w:sz="0" w:space="0" w:color="auto"/>
        <w:right w:val="none" w:sz="0" w:space="0" w:color="auto"/>
      </w:divBdr>
    </w:div>
    <w:div w:id="991638218">
      <w:bodyDiv w:val="1"/>
      <w:marLeft w:val="0"/>
      <w:marRight w:val="0"/>
      <w:marTop w:val="0"/>
      <w:marBottom w:val="0"/>
      <w:divBdr>
        <w:top w:val="none" w:sz="0" w:space="0" w:color="auto"/>
        <w:left w:val="none" w:sz="0" w:space="0" w:color="auto"/>
        <w:bottom w:val="none" w:sz="0" w:space="0" w:color="auto"/>
        <w:right w:val="none" w:sz="0" w:space="0" w:color="auto"/>
      </w:divBdr>
    </w:div>
    <w:div w:id="1034579857">
      <w:bodyDiv w:val="1"/>
      <w:marLeft w:val="0"/>
      <w:marRight w:val="0"/>
      <w:marTop w:val="0"/>
      <w:marBottom w:val="0"/>
      <w:divBdr>
        <w:top w:val="none" w:sz="0" w:space="0" w:color="auto"/>
        <w:left w:val="none" w:sz="0" w:space="0" w:color="auto"/>
        <w:bottom w:val="none" w:sz="0" w:space="0" w:color="auto"/>
        <w:right w:val="none" w:sz="0" w:space="0" w:color="auto"/>
      </w:divBdr>
    </w:div>
    <w:div w:id="105816346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060902407">
      <w:bodyDiv w:val="1"/>
      <w:marLeft w:val="0"/>
      <w:marRight w:val="0"/>
      <w:marTop w:val="0"/>
      <w:marBottom w:val="0"/>
      <w:divBdr>
        <w:top w:val="none" w:sz="0" w:space="0" w:color="auto"/>
        <w:left w:val="none" w:sz="0" w:space="0" w:color="auto"/>
        <w:bottom w:val="none" w:sz="0" w:space="0" w:color="auto"/>
        <w:right w:val="none" w:sz="0" w:space="0" w:color="auto"/>
      </w:divBdr>
    </w:div>
    <w:div w:id="1066100330">
      <w:bodyDiv w:val="1"/>
      <w:marLeft w:val="0"/>
      <w:marRight w:val="0"/>
      <w:marTop w:val="0"/>
      <w:marBottom w:val="0"/>
      <w:divBdr>
        <w:top w:val="none" w:sz="0" w:space="0" w:color="auto"/>
        <w:left w:val="none" w:sz="0" w:space="0" w:color="auto"/>
        <w:bottom w:val="none" w:sz="0" w:space="0" w:color="auto"/>
        <w:right w:val="none" w:sz="0" w:space="0" w:color="auto"/>
      </w:divBdr>
    </w:div>
    <w:div w:id="1078670403">
      <w:bodyDiv w:val="1"/>
      <w:marLeft w:val="0"/>
      <w:marRight w:val="0"/>
      <w:marTop w:val="0"/>
      <w:marBottom w:val="0"/>
      <w:divBdr>
        <w:top w:val="none" w:sz="0" w:space="0" w:color="auto"/>
        <w:left w:val="none" w:sz="0" w:space="0" w:color="auto"/>
        <w:bottom w:val="none" w:sz="0" w:space="0" w:color="auto"/>
        <w:right w:val="none" w:sz="0" w:space="0" w:color="auto"/>
      </w:divBdr>
    </w:div>
    <w:div w:id="1127314976">
      <w:bodyDiv w:val="1"/>
      <w:marLeft w:val="0"/>
      <w:marRight w:val="0"/>
      <w:marTop w:val="0"/>
      <w:marBottom w:val="0"/>
      <w:divBdr>
        <w:top w:val="none" w:sz="0" w:space="0" w:color="auto"/>
        <w:left w:val="none" w:sz="0" w:space="0" w:color="auto"/>
        <w:bottom w:val="none" w:sz="0" w:space="0" w:color="auto"/>
        <w:right w:val="none" w:sz="0" w:space="0" w:color="auto"/>
      </w:divBdr>
    </w:div>
    <w:div w:id="1135368888">
      <w:bodyDiv w:val="1"/>
      <w:marLeft w:val="0"/>
      <w:marRight w:val="0"/>
      <w:marTop w:val="0"/>
      <w:marBottom w:val="0"/>
      <w:divBdr>
        <w:top w:val="none" w:sz="0" w:space="0" w:color="auto"/>
        <w:left w:val="none" w:sz="0" w:space="0" w:color="auto"/>
        <w:bottom w:val="none" w:sz="0" w:space="0" w:color="auto"/>
        <w:right w:val="none" w:sz="0" w:space="0" w:color="auto"/>
      </w:divBdr>
    </w:div>
    <w:div w:id="1148205110">
      <w:bodyDiv w:val="1"/>
      <w:marLeft w:val="0"/>
      <w:marRight w:val="0"/>
      <w:marTop w:val="0"/>
      <w:marBottom w:val="0"/>
      <w:divBdr>
        <w:top w:val="none" w:sz="0" w:space="0" w:color="auto"/>
        <w:left w:val="none" w:sz="0" w:space="0" w:color="auto"/>
        <w:bottom w:val="none" w:sz="0" w:space="0" w:color="auto"/>
        <w:right w:val="none" w:sz="0" w:space="0" w:color="auto"/>
      </w:divBdr>
    </w:div>
    <w:div w:id="1150831354">
      <w:bodyDiv w:val="1"/>
      <w:marLeft w:val="0"/>
      <w:marRight w:val="0"/>
      <w:marTop w:val="0"/>
      <w:marBottom w:val="0"/>
      <w:divBdr>
        <w:top w:val="none" w:sz="0" w:space="0" w:color="auto"/>
        <w:left w:val="none" w:sz="0" w:space="0" w:color="auto"/>
        <w:bottom w:val="none" w:sz="0" w:space="0" w:color="auto"/>
        <w:right w:val="none" w:sz="0" w:space="0" w:color="auto"/>
      </w:divBdr>
    </w:div>
    <w:div w:id="1191652175">
      <w:bodyDiv w:val="1"/>
      <w:marLeft w:val="0"/>
      <w:marRight w:val="0"/>
      <w:marTop w:val="0"/>
      <w:marBottom w:val="0"/>
      <w:divBdr>
        <w:top w:val="none" w:sz="0" w:space="0" w:color="auto"/>
        <w:left w:val="none" w:sz="0" w:space="0" w:color="auto"/>
        <w:bottom w:val="none" w:sz="0" w:space="0" w:color="auto"/>
        <w:right w:val="none" w:sz="0" w:space="0" w:color="auto"/>
      </w:divBdr>
    </w:div>
    <w:div w:id="1237319939">
      <w:bodyDiv w:val="1"/>
      <w:marLeft w:val="0"/>
      <w:marRight w:val="0"/>
      <w:marTop w:val="0"/>
      <w:marBottom w:val="0"/>
      <w:divBdr>
        <w:top w:val="none" w:sz="0" w:space="0" w:color="auto"/>
        <w:left w:val="none" w:sz="0" w:space="0" w:color="auto"/>
        <w:bottom w:val="none" w:sz="0" w:space="0" w:color="auto"/>
        <w:right w:val="none" w:sz="0" w:space="0" w:color="auto"/>
      </w:divBdr>
    </w:div>
    <w:div w:id="1247306210">
      <w:bodyDiv w:val="1"/>
      <w:marLeft w:val="0"/>
      <w:marRight w:val="0"/>
      <w:marTop w:val="0"/>
      <w:marBottom w:val="0"/>
      <w:divBdr>
        <w:top w:val="none" w:sz="0" w:space="0" w:color="auto"/>
        <w:left w:val="none" w:sz="0" w:space="0" w:color="auto"/>
        <w:bottom w:val="none" w:sz="0" w:space="0" w:color="auto"/>
        <w:right w:val="none" w:sz="0" w:space="0" w:color="auto"/>
      </w:divBdr>
    </w:div>
    <w:div w:id="1256282037">
      <w:bodyDiv w:val="1"/>
      <w:marLeft w:val="0"/>
      <w:marRight w:val="0"/>
      <w:marTop w:val="0"/>
      <w:marBottom w:val="0"/>
      <w:divBdr>
        <w:top w:val="none" w:sz="0" w:space="0" w:color="auto"/>
        <w:left w:val="none" w:sz="0" w:space="0" w:color="auto"/>
        <w:bottom w:val="none" w:sz="0" w:space="0" w:color="auto"/>
        <w:right w:val="none" w:sz="0" w:space="0" w:color="auto"/>
      </w:divBdr>
    </w:div>
    <w:div w:id="1257523387">
      <w:bodyDiv w:val="1"/>
      <w:marLeft w:val="0"/>
      <w:marRight w:val="0"/>
      <w:marTop w:val="0"/>
      <w:marBottom w:val="0"/>
      <w:divBdr>
        <w:top w:val="none" w:sz="0" w:space="0" w:color="auto"/>
        <w:left w:val="none" w:sz="0" w:space="0" w:color="auto"/>
        <w:bottom w:val="none" w:sz="0" w:space="0" w:color="auto"/>
        <w:right w:val="none" w:sz="0" w:space="0" w:color="auto"/>
      </w:divBdr>
    </w:div>
    <w:div w:id="1294411294">
      <w:bodyDiv w:val="1"/>
      <w:marLeft w:val="0"/>
      <w:marRight w:val="0"/>
      <w:marTop w:val="0"/>
      <w:marBottom w:val="0"/>
      <w:divBdr>
        <w:top w:val="none" w:sz="0" w:space="0" w:color="auto"/>
        <w:left w:val="none" w:sz="0" w:space="0" w:color="auto"/>
        <w:bottom w:val="none" w:sz="0" w:space="0" w:color="auto"/>
        <w:right w:val="none" w:sz="0" w:space="0" w:color="auto"/>
      </w:divBdr>
    </w:div>
    <w:div w:id="1297182368">
      <w:bodyDiv w:val="1"/>
      <w:marLeft w:val="0"/>
      <w:marRight w:val="0"/>
      <w:marTop w:val="0"/>
      <w:marBottom w:val="0"/>
      <w:divBdr>
        <w:top w:val="none" w:sz="0" w:space="0" w:color="auto"/>
        <w:left w:val="none" w:sz="0" w:space="0" w:color="auto"/>
        <w:bottom w:val="none" w:sz="0" w:space="0" w:color="auto"/>
        <w:right w:val="none" w:sz="0" w:space="0" w:color="auto"/>
      </w:divBdr>
    </w:div>
    <w:div w:id="1298296419">
      <w:bodyDiv w:val="1"/>
      <w:marLeft w:val="0"/>
      <w:marRight w:val="0"/>
      <w:marTop w:val="0"/>
      <w:marBottom w:val="0"/>
      <w:divBdr>
        <w:top w:val="none" w:sz="0" w:space="0" w:color="auto"/>
        <w:left w:val="none" w:sz="0" w:space="0" w:color="auto"/>
        <w:bottom w:val="none" w:sz="0" w:space="0" w:color="auto"/>
        <w:right w:val="none" w:sz="0" w:space="0" w:color="auto"/>
      </w:divBdr>
    </w:div>
    <w:div w:id="1307205320">
      <w:bodyDiv w:val="1"/>
      <w:marLeft w:val="0"/>
      <w:marRight w:val="0"/>
      <w:marTop w:val="0"/>
      <w:marBottom w:val="0"/>
      <w:divBdr>
        <w:top w:val="none" w:sz="0" w:space="0" w:color="auto"/>
        <w:left w:val="none" w:sz="0" w:space="0" w:color="auto"/>
        <w:bottom w:val="none" w:sz="0" w:space="0" w:color="auto"/>
        <w:right w:val="none" w:sz="0" w:space="0" w:color="auto"/>
      </w:divBdr>
    </w:div>
    <w:div w:id="1308708908">
      <w:bodyDiv w:val="1"/>
      <w:marLeft w:val="0"/>
      <w:marRight w:val="0"/>
      <w:marTop w:val="0"/>
      <w:marBottom w:val="0"/>
      <w:divBdr>
        <w:top w:val="none" w:sz="0" w:space="0" w:color="auto"/>
        <w:left w:val="none" w:sz="0" w:space="0" w:color="auto"/>
        <w:bottom w:val="none" w:sz="0" w:space="0" w:color="auto"/>
        <w:right w:val="none" w:sz="0" w:space="0" w:color="auto"/>
      </w:divBdr>
    </w:div>
    <w:div w:id="1311132637">
      <w:bodyDiv w:val="1"/>
      <w:marLeft w:val="0"/>
      <w:marRight w:val="0"/>
      <w:marTop w:val="0"/>
      <w:marBottom w:val="0"/>
      <w:divBdr>
        <w:top w:val="none" w:sz="0" w:space="0" w:color="auto"/>
        <w:left w:val="none" w:sz="0" w:space="0" w:color="auto"/>
        <w:bottom w:val="none" w:sz="0" w:space="0" w:color="auto"/>
        <w:right w:val="none" w:sz="0" w:space="0" w:color="auto"/>
      </w:divBdr>
    </w:div>
    <w:div w:id="1320384005">
      <w:bodyDiv w:val="1"/>
      <w:marLeft w:val="0"/>
      <w:marRight w:val="0"/>
      <w:marTop w:val="0"/>
      <w:marBottom w:val="0"/>
      <w:divBdr>
        <w:top w:val="none" w:sz="0" w:space="0" w:color="auto"/>
        <w:left w:val="none" w:sz="0" w:space="0" w:color="auto"/>
        <w:bottom w:val="none" w:sz="0" w:space="0" w:color="auto"/>
        <w:right w:val="none" w:sz="0" w:space="0" w:color="auto"/>
      </w:divBdr>
    </w:div>
    <w:div w:id="1358962862">
      <w:bodyDiv w:val="1"/>
      <w:marLeft w:val="0"/>
      <w:marRight w:val="0"/>
      <w:marTop w:val="0"/>
      <w:marBottom w:val="0"/>
      <w:divBdr>
        <w:top w:val="none" w:sz="0" w:space="0" w:color="auto"/>
        <w:left w:val="none" w:sz="0" w:space="0" w:color="auto"/>
        <w:bottom w:val="none" w:sz="0" w:space="0" w:color="auto"/>
        <w:right w:val="none" w:sz="0" w:space="0" w:color="auto"/>
      </w:divBdr>
    </w:div>
    <w:div w:id="1361780875">
      <w:bodyDiv w:val="1"/>
      <w:marLeft w:val="0"/>
      <w:marRight w:val="0"/>
      <w:marTop w:val="0"/>
      <w:marBottom w:val="0"/>
      <w:divBdr>
        <w:top w:val="none" w:sz="0" w:space="0" w:color="auto"/>
        <w:left w:val="none" w:sz="0" w:space="0" w:color="auto"/>
        <w:bottom w:val="none" w:sz="0" w:space="0" w:color="auto"/>
        <w:right w:val="none" w:sz="0" w:space="0" w:color="auto"/>
      </w:divBdr>
    </w:div>
    <w:div w:id="1377271524">
      <w:bodyDiv w:val="1"/>
      <w:marLeft w:val="0"/>
      <w:marRight w:val="0"/>
      <w:marTop w:val="0"/>
      <w:marBottom w:val="0"/>
      <w:divBdr>
        <w:top w:val="none" w:sz="0" w:space="0" w:color="auto"/>
        <w:left w:val="none" w:sz="0" w:space="0" w:color="auto"/>
        <w:bottom w:val="none" w:sz="0" w:space="0" w:color="auto"/>
        <w:right w:val="none" w:sz="0" w:space="0" w:color="auto"/>
      </w:divBdr>
    </w:div>
    <w:div w:id="1382631930">
      <w:bodyDiv w:val="1"/>
      <w:marLeft w:val="0"/>
      <w:marRight w:val="0"/>
      <w:marTop w:val="0"/>
      <w:marBottom w:val="0"/>
      <w:divBdr>
        <w:top w:val="none" w:sz="0" w:space="0" w:color="auto"/>
        <w:left w:val="none" w:sz="0" w:space="0" w:color="auto"/>
        <w:bottom w:val="none" w:sz="0" w:space="0" w:color="auto"/>
        <w:right w:val="none" w:sz="0" w:space="0" w:color="auto"/>
      </w:divBdr>
    </w:div>
    <w:div w:id="1389449217">
      <w:bodyDiv w:val="1"/>
      <w:marLeft w:val="0"/>
      <w:marRight w:val="0"/>
      <w:marTop w:val="0"/>
      <w:marBottom w:val="0"/>
      <w:divBdr>
        <w:top w:val="none" w:sz="0" w:space="0" w:color="auto"/>
        <w:left w:val="none" w:sz="0" w:space="0" w:color="auto"/>
        <w:bottom w:val="none" w:sz="0" w:space="0" w:color="auto"/>
        <w:right w:val="none" w:sz="0" w:space="0" w:color="auto"/>
      </w:divBdr>
    </w:div>
    <w:div w:id="1402486683">
      <w:bodyDiv w:val="1"/>
      <w:marLeft w:val="0"/>
      <w:marRight w:val="0"/>
      <w:marTop w:val="0"/>
      <w:marBottom w:val="0"/>
      <w:divBdr>
        <w:top w:val="none" w:sz="0" w:space="0" w:color="auto"/>
        <w:left w:val="none" w:sz="0" w:space="0" w:color="auto"/>
        <w:bottom w:val="none" w:sz="0" w:space="0" w:color="auto"/>
        <w:right w:val="none" w:sz="0" w:space="0" w:color="auto"/>
      </w:divBdr>
    </w:div>
    <w:div w:id="1412697878">
      <w:bodyDiv w:val="1"/>
      <w:marLeft w:val="0"/>
      <w:marRight w:val="0"/>
      <w:marTop w:val="0"/>
      <w:marBottom w:val="0"/>
      <w:divBdr>
        <w:top w:val="none" w:sz="0" w:space="0" w:color="auto"/>
        <w:left w:val="none" w:sz="0" w:space="0" w:color="auto"/>
        <w:bottom w:val="none" w:sz="0" w:space="0" w:color="auto"/>
        <w:right w:val="none" w:sz="0" w:space="0" w:color="auto"/>
      </w:divBdr>
    </w:div>
    <w:div w:id="1431700976">
      <w:bodyDiv w:val="1"/>
      <w:marLeft w:val="0"/>
      <w:marRight w:val="0"/>
      <w:marTop w:val="0"/>
      <w:marBottom w:val="0"/>
      <w:divBdr>
        <w:top w:val="none" w:sz="0" w:space="0" w:color="auto"/>
        <w:left w:val="none" w:sz="0" w:space="0" w:color="auto"/>
        <w:bottom w:val="none" w:sz="0" w:space="0" w:color="auto"/>
        <w:right w:val="none" w:sz="0" w:space="0" w:color="auto"/>
      </w:divBdr>
    </w:div>
    <w:div w:id="1433470948">
      <w:bodyDiv w:val="1"/>
      <w:marLeft w:val="0"/>
      <w:marRight w:val="0"/>
      <w:marTop w:val="0"/>
      <w:marBottom w:val="0"/>
      <w:divBdr>
        <w:top w:val="none" w:sz="0" w:space="0" w:color="auto"/>
        <w:left w:val="none" w:sz="0" w:space="0" w:color="auto"/>
        <w:bottom w:val="none" w:sz="0" w:space="0" w:color="auto"/>
        <w:right w:val="none" w:sz="0" w:space="0" w:color="auto"/>
      </w:divBdr>
    </w:div>
    <w:div w:id="1463645726">
      <w:bodyDiv w:val="1"/>
      <w:marLeft w:val="0"/>
      <w:marRight w:val="0"/>
      <w:marTop w:val="0"/>
      <w:marBottom w:val="0"/>
      <w:divBdr>
        <w:top w:val="none" w:sz="0" w:space="0" w:color="auto"/>
        <w:left w:val="none" w:sz="0" w:space="0" w:color="auto"/>
        <w:bottom w:val="none" w:sz="0" w:space="0" w:color="auto"/>
        <w:right w:val="none" w:sz="0" w:space="0" w:color="auto"/>
      </w:divBdr>
    </w:div>
    <w:div w:id="1464731318">
      <w:bodyDiv w:val="1"/>
      <w:marLeft w:val="0"/>
      <w:marRight w:val="0"/>
      <w:marTop w:val="0"/>
      <w:marBottom w:val="0"/>
      <w:divBdr>
        <w:top w:val="none" w:sz="0" w:space="0" w:color="auto"/>
        <w:left w:val="none" w:sz="0" w:space="0" w:color="auto"/>
        <w:bottom w:val="none" w:sz="0" w:space="0" w:color="auto"/>
        <w:right w:val="none" w:sz="0" w:space="0" w:color="auto"/>
      </w:divBdr>
    </w:div>
    <w:div w:id="1475102832">
      <w:bodyDiv w:val="1"/>
      <w:marLeft w:val="0"/>
      <w:marRight w:val="0"/>
      <w:marTop w:val="0"/>
      <w:marBottom w:val="0"/>
      <w:divBdr>
        <w:top w:val="none" w:sz="0" w:space="0" w:color="auto"/>
        <w:left w:val="none" w:sz="0" w:space="0" w:color="auto"/>
        <w:bottom w:val="none" w:sz="0" w:space="0" w:color="auto"/>
        <w:right w:val="none" w:sz="0" w:space="0" w:color="auto"/>
      </w:divBdr>
    </w:div>
    <w:div w:id="1492210410">
      <w:bodyDiv w:val="1"/>
      <w:marLeft w:val="0"/>
      <w:marRight w:val="0"/>
      <w:marTop w:val="0"/>
      <w:marBottom w:val="0"/>
      <w:divBdr>
        <w:top w:val="none" w:sz="0" w:space="0" w:color="auto"/>
        <w:left w:val="none" w:sz="0" w:space="0" w:color="auto"/>
        <w:bottom w:val="none" w:sz="0" w:space="0" w:color="auto"/>
        <w:right w:val="none" w:sz="0" w:space="0" w:color="auto"/>
      </w:divBdr>
    </w:div>
    <w:div w:id="1515069825">
      <w:bodyDiv w:val="1"/>
      <w:marLeft w:val="0"/>
      <w:marRight w:val="0"/>
      <w:marTop w:val="0"/>
      <w:marBottom w:val="0"/>
      <w:divBdr>
        <w:top w:val="none" w:sz="0" w:space="0" w:color="auto"/>
        <w:left w:val="none" w:sz="0" w:space="0" w:color="auto"/>
        <w:bottom w:val="none" w:sz="0" w:space="0" w:color="auto"/>
        <w:right w:val="none" w:sz="0" w:space="0" w:color="auto"/>
      </w:divBdr>
    </w:div>
    <w:div w:id="1525560437">
      <w:bodyDiv w:val="1"/>
      <w:marLeft w:val="0"/>
      <w:marRight w:val="0"/>
      <w:marTop w:val="0"/>
      <w:marBottom w:val="0"/>
      <w:divBdr>
        <w:top w:val="none" w:sz="0" w:space="0" w:color="auto"/>
        <w:left w:val="none" w:sz="0" w:space="0" w:color="auto"/>
        <w:bottom w:val="none" w:sz="0" w:space="0" w:color="auto"/>
        <w:right w:val="none" w:sz="0" w:space="0" w:color="auto"/>
      </w:divBdr>
    </w:div>
    <w:div w:id="1526288355">
      <w:bodyDiv w:val="1"/>
      <w:marLeft w:val="0"/>
      <w:marRight w:val="0"/>
      <w:marTop w:val="0"/>
      <w:marBottom w:val="0"/>
      <w:divBdr>
        <w:top w:val="none" w:sz="0" w:space="0" w:color="auto"/>
        <w:left w:val="none" w:sz="0" w:space="0" w:color="auto"/>
        <w:bottom w:val="none" w:sz="0" w:space="0" w:color="auto"/>
        <w:right w:val="none" w:sz="0" w:space="0" w:color="auto"/>
      </w:divBdr>
    </w:div>
    <w:div w:id="1564756693">
      <w:bodyDiv w:val="1"/>
      <w:marLeft w:val="0"/>
      <w:marRight w:val="0"/>
      <w:marTop w:val="0"/>
      <w:marBottom w:val="0"/>
      <w:divBdr>
        <w:top w:val="none" w:sz="0" w:space="0" w:color="auto"/>
        <w:left w:val="none" w:sz="0" w:space="0" w:color="auto"/>
        <w:bottom w:val="none" w:sz="0" w:space="0" w:color="auto"/>
        <w:right w:val="none" w:sz="0" w:space="0" w:color="auto"/>
      </w:divBdr>
    </w:div>
    <w:div w:id="1582720023">
      <w:bodyDiv w:val="1"/>
      <w:marLeft w:val="0"/>
      <w:marRight w:val="0"/>
      <w:marTop w:val="0"/>
      <w:marBottom w:val="0"/>
      <w:divBdr>
        <w:top w:val="none" w:sz="0" w:space="0" w:color="auto"/>
        <w:left w:val="none" w:sz="0" w:space="0" w:color="auto"/>
        <w:bottom w:val="none" w:sz="0" w:space="0" w:color="auto"/>
        <w:right w:val="none" w:sz="0" w:space="0" w:color="auto"/>
      </w:divBdr>
    </w:div>
    <w:div w:id="1591044164">
      <w:bodyDiv w:val="1"/>
      <w:marLeft w:val="0"/>
      <w:marRight w:val="0"/>
      <w:marTop w:val="0"/>
      <w:marBottom w:val="0"/>
      <w:divBdr>
        <w:top w:val="none" w:sz="0" w:space="0" w:color="auto"/>
        <w:left w:val="none" w:sz="0" w:space="0" w:color="auto"/>
        <w:bottom w:val="none" w:sz="0" w:space="0" w:color="auto"/>
        <w:right w:val="none" w:sz="0" w:space="0" w:color="auto"/>
      </w:divBdr>
    </w:div>
    <w:div w:id="1605922143">
      <w:bodyDiv w:val="1"/>
      <w:marLeft w:val="0"/>
      <w:marRight w:val="0"/>
      <w:marTop w:val="0"/>
      <w:marBottom w:val="0"/>
      <w:divBdr>
        <w:top w:val="none" w:sz="0" w:space="0" w:color="auto"/>
        <w:left w:val="none" w:sz="0" w:space="0" w:color="auto"/>
        <w:bottom w:val="none" w:sz="0" w:space="0" w:color="auto"/>
        <w:right w:val="none" w:sz="0" w:space="0" w:color="auto"/>
      </w:divBdr>
    </w:div>
    <w:div w:id="1612274846">
      <w:bodyDiv w:val="1"/>
      <w:marLeft w:val="0"/>
      <w:marRight w:val="0"/>
      <w:marTop w:val="0"/>
      <w:marBottom w:val="0"/>
      <w:divBdr>
        <w:top w:val="none" w:sz="0" w:space="0" w:color="auto"/>
        <w:left w:val="none" w:sz="0" w:space="0" w:color="auto"/>
        <w:bottom w:val="none" w:sz="0" w:space="0" w:color="auto"/>
        <w:right w:val="none" w:sz="0" w:space="0" w:color="auto"/>
      </w:divBdr>
      <w:divsChild>
        <w:div w:id="1767116856">
          <w:marLeft w:val="0"/>
          <w:marRight w:val="0"/>
          <w:marTop w:val="0"/>
          <w:marBottom w:val="0"/>
          <w:divBdr>
            <w:top w:val="none" w:sz="0" w:space="0" w:color="auto"/>
            <w:left w:val="none" w:sz="0" w:space="0" w:color="auto"/>
            <w:bottom w:val="none" w:sz="0" w:space="0" w:color="auto"/>
            <w:right w:val="none" w:sz="0" w:space="0" w:color="auto"/>
          </w:divBdr>
        </w:div>
        <w:div w:id="1965036421">
          <w:marLeft w:val="0"/>
          <w:marRight w:val="0"/>
          <w:marTop w:val="0"/>
          <w:marBottom w:val="0"/>
          <w:divBdr>
            <w:top w:val="none" w:sz="0" w:space="0" w:color="auto"/>
            <w:left w:val="none" w:sz="0" w:space="0" w:color="auto"/>
            <w:bottom w:val="none" w:sz="0" w:space="0" w:color="auto"/>
            <w:right w:val="none" w:sz="0" w:space="0" w:color="auto"/>
          </w:divBdr>
          <w:divsChild>
            <w:div w:id="1694766395">
              <w:marLeft w:val="0"/>
              <w:marRight w:val="0"/>
              <w:marTop w:val="0"/>
              <w:marBottom w:val="0"/>
              <w:divBdr>
                <w:top w:val="none" w:sz="0" w:space="0" w:color="auto"/>
                <w:left w:val="none" w:sz="0" w:space="0" w:color="auto"/>
                <w:bottom w:val="none" w:sz="0" w:space="0" w:color="auto"/>
                <w:right w:val="none" w:sz="0" w:space="0" w:color="auto"/>
              </w:divBdr>
              <w:divsChild>
                <w:div w:id="977875684">
                  <w:marLeft w:val="0"/>
                  <w:marRight w:val="0"/>
                  <w:marTop w:val="0"/>
                  <w:marBottom w:val="0"/>
                  <w:divBdr>
                    <w:top w:val="none" w:sz="0" w:space="0" w:color="auto"/>
                    <w:left w:val="none" w:sz="0" w:space="0" w:color="auto"/>
                    <w:bottom w:val="none" w:sz="0" w:space="0" w:color="auto"/>
                    <w:right w:val="none" w:sz="0" w:space="0" w:color="auto"/>
                  </w:divBdr>
                  <w:divsChild>
                    <w:div w:id="19809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3694">
      <w:bodyDiv w:val="1"/>
      <w:marLeft w:val="0"/>
      <w:marRight w:val="0"/>
      <w:marTop w:val="0"/>
      <w:marBottom w:val="0"/>
      <w:divBdr>
        <w:top w:val="none" w:sz="0" w:space="0" w:color="auto"/>
        <w:left w:val="none" w:sz="0" w:space="0" w:color="auto"/>
        <w:bottom w:val="none" w:sz="0" w:space="0" w:color="auto"/>
        <w:right w:val="none" w:sz="0" w:space="0" w:color="auto"/>
      </w:divBdr>
    </w:div>
    <w:div w:id="1668173599">
      <w:bodyDiv w:val="1"/>
      <w:marLeft w:val="0"/>
      <w:marRight w:val="0"/>
      <w:marTop w:val="0"/>
      <w:marBottom w:val="0"/>
      <w:divBdr>
        <w:top w:val="none" w:sz="0" w:space="0" w:color="auto"/>
        <w:left w:val="none" w:sz="0" w:space="0" w:color="auto"/>
        <w:bottom w:val="none" w:sz="0" w:space="0" w:color="auto"/>
        <w:right w:val="none" w:sz="0" w:space="0" w:color="auto"/>
      </w:divBdr>
    </w:div>
    <w:div w:id="1673870553">
      <w:bodyDiv w:val="1"/>
      <w:marLeft w:val="0"/>
      <w:marRight w:val="0"/>
      <w:marTop w:val="0"/>
      <w:marBottom w:val="0"/>
      <w:divBdr>
        <w:top w:val="none" w:sz="0" w:space="0" w:color="auto"/>
        <w:left w:val="none" w:sz="0" w:space="0" w:color="auto"/>
        <w:bottom w:val="none" w:sz="0" w:space="0" w:color="auto"/>
        <w:right w:val="none" w:sz="0" w:space="0" w:color="auto"/>
      </w:divBdr>
    </w:div>
    <w:div w:id="1675062833">
      <w:bodyDiv w:val="1"/>
      <w:marLeft w:val="0"/>
      <w:marRight w:val="0"/>
      <w:marTop w:val="0"/>
      <w:marBottom w:val="0"/>
      <w:divBdr>
        <w:top w:val="none" w:sz="0" w:space="0" w:color="auto"/>
        <w:left w:val="none" w:sz="0" w:space="0" w:color="auto"/>
        <w:bottom w:val="none" w:sz="0" w:space="0" w:color="auto"/>
        <w:right w:val="none" w:sz="0" w:space="0" w:color="auto"/>
      </w:divBdr>
    </w:div>
    <w:div w:id="1692994988">
      <w:bodyDiv w:val="1"/>
      <w:marLeft w:val="0"/>
      <w:marRight w:val="0"/>
      <w:marTop w:val="0"/>
      <w:marBottom w:val="0"/>
      <w:divBdr>
        <w:top w:val="none" w:sz="0" w:space="0" w:color="auto"/>
        <w:left w:val="none" w:sz="0" w:space="0" w:color="auto"/>
        <w:bottom w:val="none" w:sz="0" w:space="0" w:color="auto"/>
        <w:right w:val="none" w:sz="0" w:space="0" w:color="auto"/>
      </w:divBdr>
    </w:div>
    <w:div w:id="1703827146">
      <w:bodyDiv w:val="1"/>
      <w:marLeft w:val="0"/>
      <w:marRight w:val="0"/>
      <w:marTop w:val="0"/>
      <w:marBottom w:val="0"/>
      <w:divBdr>
        <w:top w:val="none" w:sz="0" w:space="0" w:color="auto"/>
        <w:left w:val="none" w:sz="0" w:space="0" w:color="auto"/>
        <w:bottom w:val="none" w:sz="0" w:space="0" w:color="auto"/>
        <w:right w:val="none" w:sz="0" w:space="0" w:color="auto"/>
      </w:divBdr>
    </w:div>
    <w:div w:id="1706952027">
      <w:bodyDiv w:val="1"/>
      <w:marLeft w:val="0"/>
      <w:marRight w:val="0"/>
      <w:marTop w:val="0"/>
      <w:marBottom w:val="0"/>
      <w:divBdr>
        <w:top w:val="none" w:sz="0" w:space="0" w:color="auto"/>
        <w:left w:val="none" w:sz="0" w:space="0" w:color="auto"/>
        <w:bottom w:val="none" w:sz="0" w:space="0" w:color="auto"/>
        <w:right w:val="none" w:sz="0" w:space="0" w:color="auto"/>
      </w:divBdr>
    </w:div>
    <w:div w:id="1724255396">
      <w:bodyDiv w:val="1"/>
      <w:marLeft w:val="0"/>
      <w:marRight w:val="0"/>
      <w:marTop w:val="0"/>
      <w:marBottom w:val="0"/>
      <w:divBdr>
        <w:top w:val="none" w:sz="0" w:space="0" w:color="auto"/>
        <w:left w:val="none" w:sz="0" w:space="0" w:color="auto"/>
        <w:bottom w:val="none" w:sz="0" w:space="0" w:color="auto"/>
        <w:right w:val="none" w:sz="0" w:space="0" w:color="auto"/>
      </w:divBdr>
    </w:div>
    <w:div w:id="1729527805">
      <w:bodyDiv w:val="1"/>
      <w:marLeft w:val="0"/>
      <w:marRight w:val="0"/>
      <w:marTop w:val="0"/>
      <w:marBottom w:val="0"/>
      <w:divBdr>
        <w:top w:val="none" w:sz="0" w:space="0" w:color="auto"/>
        <w:left w:val="none" w:sz="0" w:space="0" w:color="auto"/>
        <w:bottom w:val="none" w:sz="0" w:space="0" w:color="auto"/>
        <w:right w:val="none" w:sz="0" w:space="0" w:color="auto"/>
      </w:divBdr>
    </w:div>
    <w:div w:id="1729717542">
      <w:bodyDiv w:val="1"/>
      <w:marLeft w:val="0"/>
      <w:marRight w:val="0"/>
      <w:marTop w:val="0"/>
      <w:marBottom w:val="0"/>
      <w:divBdr>
        <w:top w:val="none" w:sz="0" w:space="0" w:color="auto"/>
        <w:left w:val="none" w:sz="0" w:space="0" w:color="auto"/>
        <w:bottom w:val="none" w:sz="0" w:space="0" w:color="auto"/>
        <w:right w:val="none" w:sz="0" w:space="0" w:color="auto"/>
      </w:divBdr>
    </w:div>
    <w:div w:id="1730155130">
      <w:bodyDiv w:val="1"/>
      <w:marLeft w:val="0"/>
      <w:marRight w:val="0"/>
      <w:marTop w:val="0"/>
      <w:marBottom w:val="0"/>
      <w:divBdr>
        <w:top w:val="none" w:sz="0" w:space="0" w:color="auto"/>
        <w:left w:val="none" w:sz="0" w:space="0" w:color="auto"/>
        <w:bottom w:val="none" w:sz="0" w:space="0" w:color="auto"/>
        <w:right w:val="none" w:sz="0" w:space="0" w:color="auto"/>
      </w:divBdr>
    </w:div>
    <w:div w:id="1747651233">
      <w:bodyDiv w:val="1"/>
      <w:marLeft w:val="0"/>
      <w:marRight w:val="0"/>
      <w:marTop w:val="0"/>
      <w:marBottom w:val="0"/>
      <w:divBdr>
        <w:top w:val="none" w:sz="0" w:space="0" w:color="auto"/>
        <w:left w:val="none" w:sz="0" w:space="0" w:color="auto"/>
        <w:bottom w:val="none" w:sz="0" w:space="0" w:color="auto"/>
        <w:right w:val="none" w:sz="0" w:space="0" w:color="auto"/>
      </w:divBdr>
    </w:div>
    <w:div w:id="1757164875">
      <w:bodyDiv w:val="1"/>
      <w:marLeft w:val="0"/>
      <w:marRight w:val="0"/>
      <w:marTop w:val="0"/>
      <w:marBottom w:val="0"/>
      <w:divBdr>
        <w:top w:val="none" w:sz="0" w:space="0" w:color="auto"/>
        <w:left w:val="none" w:sz="0" w:space="0" w:color="auto"/>
        <w:bottom w:val="none" w:sz="0" w:space="0" w:color="auto"/>
        <w:right w:val="none" w:sz="0" w:space="0" w:color="auto"/>
      </w:divBdr>
    </w:div>
    <w:div w:id="1768892409">
      <w:bodyDiv w:val="1"/>
      <w:marLeft w:val="0"/>
      <w:marRight w:val="0"/>
      <w:marTop w:val="0"/>
      <w:marBottom w:val="0"/>
      <w:divBdr>
        <w:top w:val="none" w:sz="0" w:space="0" w:color="auto"/>
        <w:left w:val="none" w:sz="0" w:space="0" w:color="auto"/>
        <w:bottom w:val="none" w:sz="0" w:space="0" w:color="auto"/>
        <w:right w:val="none" w:sz="0" w:space="0" w:color="auto"/>
      </w:divBdr>
    </w:div>
    <w:div w:id="1788042595">
      <w:bodyDiv w:val="1"/>
      <w:marLeft w:val="0"/>
      <w:marRight w:val="0"/>
      <w:marTop w:val="0"/>
      <w:marBottom w:val="0"/>
      <w:divBdr>
        <w:top w:val="none" w:sz="0" w:space="0" w:color="auto"/>
        <w:left w:val="none" w:sz="0" w:space="0" w:color="auto"/>
        <w:bottom w:val="none" w:sz="0" w:space="0" w:color="auto"/>
        <w:right w:val="none" w:sz="0" w:space="0" w:color="auto"/>
      </w:divBdr>
    </w:div>
    <w:div w:id="1795248236">
      <w:bodyDiv w:val="1"/>
      <w:marLeft w:val="0"/>
      <w:marRight w:val="0"/>
      <w:marTop w:val="0"/>
      <w:marBottom w:val="0"/>
      <w:divBdr>
        <w:top w:val="none" w:sz="0" w:space="0" w:color="auto"/>
        <w:left w:val="none" w:sz="0" w:space="0" w:color="auto"/>
        <w:bottom w:val="none" w:sz="0" w:space="0" w:color="auto"/>
        <w:right w:val="none" w:sz="0" w:space="0" w:color="auto"/>
      </w:divBdr>
    </w:div>
    <w:div w:id="1801848404">
      <w:bodyDiv w:val="1"/>
      <w:marLeft w:val="0"/>
      <w:marRight w:val="0"/>
      <w:marTop w:val="0"/>
      <w:marBottom w:val="0"/>
      <w:divBdr>
        <w:top w:val="none" w:sz="0" w:space="0" w:color="auto"/>
        <w:left w:val="none" w:sz="0" w:space="0" w:color="auto"/>
        <w:bottom w:val="none" w:sz="0" w:space="0" w:color="auto"/>
        <w:right w:val="none" w:sz="0" w:space="0" w:color="auto"/>
      </w:divBdr>
    </w:div>
    <w:div w:id="1859661850">
      <w:bodyDiv w:val="1"/>
      <w:marLeft w:val="0"/>
      <w:marRight w:val="0"/>
      <w:marTop w:val="0"/>
      <w:marBottom w:val="0"/>
      <w:divBdr>
        <w:top w:val="none" w:sz="0" w:space="0" w:color="auto"/>
        <w:left w:val="none" w:sz="0" w:space="0" w:color="auto"/>
        <w:bottom w:val="none" w:sz="0" w:space="0" w:color="auto"/>
        <w:right w:val="none" w:sz="0" w:space="0" w:color="auto"/>
      </w:divBdr>
    </w:div>
    <w:div w:id="1872373900">
      <w:bodyDiv w:val="1"/>
      <w:marLeft w:val="0"/>
      <w:marRight w:val="0"/>
      <w:marTop w:val="0"/>
      <w:marBottom w:val="0"/>
      <w:divBdr>
        <w:top w:val="none" w:sz="0" w:space="0" w:color="auto"/>
        <w:left w:val="none" w:sz="0" w:space="0" w:color="auto"/>
        <w:bottom w:val="none" w:sz="0" w:space="0" w:color="auto"/>
        <w:right w:val="none" w:sz="0" w:space="0" w:color="auto"/>
      </w:divBdr>
    </w:div>
    <w:div w:id="1892109156">
      <w:bodyDiv w:val="1"/>
      <w:marLeft w:val="0"/>
      <w:marRight w:val="0"/>
      <w:marTop w:val="0"/>
      <w:marBottom w:val="0"/>
      <w:divBdr>
        <w:top w:val="none" w:sz="0" w:space="0" w:color="auto"/>
        <w:left w:val="none" w:sz="0" w:space="0" w:color="auto"/>
        <w:bottom w:val="none" w:sz="0" w:space="0" w:color="auto"/>
        <w:right w:val="none" w:sz="0" w:space="0" w:color="auto"/>
      </w:divBdr>
    </w:div>
    <w:div w:id="1900358577">
      <w:bodyDiv w:val="1"/>
      <w:marLeft w:val="0"/>
      <w:marRight w:val="0"/>
      <w:marTop w:val="0"/>
      <w:marBottom w:val="0"/>
      <w:divBdr>
        <w:top w:val="none" w:sz="0" w:space="0" w:color="auto"/>
        <w:left w:val="none" w:sz="0" w:space="0" w:color="auto"/>
        <w:bottom w:val="none" w:sz="0" w:space="0" w:color="auto"/>
        <w:right w:val="none" w:sz="0" w:space="0" w:color="auto"/>
      </w:divBdr>
    </w:div>
    <w:div w:id="1917130681">
      <w:bodyDiv w:val="1"/>
      <w:marLeft w:val="0"/>
      <w:marRight w:val="0"/>
      <w:marTop w:val="0"/>
      <w:marBottom w:val="0"/>
      <w:divBdr>
        <w:top w:val="none" w:sz="0" w:space="0" w:color="auto"/>
        <w:left w:val="none" w:sz="0" w:space="0" w:color="auto"/>
        <w:bottom w:val="none" w:sz="0" w:space="0" w:color="auto"/>
        <w:right w:val="none" w:sz="0" w:space="0" w:color="auto"/>
      </w:divBdr>
    </w:div>
    <w:div w:id="1961497476">
      <w:bodyDiv w:val="1"/>
      <w:marLeft w:val="0"/>
      <w:marRight w:val="0"/>
      <w:marTop w:val="0"/>
      <w:marBottom w:val="0"/>
      <w:divBdr>
        <w:top w:val="none" w:sz="0" w:space="0" w:color="auto"/>
        <w:left w:val="none" w:sz="0" w:space="0" w:color="auto"/>
        <w:bottom w:val="none" w:sz="0" w:space="0" w:color="auto"/>
        <w:right w:val="none" w:sz="0" w:space="0" w:color="auto"/>
      </w:divBdr>
    </w:div>
    <w:div w:id="1977635590">
      <w:bodyDiv w:val="1"/>
      <w:marLeft w:val="0"/>
      <w:marRight w:val="0"/>
      <w:marTop w:val="0"/>
      <w:marBottom w:val="0"/>
      <w:divBdr>
        <w:top w:val="none" w:sz="0" w:space="0" w:color="auto"/>
        <w:left w:val="none" w:sz="0" w:space="0" w:color="auto"/>
        <w:bottom w:val="none" w:sz="0" w:space="0" w:color="auto"/>
        <w:right w:val="none" w:sz="0" w:space="0" w:color="auto"/>
      </w:divBdr>
    </w:div>
    <w:div w:id="2004812596">
      <w:bodyDiv w:val="1"/>
      <w:marLeft w:val="0"/>
      <w:marRight w:val="0"/>
      <w:marTop w:val="0"/>
      <w:marBottom w:val="0"/>
      <w:divBdr>
        <w:top w:val="none" w:sz="0" w:space="0" w:color="auto"/>
        <w:left w:val="none" w:sz="0" w:space="0" w:color="auto"/>
        <w:bottom w:val="none" w:sz="0" w:space="0" w:color="auto"/>
        <w:right w:val="none" w:sz="0" w:space="0" w:color="auto"/>
      </w:divBdr>
    </w:div>
    <w:div w:id="2013995642">
      <w:bodyDiv w:val="1"/>
      <w:marLeft w:val="0"/>
      <w:marRight w:val="0"/>
      <w:marTop w:val="0"/>
      <w:marBottom w:val="0"/>
      <w:divBdr>
        <w:top w:val="none" w:sz="0" w:space="0" w:color="auto"/>
        <w:left w:val="none" w:sz="0" w:space="0" w:color="auto"/>
        <w:bottom w:val="none" w:sz="0" w:space="0" w:color="auto"/>
        <w:right w:val="none" w:sz="0" w:space="0" w:color="auto"/>
      </w:divBdr>
    </w:div>
    <w:div w:id="2015303515">
      <w:bodyDiv w:val="1"/>
      <w:marLeft w:val="0"/>
      <w:marRight w:val="0"/>
      <w:marTop w:val="0"/>
      <w:marBottom w:val="0"/>
      <w:divBdr>
        <w:top w:val="none" w:sz="0" w:space="0" w:color="auto"/>
        <w:left w:val="none" w:sz="0" w:space="0" w:color="auto"/>
        <w:bottom w:val="none" w:sz="0" w:space="0" w:color="auto"/>
        <w:right w:val="none" w:sz="0" w:space="0" w:color="auto"/>
      </w:divBdr>
    </w:div>
    <w:div w:id="2020152266">
      <w:bodyDiv w:val="1"/>
      <w:marLeft w:val="0"/>
      <w:marRight w:val="0"/>
      <w:marTop w:val="0"/>
      <w:marBottom w:val="0"/>
      <w:divBdr>
        <w:top w:val="none" w:sz="0" w:space="0" w:color="auto"/>
        <w:left w:val="none" w:sz="0" w:space="0" w:color="auto"/>
        <w:bottom w:val="none" w:sz="0" w:space="0" w:color="auto"/>
        <w:right w:val="none" w:sz="0" w:space="0" w:color="auto"/>
      </w:divBdr>
    </w:div>
    <w:div w:id="2026590134">
      <w:bodyDiv w:val="1"/>
      <w:marLeft w:val="0"/>
      <w:marRight w:val="0"/>
      <w:marTop w:val="0"/>
      <w:marBottom w:val="0"/>
      <w:divBdr>
        <w:top w:val="none" w:sz="0" w:space="0" w:color="auto"/>
        <w:left w:val="none" w:sz="0" w:space="0" w:color="auto"/>
        <w:bottom w:val="none" w:sz="0" w:space="0" w:color="auto"/>
        <w:right w:val="none" w:sz="0" w:space="0" w:color="auto"/>
      </w:divBdr>
    </w:div>
    <w:div w:id="2029987671">
      <w:bodyDiv w:val="1"/>
      <w:marLeft w:val="0"/>
      <w:marRight w:val="0"/>
      <w:marTop w:val="0"/>
      <w:marBottom w:val="0"/>
      <w:divBdr>
        <w:top w:val="none" w:sz="0" w:space="0" w:color="auto"/>
        <w:left w:val="none" w:sz="0" w:space="0" w:color="auto"/>
        <w:bottom w:val="none" w:sz="0" w:space="0" w:color="auto"/>
        <w:right w:val="none" w:sz="0" w:space="0" w:color="auto"/>
      </w:divBdr>
    </w:div>
    <w:div w:id="2033603865">
      <w:bodyDiv w:val="1"/>
      <w:marLeft w:val="0"/>
      <w:marRight w:val="0"/>
      <w:marTop w:val="0"/>
      <w:marBottom w:val="0"/>
      <w:divBdr>
        <w:top w:val="none" w:sz="0" w:space="0" w:color="auto"/>
        <w:left w:val="none" w:sz="0" w:space="0" w:color="auto"/>
        <w:bottom w:val="none" w:sz="0" w:space="0" w:color="auto"/>
        <w:right w:val="none" w:sz="0" w:space="0" w:color="auto"/>
      </w:divBdr>
    </w:div>
    <w:div w:id="2044667191">
      <w:bodyDiv w:val="1"/>
      <w:marLeft w:val="0"/>
      <w:marRight w:val="0"/>
      <w:marTop w:val="0"/>
      <w:marBottom w:val="0"/>
      <w:divBdr>
        <w:top w:val="none" w:sz="0" w:space="0" w:color="auto"/>
        <w:left w:val="none" w:sz="0" w:space="0" w:color="auto"/>
        <w:bottom w:val="none" w:sz="0" w:space="0" w:color="auto"/>
        <w:right w:val="none" w:sz="0" w:space="0" w:color="auto"/>
      </w:divBdr>
    </w:div>
    <w:div w:id="2047176340">
      <w:bodyDiv w:val="1"/>
      <w:marLeft w:val="0"/>
      <w:marRight w:val="0"/>
      <w:marTop w:val="0"/>
      <w:marBottom w:val="0"/>
      <w:divBdr>
        <w:top w:val="none" w:sz="0" w:space="0" w:color="auto"/>
        <w:left w:val="none" w:sz="0" w:space="0" w:color="auto"/>
        <w:bottom w:val="none" w:sz="0" w:space="0" w:color="auto"/>
        <w:right w:val="none" w:sz="0" w:space="0" w:color="auto"/>
      </w:divBdr>
    </w:div>
    <w:div w:id="2050647070">
      <w:bodyDiv w:val="1"/>
      <w:marLeft w:val="0"/>
      <w:marRight w:val="0"/>
      <w:marTop w:val="0"/>
      <w:marBottom w:val="0"/>
      <w:divBdr>
        <w:top w:val="none" w:sz="0" w:space="0" w:color="auto"/>
        <w:left w:val="none" w:sz="0" w:space="0" w:color="auto"/>
        <w:bottom w:val="none" w:sz="0" w:space="0" w:color="auto"/>
        <w:right w:val="none" w:sz="0" w:space="0" w:color="auto"/>
      </w:divBdr>
    </w:div>
    <w:div w:id="2081898379">
      <w:bodyDiv w:val="1"/>
      <w:marLeft w:val="0"/>
      <w:marRight w:val="0"/>
      <w:marTop w:val="0"/>
      <w:marBottom w:val="0"/>
      <w:divBdr>
        <w:top w:val="none" w:sz="0" w:space="0" w:color="auto"/>
        <w:left w:val="none" w:sz="0" w:space="0" w:color="auto"/>
        <w:bottom w:val="none" w:sz="0" w:space="0" w:color="auto"/>
        <w:right w:val="none" w:sz="0" w:space="0" w:color="auto"/>
      </w:divBdr>
    </w:div>
    <w:div w:id="2088073054">
      <w:bodyDiv w:val="1"/>
      <w:marLeft w:val="0"/>
      <w:marRight w:val="0"/>
      <w:marTop w:val="0"/>
      <w:marBottom w:val="0"/>
      <w:divBdr>
        <w:top w:val="none" w:sz="0" w:space="0" w:color="auto"/>
        <w:left w:val="none" w:sz="0" w:space="0" w:color="auto"/>
        <w:bottom w:val="none" w:sz="0" w:space="0" w:color="auto"/>
        <w:right w:val="none" w:sz="0" w:space="0" w:color="auto"/>
      </w:divBdr>
    </w:div>
    <w:div w:id="2110732009">
      <w:bodyDiv w:val="1"/>
      <w:marLeft w:val="0"/>
      <w:marRight w:val="0"/>
      <w:marTop w:val="0"/>
      <w:marBottom w:val="0"/>
      <w:divBdr>
        <w:top w:val="none" w:sz="0" w:space="0" w:color="auto"/>
        <w:left w:val="none" w:sz="0" w:space="0" w:color="auto"/>
        <w:bottom w:val="none" w:sz="0" w:space="0" w:color="auto"/>
        <w:right w:val="none" w:sz="0" w:space="0" w:color="auto"/>
      </w:divBdr>
    </w:div>
    <w:div w:id="2114786571">
      <w:bodyDiv w:val="1"/>
      <w:marLeft w:val="0"/>
      <w:marRight w:val="0"/>
      <w:marTop w:val="0"/>
      <w:marBottom w:val="0"/>
      <w:divBdr>
        <w:top w:val="none" w:sz="0" w:space="0" w:color="auto"/>
        <w:left w:val="none" w:sz="0" w:space="0" w:color="auto"/>
        <w:bottom w:val="none" w:sz="0" w:space="0" w:color="auto"/>
        <w:right w:val="none" w:sz="0" w:space="0" w:color="auto"/>
      </w:divBdr>
    </w:div>
    <w:div w:id="2120299098">
      <w:bodyDiv w:val="1"/>
      <w:marLeft w:val="0"/>
      <w:marRight w:val="0"/>
      <w:marTop w:val="0"/>
      <w:marBottom w:val="0"/>
      <w:divBdr>
        <w:top w:val="none" w:sz="0" w:space="0" w:color="auto"/>
        <w:left w:val="none" w:sz="0" w:space="0" w:color="auto"/>
        <w:bottom w:val="none" w:sz="0" w:space="0" w:color="auto"/>
        <w:right w:val="none" w:sz="0" w:space="0" w:color="auto"/>
      </w:divBdr>
    </w:div>
    <w:div w:id="21364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General.aspx?id=413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12" ma:contentTypeDescription="Create a new document." ma:contentTypeScope="" ma:versionID="b868cf174bc56f7d7cb0c8dd68a70884">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1b2951c6d8c895abc1825da1ca8c7557"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A1D69-9798-450D-8757-CBF75EE18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16AC8-44D3-4811-98C8-2468887BC638}">
  <ds:schemaRefs>
    <ds:schemaRef ds:uri="http://schemas.microsoft.com/sharepoint/v3/contenttype/forms"/>
  </ds:schemaRefs>
</ds:datastoreItem>
</file>

<file path=customXml/itemProps3.xml><?xml version="1.0" encoding="utf-8"?>
<ds:datastoreItem xmlns:ds="http://schemas.openxmlformats.org/officeDocument/2006/customXml" ds:itemID="{49E950EE-7C0F-4677-97A3-5DA2F505A864}">
  <ds:schemaRefs>
    <ds:schemaRef ds:uri="http://schemas.openxmlformats.org/officeDocument/2006/bibliography"/>
  </ds:schemaRefs>
</ds:datastoreItem>
</file>

<file path=customXml/itemProps4.xml><?xml version="1.0" encoding="utf-8"?>
<ds:datastoreItem xmlns:ds="http://schemas.openxmlformats.org/officeDocument/2006/customXml" ds:itemID="{BA8DBC3D-89AE-4F1D-86CD-B9183690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27</ap:Pages>
  <ap:Words>6604</ap:Words>
  <ap:Characters>37645</ap:Characters>
  <ap:Application>Microsoft Office Word</ap:Application>
  <ap:DocSecurity>0</ap:DocSecurity>
  <ap:Lines>313</ap:Lines>
  <ap:Paragraphs>88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44161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2020-01-09T22:02:00Z</cp:lastPrinted>
  <dcterms:created xsi:type="dcterms:W3CDTF">2020-11-23T14:32:38Z</dcterms:created>
  <dcterms:modified xsi:type="dcterms:W3CDTF">2020-11-23T14:32:38Z</dcterms:modified>
</cp:coreProperties>
</file>