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F7E58" w:rsidR="00926539" w:rsidP="00926539" w:rsidRDefault="00926539" w14:paraId="6BA37803" w14:textId="77777777">
      <w:pPr>
        <w:pStyle w:val="Heading2"/>
        <w:widowControl/>
        <w:spacing w:line="240" w:lineRule="auto"/>
        <w:jc w:val="center"/>
        <w:rPr>
          <w:rFonts w:ascii="Times New Roman" w:hAnsi="Times New Roman"/>
          <w:b/>
          <w:bCs/>
          <w:szCs w:val="24"/>
        </w:rPr>
      </w:pPr>
      <w:r w:rsidRPr="000F7E58">
        <w:rPr>
          <w:rFonts w:ascii="Times New Roman" w:hAnsi="Times New Roman"/>
          <w:b/>
          <w:bCs/>
          <w:szCs w:val="24"/>
        </w:rPr>
        <w:t>PUBLIC UTILITIES COMMISSION OF THE STATE OF CALIFORNIA</w:t>
      </w:r>
    </w:p>
    <w:p w:rsidRPr="00D43965" w:rsidR="00926539" w:rsidP="00926539" w:rsidRDefault="00926539" w14:paraId="793FF21D" w14:textId="77777777">
      <w:pPr>
        <w:jc w:val="center"/>
        <w:rPr>
          <w:sz w:val="24"/>
          <w:szCs w:val="24"/>
        </w:rPr>
      </w:pPr>
    </w:p>
    <w:p w:rsidRPr="00D43965" w:rsidR="00926539" w:rsidP="00926539" w:rsidRDefault="00926539" w14:paraId="25383973" w14:textId="53D59C7B">
      <w:pPr>
        <w:pStyle w:val="Date"/>
        <w:jc w:val="left"/>
        <w:rPr>
          <w:sz w:val="24"/>
          <w:szCs w:val="24"/>
        </w:rPr>
      </w:pPr>
      <w:r w:rsidRPr="00D43965">
        <w:rPr>
          <w:sz w:val="24"/>
          <w:szCs w:val="24"/>
        </w:rPr>
        <w:t>Administration Services Division</w:t>
      </w:r>
      <w:r w:rsidRPr="00D43965">
        <w:rPr>
          <w:sz w:val="24"/>
          <w:szCs w:val="24"/>
        </w:rPr>
        <w:tab/>
      </w:r>
      <w:r w:rsidRPr="00D43965">
        <w:rPr>
          <w:sz w:val="24"/>
          <w:szCs w:val="24"/>
        </w:rPr>
        <w:tab/>
      </w:r>
      <w:r w:rsidRPr="00D43965">
        <w:rPr>
          <w:sz w:val="24"/>
          <w:szCs w:val="24"/>
        </w:rPr>
        <w:tab/>
      </w:r>
      <w:r w:rsidRPr="00D43965">
        <w:rPr>
          <w:sz w:val="24"/>
          <w:szCs w:val="24"/>
        </w:rPr>
        <w:tab/>
      </w:r>
      <w:r w:rsidRPr="00D43965">
        <w:rPr>
          <w:sz w:val="24"/>
          <w:szCs w:val="24"/>
        </w:rPr>
        <w:tab/>
        <w:t>San Francisco, California</w:t>
      </w:r>
    </w:p>
    <w:p w:rsidRPr="00D43965" w:rsidR="00926539" w:rsidP="00926539" w:rsidRDefault="00926539" w14:paraId="7900AE71" w14:textId="12139F28">
      <w:pPr>
        <w:pStyle w:val="Date"/>
        <w:jc w:val="left"/>
        <w:rPr>
          <w:sz w:val="24"/>
          <w:szCs w:val="24"/>
        </w:rPr>
      </w:pPr>
      <w:r w:rsidRPr="00D43965">
        <w:rPr>
          <w:b/>
          <w:sz w:val="24"/>
          <w:szCs w:val="24"/>
        </w:rPr>
        <w:tab/>
      </w:r>
      <w:r w:rsidRPr="00D43965">
        <w:rPr>
          <w:b/>
          <w:sz w:val="24"/>
          <w:szCs w:val="24"/>
        </w:rPr>
        <w:tab/>
      </w:r>
      <w:r w:rsidRPr="00D43965">
        <w:rPr>
          <w:b/>
          <w:sz w:val="24"/>
          <w:szCs w:val="24"/>
        </w:rPr>
        <w:tab/>
      </w:r>
      <w:r w:rsidRPr="00D43965">
        <w:rPr>
          <w:b/>
          <w:sz w:val="24"/>
          <w:szCs w:val="24"/>
        </w:rPr>
        <w:tab/>
      </w:r>
      <w:r w:rsidRPr="00D43965">
        <w:rPr>
          <w:b/>
          <w:sz w:val="24"/>
          <w:szCs w:val="24"/>
        </w:rPr>
        <w:tab/>
      </w:r>
      <w:r w:rsidRPr="00D43965">
        <w:rPr>
          <w:b/>
          <w:sz w:val="24"/>
          <w:szCs w:val="24"/>
        </w:rPr>
        <w:tab/>
      </w:r>
      <w:r w:rsidRPr="00D43965">
        <w:rPr>
          <w:b/>
          <w:sz w:val="24"/>
          <w:szCs w:val="24"/>
        </w:rPr>
        <w:tab/>
      </w:r>
      <w:r w:rsidRPr="00D43965">
        <w:rPr>
          <w:b/>
          <w:sz w:val="24"/>
          <w:szCs w:val="24"/>
        </w:rPr>
        <w:tab/>
      </w:r>
      <w:r w:rsidRPr="00D43965">
        <w:rPr>
          <w:b/>
          <w:sz w:val="24"/>
          <w:szCs w:val="24"/>
        </w:rPr>
        <w:tab/>
      </w:r>
      <w:r w:rsidRPr="00D43965">
        <w:rPr>
          <w:sz w:val="24"/>
          <w:szCs w:val="24"/>
        </w:rPr>
        <w:t xml:space="preserve">Date:  </w:t>
      </w:r>
      <w:r w:rsidR="00C03A86">
        <w:rPr>
          <w:sz w:val="24"/>
          <w:szCs w:val="24"/>
        </w:rPr>
        <w:t xml:space="preserve">December 3, </w:t>
      </w:r>
      <w:r w:rsidRPr="00D43965">
        <w:rPr>
          <w:sz w:val="24"/>
          <w:szCs w:val="24"/>
        </w:rPr>
        <w:t>2020</w:t>
      </w:r>
    </w:p>
    <w:p w:rsidRPr="00D43965" w:rsidR="00926539" w:rsidP="00926539" w:rsidRDefault="00926539" w14:paraId="2A3111B3" w14:textId="24E913E4">
      <w:pPr>
        <w:pStyle w:val="Date"/>
        <w:jc w:val="left"/>
        <w:rPr>
          <w:sz w:val="24"/>
          <w:szCs w:val="24"/>
        </w:rPr>
      </w:pPr>
      <w:r w:rsidRPr="00D43965">
        <w:rPr>
          <w:sz w:val="24"/>
          <w:szCs w:val="24"/>
        </w:rPr>
        <w:tab/>
      </w:r>
      <w:r w:rsidRPr="00D43965">
        <w:rPr>
          <w:sz w:val="24"/>
          <w:szCs w:val="24"/>
        </w:rPr>
        <w:tab/>
      </w:r>
      <w:r w:rsidRPr="00D43965">
        <w:rPr>
          <w:sz w:val="24"/>
          <w:szCs w:val="24"/>
        </w:rPr>
        <w:tab/>
      </w:r>
      <w:r w:rsidRPr="00D43965">
        <w:rPr>
          <w:sz w:val="24"/>
          <w:szCs w:val="24"/>
        </w:rPr>
        <w:tab/>
      </w:r>
      <w:r w:rsidRPr="00D43965">
        <w:rPr>
          <w:sz w:val="24"/>
          <w:szCs w:val="24"/>
        </w:rPr>
        <w:tab/>
      </w:r>
      <w:r w:rsidRPr="00D43965">
        <w:rPr>
          <w:sz w:val="24"/>
          <w:szCs w:val="24"/>
        </w:rPr>
        <w:tab/>
      </w:r>
      <w:r w:rsidRPr="00D43965">
        <w:rPr>
          <w:sz w:val="24"/>
          <w:szCs w:val="24"/>
        </w:rPr>
        <w:tab/>
      </w:r>
      <w:r w:rsidRPr="00D43965">
        <w:rPr>
          <w:sz w:val="24"/>
          <w:szCs w:val="24"/>
        </w:rPr>
        <w:tab/>
      </w:r>
      <w:r w:rsidRPr="00D43965">
        <w:rPr>
          <w:sz w:val="24"/>
          <w:szCs w:val="24"/>
        </w:rPr>
        <w:tab/>
        <w:t>Resolution No.: M-4840</w:t>
      </w:r>
    </w:p>
    <w:p w:rsidRPr="00D43965" w:rsidR="00607348" w:rsidP="00926539" w:rsidRDefault="00607348" w14:paraId="067F8CD0" w14:textId="77777777">
      <w:pPr>
        <w:jc w:val="center"/>
        <w:rPr>
          <w:b/>
          <w:bCs/>
          <w:sz w:val="24"/>
          <w:szCs w:val="24"/>
        </w:rPr>
      </w:pPr>
    </w:p>
    <w:p w:rsidRPr="00D43965" w:rsidR="00926539" w:rsidP="00926539" w:rsidRDefault="00926539" w14:paraId="61A6942F" w14:textId="77777777">
      <w:pPr>
        <w:jc w:val="center"/>
        <w:rPr>
          <w:b/>
          <w:bCs/>
          <w:sz w:val="24"/>
          <w:szCs w:val="24"/>
        </w:rPr>
      </w:pPr>
    </w:p>
    <w:p w:rsidRPr="00D43965" w:rsidR="00926539" w:rsidP="00926539" w:rsidRDefault="00926539" w14:paraId="4E8FCCBA" w14:textId="77777777">
      <w:pPr>
        <w:jc w:val="center"/>
        <w:outlineLvl w:val="0"/>
        <w:rPr>
          <w:b/>
          <w:sz w:val="24"/>
          <w:szCs w:val="24"/>
          <w:u w:val="single"/>
        </w:rPr>
      </w:pPr>
      <w:r w:rsidRPr="00D43965">
        <w:rPr>
          <w:b/>
          <w:sz w:val="24"/>
          <w:szCs w:val="24"/>
          <w:u w:val="single"/>
        </w:rPr>
        <w:t>R</w:t>
      </w:r>
      <w:r w:rsidRPr="00D43965">
        <w:rPr>
          <w:b/>
          <w:sz w:val="24"/>
          <w:szCs w:val="24"/>
        </w:rPr>
        <w:t xml:space="preserve"> </w:t>
      </w:r>
      <w:r w:rsidRPr="00D43965">
        <w:rPr>
          <w:b/>
          <w:sz w:val="24"/>
          <w:szCs w:val="24"/>
          <w:u w:val="single"/>
        </w:rPr>
        <w:t>E</w:t>
      </w:r>
      <w:r w:rsidRPr="00D43965">
        <w:rPr>
          <w:b/>
          <w:sz w:val="24"/>
          <w:szCs w:val="24"/>
        </w:rPr>
        <w:t xml:space="preserve"> </w:t>
      </w:r>
      <w:r w:rsidRPr="00D43965">
        <w:rPr>
          <w:b/>
          <w:sz w:val="24"/>
          <w:szCs w:val="24"/>
          <w:u w:val="single"/>
        </w:rPr>
        <w:t>S</w:t>
      </w:r>
      <w:r w:rsidRPr="00D43965">
        <w:rPr>
          <w:b/>
          <w:sz w:val="24"/>
          <w:szCs w:val="24"/>
        </w:rPr>
        <w:t xml:space="preserve"> </w:t>
      </w:r>
      <w:r w:rsidRPr="00D43965">
        <w:rPr>
          <w:b/>
          <w:sz w:val="24"/>
          <w:szCs w:val="24"/>
          <w:u w:val="single"/>
        </w:rPr>
        <w:t>O</w:t>
      </w:r>
      <w:r w:rsidRPr="00D43965">
        <w:rPr>
          <w:b/>
          <w:sz w:val="24"/>
          <w:szCs w:val="24"/>
        </w:rPr>
        <w:t xml:space="preserve"> </w:t>
      </w:r>
      <w:r w:rsidRPr="00D43965">
        <w:rPr>
          <w:b/>
          <w:sz w:val="24"/>
          <w:szCs w:val="24"/>
          <w:u w:val="single"/>
        </w:rPr>
        <w:t>L</w:t>
      </w:r>
      <w:r w:rsidRPr="00D43965">
        <w:rPr>
          <w:b/>
          <w:sz w:val="24"/>
          <w:szCs w:val="24"/>
        </w:rPr>
        <w:t xml:space="preserve"> </w:t>
      </w:r>
      <w:r w:rsidRPr="00D43965">
        <w:rPr>
          <w:b/>
          <w:sz w:val="24"/>
          <w:szCs w:val="24"/>
          <w:u w:val="single"/>
        </w:rPr>
        <w:t>U</w:t>
      </w:r>
      <w:r w:rsidRPr="00D43965">
        <w:rPr>
          <w:b/>
          <w:sz w:val="24"/>
          <w:szCs w:val="24"/>
        </w:rPr>
        <w:t xml:space="preserve"> </w:t>
      </w:r>
      <w:r w:rsidRPr="00D43965">
        <w:rPr>
          <w:b/>
          <w:sz w:val="24"/>
          <w:szCs w:val="24"/>
          <w:u w:val="single"/>
        </w:rPr>
        <w:t>T</w:t>
      </w:r>
      <w:r w:rsidRPr="00D43965">
        <w:rPr>
          <w:b/>
          <w:sz w:val="24"/>
          <w:szCs w:val="24"/>
        </w:rPr>
        <w:t xml:space="preserve"> </w:t>
      </w:r>
      <w:r w:rsidRPr="00D43965">
        <w:rPr>
          <w:b/>
          <w:sz w:val="24"/>
          <w:szCs w:val="24"/>
          <w:u w:val="single"/>
        </w:rPr>
        <w:t>I</w:t>
      </w:r>
      <w:r w:rsidRPr="00D43965">
        <w:rPr>
          <w:b/>
          <w:sz w:val="24"/>
          <w:szCs w:val="24"/>
        </w:rPr>
        <w:t xml:space="preserve"> </w:t>
      </w:r>
      <w:r w:rsidRPr="00D43965">
        <w:rPr>
          <w:b/>
          <w:sz w:val="24"/>
          <w:szCs w:val="24"/>
          <w:u w:val="single"/>
        </w:rPr>
        <w:t>O</w:t>
      </w:r>
      <w:r w:rsidRPr="00D43965">
        <w:rPr>
          <w:b/>
          <w:sz w:val="24"/>
          <w:szCs w:val="24"/>
        </w:rPr>
        <w:t xml:space="preserve"> </w:t>
      </w:r>
      <w:r w:rsidRPr="00D43965">
        <w:rPr>
          <w:b/>
          <w:sz w:val="24"/>
          <w:szCs w:val="24"/>
          <w:u w:val="single"/>
        </w:rPr>
        <w:t>N</w:t>
      </w:r>
    </w:p>
    <w:p w:rsidRPr="00D43965" w:rsidR="00173121" w:rsidP="006B729C" w:rsidRDefault="00173121" w14:paraId="4622818D" w14:textId="77777777">
      <w:pPr>
        <w:ind w:left="1440" w:right="1440"/>
        <w:rPr>
          <w:sz w:val="24"/>
          <w:szCs w:val="24"/>
        </w:rPr>
      </w:pPr>
    </w:p>
    <w:p w:rsidRPr="00D43965" w:rsidR="00173121" w:rsidP="006B729C" w:rsidRDefault="00173121" w14:paraId="34D0E3C0" w14:textId="1771DC5C">
      <w:pPr>
        <w:ind w:left="1440" w:right="1440"/>
        <w:rPr>
          <w:b/>
          <w:bCs/>
          <w:sz w:val="24"/>
          <w:szCs w:val="24"/>
        </w:rPr>
      </w:pPr>
      <w:r w:rsidRPr="00D43965">
        <w:rPr>
          <w:b/>
          <w:bCs/>
          <w:sz w:val="24"/>
          <w:szCs w:val="24"/>
        </w:rPr>
        <w:t>Resolution M-</w:t>
      </w:r>
      <w:r w:rsidRPr="00D43965" w:rsidR="00163CB3">
        <w:rPr>
          <w:b/>
          <w:bCs/>
          <w:sz w:val="24"/>
          <w:szCs w:val="24"/>
        </w:rPr>
        <w:t>4840</w:t>
      </w:r>
      <w:r w:rsidRPr="00D43965">
        <w:rPr>
          <w:b/>
          <w:bCs/>
          <w:sz w:val="24"/>
          <w:szCs w:val="24"/>
        </w:rPr>
        <w:t xml:space="preserve">. Adopts level of Public Utilities Commission Transportation Reimbursement Account User Fees, effective </w:t>
      </w:r>
      <w:r w:rsidRPr="0029641A" w:rsidR="00B14931">
        <w:rPr>
          <w:b/>
          <w:bCs/>
          <w:sz w:val="24"/>
          <w:szCs w:val="24"/>
        </w:rPr>
        <w:t>December</w:t>
      </w:r>
      <w:r w:rsidRPr="0029641A" w:rsidR="0044600A">
        <w:rPr>
          <w:b/>
          <w:bCs/>
          <w:sz w:val="24"/>
          <w:szCs w:val="24"/>
        </w:rPr>
        <w:t xml:space="preserve"> </w:t>
      </w:r>
      <w:r w:rsidR="00A05750">
        <w:rPr>
          <w:b/>
          <w:bCs/>
          <w:sz w:val="24"/>
          <w:szCs w:val="24"/>
        </w:rPr>
        <w:t>3</w:t>
      </w:r>
      <w:r w:rsidRPr="0029641A">
        <w:rPr>
          <w:b/>
          <w:bCs/>
          <w:sz w:val="24"/>
          <w:szCs w:val="24"/>
        </w:rPr>
        <w:t>, 20</w:t>
      </w:r>
      <w:r w:rsidRPr="0029641A" w:rsidR="00D970CF">
        <w:rPr>
          <w:b/>
          <w:bCs/>
          <w:sz w:val="24"/>
          <w:szCs w:val="24"/>
        </w:rPr>
        <w:t>20</w:t>
      </w:r>
      <w:r w:rsidRPr="0029641A">
        <w:rPr>
          <w:b/>
          <w:bCs/>
          <w:sz w:val="24"/>
          <w:szCs w:val="24"/>
        </w:rPr>
        <w:t>.</w:t>
      </w:r>
    </w:p>
    <w:p w:rsidRPr="00D43965" w:rsidR="00C53046" w:rsidP="006B729C" w:rsidRDefault="00C53046" w14:paraId="342A8861" w14:textId="17665065">
      <w:pPr>
        <w:ind w:left="1440" w:right="1440"/>
        <w:rPr>
          <w:sz w:val="24"/>
          <w:szCs w:val="24"/>
        </w:rPr>
      </w:pPr>
      <w:r w:rsidRPr="00D43965">
        <w:rPr>
          <w:sz w:val="24"/>
          <w:szCs w:val="24"/>
        </w:rPr>
        <w:t>________________________________________________</w:t>
      </w:r>
    </w:p>
    <w:p w:rsidRPr="00D43965" w:rsidR="00C53046" w:rsidP="00A97D44" w:rsidRDefault="00C53046" w14:paraId="5EBED38B" w14:textId="77777777">
      <w:pPr>
        <w:rPr>
          <w:sz w:val="24"/>
          <w:szCs w:val="24"/>
        </w:rPr>
      </w:pPr>
    </w:p>
    <w:p w:rsidRPr="00D43965" w:rsidR="00A97D44" w:rsidP="00A97D44" w:rsidRDefault="00A97D44" w14:paraId="59C66153" w14:textId="77777777">
      <w:pPr>
        <w:rPr>
          <w:b/>
          <w:sz w:val="24"/>
          <w:szCs w:val="24"/>
          <w:u w:val="single"/>
        </w:rPr>
      </w:pPr>
      <w:r w:rsidRPr="00D43965">
        <w:rPr>
          <w:b/>
          <w:sz w:val="24"/>
          <w:szCs w:val="24"/>
          <w:u w:val="single"/>
        </w:rPr>
        <w:t>SUMMARY</w:t>
      </w:r>
    </w:p>
    <w:p w:rsidRPr="00D43965" w:rsidR="000F6958" w:rsidRDefault="000F6958" w14:paraId="2A908139" w14:textId="77777777">
      <w:pPr>
        <w:rPr>
          <w:sz w:val="24"/>
          <w:szCs w:val="24"/>
        </w:rPr>
      </w:pPr>
    </w:p>
    <w:p w:rsidRPr="00D43965" w:rsidR="006A1C37" w:rsidP="006A1C37" w:rsidRDefault="006A1C37" w14:paraId="58CCB1A3" w14:textId="7A3225DB">
      <w:pPr>
        <w:pStyle w:val="BodyText"/>
        <w:rPr>
          <w:b/>
          <w:szCs w:val="24"/>
          <w:u w:val="single"/>
        </w:rPr>
      </w:pPr>
      <w:r w:rsidRPr="00D43965">
        <w:rPr>
          <w:szCs w:val="24"/>
        </w:rPr>
        <w:t>This resolution adopts Public Utilities Commission Transportation Reimbursement Account (PUCTRA), Fund 0461, user fees as follows:</w:t>
      </w:r>
    </w:p>
    <w:p w:rsidRPr="00D43965" w:rsidR="00BE613F" w:rsidP="00F82A96" w:rsidRDefault="00BE613F" w14:paraId="349D350C" w14:textId="2827C872">
      <w:pPr>
        <w:rPr>
          <w:sz w:val="24"/>
          <w:szCs w:val="24"/>
        </w:rPr>
      </w:pPr>
    </w:p>
    <w:tbl>
      <w:tblPr>
        <w:tblStyle w:val="TableGridLight1"/>
        <w:tblW w:w="9360"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4068"/>
        <w:gridCol w:w="5292"/>
      </w:tblGrid>
      <w:tr w:rsidRPr="00D43965" w:rsidR="006A1C37" w:rsidTr="006A1C37" w14:paraId="4CB29477" w14:textId="77777777">
        <w:tc>
          <w:tcPr>
            <w:tcW w:w="4068" w:type="dxa"/>
          </w:tcPr>
          <w:p w:rsidRPr="00D43965" w:rsidR="006A1C37" w:rsidP="00C930B5" w:rsidRDefault="006A1C37" w14:paraId="10F4E6DE" w14:textId="77777777">
            <w:pPr>
              <w:pStyle w:val="Heading2"/>
              <w:widowControl/>
              <w:spacing w:line="240" w:lineRule="auto"/>
              <w:rPr>
                <w:rFonts w:ascii="Times New Roman" w:hAnsi="Times New Roman"/>
                <w:b/>
                <w:szCs w:val="24"/>
                <w:u w:val="single"/>
              </w:rPr>
            </w:pPr>
            <w:r w:rsidRPr="00D43965">
              <w:rPr>
                <w:rFonts w:ascii="Times New Roman" w:hAnsi="Times New Roman"/>
                <w:b/>
                <w:szCs w:val="24"/>
                <w:u w:val="single"/>
              </w:rPr>
              <w:t>CLASS</w:t>
            </w:r>
          </w:p>
        </w:tc>
        <w:tc>
          <w:tcPr>
            <w:tcW w:w="5292" w:type="dxa"/>
          </w:tcPr>
          <w:p w:rsidRPr="00D43965" w:rsidR="006A1C37" w:rsidP="00C930B5" w:rsidRDefault="006A1C37" w14:paraId="1293D72D" w14:textId="0B8EAF31">
            <w:pPr>
              <w:pStyle w:val="Heading2"/>
              <w:widowControl/>
              <w:spacing w:line="240" w:lineRule="auto"/>
              <w:rPr>
                <w:rFonts w:ascii="Times New Roman" w:hAnsi="Times New Roman"/>
                <w:b/>
                <w:szCs w:val="24"/>
                <w:u w:val="single"/>
              </w:rPr>
            </w:pPr>
            <w:r w:rsidRPr="00D43965">
              <w:rPr>
                <w:rFonts w:ascii="Times New Roman" w:hAnsi="Times New Roman"/>
                <w:b/>
                <w:szCs w:val="24"/>
                <w:u w:val="single"/>
              </w:rPr>
              <w:t>FEE</w:t>
            </w:r>
          </w:p>
        </w:tc>
      </w:tr>
      <w:tr w:rsidRPr="00D43965" w:rsidR="00973CEE" w:rsidTr="008E72FD" w14:paraId="6FDFDD0F" w14:textId="77777777">
        <w:tc>
          <w:tcPr>
            <w:tcW w:w="9360" w:type="dxa"/>
            <w:gridSpan w:val="2"/>
          </w:tcPr>
          <w:p w:rsidRPr="00D43965" w:rsidR="00973CEE" w:rsidP="00C930B5" w:rsidRDefault="00973CEE" w14:paraId="5097F005" w14:textId="77777777">
            <w:pPr>
              <w:pStyle w:val="Heading2"/>
              <w:widowControl/>
              <w:spacing w:line="240" w:lineRule="auto"/>
              <w:rPr>
                <w:rFonts w:ascii="Times New Roman" w:hAnsi="Times New Roman"/>
                <w:b/>
                <w:szCs w:val="24"/>
              </w:rPr>
            </w:pPr>
            <w:r w:rsidRPr="00D43965">
              <w:rPr>
                <w:rFonts w:ascii="Times New Roman" w:hAnsi="Times New Roman"/>
                <w:b/>
                <w:szCs w:val="24"/>
              </w:rPr>
              <w:t>Passenger Vehicle Operators:</w:t>
            </w:r>
          </w:p>
        </w:tc>
      </w:tr>
      <w:tr w:rsidRPr="00D43965" w:rsidR="00E9135C" w:rsidTr="006A1C37" w14:paraId="30D97066" w14:textId="77777777">
        <w:trPr>
          <w:trHeight w:val="872"/>
        </w:trPr>
        <w:tc>
          <w:tcPr>
            <w:tcW w:w="4068" w:type="dxa"/>
          </w:tcPr>
          <w:p w:rsidRPr="00D43965" w:rsidR="00E9135C" w:rsidP="00973CEE" w:rsidRDefault="00E9135C" w14:paraId="7A308234" w14:textId="02FA89CD">
            <w:pPr>
              <w:pStyle w:val="Heading2"/>
              <w:widowControl/>
              <w:spacing w:line="240" w:lineRule="auto"/>
              <w:ind w:left="161"/>
              <w:rPr>
                <w:rFonts w:ascii="Times New Roman" w:hAnsi="Times New Roman"/>
                <w:szCs w:val="24"/>
              </w:rPr>
            </w:pPr>
            <w:bookmarkStart w:name="_Hlk52534593" w:id="0"/>
            <w:r w:rsidRPr="00D43965">
              <w:rPr>
                <w:rFonts w:ascii="Times New Roman" w:hAnsi="Times New Roman"/>
                <w:szCs w:val="24"/>
              </w:rPr>
              <w:t>Charter Party Carriers</w:t>
            </w:r>
            <w:r w:rsidRPr="00D43965" w:rsidR="009730AF">
              <w:rPr>
                <w:rFonts w:ascii="Times New Roman" w:hAnsi="Times New Roman"/>
                <w:szCs w:val="24"/>
              </w:rPr>
              <w:t xml:space="preserve">, including Transportation Network </w:t>
            </w:r>
            <w:r w:rsidRPr="00D43965" w:rsidR="00401672">
              <w:rPr>
                <w:rFonts w:ascii="Times New Roman" w:hAnsi="Times New Roman"/>
                <w:szCs w:val="24"/>
              </w:rPr>
              <w:t>Companies</w:t>
            </w:r>
            <w:r w:rsidRPr="00D43965" w:rsidR="006A1C37">
              <w:rPr>
                <w:rFonts w:ascii="Times New Roman" w:hAnsi="Times New Roman"/>
                <w:szCs w:val="24"/>
              </w:rPr>
              <w:t xml:space="preserve"> </w:t>
            </w:r>
            <w:r w:rsidRPr="00D43965">
              <w:rPr>
                <w:rFonts w:ascii="Times New Roman" w:hAnsi="Times New Roman"/>
                <w:szCs w:val="24"/>
              </w:rPr>
              <w:t>and Passenger Stage Corporations</w:t>
            </w:r>
          </w:p>
        </w:tc>
        <w:tc>
          <w:tcPr>
            <w:tcW w:w="5292" w:type="dxa"/>
          </w:tcPr>
          <w:p w:rsidRPr="00D43965" w:rsidR="00E9135C" w:rsidP="00926539" w:rsidRDefault="00582C6F" w14:paraId="6C2DB72F" w14:textId="7C65BA83">
            <w:pPr>
              <w:pStyle w:val="Heading2"/>
              <w:widowControl/>
              <w:spacing w:line="240" w:lineRule="auto"/>
              <w:rPr>
                <w:rFonts w:ascii="Times New Roman" w:hAnsi="Times New Roman"/>
                <w:szCs w:val="24"/>
              </w:rPr>
            </w:pPr>
            <w:r w:rsidRPr="00D43965">
              <w:rPr>
                <w:rFonts w:ascii="Times New Roman" w:hAnsi="Times New Roman"/>
                <w:szCs w:val="24"/>
              </w:rPr>
              <w:t xml:space="preserve">0.0000 (0%) of gross </w:t>
            </w:r>
            <w:r w:rsidRPr="00D43965" w:rsidR="009D7F3A">
              <w:rPr>
                <w:rFonts w:ascii="Times New Roman" w:hAnsi="Times New Roman"/>
                <w:szCs w:val="24"/>
              </w:rPr>
              <w:t xml:space="preserve">intrastate </w:t>
            </w:r>
            <w:r w:rsidRPr="00D43965">
              <w:rPr>
                <w:rFonts w:ascii="Times New Roman" w:hAnsi="Times New Roman"/>
                <w:szCs w:val="24"/>
              </w:rPr>
              <w:t>revenue</w:t>
            </w:r>
            <w:r w:rsidRPr="00D43965" w:rsidR="00165F4F">
              <w:rPr>
                <w:rFonts w:ascii="Times New Roman" w:hAnsi="Times New Roman"/>
                <w:szCs w:val="24"/>
              </w:rPr>
              <w:t xml:space="preserve"> and $0 </w:t>
            </w:r>
            <w:r w:rsidRPr="00D43965" w:rsidR="00134A30">
              <w:rPr>
                <w:rFonts w:ascii="Times New Roman" w:hAnsi="Times New Roman"/>
                <w:szCs w:val="24"/>
              </w:rPr>
              <w:t>for each annual or quarterly payment</w:t>
            </w:r>
            <w:r w:rsidR="00A96511">
              <w:rPr>
                <w:rFonts w:ascii="Times New Roman" w:hAnsi="Times New Roman"/>
                <w:szCs w:val="24"/>
              </w:rPr>
              <w:t xml:space="preserve"> </w:t>
            </w:r>
          </w:p>
        </w:tc>
      </w:tr>
      <w:bookmarkEnd w:id="0"/>
      <w:tr w:rsidRPr="00D43965" w:rsidR="00173121" w:rsidTr="006A1C37" w14:paraId="671441AB" w14:textId="77777777">
        <w:tblPrEx>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Ex>
        <w:tc>
          <w:tcPr>
            <w:tcW w:w="4068" w:type="dxa"/>
          </w:tcPr>
          <w:p w:rsidRPr="00D43965" w:rsidR="00173121" w:rsidP="00C930B5" w:rsidRDefault="00173121" w14:paraId="20B9C94E" w14:textId="77777777">
            <w:pPr>
              <w:rPr>
                <w:b/>
                <w:sz w:val="24"/>
                <w:szCs w:val="24"/>
              </w:rPr>
            </w:pPr>
            <w:r w:rsidRPr="00D43965">
              <w:rPr>
                <w:b/>
                <w:sz w:val="24"/>
                <w:szCs w:val="24"/>
              </w:rPr>
              <w:t>Vessel Operators:</w:t>
            </w:r>
          </w:p>
        </w:tc>
        <w:tc>
          <w:tcPr>
            <w:tcW w:w="5292" w:type="dxa"/>
          </w:tcPr>
          <w:p w:rsidRPr="00D43965" w:rsidR="00173121" w:rsidRDefault="00173121" w14:paraId="126C7D6C" w14:textId="77777777">
            <w:pPr>
              <w:pStyle w:val="Heading2"/>
              <w:widowControl/>
              <w:spacing w:line="240" w:lineRule="auto"/>
              <w:rPr>
                <w:rFonts w:ascii="Times New Roman" w:hAnsi="Times New Roman"/>
                <w:szCs w:val="24"/>
              </w:rPr>
            </w:pPr>
          </w:p>
        </w:tc>
      </w:tr>
      <w:tr w:rsidRPr="00D43965" w:rsidR="000111B1" w:rsidTr="006A1C37" w14:paraId="69C8EAFB" w14:textId="77777777">
        <w:tblPrEx>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Ex>
        <w:trPr>
          <w:trHeight w:val="476"/>
        </w:trPr>
        <w:tc>
          <w:tcPr>
            <w:tcW w:w="4068" w:type="dxa"/>
          </w:tcPr>
          <w:p w:rsidRPr="00D43965" w:rsidR="000111B1" w:rsidP="00872334" w:rsidRDefault="000111B1" w14:paraId="0F28281F" w14:textId="77777777">
            <w:pPr>
              <w:ind w:left="341"/>
              <w:rPr>
                <w:sz w:val="24"/>
                <w:szCs w:val="24"/>
              </w:rPr>
            </w:pPr>
            <w:r w:rsidRPr="00D43965">
              <w:rPr>
                <w:sz w:val="24"/>
                <w:szCs w:val="24"/>
              </w:rPr>
              <w:t>Common Carrier Vessel Operator</w:t>
            </w:r>
            <w:r w:rsidRPr="00D43965">
              <w:rPr>
                <w:sz w:val="24"/>
                <w:szCs w:val="24"/>
              </w:rPr>
              <w:tab/>
            </w:r>
          </w:p>
        </w:tc>
        <w:tc>
          <w:tcPr>
            <w:tcW w:w="5292" w:type="dxa"/>
          </w:tcPr>
          <w:p w:rsidRPr="00D43965" w:rsidR="000111B1" w:rsidP="000111B1" w:rsidRDefault="000111B1" w14:paraId="1297EF6D" w14:textId="77DC585A">
            <w:pPr>
              <w:rPr>
                <w:sz w:val="24"/>
                <w:szCs w:val="24"/>
              </w:rPr>
            </w:pPr>
            <w:r w:rsidRPr="00D43965">
              <w:rPr>
                <w:sz w:val="24"/>
                <w:szCs w:val="24"/>
              </w:rPr>
              <w:t>0.</w:t>
            </w:r>
            <w:r w:rsidRPr="00D43965" w:rsidR="00D953A8">
              <w:rPr>
                <w:sz w:val="24"/>
                <w:szCs w:val="24"/>
              </w:rPr>
              <w:t xml:space="preserve">0033 </w:t>
            </w:r>
            <w:r w:rsidRPr="00D43965" w:rsidR="004C3424">
              <w:rPr>
                <w:sz w:val="24"/>
                <w:szCs w:val="24"/>
              </w:rPr>
              <w:t>(0</w:t>
            </w:r>
            <w:r w:rsidR="008F2241">
              <w:rPr>
                <w:sz w:val="24"/>
                <w:szCs w:val="24"/>
              </w:rPr>
              <w:t>.33</w:t>
            </w:r>
            <w:r w:rsidRPr="00D43965" w:rsidR="004C3424">
              <w:rPr>
                <w:sz w:val="24"/>
                <w:szCs w:val="24"/>
              </w:rPr>
              <w:t xml:space="preserve">%) </w:t>
            </w:r>
            <w:r w:rsidRPr="00D43965">
              <w:rPr>
                <w:sz w:val="24"/>
                <w:szCs w:val="24"/>
              </w:rPr>
              <w:t xml:space="preserve">of gross </w:t>
            </w:r>
            <w:r w:rsidRPr="00D43965" w:rsidR="009D7F3A">
              <w:rPr>
                <w:sz w:val="24"/>
                <w:szCs w:val="24"/>
              </w:rPr>
              <w:t xml:space="preserve">intrastate </w:t>
            </w:r>
            <w:r w:rsidRPr="00D43965">
              <w:rPr>
                <w:sz w:val="24"/>
                <w:szCs w:val="24"/>
              </w:rPr>
              <w:t xml:space="preserve">revenue </w:t>
            </w:r>
            <w:bookmarkStart w:name="_Hlk54015711" w:id="1"/>
            <w:r w:rsidRPr="00D43965" w:rsidR="00D953A8">
              <w:rPr>
                <w:sz w:val="24"/>
                <w:szCs w:val="24"/>
              </w:rPr>
              <w:t>plus minimum $10 quarterly fee or $25 annual fee</w:t>
            </w:r>
            <w:bookmarkEnd w:id="1"/>
          </w:p>
        </w:tc>
      </w:tr>
      <w:tr w:rsidRPr="00D43965" w:rsidR="00973CEE" w:rsidTr="008E72FD" w14:paraId="78ECAF08" w14:textId="77777777">
        <w:tblPrEx>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Ex>
        <w:trPr>
          <w:trHeight w:val="350"/>
        </w:trPr>
        <w:tc>
          <w:tcPr>
            <w:tcW w:w="9360" w:type="dxa"/>
            <w:gridSpan w:val="2"/>
            <w:vAlign w:val="bottom"/>
          </w:tcPr>
          <w:p w:rsidRPr="00D43965" w:rsidR="00973CEE" w:rsidP="00173121" w:rsidRDefault="00973CEE" w14:paraId="5BEB9CD6" w14:textId="77777777">
            <w:pPr>
              <w:rPr>
                <w:b/>
                <w:sz w:val="24"/>
                <w:szCs w:val="24"/>
              </w:rPr>
            </w:pPr>
            <w:r w:rsidRPr="00D43965">
              <w:rPr>
                <w:b/>
                <w:sz w:val="24"/>
                <w:szCs w:val="24"/>
              </w:rPr>
              <w:t>Railroad Corporations:</w:t>
            </w:r>
          </w:p>
        </w:tc>
      </w:tr>
      <w:tr w:rsidRPr="00D43965" w:rsidR="00973CEE" w:rsidTr="001F2363" w14:paraId="48C309B7" w14:textId="77777777">
        <w:tblPrEx>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Ex>
        <w:trPr>
          <w:trHeight w:val="368"/>
        </w:trPr>
        <w:tc>
          <w:tcPr>
            <w:tcW w:w="9360" w:type="dxa"/>
            <w:gridSpan w:val="2"/>
          </w:tcPr>
          <w:p w:rsidRPr="00D43965" w:rsidR="00973CEE" w:rsidP="00173121" w:rsidRDefault="00973CEE" w14:paraId="2B03B853" w14:textId="77777777">
            <w:pPr>
              <w:rPr>
                <w:sz w:val="24"/>
                <w:szCs w:val="24"/>
              </w:rPr>
            </w:pPr>
            <w:r w:rsidRPr="00D43965">
              <w:rPr>
                <w:sz w:val="24"/>
                <w:szCs w:val="24"/>
              </w:rPr>
              <w:t>Class I:</w:t>
            </w:r>
          </w:p>
        </w:tc>
      </w:tr>
      <w:tr w:rsidRPr="00D43965" w:rsidR="007A165B" w:rsidTr="006A1C37" w14:paraId="744FD3F0" w14:textId="77777777">
        <w:tblPrEx>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Ex>
        <w:tc>
          <w:tcPr>
            <w:tcW w:w="4068" w:type="dxa"/>
          </w:tcPr>
          <w:p w:rsidRPr="00D43965" w:rsidR="007A165B" w:rsidP="00872334" w:rsidRDefault="007A165B" w14:paraId="7D5888D8" w14:textId="77777777">
            <w:pPr>
              <w:ind w:firstLine="521"/>
              <w:rPr>
                <w:sz w:val="24"/>
                <w:szCs w:val="24"/>
              </w:rPr>
            </w:pPr>
            <w:r w:rsidRPr="00D43965">
              <w:rPr>
                <w:sz w:val="24"/>
                <w:szCs w:val="24"/>
              </w:rPr>
              <w:t>Burlington Northern Santa Fe</w:t>
            </w:r>
          </w:p>
        </w:tc>
        <w:tc>
          <w:tcPr>
            <w:tcW w:w="5292" w:type="dxa"/>
          </w:tcPr>
          <w:p w:rsidRPr="00D43965" w:rsidR="007A165B" w:rsidP="001F2363" w:rsidRDefault="007A165B" w14:paraId="4886BEBA" w14:textId="1838F60D">
            <w:pPr>
              <w:jc w:val="right"/>
              <w:rPr>
                <w:sz w:val="24"/>
                <w:szCs w:val="24"/>
              </w:rPr>
            </w:pPr>
            <w:r w:rsidRPr="00D43965">
              <w:rPr>
                <w:sz w:val="24"/>
                <w:szCs w:val="24"/>
              </w:rPr>
              <w:t>$</w:t>
            </w:r>
            <w:r w:rsidRPr="00D43965" w:rsidR="00D970CF">
              <w:rPr>
                <w:sz w:val="24"/>
                <w:szCs w:val="24"/>
              </w:rPr>
              <w:t>3,391,022.20</w:t>
            </w:r>
          </w:p>
        </w:tc>
      </w:tr>
      <w:tr w:rsidRPr="00D43965" w:rsidR="00173121" w:rsidTr="006A1C37" w14:paraId="207ED836" w14:textId="77777777">
        <w:tblPrEx>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Ex>
        <w:tc>
          <w:tcPr>
            <w:tcW w:w="4068" w:type="dxa"/>
          </w:tcPr>
          <w:p w:rsidRPr="00D43965" w:rsidR="00173121" w:rsidP="00872334" w:rsidRDefault="00173121" w14:paraId="35828D62" w14:textId="77777777">
            <w:pPr>
              <w:ind w:firstLine="521"/>
              <w:rPr>
                <w:sz w:val="24"/>
                <w:szCs w:val="24"/>
              </w:rPr>
            </w:pPr>
            <w:r w:rsidRPr="00D43965">
              <w:rPr>
                <w:sz w:val="24"/>
                <w:szCs w:val="24"/>
              </w:rPr>
              <w:t>Union Pacific</w:t>
            </w:r>
          </w:p>
        </w:tc>
        <w:tc>
          <w:tcPr>
            <w:tcW w:w="5292" w:type="dxa"/>
          </w:tcPr>
          <w:p w:rsidRPr="00D43965" w:rsidR="00173121" w:rsidP="001F2363" w:rsidRDefault="007A165B" w14:paraId="6C76B15B" w14:textId="14089917">
            <w:pPr>
              <w:jc w:val="right"/>
              <w:rPr>
                <w:sz w:val="24"/>
                <w:szCs w:val="24"/>
              </w:rPr>
            </w:pPr>
            <w:r w:rsidRPr="00D43965">
              <w:rPr>
                <w:sz w:val="24"/>
                <w:szCs w:val="24"/>
              </w:rPr>
              <w:t>$</w:t>
            </w:r>
            <w:r w:rsidRPr="00D43965" w:rsidR="00D970CF">
              <w:rPr>
                <w:sz w:val="24"/>
                <w:szCs w:val="24"/>
              </w:rPr>
              <w:t>8,304,657.80</w:t>
            </w:r>
          </w:p>
        </w:tc>
      </w:tr>
      <w:tr w:rsidRPr="00D43965" w:rsidR="00173121" w:rsidTr="006A1C37" w14:paraId="0971879B" w14:textId="77777777">
        <w:tblPrEx>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Ex>
        <w:tc>
          <w:tcPr>
            <w:tcW w:w="4068" w:type="dxa"/>
          </w:tcPr>
          <w:p w:rsidRPr="00D43965" w:rsidR="00173121" w:rsidP="000F7E58" w:rsidRDefault="00173121" w14:paraId="3D3955AD" w14:textId="5F592717">
            <w:pPr>
              <w:rPr>
                <w:sz w:val="24"/>
                <w:szCs w:val="24"/>
              </w:rPr>
            </w:pPr>
            <w:r w:rsidRPr="00D43965">
              <w:rPr>
                <w:sz w:val="24"/>
                <w:szCs w:val="24"/>
              </w:rPr>
              <w:t>Class II and III (</w:t>
            </w:r>
            <w:proofErr w:type="spellStart"/>
            <w:r w:rsidRPr="00D43965">
              <w:rPr>
                <w:sz w:val="24"/>
                <w:szCs w:val="24"/>
              </w:rPr>
              <w:t>shortline</w:t>
            </w:r>
            <w:proofErr w:type="spellEnd"/>
            <w:r w:rsidRPr="00D43965">
              <w:rPr>
                <w:sz w:val="24"/>
                <w:szCs w:val="24"/>
              </w:rPr>
              <w:t>)</w:t>
            </w:r>
          </w:p>
        </w:tc>
        <w:tc>
          <w:tcPr>
            <w:tcW w:w="5292" w:type="dxa"/>
          </w:tcPr>
          <w:p w:rsidRPr="00D43965" w:rsidR="00173121" w:rsidP="00173121" w:rsidRDefault="008F2241" w14:paraId="5B98A151" w14:textId="7943DC5F">
            <w:pPr>
              <w:rPr>
                <w:sz w:val="24"/>
                <w:szCs w:val="24"/>
              </w:rPr>
            </w:pPr>
            <w:r>
              <w:rPr>
                <w:sz w:val="24"/>
                <w:szCs w:val="24"/>
              </w:rPr>
              <w:t>0.0027 (</w:t>
            </w:r>
            <w:r w:rsidRPr="00D43965" w:rsidR="00173121">
              <w:rPr>
                <w:sz w:val="24"/>
                <w:szCs w:val="24"/>
              </w:rPr>
              <w:t>0.2</w:t>
            </w:r>
            <w:r w:rsidRPr="00D43965" w:rsidR="008E4AB4">
              <w:rPr>
                <w:sz w:val="24"/>
                <w:szCs w:val="24"/>
              </w:rPr>
              <w:t>7</w:t>
            </w:r>
            <w:r w:rsidRPr="00D43965" w:rsidR="00173121">
              <w:rPr>
                <w:sz w:val="24"/>
                <w:szCs w:val="24"/>
              </w:rPr>
              <w:t>%</w:t>
            </w:r>
            <w:r>
              <w:rPr>
                <w:sz w:val="24"/>
                <w:szCs w:val="24"/>
              </w:rPr>
              <w:t>)</w:t>
            </w:r>
            <w:r w:rsidRPr="00D43965" w:rsidR="00173121">
              <w:rPr>
                <w:sz w:val="24"/>
                <w:szCs w:val="24"/>
              </w:rPr>
              <w:t xml:space="preserve"> of gross </w:t>
            </w:r>
            <w:r w:rsidRPr="00D43965" w:rsidR="009D7F3A">
              <w:rPr>
                <w:sz w:val="24"/>
                <w:szCs w:val="24"/>
              </w:rPr>
              <w:t xml:space="preserve">intrastate </w:t>
            </w:r>
            <w:r w:rsidRPr="00D43965" w:rsidR="00173121">
              <w:rPr>
                <w:sz w:val="24"/>
                <w:szCs w:val="24"/>
              </w:rPr>
              <w:t xml:space="preserve">revenue, minimum of $500 </w:t>
            </w:r>
            <w:r w:rsidRPr="00D43965" w:rsidR="007A165B">
              <w:rPr>
                <w:sz w:val="24"/>
                <w:szCs w:val="24"/>
              </w:rPr>
              <w:t>e</w:t>
            </w:r>
            <w:r w:rsidRPr="00D43965" w:rsidR="00173121">
              <w:rPr>
                <w:sz w:val="24"/>
                <w:szCs w:val="24"/>
              </w:rPr>
              <w:t>ach</w:t>
            </w:r>
          </w:p>
        </w:tc>
      </w:tr>
      <w:tr w:rsidRPr="00D43965" w:rsidR="00173121" w:rsidTr="006A1C37" w14:paraId="6E058305" w14:textId="77777777">
        <w:tblPrEx>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Ex>
        <w:tc>
          <w:tcPr>
            <w:tcW w:w="4068" w:type="dxa"/>
          </w:tcPr>
          <w:p w:rsidRPr="00D43965" w:rsidR="00173121" w:rsidP="00173121" w:rsidRDefault="00173121" w14:paraId="636BFD5A" w14:textId="77777777">
            <w:pPr>
              <w:rPr>
                <w:b/>
                <w:sz w:val="24"/>
                <w:szCs w:val="24"/>
              </w:rPr>
            </w:pPr>
            <w:r w:rsidRPr="00D43965">
              <w:rPr>
                <w:b/>
                <w:sz w:val="24"/>
                <w:szCs w:val="24"/>
              </w:rPr>
              <w:t>Pipeline Corporations</w:t>
            </w:r>
          </w:p>
        </w:tc>
        <w:tc>
          <w:tcPr>
            <w:tcW w:w="5292" w:type="dxa"/>
          </w:tcPr>
          <w:p w:rsidRPr="00D43965" w:rsidR="00173121" w:rsidP="00173121" w:rsidRDefault="000111B1" w14:paraId="40E360CE" w14:textId="3F438CF4">
            <w:pPr>
              <w:rPr>
                <w:sz w:val="24"/>
                <w:szCs w:val="24"/>
              </w:rPr>
            </w:pPr>
            <w:r w:rsidRPr="00D43965">
              <w:rPr>
                <w:sz w:val="24"/>
                <w:szCs w:val="24"/>
              </w:rPr>
              <w:t>0.</w:t>
            </w:r>
            <w:r w:rsidRPr="00D43965" w:rsidR="00D953A8">
              <w:rPr>
                <w:sz w:val="24"/>
                <w:szCs w:val="24"/>
              </w:rPr>
              <w:t xml:space="preserve">00034 </w:t>
            </w:r>
            <w:r w:rsidRPr="00D43965" w:rsidR="004C3424">
              <w:rPr>
                <w:sz w:val="24"/>
                <w:szCs w:val="24"/>
              </w:rPr>
              <w:t>(0</w:t>
            </w:r>
            <w:r w:rsidR="008F2241">
              <w:rPr>
                <w:sz w:val="24"/>
                <w:szCs w:val="24"/>
              </w:rPr>
              <w:t>.034</w:t>
            </w:r>
            <w:r w:rsidRPr="00D43965" w:rsidR="004C3424">
              <w:rPr>
                <w:sz w:val="24"/>
                <w:szCs w:val="24"/>
              </w:rPr>
              <w:t xml:space="preserve">%) </w:t>
            </w:r>
            <w:r w:rsidRPr="00D43965">
              <w:rPr>
                <w:sz w:val="24"/>
                <w:szCs w:val="24"/>
              </w:rPr>
              <w:t xml:space="preserve">of gross </w:t>
            </w:r>
            <w:r w:rsidRPr="00D43965" w:rsidR="009D7F3A">
              <w:rPr>
                <w:sz w:val="24"/>
                <w:szCs w:val="24"/>
              </w:rPr>
              <w:t xml:space="preserve">intrastate </w:t>
            </w:r>
            <w:r w:rsidRPr="00D43965">
              <w:rPr>
                <w:sz w:val="24"/>
                <w:szCs w:val="24"/>
              </w:rPr>
              <w:t>revenue</w:t>
            </w:r>
          </w:p>
        </w:tc>
      </w:tr>
    </w:tbl>
    <w:p w:rsidRPr="00D43965" w:rsidR="00DF700B" w:rsidP="009C7276" w:rsidRDefault="00DF700B" w14:paraId="5CDA08A8" w14:textId="77777777">
      <w:pPr>
        <w:pStyle w:val="BodyText"/>
        <w:rPr>
          <w:b/>
          <w:szCs w:val="24"/>
          <w:u w:val="single"/>
        </w:rPr>
      </w:pPr>
    </w:p>
    <w:p w:rsidRPr="00D43965" w:rsidR="007F1836" w:rsidP="009C7276" w:rsidRDefault="007F1836" w14:paraId="1503B441" w14:textId="77777777">
      <w:pPr>
        <w:pStyle w:val="BodyText"/>
        <w:rPr>
          <w:b/>
          <w:szCs w:val="24"/>
          <w:u w:val="single"/>
        </w:rPr>
      </w:pPr>
      <w:r w:rsidRPr="00D43965">
        <w:rPr>
          <w:b/>
          <w:szCs w:val="24"/>
          <w:u w:val="single"/>
        </w:rPr>
        <w:t>BACKGROUND</w:t>
      </w:r>
    </w:p>
    <w:p w:rsidRPr="00D43965" w:rsidR="006A1C37" w:rsidP="006A1C37" w:rsidRDefault="006A1C37" w14:paraId="47E0EDCB" w14:textId="77777777">
      <w:pPr>
        <w:rPr>
          <w:sz w:val="24"/>
          <w:szCs w:val="24"/>
          <w:lang w:val="fr-FR"/>
        </w:rPr>
      </w:pPr>
    </w:p>
    <w:p w:rsidRPr="002723FD" w:rsidR="006A1C37" w:rsidP="000F7E58" w:rsidRDefault="006A1C37" w14:paraId="28C9CF45" w14:textId="727DBDBC">
      <w:pPr>
        <w:pStyle w:val="BodyText"/>
        <w:rPr>
          <w:lang w:val="fr-FR"/>
        </w:rPr>
      </w:pPr>
      <w:bookmarkStart w:name="_Hlk51767439" w:id="2"/>
      <w:r w:rsidRPr="00D43965">
        <w:rPr>
          <w:szCs w:val="24"/>
        </w:rPr>
        <w:t>The California Public Utilities Commission (CPUC</w:t>
      </w:r>
      <w:r w:rsidRPr="00D43965" w:rsidR="00401672">
        <w:rPr>
          <w:szCs w:val="24"/>
        </w:rPr>
        <w:t xml:space="preserve"> or Commission</w:t>
      </w:r>
      <w:r w:rsidRPr="00D43965">
        <w:rPr>
          <w:szCs w:val="24"/>
        </w:rPr>
        <w:t xml:space="preserve">) </w:t>
      </w:r>
      <w:r w:rsidRPr="00D43965" w:rsidR="00632105">
        <w:rPr>
          <w:szCs w:val="24"/>
        </w:rPr>
        <w:t xml:space="preserve">is authorized by </w:t>
      </w:r>
      <w:r w:rsidRPr="00D43965" w:rsidR="00401672">
        <w:rPr>
          <w:szCs w:val="24"/>
        </w:rPr>
        <w:t xml:space="preserve">the </w:t>
      </w:r>
      <w:r w:rsidRPr="00D43965" w:rsidR="00AD015B">
        <w:rPr>
          <w:szCs w:val="24"/>
        </w:rPr>
        <w:t xml:space="preserve">California </w:t>
      </w:r>
      <w:r w:rsidRPr="00D43965">
        <w:rPr>
          <w:szCs w:val="24"/>
        </w:rPr>
        <w:t>Public Utilities Code to annually assess user fees for transportation carriers, railroad corporations</w:t>
      </w:r>
      <w:r w:rsidRPr="00D43965" w:rsidR="001C2674">
        <w:rPr>
          <w:szCs w:val="24"/>
        </w:rPr>
        <w:t>,</w:t>
      </w:r>
      <w:r w:rsidRPr="00D43965">
        <w:rPr>
          <w:szCs w:val="24"/>
        </w:rPr>
        <w:t xml:space="preserve"> and pipeline corporations. </w:t>
      </w:r>
      <w:r w:rsidRPr="002723FD">
        <w:rPr>
          <w:lang w:val="fr-FR"/>
        </w:rPr>
        <w:t>Public Utilities Code Section 421</w:t>
      </w:r>
      <w:r w:rsidRPr="002723FD" w:rsidR="00632105">
        <w:rPr>
          <w:lang w:val="fr-FR"/>
        </w:rPr>
        <w:t xml:space="preserve"> </w:t>
      </w:r>
      <w:proofErr w:type="gramStart"/>
      <w:r w:rsidRPr="002723FD" w:rsidR="00632105">
        <w:rPr>
          <w:lang w:val="fr-FR"/>
        </w:rPr>
        <w:t>states</w:t>
      </w:r>
      <w:r w:rsidRPr="002723FD">
        <w:rPr>
          <w:lang w:val="fr-FR"/>
        </w:rPr>
        <w:t>:</w:t>
      </w:r>
      <w:proofErr w:type="gramEnd"/>
    </w:p>
    <w:bookmarkEnd w:id="2"/>
    <w:p w:rsidRPr="00D43965" w:rsidR="006A1C37" w:rsidP="00732C0C" w:rsidRDefault="006A1C37" w14:paraId="612154EB" w14:textId="77777777">
      <w:pPr>
        <w:rPr>
          <w:sz w:val="24"/>
          <w:szCs w:val="24"/>
          <w:lang w:val="fr-FR"/>
        </w:rPr>
      </w:pPr>
    </w:p>
    <w:p w:rsidRPr="00D43965" w:rsidR="00A117F2" w:rsidP="00595FFD" w:rsidRDefault="00926539" w14:paraId="27D04CD2" w14:textId="4529783F">
      <w:pPr>
        <w:shd w:val="clear" w:color="auto" w:fill="FFFFFF"/>
        <w:spacing w:after="120"/>
        <w:ind w:left="1080" w:right="1440" w:hanging="360"/>
        <w:textAlignment w:val="baseline"/>
        <w:rPr>
          <w:color w:val="000000" w:themeColor="text1"/>
          <w:sz w:val="24"/>
          <w:szCs w:val="24"/>
          <w:bdr w:val="none" w:color="auto" w:sz="0" w:space="0" w:frame="1"/>
        </w:rPr>
      </w:pPr>
      <w:r w:rsidRPr="00D43965">
        <w:rPr>
          <w:color w:val="000000" w:themeColor="text1"/>
          <w:sz w:val="24"/>
          <w:szCs w:val="24"/>
          <w:bdr w:val="none" w:color="auto" w:sz="0" w:space="0" w:frame="1"/>
        </w:rPr>
        <w:t>(a)</w:t>
      </w:r>
      <w:r w:rsidRPr="00D43965">
        <w:rPr>
          <w:color w:val="000000" w:themeColor="text1"/>
          <w:sz w:val="24"/>
          <w:szCs w:val="24"/>
          <w:bdr w:val="none" w:color="auto" w:sz="0" w:space="0" w:frame="1"/>
        </w:rPr>
        <w:tab/>
      </w:r>
      <w:r w:rsidRPr="00D43965" w:rsidR="00A117F2">
        <w:rPr>
          <w:color w:val="000000" w:themeColor="text1"/>
          <w:sz w:val="24"/>
          <w:szCs w:val="24"/>
          <w:bdr w:val="none" w:color="auto" w:sz="0" w:space="0" w:frame="1"/>
        </w:rPr>
        <w:t xml:space="preserve">The commission shall annually determine a fee to be paid by every passenger stage corporation, charter-party carrier of passengers, pipeline corporation, for-hire vessel operator, common carrier vessel operator, railroad corporation, and commercial air operator, and every </w:t>
      </w:r>
      <w:r w:rsidRPr="00D43965" w:rsidR="00A117F2">
        <w:rPr>
          <w:color w:val="000000" w:themeColor="text1"/>
          <w:sz w:val="24"/>
          <w:szCs w:val="24"/>
          <w:bdr w:val="none" w:color="auto" w:sz="0" w:space="0" w:frame="1"/>
        </w:rPr>
        <w:lastRenderedPageBreak/>
        <w:t>other common carrier and related business subject to the jurisdiction of the commission, except as otherwise provided in Article 3 (commencing with Section 431) of this chapter and Chapter 6 (commencing with Section 5001) of Division 2.</w:t>
      </w:r>
    </w:p>
    <w:p w:rsidRPr="00D43965" w:rsidR="00A117F2" w:rsidP="00595FFD" w:rsidRDefault="00A117F2" w14:paraId="7D1FEE0D" w14:textId="7F3A049F">
      <w:pPr>
        <w:shd w:val="clear" w:color="auto" w:fill="FFFFFF"/>
        <w:spacing w:after="120"/>
        <w:ind w:left="1080" w:right="1440" w:hanging="360"/>
        <w:textAlignment w:val="baseline"/>
        <w:rPr>
          <w:color w:val="000000" w:themeColor="text1"/>
          <w:sz w:val="24"/>
          <w:szCs w:val="24"/>
          <w:bdr w:val="none" w:color="auto" w:sz="0" w:space="0" w:frame="1"/>
        </w:rPr>
      </w:pPr>
      <w:r w:rsidRPr="00D43965">
        <w:rPr>
          <w:color w:val="000000" w:themeColor="text1"/>
          <w:sz w:val="24"/>
          <w:szCs w:val="24"/>
          <w:bdr w:val="none" w:color="auto" w:sz="0" w:space="0" w:frame="1"/>
        </w:rPr>
        <w:t>(b)</w:t>
      </w:r>
      <w:r w:rsidRPr="00D43965" w:rsidR="00926539">
        <w:rPr>
          <w:color w:val="000000" w:themeColor="text1"/>
          <w:sz w:val="24"/>
          <w:szCs w:val="24"/>
          <w:bdr w:val="none" w:color="auto" w:sz="0" w:space="0" w:frame="1"/>
        </w:rPr>
        <w:tab/>
      </w:r>
      <w:r w:rsidRPr="00D43965">
        <w:rPr>
          <w:color w:val="000000" w:themeColor="text1"/>
          <w:sz w:val="24"/>
          <w:szCs w:val="24"/>
          <w:bdr w:val="none" w:color="auto" w:sz="0" w:space="0" w:frame="1"/>
        </w:rPr>
        <w:t>The annual fee shall be established to produce a total amount equal to the amount established in the authorized commission budget for the same year, including adjustments appropriated by the Legislature and an appropriate reserve, to regulate common carriers and related businesses, less the amount to be paid from special accounts or funds pursuant to Section 403, reimbursements, federal funds, other revenues, and unencumbered funds from the preceding year.</w:t>
      </w:r>
    </w:p>
    <w:p w:rsidRPr="00D43965" w:rsidR="00A117F2" w:rsidP="00595FFD" w:rsidRDefault="00A117F2" w14:paraId="4CFC59CA" w14:textId="7C8C03F7">
      <w:pPr>
        <w:shd w:val="clear" w:color="auto" w:fill="FFFFFF"/>
        <w:spacing w:after="120"/>
        <w:ind w:left="1080" w:right="1440" w:hanging="360"/>
        <w:textAlignment w:val="baseline"/>
        <w:rPr>
          <w:color w:val="000000" w:themeColor="text1"/>
          <w:sz w:val="24"/>
          <w:szCs w:val="24"/>
          <w:bdr w:val="none" w:color="auto" w:sz="0" w:space="0" w:frame="1"/>
        </w:rPr>
      </w:pPr>
      <w:r w:rsidRPr="00D43965">
        <w:rPr>
          <w:color w:val="000000" w:themeColor="text1"/>
          <w:sz w:val="24"/>
          <w:szCs w:val="24"/>
          <w:bdr w:val="none" w:color="auto" w:sz="0" w:space="0" w:frame="1"/>
        </w:rPr>
        <w:t>(c)</w:t>
      </w:r>
      <w:r w:rsidRPr="00D43965" w:rsidR="00926539">
        <w:rPr>
          <w:color w:val="000000" w:themeColor="text1"/>
          <w:sz w:val="24"/>
          <w:szCs w:val="24"/>
          <w:bdr w:val="none" w:color="auto" w:sz="0" w:space="0" w:frame="1"/>
        </w:rPr>
        <w:tab/>
      </w:r>
      <w:r w:rsidRPr="00D43965">
        <w:rPr>
          <w:color w:val="000000" w:themeColor="text1"/>
          <w:sz w:val="24"/>
          <w:szCs w:val="24"/>
          <w:bdr w:val="none" w:color="auto" w:sz="0" w:space="0" w:frame="1"/>
        </w:rPr>
        <w:t>Notwithstanding any other provision of law, the fees paid by railroad corporations shall be used for state-funded railroad investigation and enforcement activities of the commission, other than the rail safety activities funded by the Transportation Planning and Development Account pursuant to Section 99315. The railroad fees shall be set annually at a level that generates not less than the amount sufficient to fund activities pursuant to Sections 765.5, 916.2, and 7712.</w:t>
      </w:r>
    </w:p>
    <w:p w:rsidRPr="00D43965" w:rsidR="00A117F2" w:rsidP="00595FFD" w:rsidRDefault="00A117F2" w14:paraId="080D77F9" w14:textId="1088E54E">
      <w:pPr>
        <w:shd w:val="clear" w:color="auto" w:fill="FFFFFF"/>
        <w:spacing w:after="120"/>
        <w:ind w:left="1080" w:right="1440" w:hanging="360"/>
        <w:textAlignment w:val="baseline"/>
        <w:rPr>
          <w:color w:val="000000" w:themeColor="text1"/>
          <w:sz w:val="24"/>
          <w:szCs w:val="24"/>
          <w:bdr w:val="none" w:color="auto" w:sz="0" w:space="0" w:frame="1"/>
        </w:rPr>
      </w:pPr>
      <w:r w:rsidRPr="00D43965">
        <w:rPr>
          <w:color w:val="000000" w:themeColor="text1"/>
          <w:sz w:val="24"/>
          <w:szCs w:val="24"/>
          <w:bdr w:val="none" w:color="auto" w:sz="0" w:space="0" w:frame="1"/>
        </w:rPr>
        <w:t>(d)</w:t>
      </w:r>
      <w:r w:rsidRPr="00D43965" w:rsidR="00926539">
        <w:rPr>
          <w:color w:val="000000" w:themeColor="text1"/>
          <w:sz w:val="24"/>
          <w:szCs w:val="24"/>
          <w:bdr w:val="none" w:color="auto" w:sz="0" w:space="0" w:frame="1"/>
        </w:rPr>
        <w:tab/>
      </w:r>
      <w:r w:rsidRPr="00D43965">
        <w:rPr>
          <w:color w:val="000000" w:themeColor="text1"/>
          <w:sz w:val="24"/>
          <w:szCs w:val="24"/>
          <w:bdr w:val="none" w:color="auto" w:sz="0" w:space="0" w:frame="1"/>
        </w:rPr>
        <w:t>Expenditures of the detailed budget for the expenditure of railroad corporation fees submitted to the Legislature pursuant to Section 916.5 shall be limited to the following items:</w:t>
      </w:r>
    </w:p>
    <w:p w:rsidRPr="00D43965" w:rsidR="00A117F2" w:rsidP="006B729C" w:rsidRDefault="00A117F2" w14:paraId="07C039EB" w14:textId="42DD13AA">
      <w:pPr>
        <w:shd w:val="clear" w:color="auto" w:fill="FFFFFF"/>
        <w:spacing w:after="120"/>
        <w:ind w:left="1440" w:right="1440" w:hanging="360"/>
        <w:textAlignment w:val="baseline"/>
        <w:rPr>
          <w:color w:val="000000" w:themeColor="text1"/>
          <w:sz w:val="24"/>
          <w:szCs w:val="24"/>
          <w:bdr w:val="none" w:color="auto" w:sz="0" w:space="0" w:frame="1"/>
        </w:rPr>
      </w:pPr>
      <w:r w:rsidRPr="00D43965">
        <w:rPr>
          <w:color w:val="000000" w:themeColor="text1"/>
          <w:sz w:val="24"/>
          <w:szCs w:val="24"/>
          <w:bdr w:val="none" w:color="auto" w:sz="0" w:space="0" w:frame="1"/>
        </w:rPr>
        <w:t>(1)</w:t>
      </w:r>
      <w:r w:rsidRPr="00D43965" w:rsidR="00926539">
        <w:rPr>
          <w:color w:val="000000" w:themeColor="text1"/>
          <w:sz w:val="24"/>
          <w:szCs w:val="24"/>
          <w:bdr w:val="none" w:color="auto" w:sz="0" w:space="0" w:frame="1"/>
        </w:rPr>
        <w:tab/>
      </w:r>
      <w:r w:rsidRPr="00D43965">
        <w:rPr>
          <w:color w:val="000000" w:themeColor="text1"/>
          <w:sz w:val="24"/>
          <w:szCs w:val="24"/>
          <w:bdr w:val="none" w:color="auto" w:sz="0" w:space="0" w:frame="1"/>
        </w:rPr>
        <w:t>Expenditures for employees occupying, and actually performing service in, railroad-safety personnel positions that are directly involved in inspecting railroads and enforcing rail safety regulations. The commission shall expend the funds budgeted pursuant to this subdivision for the salaries, per diem, and travel expenses of employees specified in this paragraph, unless, by statute, the commission is specifically prohibited from expending all or part of those funds.</w:t>
      </w:r>
    </w:p>
    <w:p w:rsidRPr="00D43965" w:rsidR="00A117F2" w:rsidP="006B729C" w:rsidRDefault="00A117F2" w14:paraId="747A9128" w14:textId="6A806415">
      <w:pPr>
        <w:shd w:val="clear" w:color="auto" w:fill="FFFFFF"/>
        <w:spacing w:after="120"/>
        <w:ind w:left="1440" w:right="1440" w:hanging="360"/>
        <w:textAlignment w:val="baseline"/>
        <w:rPr>
          <w:color w:val="000000" w:themeColor="text1"/>
          <w:sz w:val="24"/>
          <w:szCs w:val="24"/>
          <w:bdr w:val="none" w:color="auto" w:sz="0" w:space="0" w:frame="1"/>
        </w:rPr>
      </w:pPr>
      <w:r w:rsidRPr="00D43965">
        <w:rPr>
          <w:color w:val="000000" w:themeColor="text1"/>
          <w:sz w:val="24"/>
          <w:szCs w:val="24"/>
          <w:bdr w:val="none" w:color="auto" w:sz="0" w:space="0" w:frame="1"/>
        </w:rPr>
        <w:t>(2)</w:t>
      </w:r>
      <w:r w:rsidRPr="00D43965" w:rsidR="00926539">
        <w:rPr>
          <w:color w:val="000000" w:themeColor="text1"/>
          <w:sz w:val="24"/>
          <w:szCs w:val="24"/>
          <w:bdr w:val="none" w:color="auto" w:sz="0" w:space="0" w:frame="1"/>
        </w:rPr>
        <w:tab/>
      </w:r>
      <w:r w:rsidRPr="00D43965">
        <w:rPr>
          <w:color w:val="000000" w:themeColor="text1"/>
          <w:sz w:val="24"/>
          <w:szCs w:val="24"/>
          <w:bdr w:val="none" w:color="auto" w:sz="0" w:space="0" w:frame="1"/>
        </w:rPr>
        <w:t>Expenditures for employees occupying, and actually performing service in, clerical and support staff positions that are directly associated with railroad-safety inspections.</w:t>
      </w:r>
    </w:p>
    <w:p w:rsidRPr="00D43965" w:rsidR="00A117F2" w:rsidP="006B729C" w:rsidRDefault="00A117F2" w14:paraId="1D1FB2DB" w14:textId="5B7E582F">
      <w:pPr>
        <w:shd w:val="clear" w:color="auto" w:fill="FFFFFF"/>
        <w:spacing w:after="120"/>
        <w:ind w:left="1440" w:right="1440" w:hanging="360"/>
        <w:textAlignment w:val="baseline"/>
        <w:rPr>
          <w:color w:val="000000" w:themeColor="text1"/>
          <w:sz w:val="24"/>
          <w:szCs w:val="24"/>
          <w:bdr w:val="none" w:color="auto" w:sz="0" w:space="0" w:frame="1"/>
        </w:rPr>
      </w:pPr>
      <w:r w:rsidRPr="00D43965">
        <w:rPr>
          <w:color w:val="000000" w:themeColor="text1"/>
          <w:sz w:val="24"/>
          <w:szCs w:val="24"/>
          <w:bdr w:val="none" w:color="auto" w:sz="0" w:space="0" w:frame="1"/>
        </w:rPr>
        <w:t>(3)</w:t>
      </w:r>
      <w:r w:rsidRPr="00D43965" w:rsidR="00926539">
        <w:rPr>
          <w:color w:val="000000" w:themeColor="text1"/>
          <w:sz w:val="24"/>
          <w:szCs w:val="24"/>
          <w:bdr w:val="none" w:color="auto" w:sz="0" w:space="0" w:frame="1"/>
        </w:rPr>
        <w:tab/>
      </w:r>
      <w:r w:rsidRPr="00D43965">
        <w:rPr>
          <w:color w:val="000000" w:themeColor="text1"/>
          <w:sz w:val="24"/>
          <w:szCs w:val="24"/>
          <w:bdr w:val="none" w:color="auto" w:sz="0" w:space="0" w:frame="1"/>
        </w:rPr>
        <w:t>Expenditures for legal personnel who actually pursue violations of rail safety regulations beyond the informal complaint level.</w:t>
      </w:r>
    </w:p>
    <w:p w:rsidRPr="00D43965" w:rsidR="00A117F2" w:rsidP="006B729C" w:rsidRDefault="00A117F2" w14:paraId="641D30D5" w14:textId="7A460E0A">
      <w:pPr>
        <w:shd w:val="clear" w:color="auto" w:fill="FFFFFF"/>
        <w:spacing w:after="120"/>
        <w:ind w:left="1440" w:right="1440" w:hanging="360"/>
        <w:textAlignment w:val="baseline"/>
        <w:rPr>
          <w:color w:val="000000" w:themeColor="text1"/>
          <w:sz w:val="24"/>
          <w:szCs w:val="24"/>
          <w:bdr w:val="none" w:color="auto" w:sz="0" w:space="0" w:frame="1"/>
        </w:rPr>
      </w:pPr>
      <w:r w:rsidRPr="00D43965">
        <w:rPr>
          <w:color w:val="000000" w:themeColor="text1"/>
          <w:sz w:val="24"/>
          <w:szCs w:val="24"/>
          <w:bdr w:val="none" w:color="auto" w:sz="0" w:space="0" w:frame="1"/>
        </w:rPr>
        <w:t>(4)</w:t>
      </w:r>
      <w:r w:rsidRPr="00D43965" w:rsidR="00926539">
        <w:rPr>
          <w:color w:val="000000" w:themeColor="text1"/>
          <w:sz w:val="24"/>
          <w:szCs w:val="24"/>
          <w:bdr w:val="none" w:color="auto" w:sz="0" w:space="0" w:frame="1"/>
        </w:rPr>
        <w:tab/>
      </w:r>
      <w:r w:rsidRPr="00D43965">
        <w:rPr>
          <w:color w:val="000000" w:themeColor="text1"/>
          <w:sz w:val="24"/>
          <w:szCs w:val="24"/>
          <w:bdr w:val="none" w:color="auto" w:sz="0" w:space="0" w:frame="1"/>
        </w:rPr>
        <w:t>Expenditures for the pro rata share of the commission’s overhead costs while state personnel are actually occupying the positions and are performing the duties specified in paragraphs (1) to (3), inclusive.</w:t>
      </w:r>
    </w:p>
    <w:p w:rsidRPr="00D43965" w:rsidR="00A117F2" w:rsidP="006B729C" w:rsidRDefault="00A117F2" w14:paraId="4EE73AD6" w14:textId="4F716D0B">
      <w:pPr>
        <w:shd w:val="clear" w:color="auto" w:fill="FFFFFF"/>
        <w:spacing w:after="120"/>
        <w:ind w:left="1080" w:right="1440" w:hanging="360"/>
        <w:textAlignment w:val="baseline"/>
        <w:rPr>
          <w:color w:val="000000" w:themeColor="text1"/>
          <w:sz w:val="24"/>
          <w:szCs w:val="24"/>
          <w:bdr w:val="none" w:color="auto" w:sz="0" w:space="0" w:frame="1"/>
        </w:rPr>
      </w:pPr>
      <w:r w:rsidRPr="00D43965">
        <w:rPr>
          <w:color w:val="000000" w:themeColor="text1"/>
          <w:sz w:val="24"/>
          <w:szCs w:val="24"/>
          <w:bdr w:val="none" w:color="auto" w:sz="0" w:space="0" w:frame="1"/>
        </w:rPr>
        <w:t>(e)</w:t>
      </w:r>
      <w:r w:rsidRPr="00D43965" w:rsidR="00926539">
        <w:rPr>
          <w:color w:val="000000" w:themeColor="text1"/>
          <w:sz w:val="24"/>
          <w:szCs w:val="24"/>
          <w:bdr w:val="none" w:color="auto" w:sz="0" w:space="0" w:frame="1"/>
        </w:rPr>
        <w:tab/>
      </w:r>
      <w:r w:rsidRPr="00D43965">
        <w:rPr>
          <w:color w:val="000000" w:themeColor="text1"/>
          <w:sz w:val="24"/>
          <w:szCs w:val="24"/>
          <w:bdr w:val="none" w:color="auto" w:sz="0" w:space="0" w:frame="1"/>
        </w:rPr>
        <w:t>The Department of Finance shall notify the Joint Legislative Budget Committee, pursuant to Section 28.00 of the annual Budget Act, prior to authorizing any change in the Budget Act appropriation for railroad corporation fees that is larger than one hundred thousand dollars ($100,000), or 10 percent of the amount budgeted, whichever is less.</w:t>
      </w:r>
    </w:p>
    <w:p w:rsidRPr="00D43965" w:rsidR="00A117F2" w:rsidP="006B729C" w:rsidRDefault="00A117F2" w14:paraId="17C90D52" w14:textId="597122E4">
      <w:pPr>
        <w:shd w:val="clear" w:color="auto" w:fill="FFFFFF"/>
        <w:spacing w:after="120"/>
        <w:ind w:left="1080" w:right="1440" w:hanging="360"/>
        <w:textAlignment w:val="baseline"/>
        <w:rPr>
          <w:color w:val="000000" w:themeColor="text1"/>
          <w:sz w:val="24"/>
          <w:szCs w:val="24"/>
          <w:bdr w:val="none" w:color="auto" w:sz="0" w:space="0" w:frame="1"/>
        </w:rPr>
      </w:pPr>
      <w:r w:rsidRPr="00D43965">
        <w:rPr>
          <w:color w:val="000000" w:themeColor="text1"/>
          <w:sz w:val="24"/>
          <w:szCs w:val="24"/>
          <w:bdr w:val="none" w:color="auto" w:sz="0" w:space="0" w:frame="1"/>
        </w:rPr>
        <w:lastRenderedPageBreak/>
        <w:t>(f)</w:t>
      </w:r>
      <w:r w:rsidRPr="00D43965" w:rsidR="00926539">
        <w:rPr>
          <w:color w:val="000000" w:themeColor="text1"/>
          <w:sz w:val="24"/>
          <w:szCs w:val="24"/>
          <w:bdr w:val="none" w:color="auto" w:sz="0" w:space="0" w:frame="1"/>
        </w:rPr>
        <w:tab/>
      </w:r>
      <w:r w:rsidRPr="00D43965">
        <w:rPr>
          <w:color w:val="000000" w:themeColor="text1"/>
          <w:sz w:val="24"/>
          <w:szCs w:val="24"/>
          <w:bdr w:val="none" w:color="auto" w:sz="0" w:space="0" w:frame="1"/>
        </w:rPr>
        <w:t>On or before January 1, 1994, the commission shall hire a minimum of four additional operating practices inspectors, exclusive of supervisory personnel, who are, or shall become by July 1, 1994, federally certified, for the purpose of enforcing compliance by railroads operating in this state with state and federal safety regulations.</w:t>
      </w:r>
    </w:p>
    <w:p w:rsidRPr="00D43965" w:rsidR="00A117F2" w:rsidP="006B729C" w:rsidRDefault="00A117F2" w14:paraId="1710B3A5" w14:textId="0952F92B">
      <w:pPr>
        <w:shd w:val="clear" w:color="auto" w:fill="FFFFFF"/>
        <w:spacing w:after="120"/>
        <w:ind w:left="1080" w:right="1440" w:hanging="360"/>
        <w:textAlignment w:val="baseline"/>
        <w:rPr>
          <w:color w:val="000000" w:themeColor="text1"/>
          <w:sz w:val="24"/>
          <w:szCs w:val="24"/>
          <w:bdr w:val="none" w:color="auto" w:sz="0" w:space="0" w:frame="1"/>
        </w:rPr>
      </w:pPr>
      <w:r w:rsidRPr="00D43965">
        <w:rPr>
          <w:color w:val="000000" w:themeColor="text1"/>
          <w:sz w:val="24"/>
          <w:szCs w:val="24"/>
          <w:bdr w:val="none" w:color="auto" w:sz="0" w:space="0" w:frame="1"/>
        </w:rPr>
        <w:t>(g)</w:t>
      </w:r>
      <w:r w:rsidRPr="00D43965" w:rsidR="00926539">
        <w:rPr>
          <w:color w:val="000000" w:themeColor="text1"/>
          <w:sz w:val="24"/>
          <w:szCs w:val="24"/>
          <w:bdr w:val="none" w:color="auto" w:sz="0" w:space="0" w:frame="1"/>
        </w:rPr>
        <w:tab/>
      </w:r>
      <w:r w:rsidRPr="00D43965">
        <w:rPr>
          <w:color w:val="000000" w:themeColor="text1"/>
          <w:sz w:val="24"/>
          <w:szCs w:val="24"/>
          <w:bdr w:val="none" w:color="auto" w:sz="0" w:space="0" w:frame="1"/>
        </w:rPr>
        <w:t>The commission, in performing its duties, shall limit the expenditure of funds for rail safety purposes to those railroad corporation fees collected pursuant to subdivision (d). In no event shall the commission fund railroad safety activities utilizing funds from other commission accounts unrelated to railroad safety.</w:t>
      </w:r>
    </w:p>
    <w:p w:rsidRPr="00D43965" w:rsidR="006C387D" w:rsidP="006B729C" w:rsidRDefault="006C387D" w14:paraId="42E8F1B8" w14:textId="3D3669AB">
      <w:pPr>
        <w:pStyle w:val="BodyText"/>
        <w:rPr>
          <w:iCs/>
          <w:color w:val="000000" w:themeColor="text1"/>
          <w:szCs w:val="24"/>
        </w:rPr>
      </w:pPr>
      <w:bookmarkStart w:name="_Hlk51770282" w:id="3"/>
      <w:r w:rsidRPr="00D43965">
        <w:rPr>
          <w:iCs/>
          <w:color w:val="000000" w:themeColor="text1"/>
          <w:szCs w:val="24"/>
        </w:rPr>
        <w:t>T</w:t>
      </w:r>
      <w:r w:rsidRPr="00D43965" w:rsidR="00E94644">
        <w:rPr>
          <w:iCs/>
          <w:color w:val="000000" w:themeColor="text1"/>
          <w:szCs w:val="24"/>
        </w:rPr>
        <w:t xml:space="preserve">he Commission </w:t>
      </w:r>
      <w:r w:rsidRPr="00D43965">
        <w:rPr>
          <w:iCs/>
          <w:color w:val="000000" w:themeColor="text1"/>
          <w:szCs w:val="24"/>
        </w:rPr>
        <w:t xml:space="preserve">annually </w:t>
      </w:r>
      <w:r w:rsidRPr="00D43965" w:rsidR="00AD015B">
        <w:rPr>
          <w:iCs/>
          <w:color w:val="000000" w:themeColor="text1"/>
          <w:szCs w:val="24"/>
        </w:rPr>
        <w:t>analyzes the amount of</w:t>
      </w:r>
      <w:r w:rsidRPr="00D43965" w:rsidR="00E94644">
        <w:rPr>
          <w:iCs/>
          <w:color w:val="000000" w:themeColor="text1"/>
          <w:szCs w:val="24"/>
        </w:rPr>
        <w:t xml:space="preserve"> PUCTRA fees </w:t>
      </w:r>
      <w:bookmarkStart w:name="_Hlk52533617" w:id="4"/>
      <w:r w:rsidRPr="00D43965" w:rsidR="00E94644">
        <w:rPr>
          <w:iCs/>
          <w:color w:val="000000" w:themeColor="text1"/>
          <w:szCs w:val="24"/>
        </w:rPr>
        <w:t xml:space="preserve">sufficient </w:t>
      </w:r>
      <w:bookmarkStart w:name="_Hlk52532894" w:id="5"/>
      <w:r w:rsidRPr="00D43965" w:rsidR="00E94644">
        <w:rPr>
          <w:iCs/>
          <w:color w:val="000000" w:themeColor="text1"/>
          <w:szCs w:val="24"/>
        </w:rPr>
        <w:t>to support the Commission’s regulatory activities</w:t>
      </w:r>
      <w:bookmarkEnd w:id="5"/>
      <w:r w:rsidRPr="00D43965" w:rsidR="00E94644">
        <w:rPr>
          <w:iCs/>
          <w:color w:val="000000" w:themeColor="text1"/>
          <w:szCs w:val="24"/>
        </w:rPr>
        <w:t xml:space="preserve"> for the </w:t>
      </w:r>
      <w:r w:rsidRPr="00D43965" w:rsidR="00165F4F">
        <w:rPr>
          <w:iCs/>
          <w:color w:val="000000" w:themeColor="text1"/>
          <w:szCs w:val="24"/>
        </w:rPr>
        <w:t xml:space="preserve">carrier </w:t>
      </w:r>
      <w:r w:rsidRPr="00D43965" w:rsidR="00E94644">
        <w:rPr>
          <w:iCs/>
          <w:color w:val="000000" w:themeColor="text1"/>
          <w:szCs w:val="24"/>
        </w:rPr>
        <w:t xml:space="preserve">class </w:t>
      </w:r>
      <w:bookmarkEnd w:id="4"/>
      <w:r w:rsidRPr="00D43965" w:rsidR="00E94644">
        <w:rPr>
          <w:iCs/>
          <w:color w:val="000000" w:themeColor="text1"/>
          <w:szCs w:val="24"/>
        </w:rPr>
        <w:t>from which the fee is collected, and to establish an appropriate reserve.</w:t>
      </w:r>
      <w:r w:rsidRPr="00D43965" w:rsidR="00AB5206">
        <w:rPr>
          <w:rStyle w:val="FootnoteReference"/>
          <w:iCs/>
          <w:color w:val="000000" w:themeColor="text1"/>
          <w:szCs w:val="24"/>
        </w:rPr>
        <w:footnoteReference w:id="1"/>
      </w:r>
      <w:r w:rsidRPr="00D43965" w:rsidR="00E94644">
        <w:rPr>
          <w:iCs/>
          <w:color w:val="000000" w:themeColor="text1"/>
          <w:szCs w:val="24"/>
        </w:rPr>
        <w:t xml:space="preserve"> </w:t>
      </w:r>
      <w:r w:rsidRPr="00D43965">
        <w:rPr>
          <w:iCs/>
          <w:color w:val="000000" w:themeColor="text1"/>
          <w:szCs w:val="24"/>
        </w:rPr>
        <w:t>The</w:t>
      </w:r>
      <w:r w:rsidRPr="00D43965" w:rsidR="00E94644">
        <w:rPr>
          <w:iCs/>
          <w:color w:val="000000" w:themeColor="text1"/>
          <w:szCs w:val="24"/>
        </w:rPr>
        <w:t xml:space="preserve"> </w:t>
      </w:r>
      <w:r w:rsidRPr="00D43965">
        <w:rPr>
          <w:iCs/>
          <w:color w:val="000000" w:themeColor="text1"/>
          <w:szCs w:val="24"/>
        </w:rPr>
        <w:t xml:space="preserve">Commission’s </w:t>
      </w:r>
      <w:r w:rsidRPr="00D43965" w:rsidR="00AD015B">
        <w:rPr>
          <w:iCs/>
          <w:color w:val="000000" w:themeColor="text1"/>
          <w:szCs w:val="24"/>
        </w:rPr>
        <w:t xml:space="preserve">PUCTRA </w:t>
      </w:r>
      <w:r w:rsidRPr="00D43965" w:rsidR="003B3BD0">
        <w:rPr>
          <w:iCs/>
          <w:color w:val="000000" w:themeColor="text1"/>
          <w:szCs w:val="24"/>
        </w:rPr>
        <w:t>appropriation</w:t>
      </w:r>
      <w:r w:rsidRPr="00D43965" w:rsidR="00AD015B">
        <w:rPr>
          <w:iCs/>
          <w:color w:val="000000" w:themeColor="text1"/>
          <w:szCs w:val="24"/>
        </w:rPr>
        <w:t xml:space="preserve"> </w:t>
      </w:r>
      <w:r w:rsidRPr="00D43965">
        <w:rPr>
          <w:iCs/>
          <w:color w:val="000000" w:themeColor="text1"/>
          <w:szCs w:val="24"/>
        </w:rPr>
        <w:t xml:space="preserve">for its regulatory activities is subject to approval </w:t>
      </w:r>
      <w:r w:rsidRPr="00D43965" w:rsidR="00E10F61">
        <w:rPr>
          <w:iCs/>
          <w:color w:val="000000" w:themeColor="text1"/>
          <w:szCs w:val="24"/>
        </w:rPr>
        <w:t>at a later date by the</w:t>
      </w:r>
      <w:r w:rsidRPr="00D43965">
        <w:rPr>
          <w:iCs/>
          <w:color w:val="000000" w:themeColor="text1"/>
          <w:szCs w:val="24"/>
        </w:rPr>
        <w:t xml:space="preserve"> California Department of Finance.</w:t>
      </w:r>
      <w:r w:rsidRPr="00D43965" w:rsidR="00AB5206">
        <w:rPr>
          <w:rStyle w:val="FootnoteReference"/>
          <w:iCs/>
          <w:color w:val="000000" w:themeColor="text1"/>
          <w:szCs w:val="24"/>
        </w:rPr>
        <w:footnoteReference w:id="2"/>
      </w:r>
      <w:r w:rsidRPr="00D43965">
        <w:rPr>
          <w:iCs/>
          <w:color w:val="000000" w:themeColor="text1"/>
          <w:szCs w:val="24"/>
        </w:rPr>
        <w:t xml:space="preserve"> </w:t>
      </w:r>
    </w:p>
    <w:p w:rsidRPr="00D43965" w:rsidR="006C387D" w:rsidP="006B729C" w:rsidRDefault="006C387D" w14:paraId="499C8CA9" w14:textId="77777777">
      <w:pPr>
        <w:pStyle w:val="BodyText"/>
        <w:rPr>
          <w:iCs/>
          <w:color w:val="000000" w:themeColor="text1"/>
          <w:szCs w:val="24"/>
        </w:rPr>
      </w:pPr>
    </w:p>
    <w:p w:rsidRPr="00D43965" w:rsidR="006C387D" w:rsidP="006B729C" w:rsidRDefault="006C387D" w14:paraId="5B990B07" w14:textId="31773AFE">
      <w:pPr>
        <w:pStyle w:val="BodyText"/>
        <w:rPr>
          <w:iCs/>
          <w:color w:val="000000" w:themeColor="text1"/>
          <w:szCs w:val="24"/>
        </w:rPr>
      </w:pPr>
      <w:r w:rsidRPr="00D43965">
        <w:rPr>
          <w:iCs/>
          <w:color w:val="000000" w:themeColor="text1"/>
          <w:szCs w:val="24"/>
        </w:rPr>
        <w:t xml:space="preserve">When determining the amount of the </w:t>
      </w:r>
      <w:r w:rsidRPr="00D43965" w:rsidR="00AD015B">
        <w:rPr>
          <w:iCs/>
          <w:color w:val="000000" w:themeColor="text1"/>
          <w:szCs w:val="24"/>
        </w:rPr>
        <w:t xml:space="preserve">PUCTRA </w:t>
      </w:r>
      <w:r w:rsidRPr="00D43965">
        <w:rPr>
          <w:iCs/>
          <w:color w:val="000000" w:themeColor="text1"/>
          <w:szCs w:val="24"/>
        </w:rPr>
        <w:t>fee needed, t</w:t>
      </w:r>
      <w:r w:rsidRPr="00D43965" w:rsidR="0010393F">
        <w:rPr>
          <w:iCs/>
          <w:color w:val="000000" w:themeColor="text1"/>
          <w:szCs w:val="24"/>
        </w:rPr>
        <w:t xml:space="preserve">he Commission </w:t>
      </w:r>
      <w:r w:rsidRPr="00D43965" w:rsidR="006B48B3">
        <w:rPr>
          <w:iCs/>
          <w:color w:val="000000" w:themeColor="text1"/>
          <w:szCs w:val="24"/>
        </w:rPr>
        <w:t xml:space="preserve">may </w:t>
      </w:r>
      <w:r w:rsidRPr="00D43965" w:rsidR="0010393F">
        <w:rPr>
          <w:iCs/>
          <w:color w:val="000000" w:themeColor="text1"/>
          <w:szCs w:val="24"/>
        </w:rPr>
        <w:t xml:space="preserve">choose between several </w:t>
      </w:r>
      <w:r w:rsidRPr="00D43965" w:rsidR="00AB5206">
        <w:rPr>
          <w:iCs/>
          <w:color w:val="000000" w:themeColor="text1"/>
          <w:szCs w:val="24"/>
        </w:rPr>
        <w:t xml:space="preserve">calculation </w:t>
      </w:r>
      <w:r w:rsidRPr="00D43965" w:rsidR="0010393F">
        <w:rPr>
          <w:iCs/>
          <w:color w:val="000000" w:themeColor="text1"/>
          <w:szCs w:val="24"/>
        </w:rPr>
        <w:t xml:space="preserve">methodologies established in California Public Utilities Code </w:t>
      </w:r>
      <w:r w:rsidR="00B719F9">
        <w:rPr>
          <w:iCs/>
          <w:color w:val="000000" w:themeColor="text1"/>
          <w:szCs w:val="24"/>
        </w:rPr>
        <w:t>Sections</w:t>
      </w:r>
      <w:r w:rsidRPr="00D43965" w:rsidR="00AB5206">
        <w:rPr>
          <w:iCs/>
          <w:color w:val="000000" w:themeColor="text1"/>
          <w:szCs w:val="24"/>
        </w:rPr>
        <w:t xml:space="preserve"> </w:t>
      </w:r>
      <w:r w:rsidRPr="00D43965" w:rsidR="0010393F">
        <w:rPr>
          <w:iCs/>
          <w:color w:val="000000" w:themeColor="text1"/>
          <w:szCs w:val="24"/>
        </w:rPr>
        <w:t>422</w:t>
      </w:r>
      <w:r w:rsidRPr="00D43965" w:rsidR="00AB5206">
        <w:rPr>
          <w:iCs/>
          <w:color w:val="000000" w:themeColor="text1"/>
          <w:szCs w:val="24"/>
        </w:rPr>
        <w:t xml:space="preserve"> and 422.1</w:t>
      </w:r>
      <w:r w:rsidRPr="00D43965" w:rsidR="0010393F">
        <w:rPr>
          <w:iCs/>
          <w:color w:val="000000" w:themeColor="text1"/>
          <w:szCs w:val="24"/>
        </w:rPr>
        <w:t>. The Commission may establish different methods for calculating fees for each class of carrier.</w:t>
      </w:r>
      <w:r w:rsidRPr="00D43965" w:rsidR="00AB5206">
        <w:rPr>
          <w:rStyle w:val="FootnoteReference"/>
          <w:iCs/>
          <w:color w:val="000000" w:themeColor="text1"/>
          <w:szCs w:val="24"/>
        </w:rPr>
        <w:footnoteReference w:id="3"/>
      </w:r>
      <w:r w:rsidRPr="00D43965" w:rsidR="0010393F">
        <w:rPr>
          <w:iCs/>
          <w:color w:val="000000" w:themeColor="text1"/>
          <w:szCs w:val="24"/>
        </w:rPr>
        <w:t xml:space="preserve"> </w:t>
      </w:r>
      <w:r w:rsidRPr="00D43965" w:rsidR="006B48B3">
        <w:rPr>
          <w:iCs/>
          <w:color w:val="000000" w:themeColor="text1"/>
          <w:szCs w:val="24"/>
        </w:rPr>
        <w:t>For example, the</w:t>
      </w:r>
      <w:r w:rsidRPr="00D43965" w:rsidR="0010393F">
        <w:rPr>
          <w:iCs/>
          <w:color w:val="000000" w:themeColor="text1"/>
          <w:szCs w:val="24"/>
        </w:rPr>
        <w:t xml:space="preserve"> </w:t>
      </w:r>
      <w:r w:rsidRPr="00D43965" w:rsidR="00632105">
        <w:rPr>
          <w:iCs/>
          <w:color w:val="000000" w:themeColor="text1"/>
          <w:szCs w:val="24"/>
        </w:rPr>
        <w:t>Commission</w:t>
      </w:r>
      <w:bookmarkEnd w:id="3"/>
      <w:r w:rsidRPr="00D43965" w:rsidR="0033409C">
        <w:rPr>
          <w:iCs/>
          <w:color w:val="000000" w:themeColor="text1"/>
          <w:szCs w:val="24"/>
        </w:rPr>
        <w:t xml:space="preserve"> may use</w:t>
      </w:r>
      <w:r w:rsidRPr="00D43965" w:rsidR="00632105">
        <w:rPr>
          <w:iCs/>
          <w:color w:val="000000" w:themeColor="text1"/>
          <w:szCs w:val="24"/>
        </w:rPr>
        <w:t xml:space="preserve"> </w:t>
      </w:r>
      <w:r w:rsidRPr="00D43965" w:rsidR="00C40D82">
        <w:rPr>
          <w:iCs/>
          <w:color w:val="000000" w:themeColor="text1"/>
          <w:szCs w:val="24"/>
        </w:rPr>
        <w:t xml:space="preserve">a </w:t>
      </w:r>
      <w:r w:rsidRPr="00D43965" w:rsidR="0033409C">
        <w:rPr>
          <w:iCs/>
          <w:color w:val="000000" w:themeColor="text1"/>
          <w:szCs w:val="24"/>
        </w:rPr>
        <w:t>percentage of gross int</w:t>
      </w:r>
      <w:r w:rsidRPr="00D43965" w:rsidR="007B19D0">
        <w:rPr>
          <w:iCs/>
          <w:color w:val="000000" w:themeColor="text1"/>
          <w:szCs w:val="24"/>
        </w:rPr>
        <w:t>ra</w:t>
      </w:r>
      <w:r w:rsidRPr="00D43965" w:rsidR="0033409C">
        <w:rPr>
          <w:iCs/>
          <w:color w:val="000000" w:themeColor="text1"/>
          <w:szCs w:val="24"/>
        </w:rPr>
        <w:t>state revenues of the class</w:t>
      </w:r>
      <w:r w:rsidRPr="00D43965" w:rsidR="006B48B3">
        <w:rPr>
          <w:iCs/>
          <w:color w:val="000000" w:themeColor="text1"/>
          <w:szCs w:val="24"/>
        </w:rPr>
        <w:t xml:space="preserve"> </w:t>
      </w:r>
      <w:r w:rsidRPr="00D43965" w:rsidR="0010393F">
        <w:rPr>
          <w:iCs/>
          <w:color w:val="000000" w:themeColor="text1"/>
          <w:szCs w:val="24"/>
        </w:rPr>
        <w:t>for carriers other than railroads</w:t>
      </w:r>
      <w:r w:rsidRPr="00D43965" w:rsidR="0033409C">
        <w:rPr>
          <w:iCs/>
          <w:color w:val="000000" w:themeColor="text1"/>
          <w:szCs w:val="24"/>
        </w:rPr>
        <w:t>.</w:t>
      </w:r>
      <w:r w:rsidRPr="00D43965" w:rsidR="00AB5206">
        <w:rPr>
          <w:rStyle w:val="FootnoteReference"/>
          <w:iCs/>
          <w:color w:val="000000" w:themeColor="text1"/>
          <w:szCs w:val="24"/>
        </w:rPr>
        <w:footnoteReference w:id="4"/>
      </w:r>
      <w:r w:rsidRPr="00D43965" w:rsidR="0033409C">
        <w:rPr>
          <w:iCs/>
          <w:color w:val="000000" w:themeColor="text1"/>
          <w:szCs w:val="24"/>
        </w:rPr>
        <w:t xml:space="preserve"> </w:t>
      </w:r>
      <w:r w:rsidRPr="00D43965" w:rsidR="00AD015B">
        <w:rPr>
          <w:iCs/>
          <w:color w:val="000000" w:themeColor="text1"/>
          <w:szCs w:val="24"/>
        </w:rPr>
        <w:t xml:space="preserve">The </w:t>
      </w:r>
      <w:r w:rsidRPr="00D43965" w:rsidR="006B48B3">
        <w:rPr>
          <w:iCs/>
          <w:color w:val="000000" w:themeColor="text1"/>
          <w:szCs w:val="24"/>
        </w:rPr>
        <w:t xml:space="preserve">percentage-based </w:t>
      </w:r>
      <w:r w:rsidRPr="00D43965">
        <w:rPr>
          <w:iCs/>
          <w:color w:val="000000" w:themeColor="text1"/>
          <w:szCs w:val="24"/>
        </w:rPr>
        <w:t>PUCTRA fee</w:t>
      </w:r>
      <w:r w:rsidRPr="00D43965" w:rsidR="00AD015B">
        <w:rPr>
          <w:iCs/>
          <w:color w:val="000000" w:themeColor="text1"/>
          <w:szCs w:val="24"/>
        </w:rPr>
        <w:t xml:space="preserve"> is charged</w:t>
      </w:r>
      <w:r w:rsidRPr="00D43965">
        <w:rPr>
          <w:iCs/>
          <w:color w:val="000000" w:themeColor="text1"/>
          <w:szCs w:val="24"/>
        </w:rPr>
        <w:t xml:space="preserve"> </w:t>
      </w:r>
      <w:r w:rsidRPr="00D43965" w:rsidR="00AD015B">
        <w:rPr>
          <w:iCs/>
          <w:color w:val="000000" w:themeColor="text1"/>
          <w:szCs w:val="24"/>
        </w:rPr>
        <w:t xml:space="preserve">on </w:t>
      </w:r>
      <w:r w:rsidRPr="00D43965">
        <w:rPr>
          <w:iCs/>
          <w:color w:val="000000" w:themeColor="text1"/>
          <w:szCs w:val="24"/>
        </w:rPr>
        <w:t>gross intrastate revenue</w:t>
      </w:r>
      <w:r w:rsidRPr="00D43965" w:rsidR="00AD015B">
        <w:rPr>
          <w:iCs/>
          <w:color w:val="000000" w:themeColor="text1"/>
          <w:szCs w:val="24"/>
        </w:rPr>
        <w:t xml:space="preserve">, </w:t>
      </w:r>
      <w:r w:rsidRPr="00D43965">
        <w:rPr>
          <w:iCs/>
          <w:color w:val="000000" w:themeColor="text1"/>
          <w:szCs w:val="24"/>
        </w:rPr>
        <w:t>defined as “all compensation for the transportation or storage of property or the transportation of persons when both the origin and destination of the transportation or the performance of the service is within this state, and shall not include compensation for the transportation of persons or property in interstate or foreign commerce or the transportation of vehicles by ferries.”</w:t>
      </w:r>
      <w:r w:rsidRPr="00D43965" w:rsidR="00AB5206">
        <w:rPr>
          <w:rStyle w:val="FootnoteReference"/>
          <w:iCs/>
          <w:color w:val="000000" w:themeColor="text1"/>
          <w:szCs w:val="24"/>
        </w:rPr>
        <w:footnoteReference w:id="5"/>
      </w:r>
      <w:r w:rsidRPr="00D43965">
        <w:rPr>
          <w:iCs/>
          <w:color w:val="000000" w:themeColor="text1"/>
          <w:szCs w:val="24"/>
        </w:rPr>
        <w:t xml:space="preserve"> </w:t>
      </w:r>
    </w:p>
    <w:p w:rsidRPr="00D43965" w:rsidR="006C387D" w:rsidP="006B729C" w:rsidRDefault="006C387D" w14:paraId="1115DC91" w14:textId="77777777">
      <w:pPr>
        <w:pStyle w:val="BodyText"/>
        <w:rPr>
          <w:iCs/>
          <w:color w:val="000000" w:themeColor="text1"/>
          <w:szCs w:val="24"/>
        </w:rPr>
      </w:pPr>
    </w:p>
    <w:p w:rsidRPr="00D43965" w:rsidR="00632105" w:rsidP="00632105" w:rsidRDefault="0010393F" w14:paraId="1DDA18AD" w14:textId="569CA78F">
      <w:pPr>
        <w:pStyle w:val="BodyText"/>
        <w:rPr>
          <w:iCs/>
          <w:color w:val="000000" w:themeColor="text1"/>
          <w:szCs w:val="24"/>
        </w:rPr>
      </w:pPr>
      <w:bookmarkStart w:name="_Hlk52868583" w:id="7"/>
      <w:r w:rsidRPr="00D43965">
        <w:rPr>
          <w:iCs/>
          <w:color w:val="000000" w:themeColor="text1"/>
          <w:szCs w:val="24"/>
        </w:rPr>
        <w:t xml:space="preserve">In the alternative, </w:t>
      </w:r>
      <w:r w:rsidRPr="00D43965" w:rsidR="003B3BD0">
        <w:rPr>
          <w:iCs/>
          <w:color w:val="000000" w:themeColor="text1"/>
          <w:szCs w:val="24"/>
        </w:rPr>
        <w:t xml:space="preserve">the </w:t>
      </w:r>
      <w:r w:rsidRPr="00D43965">
        <w:rPr>
          <w:iCs/>
          <w:color w:val="000000" w:themeColor="text1"/>
          <w:szCs w:val="24"/>
        </w:rPr>
        <w:t xml:space="preserve">Commission may assess fees on a basis other than revenue, </w:t>
      </w:r>
      <w:r w:rsidRPr="00D43965" w:rsidR="00C40D82">
        <w:rPr>
          <w:iCs/>
          <w:color w:val="000000" w:themeColor="text1"/>
          <w:szCs w:val="24"/>
        </w:rPr>
        <w:t>including, but not limited to</w:t>
      </w:r>
      <w:r w:rsidRPr="00D43965" w:rsidR="006B48B3">
        <w:rPr>
          <w:iCs/>
          <w:color w:val="000000" w:themeColor="text1"/>
          <w:szCs w:val="24"/>
        </w:rPr>
        <w:t xml:space="preserve">, </w:t>
      </w:r>
      <w:r w:rsidRPr="00D43965">
        <w:rPr>
          <w:iCs/>
          <w:color w:val="000000" w:themeColor="text1"/>
          <w:szCs w:val="24"/>
        </w:rPr>
        <w:t>on a per vehicle basis</w:t>
      </w:r>
      <w:r w:rsidRPr="00D43965" w:rsidR="00AD015B">
        <w:rPr>
          <w:iCs/>
          <w:color w:val="000000" w:themeColor="text1"/>
          <w:szCs w:val="24"/>
        </w:rPr>
        <w:t xml:space="preserve"> for passenger carriers</w:t>
      </w:r>
      <w:r w:rsidRPr="00D43965">
        <w:rPr>
          <w:iCs/>
          <w:color w:val="000000" w:themeColor="text1"/>
          <w:szCs w:val="24"/>
        </w:rPr>
        <w:t>.</w:t>
      </w:r>
      <w:r w:rsidRPr="00D43965" w:rsidR="00AB5206">
        <w:rPr>
          <w:rStyle w:val="FootnoteReference"/>
          <w:iCs/>
          <w:color w:val="000000" w:themeColor="text1"/>
          <w:szCs w:val="24"/>
        </w:rPr>
        <w:footnoteReference w:id="6"/>
      </w:r>
      <w:r w:rsidRPr="00D43965">
        <w:rPr>
          <w:iCs/>
          <w:color w:val="000000" w:themeColor="text1"/>
          <w:szCs w:val="24"/>
        </w:rPr>
        <w:t xml:space="preserve"> </w:t>
      </w:r>
      <w:bookmarkEnd w:id="7"/>
      <w:r w:rsidRPr="00D43965">
        <w:rPr>
          <w:iCs/>
          <w:color w:val="000000" w:themeColor="text1"/>
          <w:szCs w:val="24"/>
        </w:rPr>
        <w:t>For railroad corporation</w:t>
      </w:r>
      <w:r w:rsidRPr="00D43965" w:rsidR="006B48B3">
        <w:rPr>
          <w:iCs/>
          <w:color w:val="000000" w:themeColor="text1"/>
          <w:szCs w:val="24"/>
        </w:rPr>
        <w:t>s</w:t>
      </w:r>
      <w:r w:rsidRPr="00D43965">
        <w:rPr>
          <w:iCs/>
          <w:color w:val="000000" w:themeColor="text1"/>
          <w:szCs w:val="24"/>
        </w:rPr>
        <w:t>, the fees shall be allocated within each class in accordance with subdivision (g).</w:t>
      </w:r>
      <w:r w:rsidRPr="00D43965" w:rsidR="00AB5206">
        <w:rPr>
          <w:rStyle w:val="FootnoteReference"/>
          <w:iCs/>
          <w:color w:val="000000" w:themeColor="text1"/>
          <w:szCs w:val="24"/>
        </w:rPr>
        <w:footnoteReference w:id="7"/>
      </w:r>
      <w:r w:rsidRPr="00D43965">
        <w:rPr>
          <w:iCs/>
          <w:color w:val="000000" w:themeColor="text1"/>
          <w:sz w:val="20"/>
          <w:szCs w:val="24"/>
        </w:rPr>
        <w:t xml:space="preserve"> </w:t>
      </w:r>
      <w:bookmarkStart w:name="_Hlk51770459" w:id="8"/>
      <w:r w:rsidRPr="00D43965" w:rsidR="00E94644">
        <w:rPr>
          <w:iCs/>
          <w:color w:val="000000" w:themeColor="text1"/>
          <w:szCs w:val="24"/>
        </w:rPr>
        <w:t xml:space="preserve">In addition to </w:t>
      </w:r>
      <w:r w:rsidRPr="00D43965" w:rsidR="00AD015B">
        <w:rPr>
          <w:iCs/>
          <w:color w:val="000000" w:themeColor="text1"/>
          <w:szCs w:val="24"/>
        </w:rPr>
        <w:t xml:space="preserve">methodologies available under </w:t>
      </w:r>
      <w:r w:rsidRPr="00D43965" w:rsidR="00E94644">
        <w:rPr>
          <w:iCs/>
          <w:color w:val="000000" w:themeColor="text1"/>
          <w:szCs w:val="24"/>
        </w:rPr>
        <w:t>Section 422, the Commission may</w:t>
      </w:r>
      <w:r w:rsidRPr="00D43965" w:rsidR="00AD015B">
        <w:rPr>
          <w:iCs/>
          <w:color w:val="000000" w:themeColor="text1"/>
          <w:szCs w:val="24"/>
        </w:rPr>
        <w:t xml:space="preserve"> also</w:t>
      </w:r>
      <w:r w:rsidRPr="00D43965" w:rsidR="00E94644">
        <w:rPr>
          <w:iCs/>
          <w:color w:val="000000" w:themeColor="text1"/>
          <w:szCs w:val="24"/>
        </w:rPr>
        <w:t xml:space="preserve"> establish a uniform annual fee to be paid by every charter-party carrier of passengers.</w:t>
      </w:r>
      <w:r w:rsidRPr="00D43965" w:rsidR="00AB5206">
        <w:rPr>
          <w:rStyle w:val="FootnoteReference"/>
          <w:iCs/>
          <w:color w:val="000000" w:themeColor="text1"/>
          <w:szCs w:val="24"/>
        </w:rPr>
        <w:footnoteReference w:id="8"/>
      </w:r>
      <w:r w:rsidRPr="00D43965" w:rsidR="00E94644">
        <w:rPr>
          <w:iCs/>
          <w:color w:val="000000" w:themeColor="text1"/>
          <w:szCs w:val="24"/>
        </w:rPr>
        <w:t xml:space="preserve"> </w:t>
      </w:r>
      <w:bookmarkEnd w:id="8"/>
    </w:p>
    <w:p w:rsidRPr="00D43965" w:rsidR="00632105" w:rsidP="00632105" w:rsidRDefault="00632105" w14:paraId="0CDBCB4C" w14:textId="77777777">
      <w:pPr>
        <w:pStyle w:val="BodyText"/>
        <w:rPr>
          <w:iCs/>
          <w:color w:val="000000" w:themeColor="text1"/>
          <w:szCs w:val="24"/>
        </w:rPr>
      </w:pPr>
    </w:p>
    <w:p w:rsidR="00407287" w:rsidP="009C7276" w:rsidRDefault="00407287" w14:paraId="46A93A41" w14:textId="77777777">
      <w:pPr>
        <w:pStyle w:val="BodyText"/>
        <w:rPr>
          <w:b/>
          <w:kern w:val="28"/>
          <w:szCs w:val="24"/>
          <w:u w:val="single"/>
        </w:rPr>
      </w:pPr>
    </w:p>
    <w:p w:rsidR="00407287" w:rsidP="009C7276" w:rsidRDefault="00407287" w14:paraId="1AE9B67F" w14:textId="77777777">
      <w:pPr>
        <w:pStyle w:val="BodyText"/>
        <w:rPr>
          <w:b/>
          <w:kern w:val="28"/>
          <w:szCs w:val="24"/>
          <w:u w:val="single"/>
        </w:rPr>
      </w:pPr>
    </w:p>
    <w:p w:rsidRPr="00D43965" w:rsidR="00D96EE5" w:rsidP="009C7276" w:rsidRDefault="00D96EE5" w14:paraId="31B722BA" w14:textId="6F86A15F">
      <w:pPr>
        <w:pStyle w:val="BodyText"/>
        <w:rPr>
          <w:b/>
          <w:kern w:val="28"/>
          <w:szCs w:val="24"/>
          <w:u w:val="single"/>
        </w:rPr>
      </w:pPr>
      <w:r w:rsidRPr="00D43965">
        <w:rPr>
          <w:b/>
          <w:kern w:val="28"/>
          <w:szCs w:val="24"/>
          <w:u w:val="single"/>
        </w:rPr>
        <w:lastRenderedPageBreak/>
        <w:t>DISCUSSION</w:t>
      </w:r>
    </w:p>
    <w:p w:rsidRPr="00D43965" w:rsidR="00724BEE" w:rsidP="009C7276" w:rsidRDefault="00724BEE" w14:paraId="59BC15CE" w14:textId="77777777">
      <w:pPr>
        <w:pStyle w:val="BodyText"/>
        <w:rPr>
          <w:kern w:val="28"/>
          <w:szCs w:val="24"/>
        </w:rPr>
      </w:pPr>
    </w:p>
    <w:p w:rsidRPr="00D43965" w:rsidR="00DF5DCE" w:rsidP="00DF5DCE" w:rsidRDefault="00DF5DCE" w14:paraId="37E7C7A3" w14:textId="77777777">
      <w:pPr>
        <w:rPr>
          <w:i/>
          <w:sz w:val="24"/>
          <w:szCs w:val="24"/>
        </w:rPr>
      </w:pPr>
      <w:r w:rsidRPr="00D43965">
        <w:rPr>
          <w:i/>
          <w:sz w:val="24"/>
          <w:szCs w:val="24"/>
        </w:rPr>
        <w:t>Revenue and Expenditure Analysis</w:t>
      </w:r>
    </w:p>
    <w:p w:rsidRPr="00D43965" w:rsidR="00DF5DCE" w:rsidP="00DF5DCE" w:rsidRDefault="00DF5DCE" w14:paraId="51E28085" w14:textId="77777777">
      <w:pPr>
        <w:rPr>
          <w:sz w:val="24"/>
          <w:szCs w:val="24"/>
        </w:rPr>
      </w:pPr>
    </w:p>
    <w:p w:rsidR="003312F8" w:rsidP="00872334" w:rsidRDefault="00DF5DCE" w14:paraId="116DD2E1" w14:textId="2081CE11">
      <w:pPr>
        <w:rPr>
          <w:sz w:val="24"/>
          <w:szCs w:val="24"/>
        </w:rPr>
      </w:pPr>
      <w:r w:rsidRPr="00D43965">
        <w:rPr>
          <w:sz w:val="24"/>
          <w:szCs w:val="24"/>
        </w:rPr>
        <w:t xml:space="preserve">The Governor’s Budget structures PUCTRA’s authorized expenditures by Program and Element, as shown below in Table 1. </w:t>
      </w:r>
      <w:r w:rsidR="00B73A0A">
        <w:rPr>
          <w:sz w:val="24"/>
          <w:szCs w:val="24"/>
        </w:rPr>
        <w:t>Subtask</w:t>
      </w:r>
      <w:r w:rsidR="00B719F9">
        <w:rPr>
          <w:sz w:val="24"/>
          <w:szCs w:val="24"/>
        </w:rPr>
        <w:t>s</w:t>
      </w:r>
      <w:r w:rsidRPr="00D43965">
        <w:rPr>
          <w:sz w:val="24"/>
          <w:szCs w:val="24"/>
        </w:rPr>
        <w:t>, the most granular level of detail by utility class</w:t>
      </w:r>
      <w:r w:rsidRPr="00D43965" w:rsidR="00A117F2">
        <w:rPr>
          <w:sz w:val="24"/>
          <w:szCs w:val="24"/>
        </w:rPr>
        <w:t xml:space="preserve"> (passenger vehicle operators, common carrier vessel operators, pipeline corporations), </w:t>
      </w:r>
      <w:r w:rsidRPr="00D43965">
        <w:rPr>
          <w:sz w:val="24"/>
          <w:szCs w:val="24"/>
        </w:rPr>
        <w:t xml:space="preserve">are not displayed in the Governor’s Budget but tracked internally by </w:t>
      </w:r>
      <w:r w:rsidR="000F5E56">
        <w:rPr>
          <w:sz w:val="24"/>
          <w:szCs w:val="24"/>
        </w:rPr>
        <w:t xml:space="preserve">the </w:t>
      </w:r>
      <w:r w:rsidRPr="00D43965">
        <w:rPr>
          <w:sz w:val="24"/>
          <w:szCs w:val="24"/>
        </w:rPr>
        <w:t>CPUC.</w:t>
      </w:r>
      <w:bookmarkStart w:name="_Toc430784604" w:id="9"/>
      <w:bookmarkStart w:name="_Toc427649242" w:id="10"/>
    </w:p>
    <w:p w:rsidRPr="000F7E58" w:rsidR="003312F8" w:rsidP="006B729C" w:rsidRDefault="003312F8" w14:paraId="1D8DFE61" w14:textId="77777777">
      <w:pPr>
        <w:pStyle w:val="Heading4"/>
        <w:jc w:val="left"/>
        <w:rPr>
          <w:b/>
          <w:bCs/>
          <w:szCs w:val="24"/>
        </w:rPr>
      </w:pPr>
    </w:p>
    <w:p w:rsidRPr="00D43965" w:rsidR="00DF5DCE" w:rsidP="00407287" w:rsidRDefault="00DF5DCE" w14:paraId="777DB680" w14:textId="6650BCE5">
      <w:pPr>
        <w:pStyle w:val="Heading4"/>
        <w:spacing w:after="120"/>
        <w:jc w:val="center"/>
        <w:rPr>
          <w:b/>
          <w:bCs/>
          <w:szCs w:val="24"/>
        </w:rPr>
      </w:pPr>
      <w:r w:rsidRPr="00D43965">
        <w:rPr>
          <w:b/>
          <w:bCs/>
          <w:szCs w:val="24"/>
        </w:rPr>
        <w:t>Table 1: Governor’s budget structure, PUC</w:t>
      </w:r>
      <w:r w:rsidRPr="00D43965" w:rsidR="000111B1">
        <w:rPr>
          <w:b/>
          <w:bCs/>
          <w:szCs w:val="24"/>
        </w:rPr>
        <w:t>T</w:t>
      </w:r>
      <w:r w:rsidRPr="00D43965">
        <w:rPr>
          <w:b/>
          <w:bCs/>
          <w:szCs w:val="24"/>
        </w:rPr>
        <w:t>RA</w:t>
      </w:r>
      <w:bookmarkEnd w:id="9"/>
      <w:bookmarkEnd w:id="10"/>
    </w:p>
    <w:tbl>
      <w:tblPr>
        <w:tblStyle w:val="TableGrid"/>
        <w:tblW w:w="9360" w:type="dxa"/>
        <w:tblInd w:w="108"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1680"/>
        <w:gridCol w:w="3220"/>
        <w:gridCol w:w="4460"/>
      </w:tblGrid>
      <w:tr w:rsidRPr="00D43965" w:rsidR="00DF5DCE" w:rsidTr="00DF5DCE" w14:paraId="087215B4" w14:textId="77777777">
        <w:tc>
          <w:tcPr>
            <w:tcW w:w="168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D43965" w:rsidR="00DF5DCE" w:rsidP="008E72FD" w:rsidRDefault="00DF5DCE" w14:paraId="2CCF31A8" w14:textId="77777777">
            <w:pPr>
              <w:rPr>
                <w:b/>
                <w:sz w:val="24"/>
                <w:szCs w:val="24"/>
              </w:rPr>
            </w:pPr>
            <w:r w:rsidRPr="00D43965">
              <w:rPr>
                <w:b/>
                <w:sz w:val="24"/>
                <w:szCs w:val="24"/>
              </w:rPr>
              <w:t xml:space="preserve">Program </w:t>
            </w:r>
          </w:p>
        </w:tc>
        <w:tc>
          <w:tcPr>
            <w:tcW w:w="322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D43965" w:rsidR="00DF5DCE" w:rsidP="008E72FD" w:rsidRDefault="00DF5DCE" w14:paraId="23B0B5E7" w14:textId="77777777">
            <w:pPr>
              <w:rPr>
                <w:b/>
                <w:sz w:val="24"/>
                <w:szCs w:val="24"/>
              </w:rPr>
            </w:pPr>
            <w:r w:rsidRPr="00D43965">
              <w:rPr>
                <w:b/>
                <w:sz w:val="24"/>
                <w:szCs w:val="24"/>
              </w:rPr>
              <w:t>Subprogram</w:t>
            </w:r>
          </w:p>
        </w:tc>
        <w:tc>
          <w:tcPr>
            <w:tcW w:w="446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D43965" w:rsidR="00DF5DCE" w:rsidP="008E72FD" w:rsidRDefault="00DF5DCE" w14:paraId="4D3F176A" w14:textId="0918B91A">
            <w:pPr>
              <w:rPr>
                <w:b/>
                <w:sz w:val="24"/>
                <w:szCs w:val="24"/>
              </w:rPr>
            </w:pPr>
            <w:r w:rsidRPr="00D43965">
              <w:rPr>
                <w:b/>
                <w:sz w:val="24"/>
                <w:szCs w:val="24"/>
              </w:rPr>
              <w:t>Subtask (Utility Class)</w:t>
            </w:r>
            <w:r w:rsidRPr="00D43965" w:rsidR="00163CB3">
              <w:rPr>
                <w:b/>
                <w:sz w:val="24"/>
                <w:szCs w:val="24"/>
              </w:rPr>
              <w:t xml:space="preserve"> Tracked Internally</w:t>
            </w:r>
          </w:p>
        </w:tc>
      </w:tr>
      <w:tr w:rsidRPr="00D43965" w:rsidR="00DF5DCE" w:rsidTr="00DF5DCE" w14:paraId="2B641C8A" w14:textId="77777777">
        <w:tc>
          <w:tcPr>
            <w:tcW w:w="1680" w:type="dxa"/>
            <w:vMerge w:val="restart"/>
            <w:tcBorders>
              <w:top w:val="single" w:color="auto" w:sz="4" w:space="0"/>
            </w:tcBorders>
            <w:vAlign w:val="center"/>
          </w:tcPr>
          <w:p w:rsidRPr="00D43965" w:rsidR="00DF5DCE" w:rsidP="008E72FD" w:rsidRDefault="00DF5DCE" w14:paraId="1BB745DA" w14:textId="675D9F1B">
            <w:pPr>
              <w:rPr>
                <w:sz w:val="24"/>
                <w:szCs w:val="24"/>
              </w:rPr>
            </w:pPr>
            <w:r w:rsidRPr="00D43965">
              <w:rPr>
                <w:sz w:val="24"/>
                <w:szCs w:val="24"/>
              </w:rPr>
              <w:t>Regulation of Utilities (6690)</w:t>
            </w:r>
          </w:p>
        </w:tc>
        <w:tc>
          <w:tcPr>
            <w:tcW w:w="3220" w:type="dxa"/>
            <w:tcBorders>
              <w:top w:val="single" w:color="auto" w:sz="4" w:space="0"/>
            </w:tcBorders>
            <w:vAlign w:val="center"/>
          </w:tcPr>
          <w:p w:rsidRPr="00D43965" w:rsidR="00DF5DCE" w:rsidP="008E72FD" w:rsidRDefault="00DF5DCE" w14:paraId="60FF7D28" w14:textId="0BFC3403">
            <w:pPr>
              <w:rPr>
                <w:sz w:val="24"/>
                <w:szCs w:val="24"/>
              </w:rPr>
            </w:pPr>
            <w:r w:rsidRPr="00D43965">
              <w:rPr>
                <w:sz w:val="24"/>
                <w:szCs w:val="24"/>
              </w:rPr>
              <w:t>Transportation Licensing and Enforcement (6690046)</w:t>
            </w:r>
          </w:p>
        </w:tc>
        <w:tc>
          <w:tcPr>
            <w:tcW w:w="4460" w:type="dxa"/>
            <w:tcBorders>
              <w:top w:val="single" w:color="auto" w:sz="4" w:space="0"/>
            </w:tcBorders>
            <w:vAlign w:val="center"/>
          </w:tcPr>
          <w:p w:rsidRPr="00D43965" w:rsidR="00DF5DCE" w:rsidP="00DF5DCE" w:rsidRDefault="00DF5DCE" w14:paraId="7ED85A3D" w14:textId="745FD352">
            <w:pPr>
              <w:rPr>
                <w:sz w:val="24"/>
                <w:szCs w:val="24"/>
              </w:rPr>
            </w:pPr>
            <w:r w:rsidRPr="00D43965">
              <w:rPr>
                <w:sz w:val="24"/>
                <w:szCs w:val="24"/>
              </w:rPr>
              <w:t xml:space="preserve">Passenger Vehicle Operators </w:t>
            </w:r>
          </w:p>
          <w:p w:rsidRPr="00D43965" w:rsidR="00DF5DCE" w:rsidP="008E72FD" w:rsidRDefault="00DF5DCE" w14:paraId="2A594247" w14:textId="5CCFAF5B">
            <w:pPr>
              <w:rPr>
                <w:sz w:val="24"/>
                <w:szCs w:val="24"/>
              </w:rPr>
            </w:pPr>
            <w:r w:rsidRPr="00D43965">
              <w:rPr>
                <w:sz w:val="24"/>
                <w:szCs w:val="24"/>
              </w:rPr>
              <w:t>Common Carrier Vessel Operator</w:t>
            </w:r>
            <w:r w:rsidRPr="00D43965" w:rsidR="00730FD6">
              <w:rPr>
                <w:sz w:val="24"/>
                <w:szCs w:val="24"/>
              </w:rPr>
              <w:t>s</w:t>
            </w:r>
          </w:p>
          <w:p w:rsidRPr="00D43965" w:rsidR="00DF5DCE" w:rsidP="008E72FD" w:rsidRDefault="00DF5DCE" w14:paraId="36D52E75" w14:textId="4AAFFED3">
            <w:pPr>
              <w:rPr>
                <w:sz w:val="24"/>
                <w:szCs w:val="24"/>
              </w:rPr>
            </w:pPr>
            <w:r w:rsidRPr="00D43965">
              <w:rPr>
                <w:sz w:val="24"/>
                <w:szCs w:val="24"/>
              </w:rPr>
              <w:t>Pipeline Corporation</w:t>
            </w:r>
            <w:r w:rsidRPr="00D43965" w:rsidR="00730FD6">
              <w:rPr>
                <w:sz w:val="24"/>
                <w:szCs w:val="24"/>
              </w:rPr>
              <w:t>s</w:t>
            </w:r>
          </w:p>
        </w:tc>
      </w:tr>
      <w:tr w:rsidRPr="00D43965" w:rsidR="00DF5DCE" w:rsidTr="00DF5DCE" w14:paraId="4515C13C" w14:textId="77777777">
        <w:tc>
          <w:tcPr>
            <w:tcW w:w="1680" w:type="dxa"/>
            <w:vMerge/>
            <w:vAlign w:val="center"/>
          </w:tcPr>
          <w:p w:rsidRPr="00D43965" w:rsidR="00DF5DCE" w:rsidP="008E72FD" w:rsidRDefault="00DF5DCE" w14:paraId="3AA7B266" w14:textId="77777777">
            <w:pPr>
              <w:rPr>
                <w:sz w:val="24"/>
                <w:szCs w:val="24"/>
              </w:rPr>
            </w:pPr>
          </w:p>
        </w:tc>
        <w:tc>
          <w:tcPr>
            <w:tcW w:w="3220" w:type="dxa"/>
            <w:vAlign w:val="center"/>
          </w:tcPr>
          <w:p w:rsidRPr="00D43965" w:rsidR="00DF5DCE" w:rsidP="008E72FD" w:rsidRDefault="00DF5DCE" w14:paraId="4E73CBD8" w14:textId="31A31754">
            <w:pPr>
              <w:rPr>
                <w:sz w:val="24"/>
                <w:szCs w:val="24"/>
              </w:rPr>
            </w:pPr>
            <w:r w:rsidRPr="00D43965">
              <w:rPr>
                <w:sz w:val="24"/>
                <w:szCs w:val="24"/>
              </w:rPr>
              <w:t>Freight Safety (6690055)</w:t>
            </w:r>
          </w:p>
        </w:tc>
        <w:tc>
          <w:tcPr>
            <w:tcW w:w="4460" w:type="dxa"/>
            <w:vAlign w:val="center"/>
          </w:tcPr>
          <w:p w:rsidRPr="00D43965" w:rsidR="00DF5DCE" w:rsidP="008E72FD" w:rsidRDefault="00DF5DCE" w14:paraId="3D06B335" w14:textId="1E7816F9">
            <w:pPr>
              <w:rPr>
                <w:sz w:val="24"/>
                <w:szCs w:val="24"/>
              </w:rPr>
            </w:pPr>
            <w:r w:rsidRPr="00D43965">
              <w:rPr>
                <w:sz w:val="24"/>
                <w:szCs w:val="24"/>
              </w:rPr>
              <w:t>Railroad Corporations</w:t>
            </w:r>
          </w:p>
        </w:tc>
      </w:tr>
    </w:tbl>
    <w:p w:rsidRPr="00D43965" w:rsidR="00DF5DCE" w:rsidP="007359C5" w:rsidRDefault="00DF5DCE" w14:paraId="5DFFFB83" w14:textId="77777777">
      <w:pPr>
        <w:pStyle w:val="BodyText"/>
        <w:rPr>
          <w:szCs w:val="24"/>
        </w:rPr>
      </w:pPr>
    </w:p>
    <w:p w:rsidRPr="00D43965" w:rsidR="00DF5DCE" w:rsidP="00DF5DCE" w:rsidRDefault="00DF5DCE" w14:paraId="29D6449A" w14:textId="1E3C7611">
      <w:pPr>
        <w:rPr>
          <w:sz w:val="24"/>
          <w:szCs w:val="24"/>
        </w:rPr>
      </w:pPr>
      <w:r w:rsidRPr="00D43965">
        <w:rPr>
          <w:sz w:val="24"/>
          <w:szCs w:val="24"/>
        </w:rPr>
        <w:t>In addition to the CPUC’s budgeted expenditures from PUCTRA</w:t>
      </w:r>
      <w:r w:rsidRPr="00D43965" w:rsidR="00AB5206">
        <w:rPr>
          <w:iCs/>
          <w:color w:val="000000" w:themeColor="text1"/>
          <w:szCs w:val="24"/>
        </w:rPr>
        <w:t xml:space="preserve"> </w:t>
      </w:r>
      <w:r w:rsidRPr="00D43965" w:rsidR="00AB5206">
        <w:rPr>
          <w:iCs/>
          <w:sz w:val="24"/>
          <w:szCs w:val="24"/>
        </w:rPr>
        <w:t>to support the Commission’s regulatory activities</w:t>
      </w:r>
      <w:r w:rsidRPr="00D43965">
        <w:rPr>
          <w:sz w:val="24"/>
          <w:szCs w:val="24"/>
        </w:rPr>
        <w:t xml:space="preserve">, the fund supports statewide fund assessments. </w:t>
      </w:r>
    </w:p>
    <w:p w:rsidRPr="00D43965" w:rsidR="00DF5DCE" w:rsidP="00DF5DCE" w:rsidRDefault="00DF5DCE" w14:paraId="1C128F21" w14:textId="70F50090">
      <w:pPr>
        <w:rPr>
          <w:sz w:val="24"/>
          <w:szCs w:val="24"/>
        </w:rPr>
      </w:pPr>
    </w:p>
    <w:p w:rsidRPr="00D43965" w:rsidR="00DF5DCE" w:rsidP="00DF5DCE" w:rsidRDefault="00DF5DCE" w14:paraId="17891C4D" w14:textId="3341FA7A">
      <w:pPr>
        <w:rPr>
          <w:sz w:val="24"/>
          <w:szCs w:val="24"/>
        </w:rPr>
      </w:pPr>
      <w:r w:rsidRPr="00D43965">
        <w:rPr>
          <w:sz w:val="24"/>
          <w:szCs w:val="24"/>
        </w:rPr>
        <w:t>Table 2 shows PUC</w:t>
      </w:r>
      <w:r w:rsidRPr="00D43965" w:rsidR="0015388E">
        <w:rPr>
          <w:sz w:val="24"/>
          <w:szCs w:val="24"/>
        </w:rPr>
        <w:t>TR</w:t>
      </w:r>
      <w:r w:rsidRPr="00D43965">
        <w:rPr>
          <w:sz w:val="24"/>
          <w:szCs w:val="24"/>
        </w:rPr>
        <w:t xml:space="preserve">A’s current level </w:t>
      </w:r>
      <w:r w:rsidRPr="00D43965" w:rsidR="0084657F">
        <w:rPr>
          <w:sz w:val="24"/>
          <w:szCs w:val="24"/>
        </w:rPr>
        <w:t xml:space="preserve">of </w:t>
      </w:r>
      <w:r w:rsidRPr="00D43965">
        <w:rPr>
          <w:sz w:val="24"/>
          <w:szCs w:val="24"/>
        </w:rPr>
        <w:t>expenditures and 20</w:t>
      </w:r>
      <w:r w:rsidRPr="00D43965" w:rsidR="00EF6C21">
        <w:rPr>
          <w:sz w:val="24"/>
          <w:szCs w:val="24"/>
        </w:rPr>
        <w:t>20</w:t>
      </w:r>
      <w:r w:rsidRPr="00D43965">
        <w:rPr>
          <w:sz w:val="24"/>
          <w:szCs w:val="24"/>
        </w:rPr>
        <w:t>-2</w:t>
      </w:r>
      <w:r w:rsidRPr="00D43965" w:rsidR="00EF6C21">
        <w:rPr>
          <w:sz w:val="24"/>
          <w:szCs w:val="24"/>
        </w:rPr>
        <w:t>1</w:t>
      </w:r>
      <w:r w:rsidRPr="00D43965">
        <w:rPr>
          <w:sz w:val="24"/>
          <w:szCs w:val="24"/>
        </w:rPr>
        <w:t xml:space="preserve"> estimated changes, distributed by Utility Class per Table 1.  Estimated 20</w:t>
      </w:r>
      <w:r w:rsidRPr="00D43965" w:rsidR="00EF6C21">
        <w:rPr>
          <w:sz w:val="24"/>
          <w:szCs w:val="24"/>
        </w:rPr>
        <w:t>20</w:t>
      </w:r>
      <w:r w:rsidRPr="00D43965">
        <w:rPr>
          <w:sz w:val="24"/>
          <w:szCs w:val="24"/>
        </w:rPr>
        <w:t>-</w:t>
      </w:r>
      <w:r w:rsidRPr="00D43965" w:rsidR="00EF6C21">
        <w:rPr>
          <w:sz w:val="24"/>
          <w:szCs w:val="24"/>
        </w:rPr>
        <w:t>21</w:t>
      </w:r>
      <w:r w:rsidRPr="00D43965">
        <w:rPr>
          <w:sz w:val="24"/>
          <w:szCs w:val="24"/>
        </w:rPr>
        <w:t xml:space="preserve"> change</w:t>
      </w:r>
      <w:r w:rsidRPr="00D43965" w:rsidR="001C2674">
        <w:rPr>
          <w:sz w:val="24"/>
          <w:szCs w:val="24"/>
        </w:rPr>
        <w:t>s are</w:t>
      </w:r>
      <w:r w:rsidRPr="00D43965">
        <w:rPr>
          <w:sz w:val="24"/>
          <w:szCs w:val="24"/>
        </w:rPr>
        <w:t xml:space="preserve"> subject to adjustment in the Governor’s Budget </w:t>
      </w:r>
      <w:r w:rsidRPr="00D43965" w:rsidR="00A117F2">
        <w:rPr>
          <w:sz w:val="24"/>
          <w:szCs w:val="24"/>
        </w:rPr>
        <w:t xml:space="preserve">and legislative budget </w:t>
      </w:r>
      <w:r w:rsidRPr="00D43965">
        <w:rPr>
          <w:sz w:val="24"/>
          <w:szCs w:val="24"/>
        </w:rPr>
        <w:t>process</w:t>
      </w:r>
      <w:r w:rsidRPr="00D43965" w:rsidR="00A117F2">
        <w:rPr>
          <w:sz w:val="24"/>
          <w:szCs w:val="24"/>
        </w:rPr>
        <w:t>es</w:t>
      </w:r>
      <w:r w:rsidRPr="00D43965">
        <w:rPr>
          <w:sz w:val="24"/>
          <w:szCs w:val="24"/>
        </w:rPr>
        <w:t>.</w:t>
      </w:r>
    </w:p>
    <w:p w:rsidRPr="00D43965" w:rsidR="00570F0B" w:rsidP="00570F0B" w:rsidRDefault="00570F0B" w14:paraId="0B18433B" w14:textId="3CD7E282">
      <w:pPr>
        <w:pStyle w:val="BodyText"/>
        <w:rPr>
          <w:szCs w:val="24"/>
        </w:rPr>
      </w:pPr>
    </w:p>
    <w:p w:rsidRPr="00D43965" w:rsidR="00DF5DCE" w:rsidP="00407287" w:rsidRDefault="00DF5DCE" w14:paraId="2701F349" w14:textId="458D4D7B">
      <w:pPr>
        <w:spacing w:after="120"/>
        <w:jc w:val="center"/>
        <w:rPr>
          <w:b/>
          <w:bCs/>
          <w:sz w:val="24"/>
          <w:szCs w:val="24"/>
        </w:rPr>
      </w:pPr>
      <w:r w:rsidRPr="00D43965">
        <w:rPr>
          <w:b/>
          <w:bCs/>
          <w:sz w:val="24"/>
          <w:szCs w:val="24"/>
        </w:rPr>
        <w:t>Table 2. Expenditures of PUCTRA</w:t>
      </w:r>
    </w:p>
    <w:tbl>
      <w:tblPr>
        <w:tblW w:w="9378" w:type="dxa"/>
        <w:tblLayout w:type="fixed"/>
        <w:tblLook w:val="04A0" w:firstRow="1" w:lastRow="0" w:firstColumn="1" w:lastColumn="0" w:noHBand="0" w:noVBand="1"/>
      </w:tblPr>
      <w:tblGrid>
        <w:gridCol w:w="2785"/>
        <w:gridCol w:w="1823"/>
        <w:gridCol w:w="1620"/>
        <w:gridCol w:w="1350"/>
        <w:gridCol w:w="1800"/>
      </w:tblGrid>
      <w:tr w:rsidRPr="00D43965" w:rsidR="0015388E" w:rsidTr="00AB362D" w14:paraId="6F538315" w14:textId="77777777">
        <w:trPr>
          <w:trHeight w:val="845"/>
        </w:trPr>
        <w:tc>
          <w:tcPr>
            <w:tcW w:w="2785" w:type="dxa"/>
            <w:tcBorders>
              <w:top w:val="single" w:color="auto" w:sz="4" w:space="0"/>
              <w:left w:val="single" w:color="auto" w:sz="4" w:space="0"/>
              <w:bottom w:val="single" w:color="auto" w:sz="4" w:space="0"/>
              <w:right w:val="single" w:color="D9D9D9" w:themeColor="background1" w:themeShade="D9" w:sz="4" w:space="0"/>
            </w:tcBorders>
            <w:shd w:val="clear" w:color="auto" w:fill="F2F2F2" w:themeFill="background1" w:themeFillShade="F2"/>
            <w:noWrap/>
            <w:vAlign w:val="bottom"/>
            <w:hideMark/>
          </w:tcPr>
          <w:p w:rsidRPr="00D43965" w:rsidR="0015388E" w:rsidP="00730FD6" w:rsidRDefault="0015388E" w14:paraId="10DEEED2" w14:textId="77777777">
            <w:pPr>
              <w:jc w:val="center"/>
              <w:rPr>
                <w:sz w:val="24"/>
                <w:szCs w:val="24"/>
              </w:rPr>
            </w:pPr>
            <w:bookmarkStart w:name="_Toc427649243" w:id="11"/>
            <w:bookmarkStart w:name="_Toc430784605" w:id="12"/>
            <w:r w:rsidRPr="00D43965">
              <w:rPr>
                <w:sz w:val="24"/>
                <w:szCs w:val="24"/>
              </w:rPr>
              <w:t>Utility Class</w:t>
            </w:r>
          </w:p>
        </w:tc>
        <w:tc>
          <w:tcPr>
            <w:tcW w:w="1823" w:type="dxa"/>
            <w:tcBorders>
              <w:top w:val="single" w:color="auto" w:sz="4" w:space="0"/>
              <w:left w:val="single" w:color="D9D9D9" w:themeColor="background1" w:themeShade="D9" w:sz="4" w:space="0"/>
              <w:bottom w:val="single" w:color="auto" w:sz="4" w:space="0"/>
              <w:right w:val="single" w:color="auto" w:sz="4" w:space="0"/>
            </w:tcBorders>
            <w:shd w:val="clear" w:color="auto" w:fill="F2F2F2" w:themeFill="background1" w:themeFillShade="F2"/>
            <w:vAlign w:val="bottom"/>
            <w:hideMark/>
          </w:tcPr>
          <w:p w:rsidRPr="00D43965" w:rsidR="0015388E" w:rsidP="00730FD6" w:rsidRDefault="0015388E" w14:paraId="537CBAB7" w14:textId="17CAA894">
            <w:pPr>
              <w:jc w:val="center"/>
              <w:rPr>
                <w:sz w:val="24"/>
                <w:szCs w:val="24"/>
              </w:rPr>
            </w:pPr>
            <w:r w:rsidRPr="00D43965">
              <w:rPr>
                <w:sz w:val="24"/>
                <w:szCs w:val="24"/>
              </w:rPr>
              <w:t>Current Level 201</w:t>
            </w:r>
            <w:r w:rsidRPr="00D43965" w:rsidR="008D68BA">
              <w:rPr>
                <w:sz w:val="24"/>
                <w:szCs w:val="24"/>
              </w:rPr>
              <w:t>9</w:t>
            </w:r>
            <w:r w:rsidRPr="00D43965">
              <w:rPr>
                <w:sz w:val="24"/>
                <w:szCs w:val="24"/>
              </w:rPr>
              <w:t>-</w:t>
            </w:r>
            <w:r w:rsidRPr="00D43965" w:rsidR="008D68BA">
              <w:rPr>
                <w:sz w:val="24"/>
                <w:szCs w:val="24"/>
              </w:rPr>
              <w:t>20</w:t>
            </w:r>
            <w:r w:rsidRPr="00D43965">
              <w:rPr>
                <w:rStyle w:val="FootnoteReference"/>
                <w:sz w:val="24"/>
                <w:szCs w:val="24"/>
              </w:rPr>
              <w:footnoteReference w:id="9"/>
            </w:r>
            <w:r w:rsidRPr="00D43965" w:rsidR="002E0EAD">
              <w:rPr>
                <w:sz w:val="24"/>
                <w:szCs w:val="24"/>
              </w:rPr>
              <w:t xml:space="preserve">            (a)</w:t>
            </w:r>
          </w:p>
        </w:tc>
        <w:tc>
          <w:tcPr>
            <w:tcW w:w="162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bottom"/>
          </w:tcPr>
          <w:p w:rsidRPr="00D43965" w:rsidR="0015388E" w:rsidP="00730FD6" w:rsidRDefault="0015388E" w14:paraId="5CF1015B" w14:textId="48E05A99">
            <w:pPr>
              <w:jc w:val="center"/>
              <w:rPr>
                <w:sz w:val="24"/>
                <w:szCs w:val="24"/>
              </w:rPr>
            </w:pPr>
            <w:r w:rsidRPr="00D43965">
              <w:rPr>
                <w:sz w:val="24"/>
                <w:szCs w:val="24"/>
              </w:rPr>
              <w:t>Fund Assessment</w:t>
            </w:r>
            <w:r w:rsidRPr="00D43965">
              <w:rPr>
                <w:rStyle w:val="FootnoteReference"/>
                <w:sz w:val="24"/>
                <w:szCs w:val="24"/>
              </w:rPr>
              <w:footnoteReference w:id="10"/>
            </w:r>
            <w:r w:rsidRPr="00D43965" w:rsidR="002E0EAD">
              <w:rPr>
                <w:sz w:val="24"/>
                <w:szCs w:val="24"/>
              </w:rPr>
              <w:t xml:space="preserve">      (b)</w:t>
            </w:r>
          </w:p>
        </w:tc>
        <w:tc>
          <w:tcPr>
            <w:tcW w:w="135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bottom"/>
            <w:hideMark/>
          </w:tcPr>
          <w:p w:rsidRPr="00D43965" w:rsidR="0015388E" w:rsidP="00730FD6" w:rsidRDefault="0015388E" w14:paraId="24CDD81A" w14:textId="1CC84169">
            <w:pPr>
              <w:jc w:val="center"/>
              <w:rPr>
                <w:sz w:val="24"/>
                <w:szCs w:val="24"/>
              </w:rPr>
            </w:pPr>
            <w:r w:rsidRPr="00D43965">
              <w:rPr>
                <w:sz w:val="24"/>
                <w:szCs w:val="24"/>
              </w:rPr>
              <w:t>Estimated 20</w:t>
            </w:r>
            <w:r w:rsidRPr="00D43965" w:rsidR="00EF6C21">
              <w:rPr>
                <w:sz w:val="24"/>
                <w:szCs w:val="24"/>
              </w:rPr>
              <w:t>20</w:t>
            </w:r>
            <w:r w:rsidRPr="00D43965">
              <w:rPr>
                <w:sz w:val="24"/>
                <w:szCs w:val="24"/>
              </w:rPr>
              <w:t>-2</w:t>
            </w:r>
            <w:r w:rsidRPr="00D43965" w:rsidR="00EF6C21">
              <w:rPr>
                <w:sz w:val="24"/>
                <w:szCs w:val="24"/>
              </w:rPr>
              <w:t>1</w:t>
            </w:r>
            <w:r w:rsidRPr="00D43965">
              <w:rPr>
                <w:sz w:val="24"/>
                <w:szCs w:val="24"/>
              </w:rPr>
              <w:t xml:space="preserve"> Change</w:t>
            </w:r>
            <w:r w:rsidRPr="000F7E58">
              <w:rPr>
                <w:sz w:val="24"/>
                <w:szCs w:val="24"/>
                <w:vertAlign w:val="superscript"/>
              </w:rPr>
              <w:footnoteReference w:id="11"/>
            </w:r>
            <w:r w:rsidRPr="00D43965" w:rsidR="002E0EAD">
              <w:rPr>
                <w:sz w:val="24"/>
                <w:szCs w:val="24"/>
              </w:rPr>
              <w:t xml:space="preserve">           (c )</w:t>
            </w:r>
          </w:p>
        </w:tc>
        <w:tc>
          <w:tcPr>
            <w:tcW w:w="180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bottom"/>
          </w:tcPr>
          <w:p w:rsidRPr="00D43965" w:rsidR="0015388E" w:rsidP="00730FD6" w:rsidRDefault="0015388E" w14:paraId="07E82156" w14:textId="20839AE6">
            <w:pPr>
              <w:jc w:val="center"/>
              <w:rPr>
                <w:sz w:val="24"/>
                <w:szCs w:val="24"/>
              </w:rPr>
            </w:pPr>
            <w:r w:rsidRPr="00D43965">
              <w:rPr>
                <w:sz w:val="24"/>
                <w:szCs w:val="24"/>
              </w:rPr>
              <w:t>Total</w:t>
            </w:r>
            <w:r w:rsidRPr="00D43965" w:rsidR="00730FD6">
              <w:rPr>
                <w:sz w:val="24"/>
                <w:szCs w:val="24"/>
              </w:rPr>
              <w:t xml:space="preserve"> Estimated Expenditures 20</w:t>
            </w:r>
            <w:r w:rsidRPr="00D43965" w:rsidR="00EF6C21">
              <w:rPr>
                <w:sz w:val="24"/>
                <w:szCs w:val="24"/>
              </w:rPr>
              <w:t>20-21</w:t>
            </w:r>
            <w:r w:rsidRPr="00D43965" w:rsidR="002E0EAD">
              <w:rPr>
                <w:sz w:val="24"/>
                <w:szCs w:val="24"/>
              </w:rPr>
              <w:t xml:space="preserve">             (</w:t>
            </w:r>
            <w:proofErr w:type="spellStart"/>
            <w:r w:rsidRPr="00D43965" w:rsidR="002E0EAD">
              <w:rPr>
                <w:sz w:val="24"/>
                <w:szCs w:val="24"/>
              </w:rPr>
              <w:t>a+b+c</w:t>
            </w:r>
            <w:proofErr w:type="spellEnd"/>
            <w:r w:rsidRPr="00D43965" w:rsidR="002E0EAD">
              <w:rPr>
                <w:sz w:val="24"/>
                <w:szCs w:val="24"/>
              </w:rPr>
              <w:t>)</w:t>
            </w:r>
          </w:p>
        </w:tc>
      </w:tr>
      <w:tr w:rsidRPr="00D43965" w:rsidR="0015388E" w:rsidTr="00AB362D" w14:paraId="096CD5D0" w14:textId="77777777">
        <w:trPr>
          <w:trHeight w:val="300"/>
        </w:trPr>
        <w:tc>
          <w:tcPr>
            <w:tcW w:w="2785" w:type="dxa"/>
            <w:tcBorders>
              <w:top w:val="single" w:color="auto"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auto"/>
            <w:noWrap/>
            <w:vAlign w:val="center"/>
            <w:hideMark/>
          </w:tcPr>
          <w:p w:rsidRPr="00D43965" w:rsidR="0015388E" w:rsidP="008E72FD" w:rsidRDefault="0015388E" w14:paraId="71D8A839" w14:textId="1A0F363E">
            <w:pPr>
              <w:contextualSpacing/>
              <w:rPr>
                <w:sz w:val="24"/>
                <w:szCs w:val="24"/>
              </w:rPr>
            </w:pPr>
            <w:r w:rsidRPr="00D43965">
              <w:rPr>
                <w:sz w:val="24"/>
                <w:szCs w:val="24"/>
              </w:rPr>
              <w:t>Passenger Vehicle Operators</w:t>
            </w:r>
          </w:p>
        </w:tc>
        <w:tc>
          <w:tcPr>
            <w:tcW w:w="1823" w:type="dxa"/>
            <w:tcBorders>
              <w:top w:val="single" w:color="auto"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auto"/>
            <w:noWrap/>
            <w:vAlign w:val="bottom"/>
            <w:hideMark/>
          </w:tcPr>
          <w:p w:rsidRPr="00D43965" w:rsidR="0015388E" w:rsidP="008E72FD" w:rsidRDefault="0015388E" w14:paraId="1FBA8C9E" w14:textId="5B03F095">
            <w:pPr>
              <w:contextualSpacing/>
              <w:jc w:val="right"/>
              <w:rPr>
                <w:sz w:val="24"/>
                <w:szCs w:val="24"/>
              </w:rPr>
            </w:pPr>
            <w:r w:rsidRPr="00D43965">
              <w:rPr>
                <w:sz w:val="24"/>
                <w:szCs w:val="24"/>
              </w:rPr>
              <w:t>$</w:t>
            </w:r>
            <w:r w:rsidRPr="00D43965" w:rsidR="00A61D34">
              <w:rPr>
                <w:sz w:val="24"/>
                <w:szCs w:val="24"/>
              </w:rPr>
              <w:t>13,086</w:t>
            </w:r>
            <w:r w:rsidRPr="00D43965" w:rsidR="00136B4A">
              <w:rPr>
                <w:sz w:val="24"/>
                <w:szCs w:val="24"/>
              </w:rPr>
              <w:t>,000</w:t>
            </w:r>
          </w:p>
        </w:tc>
        <w:tc>
          <w:tcPr>
            <w:tcW w:w="1620" w:type="dxa"/>
            <w:tcBorders>
              <w:top w:val="single" w:color="auto" w:sz="4" w:space="0"/>
              <w:left w:val="single" w:color="D9D9D9" w:themeColor="background1" w:themeShade="D9" w:sz="4" w:space="0"/>
              <w:bottom w:val="single" w:color="D9D9D9" w:themeColor="background1" w:themeShade="D9" w:sz="4" w:space="0"/>
              <w:right w:val="single" w:color="D9D9D9" w:themeColor="background1" w:themeShade="D9" w:sz="4" w:space="0"/>
            </w:tcBorders>
            <w:vAlign w:val="bottom"/>
          </w:tcPr>
          <w:p w:rsidRPr="00D43965" w:rsidR="0015388E" w:rsidP="008E72FD" w:rsidRDefault="00730FD6" w14:paraId="77870BDE" w14:textId="08784399">
            <w:pPr>
              <w:contextualSpacing/>
              <w:jc w:val="right"/>
              <w:rPr>
                <w:sz w:val="24"/>
                <w:szCs w:val="24"/>
              </w:rPr>
            </w:pPr>
            <w:r w:rsidRPr="00D43965">
              <w:rPr>
                <w:sz w:val="24"/>
                <w:szCs w:val="24"/>
              </w:rPr>
              <w:t>$</w:t>
            </w:r>
            <w:r w:rsidRPr="00D43965" w:rsidR="00482709">
              <w:rPr>
                <w:sz w:val="24"/>
                <w:szCs w:val="24"/>
              </w:rPr>
              <w:t>522</w:t>
            </w:r>
            <w:r w:rsidRPr="00D43965">
              <w:rPr>
                <w:sz w:val="24"/>
                <w:szCs w:val="24"/>
              </w:rPr>
              <w:t>,000</w:t>
            </w:r>
          </w:p>
        </w:tc>
        <w:tc>
          <w:tcPr>
            <w:tcW w:w="1350" w:type="dxa"/>
            <w:tcBorders>
              <w:top w:val="single" w:color="auto"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auto"/>
            <w:noWrap/>
            <w:vAlign w:val="bottom"/>
            <w:hideMark/>
          </w:tcPr>
          <w:p w:rsidRPr="00D43965" w:rsidR="0015388E" w:rsidP="008E72FD" w:rsidRDefault="0015388E" w14:paraId="12DF3B03" w14:textId="3FB334C6">
            <w:pPr>
              <w:contextualSpacing/>
              <w:jc w:val="right"/>
              <w:rPr>
                <w:sz w:val="24"/>
                <w:szCs w:val="24"/>
              </w:rPr>
            </w:pPr>
            <w:r w:rsidRPr="00D43965">
              <w:rPr>
                <w:sz w:val="24"/>
                <w:szCs w:val="24"/>
              </w:rPr>
              <w:t>$</w:t>
            </w:r>
            <w:r w:rsidRPr="00D43965" w:rsidR="00860EDB">
              <w:rPr>
                <w:sz w:val="24"/>
                <w:szCs w:val="24"/>
              </w:rPr>
              <w:t>141</w:t>
            </w:r>
            <w:r w:rsidRPr="00D43965" w:rsidR="00F41D13">
              <w:rPr>
                <w:sz w:val="24"/>
                <w:szCs w:val="24"/>
              </w:rPr>
              <w:t>,</w:t>
            </w:r>
            <w:r w:rsidRPr="00D43965">
              <w:rPr>
                <w:sz w:val="24"/>
                <w:szCs w:val="24"/>
              </w:rPr>
              <w:t>000</w:t>
            </w:r>
          </w:p>
        </w:tc>
        <w:tc>
          <w:tcPr>
            <w:tcW w:w="1800" w:type="dxa"/>
            <w:tcBorders>
              <w:top w:val="single" w:color="auto" w:sz="4" w:space="0"/>
              <w:left w:val="single" w:color="D9D9D9" w:themeColor="background1" w:themeShade="D9" w:sz="4" w:space="0"/>
              <w:bottom w:val="single" w:color="D9D9D9" w:themeColor="background1" w:themeShade="D9" w:sz="4" w:space="0"/>
              <w:right w:val="single" w:color="D9D9D9" w:themeColor="background1" w:themeShade="D9" w:sz="4" w:space="0"/>
            </w:tcBorders>
            <w:vAlign w:val="bottom"/>
          </w:tcPr>
          <w:p w:rsidRPr="000F7E58" w:rsidR="0015388E" w:rsidP="008E72FD" w:rsidRDefault="0015388E" w14:paraId="18E7A335" w14:textId="58FC5B28">
            <w:pPr>
              <w:contextualSpacing/>
              <w:jc w:val="right"/>
              <w:rPr>
                <w:sz w:val="24"/>
                <w:szCs w:val="24"/>
              </w:rPr>
            </w:pPr>
            <w:r w:rsidRPr="00D43965">
              <w:rPr>
                <w:sz w:val="24"/>
                <w:szCs w:val="24"/>
              </w:rPr>
              <w:t>$</w:t>
            </w:r>
            <w:r w:rsidRPr="00D43965" w:rsidR="00361E15">
              <w:rPr>
                <w:sz w:val="24"/>
                <w:szCs w:val="24"/>
              </w:rPr>
              <w:t>13,</w:t>
            </w:r>
            <w:r w:rsidRPr="00D43965" w:rsidR="00860EDB">
              <w:rPr>
                <w:sz w:val="24"/>
                <w:szCs w:val="24"/>
              </w:rPr>
              <w:t>749</w:t>
            </w:r>
            <w:r w:rsidRPr="00D43965" w:rsidR="00730FD6">
              <w:rPr>
                <w:sz w:val="24"/>
                <w:szCs w:val="24"/>
              </w:rPr>
              <w:t>,000</w:t>
            </w:r>
          </w:p>
        </w:tc>
      </w:tr>
      <w:tr w:rsidRPr="00D43965" w:rsidR="0015388E" w:rsidTr="00AB362D" w14:paraId="5E596BB1" w14:textId="77777777">
        <w:trPr>
          <w:trHeight w:val="300"/>
        </w:trPr>
        <w:tc>
          <w:tcPr>
            <w:tcW w:w="278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auto"/>
            <w:noWrap/>
            <w:vAlign w:val="center"/>
          </w:tcPr>
          <w:p w:rsidRPr="000F7E58" w:rsidR="0015388E" w:rsidP="008E72FD" w:rsidRDefault="0015388E" w14:paraId="2F5350D3" w14:textId="31B6F4CA">
            <w:pPr>
              <w:contextualSpacing/>
              <w:rPr>
                <w:sz w:val="24"/>
                <w:szCs w:val="24"/>
              </w:rPr>
            </w:pPr>
            <w:r w:rsidRPr="000F7E58">
              <w:rPr>
                <w:sz w:val="24"/>
                <w:szCs w:val="24"/>
              </w:rPr>
              <w:t>Vessel Operators</w:t>
            </w:r>
          </w:p>
        </w:tc>
        <w:tc>
          <w:tcPr>
            <w:tcW w:w="1823"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auto"/>
            <w:noWrap/>
            <w:vAlign w:val="bottom"/>
          </w:tcPr>
          <w:p w:rsidRPr="000F7E58" w:rsidR="0015388E" w:rsidP="008E72FD" w:rsidRDefault="00A61D34" w14:paraId="2A507456" w14:textId="50A7F1E3">
            <w:pPr>
              <w:contextualSpacing/>
              <w:jc w:val="right"/>
              <w:rPr>
                <w:sz w:val="24"/>
                <w:szCs w:val="24"/>
              </w:rPr>
            </w:pPr>
            <w:r w:rsidRPr="000F7E58">
              <w:rPr>
                <w:sz w:val="24"/>
                <w:szCs w:val="24"/>
              </w:rPr>
              <w:t>326</w:t>
            </w:r>
            <w:r w:rsidRPr="000F7E58" w:rsidR="00EF6C21">
              <w:rPr>
                <w:sz w:val="24"/>
                <w:szCs w:val="24"/>
              </w:rPr>
              <w:t>,0</w:t>
            </w:r>
            <w:r w:rsidRPr="000F7E58" w:rsidR="00136B4A">
              <w:rPr>
                <w:sz w:val="24"/>
                <w:szCs w:val="24"/>
              </w:rPr>
              <w:t>00</w:t>
            </w:r>
          </w:p>
        </w:tc>
        <w:tc>
          <w:tcPr>
            <w:tcW w:w="162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vAlign w:val="bottom"/>
          </w:tcPr>
          <w:p w:rsidRPr="000F7E58" w:rsidR="0015388E" w:rsidP="008E72FD" w:rsidRDefault="00587ECB" w14:paraId="6FD97936" w14:textId="6284008D">
            <w:pPr>
              <w:contextualSpacing/>
              <w:jc w:val="right"/>
              <w:rPr>
                <w:sz w:val="24"/>
                <w:szCs w:val="24"/>
              </w:rPr>
            </w:pPr>
            <w:r w:rsidRPr="000F7E58">
              <w:rPr>
                <w:sz w:val="24"/>
                <w:szCs w:val="24"/>
              </w:rPr>
              <w:t>13,</w:t>
            </w:r>
            <w:r w:rsidRPr="000F7E58" w:rsidR="00730FD6">
              <w:rPr>
                <w:sz w:val="24"/>
                <w:szCs w:val="24"/>
              </w:rPr>
              <w:t>000</w:t>
            </w:r>
          </w:p>
        </w:tc>
        <w:tc>
          <w:tcPr>
            <w:tcW w:w="135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auto"/>
            <w:noWrap/>
            <w:vAlign w:val="bottom"/>
          </w:tcPr>
          <w:p w:rsidRPr="000F7E58" w:rsidR="0015388E" w:rsidP="008E72FD" w:rsidRDefault="00F41D13" w14:paraId="050C0F85" w14:textId="7F7CA0BF">
            <w:pPr>
              <w:contextualSpacing/>
              <w:jc w:val="right"/>
              <w:rPr>
                <w:sz w:val="24"/>
                <w:szCs w:val="24"/>
              </w:rPr>
            </w:pPr>
            <w:r w:rsidRPr="000F7E58">
              <w:rPr>
                <w:sz w:val="24"/>
                <w:szCs w:val="24"/>
              </w:rPr>
              <w:t>-</w:t>
            </w:r>
          </w:p>
        </w:tc>
        <w:tc>
          <w:tcPr>
            <w:tcW w:w="180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vAlign w:val="bottom"/>
          </w:tcPr>
          <w:p w:rsidRPr="000F7E58" w:rsidR="0015388E" w:rsidP="008E72FD" w:rsidRDefault="0038685E" w14:paraId="3ABC2161" w14:textId="517260DF">
            <w:pPr>
              <w:contextualSpacing/>
              <w:jc w:val="right"/>
              <w:rPr>
                <w:sz w:val="24"/>
                <w:szCs w:val="24"/>
              </w:rPr>
            </w:pPr>
            <w:r w:rsidRPr="000F7E58">
              <w:rPr>
                <w:sz w:val="24"/>
                <w:szCs w:val="24"/>
              </w:rPr>
              <w:t>339</w:t>
            </w:r>
            <w:r w:rsidRPr="000F7E58" w:rsidR="00730FD6">
              <w:rPr>
                <w:sz w:val="24"/>
                <w:szCs w:val="24"/>
              </w:rPr>
              <w:t>,000</w:t>
            </w:r>
          </w:p>
        </w:tc>
      </w:tr>
      <w:tr w:rsidRPr="00D43965" w:rsidR="0015388E" w:rsidTr="00AB362D" w14:paraId="5C68EE20" w14:textId="77777777">
        <w:trPr>
          <w:trHeight w:val="300"/>
        </w:trPr>
        <w:tc>
          <w:tcPr>
            <w:tcW w:w="278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auto"/>
            <w:noWrap/>
            <w:vAlign w:val="center"/>
          </w:tcPr>
          <w:p w:rsidRPr="000F7E58" w:rsidR="0015388E" w:rsidP="008E72FD" w:rsidRDefault="0015388E" w14:paraId="27853CE5" w14:textId="098F4B32">
            <w:pPr>
              <w:contextualSpacing/>
              <w:rPr>
                <w:sz w:val="24"/>
                <w:szCs w:val="24"/>
              </w:rPr>
            </w:pPr>
            <w:r w:rsidRPr="000F7E58">
              <w:rPr>
                <w:sz w:val="24"/>
                <w:szCs w:val="24"/>
              </w:rPr>
              <w:t>Pipeline Corporations</w:t>
            </w:r>
          </w:p>
        </w:tc>
        <w:tc>
          <w:tcPr>
            <w:tcW w:w="1823"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auto"/>
            <w:noWrap/>
            <w:vAlign w:val="bottom"/>
          </w:tcPr>
          <w:p w:rsidRPr="000F7E58" w:rsidR="0015388E" w:rsidP="008E72FD" w:rsidRDefault="00A61D34" w14:paraId="3D7DDDA1" w14:textId="0CC87E73">
            <w:pPr>
              <w:contextualSpacing/>
              <w:jc w:val="right"/>
              <w:rPr>
                <w:sz w:val="24"/>
                <w:szCs w:val="24"/>
              </w:rPr>
            </w:pPr>
            <w:r w:rsidRPr="000F7E58">
              <w:rPr>
                <w:sz w:val="24"/>
                <w:szCs w:val="24"/>
              </w:rPr>
              <w:t>105</w:t>
            </w:r>
            <w:r w:rsidRPr="000F7E58" w:rsidR="00EF6C21">
              <w:rPr>
                <w:sz w:val="24"/>
                <w:szCs w:val="24"/>
              </w:rPr>
              <w:t>,</w:t>
            </w:r>
            <w:r w:rsidRPr="000F7E58" w:rsidR="00136B4A">
              <w:rPr>
                <w:sz w:val="24"/>
                <w:szCs w:val="24"/>
              </w:rPr>
              <w:t>000</w:t>
            </w:r>
          </w:p>
        </w:tc>
        <w:tc>
          <w:tcPr>
            <w:tcW w:w="162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vAlign w:val="bottom"/>
          </w:tcPr>
          <w:p w:rsidRPr="000F7E58" w:rsidR="0015388E" w:rsidP="008E72FD" w:rsidRDefault="00587ECB" w14:paraId="0CD63139" w14:textId="772FAA86">
            <w:pPr>
              <w:contextualSpacing/>
              <w:jc w:val="right"/>
              <w:rPr>
                <w:sz w:val="24"/>
                <w:szCs w:val="24"/>
              </w:rPr>
            </w:pPr>
            <w:r w:rsidRPr="000F7E58">
              <w:rPr>
                <w:sz w:val="24"/>
                <w:szCs w:val="24"/>
              </w:rPr>
              <w:t>1,000</w:t>
            </w:r>
          </w:p>
        </w:tc>
        <w:tc>
          <w:tcPr>
            <w:tcW w:w="135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auto"/>
            <w:noWrap/>
            <w:vAlign w:val="bottom"/>
          </w:tcPr>
          <w:p w:rsidRPr="000F7E58" w:rsidR="0015388E" w:rsidP="008E72FD" w:rsidRDefault="00730FD6" w14:paraId="102B1A06" w14:textId="3B343D85">
            <w:pPr>
              <w:contextualSpacing/>
              <w:jc w:val="right"/>
              <w:rPr>
                <w:sz w:val="24"/>
                <w:szCs w:val="24"/>
              </w:rPr>
            </w:pPr>
            <w:r w:rsidRPr="000F7E58">
              <w:rPr>
                <w:sz w:val="24"/>
                <w:szCs w:val="24"/>
              </w:rPr>
              <w:t>-</w:t>
            </w:r>
          </w:p>
        </w:tc>
        <w:tc>
          <w:tcPr>
            <w:tcW w:w="180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vAlign w:val="bottom"/>
          </w:tcPr>
          <w:p w:rsidRPr="000F7E58" w:rsidR="0015388E" w:rsidP="008E72FD" w:rsidRDefault="00730FD6" w14:paraId="60920223" w14:textId="2BFB1CE9">
            <w:pPr>
              <w:contextualSpacing/>
              <w:jc w:val="right"/>
              <w:rPr>
                <w:sz w:val="24"/>
                <w:szCs w:val="24"/>
              </w:rPr>
            </w:pPr>
            <w:r w:rsidRPr="000F7E58">
              <w:rPr>
                <w:sz w:val="24"/>
                <w:szCs w:val="24"/>
              </w:rPr>
              <w:t>1</w:t>
            </w:r>
            <w:r w:rsidRPr="000F7E58" w:rsidR="00D04C02">
              <w:rPr>
                <w:sz w:val="24"/>
                <w:szCs w:val="24"/>
              </w:rPr>
              <w:t>0</w:t>
            </w:r>
            <w:r w:rsidRPr="000F7E58" w:rsidR="0038685E">
              <w:rPr>
                <w:sz w:val="24"/>
                <w:szCs w:val="24"/>
              </w:rPr>
              <w:t>6</w:t>
            </w:r>
            <w:r w:rsidRPr="000F7E58">
              <w:rPr>
                <w:sz w:val="24"/>
                <w:szCs w:val="24"/>
              </w:rPr>
              <w:t>,000</w:t>
            </w:r>
          </w:p>
        </w:tc>
      </w:tr>
      <w:tr w:rsidRPr="00D43965" w:rsidR="0015388E" w:rsidTr="00AB362D" w14:paraId="215242A6" w14:textId="77777777">
        <w:trPr>
          <w:trHeight w:val="300"/>
        </w:trPr>
        <w:tc>
          <w:tcPr>
            <w:tcW w:w="278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auto"/>
            <w:noWrap/>
            <w:vAlign w:val="center"/>
          </w:tcPr>
          <w:p w:rsidRPr="000F7E58" w:rsidR="0015388E" w:rsidP="008E72FD" w:rsidRDefault="0015388E" w14:paraId="408433AB" w14:textId="0A3A796D">
            <w:pPr>
              <w:contextualSpacing/>
              <w:rPr>
                <w:sz w:val="24"/>
                <w:szCs w:val="24"/>
              </w:rPr>
            </w:pPr>
            <w:r w:rsidRPr="000F7E58">
              <w:rPr>
                <w:sz w:val="24"/>
                <w:szCs w:val="24"/>
              </w:rPr>
              <w:t>Railroad Corporation</w:t>
            </w:r>
            <w:r w:rsidRPr="000F7E58" w:rsidR="00730FD6">
              <w:rPr>
                <w:sz w:val="24"/>
                <w:szCs w:val="24"/>
              </w:rPr>
              <w:t>s</w:t>
            </w:r>
          </w:p>
        </w:tc>
        <w:tc>
          <w:tcPr>
            <w:tcW w:w="1823"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auto"/>
            <w:noWrap/>
            <w:vAlign w:val="bottom"/>
          </w:tcPr>
          <w:p w:rsidRPr="000F7E58" w:rsidR="0015388E" w:rsidP="008E72FD" w:rsidRDefault="00EF6C21" w14:paraId="2ABEEC22" w14:textId="30A239F6">
            <w:pPr>
              <w:contextualSpacing/>
              <w:jc w:val="right"/>
              <w:rPr>
                <w:sz w:val="24"/>
                <w:szCs w:val="24"/>
              </w:rPr>
            </w:pPr>
            <w:r w:rsidRPr="000F7E58">
              <w:rPr>
                <w:sz w:val="24"/>
                <w:szCs w:val="24"/>
              </w:rPr>
              <w:t>11,</w:t>
            </w:r>
            <w:r w:rsidRPr="000F7E58" w:rsidR="00A61D34">
              <w:rPr>
                <w:sz w:val="24"/>
                <w:szCs w:val="24"/>
              </w:rPr>
              <w:t>715</w:t>
            </w:r>
            <w:r w:rsidRPr="000F7E58">
              <w:rPr>
                <w:sz w:val="24"/>
                <w:szCs w:val="24"/>
              </w:rPr>
              <w:t>,000</w:t>
            </w:r>
          </w:p>
        </w:tc>
        <w:tc>
          <w:tcPr>
            <w:tcW w:w="162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vAlign w:val="bottom"/>
          </w:tcPr>
          <w:p w:rsidRPr="000F7E58" w:rsidR="0015388E" w:rsidP="008E72FD" w:rsidRDefault="00482709" w14:paraId="2E94EE6B" w14:textId="1D760121">
            <w:pPr>
              <w:contextualSpacing/>
              <w:jc w:val="right"/>
              <w:rPr>
                <w:sz w:val="24"/>
                <w:szCs w:val="24"/>
              </w:rPr>
            </w:pPr>
            <w:r w:rsidRPr="000F7E58">
              <w:rPr>
                <w:sz w:val="24"/>
                <w:szCs w:val="24"/>
              </w:rPr>
              <w:t>695</w:t>
            </w:r>
            <w:r w:rsidRPr="000F7E58" w:rsidR="00730FD6">
              <w:rPr>
                <w:sz w:val="24"/>
                <w:szCs w:val="24"/>
              </w:rPr>
              <w:t>,000</w:t>
            </w:r>
          </w:p>
        </w:tc>
        <w:tc>
          <w:tcPr>
            <w:tcW w:w="135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auto"/>
            <w:noWrap/>
            <w:vAlign w:val="bottom"/>
          </w:tcPr>
          <w:p w:rsidRPr="000F7E58" w:rsidR="0015388E" w:rsidP="008E72FD" w:rsidRDefault="0015388E" w14:paraId="228B581D" w14:textId="5FB795A0">
            <w:pPr>
              <w:contextualSpacing/>
              <w:jc w:val="right"/>
              <w:rPr>
                <w:sz w:val="24"/>
                <w:szCs w:val="24"/>
              </w:rPr>
            </w:pPr>
          </w:p>
        </w:tc>
        <w:tc>
          <w:tcPr>
            <w:tcW w:w="180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vAlign w:val="bottom"/>
          </w:tcPr>
          <w:p w:rsidRPr="000F7E58" w:rsidR="0015388E" w:rsidP="008E72FD" w:rsidRDefault="00730FD6" w14:paraId="56C010D3" w14:textId="5E01ED5C">
            <w:pPr>
              <w:contextualSpacing/>
              <w:jc w:val="right"/>
              <w:rPr>
                <w:sz w:val="24"/>
                <w:szCs w:val="24"/>
              </w:rPr>
            </w:pPr>
            <w:r w:rsidRPr="00D43965">
              <w:rPr>
                <w:sz w:val="24"/>
                <w:szCs w:val="24"/>
              </w:rPr>
              <w:t>1</w:t>
            </w:r>
            <w:r w:rsidRPr="00D43965" w:rsidR="00136B4A">
              <w:rPr>
                <w:sz w:val="24"/>
                <w:szCs w:val="24"/>
              </w:rPr>
              <w:t>2,</w:t>
            </w:r>
            <w:r w:rsidRPr="00D43965" w:rsidR="00482709">
              <w:rPr>
                <w:sz w:val="24"/>
                <w:szCs w:val="24"/>
              </w:rPr>
              <w:t>410</w:t>
            </w:r>
            <w:r w:rsidRPr="00D43965">
              <w:rPr>
                <w:sz w:val="24"/>
                <w:szCs w:val="24"/>
              </w:rPr>
              <w:t>,000</w:t>
            </w:r>
          </w:p>
        </w:tc>
      </w:tr>
      <w:tr w:rsidRPr="00D43965" w:rsidR="0015388E" w:rsidTr="00AB362D" w14:paraId="379411E5" w14:textId="77777777">
        <w:trPr>
          <w:trHeight w:val="315"/>
        </w:trPr>
        <w:tc>
          <w:tcPr>
            <w:tcW w:w="2785" w:type="dxa"/>
            <w:tcBorders>
              <w:top w:val="single" w:color="auto" w:sz="4" w:space="0"/>
              <w:left w:val="single" w:color="D9D9D9" w:themeColor="background1" w:themeShade="D9" w:sz="4" w:space="0"/>
              <w:bottom w:val="single" w:color="D9D9D9" w:sz="4" w:space="0"/>
              <w:right w:val="single" w:color="D9D9D9" w:themeColor="background1" w:themeShade="D9" w:sz="4" w:space="0"/>
            </w:tcBorders>
            <w:shd w:val="clear" w:color="auto" w:fill="auto"/>
            <w:noWrap/>
            <w:vAlign w:val="center"/>
            <w:hideMark/>
          </w:tcPr>
          <w:p w:rsidRPr="000F7E58" w:rsidR="0015388E" w:rsidP="008E72FD" w:rsidRDefault="0015388E" w14:paraId="70FB223E" w14:textId="77777777">
            <w:pPr>
              <w:contextualSpacing/>
              <w:rPr>
                <w:b/>
                <w:sz w:val="24"/>
                <w:szCs w:val="24"/>
              </w:rPr>
            </w:pPr>
            <w:r w:rsidRPr="000F7E58">
              <w:rPr>
                <w:b/>
                <w:sz w:val="24"/>
                <w:szCs w:val="24"/>
              </w:rPr>
              <w:t>Total</w:t>
            </w:r>
          </w:p>
        </w:tc>
        <w:tc>
          <w:tcPr>
            <w:tcW w:w="1823" w:type="dxa"/>
            <w:tcBorders>
              <w:top w:val="single" w:color="auto" w:sz="4" w:space="0"/>
              <w:left w:val="single" w:color="D9D9D9" w:themeColor="background1" w:themeShade="D9" w:sz="4" w:space="0"/>
              <w:bottom w:val="single" w:color="D9D9D9" w:sz="4" w:space="0"/>
              <w:right w:val="single" w:color="D9D9D9" w:themeColor="background1" w:themeShade="D9" w:sz="4" w:space="0"/>
            </w:tcBorders>
            <w:shd w:val="clear" w:color="auto" w:fill="auto"/>
            <w:noWrap/>
            <w:vAlign w:val="bottom"/>
            <w:hideMark/>
          </w:tcPr>
          <w:p w:rsidRPr="000F7E58" w:rsidR="0015388E" w:rsidP="008E72FD" w:rsidRDefault="0015388E" w14:paraId="6D5DA3D3" w14:textId="2512361B">
            <w:pPr>
              <w:contextualSpacing/>
              <w:jc w:val="right"/>
              <w:rPr>
                <w:sz w:val="24"/>
                <w:szCs w:val="24"/>
              </w:rPr>
            </w:pPr>
            <w:r w:rsidRPr="000F7E58">
              <w:rPr>
                <w:b/>
                <w:bCs/>
                <w:sz w:val="24"/>
                <w:szCs w:val="24"/>
              </w:rPr>
              <w:t>$</w:t>
            </w:r>
            <w:r w:rsidRPr="000F7E58" w:rsidR="00A61D34">
              <w:rPr>
                <w:b/>
                <w:bCs/>
                <w:sz w:val="24"/>
                <w:szCs w:val="24"/>
              </w:rPr>
              <w:t>25,232</w:t>
            </w:r>
            <w:r w:rsidRPr="000F7E58" w:rsidR="00EF6C21">
              <w:rPr>
                <w:b/>
                <w:bCs/>
                <w:sz w:val="24"/>
                <w:szCs w:val="24"/>
              </w:rPr>
              <w:t>,000</w:t>
            </w:r>
          </w:p>
        </w:tc>
        <w:tc>
          <w:tcPr>
            <w:tcW w:w="1620" w:type="dxa"/>
            <w:tcBorders>
              <w:top w:val="single" w:color="auto" w:sz="4" w:space="0"/>
              <w:left w:val="single" w:color="D9D9D9" w:themeColor="background1" w:themeShade="D9" w:sz="4" w:space="0"/>
              <w:bottom w:val="single" w:color="D9D9D9" w:sz="4" w:space="0"/>
              <w:right w:val="single" w:color="D9D9D9" w:themeColor="background1" w:themeShade="D9" w:sz="4" w:space="0"/>
            </w:tcBorders>
            <w:vAlign w:val="bottom"/>
          </w:tcPr>
          <w:p w:rsidRPr="000F7E58" w:rsidR="0015388E" w:rsidP="008E72FD" w:rsidRDefault="0015388E" w14:paraId="34741E2C" w14:textId="210B3CC2">
            <w:pPr>
              <w:contextualSpacing/>
              <w:jc w:val="right"/>
              <w:rPr>
                <w:b/>
                <w:bCs/>
                <w:sz w:val="24"/>
                <w:szCs w:val="24"/>
              </w:rPr>
            </w:pPr>
            <w:r w:rsidRPr="000F7E58">
              <w:rPr>
                <w:b/>
                <w:bCs/>
                <w:sz w:val="24"/>
                <w:szCs w:val="24"/>
              </w:rPr>
              <w:t>$</w:t>
            </w:r>
            <w:r w:rsidRPr="000F7E58" w:rsidR="00136B4A">
              <w:rPr>
                <w:b/>
                <w:bCs/>
                <w:sz w:val="24"/>
                <w:szCs w:val="24"/>
              </w:rPr>
              <w:t>1</w:t>
            </w:r>
            <w:r w:rsidRPr="000F7E58" w:rsidR="00587ECB">
              <w:rPr>
                <w:b/>
                <w:bCs/>
                <w:sz w:val="24"/>
                <w:szCs w:val="24"/>
              </w:rPr>
              <w:t>,2</w:t>
            </w:r>
            <w:r w:rsidRPr="000F7E58" w:rsidR="00482709">
              <w:rPr>
                <w:b/>
                <w:bCs/>
                <w:sz w:val="24"/>
                <w:szCs w:val="24"/>
              </w:rPr>
              <w:t>31</w:t>
            </w:r>
            <w:r w:rsidRPr="000F7E58" w:rsidR="00136B4A">
              <w:rPr>
                <w:b/>
                <w:bCs/>
                <w:sz w:val="24"/>
                <w:szCs w:val="24"/>
              </w:rPr>
              <w:t>,0</w:t>
            </w:r>
            <w:r w:rsidRPr="000F7E58">
              <w:rPr>
                <w:b/>
                <w:bCs/>
                <w:sz w:val="24"/>
                <w:szCs w:val="24"/>
              </w:rPr>
              <w:t>00</w:t>
            </w:r>
          </w:p>
        </w:tc>
        <w:tc>
          <w:tcPr>
            <w:tcW w:w="1350" w:type="dxa"/>
            <w:tcBorders>
              <w:top w:val="single" w:color="auto" w:sz="4" w:space="0"/>
              <w:left w:val="single" w:color="D9D9D9" w:themeColor="background1" w:themeShade="D9" w:sz="4" w:space="0"/>
              <w:bottom w:val="single" w:color="D9D9D9" w:sz="4" w:space="0"/>
              <w:right w:val="single" w:color="D9D9D9" w:themeColor="background1" w:themeShade="D9" w:sz="4" w:space="0"/>
            </w:tcBorders>
            <w:shd w:val="clear" w:color="auto" w:fill="auto"/>
            <w:noWrap/>
            <w:vAlign w:val="bottom"/>
            <w:hideMark/>
          </w:tcPr>
          <w:p w:rsidRPr="000F7E58" w:rsidR="0015388E" w:rsidP="008E72FD" w:rsidRDefault="0015388E" w14:paraId="65B64A8F" w14:textId="20F40E5E">
            <w:pPr>
              <w:contextualSpacing/>
              <w:jc w:val="right"/>
              <w:rPr>
                <w:sz w:val="24"/>
                <w:szCs w:val="24"/>
              </w:rPr>
            </w:pPr>
            <w:r w:rsidRPr="000F7E58">
              <w:rPr>
                <w:b/>
                <w:bCs/>
                <w:sz w:val="24"/>
                <w:szCs w:val="24"/>
              </w:rPr>
              <w:t>$</w:t>
            </w:r>
            <w:r w:rsidRPr="000F7E58" w:rsidR="00361E15">
              <w:rPr>
                <w:b/>
                <w:bCs/>
                <w:sz w:val="24"/>
                <w:szCs w:val="24"/>
              </w:rPr>
              <w:t>1</w:t>
            </w:r>
            <w:r w:rsidRPr="000F7E58" w:rsidR="00860EDB">
              <w:rPr>
                <w:b/>
                <w:bCs/>
                <w:sz w:val="24"/>
                <w:szCs w:val="24"/>
              </w:rPr>
              <w:t>41</w:t>
            </w:r>
            <w:r w:rsidRPr="000F7E58" w:rsidR="00361E15">
              <w:rPr>
                <w:b/>
                <w:bCs/>
                <w:sz w:val="24"/>
                <w:szCs w:val="24"/>
              </w:rPr>
              <w:t>,000</w:t>
            </w:r>
          </w:p>
        </w:tc>
        <w:tc>
          <w:tcPr>
            <w:tcW w:w="1800" w:type="dxa"/>
            <w:tcBorders>
              <w:top w:val="single" w:color="auto" w:sz="4" w:space="0"/>
              <w:left w:val="single" w:color="D9D9D9" w:themeColor="background1" w:themeShade="D9" w:sz="4" w:space="0"/>
              <w:bottom w:val="single" w:color="D9D9D9" w:sz="4" w:space="0"/>
              <w:right w:val="single" w:color="D9D9D9" w:themeColor="background1" w:themeShade="D9" w:sz="4" w:space="0"/>
            </w:tcBorders>
            <w:vAlign w:val="bottom"/>
          </w:tcPr>
          <w:p w:rsidRPr="000F7E58" w:rsidR="0015388E" w:rsidP="008E72FD" w:rsidRDefault="0015388E" w14:paraId="1D574238" w14:textId="4DD7ED8F">
            <w:pPr>
              <w:contextualSpacing/>
              <w:jc w:val="right"/>
              <w:rPr>
                <w:sz w:val="24"/>
                <w:szCs w:val="24"/>
              </w:rPr>
            </w:pPr>
            <w:r w:rsidRPr="00D43965">
              <w:rPr>
                <w:b/>
                <w:bCs/>
                <w:sz w:val="24"/>
                <w:szCs w:val="24"/>
              </w:rPr>
              <w:t>$</w:t>
            </w:r>
            <w:r w:rsidRPr="00D43965" w:rsidR="00482709">
              <w:rPr>
                <w:b/>
                <w:bCs/>
                <w:sz w:val="24"/>
                <w:szCs w:val="24"/>
              </w:rPr>
              <w:t>26,6</w:t>
            </w:r>
            <w:r w:rsidRPr="00D43965" w:rsidR="00860EDB">
              <w:rPr>
                <w:b/>
                <w:bCs/>
                <w:sz w:val="24"/>
                <w:szCs w:val="24"/>
              </w:rPr>
              <w:t>04</w:t>
            </w:r>
            <w:r w:rsidRPr="000F7E58" w:rsidR="00730FD6">
              <w:rPr>
                <w:b/>
                <w:bCs/>
                <w:sz w:val="24"/>
                <w:szCs w:val="24"/>
              </w:rPr>
              <w:t>,000</w:t>
            </w:r>
          </w:p>
        </w:tc>
      </w:tr>
    </w:tbl>
    <w:p w:rsidR="00553571" w:rsidRDefault="00553571" w14:paraId="4281940E" w14:textId="167337EA">
      <w:pPr>
        <w:rPr>
          <w:sz w:val="24"/>
          <w:szCs w:val="24"/>
        </w:rPr>
      </w:pPr>
    </w:p>
    <w:p w:rsidR="00553571" w:rsidRDefault="00553571" w14:paraId="5D34DAAE" w14:textId="77777777">
      <w:pPr>
        <w:rPr>
          <w:sz w:val="24"/>
          <w:szCs w:val="24"/>
        </w:rPr>
      </w:pPr>
      <w:r>
        <w:rPr>
          <w:sz w:val="24"/>
          <w:szCs w:val="24"/>
        </w:rPr>
        <w:br w:type="page"/>
      </w:r>
    </w:p>
    <w:p w:rsidRPr="00D43965" w:rsidR="00E80520" w:rsidP="0005423C" w:rsidRDefault="00E80520" w14:paraId="7BB334AC" w14:textId="1B95E474">
      <w:pPr>
        <w:spacing w:before="120" w:after="120"/>
        <w:jc w:val="center"/>
        <w:rPr>
          <w:b/>
          <w:bCs/>
          <w:sz w:val="24"/>
          <w:szCs w:val="24"/>
        </w:rPr>
      </w:pPr>
      <w:r w:rsidRPr="00D43965">
        <w:rPr>
          <w:b/>
          <w:bCs/>
          <w:sz w:val="24"/>
          <w:szCs w:val="24"/>
        </w:rPr>
        <w:lastRenderedPageBreak/>
        <w:t>Table</w:t>
      </w:r>
      <w:r w:rsidRPr="00D43965" w:rsidR="006A7EE2">
        <w:rPr>
          <w:b/>
          <w:bCs/>
          <w:sz w:val="24"/>
          <w:szCs w:val="24"/>
        </w:rPr>
        <w:t xml:space="preserve"> 3</w:t>
      </w:r>
      <w:r w:rsidRPr="00D43965" w:rsidR="00872334">
        <w:rPr>
          <w:b/>
          <w:bCs/>
          <w:sz w:val="24"/>
          <w:szCs w:val="24"/>
        </w:rPr>
        <w:t xml:space="preserve">. </w:t>
      </w:r>
      <w:r w:rsidRPr="00D43965">
        <w:rPr>
          <w:b/>
          <w:bCs/>
          <w:sz w:val="24"/>
          <w:szCs w:val="24"/>
        </w:rPr>
        <w:t>PUCTRA User Fees and Expenditures</w:t>
      </w:r>
      <w:r w:rsidRPr="00D43965" w:rsidR="00A117F2">
        <w:rPr>
          <w:b/>
          <w:bCs/>
          <w:sz w:val="24"/>
          <w:szCs w:val="24"/>
        </w:rPr>
        <w:t xml:space="preserve"> Projected for 20</w:t>
      </w:r>
      <w:r w:rsidRPr="00D43965" w:rsidR="00130697">
        <w:rPr>
          <w:b/>
          <w:bCs/>
          <w:sz w:val="24"/>
          <w:szCs w:val="24"/>
        </w:rPr>
        <w:t>20</w:t>
      </w:r>
      <w:r w:rsidRPr="00D43965" w:rsidR="00A117F2">
        <w:rPr>
          <w:b/>
          <w:bCs/>
          <w:sz w:val="24"/>
          <w:szCs w:val="24"/>
        </w:rPr>
        <w:t>-2</w:t>
      </w:r>
      <w:r w:rsidRPr="00D43965" w:rsidR="00130697">
        <w:rPr>
          <w:b/>
          <w:bCs/>
          <w:sz w:val="24"/>
          <w:szCs w:val="24"/>
        </w:rPr>
        <w:t>1</w:t>
      </w:r>
      <w:r w:rsidRPr="00D43965" w:rsidR="00A117F2">
        <w:rPr>
          <w:b/>
          <w:bCs/>
          <w:sz w:val="24"/>
          <w:szCs w:val="24"/>
        </w:rPr>
        <w:t xml:space="preserve"> (No Fee Change)</w:t>
      </w:r>
    </w:p>
    <w:tbl>
      <w:tblPr>
        <w:tblW w:w="9378" w:type="dxa"/>
        <w:tblLayout w:type="fixed"/>
        <w:tblLook w:val="04A0" w:firstRow="1" w:lastRow="0" w:firstColumn="1" w:lastColumn="0" w:noHBand="0" w:noVBand="1"/>
      </w:tblPr>
      <w:tblGrid>
        <w:gridCol w:w="2245"/>
        <w:gridCol w:w="2115"/>
        <w:gridCol w:w="1485"/>
        <w:gridCol w:w="1733"/>
        <w:gridCol w:w="1800"/>
      </w:tblGrid>
      <w:tr w:rsidRPr="00D43965" w:rsidR="00E80520" w:rsidTr="0044600A" w14:paraId="4D2590CE" w14:textId="77777777">
        <w:trPr>
          <w:cantSplit/>
          <w:trHeight w:val="1556"/>
        </w:trPr>
        <w:tc>
          <w:tcPr>
            <w:tcW w:w="2245" w:type="dxa"/>
            <w:tcBorders>
              <w:top w:val="single" w:color="auto" w:sz="4" w:space="0"/>
              <w:left w:val="single" w:color="auto" w:sz="4" w:space="0"/>
              <w:bottom w:val="single" w:color="auto" w:sz="4" w:space="0"/>
              <w:right w:val="single" w:color="D9D9D9" w:themeColor="background1" w:themeShade="D9" w:sz="4" w:space="0"/>
            </w:tcBorders>
            <w:shd w:val="clear" w:color="auto" w:fill="F2F2F2" w:themeFill="background1" w:themeFillShade="F2"/>
            <w:noWrap/>
            <w:vAlign w:val="center"/>
            <w:hideMark/>
          </w:tcPr>
          <w:p w:rsidRPr="00D43965" w:rsidR="00E80520" w:rsidP="008E72FD" w:rsidRDefault="00E80520" w14:paraId="24F8AB37" w14:textId="77777777">
            <w:pPr>
              <w:jc w:val="center"/>
              <w:rPr>
                <w:sz w:val="24"/>
                <w:szCs w:val="24"/>
              </w:rPr>
            </w:pPr>
            <w:r w:rsidRPr="00D43965">
              <w:rPr>
                <w:sz w:val="24"/>
                <w:szCs w:val="24"/>
              </w:rPr>
              <w:t>Utility Class</w:t>
            </w:r>
          </w:p>
        </w:tc>
        <w:tc>
          <w:tcPr>
            <w:tcW w:w="2115" w:type="dxa"/>
            <w:tcBorders>
              <w:top w:val="single" w:color="auto" w:sz="4" w:space="0"/>
              <w:left w:val="single" w:color="D9D9D9" w:themeColor="background1" w:themeShade="D9" w:sz="4" w:space="0"/>
              <w:bottom w:val="single" w:color="auto" w:sz="4" w:space="0"/>
              <w:right w:val="single" w:color="auto" w:sz="4" w:space="0"/>
            </w:tcBorders>
            <w:shd w:val="clear" w:color="auto" w:fill="F2F2F2" w:themeFill="background1" w:themeFillShade="F2"/>
            <w:vAlign w:val="center"/>
            <w:hideMark/>
          </w:tcPr>
          <w:p w:rsidRPr="00D43965" w:rsidR="00E80520" w:rsidP="008E72FD" w:rsidRDefault="00E80520" w14:paraId="4721F50D" w14:textId="511B4CA8">
            <w:pPr>
              <w:jc w:val="center"/>
              <w:rPr>
                <w:sz w:val="24"/>
                <w:szCs w:val="24"/>
              </w:rPr>
            </w:pPr>
            <w:r w:rsidRPr="00D43965">
              <w:rPr>
                <w:sz w:val="24"/>
                <w:szCs w:val="24"/>
              </w:rPr>
              <w:t>Current User Fee Revenue</w:t>
            </w:r>
            <w:r w:rsidRPr="00D43965" w:rsidR="00F41C0F">
              <w:rPr>
                <w:sz w:val="24"/>
                <w:szCs w:val="24"/>
              </w:rPr>
              <w:t xml:space="preserve"> 2019</w:t>
            </w:r>
          </w:p>
          <w:p w:rsidRPr="00D43965" w:rsidR="001C2674" w:rsidP="008E72FD" w:rsidRDefault="001C2674" w14:paraId="72CD12DA" w14:textId="56EC5C9D">
            <w:pPr>
              <w:jc w:val="center"/>
              <w:rPr>
                <w:sz w:val="24"/>
                <w:szCs w:val="24"/>
                <w:highlight w:val="yellow"/>
              </w:rPr>
            </w:pPr>
            <w:r w:rsidRPr="00D43965">
              <w:rPr>
                <w:sz w:val="24"/>
                <w:szCs w:val="24"/>
              </w:rPr>
              <w:t>(includes penalties)</w:t>
            </w:r>
            <w:r w:rsidRPr="00D43965" w:rsidR="002E0EAD">
              <w:rPr>
                <w:sz w:val="24"/>
                <w:szCs w:val="24"/>
              </w:rPr>
              <w:t xml:space="preserve">          (a)</w:t>
            </w:r>
            <w:r w:rsidRPr="00D43965" w:rsidR="00F41C0F">
              <w:rPr>
                <w:rStyle w:val="FootnoteReference"/>
                <w:sz w:val="24"/>
                <w:szCs w:val="24"/>
              </w:rPr>
              <w:footnoteReference w:id="12"/>
            </w:r>
          </w:p>
        </w:tc>
        <w:tc>
          <w:tcPr>
            <w:tcW w:w="1485"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D43965" w:rsidR="00E80520" w:rsidP="008E72FD" w:rsidRDefault="00E80520" w14:paraId="4059260A" w14:textId="79FDB9B7">
            <w:pPr>
              <w:jc w:val="center"/>
              <w:rPr>
                <w:sz w:val="24"/>
                <w:szCs w:val="24"/>
              </w:rPr>
            </w:pPr>
            <w:r w:rsidRPr="00D43965">
              <w:rPr>
                <w:sz w:val="24"/>
                <w:szCs w:val="24"/>
              </w:rPr>
              <w:t>Current Non-User Fee Revenue</w:t>
            </w:r>
            <w:r w:rsidRPr="00D43965" w:rsidR="003271B8">
              <w:rPr>
                <w:sz w:val="24"/>
                <w:szCs w:val="24"/>
              </w:rPr>
              <w:t xml:space="preserve"> 2019</w:t>
            </w:r>
            <w:r w:rsidRPr="00D43965">
              <w:rPr>
                <w:rStyle w:val="FootnoteReference"/>
                <w:sz w:val="24"/>
                <w:szCs w:val="24"/>
              </w:rPr>
              <w:footnoteReference w:id="13"/>
            </w:r>
            <w:r w:rsidRPr="00D43965" w:rsidR="002E0EAD">
              <w:rPr>
                <w:sz w:val="24"/>
                <w:szCs w:val="24"/>
              </w:rPr>
              <w:t xml:space="preserve">        (b)</w:t>
            </w:r>
          </w:p>
        </w:tc>
        <w:tc>
          <w:tcPr>
            <w:tcW w:w="173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D43965" w:rsidR="00E80520" w:rsidP="008E72FD" w:rsidRDefault="00D1085B" w14:paraId="37151664" w14:textId="4DB3DEB1">
            <w:pPr>
              <w:jc w:val="center"/>
              <w:rPr>
                <w:sz w:val="24"/>
                <w:szCs w:val="24"/>
              </w:rPr>
            </w:pPr>
            <w:r w:rsidRPr="00D43965">
              <w:rPr>
                <w:sz w:val="24"/>
                <w:szCs w:val="24"/>
              </w:rPr>
              <w:t>Total Estimated Expenditures 20</w:t>
            </w:r>
            <w:r w:rsidRPr="00D43965" w:rsidR="00AB362D">
              <w:rPr>
                <w:sz w:val="24"/>
                <w:szCs w:val="24"/>
              </w:rPr>
              <w:t>20</w:t>
            </w:r>
            <w:r w:rsidRPr="00D43965">
              <w:rPr>
                <w:sz w:val="24"/>
                <w:szCs w:val="24"/>
              </w:rPr>
              <w:t>-2</w:t>
            </w:r>
            <w:r w:rsidRPr="00D43965" w:rsidR="00AB362D">
              <w:rPr>
                <w:sz w:val="24"/>
                <w:szCs w:val="24"/>
              </w:rPr>
              <w:t>1</w:t>
            </w:r>
            <w:r w:rsidRPr="00D43965" w:rsidR="002E0EAD">
              <w:rPr>
                <w:sz w:val="24"/>
                <w:szCs w:val="24"/>
              </w:rPr>
              <w:t xml:space="preserve">            (c )</w:t>
            </w:r>
          </w:p>
        </w:tc>
        <w:tc>
          <w:tcPr>
            <w:tcW w:w="180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D43965" w:rsidR="00E80520" w:rsidP="008E72FD" w:rsidRDefault="00E80520" w14:paraId="3F08BC1E" w14:textId="6F05ED18">
            <w:pPr>
              <w:jc w:val="center"/>
              <w:rPr>
                <w:sz w:val="24"/>
                <w:szCs w:val="24"/>
                <w:highlight w:val="yellow"/>
              </w:rPr>
            </w:pPr>
            <w:r w:rsidRPr="00D43965">
              <w:rPr>
                <w:sz w:val="24"/>
                <w:szCs w:val="24"/>
              </w:rPr>
              <w:t>Revenues Less Expenditures</w:t>
            </w:r>
            <w:r w:rsidRPr="00D43965" w:rsidR="002E0EAD">
              <w:rPr>
                <w:sz w:val="24"/>
                <w:szCs w:val="24"/>
              </w:rPr>
              <w:t xml:space="preserve">      (</w:t>
            </w:r>
            <w:proofErr w:type="spellStart"/>
            <w:r w:rsidRPr="00D43965" w:rsidR="002E0EAD">
              <w:rPr>
                <w:sz w:val="24"/>
                <w:szCs w:val="24"/>
              </w:rPr>
              <w:t>a+b</w:t>
            </w:r>
            <w:proofErr w:type="spellEnd"/>
            <w:r w:rsidRPr="00D43965" w:rsidR="002E0EAD">
              <w:rPr>
                <w:sz w:val="24"/>
                <w:szCs w:val="24"/>
              </w:rPr>
              <w:t>)-c</w:t>
            </w:r>
          </w:p>
        </w:tc>
      </w:tr>
      <w:tr w:rsidRPr="00D43965" w:rsidR="00E80520" w:rsidTr="0044600A" w14:paraId="18FDE57E" w14:textId="77777777">
        <w:trPr>
          <w:cantSplit/>
          <w:trHeight w:val="300"/>
        </w:trPr>
        <w:tc>
          <w:tcPr>
            <w:tcW w:w="2245" w:type="dxa"/>
            <w:tcBorders>
              <w:top w:val="single" w:color="auto"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auto"/>
            <w:noWrap/>
            <w:vAlign w:val="center"/>
            <w:hideMark/>
          </w:tcPr>
          <w:p w:rsidRPr="00D43965" w:rsidR="00E80520" w:rsidP="008E72FD" w:rsidRDefault="00E80520" w14:paraId="35311ABC" w14:textId="26BECCDE">
            <w:pPr>
              <w:spacing w:before="240"/>
              <w:contextualSpacing/>
              <w:rPr>
                <w:sz w:val="24"/>
                <w:szCs w:val="24"/>
              </w:rPr>
            </w:pPr>
            <w:r w:rsidRPr="00D43965">
              <w:rPr>
                <w:sz w:val="24"/>
                <w:szCs w:val="24"/>
              </w:rPr>
              <w:t>Passenger Vehicle Operators</w:t>
            </w:r>
          </w:p>
        </w:tc>
        <w:tc>
          <w:tcPr>
            <w:tcW w:w="2115" w:type="dxa"/>
            <w:tcBorders>
              <w:top w:val="single" w:color="auto"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auto"/>
            <w:noWrap/>
            <w:vAlign w:val="bottom"/>
          </w:tcPr>
          <w:p w:rsidRPr="00D43965" w:rsidR="00E80520" w:rsidP="008E72FD" w:rsidRDefault="00E80520" w14:paraId="37DB675A" w14:textId="050316DB">
            <w:pPr>
              <w:spacing w:before="240"/>
              <w:contextualSpacing/>
              <w:jc w:val="right"/>
              <w:rPr>
                <w:sz w:val="24"/>
                <w:szCs w:val="24"/>
              </w:rPr>
            </w:pPr>
            <w:r w:rsidRPr="00D43965">
              <w:rPr>
                <w:sz w:val="24"/>
                <w:szCs w:val="24"/>
              </w:rPr>
              <w:t>$</w:t>
            </w:r>
            <w:r w:rsidRPr="00D43965" w:rsidR="005D3383">
              <w:rPr>
                <w:sz w:val="24"/>
                <w:szCs w:val="24"/>
              </w:rPr>
              <w:t>13,529</w:t>
            </w:r>
            <w:r w:rsidRPr="00D43965">
              <w:rPr>
                <w:sz w:val="24"/>
                <w:szCs w:val="24"/>
              </w:rPr>
              <w:t>,000</w:t>
            </w:r>
          </w:p>
        </w:tc>
        <w:tc>
          <w:tcPr>
            <w:tcW w:w="1485" w:type="dxa"/>
            <w:tcBorders>
              <w:top w:val="single" w:color="auto" w:sz="4" w:space="0"/>
              <w:left w:val="single" w:color="D9D9D9" w:themeColor="background1" w:themeShade="D9" w:sz="4" w:space="0"/>
              <w:bottom w:val="single" w:color="D9D9D9" w:themeColor="background1" w:themeShade="D9" w:sz="4" w:space="0"/>
              <w:right w:val="single" w:color="D9D9D9" w:themeColor="background1" w:themeShade="D9" w:sz="4" w:space="0"/>
            </w:tcBorders>
            <w:vAlign w:val="bottom"/>
          </w:tcPr>
          <w:p w:rsidRPr="00D43965" w:rsidR="00E80520" w:rsidP="008E72FD" w:rsidRDefault="00D1085B" w14:paraId="7718C55A" w14:textId="63A5D5FD">
            <w:pPr>
              <w:spacing w:before="240"/>
              <w:contextualSpacing/>
              <w:jc w:val="right"/>
              <w:rPr>
                <w:sz w:val="24"/>
                <w:szCs w:val="24"/>
              </w:rPr>
            </w:pPr>
            <w:r w:rsidRPr="00D43965">
              <w:rPr>
                <w:sz w:val="24"/>
                <w:szCs w:val="24"/>
              </w:rPr>
              <w:t>$</w:t>
            </w:r>
            <w:r w:rsidRPr="00D43965" w:rsidR="005D3383">
              <w:rPr>
                <w:sz w:val="24"/>
                <w:szCs w:val="24"/>
              </w:rPr>
              <w:t>14</w:t>
            </w:r>
            <w:r w:rsidRPr="00D43965">
              <w:rPr>
                <w:sz w:val="24"/>
                <w:szCs w:val="24"/>
              </w:rPr>
              <w:t>,000</w:t>
            </w:r>
          </w:p>
        </w:tc>
        <w:tc>
          <w:tcPr>
            <w:tcW w:w="1733" w:type="dxa"/>
            <w:tcBorders>
              <w:top w:val="single" w:color="auto" w:sz="4" w:space="0"/>
              <w:left w:val="single" w:color="D9D9D9" w:themeColor="background1" w:themeShade="D9" w:sz="4" w:space="0"/>
              <w:bottom w:val="single" w:color="D9D9D9" w:themeColor="background1" w:themeShade="D9" w:sz="4" w:space="0"/>
              <w:right w:val="single" w:color="D9D9D9" w:themeColor="background1" w:themeShade="D9" w:sz="4" w:space="0"/>
            </w:tcBorders>
            <w:vAlign w:val="bottom"/>
          </w:tcPr>
          <w:p w:rsidRPr="000F7E58" w:rsidR="00E80520" w:rsidP="008E72FD" w:rsidRDefault="00E80520" w14:paraId="0C580FD9" w14:textId="724812F1">
            <w:pPr>
              <w:spacing w:before="240"/>
              <w:contextualSpacing/>
              <w:jc w:val="right"/>
              <w:rPr>
                <w:sz w:val="24"/>
                <w:szCs w:val="24"/>
              </w:rPr>
            </w:pPr>
            <w:r w:rsidRPr="00D43965">
              <w:rPr>
                <w:sz w:val="24"/>
                <w:szCs w:val="24"/>
              </w:rPr>
              <w:t>$</w:t>
            </w:r>
            <w:r w:rsidRPr="00D43965" w:rsidR="0014196B">
              <w:rPr>
                <w:sz w:val="24"/>
                <w:szCs w:val="24"/>
              </w:rPr>
              <w:t>13,</w:t>
            </w:r>
            <w:r w:rsidRPr="000F7E58" w:rsidR="00860EDB">
              <w:rPr>
                <w:sz w:val="24"/>
                <w:szCs w:val="24"/>
              </w:rPr>
              <w:t>749</w:t>
            </w:r>
            <w:r w:rsidRPr="000F7E58">
              <w:rPr>
                <w:sz w:val="24"/>
                <w:szCs w:val="24"/>
              </w:rPr>
              <w:t>,000</w:t>
            </w:r>
          </w:p>
        </w:tc>
        <w:tc>
          <w:tcPr>
            <w:tcW w:w="1800" w:type="dxa"/>
            <w:tcBorders>
              <w:top w:val="single" w:color="auto"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auto"/>
            <w:noWrap/>
            <w:vAlign w:val="bottom"/>
          </w:tcPr>
          <w:p w:rsidRPr="000F7E58" w:rsidR="00E80520" w:rsidP="008E72FD" w:rsidRDefault="00D04C02" w14:paraId="2964BEF1" w14:textId="386592DC">
            <w:pPr>
              <w:spacing w:before="240"/>
              <w:contextualSpacing/>
              <w:jc w:val="right"/>
              <w:rPr>
                <w:sz w:val="24"/>
                <w:szCs w:val="24"/>
              </w:rPr>
            </w:pPr>
            <w:r w:rsidRPr="000F7E58">
              <w:rPr>
                <w:sz w:val="24"/>
                <w:szCs w:val="24"/>
              </w:rPr>
              <w:t>$(</w:t>
            </w:r>
            <w:r w:rsidRPr="000F7E58" w:rsidR="005D3383">
              <w:rPr>
                <w:sz w:val="24"/>
                <w:szCs w:val="24"/>
              </w:rPr>
              <w:t>206</w:t>
            </w:r>
            <w:r w:rsidRPr="000F7E58" w:rsidR="00212687">
              <w:rPr>
                <w:sz w:val="24"/>
                <w:szCs w:val="24"/>
              </w:rPr>
              <w:t>,000</w:t>
            </w:r>
            <w:r w:rsidRPr="000F7E58">
              <w:rPr>
                <w:sz w:val="24"/>
                <w:szCs w:val="24"/>
              </w:rPr>
              <w:t>)</w:t>
            </w:r>
          </w:p>
        </w:tc>
      </w:tr>
      <w:tr w:rsidRPr="00D43965" w:rsidR="00E80520" w:rsidTr="0044600A" w14:paraId="43329A5C" w14:textId="77777777">
        <w:trPr>
          <w:cantSplit/>
          <w:trHeight w:val="300"/>
        </w:trPr>
        <w:tc>
          <w:tcPr>
            <w:tcW w:w="224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auto"/>
            <w:noWrap/>
            <w:vAlign w:val="center"/>
          </w:tcPr>
          <w:p w:rsidRPr="00D43965" w:rsidR="00E80520" w:rsidP="00E80520" w:rsidRDefault="00E80520" w14:paraId="71303DA6" w14:textId="2E7447C7">
            <w:pPr>
              <w:spacing w:before="240"/>
              <w:contextualSpacing/>
              <w:rPr>
                <w:sz w:val="24"/>
                <w:szCs w:val="24"/>
              </w:rPr>
            </w:pPr>
            <w:r w:rsidRPr="00D43965">
              <w:rPr>
                <w:sz w:val="24"/>
                <w:szCs w:val="24"/>
              </w:rPr>
              <w:t>Vessel Operators</w:t>
            </w:r>
          </w:p>
        </w:tc>
        <w:tc>
          <w:tcPr>
            <w:tcW w:w="211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auto"/>
            <w:noWrap/>
            <w:vAlign w:val="bottom"/>
          </w:tcPr>
          <w:p w:rsidRPr="00D43965" w:rsidR="00E80520" w:rsidP="00E80520" w:rsidRDefault="005D3383" w14:paraId="62B9EF94" w14:textId="62908428">
            <w:pPr>
              <w:spacing w:before="240"/>
              <w:contextualSpacing/>
              <w:jc w:val="right"/>
              <w:rPr>
                <w:sz w:val="24"/>
                <w:szCs w:val="24"/>
              </w:rPr>
            </w:pPr>
            <w:r w:rsidRPr="00D43965">
              <w:rPr>
                <w:sz w:val="24"/>
                <w:szCs w:val="24"/>
              </w:rPr>
              <w:t>135</w:t>
            </w:r>
            <w:r w:rsidRPr="00D43965" w:rsidR="00E80520">
              <w:rPr>
                <w:sz w:val="24"/>
                <w:szCs w:val="24"/>
              </w:rPr>
              <w:t>,000</w:t>
            </w:r>
          </w:p>
        </w:tc>
        <w:tc>
          <w:tcPr>
            <w:tcW w:w="148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vAlign w:val="bottom"/>
          </w:tcPr>
          <w:p w:rsidRPr="00D43965" w:rsidR="00E80520" w:rsidP="00E80520" w:rsidRDefault="00E80520" w14:paraId="1228FEB9" w14:textId="6C0F3C0D">
            <w:pPr>
              <w:spacing w:before="240"/>
              <w:contextualSpacing/>
              <w:jc w:val="right"/>
              <w:rPr>
                <w:sz w:val="24"/>
                <w:szCs w:val="24"/>
              </w:rPr>
            </w:pPr>
          </w:p>
        </w:tc>
        <w:tc>
          <w:tcPr>
            <w:tcW w:w="1733"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vAlign w:val="bottom"/>
          </w:tcPr>
          <w:p w:rsidRPr="000F7E58" w:rsidR="00E80520" w:rsidP="00E80520" w:rsidRDefault="002E16D1" w14:paraId="49C0BFA5" w14:textId="21B14593">
            <w:pPr>
              <w:spacing w:before="240"/>
              <w:contextualSpacing/>
              <w:jc w:val="right"/>
              <w:rPr>
                <w:sz w:val="24"/>
                <w:szCs w:val="24"/>
              </w:rPr>
            </w:pPr>
            <w:r w:rsidRPr="00D43965">
              <w:rPr>
                <w:sz w:val="24"/>
                <w:szCs w:val="24"/>
              </w:rPr>
              <w:t>3</w:t>
            </w:r>
            <w:r w:rsidRPr="000F7E58" w:rsidR="00860EDB">
              <w:rPr>
                <w:sz w:val="24"/>
                <w:szCs w:val="24"/>
              </w:rPr>
              <w:t>39</w:t>
            </w:r>
            <w:r w:rsidRPr="000F7E58" w:rsidR="00E80520">
              <w:rPr>
                <w:sz w:val="24"/>
                <w:szCs w:val="24"/>
              </w:rPr>
              <w:t>,000</w:t>
            </w:r>
          </w:p>
        </w:tc>
        <w:tc>
          <w:tcPr>
            <w:tcW w:w="180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auto"/>
            <w:noWrap/>
            <w:vAlign w:val="bottom"/>
          </w:tcPr>
          <w:p w:rsidRPr="000F7E58" w:rsidR="00E80520" w:rsidP="00E80520" w:rsidRDefault="00D04C02" w14:paraId="0284FEE0" w14:textId="7BF6C725">
            <w:pPr>
              <w:spacing w:before="240"/>
              <w:contextualSpacing/>
              <w:jc w:val="right"/>
              <w:rPr>
                <w:sz w:val="24"/>
                <w:szCs w:val="24"/>
              </w:rPr>
            </w:pPr>
            <w:r w:rsidRPr="000F7E58">
              <w:rPr>
                <w:sz w:val="24"/>
                <w:szCs w:val="24"/>
              </w:rPr>
              <w:t>(</w:t>
            </w:r>
            <w:r w:rsidRPr="000F7E58" w:rsidR="005D3383">
              <w:rPr>
                <w:sz w:val="24"/>
                <w:szCs w:val="24"/>
              </w:rPr>
              <w:t>204</w:t>
            </w:r>
            <w:r w:rsidRPr="000F7E58">
              <w:rPr>
                <w:sz w:val="24"/>
                <w:szCs w:val="24"/>
              </w:rPr>
              <w:t>,000)</w:t>
            </w:r>
          </w:p>
        </w:tc>
      </w:tr>
      <w:tr w:rsidRPr="00D43965" w:rsidR="00D1085B" w:rsidTr="0044600A" w14:paraId="477A1D0B" w14:textId="77777777">
        <w:trPr>
          <w:cantSplit/>
          <w:trHeight w:val="300"/>
        </w:trPr>
        <w:tc>
          <w:tcPr>
            <w:tcW w:w="224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auto"/>
            <w:noWrap/>
            <w:vAlign w:val="center"/>
          </w:tcPr>
          <w:p w:rsidRPr="00D43965" w:rsidR="00D1085B" w:rsidP="00D1085B" w:rsidRDefault="00D1085B" w14:paraId="70077CFA" w14:textId="4A50E70B">
            <w:pPr>
              <w:spacing w:before="240"/>
              <w:contextualSpacing/>
              <w:rPr>
                <w:sz w:val="24"/>
                <w:szCs w:val="24"/>
              </w:rPr>
            </w:pPr>
            <w:r w:rsidRPr="00D43965">
              <w:rPr>
                <w:sz w:val="24"/>
                <w:szCs w:val="24"/>
              </w:rPr>
              <w:t>Pipeline</w:t>
            </w:r>
          </w:p>
        </w:tc>
        <w:tc>
          <w:tcPr>
            <w:tcW w:w="211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auto"/>
            <w:noWrap/>
            <w:vAlign w:val="bottom"/>
          </w:tcPr>
          <w:p w:rsidRPr="00D43965" w:rsidR="00D1085B" w:rsidP="00D1085B" w:rsidRDefault="00D04C02" w14:paraId="6A527DC6" w14:textId="2D18F2AF">
            <w:pPr>
              <w:spacing w:before="240"/>
              <w:contextualSpacing/>
              <w:jc w:val="right"/>
              <w:rPr>
                <w:sz w:val="24"/>
                <w:szCs w:val="24"/>
              </w:rPr>
            </w:pPr>
            <w:r w:rsidRPr="00D43965">
              <w:rPr>
                <w:sz w:val="24"/>
                <w:szCs w:val="24"/>
              </w:rPr>
              <w:t>89</w:t>
            </w:r>
            <w:r w:rsidRPr="00D43965" w:rsidR="00D1085B">
              <w:rPr>
                <w:sz w:val="24"/>
                <w:szCs w:val="24"/>
              </w:rPr>
              <w:t>,000</w:t>
            </w:r>
          </w:p>
        </w:tc>
        <w:tc>
          <w:tcPr>
            <w:tcW w:w="148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vAlign w:val="bottom"/>
          </w:tcPr>
          <w:p w:rsidRPr="00D43965" w:rsidR="00D1085B" w:rsidP="00D1085B" w:rsidRDefault="00D1085B" w14:paraId="79B017FA" w14:textId="05161180">
            <w:pPr>
              <w:spacing w:before="240"/>
              <w:contextualSpacing/>
              <w:jc w:val="right"/>
              <w:rPr>
                <w:sz w:val="24"/>
                <w:szCs w:val="24"/>
              </w:rPr>
            </w:pPr>
            <w:r w:rsidRPr="00D43965">
              <w:rPr>
                <w:sz w:val="24"/>
                <w:szCs w:val="24"/>
              </w:rPr>
              <w:t>-</w:t>
            </w:r>
          </w:p>
        </w:tc>
        <w:tc>
          <w:tcPr>
            <w:tcW w:w="1733"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vAlign w:val="bottom"/>
          </w:tcPr>
          <w:p w:rsidRPr="000F7E58" w:rsidR="00D1085B" w:rsidP="00D1085B" w:rsidRDefault="00D1085B" w14:paraId="7394C61B" w14:textId="28C6CC8E">
            <w:pPr>
              <w:spacing w:before="240"/>
              <w:contextualSpacing/>
              <w:jc w:val="right"/>
              <w:rPr>
                <w:sz w:val="24"/>
                <w:szCs w:val="24"/>
              </w:rPr>
            </w:pPr>
            <w:r w:rsidRPr="00D43965">
              <w:rPr>
                <w:sz w:val="24"/>
                <w:szCs w:val="24"/>
              </w:rPr>
              <w:t>1</w:t>
            </w:r>
            <w:r w:rsidRPr="00D43965" w:rsidR="00D04C02">
              <w:rPr>
                <w:sz w:val="24"/>
                <w:szCs w:val="24"/>
              </w:rPr>
              <w:t>0</w:t>
            </w:r>
            <w:r w:rsidRPr="000F7E58" w:rsidR="00860EDB">
              <w:rPr>
                <w:sz w:val="24"/>
                <w:szCs w:val="24"/>
              </w:rPr>
              <w:t>6</w:t>
            </w:r>
            <w:r w:rsidRPr="000F7E58">
              <w:rPr>
                <w:sz w:val="24"/>
                <w:szCs w:val="24"/>
              </w:rPr>
              <w:t>,000</w:t>
            </w:r>
          </w:p>
        </w:tc>
        <w:tc>
          <w:tcPr>
            <w:tcW w:w="180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auto"/>
            <w:noWrap/>
            <w:vAlign w:val="bottom"/>
          </w:tcPr>
          <w:p w:rsidRPr="000F7E58" w:rsidR="00D1085B" w:rsidP="00D1085B" w:rsidRDefault="00D1085B" w14:paraId="2D80F66A" w14:textId="4542CC74">
            <w:pPr>
              <w:spacing w:before="240"/>
              <w:contextualSpacing/>
              <w:jc w:val="right"/>
              <w:rPr>
                <w:sz w:val="24"/>
                <w:szCs w:val="24"/>
              </w:rPr>
            </w:pPr>
            <w:r w:rsidRPr="000F7E58">
              <w:rPr>
                <w:sz w:val="24"/>
                <w:szCs w:val="24"/>
              </w:rPr>
              <w:t>(</w:t>
            </w:r>
            <w:r w:rsidRPr="000F7E58" w:rsidR="002E16D1">
              <w:rPr>
                <w:sz w:val="24"/>
                <w:szCs w:val="24"/>
              </w:rPr>
              <w:t>1</w:t>
            </w:r>
            <w:r w:rsidRPr="000F7E58" w:rsidR="005D3383">
              <w:rPr>
                <w:sz w:val="24"/>
                <w:szCs w:val="24"/>
              </w:rPr>
              <w:t>7</w:t>
            </w:r>
            <w:r w:rsidRPr="000F7E58">
              <w:rPr>
                <w:sz w:val="24"/>
                <w:szCs w:val="24"/>
              </w:rPr>
              <w:t>,000)</w:t>
            </w:r>
          </w:p>
        </w:tc>
      </w:tr>
      <w:tr w:rsidRPr="00D43965" w:rsidR="00D1085B" w:rsidTr="0044600A" w14:paraId="709A95BD" w14:textId="77777777">
        <w:trPr>
          <w:cantSplit/>
          <w:trHeight w:val="300"/>
        </w:trPr>
        <w:tc>
          <w:tcPr>
            <w:tcW w:w="224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auto"/>
            <w:noWrap/>
            <w:vAlign w:val="center"/>
          </w:tcPr>
          <w:p w:rsidRPr="00D43965" w:rsidR="00D1085B" w:rsidP="00D1085B" w:rsidRDefault="00D1085B" w14:paraId="5F59C041" w14:textId="77777777">
            <w:pPr>
              <w:spacing w:before="240"/>
              <w:contextualSpacing/>
              <w:rPr>
                <w:sz w:val="24"/>
                <w:szCs w:val="24"/>
              </w:rPr>
            </w:pPr>
            <w:r w:rsidRPr="00D43965">
              <w:rPr>
                <w:sz w:val="24"/>
                <w:szCs w:val="24"/>
              </w:rPr>
              <w:t>Freight Rail</w:t>
            </w:r>
          </w:p>
        </w:tc>
        <w:tc>
          <w:tcPr>
            <w:tcW w:w="211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auto"/>
            <w:noWrap/>
            <w:vAlign w:val="bottom"/>
          </w:tcPr>
          <w:p w:rsidRPr="00D43965" w:rsidR="00D1085B" w:rsidP="00D1085B" w:rsidRDefault="00DC5C3E" w14:paraId="11316145" w14:textId="18FE2E0E">
            <w:pPr>
              <w:spacing w:before="240"/>
              <w:contextualSpacing/>
              <w:jc w:val="right"/>
              <w:rPr>
                <w:sz w:val="24"/>
                <w:szCs w:val="24"/>
              </w:rPr>
            </w:pPr>
            <w:r w:rsidRPr="00D43965">
              <w:rPr>
                <w:sz w:val="24"/>
                <w:szCs w:val="24"/>
              </w:rPr>
              <w:t>10,</w:t>
            </w:r>
            <w:r w:rsidRPr="00D43965" w:rsidR="00D04C02">
              <w:rPr>
                <w:sz w:val="24"/>
                <w:szCs w:val="24"/>
              </w:rPr>
              <w:t>398</w:t>
            </w:r>
            <w:r w:rsidRPr="00D43965" w:rsidR="00D1085B">
              <w:rPr>
                <w:sz w:val="24"/>
                <w:szCs w:val="24"/>
              </w:rPr>
              <w:t>,000</w:t>
            </w:r>
          </w:p>
        </w:tc>
        <w:tc>
          <w:tcPr>
            <w:tcW w:w="148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vAlign w:val="bottom"/>
          </w:tcPr>
          <w:p w:rsidRPr="00D43965" w:rsidR="00D1085B" w:rsidP="00D1085B" w:rsidRDefault="00D1085B" w14:paraId="2E6D5DDF" w14:textId="77777777">
            <w:pPr>
              <w:spacing w:before="240"/>
              <w:contextualSpacing/>
              <w:jc w:val="right"/>
              <w:rPr>
                <w:sz w:val="24"/>
                <w:szCs w:val="24"/>
              </w:rPr>
            </w:pPr>
            <w:r w:rsidRPr="00D43965">
              <w:rPr>
                <w:sz w:val="24"/>
                <w:szCs w:val="24"/>
              </w:rPr>
              <w:t>-</w:t>
            </w:r>
          </w:p>
        </w:tc>
        <w:tc>
          <w:tcPr>
            <w:tcW w:w="1733"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vAlign w:val="bottom"/>
          </w:tcPr>
          <w:p w:rsidRPr="00D43965" w:rsidR="00D1085B" w:rsidP="00D1085B" w:rsidRDefault="00D1085B" w14:paraId="34B70AA1" w14:textId="75B5FBD4">
            <w:pPr>
              <w:spacing w:before="240"/>
              <w:contextualSpacing/>
              <w:jc w:val="right"/>
              <w:rPr>
                <w:sz w:val="24"/>
                <w:szCs w:val="24"/>
              </w:rPr>
            </w:pPr>
            <w:r w:rsidRPr="00D43965">
              <w:rPr>
                <w:sz w:val="24"/>
                <w:szCs w:val="24"/>
              </w:rPr>
              <w:t>1</w:t>
            </w:r>
            <w:r w:rsidRPr="00D43965" w:rsidR="002E16D1">
              <w:rPr>
                <w:sz w:val="24"/>
                <w:szCs w:val="24"/>
              </w:rPr>
              <w:t>2,</w:t>
            </w:r>
            <w:r w:rsidRPr="00D43965" w:rsidR="00AB362D">
              <w:rPr>
                <w:sz w:val="24"/>
                <w:szCs w:val="24"/>
              </w:rPr>
              <w:t>410</w:t>
            </w:r>
            <w:r w:rsidRPr="00D43965">
              <w:rPr>
                <w:sz w:val="24"/>
                <w:szCs w:val="24"/>
              </w:rPr>
              <w:t>,000</w:t>
            </w:r>
          </w:p>
        </w:tc>
        <w:tc>
          <w:tcPr>
            <w:tcW w:w="180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auto"/>
            <w:noWrap/>
            <w:vAlign w:val="bottom"/>
          </w:tcPr>
          <w:p w:rsidRPr="00D43965" w:rsidR="00D1085B" w:rsidP="00D1085B" w:rsidRDefault="00D1085B" w14:paraId="6D1F9B6D" w14:textId="6C17D50B">
            <w:pPr>
              <w:spacing w:before="240"/>
              <w:contextualSpacing/>
              <w:jc w:val="right"/>
              <w:rPr>
                <w:sz w:val="24"/>
                <w:szCs w:val="24"/>
              </w:rPr>
            </w:pPr>
            <w:r w:rsidRPr="00D43965">
              <w:rPr>
                <w:sz w:val="24"/>
                <w:szCs w:val="24"/>
              </w:rPr>
              <w:t>(</w:t>
            </w:r>
            <w:r w:rsidRPr="00D43965" w:rsidR="00212687">
              <w:rPr>
                <w:sz w:val="24"/>
                <w:szCs w:val="24"/>
              </w:rPr>
              <w:t>2,0</w:t>
            </w:r>
            <w:r w:rsidRPr="00D43965" w:rsidR="00AB362D">
              <w:rPr>
                <w:sz w:val="24"/>
                <w:szCs w:val="24"/>
              </w:rPr>
              <w:t>12</w:t>
            </w:r>
            <w:r w:rsidRPr="00D43965">
              <w:rPr>
                <w:sz w:val="24"/>
                <w:szCs w:val="24"/>
              </w:rPr>
              <w:t>,000)</w:t>
            </w:r>
          </w:p>
        </w:tc>
      </w:tr>
      <w:tr w:rsidRPr="00D43965" w:rsidR="00D1085B" w:rsidTr="0044600A" w14:paraId="312A6A05" w14:textId="77777777">
        <w:trPr>
          <w:cantSplit/>
          <w:trHeight w:val="315"/>
        </w:trPr>
        <w:tc>
          <w:tcPr>
            <w:tcW w:w="2245" w:type="dxa"/>
            <w:tcBorders>
              <w:top w:val="single" w:color="auto" w:sz="4" w:space="0"/>
              <w:left w:val="single" w:color="D9D9D9" w:themeColor="background1" w:themeShade="D9" w:sz="4" w:space="0"/>
              <w:bottom w:val="single" w:color="D9D9D9" w:sz="4" w:space="0"/>
              <w:right w:val="single" w:color="D9D9D9" w:themeColor="background1" w:themeShade="D9" w:sz="4" w:space="0"/>
            </w:tcBorders>
            <w:shd w:val="clear" w:color="auto" w:fill="auto"/>
            <w:noWrap/>
            <w:vAlign w:val="center"/>
            <w:hideMark/>
          </w:tcPr>
          <w:p w:rsidRPr="00D43965" w:rsidR="00D1085B" w:rsidP="00D1085B" w:rsidRDefault="00D1085B" w14:paraId="60DCCA43" w14:textId="77777777">
            <w:pPr>
              <w:spacing w:before="240"/>
              <w:contextualSpacing/>
              <w:rPr>
                <w:b/>
                <w:sz w:val="24"/>
                <w:szCs w:val="24"/>
              </w:rPr>
            </w:pPr>
            <w:r w:rsidRPr="00D43965">
              <w:rPr>
                <w:b/>
                <w:sz w:val="24"/>
                <w:szCs w:val="24"/>
              </w:rPr>
              <w:t>Total</w:t>
            </w:r>
          </w:p>
        </w:tc>
        <w:tc>
          <w:tcPr>
            <w:tcW w:w="2115" w:type="dxa"/>
            <w:tcBorders>
              <w:top w:val="single" w:color="auto" w:sz="4" w:space="0"/>
              <w:left w:val="single" w:color="D9D9D9" w:themeColor="background1" w:themeShade="D9" w:sz="4" w:space="0"/>
              <w:bottom w:val="single" w:color="D9D9D9" w:sz="4" w:space="0"/>
              <w:right w:val="single" w:color="D9D9D9" w:themeColor="background1" w:themeShade="D9" w:sz="4" w:space="0"/>
            </w:tcBorders>
            <w:shd w:val="clear" w:color="auto" w:fill="auto"/>
            <w:noWrap/>
            <w:vAlign w:val="bottom"/>
          </w:tcPr>
          <w:p w:rsidRPr="00D43965" w:rsidR="00D1085B" w:rsidP="00D1085B" w:rsidRDefault="00D1085B" w14:paraId="114850E6" w14:textId="5E148694">
            <w:pPr>
              <w:spacing w:before="240"/>
              <w:contextualSpacing/>
              <w:jc w:val="right"/>
              <w:rPr>
                <w:b/>
                <w:sz w:val="24"/>
                <w:szCs w:val="24"/>
              </w:rPr>
            </w:pPr>
            <w:r w:rsidRPr="00D43965">
              <w:rPr>
                <w:b/>
                <w:sz w:val="24"/>
                <w:szCs w:val="24"/>
              </w:rPr>
              <w:t>$</w:t>
            </w:r>
            <w:r w:rsidRPr="00D43965" w:rsidR="005D3383">
              <w:rPr>
                <w:b/>
                <w:sz w:val="24"/>
                <w:szCs w:val="24"/>
              </w:rPr>
              <w:t>24,151</w:t>
            </w:r>
            <w:r w:rsidRPr="00D43965">
              <w:rPr>
                <w:b/>
                <w:sz w:val="24"/>
                <w:szCs w:val="24"/>
              </w:rPr>
              <w:t>,000</w:t>
            </w:r>
          </w:p>
        </w:tc>
        <w:tc>
          <w:tcPr>
            <w:tcW w:w="1485" w:type="dxa"/>
            <w:tcBorders>
              <w:top w:val="single" w:color="auto" w:sz="4" w:space="0"/>
              <w:left w:val="single" w:color="D9D9D9" w:themeColor="background1" w:themeShade="D9" w:sz="4" w:space="0"/>
              <w:bottom w:val="single" w:color="D9D9D9" w:sz="4" w:space="0"/>
              <w:right w:val="single" w:color="D9D9D9" w:themeColor="background1" w:themeShade="D9" w:sz="4" w:space="0"/>
            </w:tcBorders>
            <w:vAlign w:val="bottom"/>
          </w:tcPr>
          <w:p w:rsidRPr="00D43965" w:rsidR="00D1085B" w:rsidP="00D1085B" w:rsidRDefault="00D1085B" w14:paraId="1E5431E4" w14:textId="7EA4CBB1">
            <w:pPr>
              <w:spacing w:before="240"/>
              <w:contextualSpacing/>
              <w:jc w:val="right"/>
              <w:rPr>
                <w:b/>
                <w:sz w:val="24"/>
                <w:szCs w:val="24"/>
              </w:rPr>
            </w:pPr>
            <w:r w:rsidRPr="00D43965">
              <w:rPr>
                <w:b/>
                <w:sz w:val="24"/>
                <w:szCs w:val="24"/>
              </w:rPr>
              <w:t>$</w:t>
            </w:r>
            <w:r w:rsidRPr="00D43965" w:rsidR="005D3383">
              <w:rPr>
                <w:b/>
                <w:sz w:val="24"/>
                <w:szCs w:val="24"/>
              </w:rPr>
              <w:t>14</w:t>
            </w:r>
            <w:r w:rsidRPr="00D43965">
              <w:rPr>
                <w:b/>
                <w:sz w:val="24"/>
                <w:szCs w:val="24"/>
              </w:rPr>
              <w:t>,000</w:t>
            </w:r>
          </w:p>
        </w:tc>
        <w:tc>
          <w:tcPr>
            <w:tcW w:w="1733" w:type="dxa"/>
            <w:tcBorders>
              <w:top w:val="single" w:color="auto" w:sz="4" w:space="0"/>
              <w:left w:val="single" w:color="D9D9D9" w:themeColor="background1" w:themeShade="D9" w:sz="4" w:space="0"/>
              <w:bottom w:val="single" w:color="D9D9D9" w:sz="4" w:space="0"/>
              <w:right w:val="single" w:color="D9D9D9" w:themeColor="background1" w:themeShade="D9" w:sz="4" w:space="0"/>
            </w:tcBorders>
            <w:vAlign w:val="bottom"/>
          </w:tcPr>
          <w:p w:rsidRPr="000F7E58" w:rsidR="00D1085B" w:rsidP="00D1085B" w:rsidRDefault="00D1085B" w14:paraId="1F0AC35C" w14:textId="6DA2273E">
            <w:pPr>
              <w:spacing w:before="240"/>
              <w:contextualSpacing/>
              <w:jc w:val="right"/>
              <w:rPr>
                <w:b/>
                <w:bCs/>
                <w:sz w:val="24"/>
                <w:szCs w:val="24"/>
              </w:rPr>
            </w:pPr>
            <w:r w:rsidRPr="00D43965">
              <w:rPr>
                <w:b/>
                <w:sz w:val="24"/>
                <w:szCs w:val="24"/>
              </w:rPr>
              <w:t>$2</w:t>
            </w:r>
            <w:r w:rsidRPr="00D43965" w:rsidR="00212687">
              <w:rPr>
                <w:b/>
                <w:sz w:val="24"/>
                <w:szCs w:val="24"/>
              </w:rPr>
              <w:t>6</w:t>
            </w:r>
            <w:r w:rsidRPr="00D43965" w:rsidR="002E16D1">
              <w:rPr>
                <w:b/>
                <w:sz w:val="24"/>
                <w:szCs w:val="24"/>
              </w:rPr>
              <w:t>,</w:t>
            </w:r>
            <w:r w:rsidRPr="00D43965" w:rsidR="00AB362D">
              <w:rPr>
                <w:b/>
                <w:sz w:val="24"/>
                <w:szCs w:val="24"/>
              </w:rPr>
              <w:t>6</w:t>
            </w:r>
            <w:r w:rsidRPr="000F7E58" w:rsidR="00860EDB">
              <w:rPr>
                <w:b/>
                <w:sz w:val="24"/>
                <w:szCs w:val="24"/>
              </w:rPr>
              <w:t>04</w:t>
            </w:r>
            <w:r w:rsidRPr="000F7E58">
              <w:rPr>
                <w:b/>
                <w:sz w:val="24"/>
                <w:szCs w:val="24"/>
              </w:rPr>
              <w:t>,000</w:t>
            </w:r>
          </w:p>
        </w:tc>
        <w:tc>
          <w:tcPr>
            <w:tcW w:w="1800" w:type="dxa"/>
            <w:tcBorders>
              <w:top w:val="single" w:color="auto" w:sz="4" w:space="0"/>
              <w:left w:val="single" w:color="D9D9D9" w:themeColor="background1" w:themeShade="D9" w:sz="4" w:space="0"/>
              <w:bottom w:val="single" w:color="D9D9D9" w:sz="4" w:space="0"/>
              <w:right w:val="single" w:color="D9D9D9" w:themeColor="background1" w:themeShade="D9" w:sz="4" w:space="0"/>
            </w:tcBorders>
            <w:shd w:val="clear" w:color="auto" w:fill="auto"/>
            <w:noWrap/>
            <w:vAlign w:val="bottom"/>
          </w:tcPr>
          <w:p w:rsidRPr="00D43965" w:rsidR="00D1085B" w:rsidP="00D1085B" w:rsidRDefault="00D1085B" w14:paraId="7AF5577E" w14:textId="64269D18">
            <w:pPr>
              <w:spacing w:before="240"/>
              <w:contextualSpacing/>
              <w:jc w:val="right"/>
              <w:rPr>
                <w:b/>
                <w:sz w:val="24"/>
                <w:szCs w:val="24"/>
              </w:rPr>
            </w:pPr>
            <w:r w:rsidRPr="000F7E58">
              <w:rPr>
                <w:b/>
                <w:sz w:val="24"/>
                <w:szCs w:val="24"/>
              </w:rPr>
              <w:t>$</w:t>
            </w:r>
            <w:r w:rsidRPr="000F7E58" w:rsidR="00FB6656">
              <w:rPr>
                <w:b/>
                <w:sz w:val="24"/>
                <w:szCs w:val="24"/>
              </w:rPr>
              <w:t>(</w:t>
            </w:r>
            <w:r w:rsidRPr="000F7E58" w:rsidR="00212687">
              <w:rPr>
                <w:b/>
                <w:sz w:val="24"/>
                <w:szCs w:val="24"/>
              </w:rPr>
              <w:t>2,</w:t>
            </w:r>
            <w:r w:rsidRPr="000F7E58" w:rsidR="005D3383">
              <w:rPr>
                <w:b/>
                <w:sz w:val="24"/>
                <w:szCs w:val="24"/>
              </w:rPr>
              <w:t>439</w:t>
            </w:r>
            <w:r w:rsidRPr="000F7E58">
              <w:rPr>
                <w:b/>
                <w:sz w:val="24"/>
                <w:szCs w:val="24"/>
              </w:rPr>
              <w:t>,000</w:t>
            </w:r>
            <w:r w:rsidRPr="000F7E58" w:rsidR="00FB6656">
              <w:rPr>
                <w:b/>
                <w:sz w:val="24"/>
                <w:szCs w:val="24"/>
              </w:rPr>
              <w:t>)</w:t>
            </w:r>
          </w:p>
        </w:tc>
      </w:tr>
    </w:tbl>
    <w:p w:rsidRPr="00D43965" w:rsidR="00DF5DCE" w:rsidP="00DF5DCE" w:rsidRDefault="00DF5DCE" w14:paraId="6D433082" w14:textId="45072410">
      <w:pPr>
        <w:rPr>
          <w:sz w:val="24"/>
          <w:szCs w:val="24"/>
        </w:rPr>
      </w:pPr>
    </w:p>
    <w:p w:rsidRPr="00D43965" w:rsidR="0058691B" w:rsidP="0058691B" w:rsidRDefault="0058691B" w14:paraId="7E4A4486" w14:textId="77777777">
      <w:pPr>
        <w:rPr>
          <w:i/>
          <w:sz w:val="24"/>
          <w:szCs w:val="24"/>
        </w:rPr>
      </w:pPr>
      <w:r w:rsidRPr="00D43965">
        <w:rPr>
          <w:i/>
          <w:sz w:val="24"/>
          <w:szCs w:val="24"/>
        </w:rPr>
        <w:t>Fund Reserve Analysis</w:t>
      </w:r>
    </w:p>
    <w:p w:rsidRPr="00D43965" w:rsidR="0058691B" w:rsidP="0058691B" w:rsidRDefault="0058691B" w14:paraId="0233CAAF" w14:textId="77777777">
      <w:pPr>
        <w:rPr>
          <w:sz w:val="24"/>
          <w:szCs w:val="24"/>
        </w:rPr>
      </w:pPr>
    </w:p>
    <w:p w:rsidR="00553571" w:rsidP="0058691B" w:rsidRDefault="0058691B" w14:paraId="4FE292C9" w14:textId="0D1A947B">
      <w:pPr>
        <w:rPr>
          <w:sz w:val="24"/>
          <w:szCs w:val="24"/>
        </w:rPr>
      </w:pPr>
      <w:r w:rsidRPr="00D43965">
        <w:rPr>
          <w:sz w:val="24"/>
          <w:szCs w:val="24"/>
        </w:rPr>
        <w:t>CPUC’s fund reserve policy for PUCTRA requires a fund reserve of 25 to 50 percent of expenditures.  Table 4 shows the expected fund reserve for FY 2019-20 and FY 2020-21, using current revenue rates.  At the FY 2020-21 expected level of expenditures, the fund reserve policy requires at least $</w:t>
      </w:r>
      <w:r w:rsidRPr="00D43965" w:rsidR="00BF720A">
        <w:rPr>
          <w:sz w:val="24"/>
          <w:szCs w:val="24"/>
        </w:rPr>
        <w:t>6,</w:t>
      </w:r>
      <w:r w:rsidRPr="00D43965" w:rsidR="00D4531E">
        <w:rPr>
          <w:sz w:val="24"/>
          <w:szCs w:val="24"/>
        </w:rPr>
        <w:t>651,000. The PUCTRA fund reserve is expected to exceed this requirement.</w:t>
      </w:r>
      <w:r w:rsidR="00586491">
        <w:rPr>
          <w:sz w:val="24"/>
          <w:szCs w:val="24"/>
        </w:rPr>
        <w:t xml:space="preserve"> The PUCTRA </w:t>
      </w:r>
      <w:r w:rsidR="009231AE">
        <w:rPr>
          <w:sz w:val="24"/>
          <w:szCs w:val="24"/>
        </w:rPr>
        <w:t xml:space="preserve">fund </w:t>
      </w:r>
      <w:r w:rsidR="00586491">
        <w:rPr>
          <w:sz w:val="24"/>
          <w:szCs w:val="24"/>
        </w:rPr>
        <w:t xml:space="preserve">reserve </w:t>
      </w:r>
      <w:r w:rsidR="00BE11B7">
        <w:rPr>
          <w:sz w:val="24"/>
          <w:szCs w:val="24"/>
        </w:rPr>
        <w:t>increased following</w:t>
      </w:r>
      <w:r w:rsidR="00586491">
        <w:rPr>
          <w:sz w:val="24"/>
          <w:szCs w:val="24"/>
        </w:rPr>
        <w:t xml:space="preserve"> 1) </w:t>
      </w:r>
      <w:r w:rsidR="009231AE">
        <w:rPr>
          <w:sz w:val="24"/>
          <w:szCs w:val="24"/>
        </w:rPr>
        <w:t xml:space="preserve">the addition </w:t>
      </w:r>
      <w:r w:rsidR="00C6470F">
        <w:rPr>
          <w:sz w:val="24"/>
          <w:szCs w:val="24"/>
        </w:rPr>
        <w:t xml:space="preserve">to the fund </w:t>
      </w:r>
      <w:r w:rsidR="009231AE">
        <w:rPr>
          <w:sz w:val="24"/>
          <w:szCs w:val="24"/>
        </w:rPr>
        <w:t>of</w:t>
      </w:r>
      <w:r w:rsidR="00C533EE">
        <w:rPr>
          <w:sz w:val="24"/>
          <w:szCs w:val="24"/>
        </w:rPr>
        <w:t xml:space="preserve"> fees from</w:t>
      </w:r>
      <w:r w:rsidR="00586491">
        <w:rPr>
          <w:sz w:val="24"/>
          <w:szCs w:val="24"/>
        </w:rPr>
        <w:t xml:space="preserve"> Transportation Network Companies</w:t>
      </w:r>
      <w:r w:rsidR="00C6470F">
        <w:rPr>
          <w:sz w:val="24"/>
          <w:szCs w:val="24"/>
        </w:rPr>
        <w:t xml:space="preserve"> </w:t>
      </w:r>
      <w:r w:rsidR="00586491">
        <w:rPr>
          <w:sz w:val="24"/>
          <w:szCs w:val="24"/>
        </w:rPr>
        <w:t>(TNCs)</w:t>
      </w:r>
      <w:r w:rsidR="009231AE">
        <w:rPr>
          <w:sz w:val="24"/>
          <w:szCs w:val="24"/>
        </w:rPr>
        <w:t xml:space="preserve"> </w:t>
      </w:r>
      <w:r w:rsidR="00C6470F">
        <w:rPr>
          <w:sz w:val="24"/>
          <w:szCs w:val="24"/>
        </w:rPr>
        <w:t>following</w:t>
      </w:r>
      <w:r w:rsidR="00586491">
        <w:rPr>
          <w:sz w:val="24"/>
          <w:szCs w:val="24"/>
        </w:rPr>
        <w:t xml:space="preserve"> Decision 13-</w:t>
      </w:r>
      <w:r w:rsidR="009231AE">
        <w:rPr>
          <w:sz w:val="24"/>
          <w:szCs w:val="24"/>
        </w:rPr>
        <w:t>09-045,</w:t>
      </w:r>
      <w:r w:rsidR="00C838F5">
        <w:rPr>
          <w:sz w:val="24"/>
          <w:szCs w:val="24"/>
        </w:rPr>
        <w:t xml:space="preserve"> which required TNC</w:t>
      </w:r>
      <w:r w:rsidR="000851D7">
        <w:rPr>
          <w:sz w:val="24"/>
          <w:szCs w:val="24"/>
        </w:rPr>
        <w:t>s</w:t>
      </w:r>
      <w:r w:rsidR="00C838F5">
        <w:rPr>
          <w:sz w:val="24"/>
          <w:szCs w:val="24"/>
        </w:rPr>
        <w:t xml:space="preserve"> to make reports and pay</w:t>
      </w:r>
      <w:r w:rsidR="009231AE">
        <w:rPr>
          <w:sz w:val="24"/>
          <w:szCs w:val="24"/>
        </w:rPr>
        <w:t xml:space="preserve"> </w:t>
      </w:r>
      <w:r w:rsidR="00C6470F">
        <w:rPr>
          <w:sz w:val="24"/>
          <w:szCs w:val="24"/>
        </w:rPr>
        <w:t>PUCTRA fees,</w:t>
      </w:r>
      <w:r w:rsidR="00C533EE">
        <w:rPr>
          <w:rStyle w:val="FootnoteReference"/>
          <w:sz w:val="24"/>
          <w:szCs w:val="24"/>
        </w:rPr>
        <w:footnoteReference w:id="14"/>
      </w:r>
      <w:r w:rsidR="00C6470F">
        <w:rPr>
          <w:sz w:val="24"/>
          <w:szCs w:val="24"/>
        </w:rPr>
        <w:t xml:space="preserve"> </w:t>
      </w:r>
      <w:r w:rsidR="00C838F5">
        <w:rPr>
          <w:sz w:val="24"/>
          <w:szCs w:val="24"/>
        </w:rPr>
        <w:t xml:space="preserve">and </w:t>
      </w:r>
      <w:r w:rsidR="006B0F14">
        <w:rPr>
          <w:sz w:val="24"/>
          <w:szCs w:val="24"/>
        </w:rPr>
        <w:t>2</w:t>
      </w:r>
      <w:r w:rsidR="00C838F5">
        <w:rPr>
          <w:sz w:val="24"/>
          <w:szCs w:val="24"/>
        </w:rPr>
        <w:t xml:space="preserve">) </w:t>
      </w:r>
      <w:r w:rsidR="00C6470F">
        <w:rPr>
          <w:sz w:val="24"/>
          <w:szCs w:val="24"/>
        </w:rPr>
        <w:t>back-payments</w:t>
      </w:r>
      <w:r w:rsidR="00C838F5">
        <w:rPr>
          <w:sz w:val="24"/>
          <w:szCs w:val="24"/>
        </w:rPr>
        <w:t xml:space="preserve"> and </w:t>
      </w:r>
      <w:r w:rsidRPr="00C838F5" w:rsidR="00C838F5">
        <w:rPr>
          <w:sz w:val="24"/>
          <w:szCs w:val="24"/>
        </w:rPr>
        <w:t xml:space="preserve">late </w:t>
      </w:r>
      <w:r w:rsidR="00C838F5">
        <w:rPr>
          <w:sz w:val="24"/>
          <w:szCs w:val="24"/>
        </w:rPr>
        <w:t>penalties</w:t>
      </w:r>
      <w:r w:rsidRPr="00C838F5" w:rsidR="00C838F5">
        <w:rPr>
          <w:sz w:val="24"/>
          <w:szCs w:val="24"/>
        </w:rPr>
        <w:t xml:space="preserve"> </w:t>
      </w:r>
      <w:r w:rsidR="00C838F5">
        <w:rPr>
          <w:sz w:val="24"/>
          <w:szCs w:val="24"/>
        </w:rPr>
        <w:t xml:space="preserve">submitted </w:t>
      </w:r>
      <w:r w:rsidRPr="00C838F5" w:rsidR="00C838F5">
        <w:rPr>
          <w:sz w:val="24"/>
          <w:szCs w:val="24"/>
        </w:rPr>
        <w:t>by carriers in prior years</w:t>
      </w:r>
      <w:r w:rsidR="00C838F5">
        <w:rPr>
          <w:sz w:val="24"/>
          <w:szCs w:val="24"/>
        </w:rPr>
        <w:t xml:space="preserve">. </w:t>
      </w:r>
    </w:p>
    <w:p w:rsidR="00553571" w:rsidP="0058691B" w:rsidRDefault="00553571" w14:paraId="483FB879" w14:textId="77777777">
      <w:pPr>
        <w:rPr>
          <w:sz w:val="24"/>
          <w:szCs w:val="24"/>
        </w:rPr>
      </w:pPr>
    </w:p>
    <w:p w:rsidRPr="00D43965" w:rsidR="0058691B" w:rsidP="0058691B" w:rsidRDefault="00451408" w14:paraId="17F354BF" w14:textId="2571AF5F">
      <w:pPr>
        <w:rPr>
          <w:sz w:val="24"/>
          <w:szCs w:val="24"/>
        </w:rPr>
      </w:pPr>
      <w:r>
        <w:rPr>
          <w:sz w:val="24"/>
          <w:szCs w:val="24"/>
        </w:rPr>
        <w:t>To manage the fund reserve, the</w:t>
      </w:r>
      <w:r w:rsidR="00C6470F">
        <w:rPr>
          <w:sz w:val="24"/>
          <w:szCs w:val="24"/>
        </w:rPr>
        <w:t xml:space="preserve"> CPUC sets </w:t>
      </w:r>
      <w:r w:rsidR="00586491">
        <w:rPr>
          <w:sz w:val="24"/>
          <w:szCs w:val="24"/>
        </w:rPr>
        <w:t>PUCTRA fees</w:t>
      </w:r>
      <w:r w:rsidR="009231AE">
        <w:rPr>
          <w:sz w:val="24"/>
          <w:szCs w:val="24"/>
        </w:rPr>
        <w:t xml:space="preserve"> </w:t>
      </w:r>
      <w:r w:rsidR="00C6470F">
        <w:rPr>
          <w:sz w:val="24"/>
          <w:szCs w:val="24"/>
        </w:rPr>
        <w:t>to 0.0000%</w:t>
      </w:r>
      <w:r w:rsidR="00586491">
        <w:rPr>
          <w:sz w:val="24"/>
          <w:szCs w:val="24"/>
        </w:rPr>
        <w:t xml:space="preserve"> </w:t>
      </w:r>
      <w:r w:rsidR="00C6470F">
        <w:rPr>
          <w:sz w:val="24"/>
          <w:szCs w:val="24"/>
        </w:rPr>
        <w:t>for each</w:t>
      </w:r>
      <w:r w:rsidR="00586491">
        <w:rPr>
          <w:sz w:val="24"/>
          <w:szCs w:val="24"/>
        </w:rPr>
        <w:t xml:space="preserve"> class</w:t>
      </w:r>
      <w:r w:rsidR="00C6470F">
        <w:rPr>
          <w:sz w:val="24"/>
          <w:szCs w:val="24"/>
        </w:rPr>
        <w:t xml:space="preserve"> where the fund reserve attributable to that class is </w:t>
      </w:r>
      <w:r w:rsidR="00586491">
        <w:rPr>
          <w:sz w:val="24"/>
          <w:szCs w:val="24"/>
        </w:rPr>
        <w:t xml:space="preserve">sufficient to cover the expenditures for the regulatory activities for </w:t>
      </w:r>
      <w:r w:rsidR="00C6470F">
        <w:rPr>
          <w:sz w:val="24"/>
          <w:szCs w:val="24"/>
        </w:rPr>
        <w:t xml:space="preserve">that </w:t>
      </w:r>
      <w:r w:rsidR="00586491">
        <w:rPr>
          <w:sz w:val="24"/>
          <w:szCs w:val="24"/>
        </w:rPr>
        <w:t>class</w:t>
      </w:r>
      <w:r w:rsidR="009231AE">
        <w:rPr>
          <w:sz w:val="24"/>
          <w:szCs w:val="24"/>
        </w:rPr>
        <w:t>,</w:t>
      </w:r>
      <w:r w:rsidR="00586491">
        <w:rPr>
          <w:sz w:val="24"/>
          <w:szCs w:val="24"/>
        </w:rPr>
        <w:t xml:space="preserve"> while maintaining </w:t>
      </w:r>
      <w:r w:rsidR="00C6470F">
        <w:rPr>
          <w:sz w:val="24"/>
          <w:szCs w:val="24"/>
        </w:rPr>
        <w:t xml:space="preserve">an appropriate reserve of at least </w:t>
      </w:r>
      <w:r w:rsidR="00D2061C">
        <w:rPr>
          <w:sz w:val="24"/>
          <w:szCs w:val="24"/>
        </w:rPr>
        <w:t>25</w:t>
      </w:r>
      <w:r w:rsidR="00C6470F">
        <w:rPr>
          <w:sz w:val="24"/>
          <w:szCs w:val="24"/>
        </w:rPr>
        <w:t>% of expenditures.</w:t>
      </w:r>
      <w:r w:rsidR="00A00050">
        <w:rPr>
          <w:sz w:val="24"/>
          <w:szCs w:val="24"/>
        </w:rPr>
        <w:t xml:space="preserve"> </w:t>
      </w:r>
    </w:p>
    <w:p w:rsidRPr="00D43965" w:rsidR="0058691B" w:rsidP="0058691B" w:rsidRDefault="0058691B" w14:paraId="6D06ED91" w14:textId="77777777">
      <w:pPr>
        <w:rPr>
          <w:sz w:val="24"/>
          <w:szCs w:val="24"/>
        </w:rPr>
      </w:pPr>
    </w:p>
    <w:p w:rsidR="00553571" w:rsidRDefault="00553571" w14:paraId="1CF9978C" w14:textId="77777777">
      <w:pPr>
        <w:rPr>
          <w:b/>
          <w:bCs/>
          <w:sz w:val="24"/>
          <w:szCs w:val="24"/>
        </w:rPr>
      </w:pPr>
      <w:r>
        <w:rPr>
          <w:b/>
          <w:bCs/>
          <w:szCs w:val="24"/>
        </w:rPr>
        <w:br w:type="page"/>
      </w:r>
    </w:p>
    <w:p w:rsidRPr="00D43965" w:rsidR="0058691B" w:rsidP="0058691B" w:rsidRDefault="0058691B" w14:paraId="3DD4BDC6" w14:textId="4FB63AC6">
      <w:pPr>
        <w:pStyle w:val="Heading4"/>
        <w:spacing w:after="120"/>
        <w:jc w:val="center"/>
        <w:rPr>
          <w:b/>
          <w:bCs/>
          <w:szCs w:val="24"/>
        </w:rPr>
      </w:pPr>
      <w:r w:rsidRPr="00D43965">
        <w:rPr>
          <w:b/>
          <w:bCs/>
          <w:szCs w:val="24"/>
        </w:rPr>
        <w:lastRenderedPageBreak/>
        <w:t xml:space="preserve">Table </w:t>
      </w:r>
      <w:r w:rsidR="000F3DE2">
        <w:rPr>
          <w:b/>
          <w:bCs/>
          <w:szCs w:val="24"/>
        </w:rPr>
        <w:t>4</w:t>
      </w:r>
      <w:r w:rsidRPr="00D43965">
        <w:rPr>
          <w:b/>
          <w:bCs/>
          <w:szCs w:val="24"/>
        </w:rPr>
        <w:t>. PUCTRA Fund reserve summary, unadjusted revenue rates</w:t>
      </w:r>
    </w:p>
    <w:tbl>
      <w:tblPr>
        <w:tblW w:w="9180" w:type="dxa"/>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Look w:val="04A0" w:firstRow="1" w:lastRow="0" w:firstColumn="1" w:lastColumn="0" w:noHBand="0" w:noVBand="1"/>
      </w:tblPr>
      <w:tblGrid>
        <w:gridCol w:w="722"/>
        <w:gridCol w:w="5036"/>
        <w:gridCol w:w="1709"/>
        <w:gridCol w:w="1713"/>
      </w:tblGrid>
      <w:tr w:rsidRPr="00D43965" w:rsidR="0058691B" w:rsidTr="0058691B" w14:paraId="1D143EE8" w14:textId="77777777">
        <w:trPr>
          <w:trHeight w:val="405"/>
        </w:trPr>
        <w:tc>
          <w:tcPr>
            <w:tcW w:w="393" w:type="pct"/>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hideMark/>
          </w:tcPr>
          <w:p w:rsidRPr="00D43965" w:rsidR="0058691B" w:rsidRDefault="0058691B" w14:paraId="25813690" w14:textId="77777777">
            <w:pPr>
              <w:rPr>
                <w:sz w:val="24"/>
                <w:szCs w:val="24"/>
              </w:rPr>
            </w:pPr>
            <w:r w:rsidRPr="00D43965">
              <w:rPr>
                <w:sz w:val="24"/>
                <w:szCs w:val="24"/>
              </w:rPr>
              <w:t>Line</w:t>
            </w:r>
          </w:p>
        </w:tc>
        <w:tc>
          <w:tcPr>
            <w:tcW w:w="2743"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D43965" w:rsidR="0058691B" w:rsidRDefault="0058691B" w14:paraId="6916FFC9" w14:textId="77777777">
            <w:pPr>
              <w:rPr>
                <w:sz w:val="24"/>
                <w:szCs w:val="24"/>
              </w:rPr>
            </w:pPr>
            <w:r w:rsidRPr="00D43965">
              <w:rPr>
                <w:sz w:val="24"/>
                <w:szCs w:val="24"/>
              </w:rPr>
              <w:t>Item</w:t>
            </w:r>
          </w:p>
        </w:tc>
        <w:tc>
          <w:tcPr>
            <w:tcW w:w="931" w:type="pct"/>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hideMark/>
          </w:tcPr>
          <w:p w:rsidRPr="00D43965" w:rsidR="0058691B" w:rsidRDefault="0058691B" w14:paraId="325FBB2E" w14:textId="77777777">
            <w:pPr>
              <w:jc w:val="center"/>
              <w:rPr>
                <w:sz w:val="24"/>
                <w:szCs w:val="24"/>
              </w:rPr>
            </w:pPr>
            <w:r w:rsidRPr="00D43965">
              <w:rPr>
                <w:sz w:val="24"/>
                <w:szCs w:val="24"/>
              </w:rPr>
              <w:t>2019-20</w:t>
            </w:r>
          </w:p>
        </w:tc>
        <w:tc>
          <w:tcPr>
            <w:tcW w:w="933"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D43965" w:rsidR="0058691B" w:rsidRDefault="0058691B" w14:paraId="1D9CA28A" w14:textId="77777777">
            <w:pPr>
              <w:jc w:val="center"/>
              <w:rPr>
                <w:sz w:val="24"/>
                <w:szCs w:val="24"/>
              </w:rPr>
            </w:pPr>
            <w:r w:rsidRPr="00D43965">
              <w:rPr>
                <w:sz w:val="24"/>
                <w:szCs w:val="24"/>
              </w:rPr>
              <w:t>2020-21</w:t>
            </w:r>
          </w:p>
        </w:tc>
      </w:tr>
      <w:tr w:rsidRPr="00D43965" w:rsidR="0058691B" w:rsidTr="0058691B" w14:paraId="36793450" w14:textId="77777777">
        <w:trPr>
          <w:trHeight w:val="404"/>
        </w:trPr>
        <w:tc>
          <w:tcPr>
            <w:tcW w:w="393" w:type="pct"/>
            <w:tcBorders>
              <w:top w:val="single" w:color="auto" w:sz="4" w:space="0"/>
              <w:left w:val="single" w:color="D9D9D9" w:sz="4" w:space="0"/>
              <w:bottom w:val="single" w:color="D9D9D9" w:sz="4" w:space="0"/>
              <w:right w:val="single" w:color="D9D9D9" w:sz="4" w:space="0"/>
            </w:tcBorders>
            <w:noWrap/>
            <w:vAlign w:val="center"/>
            <w:hideMark/>
          </w:tcPr>
          <w:p w:rsidRPr="00D43965" w:rsidR="0058691B" w:rsidRDefault="0058691B" w14:paraId="2CBE1BA8" w14:textId="77777777">
            <w:pPr>
              <w:rPr>
                <w:sz w:val="24"/>
                <w:szCs w:val="24"/>
              </w:rPr>
            </w:pPr>
            <w:r w:rsidRPr="00D43965">
              <w:rPr>
                <w:sz w:val="24"/>
                <w:szCs w:val="24"/>
              </w:rPr>
              <w:t>A</w:t>
            </w:r>
          </w:p>
        </w:tc>
        <w:tc>
          <w:tcPr>
            <w:tcW w:w="2743" w:type="pct"/>
            <w:tcBorders>
              <w:top w:val="single" w:color="auto" w:sz="4" w:space="0"/>
              <w:left w:val="single" w:color="D9D9D9" w:sz="4" w:space="0"/>
              <w:bottom w:val="single" w:color="D9D9D9" w:sz="4" w:space="0"/>
              <w:right w:val="single" w:color="D9D9D9" w:sz="4" w:space="0"/>
            </w:tcBorders>
            <w:vAlign w:val="center"/>
            <w:hideMark/>
          </w:tcPr>
          <w:p w:rsidRPr="00D43965" w:rsidR="0058691B" w:rsidRDefault="0058691B" w14:paraId="1437B98D" w14:textId="77777777">
            <w:pPr>
              <w:rPr>
                <w:sz w:val="24"/>
                <w:szCs w:val="24"/>
              </w:rPr>
            </w:pPr>
            <w:r w:rsidRPr="00D43965">
              <w:rPr>
                <w:sz w:val="24"/>
                <w:szCs w:val="24"/>
              </w:rPr>
              <w:t xml:space="preserve">Beginning-of-Year Fund Reserve </w:t>
            </w:r>
          </w:p>
        </w:tc>
        <w:tc>
          <w:tcPr>
            <w:tcW w:w="931" w:type="pct"/>
            <w:tcBorders>
              <w:top w:val="single" w:color="auto" w:sz="4" w:space="0"/>
              <w:left w:val="single" w:color="D9D9D9" w:sz="4" w:space="0"/>
              <w:bottom w:val="single" w:color="D9D9D9" w:sz="4" w:space="0"/>
              <w:right w:val="single" w:color="D9D9D9" w:sz="4" w:space="0"/>
            </w:tcBorders>
            <w:noWrap/>
            <w:vAlign w:val="center"/>
            <w:hideMark/>
          </w:tcPr>
          <w:p w:rsidRPr="00D43965" w:rsidR="0058691B" w:rsidRDefault="0058691B" w14:paraId="38D60E92" w14:textId="24BCF05F">
            <w:pPr>
              <w:jc w:val="right"/>
              <w:rPr>
                <w:sz w:val="24"/>
                <w:szCs w:val="24"/>
              </w:rPr>
            </w:pPr>
            <w:r w:rsidRPr="00D43965">
              <w:rPr>
                <w:sz w:val="24"/>
                <w:szCs w:val="24"/>
              </w:rPr>
              <w:t>$</w:t>
            </w:r>
            <w:r w:rsidRPr="00D43965" w:rsidR="00D4531E">
              <w:rPr>
                <w:sz w:val="24"/>
                <w:szCs w:val="24"/>
              </w:rPr>
              <w:t>57,362</w:t>
            </w:r>
            <w:r w:rsidRPr="00D43965">
              <w:rPr>
                <w:sz w:val="24"/>
                <w:szCs w:val="24"/>
              </w:rPr>
              <w:t>,000</w:t>
            </w:r>
          </w:p>
        </w:tc>
        <w:tc>
          <w:tcPr>
            <w:tcW w:w="933" w:type="pct"/>
            <w:tcBorders>
              <w:top w:val="single" w:color="auto" w:sz="4" w:space="0"/>
              <w:left w:val="single" w:color="D9D9D9" w:sz="4" w:space="0"/>
              <w:bottom w:val="single" w:color="D9D9D9" w:sz="4" w:space="0"/>
              <w:right w:val="single" w:color="D9D9D9" w:sz="4" w:space="0"/>
            </w:tcBorders>
            <w:vAlign w:val="center"/>
            <w:hideMark/>
          </w:tcPr>
          <w:p w:rsidRPr="00D43965" w:rsidR="0058691B" w:rsidRDefault="00447911" w14:paraId="06F9C14C" w14:textId="7EBE7E2E">
            <w:pPr>
              <w:jc w:val="right"/>
              <w:rPr>
                <w:sz w:val="24"/>
                <w:szCs w:val="24"/>
                <w:highlight w:val="yellow"/>
              </w:rPr>
            </w:pPr>
            <w:r w:rsidRPr="00D43965">
              <w:rPr>
                <w:sz w:val="24"/>
                <w:szCs w:val="24"/>
              </w:rPr>
              <w:t>$55,05</w:t>
            </w:r>
            <w:r w:rsidR="00610730">
              <w:rPr>
                <w:sz w:val="24"/>
                <w:szCs w:val="24"/>
              </w:rPr>
              <w:t>0</w:t>
            </w:r>
            <w:r w:rsidRPr="00D43965">
              <w:rPr>
                <w:sz w:val="24"/>
                <w:szCs w:val="24"/>
              </w:rPr>
              <w:t>,000</w:t>
            </w:r>
          </w:p>
        </w:tc>
      </w:tr>
      <w:tr w:rsidRPr="00D43965" w:rsidR="0058691B" w:rsidTr="0058691B" w14:paraId="23F81E18" w14:textId="77777777">
        <w:trPr>
          <w:trHeight w:val="405"/>
        </w:trPr>
        <w:tc>
          <w:tcPr>
            <w:tcW w:w="393" w:type="pct"/>
            <w:tcBorders>
              <w:top w:val="single" w:color="D9D9D9" w:sz="4" w:space="0"/>
              <w:left w:val="single" w:color="D9D9D9" w:sz="4" w:space="0"/>
              <w:bottom w:val="single" w:color="D9D9D9" w:sz="4" w:space="0"/>
              <w:right w:val="single" w:color="D9D9D9" w:sz="4" w:space="0"/>
            </w:tcBorders>
            <w:noWrap/>
            <w:vAlign w:val="center"/>
            <w:hideMark/>
          </w:tcPr>
          <w:p w:rsidRPr="00D43965" w:rsidR="0058691B" w:rsidRDefault="0058691B" w14:paraId="62D8A146" w14:textId="77777777">
            <w:pPr>
              <w:rPr>
                <w:sz w:val="24"/>
                <w:szCs w:val="24"/>
              </w:rPr>
            </w:pPr>
            <w:r w:rsidRPr="00D43965">
              <w:rPr>
                <w:sz w:val="24"/>
                <w:szCs w:val="24"/>
              </w:rPr>
              <w:t>B</w:t>
            </w:r>
          </w:p>
        </w:tc>
        <w:tc>
          <w:tcPr>
            <w:tcW w:w="2743" w:type="pct"/>
            <w:tcBorders>
              <w:top w:val="single" w:color="D9D9D9" w:sz="4" w:space="0"/>
              <w:left w:val="single" w:color="D9D9D9" w:sz="4" w:space="0"/>
              <w:bottom w:val="single" w:color="D9D9D9" w:sz="4" w:space="0"/>
              <w:right w:val="single" w:color="D9D9D9" w:sz="4" w:space="0"/>
            </w:tcBorders>
            <w:vAlign w:val="center"/>
            <w:hideMark/>
          </w:tcPr>
          <w:p w:rsidRPr="00D43965" w:rsidR="0058691B" w:rsidRDefault="0058691B" w14:paraId="2BAFEDD2" w14:textId="77777777">
            <w:pPr>
              <w:rPr>
                <w:sz w:val="24"/>
                <w:szCs w:val="24"/>
              </w:rPr>
            </w:pPr>
            <w:r w:rsidRPr="00D43965">
              <w:rPr>
                <w:sz w:val="24"/>
                <w:szCs w:val="24"/>
              </w:rPr>
              <w:t>Estimated User Fee Revenues (if no rate change)</w:t>
            </w:r>
          </w:p>
        </w:tc>
        <w:tc>
          <w:tcPr>
            <w:tcW w:w="931" w:type="pct"/>
            <w:tcBorders>
              <w:top w:val="single" w:color="D9D9D9" w:sz="4" w:space="0"/>
              <w:left w:val="single" w:color="D9D9D9" w:sz="4" w:space="0"/>
              <w:bottom w:val="single" w:color="D9D9D9" w:sz="4" w:space="0"/>
              <w:right w:val="single" w:color="D9D9D9" w:sz="4" w:space="0"/>
            </w:tcBorders>
            <w:noWrap/>
            <w:vAlign w:val="center"/>
            <w:hideMark/>
          </w:tcPr>
          <w:p w:rsidRPr="00D43965" w:rsidR="0058691B" w:rsidRDefault="00D4531E" w14:paraId="174360A4" w14:textId="4824A981">
            <w:pPr>
              <w:jc w:val="right"/>
              <w:rPr>
                <w:sz w:val="24"/>
                <w:szCs w:val="24"/>
              </w:rPr>
            </w:pPr>
            <w:r w:rsidRPr="00D43965">
              <w:rPr>
                <w:sz w:val="24"/>
                <w:szCs w:val="24"/>
              </w:rPr>
              <w:t>24,151,000</w:t>
            </w:r>
          </w:p>
        </w:tc>
        <w:tc>
          <w:tcPr>
            <w:tcW w:w="933" w:type="pct"/>
            <w:tcBorders>
              <w:top w:val="single" w:color="D9D9D9" w:sz="4" w:space="0"/>
              <w:left w:val="single" w:color="D9D9D9" w:sz="4" w:space="0"/>
              <w:bottom w:val="single" w:color="D9D9D9" w:sz="4" w:space="0"/>
              <w:right w:val="single" w:color="D9D9D9" w:sz="4" w:space="0"/>
            </w:tcBorders>
            <w:vAlign w:val="center"/>
            <w:hideMark/>
          </w:tcPr>
          <w:p w:rsidRPr="00D43965" w:rsidR="0058691B" w:rsidRDefault="00D4531E" w14:paraId="0EDF34C5" w14:textId="5DE3A9EC">
            <w:pPr>
              <w:jc w:val="right"/>
              <w:rPr>
                <w:sz w:val="24"/>
                <w:szCs w:val="24"/>
                <w:highlight w:val="yellow"/>
              </w:rPr>
            </w:pPr>
            <w:r w:rsidRPr="00D43965">
              <w:rPr>
                <w:sz w:val="24"/>
                <w:szCs w:val="24"/>
              </w:rPr>
              <w:t>24,151,000</w:t>
            </w:r>
          </w:p>
        </w:tc>
      </w:tr>
      <w:tr w:rsidRPr="00D43965" w:rsidR="0058691B" w:rsidTr="0058691B" w14:paraId="5F2DD107" w14:textId="77777777">
        <w:trPr>
          <w:trHeight w:val="405"/>
        </w:trPr>
        <w:tc>
          <w:tcPr>
            <w:tcW w:w="393" w:type="pct"/>
            <w:tcBorders>
              <w:top w:val="single" w:color="D9D9D9" w:sz="4" w:space="0"/>
              <w:left w:val="single" w:color="D9D9D9" w:sz="4" w:space="0"/>
              <w:bottom w:val="single" w:color="BFBFBF" w:themeColor="background1" w:themeShade="BF" w:sz="4" w:space="0"/>
              <w:right w:val="single" w:color="D9D9D9" w:sz="4" w:space="0"/>
            </w:tcBorders>
            <w:noWrap/>
            <w:vAlign w:val="center"/>
            <w:hideMark/>
          </w:tcPr>
          <w:p w:rsidRPr="00D43965" w:rsidR="0058691B" w:rsidRDefault="0058691B" w14:paraId="00A73EDD" w14:textId="77777777">
            <w:pPr>
              <w:rPr>
                <w:sz w:val="24"/>
                <w:szCs w:val="24"/>
              </w:rPr>
            </w:pPr>
            <w:r w:rsidRPr="00D43965">
              <w:rPr>
                <w:sz w:val="24"/>
                <w:szCs w:val="24"/>
              </w:rPr>
              <w:t>C</w:t>
            </w:r>
          </w:p>
        </w:tc>
        <w:tc>
          <w:tcPr>
            <w:tcW w:w="2743" w:type="pct"/>
            <w:tcBorders>
              <w:top w:val="single" w:color="D9D9D9" w:sz="4" w:space="0"/>
              <w:left w:val="single" w:color="D9D9D9" w:sz="4" w:space="0"/>
              <w:bottom w:val="single" w:color="BFBFBF" w:themeColor="background1" w:themeShade="BF" w:sz="4" w:space="0"/>
              <w:right w:val="single" w:color="D9D9D9" w:sz="4" w:space="0"/>
            </w:tcBorders>
            <w:vAlign w:val="center"/>
            <w:hideMark/>
          </w:tcPr>
          <w:p w:rsidRPr="00D43965" w:rsidR="0058691B" w:rsidRDefault="0058691B" w14:paraId="2B2343FB" w14:textId="77777777">
            <w:pPr>
              <w:rPr>
                <w:sz w:val="24"/>
                <w:szCs w:val="24"/>
              </w:rPr>
            </w:pPr>
            <w:r w:rsidRPr="00D43965">
              <w:rPr>
                <w:sz w:val="24"/>
                <w:szCs w:val="24"/>
              </w:rPr>
              <w:t xml:space="preserve">Estimated Expenditures </w:t>
            </w:r>
          </w:p>
        </w:tc>
        <w:tc>
          <w:tcPr>
            <w:tcW w:w="931" w:type="pct"/>
            <w:tcBorders>
              <w:top w:val="single" w:color="D9D9D9" w:sz="4" w:space="0"/>
              <w:left w:val="single" w:color="D9D9D9" w:sz="4" w:space="0"/>
              <w:bottom w:val="single" w:color="BFBFBF" w:themeColor="background1" w:themeShade="BF" w:sz="4" w:space="0"/>
              <w:right w:val="single" w:color="D9D9D9" w:sz="4" w:space="0"/>
            </w:tcBorders>
            <w:noWrap/>
            <w:vAlign w:val="center"/>
            <w:hideMark/>
          </w:tcPr>
          <w:p w:rsidRPr="00D43965" w:rsidR="0058691B" w:rsidRDefault="0058691B" w14:paraId="02F3C7A9" w14:textId="6CFB9482">
            <w:pPr>
              <w:jc w:val="right"/>
              <w:rPr>
                <w:sz w:val="24"/>
                <w:szCs w:val="24"/>
              </w:rPr>
            </w:pPr>
            <w:r w:rsidRPr="00D43965">
              <w:rPr>
                <w:sz w:val="24"/>
                <w:szCs w:val="24"/>
              </w:rPr>
              <w:t>(</w:t>
            </w:r>
            <w:r w:rsidRPr="00D43965" w:rsidR="00D4531E">
              <w:rPr>
                <w:sz w:val="24"/>
                <w:szCs w:val="24"/>
              </w:rPr>
              <w:t>26,46</w:t>
            </w:r>
            <w:r w:rsidR="00610730">
              <w:rPr>
                <w:sz w:val="24"/>
                <w:szCs w:val="24"/>
              </w:rPr>
              <w:t>3</w:t>
            </w:r>
            <w:r w:rsidRPr="00D43965" w:rsidR="00D4531E">
              <w:rPr>
                <w:sz w:val="24"/>
                <w:szCs w:val="24"/>
              </w:rPr>
              <w:t>,</w:t>
            </w:r>
            <w:r w:rsidRPr="00D43965">
              <w:rPr>
                <w:sz w:val="24"/>
                <w:szCs w:val="24"/>
              </w:rPr>
              <w:t>000)</w:t>
            </w:r>
          </w:p>
        </w:tc>
        <w:tc>
          <w:tcPr>
            <w:tcW w:w="933" w:type="pct"/>
            <w:tcBorders>
              <w:top w:val="single" w:color="D9D9D9" w:sz="4" w:space="0"/>
              <w:left w:val="single" w:color="D9D9D9" w:sz="4" w:space="0"/>
              <w:bottom w:val="single" w:color="BFBFBF" w:themeColor="background1" w:themeShade="BF" w:sz="4" w:space="0"/>
              <w:right w:val="single" w:color="D9D9D9" w:sz="4" w:space="0"/>
            </w:tcBorders>
            <w:vAlign w:val="center"/>
            <w:hideMark/>
          </w:tcPr>
          <w:p w:rsidRPr="00D43965" w:rsidR="0058691B" w:rsidRDefault="0058691B" w14:paraId="5D3F4458" w14:textId="355E35F7">
            <w:pPr>
              <w:jc w:val="right"/>
              <w:rPr>
                <w:sz w:val="24"/>
                <w:szCs w:val="24"/>
              </w:rPr>
            </w:pPr>
            <w:r w:rsidRPr="00D43965">
              <w:rPr>
                <w:sz w:val="24"/>
                <w:szCs w:val="24"/>
              </w:rPr>
              <w:t>(</w:t>
            </w:r>
            <w:r w:rsidRPr="00D43965" w:rsidR="00D4531E">
              <w:rPr>
                <w:sz w:val="24"/>
                <w:szCs w:val="24"/>
              </w:rPr>
              <w:t>26,604,000</w:t>
            </w:r>
            <w:r w:rsidRPr="00D43965">
              <w:rPr>
                <w:sz w:val="24"/>
                <w:szCs w:val="24"/>
              </w:rPr>
              <w:t>)</w:t>
            </w:r>
          </w:p>
        </w:tc>
      </w:tr>
      <w:tr w:rsidRPr="00D43965" w:rsidR="0058691B" w:rsidTr="0058691B" w14:paraId="7A624964" w14:textId="77777777">
        <w:trPr>
          <w:trHeight w:val="405"/>
        </w:trPr>
        <w:tc>
          <w:tcPr>
            <w:tcW w:w="393" w:type="pct"/>
            <w:tcBorders>
              <w:top w:val="single" w:color="BFBFBF" w:themeColor="background1" w:themeShade="BF" w:sz="4" w:space="0"/>
              <w:left w:val="single" w:color="D9D9D9" w:sz="4" w:space="0"/>
              <w:bottom w:val="single" w:color="BFBFBF" w:themeColor="background1" w:themeShade="BF" w:sz="4" w:space="0"/>
              <w:right w:val="single" w:color="D9D9D9" w:sz="4" w:space="0"/>
            </w:tcBorders>
            <w:noWrap/>
            <w:vAlign w:val="center"/>
            <w:hideMark/>
          </w:tcPr>
          <w:p w:rsidRPr="00D43965" w:rsidR="0058691B" w:rsidRDefault="0058691B" w14:paraId="7BB8E5A9" w14:textId="77777777">
            <w:pPr>
              <w:rPr>
                <w:sz w:val="24"/>
                <w:szCs w:val="24"/>
              </w:rPr>
            </w:pPr>
            <w:r w:rsidRPr="00D43965">
              <w:rPr>
                <w:sz w:val="24"/>
                <w:szCs w:val="24"/>
              </w:rPr>
              <w:t>D</w:t>
            </w:r>
          </w:p>
        </w:tc>
        <w:tc>
          <w:tcPr>
            <w:tcW w:w="2743" w:type="pct"/>
            <w:tcBorders>
              <w:top w:val="single" w:color="BFBFBF" w:themeColor="background1" w:themeShade="BF" w:sz="4" w:space="0"/>
              <w:left w:val="single" w:color="D9D9D9" w:sz="4" w:space="0"/>
              <w:bottom w:val="single" w:color="BFBFBF" w:themeColor="background1" w:themeShade="BF" w:sz="4" w:space="0"/>
              <w:right w:val="single" w:color="D9D9D9" w:sz="4" w:space="0"/>
            </w:tcBorders>
            <w:vAlign w:val="center"/>
            <w:hideMark/>
          </w:tcPr>
          <w:p w:rsidRPr="00D43965" w:rsidR="0058691B" w:rsidRDefault="0058691B" w14:paraId="7F4F88B7" w14:textId="77777777">
            <w:pPr>
              <w:rPr>
                <w:sz w:val="24"/>
                <w:szCs w:val="24"/>
              </w:rPr>
            </w:pPr>
            <w:r w:rsidRPr="00D43965">
              <w:rPr>
                <w:sz w:val="24"/>
                <w:szCs w:val="24"/>
              </w:rPr>
              <w:t>Net Fund Increase/(Decrease) (B - C)</w:t>
            </w:r>
          </w:p>
        </w:tc>
        <w:tc>
          <w:tcPr>
            <w:tcW w:w="931" w:type="pct"/>
            <w:tcBorders>
              <w:top w:val="single" w:color="BFBFBF" w:themeColor="background1" w:themeShade="BF" w:sz="4" w:space="0"/>
              <w:left w:val="single" w:color="D9D9D9" w:sz="4" w:space="0"/>
              <w:bottom w:val="nil"/>
              <w:right w:val="single" w:color="D9D9D9" w:sz="4" w:space="0"/>
            </w:tcBorders>
            <w:noWrap/>
            <w:vAlign w:val="center"/>
            <w:hideMark/>
          </w:tcPr>
          <w:p w:rsidRPr="00D43965" w:rsidR="0058691B" w:rsidRDefault="0058691B" w14:paraId="293CCC4B" w14:textId="0A7D2B5A">
            <w:pPr>
              <w:jc w:val="right"/>
              <w:rPr>
                <w:sz w:val="24"/>
                <w:szCs w:val="24"/>
              </w:rPr>
            </w:pPr>
            <w:r w:rsidRPr="00D43965">
              <w:rPr>
                <w:sz w:val="24"/>
                <w:szCs w:val="24"/>
              </w:rPr>
              <w:t>(</w:t>
            </w:r>
            <w:r w:rsidRPr="00D43965" w:rsidR="00447911">
              <w:rPr>
                <w:sz w:val="24"/>
                <w:szCs w:val="24"/>
              </w:rPr>
              <w:t>2,31</w:t>
            </w:r>
            <w:r w:rsidR="00610730">
              <w:rPr>
                <w:sz w:val="24"/>
                <w:szCs w:val="24"/>
              </w:rPr>
              <w:t>2</w:t>
            </w:r>
            <w:r w:rsidRPr="00D43965">
              <w:rPr>
                <w:sz w:val="24"/>
                <w:szCs w:val="24"/>
              </w:rPr>
              <w:t>,000)</w:t>
            </w:r>
          </w:p>
        </w:tc>
        <w:tc>
          <w:tcPr>
            <w:tcW w:w="933" w:type="pct"/>
            <w:tcBorders>
              <w:top w:val="single" w:color="BFBFBF" w:themeColor="background1" w:themeShade="BF" w:sz="4" w:space="0"/>
              <w:left w:val="single" w:color="D9D9D9" w:sz="4" w:space="0"/>
              <w:bottom w:val="nil"/>
              <w:right w:val="single" w:color="D9D9D9" w:sz="4" w:space="0"/>
            </w:tcBorders>
            <w:vAlign w:val="center"/>
            <w:hideMark/>
          </w:tcPr>
          <w:p w:rsidRPr="00D43965" w:rsidR="0058691B" w:rsidRDefault="0058691B" w14:paraId="1C761DCF" w14:textId="2C90FF12">
            <w:pPr>
              <w:jc w:val="right"/>
              <w:rPr>
                <w:sz w:val="24"/>
                <w:szCs w:val="24"/>
              </w:rPr>
            </w:pPr>
            <w:r w:rsidRPr="00D43965">
              <w:rPr>
                <w:sz w:val="24"/>
                <w:szCs w:val="24"/>
              </w:rPr>
              <w:t>(</w:t>
            </w:r>
            <w:r w:rsidRPr="00D43965" w:rsidR="00447911">
              <w:rPr>
                <w:sz w:val="24"/>
                <w:szCs w:val="24"/>
              </w:rPr>
              <w:t>2,453</w:t>
            </w:r>
            <w:r w:rsidRPr="00D43965">
              <w:rPr>
                <w:sz w:val="24"/>
                <w:szCs w:val="24"/>
              </w:rPr>
              <w:t>,000)</w:t>
            </w:r>
          </w:p>
        </w:tc>
      </w:tr>
      <w:tr w:rsidRPr="00D43965" w:rsidR="0058691B" w:rsidTr="0058691B" w14:paraId="079509BC" w14:textId="77777777">
        <w:trPr>
          <w:trHeight w:val="405"/>
        </w:trPr>
        <w:tc>
          <w:tcPr>
            <w:tcW w:w="393" w:type="pct"/>
            <w:tcBorders>
              <w:top w:val="single" w:color="BFBFBF" w:themeColor="background1" w:themeShade="BF" w:sz="4" w:space="0"/>
              <w:left w:val="single" w:color="D9D9D9" w:sz="4" w:space="0"/>
              <w:bottom w:val="single" w:color="D9D9D9" w:sz="4" w:space="0"/>
              <w:right w:val="single" w:color="D9D9D9" w:sz="4" w:space="0"/>
            </w:tcBorders>
            <w:noWrap/>
            <w:vAlign w:val="center"/>
            <w:hideMark/>
          </w:tcPr>
          <w:p w:rsidRPr="00D43965" w:rsidR="0058691B" w:rsidRDefault="0058691B" w14:paraId="27A66E33" w14:textId="77777777">
            <w:pPr>
              <w:rPr>
                <w:sz w:val="24"/>
                <w:szCs w:val="24"/>
              </w:rPr>
            </w:pPr>
            <w:r w:rsidRPr="00D43965">
              <w:rPr>
                <w:sz w:val="24"/>
                <w:szCs w:val="24"/>
              </w:rPr>
              <w:t>E</w:t>
            </w:r>
          </w:p>
        </w:tc>
        <w:tc>
          <w:tcPr>
            <w:tcW w:w="2743" w:type="pct"/>
            <w:tcBorders>
              <w:top w:val="single" w:color="BFBFBF" w:themeColor="background1" w:themeShade="BF" w:sz="4" w:space="0"/>
              <w:left w:val="single" w:color="D9D9D9" w:sz="4" w:space="0"/>
              <w:bottom w:val="single" w:color="D9D9D9" w:sz="4" w:space="0"/>
              <w:right w:val="single" w:color="D9D9D9" w:sz="4" w:space="0"/>
            </w:tcBorders>
            <w:vAlign w:val="center"/>
            <w:hideMark/>
          </w:tcPr>
          <w:p w:rsidRPr="00D43965" w:rsidR="0058691B" w:rsidRDefault="0058691B" w14:paraId="36DE7185" w14:textId="77777777">
            <w:pPr>
              <w:rPr>
                <w:color w:val="4F81BD" w:themeColor="accent1"/>
                <w:sz w:val="24"/>
                <w:szCs w:val="24"/>
              </w:rPr>
            </w:pPr>
            <w:r w:rsidRPr="00D43965">
              <w:rPr>
                <w:sz w:val="24"/>
                <w:szCs w:val="24"/>
              </w:rPr>
              <w:t>Estimated Ending Fund Reserve (A - D)</w:t>
            </w:r>
          </w:p>
        </w:tc>
        <w:tc>
          <w:tcPr>
            <w:tcW w:w="931" w:type="pct"/>
            <w:tcBorders>
              <w:top w:val="single" w:color="BFBFBF" w:themeColor="background1" w:themeShade="BF" w:sz="4" w:space="0"/>
              <w:left w:val="single" w:color="D9D9D9" w:sz="4" w:space="0"/>
              <w:bottom w:val="double" w:color="808080" w:themeColor="background1" w:themeShade="80" w:sz="4" w:space="0"/>
              <w:right w:val="single" w:color="D9D9D9" w:sz="4" w:space="0"/>
            </w:tcBorders>
            <w:noWrap/>
            <w:vAlign w:val="center"/>
            <w:hideMark/>
          </w:tcPr>
          <w:p w:rsidRPr="00D43965" w:rsidR="0058691B" w:rsidRDefault="0058691B" w14:paraId="0EB5D0BD" w14:textId="7EF4D35D">
            <w:pPr>
              <w:jc w:val="right"/>
              <w:rPr>
                <w:sz w:val="24"/>
                <w:szCs w:val="24"/>
                <w:highlight w:val="magenta"/>
              </w:rPr>
            </w:pPr>
            <w:r w:rsidRPr="00D43965">
              <w:rPr>
                <w:sz w:val="24"/>
                <w:szCs w:val="24"/>
              </w:rPr>
              <w:t>$</w:t>
            </w:r>
            <w:r w:rsidRPr="00D43965" w:rsidR="00447911">
              <w:rPr>
                <w:sz w:val="24"/>
                <w:szCs w:val="24"/>
              </w:rPr>
              <w:t>55,05</w:t>
            </w:r>
            <w:r w:rsidR="00610730">
              <w:rPr>
                <w:sz w:val="24"/>
                <w:szCs w:val="24"/>
              </w:rPr>
              <w:t>0</w:t>
            </w:r>
            <w:r w:rsidRPr="00D43965" w:rsidR="00447911">
              <w:rPr>
                <w:sz w:val="24"/>
                <w:szCs w:val="24"/>
              </w:rPr>
              <w:t>,000</w:t>
            </w:r>
          </w:p>
        </w:tc>
        <w:tc>
          <w:tcPr>
            <w:tcW w:w="933" w:type="pct"/>
            <w:tcBorders>
              <w:top w:val="single" w:color="BFBFBF" w:themeColor="background1" w:themeShade="BF" w:sz="4" w:space="0"/>
              <w:left w:val="single" w:color="D9D9D9" w:sz="4" w:space="0"/>
              <w:bottom w:val="double" w:color="808080" w:themeColor="background1" w:themeShade="80" w:sz="4" w:space="0"/>
              <w:right w:val="single" w:color="D9D9D9" w:sz="4" w:space="0"/>
            </w:tcBorders>
            <w:vAlign w:val="center"/>
            <w:hideMark/>
          </w:tcPr>
          <w:p w:rsidRPr="00D43965" w:rsidR="0058691B" w:rsidRDefault="0058691B" w14:paraId="701598D5" w14:textId="115D956B">
            <w:pPr>
              <w:jc w:val="right"/>
              <w:rPr>
                <w:sz w:val="24"/>
                <w:szCs w:val="24"/>
              </w:rPr>
            </w:pPr>
            <w:r w:rsidRPr="00D43965">
              <w:rPr>
                <w:sz w:val="24"/>
                <w:szCs w:val="24"/>
              </w:rPr>
              <w:t>$</w:t>
            </w:r>
            <w:r w:rsidRPr="00D43965" w:rsidR="00447911">
              <w:rPr>
                <w:sz w:val="24"/>
                <w:szCs w:val="24"/>
              </w:rPr>
              <w:t>52,59</w:t>
            </w:r>
            <w:r w:rsidR="00610730">
              <w:rPr>
                <w:sz w:val="24"/>
                <w:szCs w:val="24"/>
              </w:rPr>
              <w:t>7</w:t>
            </w:r>
            <w:r w:rsidRPr="00D43965" w:rsidR="00447911">
              <w:rPr>
                <w:sz w:val="24"/>
                <w:szCs w:val="24"/>
              </w:rPr>
              <w:t>,000</w:t>
            </w:r>
          </w:p>
        </w:tc>
      </w:tr>
      <w:tr w:rsidRPr="00D43965" w:rsidR="0058691B" w:rsidTr="0058691B" w14:paraId="3D7E8953" w14:textId="77777777">
        <w:trPr>
          <w:trHeight w:val="141"/>
        </w:trPr>
        <w:tc>
          <w:tcPr>
            <w:tcW w:w="5000" w:type="pct"/>
            <w:gridSpan w:val="4"/>
            <w:tcBorders>
              <w:top w:val="single" w:color="D9D9D9" w:sz="4" w:space="0"/>
              <w:left w:val="single" w:color="D9D9D9" w:sz="4" w:space="0"/>
              <w:bottom w:val="single" w:color="D9D9D9" w:sz="4" w:space="0"/>
              <w:right w:val="single" w:color="D9D9D9" w:sz="4" w:space="0"/>
            </w:tcBorders>
            <w:noWrap/>
            <w:vAlign w:val="center"/>
          </w:tcPr>
          <w:p w:rsidRPr="00D43965" w:rsidR="0058691B" w:rsidRDefault="0058691B" w14:paraId="7BA32991" w14:textId="77777777">
            <w:pPr>
              <w:jc w:val="right"/>
              <w:rPr>
                <w:sz w:val="24"/>
                <w:szCs w:val="24"/>
              </w:rPr>
            </w:pPr>
          </w:p>
        </w:tc>
      </w:tr>
      <w:tr w:rsidRPr="00D43965" w:rsidR="0058691B" w:rsidTr="0058691B" w14:paraId="0723C2BB" w14:textId="77777777">
        <w:trPr>
          <w:trHeight w:val="405"/>
        </w:trPr>
        <w:tc>
          <w:tcPr>
            <w:tcW w:w="393" w:type="pct"/>
            <w:tcBorders>
              <w:top w:val="single" w:color="D9D9D9" w:sz="4" w:space="0"/>
              <w:left w:val="single" w:color="D9D9D9" w:sz="4" w:space="0"/>
              <w:bottom w:val="single" w:color="D9D9D9" w:sz="4" w:space="0"/>
              <w:right w:val="single" w:color="D9D9D9" w:sz="4" w:space="0"/>
            </w:tcBorders>
            <w:noWrap/>
            <w:vAlign w:val="center"/>
            <w:hideMark/>
          </w:tcPr>
          <w:p w:rsidRPr="00D43965" w:rsidR="0058691B" w:rsidRDefault="0058691B" w14:paraId="3A67137D" w14:textId="77777777">
            <w:pPr>
              <w:rPr>
                <w:sz w:val="24"/>
                <w:szCs w:val="24"/>
              </w:rPr>
            </w:pPr>
            <w:r w:rsidRPr="00D43965">
              <w:rPr>
                <w:sz w:val="24"/>
                <w:szCs w:val="24"/>
              </w:rPr>
              <w:t>F</w:t>
            </w:r>
          </w:p>
        </w:tc>
        <w:tc>
          <w:tcPr>
            <w:tcW w:w="3674" w:type="pct"/>
            <w:gridSpan w:val="2"/>
            <w:tcBorders>
              <w:top w:val="single" w:color="D9D9D9" w:sz="4" w:space="0"/>
              <w:left w:val="single" w:color="D9D9D9" w:sz="4" w:space="0"/>
              <w:bottom w:val="single" w:color="D9D9D9" w:sz="4" w:space="0"/>
              <w:right w:val="single" w:color="D9D9D9" w:sz="4" w:space="0"/>
            </w:tcBorders>
            <w:vAlign w:val="center"/>
            <w:hideMark/>
          </w:tcPr>
          <w:p w:rsidRPr="00D43965" w:rsidR="0058691B" w:rsidRDefault="0058691B" w14:paraId="1F637030" w14:textId="77777777">
            <w:pPr>
              <w:rPr>
                <w:sz w:val="24"/>
                <w:szCs w:val="24"/>
              </w:rPr>
            </w:pPr>
            <w:r w:rsidRPr="00D43965">
              <w:rPr>
                <w:sz w:val="24"/>
                <w:szCs w:val="24"/>
              </w:rPr>
              <w:t>Necessary minimum reserve (25% of C for FY 2020-21)</w:t>
            </w:r>
          </w:p>
        </w:tc>
        <w:tc>
          <w:tcPr>
            <w:tcW w:w="933" w:type="pct"/>
            <w:tcBorders>
              <w:top w:val="single" w:color="D9D9D9" w:sz="4" w:space="0"/>
              <w:left w:val="single" w:color="D9D9D9" w:sz="4" w:space="0"/>
              <w:bottom w:val="single" w:color="D9D9D9" w:sz="4" w:space="0"/>
              <w:right w:val="single" w:color="D9D9D9" w:sz="4" w:space="0"/>
            </w:tcBorders>
            <w:vAlign w:val="center"/>
            <w:hideMark/>
          </w:tcPr>
          <w:p w:rsidRPr="00D43965" w:rsidR="0058691B" w:rsidRDefault="0058691B" w14:paraId="44D3A9BE" w14:textId="74FB5565">
            <w:pPr>
              <w:jc w:val="right"/>
              <w:rPr>
                <w:sz w:val="24"/>
                <w:szCs w:val="24"/>
              </w:rPr>
            </w:pPr>
            <w:r w:rsidRPr="00D43965">
              <w:rPr>
                <w:sz w:val="24"/>
                <w:szCs w:val="24"/>
              </w:rPr>
              <w:t>$</w:t>
            </w:r>
            <w:r w:rsidRPr="00D43965" w:rsidR="00447911">
              <w:rPr>
                <w:sz w:val="24"/>
                <w:szCs w:val="24"/>
              </w:rPr>
              <w:t>6,651,000</w:t>
            </w:r>
          </w:p>
        </w:tc>
      </w:tr>
      <w:tr w:rsidRPr="00D43965" w:rsidR="0058691B" w:rsidTr="0058691B" w14:paraId="36B168A2" w14:textId="77777777">
        <w:trPr>
          <w:trHeight w:val="405"/>
        </w:trPr>
        <w:tc>
          <w:tcPr>
            <w:tcW w:w="393" w:type="pct"/>
            <w:tcBorders>
              <w:top w:val="single" w:color="D9D9D9" w:sz="4" w:space="0"/>
              <w:left w:val="single" w:color="D9D9D9" w:sz="4" w:space="0"/>
              <w:bottom w:val="single" w:color="D9D9D9" w:sz="4" w:space="0"/>
              <w:right w:val="single" w:color="D9D9D9" w:sz="4" w:space="0"/>
            </w:tcBorders>
            <w:noWrap/>
            <w:vAlign w:val="center"/>
            <w:hideMark/>
          </w:tcPr>
          <w:p w:rsidRPr="00D43965" w:rsidR="0058691B" w:rsidRDefault="0058691B" w14:paraId="01F23835" w14:textId="77777777">
            <w:pPr>
              <w:rPr>
                <w:sz w:val="24"/>
                <w:szCs w:val="24"/>
              </w:rPr>
            </w:pPr>
            <w:r w:rsidRPr="00D43965">
              <w:rPr>
                <w:sz w:val="24"/>
                <w:szCs w:val="24"/>
              </w:rPr>
              <w:t>G</w:t>
            </w:r>
          </w:p>
        </w:tc>
        <w:tc>
          <w:tcPr>
            <w:tcW w:w="3674" w:type="pct"/>
            <w:gridSpan w:val="2"/>
            <w:tcBorders>
              <w:top w:val="single" w:color="D9D9D9" w:sz="4" w:space="0"/>
              <w:left w:val="single" w:color="D9D9D9" w:sz="4" w:space="0"/>
              <w:bottom w:val="single" w:color="D9D9D9" w:sz="4" w:space="0"/>
              <w:right w:val="single" w:color="D9D9D9" w:sz="4" w:space="0"/>
            </w:tcBorders>
            <w:vAlign w:val="center"/>
            <w:hideMark/>
          </w:tcPr>
          <w:p w:rsidRPr="00D43965" w:rsidR="0058691B" w:rsidRDefault="0058691B" w14:paraId="44630C8A" w14:textId="77777777">
            <w:pPr>
              <w:rPr>
                <w:sz w:val="24"/>
                <w:szCs w:val="24"/>
              </w:rPr>
            </w:pPr>
            <w:r w:rsidRPr="00D43965">
              <w:rPr>
                <w:sz w:val="24"/>
                <w:szCs w:val="24"/>
              </w:rPr>
              <w:t>Less: Beginning-of-Year Reserve (FY 2020-21)</w:t>
            </w:r>
          </w:p>
        </w:tc>
        <w:tc>
          <w:tcPr>
            <w:tcW w:w="933" w:type="pct"/>
            <w:tcBorders>
              <w:top w:val="single" w:color="D9D9D9" w:sz="4" w:space="0"/>
              <w:left w:val="single" w:color="D9D9D9" w:sz="4" w:space="0"/>
              <w:bottom w:val="single" w:color="D9D9D9" w:sz="4" w:space="0"/>
              <w:right w:val="single" w:color="D9D9D9" w:sz="4" w:space="0"/>
            </w:tcBorders>
            <w:vAlign w:val="center"/>
            <w:hideMark/>
          </w:tcPr>
          <w:p w:rsidRPr="00D43965" w:rsidR="0058691B" w:rsidRDefault="0058691B" w14:paraId="26E4E852" w14:textId="4E39DC72">
            <w:pPr>
              <w:jc w:val="right"/>
              <w:rPr>
                <w:sz w:val="24"/>
                <w:szCs w:val="24"/>
              </w:rPr>
            </w:pPr>
            <w:r w:rsidRPr="00D43965">
              <w:rPr>
                <w:sz w:val="24"/>
                <w:szCs w:val="24"/>
              </w:rPr>
              <w:t>$</w:t>
            </w:r>
            <w:r w:rsidRPr="00D43965" w:rsidR="00447911">
              <w:rPr>
                <w:sz w:val="24"/>
                <w:szCs w:val="24"/>
              </w:rPr>
              <w:t>55,05</w:t>
            </w:r>
            <w:r w:rsidR="00610730">
              <w:rPr>
                <w:sz w:val="24"/>
                <w:szCs w:val="24"/>
              </w:rPr>
              <w:t>0</w:t>
            </w:r>
            <w:r w:rsidRPr="00D43965" w:rsidR="00447911">
              <w:rPr>
                <w:sz w:val="24"/>
                <w:szCs w:val="24"/>
              </w:rPr>
              <w:t>,000</w:t>
            </w:r>
          </w:p>
        </w:tc>
      </w:tr>
      <w:tr w:rsidRPr="00D43965" w:rsidR="0058691B" w:rsidTr="0058691B" w14:paraId="7CF94D60" w14:textId="77777777">
        <w:trPr>
          <w:trHeight w:val="405"/>
        </w:trPr>
        <w:tc>
          <w:tcPr>
            <w:tcW w:w="393" w:type="pct"/>
            <w:tcBorders>
              <w:top w:val="single" w:color="D9D9D9" w:sz="4" w:space="0"/>
              <w:left w:val="single" w:color="D9D9D9" w:sz="4" w:space="0"/>
              <w:bottom w:val="single" w:color="BFBFBF" w:themeColor="background1" w:themeShade="BF" w:sz="4" w:space="0"/>
              <w:right w:val="single" w:color="D9D9D9" w:sz="4" w:space="0"/>
            </w:tcBorders>
            <w:noWrap/>
            <w:vAlign w:val="center"/>
            <w:hideMark/>
          </w:tcPr>
          <w:p w:rsidRPr="00D43965" w:rsidR="0058691B" w:rsidRDefault="0058691B" w14:paraId="4F07D655" w14:textId="77777777">
            <w:pPr>
              <w:rPr>
                <w:sz w:val="24"/>
                <w:szCs w:val="24"/>
              </w:rPr>
            </w:pPr>
            <w:r w:rsidRPr="00D43965">
              <w:rPr>
                <w:sz w:val="24"/>
                <w:szCs w:val="24"/>
              </w:rPr>
              <w:t>H</w:t>
            </w:r>
          </w:p>
        </w:tc>
        <w:tc>
          <w:tcPr>
            <w:tcW w:w="3674" w:type="pct"/>
            <w:gridSpan w:val="2"/>
            <w:tcBorders>
              <w:top w:val="single" w:color="D9D9D9" w:sz="4" w:space="0"/>
              <w:left w:val="single" w:color="D9D9D9" w:sz="4" w:space="0"/>
              <w:bottom w:val="single" w:color="BFBFBF" w:themeColor="background1" w:themeShade="BF" w:sz="4" w:space="0"/>
              <w:right w:val="single" w:color="D9D9D9" w:sz="4" w:space="0"/>
            </w:tcBorders>
            <w:vAlign w:val="center"/>
            <w:hideMark/>
          </w:tcPr>
          <w:p w:rsidRPr="00D43965" w:rsidR="0058691B" w:rsidRDefault="0058691B" w14:paraId="7AB65FA7" w14:textId="77777777">
            <w:pPr>
              <w:rPr>
                <w:sz w:val="24"/>
                <w:szCs w:val="24"/>
              </w:rPr>
            </w:pPr>
            <w:r w:rsidRPr="00D43965">
              <w:rPr>
                <w:sz w:val="24"/>
                <w:szCs w:val="24"/>
              </w:rPr>
              <w:t>Additional revenue required to maintain 25% reserve</w:t>
            </w:r>
          </w:p>
        </w:tc>
        <w:tc>
          <w:tcPr>
            <w:tcW w:w="933" w:type="pct"/>
            <w:tcBorders>
              <w:top w:val="single" w:color="D9D9D9" w:sz="4" w:space="0"/>
              <w:left w:val="single" w:color="D9D9D9" w:sz="4" w:space="0"/>
              <w:bottom w:val="single" w:color="BFBFBF" w:themeColor="background1" w:themeShade="BF" w:sz="4" w:space="0"/>
              <w:right w:val="single" w:color="D9D9D9" w:sz="4" w:space="0"/>
            </w:tcBorders>
            <w:vAlign w:val="center"/>
            <w:hideMark/>
          </w:tcPr>
          <w:p w:rsidRPr="00D43965" w:rsidR="0058691B" w:rsidRDefault="0058691B" w14:paraId="418095A2" w14:textId="1CCAF28F">
            <w:pPr>
              <w:jc w:val="right"/>
              <w:rPr>
                <w:sz w:val="24"/>
                <w:szCs w:val="24"/>
              </w:rPr>
            </w:pPr>
            <w:r w:rsidRPr="00D43965">
              <w:rPr>
                <w:sz w:val="24"/>
                <w:szCs w:val="24"/>
              </w:rPr>
              <w:t>$</w:t>
            </w:r>
            <w:r w:rsidRPr="00D43965" w:rsidR="00F64A71">
              <w:rPr>
                <w:sz w:val="24"/>
                <w:szCs w:val="24"/>
              </w:rPr>
              <w:t>(48,</w:t>
            </w:r>
            <w:r w:rsidR="00610730">
              <w:rPr>
                <w:sz w:val="24"/>
                <w:szCs w:val="24"/>
              </w:rPr>
              <w:t>399</w:t>
            </w:r>
            <w:r w:rsidRPr="00D43965" w:rsidR="00F64A71">
              <w:rPr>
                <w:sz w:val="24"/>
                <w:szCs w:val="24"/>
              </w:rPr>
              <w:t>,000)</w:t>
            </w:r>
          </w:p>
        </w:tc>
      </w:tr>
    </w:tbl>
    <w:p w:rsidRPr="00D43965" w:rsidR="0058691B" w:rsidP="00DF5DCE" w:rsidRDefault="0058691B" w14:paraId="3DFF5C0B" w14:textId="7C1564D2">
      <w:pPr>
        <w:rPr>
          <w:sz w:val="24"/>
          <w:szCs w:val="24"/>
        </w:rPr>
      </w:pPr>
    </w:p>
    <w:p w:rsidR="00D1085B" w:rsidP="00D1085B" w:rsidRDefault="00D1085B" w14:paraId="7018C850" w14:textId="15618C0F">
      <w:pPr>
        <w:rPr>
          <w:i/>
          <w:sz w:val="24"/>
          <w:szCs w:val="24"/>
        </w:rPr>
      </w:pPr>
      <w:bookmarkStart w:name="_Hlk529439613" w:id="13"/>
      <w:bookmarkEnd w:id="11"/>
      <w:bookmarkEnd w:id="12"/>
      <w:r w:rsidRPr="00D43965">
        <w:rPr>
          <w:i/>
          <w:sz w:val="24"/>
          <w:szCs w:val="24"/>
        </w:rPr>
        <w:t>Passenger Vehicle Operators</w:t>
      </w:r>
    </w:p>
    <w:p w:rsidRPr="00D43965" w:rsidR="00D2061C" w:rsidP="00D1085B" w:rsidRDefault="00D2061C" w14:paraId="5A46C5EF" w14:textId="77777777">
      <w:pPr>
        <w:rPr>
          <w:i/>
          <w:sz w:val="24"/>
          <w:szCs w:val="24"/>
        </w:rPr>
      </w:pPr>
    </w:p>
    <w:p w:rsidR="00851EF8" w:rsidP="00D1085B" w:rsidRDefault="005E4265" w14:paraId="2A3C9269" w14:textId="77777777">
      <w:pPr>
        <w:rPr>
          <w:sz w:val="24"/>
          <w:szCs w:val="24"/>
        </w:rPr>
      </w:pPr>
      <w:r w:rsidRPr="00D43965">
        <w:rPr>
          <w:sz w:val="24"/>
          <w:szCs w:val="24"/>
        </w:rPr>
        <w:t>Based on the analysis of projected</w:t>
      </w:r>
      <w:r w:rsidRPr="00D43965" w:rsidR="00156D1D">
        <w:rPr>
          <w:sz w:val="24"/>
          <w:szCs w:val="24"/>
        </w:rPr>
        <w:t xml:space="preserve"> PUCTRA </w:t>
      </w:r>
      <w:r w:rsidRPr="00D43965" w:rsidR="00E87115">
        <w:rPr>
          <w:sz w:val="24"/>
          <w:szCs w:val="24"/>
        </w:rPr>
        <w:t xml:space="preserve">revenues to </w:t>
      </w:r>
      <w:r w:rsidRPr="00D43965" w:rsidR="00156D1D">
        <w:rPr>
          <w:sz w:val="24"/>
          <w:szCs w:val="24"/>
        </w:rPr>
        <w:t xml:space="preserve">program </w:t>
      </w:r>
      <w:r w:rsidRPr="00D43965" w:rsidR="00E87115">
        <w:rPr>
          <w:sz w:val="24"/>
          <w:szCs w:val="24"/>
        </w:rPr>
        <w:t xml:space="preserve">expenditures and </w:t>
      </w:r>
      <w:r w:rsidRPr="00D43965" w:rsidR="00D1085B">
        <w:rPr>
          <w:sz w:val="24"/>
          <w:szCs w:val="24"/>
        </w:rPr>
        <w:t>the PUCTRA fund reserve attributable to Passenger Vehicle Operators</w:t>
      </w:r>
      <w:r w:rsidRPr="00D43965" w:rsidR="00156D1D">
        <w:rPr>
          <w:sz w:val="24"/>
          <w:szCs w:val="24"/>
        </w:rPr>
        <w:t xml:space="preserve">, </w:t>
      </w:r>
      <w:bookmarkStart w:name="_Hlk52534111" w:id="14"/>
      <w:bookmarkStart w:name="_Hlk52976133" w:id="15"/>
      <w:r w:rsidRPr="00D43965" w:rsidR="00156D1D">
        <w:rPr>
          <w:sz w:val="24"/>
          <w:szCs w:val="24"/>
        </w:rPr>
        <w:t xml:space="preserve">the Commission concludes </w:t>
      </w:r>
      <w:r w:rsidRPr="00D43965" w:rsidR="00F64A71">
        <w:rPr>
          <w:sz w:val="24"/>
          <w:szCs w:val="24"/>
        </w:rPr>
        <w:t xml:space="preserve">that </w:t>
      </w:r>
      <w:r w:rsidRPr="00D43965" w:rsidR="00D43965">
        <w:rPr>
          <w:sz w:val="24"/>
          <w:szCs w:val="24"/>
        </w:rPr>
        <w:t>the</w:t>
      </w:r>
      <w:r w:rsidRPr="00D43965" w:rsidR="00867D94">
        <w:rPr>
          <w:sz w:val="24"/>
          <w:szCs w:val="24"/>
        </w:rPr>
        <w:t xml:space="preserve"> </w:t>
      </w:r>
      <w:r w:rsidRPr="00D43965" w:rsidR="006213C0">
        <w:rPr>
          <w:sz w:val="24"/>
          <w:szCs w:val="24"/>
        </w:rPr>
        <w:t>“appropriate reserve” is</w:t>
      </w:r>
      <w:r w:rsidRPr="00D43965" w:rsidR="00867D94">
        <w:rPr>
          <w:sz w:val="24"/>
          <w:szCs w:val="24"/>
        </w:rPr>
        <w:t xml:space="preserve"> </w:t>
      </w:r>
      <w:r w:rsidRPr="00D43965" w:rsidR="003D2428">
        <w:rPr>
          <w:sz w:val="24"/>
          <w:szCs w:val="24"/>
        </w:rPr>
        <w:t xml:space="preserve">sufficient </w:t>
      </w:r>
      <w:r w:rsidRPr="00D43965" w:rsidR="003D2428">
        <w:rPr>
          <w:iCs/>
          <w:sz w:val="24"/>
          <w:szCs w:val="24"/>
        </w:rPr>
        <w:t>to support the Commission’s regulatory activities for this class</w:t>
      </w:r>
      <w:r w:rsidRPr="00D43965" w:rsidR="00867D94">
        <w:rPr>
          <w:iCs/>
          <w:sz w:val="24"/>
          <w:szCs w:val="24"/>
        </w:rPr>
        <w:t xml:space="preserve"> pursuant to Public Utilities Code </w:t>
      </w:r>
      <w:r w:rsidR="0013056B">
        <w:rPr>
          <w:iCs/>
          <w:sz w:val="24"/>
          <w:szCs w:val="24"/>
        </w:rPr>
        <w:t>Section</w:t>
      </w:r>
      <w:r w:rsidRPr="00D43965" w:rsidR="00867D94">
        <w:rPr>
          <w:iCs/>
          <w:sz w:val="24"/>
          <w:szCs w:val="24"/>
        </w:rPr>
        <w:t xml:space="preserve"> 421(b)</w:t>
      </w:r>
      <w:r w:rsidRPr="00D43965" w:rsidR="003D2428">
        <w:rPr>
          <w:sz w:val="24"/>
          <w:szCs w:val="24"/>
        </w:rPr>
        <w:t>.</w:t>
      </w:r>
      <w:bookmarkEnd w:id="14"/>
      <w:r w:rsidRPr="00D43965" w:rsidR="00156D1D">
        <w:rPr>
          <w:sz w:val="24"/>
          <w:szCs w:val="24"/>
        </w:rPr>
        <w:t xml:space="preserve"> </w:t>
      </w:r>
      <w:r w:rsidRPr="00D43965" w:rsidR="006A7EE2">
        <w:rPr>
          <w:sz w:val="24"/>
          <w:szCs w:val="24"/>
        </w:rPr>
        <w:t xml:space="preserve"> </w:t>
      </w:r>
      <w:bookmarkEnd w:id="15"/>
      <w:r w:rsidRPr="00D43965" w:rsidR="00156D1D">
        <w:rPr>
          <w:sz w:val="24"/>
          <w:szCs w:val="24"/>
        </w:rPr>
        <w:t>T</w:t>
      </w:r>
      <w:r w:rsidRPr="00D43965" w:rsidR="006A7EE2">
        <w:rPr>
          <w:sz w:val="24"/>
          <w:szCs w:val="24"/>
        </w:rPr>
        <w:t>he fee for Passenger Vehicle Operators shall</w:t>
      </w:r>
      <w:r w:rsidRPr="00D43965" w:rsidR="004C3424">
        <w:rPr>
          <w:sz w:val="24"/>
          <w:szCs w:val="24"/>
        </w:rPr>
        <w:t xml:space="preserve"> be reduced to </w:t>
      </w:r>
      <w:r w:rsidRPr="00D43965" w:rsidR="0044361A">
        <w:rPr>
          <w:sz w:val="24"/>
          <w:szCs w:val="24"/>
        </w:rPr>
        <w:t xml:space="preserve">0.0000 (0%) of gross intrastate revenue </w:t>
      </w:r>
      <w:bookmarkStart w:name="_Hlk52535727" w:id="16"/>
      <w:r w:rsidRPr="00D43965" w:rsidR="0044361A">
        <w:rPr>
          <w:sz w:val="24"/>
          <w:szCs w:val="24"/>
        </w:rPr>
        <w:t xml:space="preserve">and </w:t>
      </w:r>
      <w:r w:rsidRPr="00D43965" w:rsidR="004C3424">
        <w:rPr>
          <w:sz w:val="24"/>
          <w:szCs w:val="24"/>
        </w:rPr>
        <w:t>$0</w:t>
      </w:r>
      <w:r w:rsidRPr="00D43965" w:rsidR="006A7EE2">
        <w:rPr>
          <w:sz w:val="24"/>
          <w:szCs w:val="24"/>
        </w:rPr>
        <w:t xml:space="preserve"> </w:t>
      </w:r>
      <w:r w:rsidRPr="00D43965" w:rsidR="00867D94">
        <w:rPr>
          <w:sz w:val="24"/>
          <w:szCs w:val="24"/>
        </w:rPr>
        <w:t xml:space="preserve">per each </w:t>
      </w:r>
      <w:r w:rsidRPr="00D43965" w:rsidR="006A7EE2">
        <w:rPr>
          <w:sz w:val="24"/>
          <w:szCs w:val="24"/>
        </w:rPr>
        <w:t>annual</w:t>
      </w:r>
      <w:r w:rsidRPr="00D43965" w:rsidR="00867D94">
        <w:rPr>
          <w:sz w:val="24"/>
          <w:szCs w:val="24"/>
        </w:rPr>
        <w:t xml:space="preserve"> or quarterly payment</w:t>
      </w:r>
      <w:r w:rsidRPr="00D43965" w:rsidR="006A7EE2">
        <w:rPr>
          <w:sz w:val="24"/>
          <w:szCs w:val="24"/>
        </w:rPr>
        <w:t>.</w:t>
      </w:r>
    </w:p>
    <w:p w:rsidR="00851EF8" w:rsidP="00D1085B" w:rsidRDefault="00851EF8" w14:paraId="7E25E517" w14:textId="3B58D0E0">
      <w:pPr>
        <w:rPr>
          <w:sz w:val="24"/>
          <w:szCs w:val="24"/>
        </w:rPr>
      </w:pPr>
    </w:p>
    <w:bookmarkEnd w:id="16"/>
    <w:p w:rsidR="00156D1D" w:rsidP="00D1085B" w:rsidRDefault="00A05750" w14:paraId="42127F59" w14:textId="687654F5">
      <w:pPr>
        <w:rPr>
          <w:sz w:val="24"/>
          <w:szCs w:val="24"/>
        </w:rPr>
      </w:pPr>
      <w:r>
        <w:rPr>
          <w:sz w:val="24"/>
          <w:szCs w:val="24"/>
        </w:rPr>
        <w:t>After the effective date of this resolution, q</w:t>
      </w:r>
      <w:r w:rsidR="00851EF8">
        <w:rPr>
          <w:sz w:val="24"/>
          <w:szCs w:val="24"/>
        </w:rPr>
        <w:t>uarterly</w:t>
      </w:r>
      <w:r>
        <w:rPr>
          <w:sz w:val="24"/>
          <w:szCs w:val="24"/>
        </w:rPr>
        <w:t xml:space="preserve"> or</w:t>
      </w:r>
      <w:r w:rsidR="00851EF8">
        <w:rPr>
          <w:sz w:val="24"/>
          <w:szCs w:val="24"/>
        </w:rPr>
        <w:t xml:space="preserve"> annual fees for passenger vehicle operations </w:t>
      </w:r>
      <w:r>
        <w:rPr>
          <w:sz w:val="24"/>
          <w:szCs w:val="24"/>
        </w:rPr>
        <w:t>for</w:t>
      </w:r>
      <w:r w:rsidR="00851EF8">
        <w:rPr>
          <w:sz w:val="24"/>
          <w:szCs w:val="24"/>
        </w:rPr>
        <w:t xml:space="preserve"> calendar year 2020 are $0 </w:t>
      </w:r>
      <w:r>
        <w:rPr>
          <w:sz w:val="24"/>
          <w:szCs w:val="24"/>
        </w:rPr>
        <w:t>(</w:t>
      </w:r>
      <w:r w:rsidR="00851EF8">
        <w:rPr>
          <w:sz w:val="24"/>
          <w:szCs w:val="24"/>
        </w:rPr>
        <w:t xml:space="preserve">$0 fee </w:t>
      </w:r>
      <w:r>
        <w:rPr>
          <w:sz w:val="24"/>
          <w:szCs w:val="24"/>
        </w:rPr>
        <w:t>for the fourth quarter or annual fees due January 15, 2020 per California Public Utilities Code Section 423</w:t>
      </w:r>
      <w:r w:rsidR="00851EF8">
        <w:rPr>
          <w:sz w:val="24"/>
          <w:szCs w:val="24"/>
        </w:rPr>
        <w:t xml:space="preserve">). Quarterly fees due for passenger vehicle operators for </w:t>
      </w:r>
      <w:r>
        <w:rPr>
          <w:sz w:val="24"/>
          <w:szCs w:val="24"/>
        </w:rPr>
        <w:t>first, second, and third quarter in</w:t>
      </w:r>
      <w:r w:rsidR="00851EF8">
        <w:rPr>
          <w:sz w:val="24"/>
          <w:szCs w:val="24"/>
        </w:rPr>
        <w:t xml:space="preserve"> 2020 </w:t>
      </w:r>
      <w:r>
        <w:rPr>
          <w:sz w:val="24"/>
          <w:szCs w:val="24"/>
        </w:rPr>
        <w:t xml:space="preserve">(prior to the effective date of this resolution) </w:t>
      </w:r>
      <w:r w:rsidR="00851EF8">
        <w:rPr>
          <w:sz w:val="24"/>
          <w:szCs w:val="24"/>
        </w:rPr>
        <w:t xml:space="preserve">are to be calculated according to Resolution M-4838 ($10 quarterly). </w:t>
      </w:r>
    </w:p>
    <w:p w:rsidRPr="00D43965" w:rsidR="004747C3" w:rsidP="00D1085B" w:rsidRDefault="004747C3" w14:paraId="1EA638F6" w14:textId="77777777">
      <w:pPr>
        <w:rPr>
          <w:sz w:val="24"/>
          <w:szCs w:val="24"/>
        </w:rPr>
      </w:pPr>
    </w:p>
    <w:p w:rsidRPr="00D43965" w:rsidR="00D1085B" w:rsidP="00D1085B" w:rsidRDefault="00D1085B" w14:paraId="01C9A8B7" w14:textId="4CCB4774">
      <w:pPr>
        <w:rPr>
          <w:sz w:val="24"/>
          <w:szCs w:val="24"/>
        </w:rPr>
      </w:pPr>
      <w:bookmarkStart w:name="_Hlk52535851" w:id="17"/>
      <w:r w:rsidRPr="00D43965">
        <w:rPr>
          <w:sz w:val="24"/>
          <w:szCs w:val="24"/>
        </w:rPr>
        <w:t xml:space="preserve">Carriers </w:t>
      </w:r>
      <w:r w:rsidRPr="00D43965" w:rsidR="006A7EE2">
        <w:rPr>
          <w:sz w:val="24"/>
          <w:szCs w:val="24"/>
        </w:rPr>
        <w:t xml:space="preserve">are </w:t>
      </w:r>
      <w:r w:rsidRPr="00D43965">
        <w:rPr>
          <w:sz w:val="24"/>
          <w:szCs w:val="24"/>
        </w:rPr>
        <w:t>still required to report</w:t>
      </w:r>
      <w:r w:rsidRPr="00D43965" w:rsidR="00233A8F">
        <w:rPr>
          <w:sz w:val="24"/>
          <w:szCs w:val="24"/>
        </w:rPr>
        <w:t xml:space="preserve"> quarterly or</w:t>
      </w:r>
      <w:r w:rsidRPr="00D43965">
        <w:rPr>
          <w:sz w:val="24"/>
          <w:szCs w:val="24"/>
        </w:rPr>
        <w:t xml:space="preserve"> </w:t>
      </w:r>
      <w:r w:rsidRPr="00D43965" w:rsidR="00401672">
        <w:rPr>
          <w:sz w:val="24"/>
          <w:szCs w:val="24"/>
        </w:rPr>
        <w:t xml:space="preserve">annual gross intrastate </w:t>
      </w:r>
      <w:r w:rsidRPr="00D43965">
        <w:rPr>
          <w:sz w:val="24"/>
          <w:szCs w:val="24"/>
        </w:rPr>
        <w:t>revenue</w:t>
      </w:r>
      <w:r w:rsidRPr="00D43965" w:rsidR="006A7EE2">
        <w:rPr>
          <w:sz w:val="24"/>
          <w:szCs w:val="24"/>
        </w:rPr>
        <w:t>s, pursuant to P</w:t>
      </w:r>
      <w:r w:rsidRPr="00D43965" w:rsidR="00401672">
        <w:rPr>
          <w:sz w:val="24"/>
          <w:szCs w:val="24"/>
        </w:rPr>
        <w:t xml:space="preserve">ublic Utilities </w:t>
      </w:r>
      <w:r w:rsidRPr="00D43965" w:rsidR="006A7EE2">
        <w:rPr>
          <w:sz w:val="24"/>
          <w:szCs w:val="24"/>
        </w:rPr>
        <w:t>Code Section</w:t>
      </w:r>
      <w:r w:rsidRPr="00D43965" w:rsidR="00C37726">
        <w:rPr>
          <w:sz w:val="24"/>
          <w:szCs w:val="24"/>
        </w:rPr>
        <w:t>s</w:t>
      </w:r>
      <w:r w:rsidRPr="00D43965" w:rsidR="006A7EE2">
        <w:rPr>
          <w:sz w:val="24"/>
          <w:szCs w:val="24"/>
        </w:rPr>
        <w:t xml:space="preserve"> 423</w:t>
      </w:r>
      <w:r w:rsidRPr="00D43965">
        <w:rPr>
          <w:sz w:val="24"/>
          <w:szCs w:val="24"/>
        </w:rPr>
        <w:t xml:space="preserve">. </w:t>
      </w:r>
      <w:r w:rsidRPr="00D43965" w:rsidR="00E87115">
        <w:rPr>
          <w:sz w:val="24"/>
          <w:szCs w:val="24"/>
        </w:rPr>
        <w:t>The fee will be evaluated annually and modified as needed.</w:t>
      </w:r>
    </w:p>
    <w:bookmarkEnd w:id="13"/>
    <w:bookmarkEnd w:id="17"/>
    <w:p w:rsidRPr="00D43965" w:rsidR="00D1085B" w:rsidP="00D1085B" w:rsidRDefault="00D1085B" w14:paraId="605727F6" w14:textId="626BF2CF">
      <w:pPr>
        <w:rPr>
          <w:sz w:val="24"/>
          <w:szCs w:val="24"/>
        </w:rPr>
      </w:pPr>
    </w:p>
    <w:p w:rsidR="006A7EE2" w:rsidP="006A7EE2" w:rsidRDefault="006A7EE2" w14:paraId="06661512" w14:textId="68243B49">
      <w:pPr>
        <w:rPr>
          <w:i/>
          <w:sz w:val="24"/>
          <w:szCs w:val="24"/>
        </w:rPr>
      </w:pPr>
      <w:r w:rsidRPr="00D43965">
        <w:rPr>
          <w:i/>
          <w:sz w:val="24"/>
          <w:szCs w:val="24"/>
        </w:rPr>
        <w:t>Vessel Operators</w:t>
      </w:r>
    </w:p>
    <w:p w:rsidRPr="00D43965" w:rsidR="00D2061C" w:rsidP="006A7EE2" w:rsidRDefault="00D2061C" w14:paraId="51035B13" w14:textId="77777777">
      <w:pPr>
        <w:rPr>
          <w:i/>
          <w:sz w:val="24"/>
          <w:szCs w:val="24"/>
        </w:rPr>
      </w:pPr>
    </w:p>
    <w:p w:rsidRPr="00D43965" w:rsidR="006A7EE2" w:rsidP="006A7EE2" w:rsidRDefault="00006319" w14:paraId="49A17CE8" w14:textId="503E901D">
      <w:pPr>
        <w:rPr>
          <w:sz w:val="24"/>
          <w:szCs w:val="24"/>
        </w:rPr>
      </w:pPr>
      <w:r w:rsidRPr="00D43965">
        <w:rPr>
          <w:sz w:val="24"/>
          <w:szCs w:val="24"/>
        </w:rPr>
        <w:t xml:space="preserve">The revenues for vessel operators </w:t>
      </w:r>
      <w:r w:rsidRPr="00D43965" w:rsidR="0003536B">
        <w:rPr>
          <w:sz w:val="24"/>
          <w:szCs w:val="24"/>
        </w:rPr>
        <w:t xml:space="preserve">closely </w:t>
      </w:r>
      <w:r w:rsidRPr="00D43965">
        <w:rPr>
          <w:sz w:val="24"/>
          <w:szCs w:val="24"/>
        </w:rPr>
        <w:t xml:space="preserve">match the </w:t>
      </w:r>
      <w:r w:rsidRPr="00D43965" w:rsidR="00BA2866">
        <w:rPr>
          <w:sz w:val="24"/>
          <w:szCs w:val="24"/>
        </w:rPr>
        <w:t>expenditures</w:t>
      </w:r>
      <w:r w:rsidRPr="00D43965" w:rsidR="00F64A71">
        <w:rPr>
          <w:sz w:val="24"/>
          <w:szCs w:val="24"/>
        </w:rPr>
        <w:t>.</w:t>
      </w:r>
      <w:bookmarkStart w:name="_Hlk52976196" w:id="18"/>
      <w:r w:rsidRPr="00D43965" w:rsidR="005E4265">
        <w:rPr>
          <w:sz w:val="24"/>
          <w:szCs w:val="24"/>
        </w:rPr>
        <w:t xml:space="preserve"> </w:t>
      </w:r>
      <w:bookmarkEnd w:id="18"/>
      <w:r w:rsidRPr="00D43965" w:rsidR="00156D1D">
        <w:rPr>
          <w:sz w:val="24"/>
          <w:szCs w:val="24"/>
        </w:rPr>
        <w:t xml:space="preserve">The </w:t>
      </w:r>
      <w:r w:rsidRPr="00D43965" w:rsidR="00CA41A6">
        <w:rPr>
          <w:sz w:val="24"/>
          <w:szCs w:val="24"/>
        </w:rPr>
        <w:t xml:space="preserve">fee for Vessel Operators shall </w:t>
      </w:r>
      <w:r w:rsidRPr="00D43965" w:rsidR="00F64A71">
        <w:rPr>
          <w:sz w:val="24"/>
          <w:szCs w:val="24"/>
        </w:rPr>
        <w:t xml:space="preserve">remain </w:t>
      </w:r>
      <w:r w:rsidR="000F3DE2">
        <w:rPr>
          <w:sz w:val="24"/>
          <w:szCs w:val="24"/>
        </w:rPr>
        <w:t>0.0033 (0.33%)</w:t>
      </w:r>
      <w:r w:rsidRPr="00D43965" w:rsidR="004C3424">
        <w:rPr>
          <w:sz w:val="24"/>
          <w:szCs w:val="24"/>
        </w:rPr>
        <w:t xml:space="preserve"> of gross</w:t>
      </w:r>
      <w:r w:rsidRPr="00D43965" w:rsidR="005E4265">
        <w:rPr>
          <w:sz w:val="24"/>
          <w:szCs w:val="24"/>
        </w:rPr>
        <w:t xml:space="preserve"> intrastate</w:t>
      </w:r>
      <w:r w:rsidRPr="00D43965" w:rsidR="004C3424">
        <w:rPr>
          <w:sz w:val="24"/>
          <w:szCs w:val="24"/>
        </w:rPr>
        <w:t xml:space="preserve"> revenue</w:t>
      </w:r>
      <w:r w:rsidRPr="00CF20C6" w:rsidR="00CF20C6">
        <w:rPr>
          <w:sz w:val="24"/>
          <w:szCs w:val="24"/>
        </w:rPr>
        <w:t xml:space="preserve"> plus </w:t>
      </w:r>
      <w:r w:rsidR="00CF20C6">
        <w:rPr>
          <w:sz w:val="24"/>
          <w:szCs w:val="24"/>
        </w:rPr>
        <w:t xml:space="preserve">a </w:t>
      </w:r>
      <w:r w:rsidRPr="00CF20C6" w:rsidR="00CF20C6">
        <w:rPr>
          <w:sz w:val="24"/>
          <w:szCs w:val="24"/>
        </w:rPr>
        <w:t>minimum $10 quarterly fee or $25 annual fee</w:t>
      </w:r>
      <w:r w:rsidRPr="00D43965" w:rsidR="003A3C16">
        <w:rPr>
          <w:sz w:val="24"/>
          <w:szCs w:val="24"/>
        </w:rPr>
        <w:t>.</w:t>
      </w:r>
      <w:r w:rsidRPr="00D43965" w:rsidR="00CA41A6">
        <w:rPr>
          <w:sz w:val="24"/>
          <w:szCs w:val="24"/>
        </w:rPr>
        <w:t xml:space="preserve"> </w:t>
      </w:r>
    </w:p>
    <w:p w:rsidRPr="00D43965" w:rsidR="00570F0B" w:rsidP="006A7EE2" w:rsidRDefault="00570F0B" w14:paraId="5F44EC66" w14:textId="722DE842">
      <w:pPr>
        <w:rPr>
          <w:sz w:val="24"/>
          <w:szCs w:val="24"/>
        </w:rPr>
      </w:pPr>
    </w:p>
    <w:p w:rsidR="00D1085B" w:rsidP="00D1085B" w:rsidRDefault="00D1085B" w14:paraId="305A2D81" w14:textId="08C9D5E7">
      <w:pPr>
        <w:rPr>
          <w:i/>
          <w:sz w:val="24"/>
          <w:szCs w:val="24"/>
        </w:rPr>
      </w:pPr>
      <w:r w:rsidRPr="00D43965">
        <w:rPr>
          <w:i/>
          <w:sz w:val="24"/>
          <w:szCs w:val="24"/>
        </w:rPr>
        <w:t>Freight Rail</w:t>
      </w:r>
    </w:p>
    <w:p w:rsidRPr="00D43965" w:rsidR="00D2061C" w:rsidP="00D1085B" w:rsidRDefault="00D2061C" w14:paraId="421FA4E8" w14:textId="77777777">
      <w:pPr>
        <w:rPr>
          <w:i/>
          <w:sz w:val="24"/>
          <w:szCs w:val="24"/>
        </w:rPr>
      </w:pPr>
    </w:p>
    <w:p w:rsidRPr="00D43965" w:rsidR="00570F0B" w:rsidP="00570F0B" w:rsidRDefault="00570F0B" w14:paraId="659E6396" w14:textId="01EE6174">
      <w:pPr>
        <w:pStyle w:val="BodyText"/>
        <w:rPr>
          <w:szCs w:val="24"/>
        </w:rPr>
      </w:pPr>
      <w:r w:rsidRPr="00D43965">
        <w:rPr>
          <w:szCs w:val="24"/>
        </w:rPr>
        <w:t>Unlike the other utility classes of PUCTRA, f</w:t>
      </w:r>
      <w:r w:rsidRPr="00D43965" w:rsidR="00D1085B">
        <w:rPr>
          <w:szCs w:val="24"/>
        </w:rPr>
        <w:t xml:space="preserve">reight </w:t>
      </w:r>
      <w:r w:rsidRPr="00D43965">
        <w:rPr>
          <w:szCs w:val="24"/>
        </w:rPr>
        <w:t>r</w:t>
      </w:r>
      <w:r w:rsidRPr="00D43965" w:rsidR="00D1085B">
        <w:rPr>
          <w:szCs w:val="24"/>
        </w:rPr>
        <w:t xml:space="preserve">ail </w:t>
      </w:r>
      <w:r w:rsidRPr="00D43965">
        <w:rPr>
          <w:szCs w:val="24"/>
        </w:rPr>
        <w:t>user fees are set by amount for Class I railroad corporations, and by rate with a minimum fee for Class II and III railroad corporations. The total fee level of $1</w:t>
      </w:r>
      <w:r w:rsidRPr="00D43965" w:rsidR="00FB4206">
        <w:rPr>
          <w:szCs w:val="24"/>
        </w:rPr>
        <w:t>2,183</w:t>
      </w:r>
      <w:r w:rsidRPr="00D43965">
        <w:rPr>
          <w:szCs w:val="24"/>
        </w:rPr>
        <w:t xml:space="preserve">,000 set for the railroad corporations reflects a </w:t>
      </w:r>
      <w:r w:rsidRPr="00D43965" w:rsidR="00285768">
        <w:rPr>
          <w:szCs w:val="24"/>
        </w:rPr>
        <w:t>$1,472,000</w:t>
      </w:r>
      <w:r w:rsidRPr="00D43965" w:rsidR="00212687">
        <w:rPr>
          <w:szCs w:val="24"/>
        </w:rPr>
        <w:t xml:space="preserve"> </w:t>
      </w:r>
      <w:r w:rsidRPr="00D43965">
        <w:rPr>
          <w:szCs w:val="24"/>
        </w:rPr>
        <w:t xml:space="preserve">increase </w:t>
      </w:r>
      <w:r w:rsidRPr="00D43965">
        <w:rPr>
          <w:szCs w:val="24"/>
        </w:rPr>
        <w:lastRenderedPageBreak/>
        <w:t xml:space="preserve">from the </w:t>
      </w:r>
      <w:r w:rsidRPr="00D43965" w:rsidR="00285768">
        <w:rPr>
          <w:szCs w:val="24"/>
        </w:rPr>
        <w:t>$10,711,000</w:t>
      </w:r>
      <w:r w:rsidRPr="00D43965" w:rsidR="00212687">
        <w:rPr>
          <w:szCs w:val="24"/>
        </w:rPr>
        <w:t xml:space="preserve"> </w:t>
      </w:r>
      <w:r w:rsidRPr="00D43965">
        <w:rPr>
          <w:szCs w:val="24"/>
        </w:rPr>
        <w:t>level set for 201</w:t>
      </w:r>
      <w:r w:rsidRPr="00D43965" w:rsidR="00FB4206">
        <w:rPr>
          <w:szCs w:val="24"/>
        </w:rPr>
        <w:t>9</w:t>
      </w:r>
      <w:r w:rsidRPr="00D43965">
        <w:rPr>
          <w:szCs w:val="24"/>
        </w:rPr>
        <w:t xml:space="preserve">. </w:t>
      </w:r>
      <w:r w:rsidRPr="00D43965" w:rsidR="00E20603">
        <w:rPr>
          <w:szCs w:val="24"/>
        </w:rPr>
        <w:t>This total fee level was set prior to the release of the 2020-21 Governor’s Budget.</w:t>
      </w:r>
    </w:p>
    <w:p w:rsidRPr="00D43965" w:rsidR="00570F0B" w:rsidP="00D1085B" w:rsidRDefault="00570F0B" w14:paraId="4239B789" w14:textId="10C80CC4">
      <w:pPr>
        <w:rPr>
          <w:sz w:val="24"/>
          <w:szCs w:val="24"/>
        </w:rPr>
      </w:pPr>
    </w:p>
    <w:p w:rsidR="00D1085B" w:rsidP="00D1085B" w:rsidRDefault="00D1085B" w14:paraId="55438026" w14:textId="060FB96D">
      <w:pPr>
        <w:rPr>
          <w:i/>
          <w:sz w:val="24"/>
          <w:szCs w:val="24"/>
        </w:rPr>
      </w:pPr>
      <w:r w:rsidRPr="00D43965">
        <w:rPr>
          <w:i/>
          <w:sz w:val="24"/>
          <w:szCs w:val="24"/>
        </w:rPr>
        <w:t>Pipeline Corporations</w:t>
      </w:r>
    </w:p>
    <w:p w:rsidRPr="00D43965" w:rsidR="00D2061C" w:rsidP="00D1085B" w:rsidRDefault="00D2061C" w14:paraId="3044BADB" w14:textId="77777777">
      <w:pPr>
        <w:rPr>
          <w:i/>
          <w:sz w:val="24"/>
          <w:szCs w:val="24"/>
        </w:rPr>
      </w:pPr>
    </w:p>
    <w:p w:rsidRPr="00D43965" w:rsidR="00570F0B" w:rsidP="00570F0B" w:rsidRDefault="00570F0B" w14:paraId="450C2B1D" w14:textId="0748B4B5">
      <w:pPr>
        <w:rPr>
          <w:sz w:val="24"/>
          <w:szCs w:val="24"/>
        </w:rPr>
      </w:pPr>
      <w:r w:rsidRPr="00D43965">
        <w:rPr>
          <w:sz w:val="24"/>
          <w:szCs w:val="24"/>
        </w:rPr>
        <w:t xml:space="preserve">The revenues for pipeline corporations match closely the </w:t>
      </w:r>
      <w:r w:rsidRPr="00D43965" w:rsidR="00BA2866">
        <w:rPr>
          <w:sz w:val="24"/>
          <w:szCs w:val="24"/>
        </w:rPr>
        <w:t>expenditures</w:t>
      </w:r>
      <w:r w:rsidRPr="00D43965" w:rsidR="00156D1D">
        <w:rPr>
          <w:sz w:val="24"/>
          <w:szCs w:val="24"/>
        </w:rPr>
        <w:t xml:space="preserve">. The </w:t>
      </w:r>
      <w:r w:rsidRPr="00D43965" w:rsidR="003A3C16">
        <w:rPr>
          <w:sz w:val="24"/>
          <w:szCs w:val="24"/>
        </w:rPr>
        <w:t xml:space="preserve">fee for Pipeline Corporations shall </w:t>
      </w:r>
      <w:r w:rsidRPr="00D43965" w:rsidR="00F64A71">
        <w:rPr>
          <w:sz w:val="24"/>
          <w:szCs w:val="24"/>
        </w:rPr>
        <w:t>remain at</w:t>
      </w:r>
      <w:r w:rsidRPr="00D43965" w:rsidR="004C3424">
        <w:rPr>
          <w:sz w:val="24"/>
          <w:szCs w:val="24"/>
        </w:rPr>
        <w:t xml:space="preserve"> </w:t>
      </w:r>
      <w:r w:rsidR="000F3DE2">
        <w:rPr>
          <w:sz w:val="24"/>
          <w:szCs w:val="24"/>
        </w:rPr>
        <w:t xml:space="preserve">0.00034 (0.034%) </w:t>
      </w:r>
      <w:r w:rsidRPr="00D43965" w:rsidR="004C3424">
        <w:rPr>
          <w:sz w:val="24"/>
          <w:szCs w:val="24"/>
        </w:rPr>
        <w:t>of gross</w:t>
      </w:r>
      <w:r w:rsidRPr="00D43965" w:rsidR="005E4265">
        <w:rPr>
          <w:sz w:val="24"/>
          <w:szCs w:val="24"/>
        </w:rPr>
        <w:t xml:space="preserve"> intrastate</w:t>
      </w:r>
      <w:r w:rsidRPr="00D43965" w:rsidR="004C3424">
        <w:rPr>
          <w:sz w:val="24"/>
          <w:szCs w:val="24"/>
        </w:rPr>
        <w:t xml:space="preserve"> revenue</w:t>
      </w:r>
      <w:r w:rsidRPr="00D43965" w:rsidR="003A3C16">
        <w:rPr>
          <w:sz w:val="24"/>
          <w:szCs w:val="24"/>
        </w:rPr>
        <w:t>.</w:t>
      </w:r>
    </w:p>
    <w:p w:rsidRPr="00D43965" w:rsidR="0044361A" w:rsidP="00570F0B" w:rsidRDefault="0044361A" w14:paraId="6ECE166D" w14:textId="733F3B5F">
      <w:pPr>
        <w:rPr>
          <w:sz w:val="24"/>
          <w:szCs w:val="24"/>
        </w:rPr>
      </w:pPr>
    </w:p>
    <w:p w:rsidR="0044361A" w:rsidP="00570F0B" w:rsidRDefault="0044361A" w14:paraId="5BD59B61" w14:textId="46B64AFE">
      <w:pPr>
        <w:rPr>
          <w:i/>
          <w:iCs/>
          <w:sz w:val="24"/>
          <w:szCs w:val="24"/>
        </w:rPr>
      </w:pPr>
      <w:r w:rsidRPr="00D43965">
        <w:rPr>
          <w:i/>
          <w:iCs/>
          <w:sz w:val="24"/>
          <w:szCs w:val="24"/>
        </w:rPr>
        <w:t xml:space="preserve">Prime Carriers </w:t>
      </w:r>
      <w:r w:rsidRPr="00D43965" w:rsidR="00056543">
        <w:rPr>
          <w:i/>
          <w:iCs/>
          <w:sz w:val="24"/>
          <w:szCs w:val="24"/>
        </w:rPr>
        <w:t>Payment of PUCTRA fees for</w:t>
      </w:r>
      <w:r w:rsidRPr="00D43965">
        <w:rPr>
          <w:i/>
          <w:iCs/>
          <w:sz w:val="24"/>
          <w:szCs w:val="24"/>
        </w:rPr>
        <w:t xml:space="preserve"> Subcarriers</w:t>
      </w:r>
    </w:p>
    <w:p w:rsidRPr="00D43965" w:rsidR="00D2061C" w:rsidP="00570F0B" w:rsidRDefault="00D2061C" w14:paraId="5A67CAC3" w14:textId="77777777">
      <w:pPr>
        <w:rPr>
          <w:i/>
          <w:iCs/>
          <w:sz w:val="24"/>
          <w:szCs w:val="24"/>
        </w:rPr>
      </w:pPr>
    </w:p>
    <w:p w:rsidRPr="00D43965" w:rsidR="0044361A" w:rsidP="0044361A" w:rsidRDefault="0044361A" w14:paraId="284CDC61" w14:textId="2AD87C0E">
      <w:pPr>
        <w:rPr>
          <w:sz w:val="24"/>
          <w:szCs w:val="24"/>
        </w:rPr>
      </w:pPr>
      <w:bookmarkStart w:name="_Hlk52535577" w:id="19"/>
      <w:r w:rsidRPr="00D43965">
        <w:rPr>
          <w:sz w:val="24"/>
          <w:szCs w:val="24"/>
        </w:rPr>
        <w:t xml:space="preserve">Prime carriers are responsible for the </w:t>
      </w:r>
      <w:r w:rsidRPr="00D43965" w:rsidR="00056543">
        <w:rPr>
          <w:sz w:val="24"/>
          <w:szCs w:val="24"/>
        </w:rPr>
        <w:t xml:space="preserve">reporting and </w:t>
      </w:r>
      <w:r w:rsidRPr="00D43965">
        <w:rPr>
          <w:sz w:val="24"/>
          <w:szCs w:val="24"/>
        </w:rPr>
        <w:t>payment of the fees on the gross intrastate earnings of subcarriers.</w:t>
      </w:r>
      <w:r w:rsidRPr="00D43965" w:rsidR="00056543">
        <w:rPr>
          <w:sz w:val="24"/>
          <w:szCs w:val="24"/>
        </w:rPr>
        <w:t xml:space="preserve"> Prime carriers are those passenger vehicle and vessel operators who engage the services of subcarriers. </w:t>
      </w:r>
      <w:r w:rsidRPr="00D43965">
        <w:rPr>
          <w:sz w:val="24"/>
          <w:szCs w:val="24"/>
        </w:rPr>
        <w:t>Such services of subcarriers by these prime carriers shall be evidenced by a written document. Fee statements submitted by a prime carrier shall indicate the name and gross intrastate earnings of each subcarrier in sufficient detail to enable the CPUC to cross-reference earnings and determine appropriate fee amounts among the respective carriers. Similarly, a fee statement submitted by a subcarrier shall indicate its gross intrastate earnings associated with each prime carrier.</w:t>
      </w:r>
      <w:r w:rsidRPr="00D43965" w:rsidR="00056543">
        <w:rPr>
          <w:sz w:val="24"/>
          <w:szCs w:val="24"/>
        </w:rPr>
        <w:t xml:space="preserve"> The Commission establishes this payment method for purpose of providing a more economical, simple, and efficient method of collecting and accounting for fees required to be charged and deposited in PUCTRA.</w:t>
      </w:r>
    </w:p>
    <w:bookmarkEnd w:id="19"/>
    <w:p w:rsidR="0044361A" w:rsidP="0044361A" w:rsidRDefault="0044361A" w14:paraId="298AD573" w14:textId="5DA3BC7F">
      <w:pPr>
        <w:rPr>
          <w:sz w:val="24"/>
          <w:szCs w:val="24"/>
        </w:rPr>
      </w:pPr>
    </w:p>
    <w:p w:rsidR="0044361A" w:rsidP="0044361A" w:rsidRDefault="0044361A" w14:paraId="4192AC0B" w14:textId="5ADA8889">
      <w:pPr>
        <w:rPr>
          <w:i/>
          <w:iCs/>
          <w:sz w:val="24"/>
          <w:szCs w:val="24"/>
        </w:rPr>
      </w:pPr>
      <w:r w:rsidRPr="00D43965">
        <w:rPr>
          <w:i/>
          <w:iCs/>
          <w:sz w:val="24"/>
          <w:szCs w:val="24"/>
        </w:rPr>
        <w:t>Penalties for Late Payment</w:t>
      </w:r>
    </w:p>
    <w:p w:rsidRPr="00D43965" w:rsidR="00D2061C" w:rsidP="0044361A" w:rsidRDefault="00D2061C" w14:paraId="0CB4C69D" w14:textId="77777777">
      <w:pPr>
        <w:rPr>
          <w:i/>
          <w:iCs/>
          <w:sz w:val="24"/>
          <w:szCs w:val="24"/>
        </w:rPr>
      </w:pPr>
    </w:p>
    <w:p w:rsidRPr="00D43965" w:rsidR="0044361A" w:rsidP="0044361A" w:rsidRDefault="0044361A" w14:paraId="75D896EB" w14:textId="1B3FC0DC">
      <w:pPr>
        <w:pStyle w:val="BodyText"/>
        <w:rPr>
          <w:szCs w:val="24"/>
        </w:rPr>
      </w:pPr>
      <w:r w:rsidRPr="00D43965">
        <w:rPr>
          <w:szCs w:val="24"/>
        </w:rPr>
        <w:t xml:space="preserve">The penalty imposed in Public Utilities Code </w:t>
      </w:r>
      <w:r w:rsidR="0013056B">
        <w:rPr>
          <w:szCs w:val="24"/>
        </w:rPr>
        <w:t>Section</w:t>
      </w:r>
      <w:r w:rsidRPr="00D43965">
        <w:rPr>
          <w:szCs w:val="24"/>
        </w:rPr>
        <w:t xml:space="preserve"> 405 for default of the payment of the fee provided for in Public Utilities Code </w:t>
      </w:r>
      <w:r w:rsidR="0013056B">
        <w:rPr>
          <w:szCs w:val="24"/>
        </w:rPr>
        <w:t>Section</w:t>
      </w:r>
      <w:r w:rsidRPr="00D43965">
        <w:rPr>
          <w:szCs w:val="24"/>
        </w:rPr>
        <w:t xml:space="preserve"> 421 shall remain fixed at 25% of the amount of the fee.</w:t>
      </w:r>
    </w:p>
    <w:p w:rsidRPr="00D43965" w:rsidR="0044361A" w:rsidP="00570F0B" w:rsidRDefault="0044361A" w14:paraId="3CEFA754" w14:textId="77777777">
      <w:pPr>
        <w:rPr>
          <w:sz w:val="24"/>
          <w:szCs w:val="24"/>
        </w:rPr>
      </w:pPr>
    </w:p>
    <w:p w:rsidRPr="00D43965" w:rsidR="00CE2631" w:rsidP="00926539" w:rsidRDefault="00CE2631" w14:paraId="48C34AB5" w14:textId="77D68877">
      <w:pPr>
        <w:jc w:val="center"/>
        <w:rPr>
          <w:b/>
          <w:bCs/>
          <w:sz w:val="24"/>
          <w:szCs w:val="24"/>
        </w:rPr>
      </w:pPr>
      <w:r w:rsidRPr="00D43965">
        <w:rPr>
          <w:b/>
          <w:bCs/>
          <w:sz w:val="24"/>
          <w:szCs w:val="24"/>
        </w:rPr>
        <w:t xml:space="preserve">Table </w:t>
      </w:r>
      <w:r w:rsidR="000F3DE2">
        <w:rPr>
          <w:b/>
          <w:bCs/>
          <w:sz w:val="24"/>
          <w:szCs w:val="24"/>
        </w:rPr>
        <w:t>5</w:t>
      </w:r>
      <w:r w:rsidRPr="00D43965">
        <w:rPr>
          <w:b/>
          <w:bCs/>
          <w:sz w:val="24"/>
          <w:szCs w:val="24"/>
        </w:rPr>
        <w:t>: User Fee Comparison 201</w:t>
      </w:r>
      <w:r w:rsidRPr="00D43965" w:rsidR="00DD130F">
        <w:rPr>
          <w:b/>
          <w:bCs/>
          <w:sz w:val="24"/>
          <w:szCs w:val="24"/>
        </w:rPr>
        <w:t>9</w:t>
      </w:r>
      <w:r w:rsidRPr="00D43965">
        <w:rPr>
          <w:b/>
          <w:bCs/>
          <w:sz w:val="24"/>
          <w:szCs w:val="24"/>
        </w:rPr>
        <w:t xml:space="preserve"> to 20</w:t>
      </w:r>
      <w:r w:rsidRPr="00D43965" w:rsidR="00DD130F">
        <w:rPr>
          <w:b/>
          <w:bCs/>
          <w:sz w:val="24"/>
          <w:szCs w:val="24"/>
        </w:rPr>
        <w:t>20</w:t>
      </w:r>
    </w:p>
    <w:tbl>
      <w:tblPr>
        <w:tblpPr w:leftFromText="180" w:rightFromText="180" w:vertAnchor="text" w:horzAnchor="margin" w:tblpY="185"/>
        <w:tblW w:w="9468" w:type="dxa"/>
        <w:tblLayout w:type="fixed"/>
        <w:tblLook w:val="04A0" w:firstRow="1" w:lastRow="0" w:firstColumn="1" w:lastColumn="0" w:noHBand="0" w:noVBand="1"/>
      </w:tblPr>
      <w:tblGrid>
        <w:gridCol w:w="1368"/>
        <w:gridCol w:w="1417"/>
        <w:gridCol w:w="1463"/>
        <w:gridCol w:w="1260"/>
        <w:gridCol w:w="1350"/>
        <w:gridCol w:w="1080"/>
        <w:gridCol w:w="1530"/>
      </w:tblGrid>
      <w:tr w:rsidRPr="00D43965" w:rsidR="00CE2631" w:rsidTr="00872334" w14:paraId="75C24012" w14:textId="77777777">
        <w:trPr>
          <w:trHeight w:val="476"/>
        </w:trPr>
        <w:tc>
          <w:tcPr>
            <w:tcW w:w="1368" w:type="dxa"/>
            <w:tcBorders>
              <w:top w:val="single" w:color="auto" w:sz="4" w:space="0"/>
              <w:left w:val="single" w:color="auto" w:sz="4" w:space="0"/>
              <w:bottom w:val="single" w:color="auto" w:sz="4" w:space="0"/>
              <w:right w:val="nil"/>
            </w:tcBorders>
            <w:shd w:val="clear" w:color="auto" w:fill="F2F2F2" w:themeFill="background1" w:themeFillShade="F2"/>
            <w:vAlign w:val="bottom"/>
            <w:hideMark/>
          </w:tcPr>
          <w:p w:rsidRPr="00D43965" w:rsidR="00CE2631" w:rsidP="00CE2631" w:rsidRDefault="00CE2631" w14:paraId="4AC2803D" w14:textId="77777777">
            <w:pPr>
              <w:contextualSpacing/>
              <w:rPr>
                <w:sz w:val="24"/>
                <w:szCs w:val="24"/>
              </w:rPr>
            </w:pPr>
            <w:r w:rsidRPr="00D43965">
              <w:rPr>
                <w:sz w:val="24"/>
                <w:szCs w:val="24"/>
              </w:rPr>
              <w:t>Utility Class</w:t>
            </w:r>
          </w:p>
        </w:tc>
        <w:tc>
          <w:tcPr>
            <w:tcW w:w="1417"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bottom"/>
            <w:hideMark/>
          </w:tcPr>
          <w:p w:rsidRPr="00D43965" w:rsidR="00CE2631" w:rsidP="00CE2631" w:rsidRDefault="00CE2631" w14:paraId="22BE7BE7" w14:textId="0E1820C2">
            <w:pPr>
              <w:contextualSpacing/>
              <w:jc w:val="center"/>
              <w:rPr>
                <w:sz w:val="24"/>
                <w:szCs w:val="24"/>
              </w:rPr>
            </w:pPr>
            <w:r w:rsidRPr="00D43965">
              <w:rPr>
                <w:sz w:val="24"/>
                <w:szCs w:val="24"/>
              </w:rPr>
              <w:t>201</w:t>
            </w:r>
            <w:r w:rsidRPr="00D43965" w:rsidR="004F28C7">
              <w:rPr>
                <w:sz w:val="24"/>
                <w:szCs w:val="24"/>
              </w:rPr>
              <w:t>9</w:t>
            </w:r>
            <w:r w:rsidRPr="00D43965">
              <w:rPr>
                <w:sz w:val="24"/>
                <w:szCs w:val="24"/>
              </w:rPr>
              <w:t xml:space="preserve"> User Fees</w:t>
            </w:r>
          </w:p>
        </w:tc>
        <w:tc>
          <w:tcPr>
            <w:tcW w:w="1463" w:type="dxa"/>
            <w:tcBorders>
              <w:top w:val="single" w:color="auto" w:sz="4" w:space="0"/>
              <w:left w:val="nil"/>
              <w:bottom w:val="single" w:color="auto" w:sz="4" w:space="0"/>
              <w:right w:val="single" w:color="808080" w:themeColor="background1" w:themeShade="80" w:sz="4" w:space="0"/>
            </w:tcBorders>
            <w:shd w:val="clear" w:color="auto" w:fill="F2F2F2" w:themeFill="background1" w:themeFillShade="F2"/>
            <w:vAlign w:val="bottom"/>
            <w:hideMark/>
          </w:tcPr>
          <w:p w:rsidRPr="00D43965" w:rsidR="00CE2631" w:rsidP="00CE2631" w:rsidRDefault="00CE2631" w14:paraId="00A41B4C" w14:textId="2875E261">
            <w:pPr>
              <w:contextualSpacing/>
              <w:jc w:val="center"/>
              <w:rPr>
                <w:sz w:val="24"/>
                <w:szCs w:val="24"/>
              </w:rPr>
            </w:pPr>
            <w:r w:rsidRPr="00D43965">
              <w:rPr>
                <w:sz w:val="24"/>
                <w:szCs w:val="24"/>
              </w:rPr>
              <w:t>20</w:t>
            </w:r>
            <w:r w:rsidRPr="00D43965" w:rsidR="004F28C7">
              <w:rPr>
                <w:sz w:val="24"/>
                <w:szCs w:val="24"/>
              </w:rPr>
              <w:t>20</w:t>
            </w:r>
            <w:r w:rsidRPr="00D43965">
              <w:rPr>
                <w:sz w:val="24"/>
                <w:szCs w:val="24"/>
              </w:rPr>
              <w:t xml:space="preserve"> User Fees</w:t>
            </w:r>
          </w:p>
        </w:tc>
        <w:tc>
          <w:tcPr>
            <w:tcW w:w="1260" w:type="dxa"/>
            <w:tcBorders>
              <w:top w:val="single" w:color="auto" w:sz="4" w:space="0"/>
              <w:left w:val="single" w:color="808080" w:themeColor="background1" w:themeShade="80" w:sz="4" w:space="0"/>
              <w:bottom w:val="single" w:color="auto" w:sz="4" w:space="0"/>
              <w:right w:val="single" w:color="auto" w:sz="4" w:space="0"/>
            </w:tcBorders>
            <w:shd w:val="clear" w:color="auto" w:fill="F2F2F2" w:themeFill="background1" w:themeFillShade="F2"/>
            <w:vAlign w:val="bottom"/>
          </w:tcPr>
          <w:p w:rsidRPr="00D43965" w:rsidR="00CE2631" w:rsidP="00CE2631" w:rsidRDefault="00CE2631" w14:paraId="32B7E5F0" w14:textId="77777777">
            <w:pPr>
              <w:contextualSpacing/>
              <w:jc w:val="center"/>
              <w:rPr>
                <w:sz w:val="24"/>
                <w:szCs w:val="24"/>
              </w:rPr>
            </w:pPr>
            <w:r w:rsidRPr="00D43965">
              <w:rPr>
                <w:sz w:val="24"/>
                <w:szCs w:val="24"/>
              </w:rPr>
              <w:t>Base</w:t>
            </w:r>
          </w:p>
        </w:tc>
        <w:tc>
          <w:tcPr>
            <w:tcW w:w="135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bottom"/>
            <w:hideMark/>
          </w:tcPr>
          <w:p w:rsidRPr="00D43965" w:rsidR="00CE2631" w:rsidP="00CE2631" w:rsidRDefault="00CE2631" w14:paraId="53FCEBEC" w14:textId="77777777">
            <w:pPr>
              <w:contextualSpacing/>
              <w:jc w:val="center"/>
              <w:rPr>
                <w:sz w:val="24"/>
                <w:szCs w:val="24"/>
              </w:rPr>
            </w:pPr>
            <w:r w:rsidRPr="00D43965">
              <w:rPr>
                <w:sz w:val="24"/>
                <w:szCs w:val="24"/>
              </w:rPr>
              <w:t>Difference</w:t>
            </w:r>
          </w:p>
        </w:tc>
        <w:tc>
          <w:tcPr>
            <w:tcW w:w="1080" w:type="dxa"/>
            <w:tcBorders>
              <w:top w:val="single" w:color="auto" w:sz="4" w:space="0"/>
              <w:left w:val="single" w:color="808080" w:themeColor="background1" w:themeShade="80" w:sz="4" w:space="0"/>
              <w:bottom w:val="single" w:color="auto" w:sz="4" w:space="0"/>
              <w:right w:val="single" w:color="auto" w:sz="4" w:space="0"/>
            </w:tcBorders>
            <w:shd w:val="clear" w:color="auto" w:fill="F2F2F2" w:themeFill="background1" w:themeFillShade="F2"/>
            <w:vAlign w:val="bottom"/>
            <w:hideMark/>
          </w:tcPr>
          <w:p w:rsidRPr="00D43965" w:rsidR="00CE2631" w:rsidP="00CE2631" w:rsidRDefault="00CE2631" w14:paraId="28F3A9DF" w14:textId="77777777">
            <w:pPr>
              <w:contextualSpacing/>
              <w:jc w:val="center"/>
              <w:rPr>
                <w:sz w:val="24"/>
                <w:szCs w:val="24"/>
              </w:rPr>
            </w:pPr>
            <w:r w:rsidRPr="00D43965">
              <w:rPr>
                <w:sz w:val="24"/>
                <w:szCs w:val="24"/>
              </w:rPr>
              <w:t>%            Change</w:t>
            </w:r>
          </w:p>
        </w:tc>
        <w:tc>
          <w:tcPr>
            <w:tcW w:w="1530" w:type="dxa"/>
            <w:tcBorders>
              <w:top w:val="single" w:color="auto" w:sz="4" w:space="0"/>
              <w:left w:val="nil"/>
              <w:bottom w:val="single" w:color="auto" w:sz="4" w:space="0"/>
              <w:right w:val="single" w:color="auto" w:sz="4" w:space="0"/>
            </w:tcBorders>
            <w:shd w:val="clear" w:color="auto" w:fill="F2F2F2" w:themeFill="background1" w:themeFillShade="F2"/>
            <w:vAlign w:val="bottom"/>
          </w:tcPr>
          <w:p w:rsidRPr="00D43965" w:rsidR="00CE2631" w:rsidP="00CE2631" w:rsidRDefault="00CE2631" w14:paraId="26C885D0" w14:textId="77777777">
            <w:pPr>
              <w:contextualSpacing/>
              <w:jc w:val="center"/>
              <w:rPr>
                <w:sz w:val="24"/>
                <w:szCs w:val="24"/>
              </w:rPr>
            </w:pPr>
            <w:r w:rsidRPr="00D43965">
              <w:rPr>
                <w:sz w:val="24"/>
                <w:szCs w:val="24"/>
              </w:rPr>
              <w:t>$    Change</w:t>
            </w:r>
          </w:p>
        </w:tc>
      </w:tr>
      <w:tr w:rsidRPr="00D43965" w:rsidR="00CE2631" w:rsidTr="00872334" w14:paraId="1CD58373" w14:textId="77777777">
        <w:trPr>
          <w:trHeight w:val="612" w:hRule="exact"/>
        </w:trPr>
        <w:tc>
          <w:tcPr>
            <w:tcW w:w="1368" w:type="dxa"/>
            <w:tcBorders>
              <w:top w:val="single" w:color="auto" w:sz="4" w:space="0"/>
              <w:left w:val="single" w:color="D9D9D9" w:sz="4" w:space="0"/>
              <w:bottom w:val="single" w:color="D9D9D9" w:sz="4" w:space="0"/>
              <w:right w:val="single" w:color="D9D9D9" w:sz="4" w:space="0"/>
            </w:tcBorders>
            <w:shd w:val="clear" w:color="auto" w:fill="auto"/>
            <w:vAlign w:val="bottom"/>
            <w:hideMark/>
          </w:tcPr>
          <w:p w:rsidRPr="00D43965" w:rsidR="00CE2631" w:rsidP="00CE2631" w:rsidRDefault="00CE2631" w14:paraId="3820E5A1" w14:textId="77777777">
            <w:pPr>
              <w:contextualSpacing/>
              <w:rPr>
                <w:sz w:val="24"/>
                <w:szCs w:val="24"/>
              </w:rPr>
            </w:pPr>
            <w:r w:rsidRPr="00D43965">
              <w:rPr>
                <w:sz w:val="24"/>
                <w:szCs w:val="24"/>
              </w:rPr>
              <w:t>Passenger Carriers</w:t>
            </w:r>
          </w:p>
        </w:tc>
        <w:tc>
          <w:tcPr>
            <w:tcW w:w="1417" w:type="dxa"/>
            <w:tcBorders>
              <w:top w:val="single" w:color="auto" w:sz="4" w:space="0"/>
              <w:left w:val="nil"/>
              <w:bottom w:val="single" w:color="D9D9D9" w:sz="4" w:space="0"/>
              <w:right w:val="single" w:color="D9D9D9" w:sz="4" w:space="0"/>
            </w:tcBorders>
            <w:shd w:val="clear" w:color="auto" w:fill="auto"/>
            <w:noWrap/>
            <w:vAlign w:val="bottom"/>
            <w:hideMark/>
          </w:tcPr>
          <w:p w:rsidRPr="00D43965" w:rsidR="00CE2631" w:rsidP="00CE2631" w:rsidRDefault="004F28C7" w14:paraId="61162B53" w14:textId="19DB9334">
            <w:pPr>
              <w:contextualSpacing/>
              <w:jc w:val="right"/>
              <w:rPr>
                <w:sz w:val="24"/>
                <w:szCs w:val="24"/>
              </w:rPr>
            </w:pPr>
            <w:r w:rsidRPr="00846AB8">
              <w:rPr>
                <w:sz w:val="24"/>
                <w:szCs w:val="24"/>
              </w:rPr>
              <w:t>0.00</w:t>
            </w:r>
          </w:p>
        </w:tc>
        <w:tc>
          <w:tcPr>
            <w:tcW w:w="1463" w:type="dxa"/>
            <w:tcBorders>
              <w:top w:val="single" w:color="auto" w:sz="4" w:space="0"/>
              <w:left w:val="nil"/>
              <w:bottom w:val="single" w:color="D9D9D9" w:sz="4" w:space="0"/>
              <w:right w:val="single" w:color="BFBFBF" w:themeColor="background1" w:themeShade="BF" w:sz="4" w:space="0"/>
            </w:tcBorders>
            <w:shd w:val="clear" w:color="auto" w:fill="auto"/>
            <w:noWrap/>
            <w:vAlign w:val="bottom"/>
            <w:hideMark/>
          </w:tcPr>
          <w:p w:rsidRPr="00D43965" w:rsidR="00CE2631" w:rsidP="00CE2631" w:rsidRDefault="00CE2631" w14:paraId="2A890730" w14:textId="77777777">
            <w:pPr>
              <w:contextualSpacing/>
              <w:jc w:val="right"/>
              <w:rPr>
                <w:sz w:val="24"/>
                <w:szCs w:val="24"/>
              </w:rPr>
            </w:pPr>
            <w:r w:rsidRPr="00D43965">
              <w:rPr>
                <w:sz w:val="24"/>
                <w:szCs w:val="24"/>
              </w:rPr>
              <w:t>0.00</w:t>
            </w:r>
          </w:p>
        </w:tc>
        <w:tc>
          <w:tcPr>
            <w:tcW w:w="1260" w:type="dxa"/>
            <w:tcBorders>
              <w:top w:val="single" w:color="auto"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bottom"/>
          </w:tcPr>
          <w:p w:rsidRPr="00D43965" w:rsidR="00CE2631" w:rsidP="00CE2631" w:rsidRDefault="00CE2631" w14:paraId="65E595D3" w14:textId="77777777">
            <w:pPr>
              <w:contextualSpacing/>
              <w:jc w:val="right"/>
              <w:rPr>
                <w:sz w:val="24"/>
                <w:szCs w:val="24"/>
              </w:rPr>
            </w:pPr>
            <w:r w:rsidRPr="00D43965">
              <w:rPr>
                <w:sz w:val="24"/>
                <w:szCs w:val="24"/>
              </w:rPr>
              <w:t xml:space="preserve">x Revenue </w:t>
            </w:r>
          </w:p>
        </w:tc>
        <w:tc>
          <w:tcPr>
            <w:tcW w:w="1350" w:type="dxa"/>
            <w:tcBorders>
              <w:top w:val="single" w:color="auto"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bottom"/>
            <w:hideMark/>
          </w:tcPr>
          <w:p w:rsidRPr="00D43965" w:rsidR="00CE2631" w:rsidP="00CE2631" w:rsidRDefault="002A62D3" w14:paraId="33B1B43E" w14:textId="0788F121">
            <w:pPr>
              <w:contextualSpacing/>
              <w:jc w:val="right"/>
              <w:rPr>
                <w:sz w:val="24"/>
                <w:szCs w:val="24"/>
              </w:rPr>
            </w:pPr>
            <w:r w:rsidRPr="00D43965">
              <w:rPr>
                <w:sz w:val="24"/>
                <w:szCs w:val="24"/>
              </w:rPr>
              <w:t>None</w:t>
            </w:r>
          </w:p>
        </w:tc>
        <w:tc>
          <w:tcPr>
            <w:tcW w:w="1080" w:type="dxa"/>
            <w:tcBorders>
              <w:top w:val="single" w:color="auto" w:sz="4" w:space="0"/>
              <w:left w:val="single" w:color="BFBFBF" w:themeColor="background1" w:themeShade="BF" w:sz="4" w:space="0"/>
              <w:bottom w:val="single" w:color="D9D9D9" w:sz="4" w:space="0"/>
              <w:right w:val="single" w:color="D9D9D9" w:sz="4" w:space="0"/>
            </w:tcBorders>
            <w:shd w:val="clear" w:color="auto" w:fill="auto"/>
            <w:noWrap/>
            <w:vAlign w:val="bottom"/>
            <w:hideMark/>
          </w:tcPr>
          <w:p w:rsidRPr="00D43965" w:rsidR="00CE2631" w:rsidP="00CE2631" w:rsidRDefault="002A62D3" w14:paraId="435C7A47" w14:textId="122E8A9A">
            <w:pPr>
              <w:contextualSpacing/>
              <w:jc w:val="right"/>
              <w:rPr>
                <w:sz w:val="24"/>
                <w:szCs w:val="24"/>
              </w:rPr>
            </w:pPr>
            <w:r w:rsidRPr="00D43965">
              <w:rPr>
                <w:sz w:val="24"/>
                <w:szCs w:val="24"/>
              </w:rPr>
              <w:t>None</w:t>
            </w:r>
          </w:p>
        </w:tc>
        <w:tc>
          <w:tcPr>
            <w:tcW w:w="1530" w:type="dxa"/>
            <w:tcBorders>
              <w:top w:val="single" w:color="auto" w:sz="4" w:space="0"/>
              <w:left w:val="nil"/>
              <w:bottom w:val="single" w:color="D9D9D9" w:sz="4" w:space="0"/>
              <w:right w:val="single" w:color="D9D9D9" w:sz="4" w:space="0"/>
            </w:tcBorders>
            <w:vAlign w:val="bottom"/>
          </w:tcPr>
          <w:p w:rsidRPr="00D43965" w:rsidR="00CE2631" w:rsidP="00CE2631" w:rsidRDefault="002A62D3" w14:paraId="4DCBC1C5" w14:textId="3A1D199A">
            <w:pPr>
              <w:contextualSpacing/>
              <w:jc w:val="right"/>
              <w:rPr>
                <w:sz w:val="24"/>
                <w:szCs w:val="24"/>
              </w:rPr>
            </w:pPr>
            <w:r w:rsidRPr="00D43965">
              <w:rPr>
                <w:sz w:val="24"/>
                <w:szCs w:val="24"/>
              </w:rPr>
              <w:t>-</w:t>
            </w:r>
          </w:p>
        </w:tc>
      </w:tr>
      <w:tr w:rsidRPr="00D43965" w:rsidR="00CE2631" w:rsidTr="00872334" w14:paraId="6558A559" w14:textId="77777777">
        <w:trPr>
          <w:trHeight w:val="288" w:hRule="exact"/>
        </w:trPr>
        <w:tc>
          <w:tcPr>
            <w:tcW w:w="1368" w:type="dxa"/>
            <w:tcBorders>
              <w:top w:val="nil"/>
              <w:left w:val="single" w:color="D9D9D9" w:sz="4" w:space="0"/>
              <w:bottom w:val="single" w:color="D9D9D9" w:sz="4" w:space="0"/>
              <w:right w:val="single" w:color="D9D9D9" w:sz="4" w:space="0"/>
            </w:tcBorders>
            <w:shd w:val="clear" w:color="auto" w:fill="auto"/>
            <w:vAlign w:val="bottom"/>
          </w:tcPr>
          <w:p w:rsidRPr="00D43965" w:rsidR="00CE2631" w:rsidP="00CE2631" w:rsidRDefault="00CE2631" w14:paraId="4620A74C" w14:textId="77777777">
            <w:pPr>
              <w:contextualSpacing/>
              <w:rPr>
                <w:sz w:val="24"/>
                <w:szCs w:val="24"/>
              </w:rPr>
            </w:pPr>
            <w:r w:rsidRPr="00D43965">
              <w:rPr>
                <w:sz w:val="24"/>
                <w:szCs w:val="24"/>
              </w:rPr>
              <w:t>Vessel</w:t>
            </w:r>
          </w:p>
        </w:tc>
        <w:tc>
          <w:tcPr>
            <w:tcW w:w="1417" w:type="dxa"/>
            <w:tcBorders>
              <w:top w:val="nil"/>
              <w:left w:val="nil"/>
              <w:bottom w:val="single" w:color="D9D9D9" w:sz="4" w:space="0"/>
              <w:right w:val="single" w:color="D9D9D9" w:sz="4" w:space="0"/>
            </w:tcBorders>
            <w:shd w:val="clear" w:color="auto" w:fill="auto"/>
            <w:noWrap/>
            <w:vAlign w:val="bottom"/>
          </w:tcPr>
          <w:p w:rsidRPr="00D43965" w:rsidR="00CE2631" w:rsidP="00CE2631" w:rsidRDefault="00CE2631" w14:paraId="6DBEE440" w14:textId="422C8EC3">
            <w:pPr>
              <w:contextualSpacing/>
              <w:jc w:val="right"/>
              <w:rPr>
                <w:sz w:val="24"/>
                <w:szCs w:val="24"/>
              </w:rPr>
            </w:pPr>
            <w:r w:rsidRPr="00D43965">
              <w:rPr>
                <w:sz w:val="24"/>
                <w:szCs w:val="24"/>
              </w:rPr>
              <w:t>0.003</w:t>
            </w:r>
            <w:r w:rsidRPr="00D43965" w:rsidR="004F28C7">
              <w:rPr>
                <w:sz w:val="24"/>
                <w:szCs w:val="24"/>
              </w:rPr>
              <w:t>3</w:t>
            </w:r>
          </w:p>
        </w:tc>
        <w:tc>
          <w:tcPr>
            <w:tcW w:w="1463" w:type="dxa"/>
            <w:tcBorders>
              <w:top w:val="single" w:color="D9D9D9" w:sz="4" w:space="0"/>
              <w:left w:val="nil"/>
              <w:bottom w:val="single" w:color="D9D9D9" w:sz="4" w:space="0"/>
              <w:right w:val="single" w:color="BFBFBF" w:themeColor="background1" w:themeShade="BF" w:sz="4" w:space="0"/>
            </w:tcBorders>
            <w:shd w:val="clear" w:color="auto" w:fill="auto"/>
            <w:noWrap/>
            <w:vAlign w:val="bottom"/>
          </w:tcPr>
          <w:p w:rsidRPr="00D43965" w:rsidR="00CE2631" w:rsidP="00CE2631" w:rsidRDefault="00CE2631" w14:paraId="4F475CB1" w14:textId="41E815B5">
            <w:pPr>
              <w:contextualSpacing/>
              <w:jc w:val="right"/>
              <w:rPr>
                <w:sz w:val="24"/>
                <w:szCs w:val="24"/>
              </w:rPr>
            </w:pPr>
            <w:r w:rsidRPr="00D43965">
              <w:rPr>
                <w:sz w:val="24"/>
                <w:szCs w:val="24"/>
              </w:rPr>
              <w:t>0.00</w:t>
            </w:r>
            <w:r w:rsidRPr="00D43965" w:rsidR="000111B1">
              <w:rPr>
                <w:sz w:val="24"/>
                <w:szCs w:val="24"/>
              </w:rPr>
              <w:t>33</w:t>
            </w:r>
          </w:p>
        </w:tc>
        <w:tc>
          <w:tcPr>
            <w:tcW w:w="12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bottom"/>
          </w:tcPr>
          <w:p w:rsidRPr="00D43965" w:rsidR="00CE2631" w:rsidP="00CE2631" w:rsidRDefault="00CE2631" w14:paraId="7FBBCC70" w14:textId="77777777">
            <w:pPr>
              <w:contextualSpacing/>
              <w:jc w:val="right"/>
              <w:rPr>
                <w:sz w:val="24"/>
                <w:szCs w:val="24"/>
              </w:rPr>
            </w:pPr>
            <w:r w:rsidRPr="00D43965">
              <w:rPr>
                <w:sz w:val="24"/>
                <w:szCs w:val="24"/>
              </w:rPr>
              <w:t>x Revenue</w:t>
            </w:r>
          </w:p>
        </w:tc>
        <w:tc>
          <w:tcPr>
            <w:tcW w:w="13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bottom"/>
          </w:tcPr>
          <w:p w:rsidRPr="00D43965" w:rsidR="00CE2631" w:rsidP="00CE2631" w:rsidRDefault="00582C6F" w14:paraId="629ED23B" w14:textId="62C32D4C">
            <w:pPr>
              <w:contextualSpacing/>
              <w:jc w:val="right"/>
              <w:rPr>
                <w:sz w:val="24"/>
                <w:szCs w:val="24"/>
              </w:rPr>
            </w:pPr>
            <w:r w:rsidRPr="00D43965">
              <w:rPr>
                <w:sz w:val="24"/>
                <w:szCs w:val="24"/>
              </w:rPr>
              <w:t>None</w:t>
            </w:r>
          </w:p>
        </w:tc>
        <w:tc>
          <w:tcPr>
            <w:tcW w:w="1080" w:type="dxa"/>
            <w:tcBorders>
              <w:top w:val="nil"/>
              <w:left w:val="single" w:color="BFBFBF" w:themeColor="background1" w:themeShade="BF" w:sz="4" w:space="0"/>
              <w:bottom w:val="single" w:color="D9D9D9" w:sz="4" w:space="0"/>
              <w:right w:val="single" w:color="D9D9D9" w:sz="4" w:space="0"/>
            </w:tcBorders>
            <w:shd w:val="clear" w:color="auto" w:fill="auto"/>
            <w:noWrap/>
            <w:vAlign w:val="bottom"/>
          </w:tcPr>
          <w:p w:rsidRPr="00D43965" w:rsidR="00CE2631" w:rsidP="00CE2631" w:rsidRDefault="00582C6F" w14:paraId="01F410DB" w14:textId="4AB44083">
            <w:pPr>
              <w:contextualSpacing/>
              <w:jc w:val="right"/>
              <w:rPr>
                <w:sz w:val="24"/>
                <w:szCs w:val="24"/>
              </w:rPr>
            </w:pPr>
            <w:r w:rsidRPr="00D43965">
              <w:rPr>
                <w:sz w:val="24"/>
                <w:szCs w:val="24"/>
              </w:rPr>
              <w:t>None</w:t>
            </w:r>
          </w:p>
        </w:tc>
        <w:tc>
          <w:tcPr>
            <w:tcW w:w="1530" w:type="dxa"/>
            <w:tcBorders>
              <w:top w:val="nil"/>
              <w:left w:val="nil"/>
              <w:bottom w:val="single" w:color="D9D9D9" w:sz="4" w:space="0"/>
              <w:right w:val="single" w:color="D9D9D9" w:sz="4" w:space="0"/>
            </w:tcBorders>
            <w:vAlign w:val="bottom"/>
          </w:tcPr>
          <w:p w:rsidRPr="00D43965" w:rsidR="00CE2631" w:rsidP="00CE2631" w:rsidRDefault="00582C6F" w14:paraId="0B3758DC" w14:textId="5C91F33D">
            <w:pPr>
              <w:contextualSpacing/>
              <w:jc w:val="right"/>
              <w:rPr>
                <w:sz w:val="24"/>
                <w:szCs w:val="24"/>
              </w:rPr>
            </w:pPr>
            <w:r w:rsidRPr="00D43965">
              <w:rPr>
                <w:sz w:val="24"/>
                <w:szCs w:val="24"/>
              </w:rPr>
              <w:t>-</w:t>
            </w:r>
          </w:p>
        </w:tc>
      </w:tr>
      <w:tr w:rsidRPr="00D43965" w:rsidR="00CE2631" w:rsidTr="00872334" w14:paraId="39706768" w14:textId="77777777">
        <w:trPr>
          <w:trHeight w:val="612" w:hRule="exact"/>
        </w:trPr>
        <w:tc>
          <w:tcPr>
            <w:tcW w:w="1368" w:type="dxa"/>
            <w:tcBorders>
              <w:top w:val="nil"/>
              <w:left w:val="single" w:color="D9D9D9" w:sz="4" w:space="0"/>
              <w:bottom w:val="single" w:color="D9D9D9" w:sz="4" w:space="0"/>
              <w:right w:val="single" w:color="D9D9D9" w:sz="4" w:space="0"/>
            </w:tcBorders>
            <w:shd w:val="clear" w:color="auto" w:fill="auto"/>
            <w:vAlign w:val="bottom"/>
            <w:hideMark/>
          </w:tcPr>
          <w:p w:rsidRPr="00D43965" w:rsidR="00CE2631" w:rsidP="00CE2631" w:rsidRDefault="00CE2631" w14:paraId="14CC255C" w14:textId="77777777">
            <w:pPr>
              <w:contextualSpacing/>
              <w:rPr>
                <w:sz w:val="24"/>
                <w:szCs w:val="24"/>
              </w:rPr>
            </w:pPr>
            <w:r w:rsidRPr="00D43965">
              <w:rPr>
                <w:sz w:val="24"/>
                <w:szCs w:val="24"/>
              </w:rPr>
              <w:t>Freight-Class I</w:t>
            </w:r>
          </w:p>
        </w:tc>
        <w:tc>
          <w:tcPr>
            <w:tcW w:w="1417" w:type="dxa"/>
            <w:tcBorders>
              <w:top w:val="nil"/>
              <w:left w:val="nil"/>
              <w:bottom w:val="single" w:color="D9D9D9" w:sz="4" w:space="0"/>
              <w:right w:val="single" w:color="D9D9D9" w:sz="4" w:space="0"/>
            </w:tcBorders>
            <w:shd w:val="clear" w:color="auto" w:fill="auto"/>
            <w:noWrap/>
            <w:vAlign w:val="bottom"/>
            <w:hideMark/>
          </w:tcPr>
          <w:p w:rsidRPr="00D43965" w:rsidR="00CE2631" w:rsidP="00CE2631" w:rsidRDefault="00CE2631" w14:paraId="76C20366" w14:textId="655EC1ED">
            <w:pPr>
              <w:contextualSpacing/>
              <w:jc w:val="right"/>
              <w:rPr>
                <w:sz w:val="24"/>
                <w:szCs w:val="24"/>
              </w:rPr>
            </w:pPr>
            <w:r w:rsidRPr="00D43965">
              <w:rPr>
                <w:sz w:val="24"/>
                <w:szCs w:val="24"/>
              </w:rPr>
              <w:t>$</w:t>
            </w:r>
            <w:r w:rsidRPr="00D43965" w:rsidR="001B4EF3">
              <w:rPr>
                <w:sz w:val="24"/>
                <w:szCs w:val="24"/>
              </w:rPr>
              <w:t>10,283,000</w:t>
            </w:r>
          </w:p>
        </w:tc>
        <w:tc>
          <w:tcPr>
            <w:tcW w:w="1463" w:type="dxa"/>
            <w:tcBorders>
              <w:top w:val="single" w:color="D9D9D9" w:sz="4" w:space="0"/>
              <w:left w:val="nil"/>
              <w:bottom w:val="single" w:color="D9D9D9" w:sz="4" w:space="0"/>
              <w:right w:val="single" w:color="BFBFBF" w:themeColor="background1" w:themeShade="BF" w:sz="4" w:space="0"/>
            </w:tcBorders>
            <w:shd w:val="clear" w:color="auto" w:fill="auto"/>
            <w:noWrap/>
            <w:vAlign w:val="bottom"/>
            <w:hideMark/>
          </w:tcPr>
          <w:p w:rsidRPr="00D43965" w:rsidR="00CE2631" w:rsidP="00CE2631" w:rsidRDefault="00CE2631" w14:paraId="0C095D1D" w14:textId="314BAC9C">
            <w:pPr>
              <w:contextualSpacing/>
              <w:jc w:val="right"/>
              <w:rPr>
                <w:sz w:val="24"/>
                <w:szCs w:val="24"/>
              </w:rPr>
            </w:pPr>
            <w:r w:rsidRPr="00D43965">
              <w:rPr>
                <w:sz w:val="24"/>
                <w:szCs w:val="24"/>
              </w:rPr>
              <w:t>$1</w:t>
            </w:r>
            <w:r w:rsidRPr="00D43965" w:rsidR="001B4EF3">
              <w:rPr>
                <w:sz w:val="24"/>
                <w:szCs w:val="24"/>
              </w:rPr>
              <w:t>1,696,000</w:t>
            </w:r>
          </w:p>
        </w:tc>
        <w:tc>
          <w:tcPr>
            <w:tcW w:w="12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bottom"/>
          </w:tcPr>
          <w:p w:rsidRPr="00D43965" w:rsidR="00CE2631" w:rsidP="00CE2631" w:rsidRDefault="00CE2631" w14:paraId="5E45DB27" w14:textId="77777777">
            <w:pPr>
              <w:contextualSpacing/>
              <w:jc w:val="right"/>
              <w:rPr>
                <w:sz w:val="24"/>
                <w:szCs w:val="24"/>
              </w:rPr>
            </w:pPr>
            <w:r w:rsidRPr="00D43965">
              <w:rPr>
                <w:sz w:val="24"/>
                <w:szCs w:val="24"/>
              </w:rPr>
              <w:t>Flat fee</w:t>
            </w:r>
          </w:p>
        </w:tc>
        <w:tc>
          <w:tcPr>
            <w:tcW w:w="13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bottom"/>
            <w:hideMark/>
          </w:tcPr>
          <w:p w:rsidRPr="00D43965" w:rsidR="00CE2631" w:rsidP="00CE2631" w:rsidRDefault="00CE2631" w14:paraId="38F55B28" w14:textId="0012321B">
            <w:pPr>
              <w:contextualSpacing/>
              <w:jc w:val="right"/>
              <w:rPr>
                <w:sz w:val="24"/>
                <w:szCs w:val="24"/>
              </w:rPr>
            </w:pPr>
            <w:r w:rsidRPr="00D43965">
              <w:rPr>
                <w:sz w:val="24"/>
                <w:szCs w:val="24"/>
              </w:rPr>
              <w:t>$</w:t>
            </w:r>
            <w:r w:rsidRPr="00D43965" w:rsidR="00EE6C41">
              <w:rPr>
                <w:sz w:val="24"/>
                <w:szCs w:val="24"/>
              </w:rPr>
              <w:t>1,413</w:t>
            </w:r>
            <w:r w:rsidRPr="00D43965">
              <w:rPr>
                <w:sz w:val="24"/>
                <w:szCs w:val="24"/>
              </w:rPr>
              <w:t>,000</w:t>
            </w:r>
          </w:p>
        </w:tc>
        <w:tc>
          <w:tcPr>
            <w:tcW w:w="1080" w:type="dxa"/>
            <w:tcBorders>
              <w:top w:val="nil"/>
              <w:left w:val="single" w:color="BFBFBF" w:themeColor="background1" w:themeShade="BF" w:sz="4" w:space="0"/>
              <w:bottom w:val="single" w:color="D9D9D9" w:sz="4" w:space="0"/>
              <w:right w:val="single" w:color="D9D9D9" w:sz="4" w:space="0"/>
            </w:tcBorders>
            <w:shd w:val="clear" w:color="auto" w:fill="auto"/>
            <w:noWrap/>
            <w:vAlign w:val="bottom"/>
            <w:hideMark/>
          </w:tcPr>
          <w:p w:rsidRPr="00D43965" w:rsidR="00CE2631" w:rsidP="00CE2631" w:rsidRDefault="00EE6C41" w14:paraId="37B6EE44" w14:textId="752B134D">
            <w:pPr>
              <w:contextualSpacing/>
              <w:jc w:val="right"/>
              <w:rPr>
                <w:sz w:val="24"/>
                <w:szCs w:val="24"/>
              </w:rPr>
            </w:pPr>
            <w:r w:rsidRPr="00D43965">
              <w:rPr>
                <w:sz w:val="24"/>
                <w:szCs w:val="24"/>
              </w:rPr>
              <w:t>13.7</w:t>
            </w:r>
            <w:r w:rsidRPr="00D43965" w:rsidR="00CE2631">
              <w:rPr>
                <w:sz w:val="24"/>
                <w:szCs w:val="24"/>
              </w:rPr>
              <w:t>%</w:t>
            </w:r>
          </w:p>
        </w:tc>
        <w:tc>
          <w:tcPr>
            <w:tcW w:w="1530" w:type="dxa"/>
            <w:tcBorders>
              <w:top w:val="nil"/>
              <w:left w:val="nil"/>
              <w:bottom w:val="single" w:color="D9D9D9" w:sz="4" w:space="0"/>
              <w:right w:val="single" w:color="D9D9D9" w:sz="4" w:space="0"/>
            </w:tcBorders>
            <w:vAlign w:val="bottom"/>
          </w:tcPr>
          <w:p w:rsidRPr="00D43965" w:rsidR="00CE2631" w:rsidP="00CE2631" w:rsidRDefault="00582C6F" w14:paraId="7FDF6D48" w14:textId="6DC4F0F4">
            <w:pPr>
              <w:contextualSpacing/>
              <w:jc w:val="right"/>
              <w:rPr>
                <w:sz w:val="24"/>
                <w:szCs w:val="24"/>
              </w:rPr>
            </w:pPr>
            <w:r w:rsidRPr="00D43965">
              <w:rPr>
                <w:sz w:val="24"/>
                <w:szCs w:val="24"/>
              </w:rPr>
              <w:t>$</w:t>
            </w:r>
            <w:r w:rsidRPr="00D43965" w:rsidR="002A62D3">
              <w:rPr>
                <w:sz w:val="24"/>
                <w:szCs w:val="24"/>
              </w:rPr>
              <w:t>1,413,000</w:t>
            </w:r>
          </w:p>
        </w:tc>
      </w:tr>
      <w:tr w:rsidRPr="00D43965" w:rsidR="00CE2631" w:rsidTr="00872334" w14:paraId="7F330749" w14:textId="77777777">
        <w:trPr>
          <w:trHeight w:val="900" w:hRule="exact"/>
        </w:trPr>
        <w:tc>
          <w:tcPr>
            <w:tcW w:w="1368" w:type="dxa"/>
            <w:tcBorders>
              <w:top w:val="nil"/>
              <w:left w:val="single" w:color="D9D9D9" w:sz="4" w:space="0"/>
              <w:bottom w:val="single" w:color="D9D9D9" w:sz="4" w:space="0"/>
              <w:right w:val="single" w:color="D9D9D9" w:sz="4" w:space="0"/>
            </w:tcBorders>
            <w:shd w:val="clear" w:color="auto" w:fill="auto"/>
            <w:vAlign w:val="bottom"/>
          </w:tcPr>
          <w:p w:rsidRPr="00D43965" w:rsidR="00CE2631" w:rsidP="00CE2631" w:rsidRDefault="00CE2631" w14:paraId="283BCB30" w14:textId="77777777">
            <w:pPr>
              <w:contextualSpacing/>
              <w:rPr>
                <w:sz w:val="24"/>
                <w:szCs w:val="24"/>
              </w:rPr>
            </w:pPr>
            <w:r w:rsidRPr="00D43965">
              <w:rPr>
                <w:sz w:val="24"/>
                <w:szCs w:val="24"/>
              </w:rPr>
              <w:t>Freight- Class II &amp; III</w:t>
            </w:r>
          </w:p>
        </w:tc>
        <w:tc>
          <w:tcPr>
            <w:tcW w:w="1417" w:type="dxa"/>
            <w:tcBorders>
              <w:top w:val="nil"/>
              <w:left w:val="nil"/>
              <w:bottom w:val="single" w:color="D9D9D9" w:sz="4" w:space="0"/>
              <w:right w:val="single" w:color="D9D9D9" w:sz="4" w:space="0"/>
            </w:tcBorders>
            <w:shd w:val="clear" w:color="auto" w:fill="auto"/>
            <w:noWrap/>
            <w:vAlign w:val="bottom"/>
          </w:tcPr>
          <w:p w:rsidRPr="00D43965" w:rsidR="00CE2631" w:rsidP="00CE2631" w:rsidRDefault="00CE2631" w14:paraId="18EEB214" w14:textId="77777777">
            <w:pPr>
              <w:contextualSpacing/>
              <w:jc w:val="right"/>
              <w:rPr>
                <w:sz w:val="24"/>
                <w:szCs w:val="24"/>
              </w:rPr>
            </w:pPr>
            <w:r w:rsidRPr="00D43965">
              <w:rPr>
                <w:sz w:val="24"/>
                <w:szCs w:val="24"/>
              </w:rPr>
              <w:t>0.0027 or $500 minimum</w:t>
            </w:r>
          </w:p>
        </w:tc>
        <w:tc>
          <w:tcPr>
            <w:tcW w:w="1463" w:type="dxa"/>
            <w:tcBorders>
              <w:top w:val="single" w:color="D9D9D9" w:sz="4" w:space="0"/>
              <w:left w:val="nil"/>
              <w:bottom w:val="single" w:color="BFBFBF" w:themeColor="background1" w:themeShade="BF" w:sz="4" w:space="0"/>
              <w:right w:val="single" w:color="BFBFBF" w:themeColor="background1" w:themeShade="BF" w:sz="4" w:space="0"/>
            </w:tcBorders>
            <w:shd w:val="clear" w:color="auto" w:fill="auto"/>
            <w:noWrap/>
            <w:vAlign w:val="bottom"/>
          </w:tcPr>
          <w:p w:rsidRPr="00D43965" w:rsidR="00CE2631" w:rsidP="00CE2631" w:rsidRDefault="00CE2631" w14:paraId="1832613D" w14:textId="77777777">
            <w:pPr>
              <w:contextualSpacing/>
              <w:jc w:val="right"/>
              <w:rPr>
                <w:sz w:val="24"/>
                <w:szCs w:val="24"/>
              </w:rPr>
            </w:pPr>
            <w:r w:rsidRPr="00D43965">
              <w:rPr>
                <w:sz w:val="24"/>
                <w:szCs w:val="24"/>
              </w:rPr>
              <w:t>0.0027 or $500 minimum</w:t>
            </w:r>
          </w:p>
        </w:tc>
        <w:tc>
          <w:tcPr>
            <w:tcW w:w="12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bottom"/>
          </w:tcPr>
          <w:p w:rsidRPr="00D43965" w:rsidR="00CE2631" w:rsidP="00CE2631" w:rsidRDefault="00CE2631" w14:paraId="5FC92EEF" w14:textId="77777777">
            <w:pPr>
              <w:contextualSpacing/>
              <w:jc w:val="right"/>
              <w:rPr>
                <w:sz w:val="24"/>
                <w:szCs w:val="24"/>
              </w:rPr>
            </w:pPr>
            <w:r w:rsidRPr="00D43965">
              <w:rPr>
                <w:sz w:val="24"/>
                <w:szCs w:val="24"/>
              </w:rPr>
              <w:t>x Revenue</w:t>
            </w:r>
          </w:p>
        </w:tc>
        <w:tc>
          <w:tcPr>
            <w:tcW w:w="13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bottom"/>
          </w:tcPr>
          <w:p w:rsidRPr="00D43965" w:rsidR="00CE2631" w:rsidP="00CE2631" w:rsidRDefault="00CE2631" w14:paraId="441A757E" w14:textId="77777777">
            <w:pPr>
              <w:contextualSpacing/>
              <w:jc w:val="right"/>
              <w:rPr>
                <w:sz w:val="24"/>
                <w:szCs w:val="24"/>
              </w:rPr>
            </w:pPr>
            <w:r w:rsidRPr="00D43965">
              <w:rPr>
                <w:sz w:val="24"/>
                <w:szCs w:val="24"/>
              </w:rPr>
              <w:t>None</w:t>
            </w:r>
          </w:p>
        </w:tc>
        <w:tc>
          <w:tcPr>
            <w:tcW w:w="1080" w:type="dxa"/>
            <w:tcBorders>
              <w:top w:val="nil"/>
              <w:left w:val="single" w:color="BFBFBF" w:themeColor="background1" w:themeShade="BF" w:sz="4" w:space="0"/>
              <w:bottom w:val="single" w:color="BFBFBF" w:themeColor="background1" w:themeShade="BF" w:sz="4" w:space="0"/>
              <w:right w:val="single" w:color="D9D9D9" w:sz="4" w:space="0"/>
            </w:tcBorders>
            <w:shd w:val="clear" w:color="auto" w:fill="auto"/>
            <w:noWrap/>
            <w:vAlign w:val="bottom"/>
          </w:tcPr>
          <w:p w:rsidRPr="00D43965" w:rsidR="00CE2631" w:rsidP="00CE2631" w:rsidRDefault="00CE2631" w14:paraId="461A477A" w14:textId="77777777">
            <w:pPr>
              <w:contextualSpacing/>
              <w:jc w:val="right"/>
              <w:rPr>
                <w:sz w:val="24"/>
                <w:szCs w:val="24"/>
              </w:rPr>
            </w:pPr>
            <w:r w:rsidRPr="00D43965">
              <w:rPr>
                <w:sz w:val="24"/>
                <w:szCs w:val="24"/>
              </w:rPr>
              <w:t>None</w:t>
            </w:r>
          </w:p>
        </w:tc>
        <w:tc>
          <w:tcPr>
            <w:tcW w:w="1530" w:type="dxa"/>
            <w:tcBorders>
              <w:top w:val="nil"/>
              <w:left w:val="nil"/>
              <w:bottom w:val="single" w:color="D9D9D9" w:sz="4" w:space="0"/>
              <w:right w:val="single" w:color="D9D9D9" w:sz="4" w:space="0"/>
            </w:tcBorders>
            <w:vAlign w:val="bottom"/>
          </w:tcPr>
          <w:p w:rsidRPr="00D43965" w:rsidR="00CE2631" w:rsidP="00CE2631" w:rsidRDefault="00CE2631" w14:paraId="7934F1F4" w14:textId="77777777">
            <w:pPr>
              <w:contextualSpacing/>
              <w:jc w:val="right"/>
              <w:rPr>
                <w:sz w:val="24"/>
                <w:szCs w:val="24"/>
              </w:rPr>
            </w:pPr>
            <w:r w:rsidRPr="00D43965">
              <w:rPr>
                <w:sz w:val="24"/>
                <w:szCs w:val="24"/>
              </w:rPr>
              <w:t>-</w:t>
            </w:r>
          </w:p>
        </w:tc>
      </w:tr>
      <w:tr w:rsidRPr="00D43965" w:rsidR="00CE2631" w:rsidTr="00872334" w14:paraId="05BD0254" w14:textId="77777777">
        <w:trPr>
          <w:trHeight w:val="360" w:hRule="exact"/>
        </w:trPr>
        <w:tc>
          <w:tcPr>
            <w:tcW w:w="1368" w:type="dxa"/>
            <w:tcBorders>
              <w:top w:val="nil"/>
              <w:left w:val="single" w:color="D9D9D9" w:sz="4" w:space="0"/>
              <w:bottom w:val="single" w:color="000000" w:sz="4" w:space="0"/>
              <w:right w:val="single" w:color="D9D9D9" w:sz="4" w:space="0"/>
            </w:tcBorders>
            <w:shd w:val="clear" w:color="auto" w:fill="auto"/>
            <w:vAlign w:val="bottom"/>
            <w:hideMark/>
          </w:tcPr>
          <w:p w:rsidRPr="00D43965" w:rsidR="00CE2631" w:rsidP="00CE2631" w:rsidRDefault="00CE2631" w14:paraId="63AB8037" w14:textId="77777777">
            <w:pPr>
              <w:contextualSpacing/>
              <w:rPr>
                <w:sz w:val="24"/>
                <w:szCs w:val="24"/>
              </w:rPr>
            </w:pPr>
            <w:r w:rsidRPr="00D43965">
              <w:rPr>
                <w:sz w:val="24"/>
                <w:szCs w:val="24"/>
              </w:rPr>
              <w:t>Pipeline</w:t>
            </w:r>
          </w:p>
        </w:tc>
        <w:tc>
          <w:tcPr>
            <w:tcW w:w="1417" w:type="dxa"/>
            <w:tcBorders>
              <w:top w:val="nil"/>
              <w:left w:val="nil"/>
              <w:bottom w:val="single" w:color="000000" w:sz="4" w:space="0"/>
              <w:right w:val="single" w:color="D9D9D9" w:sz="4" w:space="0"/>
            </w:tcBorders>
            <w:shd w:val="clear" w:color="auto" w:fill="auto"/>
            <w:noWrap/>
            <w:vAlign w:val="bottom"/>
            <w:hideMark/>
          </w:tcPr>
          <w:p w:rsidRPr="00D43965" w:rsidR="00CE2631" w:rsidP="00CE2631" w:rsidRDefault="00CE2631" w14:paraId="4562B232" w14:textId="028ECD07">
            <w:pPr>
              <w:contextualSpacing/>
              <w:jc w:val="right"/>
              <w:rPr>
                <w:sz w:val="24"/>
                <w:szCs w:val="24"/>
              </w:rPr>
            </w:pPr>
            <w:r w:rsidRPr="00D43965">
              <w:rPr>
                <w:sz w:val="24"/>
                <w:szCs w:val="24"/>
              </w:rPr>
              <w:t>0.0003</w:t>
            </w:r>
            <w:r w:rsidRPr="00D43965" w:rsidR="003519EF">
              <w:rPr>
                <w:sz w:val="24"/>
                <w:szCs w:val="24"/>
              </w:rPr>
              <w:t>4</w:t>
            </w:r>
          </w:p>
        </w:tc>
        <w:tc>
          <w:tcPr>
            <w:tcW w:w="1463" w:type="dxa"/>
            <w:tcBorders>
              <w:top w:val="single" w:color="D9D9D9" w:sz="4" w:space="0"/>
              <w:left w:val="nil"/>
              <w:bottom w:val="single" w:color="000000" w:sz="4" w:space="0"/>
              <w:right w:val="single" w:color="BFBFBF" w:themeColor="background1" w:themeShade="BF" w:sz="4" w:space="0"/>
            </w:tcBorders>
            <w:shd w:val="clear" w:color="auto" w:fill="auto"/>
            <w:noWrap/>
            <w:vAlign w:val="bottom"/>
            <w:hideMark/>
          </w:tcPr>
          <w:p w:rsidRPr="00D43965" w:rsidR="00CE2631" w:rsidP="00CE2631" w:rsidRDefault="00CE2631" w14:paraId="765AF76F" w14:textId="3E06EED2">
            <w:pPr>
              <w:contextualSpacing/>
              <w:jc w:val="right"/>
              <w:rPr>
                <w:sz w:val="24"/>
                <w:szCs w:val="24"/>
              </w:rPr>
            </w:pPr>
            <w:r w:rsidRPr="00D43965">
              <w:rPr>
                <w:sz w:val="24"/>
                <w:szCs w:val="24"/>
              </w:rPr>
              <w:t>0.00034</w:t>
            </w:r>
          </w:p>
        </w:tc>
        <w:tc>
          <w:tcPr>
            <w:tcW w:w="1260" w:type="dxa"/>
            <w:tcBorders>
              <w:top w:val="single" w:color="BFBFBF" w:themeColor="background1" w:themeShade="BF" w:sz="4" w:space="0"/>
              <w:left w:val="single" w:color="BFBFBF" w:themeColor="background1" w:themeShade="BF" w:sz="4" w:space="0"/>
              <w:bottom w:val="single" w:color="000000" w:sz="4" w:space="0"/>
              <w:right w:val="single" w:color="BFBFBF" w:themeColor="background1" w:themeShade="BF" w:sz="4" w:space="0"/>
            </w:tcBorders>
            <w:shd w:val="clear" w:color="auto" w:fill="auto"/>
            <w:vAlign w:val="bottom"/>
          </w:tcPr>
          <w:p w:rsidRPr="00D43965" w:rsidR="00CE2631" w:rsidP="00CE2631" w:rsidRDefault="00CE2631" w14:paraId="1AD36446" w14:textId="77777777">
            <w:pPr>
              <w:contextualSpacing/>
              <w:jc w:val="right"/>
              <w:rPr>
                <w:sz w:val="24"/>
                <w:szCs w:val="24"/>
              </w:rPr>
            </w:pPr>
            <w:r w:rsidRPr="00D43965">
              <w:rPr>
                <w:sz w:val="24"/>
                <w:szCs w:val="24"/>
              </w:rPr>
              <w:t>x Revenue</w:t>
            </w:r>
          </w:p>
        </w:tc>
        <w:tc>
          <w:tcPr>
            <w:tcW w:w="1350" w:type="dxa"/>
            <w:tcBorders>
              <w:top w:val="single" w:color="BFBFBF" w:themeColor="background1" w:themeShade="BF" w:sz="4" w:space="0"/>
              <w:left w:val="single" w:color="BFBFBF" w:themeColor="background1" w:themeShade="BF" w:sz="4" w:space="0"/>
              <w:bottom w:val="single" w:color="000000" w:sz="4" w:space="0"/>
              <w:right w:val="single" w:color="BFBFBF" w:themeColor="background1" w:themeShade="BF" w:sz="4" w:space="0"/>
            </w:tcBorders>
            <w:shd w:val="clear" w:color="auto" w:fill="auto"/>
            <w:noWrap/>
            <w:vAlign w:val="bottom"/>
            <w:hideMark/>
          </w:tcPr>
          <w:p w:rsidRPr="00D43965" w:rsidR="00CE2631" w:rsidP="00CE2631" w:rsidRDefault="00582C6F" w14:paraId="3ABA8A27" w14:textId="7FAA301B">
            <w:pPr>
              <w:contextualSpacing/>
              <w:jc w:val="right"/>
              <w:rPr>
                <w:sz w:val="24"/>
                <w:szCs w:val="24"/>
              </w:rPr>
            </w:pPr>
            <w:r w:rsidRPr="00D43965">
              <w:rPr>
                <w:sz w:val="24"/>
                <w:szCs w:val="24"/>
              </w:rPr>
              <w:t>None</w:t>
            </w:r>
          </w:p>
        </w:tc>
        <w:tc>
          <w:tcPr>
            <w:tcW w:w="1080" w:type="dxa"/>
            <w:tcBorders>
              <w:top w:val="nil"/>
              <w:left w:val="single" w:color="BFBFBF" w:themeColor="background1" w:themeShade="BF" w:sz="4" w:space="0"/>
              <w:bottom w:val="single" w:color="000000" w:sz="4" w:space="0"/>
              <w:right w:val="single" w:color="D9D9D9" w:sz="4" w:space="0"/>
            </w:tcBorders>
            <w:shd w:val="clear" w:color="auto" w:fill="auto"/>
            <w:noWrap/>
            <w:vAlign w:val="bottom"/>
            <w:hideMark/>
          </w:tcPr>
          <w:p w:rsidRPr="00D43965" w:rsidR="00CE2631" w:rsidP="00CE2631" w:rsidRDefault="00582C6F" w14:paraId="2152C0E7" w14:textId="6AC6E284">
            <w:pPr>
              <w:contextualSpacing/>
              <w:jc w:val="right"/>
              <w:rPr>
                <w:sz w:val="24"/>
                <w:szCs w:val="24"/>
              </w:rPr>
            </w:pPr>
            <w:r w:rsidRPr="00D43965">
              <w:rPr>
                <w:sz w:val="24"/>
                <w:szCs w:val="24"/>
              </w:rPr>
              <w:t>None</w:t>
            </w:r>
          </w:p>
        </w:tc>
        <w:tc>
          <w:tcPr>
            <w:tcW w:w="1530" w:type="dxa"/>
            <w:tcBorders>
              <w:top w:val="nil"/>
              <w:left w:val="nil"/>
              <w:bottom w:val="single" w:color="000000" w:sz="4" w:space="0"/>
              <w:right w:val="single" w:color="D9D9D9" w:sz="4" w:space="0"/>
            </w:tcBorders>
            <w:vAlign w:val="bottom"/>
          </w:tcPr>
          <w:p w:rsidRPr="00D43965" w:rsidR="00CE2631" w:rsidP="00CE2631" w:rsidRDefault="00582C6F" w14:paraId="7EBF235F" w14:textId="75A1F5C4">
            <w:pPr>
              <w:contextualSpacing/>
              <w:jc w:val="right"/>
              <w:rPr>
                <w:sz w:val="24"/>
                <w:szCs w:val="24"/>
              </w:rPr>
            </w:pPr>
            <w:r w:rsidRPr="00D43965">
              <w:rPr>
                <w:sz w:val="24"/>
                <w:szCs w:val="24"/>
              </w:rPr>
              <w:t>-</w:t>
            </w:r>
          </w:p>
        </w:tc>
      </w:tr>
      <w:tr w:rsidRPr="00D43965" w:rsidR="00CE2631" w:rsidTr="00872334" w14:paraId="0003D6F1" w14:textId="77777777">
        <w:trPr>
          <w:trHeight w:val="360" w:hRule="exact"/>
        </w:trPr>
        <w:tc>
          <w:tcPr>
            <w:tcW w:w="1368" w:type="dxa"/>
            <w:tcBorders>
              <w:top w:val="single" w:color="000000" w:sz="4" w:space="0"/>
              <w:left w:val="single" w:color="D9D9D9" w:sz="4" w:space="0"/>
              <w:bottom w:val="single" w:color="D9D9D9" w:sz="4" w:space="0"/>
              <w:right w:val="single" w:color="D9D9D9" w:sz="4" w:space="0"/>
            </w:tcBorders>
            <w:shd w:val="clear" w:color="auto" w:fill="auto"/>
            <w:vAlign w:val="bottom"/>
          </w:tcPr>
          <w:p w:rsidRPr="00D43965" w:rsidR="00CE2631" w:rsidP="00CE2631" w:rsidRDefault="00CE2631" w14:paraId="3F0F0C16" w14:textId="77777777">
            <w:pPr>
              <w:contextualSpacing/>
              <w:rPr>
                <w:b/>
                <w:sz w:val="24"/>
                <w:szCs w:val="24"/>
              </w:rPr>
            </w:pPr>
            <w:r w:rsidRPr="00D43965">
              <w:rPr>
                <w:b/>
                <w:sz w:val="24"/>
                <w:szCs w:val="24"/>
              </w:rPr>
              <w:t>Total</w:t>
            </w:r>
          </w:p>
        </w:tc>
        <w:tc>
          <w:tcPr>
            <w:tcW w:w="1417" w:type="dxa"/>
            <w:tcBorders>
              <w:top w:val="single" w:color="000000" w:sz="4" w:space="0"/>
              <w:left w:val="nil"/>
              <w:bottom w:val="single" w:color="D9D9D9" w:sz="4" w:space="0"/>
              <w:right w:val="single" w:color="D9D9D9" w:sz="4" w:space="0"/>
            </w:tcBorders>
            <w:shd w:val="clear" w:color="auto" w:fill="auto"/>
            <w:noWrap/>
            <w:vAlign w:val="bottom"/>
          </w:tcPr>
          <w:p w:rsidRPr="00D43965" w:rsidR="00CE2631" w:rsidP="00CE2631" w:rsidRDefault="00CE2631" w14:paraId="3F4F6AFA" w14:textId="77777777">
            <w:pPr>
              <w:contextualSpacing/>
              <w:jc w:val="right"/>
              <w:rPr>
                <w:sz w:val="24"/>
                <w:szCs w:val="24"/>
              </w:rPr>
            </w:pPr>
          </w:p>
        </w:tc>
        <w:tc>
          <w:tcPr>
            <w:tcW w:w="1463" w:type="dxa"/>
            <w:tcBorders>
              <w:top w:val="single" w:color="000000" w:sz="4" w:space="0"/>
              <w:left w:val="nil"/>
              <w:bottom w:val="single" w:color="BFBFBF" w:themeColor="background1" w:themeShade="BF" w:sz="4" w:space="0"/>
              <w:right w:val="single" w:color="BFBFBF" w:themeColor="background1" w:themeShade="BF" w:sz="4" w:space="0"/>
            </w:tcBorders>
            <w:shd w:val="clear" w:color="000000" w:fill="auto"/>
            <w:noWrap/>
            <w:vAlign w:val="bottom"/>
          </w:tcPr>
          <w:p w:rsidRPr="00D43965" w:rsidR="00CE2631" w:rsidP="00CE2631" w:rsidRDefault="00CE2631" w14:paraId="64C7E17E" w14:textId="77777777">
            <w:pPr>
              <w:contextualSpacing/>
              <w:jc w:val="right"/>
              <w:rPr>
                <w:sz w:val="24"/>
                <w:szCs w:val="24"/>
              </w:rPr>
            </w:pPr>
          </w:p>
        </w:tc>
        <w:tc>
          <w:tcPr>
            <w:tcW w:w="1260" w:type="dxa"/>
            <w:tcBorders>
              <w:top w:val="single" w:color="000000"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bottom"/>
          </w:tcPr>
          <w:p w:rsidRPr="00D43965" w:rsidR="00CE2631" w:rsidP="00CE2631" w:rsidRDefault="00CE2631" w14:paraId="63229575" w14:textId="77777777">
            <w:pPr>
              <w:contextualSpacing/>
              <w:jc w:val="right"/>
              <w:rPr>
                <w:sz w:val="24"/>
                <w:szCs w:val="24"/>
              </w:rPr>
            </w:pPr>
          </w:p>
        </w:tc>
        <w:tc>
          <w:tcPr>
            <w:tcW w:w="1350" w:type="dxa"/>
            <w:tcBorders>
              <w:top w:val="single" w:color="000000"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bottom"/>
          </w:tcPr>
          <w:p w:rsidRPr="00D43965" w:rsidR="00CE2631" w:rsidP="00CE2631" w:rsidRDefault="00CE2631" w14:paraId="40CC9EEB" w14:textId="77777777">
            <w:pPr>
              <w:contextualSpacing/>
              <w:jc w:val="right"/>
              <w:rPr>
                <w:sz w:val="24"/>
                <w:szCs w:val="24"/>
              </w:rPr>
            </w:pPr>
          </w:p>
        </w:tc>
        <w:tc>
          <w:tcPr>
            <w:tcW w:w="1080" w:type="dxa"/>
            <w:tcBorders>
              <w:top w:val="single" w:color="000000" w:sz="4" w:space="0"/>
              <w:left w:val="single" w:color="BFBFBF" w:themeColor="background1" w:themeShade="BF" w:sz="4" w:space="0"/>
              <w:bottom w:val="single" w:color="BFBFBF" w:themeColor="background1" w:themeShade="BF" w:sz="4" w:space="0"/>
              <w:right w:val="single" w:color="D9D9D9" w:sz="4" w:space="0"/>
            </w:tcBorders>
            <w:shd w:val="clear" w:color="auto" w:fill="auto"/>
            <w:noWrap/>
            <w:vAlign w:val="bottom"/>
          </w:tcPr>
          <w:p w:rsidRPr="00D43965" w:rsidR="00CE2631" w:rsidP="00CE2631" w:rsidRDefault="00CE2631" w14:paraId="04F9690D" w14:textId="77777777">
            <w:pPr>
              <w:contextualSpacing/>
              <w:jc w:val="right"/>
              <w:rPr>
                <w:sz w:val="24"/>
                <w:szCs w:val="24"/>
              </w:rPr>
            </w:pPr>
          </w:p>
        </w:tc>
        <w:tc>
          <w:tcPr>
            <w:tcW w:w="1530" w:type="dxa"/>
            <w:tcBorders>
              <w:top w:val="single" w:color="000000" w:sz="4" w:space="0"/>
              <w:left w:val="nil"/>
              <w:bottom w:val="single" w:color="D9D9D9" w:sz="4" w:space="0"/>
              <w:right w:val="single" w:color="D9D9D9" w:sz="4" w:space="0"/>
            </w:tcBorders>
            <w:vAlign w:val="bottom"/>
          </w:tcPr>
          <w:p w:rsidRPr="00D43965" w:rsidR="00CE2631" w:rsidP="00CE2631" w:rsidRDefault="00CE2631" w14:paraId="6F3FDCBB" w14:textId="2D897CCA">
            <w:pPr>
              <w:contextualSpacing/>
              <w:jc w:val="right"/>
              <w:rPr>
                <w:sz w:val="24"/>
                <w:szCs w:val="24"/>
              </w:rPr>
            </w:pPr>
            <w:r w:rsidRPr="00D43965">
              <w:rPr>
                <w:sz w:val="24"/>
                <w:szCs w:val="24"/>
              </w:rPr>
              <w:t>$</w:t>
            </w:r>
            <w:r w:rsidRPr="00D43965" w:rsidR="007D53E0">
              <w:rPr>
                <w:sz w:val="24"/>
                <w:szCs w:val="24"/>
              </w:rPr>
              <w:t>1,4</w:t>
            </w:r>
            <w:r w:rsidRPr="00D43965" w:rsidR="00582C6F">
              <w:rPr>
                <w:sz w:val="24"/>
                <w:szCs w:val="24"/>
              </w:rPr>
              <w:t>13</w:t>
            </w:r>
            <w:r w:rsidRPr="00D43965" w:rsidR="007D53E0">
              <w:rPr>
                <w:sz w:val="24"/>
                <w:szCs w:val="24"/>
              </w:rPr>
              <w:t>,000</w:t>
            </w:r>
          </w:p>
        </w:tc>
      </w:tr>
    </w:tbl>
    <w:p w:rsidRPr="00D43965" w:rsidR="00957AD3" w:rsidRDefault="00957AD3" w14:paraId="7D73F3ED" w14:textId="047066D6">
      <w:pPr>
        <w:rPr>
          <w:b/>
          <w:sz w:val="24"/>
          <w:szCs w:val="24"/>
          <w:u w:val="single"/>
        </w:rPr>
      </w:pPr>
    </w:p>
    <w:p w:rsidR="004747C3" w:rsidRDefault="004747C3" w14:paraId="07C5D9E2" w14:textId="77777777">
      <w:pPr>
        <w:rPr>
          <w:b/>
          <w:sz w:val="24"/>
          <w:szCs w:val="24"/>
          <w:u w:val="single"/>
        </w:rPr>
      </w:pPr>
      <w:r>
        <w:rPr>
          <w:b/>
          <w:szCs w:val="24"/>
          <w:u w:val="single"/>
        </w:rPr>
        <w:br w:type="page"/>
      </w:r>
    </w:p>
    <w:p w:rsidRPr="004747C3" w:rsidR="0003536B" w:rsidP="0003536B" w:rsidRDefault="0003536B" w14:paraId="473FF702" w14:textId="3A23BAE6">
      <w:pPr>
        <w:pStyle w:val="BodyText"/>
        <w:rPr>
          <w:b/>
          <w:szCs w:val="24"/>
          <w:u w:val="single"/>
        </w:rPr>
      </w:pPr>
      <w:bookmarkStart w:name="_Hlk57210107" w:id="20"/>
      <w:r w:rsidRPr="004747C3">
        <w:rPr>
          <w:b/>
          <w:szCs w:val="24"/>
          <w:u w:val="single"/>
        </w:rPr>
        <w:lastRenderedPageBreak/>
        <w:t>COMMENTS ON DRAFT RESOLUTION</w:t>
      </w:r>
    </w:p>
    <w:p w:rsidRPr="004747C3" w:rsidR="0003536B" w:rsidP="0003536B" w:rsidRDefault="0003536B" w14:paraId="7BF3E42F" w14:textId="77777777">
      <w:pPr>
        <w:pStyle w:val="BodyText"/>
        <w:rPr>
          <w:szCs w:val="24"/>
        </w:rPr>
      </w:pPr>
    </w:p>
    <w:p w:rsidRPr="004747C3" w:rsidR="0003536B" w:rsidP="0003536B" w:rsidRDefault="0003536B" w14:paraId="5685E4D2" w14:textId="063B1D00">
      <w:pPr>
        <w:pStyle w:val="BodyText"/>
        <w:rPr>
          <w:szCs w:val="24"/>
        </w:rPr>
      </w:pPr>
      <w:r w:rsidRPr="004747C3">
        <w:rPr>
          <w:szCs w:val="24"/>
        </w:rPr>
        <w:t xml:space="preserve">In accordance with Public Utilities Code Section 311(g), the Commission published this draft resolution on its website and sent copies to all </w:t>
      </w:r>
      <w:r w:rsidRPr="004747C3" w:rsidR="002C244C">
        <w:rPr>
          <w:szCs w:val="24"/>
        </w:rPr>
        <w:t xml:space="preserve">affected </w:t>
      </w:r>
      <w:r w:rsidRPr="004747C3">
        <w:rPr>
          <w:szCs w:val="24"/>
        </w:rPr>
        <w:t>regulated entities</w:t>
      </w:r>
      <w:r w:rsidR="00AE422B">
        <w:rPr>
          <w:szCs w:val="24"/>
        </w:rPr>
        <w:t xml:space="preserve"> on October 30, 2020</w:t>
      </w:r>
      <w:r w:rsidRPr="004747C3">
        <w:rPr>
          <w:szCs w:val="24"/>
        </w:rPr>
        <w:t>.</w:t>
      </w:r>
    </w:p>
    <w:p w:rsidRPr="004747C3" w:rsidR="0003536B" w:rsidP="0003536B" w:rsidRDefault="0003536B" w14:paraId="69A82EF8" w14:textId="77777777">
      <w:pPr>
        <w:pStyle w:val="BodyText"/>
        <w:rPr>
          <w:szCs w:val="24"/>
        </w:rPr>
      </w:pPr>
    </w:p>
    <w:p w:rsidR="00732C0C" w:rsidP="00D2061C" w:rsidRDefault="001638ED" w14:paraId="0F93CAB5" w14:textId="68CA2370">
      <w:pPr>
        <w:pStyle w:val="BodyText"/>
        <w:rPr>
          <w:szCs w:val="24"/>
        </w:rPr>
      </w:pPr>
      <w:r>
        <w:rPr>
          <w:szCs w:val="24"/>
        </w:rPr>
        <w:t>No comments were received.</w:t>
      </w:r>
    </w:p>
    <w:bookmarkEnd w:id="20"/>
    <w:p w:rsidRPr="00D43965" w:rsidR="004747C3" w:rsidP="00D2061C" w:rsidRDefault="004747C3" w14:paraId="7582200F" w14:textId="77777777">
      <w:pPr>
        <w:pStyle w:val="BodyText"/>
        <w:rPr>
          <w:b/>
          <w:bCs/>
          <w:szCs w:val="24"/>
        </w:rPr>
      </w:pPr>
    </w:p>
    <w:p w:rsidRPr="00D43965" w:rsidR="000F6958" w:rsidRDefault="000F6958" w14:paraId="57AB57A9" w14:textId="7F1CD13B">
      <w:pPr>
        <w:rPr>
          <w:b/>
          <w:bCs/>
          <w:sz w:val="24"/>
          <w:szCs w:val="24"/>
        </w:rPr>
      </w:pPr>
      <w:r w:rsidRPr="00D43965">
        <w:rPr>
          <w:b/>
          <w:bCs/>
          <w:sz w:val="24"/>
          <w:szCs w:val="24"/>
        </w:rPr>
        <w:t>THEREFORE, IT IS ORDERED THAT:</w:t>
      </w:r>
    </w:p>
    <w:p w:rsidRPr="00D43965" w:rsidR="000F6958" w:rsidRDefault="000F6958" w14:paraId="634EDE69" w14:textId="77777777">
      <w:pPr>
        <w:rPr>
          <w:sz w:val="24"/>
          <w:szCs w:val="24"/>
        </w:rPr>
      </w:pPr>
    </w:p>
    <w:p w:rsidRPr="00D263F4" w:rsidR="000F6958" w:rsidP="00926539" w:rsidRDefault="004747C3" w14:paraId="63B75130" w14:textId="24712AE4">
      <w:pPr>
        <w:pStyle w:val="ListParagraph"/>
        <w:numPr>
          <w:ilvl w:val="0"/>
          <w:numId w:val="2"/>
        </w:numPr>
        <w:ind w:left="360"/>
        <w:rPr>
          <w:sz w:val="24"/>
          <w:szCs w:val="24"/>
        </w:rPr>
      </w:pPr>
      <w:r>
        <w:rPr>
          <w:sz w:val="24"/>
          <w:szCs w:val="24"/>
        </w:rPr>
        <w:t>T</w:t>
      </w:r>
      <w:r w:rsidRPr="00D263F4" w:rsidR="000A7AC3">
        <w:rPr>
          <w:sz w:val="24"/>
          <w:szCs w:val="24"/>
        </w:rPr>
        <w:t xml:space="preserve">he current </w:t>
      </w:r>
      <w:r w:rsidRPr="00D263F4" w:rsidR="00B73A0A">
        <w:rPr>
          <w:sz w:val="24"/>
          <w:szCs w:val="24"/>
        </w:rPr>
        <w:t xml:space="preserve">Public </w:t>
      </w:r>
      <w:r w:rsidRPr="00D263F4" w:rsidR="000A7AC3">
        <w:rPr>
          <w:sz w:val="24"/>
          <w:szCs w:val="24"/>
        </w:rPr>
        <w:t>U</w:t>
      </w:r>
      <w:r w:rsidRPr="00D263F4" w:rsidR="00B73A0A">
        <w:rPr>
          <w:sz w:val="24"/>
          <w:szCs w:val="24"/>
        </w:rPr>
        <w:t xml:space="preserve">tilities </w:t>
      </w:r>
      <w:r w:rsidRPr="00D263F4" w:rsidR="000A7AC3">
        <w:rPr>
          <w:sz w:val="24"/>
          <w:szCs w:val="24"/>
        </w:rPr>
        <w:t>C</w:t>
      </w:r>
      <w:r w:rsidRPr="00D263F4" w:rsidR="00B73A0A">
        <w:rPr>
          <w:sz w:val="24"/>
          <w:szCs w:val="24"/>
        </w:rPr>
        <w:t xml:space="preserve">ommission </w:t>
      </w:r>
      <w:r w:rsidRPr="00D263F4" w:rsidR="000A7AC3">
        <w:rPr>
          <w:sz w:val="24"/>
          <w:szCs w:val="24"/>
        </w:rPr>
        <w:t>T</w:t>
      </w:r>
      <w:r w:rsidRPr="00D263F4" w:rsidR="00B73A0A">
        <w:rPr>
          <w:sz w:val="24"/>
          <w:szCs w:val="24"/>
        </w:rPr>
        <w:t xml:space="preserve">ransportation </w:t>
      </w:r>
      <w:r w:rsidRPr="00D263F4" w:rsidR="000A7AC3">
        <w:rPr>
          <w:sz w:val="24"/>
          <w:szCs w:val="24"/>
        </w:rPr>
        <w:t>R</w:t>
      </w:r>
      <w:r w:rsidRPr="00D263F4" w:rsidR="00B73A0A">
        <w:rPr>
          <w:sz w:val="24"/>
          <w:szCs w:val="24"/>
        </w:rPr>
        <w:t xml:space="preserve">eimbursement </w:t>
      </w:r>
      <w:r w:rsidRPr="00D263F4" w:rsidR="000A7AC3">
        <w:rPr>
          <w:sz w:val="24"/>
          <w:szCs w:val="24"/>
        </w:rPr>
        <w:t>A</w:t>
      </w:r>
      <w:r w:rsidRPr="00D263F4" w:rsidR="00B73A0A">
        <w:rPr>
          <w:sz w:val="24"/>
          <w:szCs w:val="24"/>
        </w:rPr>
        <w:t>ccount</w:t>
      </w:r>
      <w:r w:rsidRPr="00D263F4" w:rsidR="000A7AC3">
        <w:rPr>
          <w:sz w:val="24"/>
          <w:szCs w:val="24"/>
        </w:rPr>
        <w:t xml:space="preserve"> user </w:t>
      </w:r>
      <w:r w:rsidRPr="00D263F4" w:rsidR="00401672">
        <w:rPr>
          <w:sz w:val="24"/>
          <w:szCs w:val="24"/>
        </w:rPr>
        <w:t xml:space="preserve">fees provided for in </w:t>
      </w:r>
      <w:r w:rsidRPr="00D263F4" w:rsidR="002C244C">
        <w:rPr>
          <w:sz w:val="24"/>
          <w:szCs w:val="24"/>
        </w:rPr>
        <w:t xml:space="preserve">Public Utilities Code </w:t>
      </w:r>
      <w:r w:rsidRPr="00D263F4" w:rsidR="00401672">
        <w:rPr>
          <w:sz w:val="24"/>
          <w:szCs w:val="24"/>
        </w:rPr>
        <w:t xml:space="preserve">Section 421 </w:t>
      </w:r>
      <w:r w:rsidRPr="00D263F4" w:rsidR="001F2363">
        <w:rPr>
          <w:sz w:val="24"/>
          <w:szCs w:val="24"/>
        </w:rPr>
        <w:t>shall be revised as follows:</w:t>
      </w:r>
    </w:p>
    <w:p w:rsidRPr="00D43965" w:rsidR="00973CEE" w:rsidP="00973CEE" w:rsidRDefault="00973CEE" w14:paraId="55AEF0E7" w14:textId="77777777">
      <w:pPr>
        <w:pStyle w:val="Heading2"/>
        <w:widowControl/>
        <w:spacing w:line="240" w:lineRule="auto"/>
        <w:ind w:left="720" w:hanging="720"/>
        <w:rPr>
          <w:rFonts w:ascii="Times New Roman" w:hAnsi="Times New Roman"/>
          <w:szCs w:val="24"/>
        </w:rPr>
      </w:pPr>
    </w:p>
    <w:tbl>
      <w:tblPr>
        <w:tblStyle w:val="TableGridLight1"/>
        <w:tblW w:w="9360"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5418"/>
        <w:gridCol w:w="3942"/>
      </w:tblGrid>
      <w:tr w:rsidRPr="00D43965" w:rsidR="005E50A5" w:rsidTr="00872334" w14:paraId="234C9D80" w14:textId="77777777">
        <w:tc>
          <w:tcPr>
            <w:tcW w:w="5418" w:type="dxa"/>
          </w:tcPr>
          <w:p w:rsidRPr="000F7E58" w:rsidR="005E50A5" w:rsidP="003D2428" w:rsidRDefault="005E50A5" w14:paraId="1D70E6BD" w14:textId="77777777">
            <w:pPr>
              <w:pStyle w:val="Heading2"/>
              <w:widowControl/>
              <w:spacing w:line="240" w:lineRule="auto"/>
              <w:rPr>
                <w:rFonts w:ascii="Times New Roman" w:hAnsi="Times New Roman"/>
                <w:b/>
                <w:szCs w:val="24"/>
                <w:u w:val="single"/>
              </w:rPr>
            </w:pPr>
            <w:r w:rsidRPr="000F7E58">
              <w:rPr>
                <w:rFonts w:ascii="Times New Roman" w:hAnsi="Times New Roman"/>
                <w:b/>
                <w:szCs w:val="24"/>
                <w:u w:val="single"/>
              </w:rPr>
              <w:t>CLASS</w:t>
            </w:r>
          </w:p>
        </w:tc>
        <w:tc>
          <w:tcPr>
            <w:tcW w:w="3942" w:type="dxa"/>
          </w:tcPr>
          <w:p w:rsidRPr="000F7E58" w:rsidR="005E50A5" w:rsidP="003D2428" w:rsidRDefault="005E50A5" w14:paraId="0F50A167" w14:textId="77777777">
            <w:pPr>
              <w:pStyle w:val="Heading2"/>
              <w:widowControl/>
              <w:spacing w:line="240" w:lineRule="auto"/>
              <w:rPr>
                <w:rFonts w:ascii="Times New Roman" w:hAnsi="Times New Roman"/>
                <w:b/>
                <w:szCs w:val="24"/>
                <w:u w:val="single"/>
              </w:rPr>
            </w:pPr>
            <w:r w:rsidRPr="000F7E58">
              <w:rPr>
                <w:rFonts w:ascii="Times New Roman" w:hAnsi="Times New Roman"/>
                <w:b/>
                <w:szCs w:val="24"/>
                <w:u w:val="single"/>
              </w:rPr>
              <w:t>FEE</w:t>
            </w:r>
          </w:p>
        </w:tc>
      </w:tr>
      <w:tr w:rsidRPr="00D43965" w:rsidR="00973CEE" w:rsidTr="008E72FD" w14:paraId="086263B3" w14:textId="77777777">
        <w:tblPrEx>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Ex>
        <w:tc>
          <w:tcPr>
            <w:tcW w:w="9360" w:type="dxa"/>
            <w:gridSpan w:val="2"/>
          </w:tcPr>
          <w:p w:rsidRPr="00D43965" w:rsidR="00973CEE" w:rsidP="008E72FD" w:rsidRDefault="00973CEE" w14:paraId="335CC0EF" w14:textId="77777777">
            <w:pPr>
              <w:pStyle w:val="Heading2"/>
              <w:widowControl/>
              <w:spacing w:line="240" w:lineRule="auto"/>
              <w:rPr>
                <w:rFonts w:ascii="Times New Roman" w:hAnsi="Times New Roman"/>
                <w:szCs w:val="24"/>
              </w:rPr>
            </w:pPr>
            <w:r w:rsidRPr="00D43965">
              <w:rPr>
                <w:rFonts w:ascii="Times New Roman" w:hAnsi="Times New Roman"/>
                <w:szCs w:val="24"/>
              </w:rPr>
              <w:t>Passenger Vehicle Operators:</w:t>
            </w:r>
          </w:p>
        </w:tc>
      </w:tr>
      <w:tr w:rsidRPr="00D43965" w:rsidR="00582C6F" w:rsidTr="001F2363" w14:paraId="43361DF6" w14:textId="77777777">
        <w:tblPrEx>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Ex>
        <w:tc>
          <w:tcPr>
            <w:tcW w:w="5418" w:type="dxa"/>
          </w:tcPr>
          <w:p w:rsidRPr="00D43965" w:rsidR="00582C6F" w:rsidP="00582C6F" w:rsidRDefault="00582C6F" w14:paraId="41977975" w14:textId="5BE3E1B3">
            <w:pPr>
              <w:pStyle w:val="Heading2"/>
              <w:widowControl/>
              <w:spacing w:line="240" w:lineRule="auto"/>
              <w:ind w:left="161"/>
              <w:rPr>
                <w:rFonts w:ascii="Times New Roman" w:hAnsi="Times New Roman"/>
                <w:szCs w:val="24"/>
              </w:rPr>
            </w:pPr>
            <w:r w:rsidRPr="00D43965">
              <w:rPr>
                <w:rFonts w:ascii="Times New Roman" w:hAnsi="Times New Roman"/>
                <w:szCs w:val="24"/>
              </w:rPr>
              <w:t>Charter Party Carriers, including Transportation Network Companies, and Passenger Stage Corporations</w:t>
            </w:r>
          </w:p>
        </w:tc>
        <w:tc>
          <w:tcPr>
            <w:tcW w:w="3942" w:type="dxa"/>
          </w:tcPr>
          <w:p w:rsidRPr="00D43965" w:rsidR="00582C6F" w:rsidP="00582C6F" w:rsidRDefault="00582C6F" w14:paraId="4974DB49" w14:textId="26E9048D">
            <w:pPr>
              <w:pStyle w:val="Heading2"/>
              <w:widowControl/>
              <w:spacing w:line="240" w:lineRule="auto"/>
              <w:rPr>
                <w:rFonts w:ascii="Times New Roman" w:hAnsi="Times New Roman"/>
                <w:szCs w:val="24"/>
              </w:rPr>
            </w:pPr>
            <w:r w:rsidRPr="00D43965">
              <w:rPr>
                <w:rFonts w:ascii="Times New Roman" w:hAnsi="Times New Roman"/>
                <w:szCs w:val="24"/>
              </w:rPr>
              <w:t>0.0000 (0%) of gross</w:t>
            </w:r>
            <w:r w:rsidRPr="00D43965" w:rsidR="005E4265">
              <w:rPr>
                <w:rFonts w:ascii="Times New Roman" w:hAnsi="Times New Roman"/>
                <w:szCs w:val="24"/>
              </w:rPr>
              <w:t xml:space="preserve"> intrastate</w:t>
            </w:r>
            <w:r w:rsidRPr="00D43965">
              <w:rPr>
                <w:rFonts w:ascii="Times New Roman" w:hAnsi="Times New Roman"/>
                <w:szCs w:val="24"/>
              </w:rPr>
              <w:t xml:space="preserve"> revenue </w:t>
            </w:r>
            <w:r w:rsidRPr="00D43965" w:rsidR="00165F4F">
              <w:rPr>
                <w:rFonts w:ascii="Times New Roman" w:hAnsi="Times New Roman"/>
                <w:szCs w:val="24"/>
              </w:rPr>
              <w:t xml:space="preserve">and $0 </w:t>
            </w:r>
            <w:r w:rsidRPr="00D43965" w:rsidR="005E4265">
              <w:rPr>
                <w:rFonts w:ascii="Times New Roman" w:hAnsi="Times New Roman"/>
                <w:szCs w:val="24"/>
              </w:rPr>
              <w:t>for each quarterly and annual payment</w:t>
            </w:r>
            <w:r w:rsidRPr="00D43965">
              <w:rPr>
                <w:rFonts w:ascii="Times New Roman" w:hAnsi="Times New Roman"/>
                <w:szCs w:val="24"/>
              </w:rPr>
              <w:t xml:space="preserve"> </w:t>
            </w:r>
          </w:p>
          <w:p w:rsidRPr="00D43965" w:rsidR="00582C6F" w:rsidP="00582C6F" w:rsidRDefault="00582C6F" w14:paraId="51E7D311" w14:textId="77777777">
            <w:pPr>
              <w:rPr>
                <w:sz w:val="24"/>
                <w:szCs w:val="24"/>
              </w:rPr>
            </w:pPr>
          </w:p>
          <w:p w:rsidRPr="00D43965" w:rsidR="00582C6F" w:rsidP="00582C6F" w:rsidRDefault="00582C6F" w14:paraId="43698C3F" w14:textId="5175CCFD">
            <w:pPr>
              <w:rPr>
                <w:sz w:val="24"/>
                <w:szCs w:val="24"/>
              </w:rPr>
            </w:pPr>
          </w:p>
        </w:tc>
      </w:tr>
      <w:tr w:rsidRPr="00D43965" w:rsidR="00582C6F" w:rsidTr="008E72FD" w14:paraId="3687E1B5" w14:textId="77777777">
        <w:tblPrEx>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Ex>
        <w:tc>
          <w:tcPr>
            <w:tcW w:w="9360" w:type="dxa"/>
            <w:gridSpan w:val="2"/>
          </w:tcPr>
          <w:p w:rsidRPr="00D43965" w:rsidR="00582C6F" w:rsidP="00582C6F" w:rsidRDefault="00582C6F" w14:paraId="0E282E60" w14:textId="77777777">
            <w:pPr>
              <w:pStyle w:val="Heading2"/>
              <w:widowControl/>
              <w:spacing w:line="240" w:lineRule="auto"/>
              <w:rPr>
                <w:rFonts w:ascii="Times New Roman" w:hAnsi="Times New Roman"/>
                <w:szCs w:val="24"/>
              </w:rPr>
            </w:pPr>
            <w:r w:rsidRPr="00D43965">
              <w:rPr>
                <w:rFonts w:ascii="Times New Roman" w:hAnsi="Times New Roman"/>
                <w:szCs w:val="24"/>
              </w:rPr>
              <w:t>Vessel Operators:</w:t>
            </w:r>
          </w:p>
        </w:tc>
      </w:tr>
      <w:tr w:rsidRPr="00D43965" w:rsidR="00582C6F" w:rsidTr="001F2363" w14:paraId="509DD325" w14:textId="77777777">
        <w:tblPrEx>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Ex>
        <w:trPr>
          <w:trHeight w:val="818"/>
        </w:trPr>
        <w:tc>
          <w:tcPr>
            <w:tcW w:w="5418" w:type="dxa"/>
          </w:tcPr>
          <w:p w:rsidRPr="00D43965" w:rsidR="00582C6F" w:rsidP="00E52612" w:rsidRDefault="00582C6F" w14:paraId="15EAA583" w14:textId="77777777">
            <w:pPr>
              <w:ind w:left="150"/>
              <w:rPr>
                <w:sz w:val="24"/>
                <w:szCs w:val="24"/>
              </w:rPr>
            </w:pPr>
            <w:r w:rsidRPr="00D43965">
              <w:rPr>
                <w:sz w:val="24"/>
                <w:szCs w:val="24"/>
              </w:rPr>
              <w:t>Common Carrier Vessel Operator</w:t>
            </w:r>
            <w:r w:rsidRPr="00D43965">
              <w:rPr>
                <w:sz w:val="24"/>
                <w:szCs w:val="24"/>
              </w:rPr>
              <w:tab/>
            </w:r>
          </w:p>
        </w:tc>
        <w:tc>
          <w:tcPr>
            <w:tcW w:w="3942" w:type="dxa"/>
          </w:tcPr>
          <w:p w:rsidRPr="00D43965" w:rsidR="00582C6F" w:rsidP="00582C6F" w:rsidRDefault="00582C6F" w14:paraId="65DC5460" w14:textId="632E8BA2">
            <w:pPr>
              <w:rPr>
                <w:sz w:val="24"/>
                <w:szCs w:val="24"/>
              </w:rPr>
            </w:pPr>
            <w:r w:rsidRPr="00D43965">
              <w:rPr>
                <w:sz w:val="24"/>
                <w:szCs w:val="24"/>
              </w:rPr>
              <w:t>0.</w:t>
            </w:r>
            <w:r w:rsidRPr="00D43965" w:rsidR="00D953A8">
              <w:rPr>
                <w:sz w:val="24"/>
                <w:szCs w:val="24"/>
              </w:rPr>
              <w:t xml:space="preserve">0033 </w:t>
            </w:r>
            <w:r w:rsidRPr="00D43965" w:rsidR="00362DE8">
              <w:rPr>
                <w:sz w:val="24"/>
                <w:szCs w:val="24"/>
              </w:rPr>
              <w:t>(0</w:t>
            </w:r>
            <w:r w:rsidR="000F3DE2">
              <w:rPr>
                <w:sz w:val="24"/>
                <w:szCs w:val="24"/>
              </w:rPr>
              <w:t>.33</w:t>
            </w:r>
            <w:r w:rsidRPr="00D43965" w:rsidR="00362DE8">
              <w:rPr>
                <w:sz w:val="24"/>
                <w:szCs w:val="24"/>
              </w:rPr>
              <w:t xml:space="preserve">%) </w:t>
            </w:r>
            <w:r w:rsidRPr="00D43965">
              <w:rPr>
                <w:sz w:val="24"/>
                <w:szCs w:val="24"/>
              </w:rPr>
              <w:t>of gross</w:t>
            </w:r>
            <w:r w:rsidRPr="00D43965" w:rsidR="005E4265">
              <w:rPr>
                <w:sz w:val="24"/>
                <w:szCs w:val="24"/>
              </w:rPr>
              <w:t xml:space="preserve"> intrastate</w:t>
            </w:r>
            <w:r w:rsidRPr="00D43965">
              <w:rPr>
                <w:sz w:val="24"/>
                <w:szCs w:val="24"/>
              </w:rPr>
              <w:t xml:space="preserve"> revenue </w:t>
            </w:r>
            <w:r w:rsidRPr="00D43965" w:rsidR="00D953A8">
              <w:rPr>
                <w:sz w:val="24"/>
                <w:szCs w:val="24"/>
              </w:rPr>
              <w:t>plus minimum $10 quarterly fee or $25 annual fee</w:t>
            </w:r>
          </w:p>
        </w:tc>
      </w:tr>
      <w:tr w:rsidRPr="00D43965" w:rsidR="00582C6F" w:rsidTr="008E72FD" w14:paraId="6C2AB8A8" w14:textId="77777777">
        <w:tblPrEx>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Ex>
        <w:trPr>
          <w:trHeight w:val="350"/>
        </w:trPr>
        <w:tc>
          <w:tcPr>
            <w:tcW w:w="9360" w:type="dxa"/>
            <w:gridSpan w:val="2"/>
            <w:vAlign w:val="bottom"/>
          </w:tcPr>
          <w:p w:rsidRPr="00D43965" w:rsidR="00582C6F" w:rsidP="00582C6F" w:rsidRDefault="00582C6F" w14:paraId="51BA1E56" w14:textId="77777777">
            <w:pPr>
              <w:rPr>
                <w:sz w:val="24"/>
                <w:szCs w:val="24"/>
              </w:rPr>
            </w:pPr>
            <w:r w:rsidRPr="00D43965">
              <w:rPr>
                <w:sz w:val="24"/>
                <w:szCs w:val="24"/>
              </w:rPr>
              <w:t>Railroad Corporations:</w:t>
            </w:r>
          </w:p>
        </w:tc>
      </w:tr>
      <w:tr w:rsidRPr="00D43965" w:rsidR="00582C6F" w:rsidTr="008E72FD" w14:paraId="62973A05" w14:textId="77777777">
        <w:tblPrEx>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Ex>
        <w:tc>
          <w:tcPr>
            <w:tcW w:w="9360" w:type="dxa"/>
            <w:gridSpan w:val="2"/>
          </w:tcPr>
          <w:p w:rsidRPr="00D43965" w:rsidR="00582C6F" w:rsidP="00582C6F" w:rsidRDefault="00582C6F" w14:paraId="3DFB090E" w14:textId="77777777">
            <w:pPr>
              <w:rPr>
                <w:sz w:val="24"/>
                <w:szCs w:val="24"/>
              </w:rPr>
            </w:pPr>
            <w:r w:rsidRPr="00D43965">
              <w:rPr>
                <w:sz w:val="24"/>
                <w:szCs w:val="24"/>
              </w:rPr>
              <w:t>Class I:</w:t>
            </w:r>
          </w:p>
        </w:tc>
      </w:tr>
      <w:tr w:rsidRPr="00D43965" w:rsidR="00582C6F" w:rsidTr="001F2363" w14:paraId="778240E7" w14:textId="77777777">
        <w:tblPrEx>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Ex>
        <w:tc>
          <w:tcPr>
            <w:tcW w:w="5418" w:type="dxa"/>
          </w:tcPr>
          <w:p w:rsidRPr="00D43965" w:rsidR="00582C6F" w:rsidP="00872334" w:rsidRDefault="00582C6F" w14:paraId="5E99CD26" w14:textId="77777777">
            <w:pPr>
              <w:ind w:firstLine="521"/>
              <w:rPr>
                <w:sz w:val="24"/>
                <w:szCs w:val="24"/>
              </w:rPr>
            </w:pPr>
            <w:r w:rsidRPr="00D43965">
              <w:rPr>
                <w:sz w:val="24"/>
                <w:szCs w:val="24"/>
              </w:rPr>
              <w:t>Burlington Northern Santa Fe</w:t>
            </w:r>
          </w:p>
        </w:tc>
        <w:tc>
          <w:tcPr>
            <w:tcW w:w="3942" w:type="dxa"/>
          </w:tcPr>
          <w:p w:rsidRPr="00D43965" w:rsidR="00582C6F" w:rsidP="00582C6F" w:rsidRDefault="00582C6F" w14:paraId="4D6003E5" w14:textId="35AF3C54">
            <w:pPr>
              <w:ind w:left="789"/>
              <w:jc w:val="right"/>
              <w:rPr>
                <w:sz w:val="24"/>
                <w:szCs w:val="24"/>
              </w:rPr>
            </w:pPr>
            <w:r w:rsidRPr="00D43965">
              <w:rPr>
                <w:sz w:val="24"/>
                <w:szCs w:val="24"/>
              </w:rPr>
              <w:t>$3,391,022.20</w:t>
            </w:r>
          </w:p>
        </w:tc>
      </w:tr>
      <w:tr w:rsidRPr="00D43965" w:rsidR="00582C6F" w:rsidTr="001F2363" w14:paraId="0A70F297" w14:textId="77777777">
        <w:tblPrEx>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Ex>
        <w:tc>
          <w:tcPr>
            <w:tcW w:w="5418" w:type="dxa"/>
          </w:tcPr>
          <w:p w:rsidRPr="00D43965" w:rsidR="00582C6F" w:rsidP="00872334" w:rsidRDefault="00582C6F" w14:paraId="5B00E084" w14:textId="77777777">
            <w:pPr>
              <w:ind w:firstLine="521"/>
              <w:rPr>
                <w:sz w:val="24"/>
                <w:szCs w:val="24"/>
              </w:rPr>
            </w:pPr>
            <w:r w:rsidRPr="00D43965">
              <w:rPr>
                <w:sz w:val="24"/>
                <w:szCs w:val="24"/>
              </w:rPr>
              <w:t>Union Pacific</w:t>
            </w:r>
          </w:p>
        </w:tc>
        <w:tc>
          <w:tcPr>
            <w:tcW w:w="3942" w:type="dxa"/>
          </w:tcPr>
          <w:p w:rsidRPr="00D43965" w:rsidR="00582C6F" w:rsidP="00582C6F" w:rsidRDefault="00582C6F" w14:paraId="4BB218DF" w14:textId="04363C99">
            <w:pPr>
              <w:ind w:left="789"/>
              <w:jc w:val="right"/>
              <w:rPr>
                <w:sz w:val="24"/>
                <w:szCs w:val="24"/>
              </w:rPr>
            </w:pPr>
            <w:r w:rsidRPr="00D43965">
              <w:rPr>
                <w:sz w:val="24"/>
                <w:szCs w:val="24"/>
              </w:rPr>
              <w:t>$8,304,657.80</w:t>
            </w:r>
          </w:p>
        </w:tc>
      </w:tr>
      <w:tr w:rsidRPr="00D43965" w:rsidR="00582C6F" w:rsidTr="001F2363" w14:paraId="2BC39015" w14:textId="77777777">
        <w:tblPrEx>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Ex>
        <w:tc>
          <w:tcPr>
            <w:tcW w:w="5418" w:type="dxa"/>
          </w:tcPr>
          <w:p w:rsidRPr="00D43965" w:rsidR="00582C6F" w:rsidP="00872334" w:rsidRDefault="00582C6F" w14:paraId="2A173A96" w14:textId="77777777">
            <w:pPr>
              <w:rPr>
                <w:sz w:val="24"/>
                <w:szCs w:val="24"/>
              </w:rPr>
            </w:pPr>
            <w:r w:rsidRPr="00D43965">
              <w:rPr>
                <w:sz w:val="24"/>
                <w:szCs w:val="24"/>
              </w:rPr>
              <w:t>Class II and III (</w:t>
            </w:r>
            <w:proofErr w:type="spellStart"/>
            <w:r w:rsidRPr="00D43965">
              <w:rPr>
                <w:sz w:val="24"/>
                <w:szCs w:val="24"/>
              </w:rPr>
              <w:t>shortline</w:t>
            </w:r>
            <w:proofErr w:type="spellEnd"/>
            <w:r w:rsidRPr="00D43965">
              <w:rPr>
                <w:sz w:val="24"/>
                <w:szCs w:val="24"/>
              </w:rPr>
              <w:t>)</w:t>
            </w:r>
          </w:p>
        </w:tc>
        <w:tc>
          <w:tcPr>
            <w:tcW w:w="3942" w:type="dxa"/>
          </w:tcPr>
          <w:p w:rsidRPr="00D43965" w:rsidR="00582C6F" w:rsidP="00582C6F" w:rsidRDefault="000F3DE2" w14:paraId="582F5B04" w14:textId="32D5ED49">
            <w:pPr>
              <w:rPr>
                <w:sz w:val="24"/>
                <w:szCs w:val="24"/>
              </w:rPr>
            </w:pPr>
            <w:r>
              <w:rPr>
                <w:sz w:val="24"/>
                <w:szCs w:val="24"/>
              </w:rPr>
              <w:t>0.0027 (</w:t>
            </w:r>
            <w:r w:rsidRPr="00D43965" w:rsidR="00582C6F">
              <w:rPr>
                <w:sz w:val="24"/>
                <w:szCs w:val="24"/>
              </w:rPr>
              <w:t>0.27%</w:t>
            </w:r>
            <w:r>
              <w:rPr>
                <w:sz w:val="24"/>
                <w:szCs w:val="24"/>
              </w:rPr>
              <w:t>)</w:t>
            </w:r>
            <w:r w:rsidRPr="00D43965" w:rsidR="00582C6F">
              <w:rPr>
                <w:sz w:val="24"/>
                <w:szCs w:val="24"/>
              </w:rPr>
              <w:t xml:space="preserve"> of gross </w:t>
            </w:r>
            <w:r w:rsidRPr="00D43965" w:rsidR="005E4265">
              <w:rPr>
                <w:sz w:val="24"/>
                <w:szCs w:val="24"/>
              </w:rPr>
              <w:t xml:space="preserve">intrastate </w:t>
            </w:r>
            <w:r w:rsidRPr="00D43965" w:rsidR="00582C6F">
              <w:rPr>
                <w:sz w:val="24"/>
                <w:szCs w:val="24"/>
              </w:rPr>
              <w:t>revenue, minimum of $500 each</w:t>
            </w:r>
          </w:p>
        </w:tc>
      </w:tr>
      <w:tr w:rsidRPr="00D43965" w:rsidR="00582C6F" w:rsidTr="00582C6F" w14:paraId="35740460" w14:textId="77777777">
        <w:tblPrEx>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Ex>
        <w:trPr>
          <w:trHeight w:val="395"/>
        </w:trPr>
        <w:tc>
          <w:tcPr>
            <w:tcW w:w="5418" w:type="dxa"/>
          </w:tcPr>
          <w:p w:rsidRPr="00D43965" w:rsidR="00582C6F" w:rsidP="00582C6F" w:rsidRDefault="00582C6F" w14:paraId="087B3120" w14:textId="77777777">
            <w:pPr>
              <w:rPr>
                <w:sz w:val="24"/>
                <w:szCs w:val="24"/>
              </w:rPr>
            </w:pPr>
            <w:r w:rsidRPr="00D43965">
              <w:rPr>
                <w:sz w:val="24"/>
                <w:szCs w:val="24"/>
              </w:rPr>
              <w:t>Pipeline Corporations</w:t>
            </w:r>
          </w:p>
        </w:tc>
        <w:tc>
          <w:tcPr>
            <w:tcW w:w="3942" w:type="dxa"/>
          </w:tcPr>
          <w:p w:rsidRPr="00D43965" w:rsidR="00582C6F" w:rsidP="00582C6F" w:rsidRDefault="00582C6F" w14:paraId="791854A4" w14:textId="0BAFB606">
            <w:pPr>
              <w:rPr>
                <w:sz w:val="24"/>
                <w:szCs w:val="24"/>
              </w:rPr>
            </w:pPr>
            <w:r w:rsidRPr="00D43965">
              <w:rPr>
                <w:sz w:val="24"/>
                <w:szCs w:val="24"/>
              </w:rPr>
              <w:t>0.</w:t>
            </w:r>
            <w:r w:rsidRPr="00D43965" w:rsidR="00D953A8">
              <w:rPr>
                <w:sz w:val="24"/>
                <w:szCs w:val="24"/>
              </w:rPr>
              <w:t xml:space="preserve">00034 </w:t>
            </w:r>
            <w:r w:rsidRPr="00D43965" w:rsidR="00362DE8">
              <w:rPr>
                <w:sz w:val="24"/>
                <w:szCs w:val="24"/>
              </w:rPr>
              <w:t>(0</w:t>
            </w:r>
            <w:r w:rsidR="000F3DE2">
              <w:rPr>
                <w:sz w:val="24"/>
                <w:szCs w:val="24"/>
              </w:rPr>
              <w:t>.034</w:t>
            </w:r>
            <w:r w:rsidRPr="00D43965" w:rsidR="00362DE8">
              <w:rPr>
                <w:sz w:val="24"/>
                <w:szCs w:val="24"/>
              </w:rPr>
              <w:t xml:space="preserve">%) </w:t>
            </w:r>
            <w:r w:rsidRPr="00D43965">
              <w:rPr>
                <w:sz w:val="24"/>
                <w:szCs w:val="24"/>
              </w:rPr>
              <w:t xml:space="preserve">of gross </w:t>
            </w:r>
            <w:r w:rsidRPr="00D43965" w:rsidR="005E4265">
              <w:rPr>
                <w:sz w:val="24"/>
                <w:szCs w:val="24"/>
              </w:rPr>
              <w:t xml:space="preserve">intrastate </w:t>
            </w:r>
            <w:r w:rsidRPr="00D43965">
              <w:rPr>
                <w:sz w:val="24"/>
                <w:szCs w:val="24"/>
              </w:rPr>
              <w:t>revenue</w:t>
            </w:r>
          </w:p>
        </w:tc>
      </w:tr>
    </w:tbl>
    <w:p w:rsidRPr="00D43965" w:rsidR="00165F4F" w:rsidP="00165F4F" w:rsidRDefault="00165F4F" w14:paraId="3E5888B7" w14:textId="77777777">
      <w:pPr>
        <w:rPr>
          <w:sz w:val="24"/>
          <w:szCs w:val="24"/>
        </w:rPr>
      </w:pPr>
    </w:p>
    <w:p w:rsidR="00165F4F" w:rsidRDefault="00165F4F" w14:paraId="1356DA98" w14:textId="1A02E841">
      <w:pPr>
        <w:pStyle w:val="ListParagraph"/>
        <w:numPr>
          <w:ilvl w:val="0"/>
          <w:numId w:val="2"/>
        </w:numPr>
        <w:rPr>
          <w:sz w:val="24"/>
          <w:szCs w:val="24"/>
        </w:rPr>
      </w:pPr>
      <w:r w:rsidRPr="00B719F9">
        <w:rPr>
          <w:sz w:val="24"/>
          <w:szCs w:val="24"/>
        </w:rPr>
        <w:t xml:space="preserve">Carriers </w:t>
      </w:r>
      <w:r w:rsidR="003B46BE">
        <w:rPr>
          <w:sz w:val="24"/>
          <w:szCs w:val="24"/>
        </w:rPr>
        <w:t>retain the obligation to</w:t>
      </w:r>
      <w:r w:rsidRPr="00B719F9">
        <w:rPr>
          <w:sz w:val="24"/>
          <w:szCs w:val="24"/>
        </w:rPr>
        <w:t xml:space="preserve"> report quarterly or annual gross intrastate revenues, pursuant to Public Utilities Code Sections 423. </w:t>
      </w:r>
    </w:p>
    <w:p w:rsidR="00D164B9" w:rsidP="0044600A" w:rsidRDefault="00D164B9" w14:paraId="6339E1DD" w14:textId="77777777">
      <w:pPr>
        <w:pStyle w:val="ListParagraph"/>
        <w:rPr>
          <w:sz w:val="24"/>
          <w:szCs w:val="24"/>
        </w:rPr>
      </w:pPr>
    </w:p>
    <w:p w:rsidR="00D164B9" w:rsidRDefault="00D164B9" w14:paraId="485722F2" w14:textId="7C94B74A">
      <w:pPr>
        <w:pStyle w:val="ListParagraph"/>
        <w:numPr>
          <w:ilvl w:val="0"/>
          <w:numId w:val="2"/>
        </w:numPr>
        <w:rPr>
          <w:sz w:val="24"/>
          <w:szCs w:val="24"/>
        </w:rPr>
      </w:pPr>
      <w:r>
        <w:rPr>
          <w:sz w:val="24"/>
          <w:szCs w:val="24"/>
        </w:rPr>
        <w:t>Prime carriers retain the obligation to report and pay the fees on the gross intrastate earnings of subcarriers.</w:t>
      </w:r>
    </w:p>
    <w:p w:rsidRPr="0044600A" w:rsidR="002C244C" w:rsidP="0044600A" w:rsidRDefault="002C244C" w14:paraId="119BB352" w14:textId="77777777">
      <w:pPr>
        <w:pStyle w:val="ListParagraph"/>
        <w:rPr>
          <w:sz w:val="24"/>
          <w:szCs w:val="24"/>
        </w:rPr>
      </w:pPr>
    </w:p>
    <w:p w:rsidR="002C244C" w:rsidP="0044600A" w:rsidRDefault="008C3482" w14:paraId="78AEF4C1" w14:textId="329B3BEB">
      <w:pPr>
        <w:pStyle w:val="BodyText"/>
        <w:numPr>
          <w:ilvl w:val="0"/>
          <w:numId w:val="2"/>
        </w:numPr>
        <w:rPr>
          <w:color w:val="000000" w:themeColor="text1"/>
          <w:szCs w:val="24"/>
        </w:rPr>
      </w:pPr>
      <w:r w:rsidRPr="00D43965">
        <w:rPr>
          <w:color w:val="000000" w:themeColor="text1"/>
          <w:szCs w:val="24"/>
        </w:rPr>
        <w:t xml:space="preserve">The penalty imposed in Public Utilities Code Section 405 for </w:t>
      </w:r>
      <w:r w:rsidRPr="00D43965" w:rsidR="003D2428">
        <w:rPr>
          <w:color w:val="000000" w:themeColor="text1"/>
          <w:szCs w:val="24"/>
        </w:rPr>
        <w:t xml:space="preserve">late </w:t>
      </w:r>
      <w:r w:rsidRPr="00D43965">
        <w:rPr>
          <w:color w:val="000000" w:themeColor="text1"/>
          <w:szCs w:val="24"/>
        </w:rPr>
        <w:t>payment of the fee</w:t>
      </w:r>
      <w:r w:rsidR="002C244C">
        <w:rPr>
          <w:color w:val="000000" w:themeColor="text1"/>
          <w:szCs w:val="24"/>
        </w:rPr>
        <w:t xml:space="preserve"> </w:t>
      </w:r>
      <w:r w:rsidRPr="00D43965">
        <w:rPr>
          <w:color w:val="000000" w:themeColor="text1"/>
          <w:szCs w:val="24"/>
        </w:rPr>
        <w:t>provided for in Public Utilities Code Section 421 shall remain fixed at 25% of the amount</w:t>
      </w:r>
      <w:r w:rsidR="002C244C">
        <w:rPr>
          <w:color w:val="000000" w:themeColor="text1"/>
          <w:szCs w:val="24"/>
        </w:rPr>
        <w:t xml:space="preserve"> </w:t>
      </w:r>
      <w:r w:rsidRPr="00D43965">
        <w:rPr>
          <w:color w:val="000000" w:themeColor="text1"/>
          <w:szCs w:val="24"/>
        </w:rPr>
        <w:t>of the fee.</w:t>
      </w:r>
    </w:p>
    <w:p w:rsidRPr="00D43965" w:rsidR="002C244C" w:rsidP="0044600A" w:rsidRDefault="002C244C" w14:paraId="444839BA" w14:textId="77777777">
      <w:pPr>
        <w:pStyle w:val="BodyText"/>
        <w:ind w:left="720"/>
        <w:rPr>
          <w:color w:val="000000" w:themeColor="text1"/>
          <w:szCs w:val="24"/>
        </w:rPr>
      </w:pPr>
    </w:p>
    <w:p w:rsidR="002C244C" w:rsidP="003B46BE" w:rsidRDefault="00A5446A" w14:paraId="3C4BA9B6" w14:textId="7AFBE9FA">
      <w:pPr>
        <w:pStyle w:val="BodyText"/>
        <w:numPr>
          <w:ilvl w:val="0"/>
          <w:numId w:val="2"/>
        </w:numPr>
        <w:rPr>
          <w:color w:val="000000" w:themeColor="text1"/>
          <w:szCs w:val="24"/>
        </w:rPr>
      </w:pPr>
      <w:r w:rsidRPr="003B46BE">
        <w:rPr>
          <w:color w:val="000000" w:themeColor="text1"/>
          <w:szCs w:val="24"/>
        </w:rPr>
        <w:t>T</w:t>
      </w:r>
      <w:r w:rsidRPr="003B46BE" w:rsidR="003B46BE">
        <w:rPr>
          <w:color w:val="000000" w:themeColor="text1"/>
          <w:szCs w:val="24"/>
        </w:rPr>
        <w:t>oday’s adopted fee structure will be evaluated annually and modified as needed based on fund condition status.</w:t>
      </w:r>
    </w:p>
    <w:p w:rsidRPr="00D43965" w:rsidR="003B46BE" w:rsidP="0044600A" w:rsidRDefault="003B46BE" w14:paraId="7B6FFE0A" w14:textId="77777777">
      <w:pPr>
        <w:pStyle w:val="BodyText"/>
        <w:ind w:left="720"/>
        <w:rPr>
          <w:color w:val="000000" w:themeColor="text1"/>
          <w:szCs w:val="24"/>
        </w:rPr>
      </w:pPr>
    </w:p>
    <w:p w:rsidRPr="004747C3" w:rsidR="00553571" w:rsidP="00A003F9" w:rsidRDefault="003B46BE" w14:paraId="2F9DAA19" w14:textId="7F4EBB69">
      <w:pPr>
        <w:pStyle w:val="BodyText"/>
        <w:numPr>
          <w:ilvl w:val="0"/>
          <w:numId w:val="2"/>
        </w:numPr>
        <w:rPr>
          <w:szCs w:val="24"/>
        </w:rPr>
      </w:pPr>
      <w:r w:rsidRPr="004747C3">
        <w:rPr>
          <w:szCs w:val="24"/>
        </w:rPr>
        <w:t>The effective date of this order is today.</w:t>
      </w:r>
      <w:r w:rsidRPr="004747C3" w:rsidR="00553571">
        <w:rPr>
          <w:szCs w:val="24"/>
        </w:rPr>
        <w:br w:type="page"/>
      </w:r>
    </w:p>
    <w:p w:rsidRPr="00D43965" w:rsidR="004B716D" w:rsidP="004B716D" w:rsidRDefault="004B716D" w14:paraId="4470C6EC" w14:textId="4F9559AA">
      <w:pPr>
        <w:pStyle w:val="BodyText1Noindent"/>
        <w:rPr>
          <w:sz w:val="24"/>
          <w:szCs w:val="24"/>
        </w:rPr>
      </w:pPr>
      <w:r w:rsidRPr="00D43965">
        <w:rPr>
          <w:sz w:val="24"/>
          <w:szCs w:val="24"/>
        </w:rPr>
        <w:lastRenderedPageBreak/>
        <w:t xml:space="preserve">I </w:t>
      </w:r>
      <w:r w:rsidRPr="00D263F4">
        <w:rPr>
          <w:sz w:val="24"/>
          <w:szCs w:val="24"/>
        </w:rPr>
        <w:t xml:space="preserve">certify that the foregoing resolution was adopted by the California Public Utilities Commission at its regular meeting of </w:t>
      </w:r>
      <w:r w:rsidRPr="00D263F4" w:rsidR="00B14931">
        <w:rPr>
          <w:sz w:val="24"/>
          <w:szCs w:val="24"/>
        </w:rPr>
        <w:t xml:space="preserve">December </w:t>
      </w:r>
      <w:r w:rsidRPr="00D263F4" w:rsidR="00A24A67">
        <w:rPr>
          <w:sz w:val="24"/>
          <w:szCs w:val="24"/>
        </w:rPr>
        <w:t>3</w:t>
      </w:r>
      <w:r w:rsidRPr="00D263F4">
        <w:rPr>
          <w:sz w:val="24"/>
          <w:szCs w:val="24"/>
        </w:rPr>
        <w:t>, 2020 and</w:t>
      </w:r>
      <w:r w:rsidRPr="00D43965">
        <w:rPr>
          <w:sz w:val="24"/>
          <w:szCs w:val="24"/>
        </w:rPr>
        <w:t xml:space="preserve"> the following Commissioners approved favorably thereon:</w:t>
      </w:r>
    </w:p>
    <w:p w:rsidR="00860EDB" w:rsidP="004B716D" w:rsidRDefault="00860EDB" w14:paraId="00C942C3" w14:textId="4BC88A62">
      <w:pPr>
        <w:rPr>
          <w:sz w:val="24"/>
          <w:szCs w:val="24"/>
        </w:rPr>
      </w:pPr>
    </w:p>
    <w:p w:rsidR="0005423C" w:rsidP="004B716D" w:rsidRDefault="0005423C" w14:paraId="6771C178" w14:textId="1217F9B4">
      <w:pPr>
        <w:rPr>
          <w:sz w:val="24"/>
          <w:szCs w:val="24"/>
        </w:rPr>
      </w:pPr>
    </w:p>
    <w:p w:rsidRPr="00D43965" w:rsidR="0005423C" w:rsidP="004B716D" w:rsidRDefault="0005423C" w14:paraId="3CD33174" w14:textId="77777777">
      <w:pPr>
        <w:rPr>
          <w:sz w:val="24"/>
          <w:szCs w:val="24"/>
        </w:rPr>
      </w:pPr>
    </w:p>
    <w:tbl>
      <w:tblPr>
        <w:tblW w:w="0" w:type="auto"/>
        <w:tblInd w:w="4788" w:type="dxa"/>
        <w:tblLayout w:type="fixed"/>
        <w:tblLook w:val="0000" w:firstRow="0" w:lastRow="0" w:firstColumn="0" w:lastColumn="0" w:noHBand="0" w:noVBand="0"/>
      </w:tblPr>
      <w:tblGrid>
        <w:gridCol w:w="3870"/>
      </w:tblGrid>
      <w:tr w:rsidRPr="00D43965" w:rsidR="004B716D" w:rsidTr="002A5194" w14:paraId="24CC9D4C" w14:textId="77777777">
        <w:tc>
          <w:tcPr>
            <w:tcW w:w="3870" w:type="dxa"/>
            <w:tcBorders>
              <w:bottom w:val="single" w:color="auto" w:sz="6" w:space="0"/>
            </w:tcBorders>
          </w:tcPr>
          <w:p w:rsidRPr="00D43965" w:rsidR="004B716D" w:rsidP="002A5194" w:rsidRDefault="004B716D" w14:paraId="1A720F96" w14:textId="77777777">
            <w:pPr>
              <w:ind w:right="-648"/>
              <w:rPr>
                <w:sz w:val="24"/>
                <w:szCs w:val="24"/>
              </w:rPr>
            </w:pPr>
          </w:p>
        </w:tc>
      </w:tr>
      <w:tr w:rsidRPr="00D43965" w:rsidR="004B716D" w:rsidTr="002A5194" w14:paraId="16BAC683" w14:textId="77777777">
        <w:tc>
          <w:tcPr>
            <w:tcW w:w="3870" w:type="dxa"/>
          </w:tcPr>
          <w:p w:rsidRPr="00D43965" w:rsidR="004B716D" w:rsidP="002A5194" w:rsidRDefault="005C4026" w14:paraId="58BB421A" w14:textId="08D1F039">
            <w:pPr>
              <w:pStyle w:val="Heading6"/>
              <w:ind w:left="-40"/>
              <w:jc w:val="center"/>
              <w:rPr>
                <w:rFonts w:ascii="Times New Roman" w:hAnsi="Times New Roman"/>
                <w:b w:val="0"/>
                <w:bCs w:val="0"/>
              </w:rPr>
            </w:pPr>
            <w:r w:rsidRPr="00D43965">
              <w:rPr>
                <w:rFonts w:ascii="Times New Roman" w:hAnsi="Times New Roman"/>
                <w:b w:val="0"/>
                <w:bCs w:val="0"/>
              </w:rPr>
              <w:t>Rachel Peterson</w:t>
            </w:r>
          </w:p>
          <w:p w:rsidRPr="00D43965" w:rsidR="004B716D" w:rsidP="002A5194" w:rsidRDefault="003B46BE" w14:paraId="22E3C2F4" w14:textId="300F6FF1">
            <w:pPr>
              <w:pStyle w:val="Heading6"/>
              <w:ind w:left="-40"/>
              <w:jc w:val="center"/>
              <w:rPr>
                <w:rFonts w:ascii="Times New Roman" w:hAnsi="Times New Roman"/>
              </w:rPr>
            </w:pPr>
            <w:r>
              <w:rPr>
                <w:rFonts w:ascii="Times New Roman" w:hAnsi="Times New Roman"/>
                <w:b w:val="0"/>
                <w:bCs w:val="0"/>
              </w:rPr>
              <w:t>Acting</w:t>
            </w:r>
            <w:r w:rsidRPr="00D43965">
              <w:rPr>
                <w:rFonts w:ascii="Times New Roman" w:hAnsi="Times New Roman"/>
                <w:b w:val="0"/>
                <w:bCs w:val="0"/>
              </w:rPr>
              <w:t xml:space="preserve"> </w:t>
            </w:r>
            <w:r w:rsidRPr="00D43965" w:rsidR="004B716D">
              <w:rPr>
                <w:rFonts w:ascii="Times New Roman" w:hAnsi="Times New Roman"/>
                <w:b w:val="0"/>
                <w:bCs w:val="0"/>
              </w:rPr>
              <w:t>Executive Director</w:t>
            </w:r>
          </w:p>
        </w:tc>
      </w:tr>
    </w:tbl>
    <w:p w:rsidR="0005423C" w:rsidRDefault="0005423C" w14:paraId="544F1F59" w14:textId="77777777">
      <w:pPr>
        <w:rPr>
          <w:b/>
          <w:bCs/>
          <w:sz w:val="24"/>
          <w:szCs w:val="24"/>
        </w:rPr>
        <w:sectPr w:rsidR="0005423C" w:rsidSect="0005423C">
          <w:headerReference w:type="default" r:id="rId8"/>
          <w:footerReference w:type="default" r:id="rId9"/>
          <w:headerReference w:type="first" r:id="rId10"/>
          <w:footerReference w:type="first" r:id="rId11"/>
          <w:pgSz w:w="12240" w:h="15840" w:code="1"/>
          <w:pgMar w:top="1120" w:right="1440" w:bottom="1440" w:left="1440" w:header="720" w:footer="720" w:gutter="0"/>
          <w:cols w:space="720"/>
          <w:noEndnote/>
          <w:titlePg/>
          <w:docGrid w:linePitch="272"/>
        </w:sectPr>
      </w:pPr>
    </w:p>
    <w:p w:rsidRPr="00D43965" w:rsidR="00695251" w:rsidRDefault="00695251" w14:paraId="27501251" w14:textId="7A726EAC">
      <w:pPr>
        <w:rPr>
          <w:b/>
          <w:bCs/>
          <w:sz w:val="24"/>
          <w:szCs w:val="24"/>
        </w:rPr>
      </w:pPr>
    </w:p>
    <w:p w:rsidRPr="00D43965" w:rsidR="000F6958" w:rsidP="00C06C22" w:rsidRDefault="00E0544D" w14:paraId="1090BC82" w14:textId="77777777">
      <w:pPr>
        <w:pStyle w:val="Heading3"/>
        <w:shd w:val="clear" w:color="auto" w:fill="FFFFFF" w:themeFill="background1"/>
        <w:rPr>
          <w:b/>
          <w:bCs/>
          <w:szCs w:val="24"/>
        </w:rPr>
      </w:pPr>
      <w:r w:rsidRPr="00D43965">
        <w:rPr>
          <w:b/>
          <w:bCs/>
          <w:szCs w:val="24"/>
        </w:rPr>
        <w:t>A</w:t>
      </w:r>
      <w:r w:rsidRPr="00D43965" w:rsidR="000F6958">
        <w:rPr>
          <w:b/>
          <w:bCs/>
          <w:szCs w:val="24"/>
        </w:rPr>
        <w:t>PPENDIX A</w:t>
      </w:r>
    </w:p>
    <w:p w:rsidRPr="00D43965" w:rsidR="000F6958" w:rsidRDefault="000F6958" w14:paraId="1B9C900F" w14:textId="77777777">
      <w:pPr>
        <w:rPr>
          <w:b/>
          <w:bCs/>
          <w:sz w:val="24"/>
          <w:szCs w:val="24"/>
        </w:rPr>
      </w:pPr>
    </w:p>
    <w:p w:rsidRPr="00D43965" w:rsidR="003C1D5A" w:rsidP="003C1D5A" w:rsidRDefault="003C1D5A" w14:paraId="604F5834" w14:textId="77777777">
      <w:pPr>
        <w:jc w:val="center"/>
        <w:rPr>
          <w:b/>
          <w:bCs/>
          <w:sz w:val="24"/>
          <w:szCs w:val="24"/>
        </w:rPr>
      </w:pPr>
      <w:r w:rsidRPr="00D43965">
        <w:rPr>
          <w:b/>
          <w:bCs/>
          <w:sz w:val="24"/>
          <w:szCs w:val="24"/>
        </w:rPr>
        <w:t>0461 Public Utilities Commission Transportation Reimbursement Account</w:t>
      </w:r>
    </w:p>
    <w:p w:rsidRPr="00D43965" w:rsidR="003C1D5A" w:rsidP="00065D75" w:rsidRDefault="003C1D5A" w14:paraId="5E698AE7" w14:textId="77777777">
      <w:pPr>
        <w:jc w:val="center"/>
        <w:rPr>
          <w:b/>
          <w:bCs/>
          <w:sz w:val="24"/>
          <w:szCs w:val="24"/>
        </w:rPr>
      </w:pPr>
      <w:r w:rsidRPr="00D43965">
        <w:rPr>
          <w:b/>
          <w:bCs/>
          <w:sz w:val="24"/>
          <w:szCs w:val="24"/>
        </w:rPr>
        <w:t>Fund Condition Statement</w:t>
      </w:r>
      <w:r w:rsidRPr="00D43965" w:rsidR="001E68A2">
        <w:rPr>
          <w:b/>
          <w:bCs/>
          <w:sz w:val="24"/>
          <w:szCs w:val="24"/>
        </w:rPr>
        <w:t xml:space="preserve"> </w:t>
      </w:r>
    </w:p>
    <w:tbl>
      <w:tblPr>
        <w:tblpPr w:leftFromText="180" w:rightFromText="180" w:vertAnchor="text" w:horzAnchor="page" w:tblpX="1203" w:tblpY="534"/>
        <w:tblW w:w="10602" w:type="dxa"/>
        <w:tblBorders>
          <w:top w:val="single" w:color="F2F2F2" w:themeColor="background1" w:themeShade="F2" w:sz="4" w:space="0"/>
          <w:left w:val="single" w:color="F2F2F2" w:themeColor="background1" w:themeShade="F2" w:sz="4" w:space="0"/>
          <w:bottom w:val="single" w:color="F2F2F2" w:themeColor="background1" w:themeShade="F2" w:sz="4" w:space="0"/>
          <w:right w:val="single" w:color="F2F2F2" w:themeColor="background1" w:themeShade="F2" w:sz="4" w:space="0"/>
          <w:insideH w:val="single" w:color="F2F2F2" w:themeColor="background1" w:themeShade="F2" w:sz="6" w:space="0"/>
          <w:insideV w:val="single" w:color="F2F2F2" w:themeColor="background1" w:themeShade="F2" w:sz="6" w:space="0"/>
        </w:tblBorders>
        <w:tblLook w:val="04A0" w:firstRow="1" w:lastRow="0" w:firstColumn="1" w:lastColumn="0" w:noHBand="0" w:noVBand="1"/>
      </w:tblPr>
      <w:tblGrid>
        <w:gridCol w:w="5704"/>
        <w:gridCol w:w="2575"/>
        <w:gridCol w:w="2323"/>
      </w:tblGrid>
      <w:tr w:rsidRPr="00D43965" w:rsidR="00065D75" w:rsidTr="00872334" w14:paraId="26174D42" w14:textId="77777777">
        <w:trPr>
          <w:trHeight w:val="415"/>
        </w:trPr>
        <w:tc>
          <w:tcPr>
            <w:tcW w:w="5704" w:type="dxa"/>
            <w:shd w:val="clear" w:color="auto" w:fill="auto"/>
            <w:noWrap/>
            <w:vAlign w:val="bottom"/>
            <w:hideMark/>
          </w:tcPr>
          <w:p w:rsidRPr="00D43965" w:rsidR="00065D75" w:rsidP="00973CEE" w:rsidRDefault="00065D75" w14:paraId="1202ABD1" w14:textId="77777777">
            <w:pPr>
              <w:rPr>
                <w:color w:val="000000"/>
                <w:sz w:val="24"/>
                <w:szCs w:val="24"/>
              </w:rPr>
            </w:pPr>
          </w:p>
        </w:tc>
        <w:tc>
          <w:tcPr>
            <w:tcW w:w="2575" w:type="dxa"/>
            <w:shd w:val="clear" w:color="auto" w:fill="auto"/>
            <w:noWrap/>
            <w:vAlign w:val="bottom"/>
            <w:hideMark/>
          </w:tcPr>
          <w:p w:rsidRPr="00D43965" w:rsidR="00065D75" w:rsidP="00973CEE" w:rsidRDefault="005E50A5" w14:paraId="0B8639FC" w14:textId="38C97096">
            <w:pPr>
              <w:jc w:val="center"/>
              <w:rPr>
                <w:b/>
                <w:color w:val="000000"/>
                <w:sz w:val="24"/>
                <w:szCs w:val="24"/>
              </w:rPr>
            </w:pPr>
            <w:r w:rsidRPr="0044600A">
              <w:rPr>
                <w:b/>
                <w:color w:val="000000"/>
                <w:sz w:val="24"/>
                <w:szCs w:val="24"/>
              </w:rPr>
              <w:t xml:space="preserve">FY </w:t>
            </w:r>
            <w:r w:rsidRPr="00D43965" w:rsidR="00065D75">
              <w:rPr>
                <w:b/>
                <w:color w:val="000000"/>
                <w:sz w:val="24"/>
                <w:szCs w:val="24"/>
              </w:rPr>
              <w:t>20</w:t>
            </w:r>
            <w:r w:rsidRPr="00D43965" w:rsidR="00B36655">
              <w:rPr>
                <w:b/>
                <w:color w:val="000000"/>
                <w:sz w:val="24"/>
                <w:szCs w:val="24"/>
              </w:rPr>
              <w:t>18-19</w:t>
            </w:r>
          </w:p>
        </w:tc>
        <w:tc>
          <w:tcPr>
            <w:tcW w:w="2322" w:type="dxa"/>
            <w:shd w:val="clear" w:color="auto" w:fill="auto"/>
            <w:noWrap/>
            <w:vAlign w:val="bottom"/>
            <w:hideMark/>
          </w:tcPr>
          <w:p w:rsidRPr="00D43965" w:rsidR="00065D75" w:rsidP="000E3DF5" w:rsidRDefault="005E50A5" w14:paraId="376B2FD8" w14:textId="3F46FF1C">
            <w:pPr>
              <w:jc w:val="center"/>
              <w:rPr>
                <w:b/>
                <w:color w:val="000000"/>
                <w:sz w:val="24"/>
                <w:szCs w:val="24"/>
              </w:rPr>
            </w:pPr>
            <w:r w:rsidRPr="0044600A">
              <w:rPr>
                <w:b/>
                <w:color w:val="000000"/>
                <w:sz w:val="24"/>
                <w:szCs w:val="24"/>
              </w:rPr>
              <w:t xml:space="preserve">FY </w:t>
            </w:r>
            <w:r w:rsidRPr="00D43965" w:rsidR="00065D75">
              <w:rPr>
                <w:b/>
                <w:color w:val="000000"/>
                <w:sz w:val="24"/>
                <w:szCs w:val="24"/>
              </w:rPr>
              <w:t>201</w:t>
            </w:r>
            <w:r w:rsidRPr="00D43965" w:rsidR="00626F4C">
              <w:rPr>
                <w:b/>
                <w:color w:val="000000"/>
                <w:sz w:val="24"/>
                <w:szCs w:val="24"/>
              </w:rPr>
              <w:t>9-20</w:t>
            </w:r>
          </w:p>
        </w:tc>
      </w:tr>
      <w:tr w:rsidRPr="00D43965" w:rsidR="00065D75" w:rsidTr="00732412" w14:paraId="3E5B72CA" w14:textId="77777777">
        <w:trPr>
          <w:trHeight w:val="415"/>
        </w:trPr>
        <w:tc>
          <w:tcPr>
            <w:tcW w:w="5704" w:type="dxa"/>
            <w:shd w:val="clear" w:color="auto" w:fill="auto"/>
            <w:noWrap/>
            <w:vAlign w:val="bottom"/>
            <w:hideMark/>
          </w:tcPr>
          <w:p w:rsidRPr="00D43965" w:rsidR="00065D75" w:rsidP="00973CEE" w:rsidRDefault="00A6684E" w14:paraId="66FBA402" w14:textId="77777777">
            <w:pPr>
              <w:rPr>
                <w:color w:val="000000"/>
                <w:sz w:val="24"/>
                <w:szCs w:val="24"/>
              </w:rPr>
            </w:pPr>
            <w:r w:rsidRPr="00D43965">
              <w:rPr>
                <w:color w:val="000000"/>
                <w:sz w:val="24"/>
                <w:szCs w:val="24"/>
              </w:rPr>
              <w:t>BEGINNING BALANCE</w:t>
            </w:r>
          </w:p>
        </w:tc>
        <w:tc>
          <w:tcPr>
            <w:tcW w:w="2575" w:type="dxa"/>
            <w:tcBorders>
              <w:bottom w:val="single" w:color="F2F2F2" w:themeColor="background1" w:themeShade="F2" w:sz="6" w:space="0"/>
            </w:tcBorders>
            <w:shd w:val="clear" w:color="auto" w:fill="auto"/>
            <w:noWrap/>
            <w:vAlign w:val="bottom"/>
            <w:hideMark/>
          </w:tcPr>
          <w:p w:rsidRPr="00D43965" w:rsidR="00065D75" w:rsidP="00973CEE" w:rsidRDefault="000A7AC3" w14:paraId="5ECFC20F" w14:textId="2C51F603">
            <w:pPr>
              <w:jc w:val="right"/>
              <w:rPr>
                <w:color w:val="000000"/>
                <w:sz w:val="24"/>
                <w:szCs w:val="24"/>
              </w:rPr>
            </w:pPr>
            <w:r w:rsidRPr="00D43965">
              <w:rPr>
                <w:color w:val="000000"/>
                <w:sz w:val="24"/>
                <w:szCs w:val="24"/>
              </w:rPr>
              <w:t>$</w:t>
            </w:r>
            <w:r w:rsidRPr="00D43965" w:rsidR="00B36655">
              <w:rPr>
                <w:color w:val="000000"/>
                <w:sz w:val="24"/>
                <w:szCs w:val="24"/>
              </w:rPr>
              <w:t>41,223,000</w:t>
            </w:r>
            <w:r w:rsidRPr="00D43965" w:rsidR="00065D75">
              <w:rPr>
                <w:color w:val="000000"/>
                <w:sz w:val="24"/>
                <w:szCs w:val="24"/>
              </w:rPr>
              <w:t xml:space="preserve"> </w:t>
            </w:r>
          </w:p>
        </w:tc>
        <w:tc>
          <w:tcPr>
            <w:tcW w:w="2322" w:type="dxa"/>
            <w:tcBorders>
              <w:bottom w:val="single" w:color="F2F2F2" w:themeColor="background1" w:themeShade="F2" w:sz="6" w:space="0"/>
            </w:tcBorders>
            <w:shd w:val="clear" w:color="auto" w:fill="auto"/>
            <w:noWrap/>
            <w:vAlign w:val="bottom"/>
            <w:hideMark/>
          </w:tcPr>
          <w:p w:rsidRPr="00D43965" w:rsidR="00065D75" w:rsidP="00BC3BAE" w:rsidRDefault="000A7AC3" w14:paraId="6354916A" w14:textId="72C156EA">
            <w:pPr>
              <w:jc w:val="right"/>
              <w:rPr>
                <w:color w:val="000000"/>
                <w:sz w:val="24"/>
                <w:szCs w:val="24"/>
              </w:rPr>
            </w:pPr>
            <w:r w:rsidRPr="00D43965">
              <w:rPr>
                <w:color w:val="000000"/>
                <w:sz w:val="24"/>
                <w:szCs w:val="24"/>
              </w:rPr>
              <w:t>$</w:t>
            </w:r>
            <w:r w:rsidRPr="00D43965" w:rsidR="008C06E8">
              <w:rPr>
                <w:color w:val="000000"/>
                <w:sz w:val="24"/>
                <w:szCs w:val="24"/>
              </w:rPr>
              <w:t>57,</w:t>
            </w:r>
            <w:r w:rsidRPr="00D43965" w:rsidR="00BC3BAE">
              <w:rPr>
                <w:color w:val="000000"/>
                <w:sz w:val="24"/>
                <w:szCs w:val="24"/>
              </w:rPr>
              <w:t>36</w:t>
            </w:r>
            <w:r w:rsidRPr="00D43965" w:rsidR="00F46246">
              <w:rPr>
                <w:color w:val="000000"/>
                <w:sz w:val="24"/>
                <w:szCs w:val="24"/>
              </w:rPr>
              <w:t>2</w:t>
            </w:r>
            <w:r w:rsidRPr="00D43965" w:rsidR="008C06E8">
              <w:rPr>
                <w:color w:val="000000"/>
                <w:sz w:val="24"/>
                <w:szCs w:val="24"/>
              </w:rPr>
              <w:t>,</w:t>
            </w:r>
            <w:r w:rsidRPr="00D43965">
              <w:rPr>
                <w:color w:val="000000"/>
                <w:sz w:val="24"/>
                <w:szCs w:val="24"/>
              </w:rPr>
              <w:t>000</w:t>
            </w:r>
          </w:p>
        </w:tc>
      </w:tr>
      <w:tr w:rsidRPr="00D43965" w:rsidR="000A7AC3" w:rsidTr="00732412" w14:paraId="43221FDA" w14:textId="77777777">
        <w:trPr>
          <w:trHeight w:val="415"/>
        </w:trPr>
        <w:tc>
          <w:tcPr>
            <w:tcW w:w="5704" w:type="dxa"/>
            <w:shd w:val="clear" w:color="auto" w:fill="auto"/>
            <w:noWrap/>
            <w:vAlign w:val="bottom"/>
          </w:tcPr>
          <w:p w:rsidRPr="00D43965" w:rsidR="000A7AC3" w:rsidP="00973CEE" w:rsidRDefault="000A7AC3" w14:paraId="554F7CB5" w14:textId="77777777">
            <w:pPr>
              <w:rPr>
                <w:color w:val="000000"/>
                <w:sz w:val="24"/>
                <w:szCs w:val="24"/>
              </w:rPr>
            </w:pPr>
            <w:r w:rsidRPr="00D43965">
              <w:rPr>
                <w:color w:val="000000"/>
                <w:sz w:val="24"/>
                <w:szCs w:val="24"/>
              </w:rPr>
              <w:t>Prior Year Adjustments</w:t>
            </w:r>
          </w:p>
        </w:tc>
        <w:tc>
          <w:tcPr>
            <w:tcW w:w="2575" w:type="dxa"/>
            <w:tcBorders>
              <w:top w:val="single" w:color="F2F2F2" w:themeColor="background1" w:themeShade="F2" w:sz="6" w:space="0"/>
              <w:bottom w:val="single" w:color="auto" w:sz="4" w:space="0"/>
            </w:tcBorders>
            <w:shd w:val="clear" w:color="auto" w:fill="auto"/>
            <w:noWrap/>
            <w:vAlign w:val="bottom"/>
          </w:tcPr>
          <w:p w:rsidRPr="00D43965" w:rsidR="000A7AC3" w:rsidP="00973CEE" w:rsidRDefault="00B36655" w14:paraId="657016F9" w14:textId="7DF500EE">
            <w:pPr>
              <w:jc w:val="right"/>
              <w:rPr>
                <w:color w:val="000000"/>
                <w:sz w:val="24"/>
                <w:szCs w:val="24"/>
              </w:rPr>
            </w:pPr>
            <w:r w:rsidRPr="00D43965">
              <w:rPr>
                <w:color w:val="000000"/>
                <w:sz w:val="24"/>
                <w:szCs w:val="24"/>
              </w:rPr>
              <w:t>9,</w:t>
            </w:r>
            <w:r w:rsidRPr="00D43965" w:rsidR="00FD31D2">
              <w:rPr>
                <w:color w:val="000000"/>
                <w:sz w:val="24"/>
                <w:szCs w:val="24"/>
              </w:rPr>
              <w:t>68</w:t>
            </w:r>
            <w:r w:rsidRPr="00D43965" w:rsidR="00F46246">
              <w:rPr>
                <w:color w:val="000000"/>
                <w:sz w:val="24"/>
                <w:szCs w:val="24"/>
              </w:rPr>
              <w:t>0</w:t>
            </w:r>
            <w:r w:rsidRPr="00D43965">
              <w:rPr>
                <w:color w:val="000000"/>
                <w:sz w:val="24"/>
                <w:szCs w:val="24"/>
              </w:rPr>
              <w:t>,000</w:t>
            </w:r>
          </w:p>
        </w:tc>
        <w:tc>
          <w:tcPr>
            <w:tcW w:w="2322" w:type="dxa"/>
            <w:tcBorders>
              <w:top w:val="single" w:color="F2F2F2" w:themeColor="background1" w:themeShade="F2" w:sz="6" w:space="0"/>
              <w:bottom w:val="single" w:color="auto" w:sz="4" w:space="0"/>
            </w:tcBorders>
            <w:shd w:val="clear" w:color="auto" w:fill="auto"/>
            <w:noWrap/>
            <w:vAlign w:val="bottom"/>
          </w:tcPr>
          <w:p w:rsidRPr="00D43965" w:rsidR="000A7AC3" w:rsidP="00973CEE" w:rsidRDefault="000A7AC3" w14:paraId="182E4BE4" w14:textId="77777777">
            <w:pPr>
              <w:jc w:val="right"/>
              <w:rPr>
                <w:color w:val="000000"/>
                <w:sz w:val="24"/>
                <w:szCs w:val="24"/>
              </w:rPr>
            </w:pPr>
            <w:r w:rsidRPr="00D43965">
              <w:rPr>
                <w:color w:val="000000"/>
                <w:sz w:val="24"/>
                <w:szCs w:val="24"/>
              </w:rPr>
              <w:t>-</w:t>
            </w:r>
          </w:p>
        </w:tc>
      </w:tr>
      <w:tr w:rsidRPr="00D43965" w:rsidR="000A7AC3" w:rsidTr="00732412" w14:paraId="2B1537ED" w14:textId="77777777">
        <w:trPr>
          <w:trHeight w:val="415"/>
        </w:trPr>
        <w:tc>
          <w:tcPr>
            <w:tcW w:w="5704" w:type="dxa"/>
            <w:shd w:val="clear" w:color="auto" w:fill="auto"/>
            <w:noWrap/>
            <w:vAlign w:val="bottom"/>
          </w:tcPr>
          <w:p w:rsidRPr="00D43965" w:rsidR="000A7AC3" w:rsidP="00973CEE" w:rsidRDefault="000A7AC3" w14:paraId="0F2CC69D" w14:textId="77777777">
            <w:pPr>
              <w:rPr>
                <w:color w:val="000000"/>
                <w:sz w:val="24"/>
                <w:szCs w:val="24"/>
              </w:rPr>
            </w:pPr>
            <w:r w:rsidRPr="00D43965">
              <w:rPr>
                <w:color w:val="000000"/>
                <w:sz w:val="24"/>
                <w:szCs w:val="24"/>
              </w:rPr>
              <w:t>Adjusted Beginning Balance</w:t>
            </w:r>
          </w:p>
        </w:tc>
        <w:tc>
          <w:tcPr>
            <w:tcW w:w="2575" w:type="dxa"/>
            <w:tcBorders>
              <w:top w:val="single" w:color="auto" w:sz="4" w:space="0"/>
            </w:tcBorders>
            <w:shd w:val="clear" w:color="auto" w:fill="auto"/>
            <w:noWrap/>
            <w:vAlign w:val="bottom"/>
          </w:tcPr>
          <w:p w:rsidRPr="00D43965" w:rsidR="000A7AC3" w:rsidP="00973CEE" w:rsidRDefault="000A7AC3" w14:paraId="43CC3566" w14:textId="62888710">
            <w:pPr>
              <w:jc w:val="right"/>
              <w:rPr>
                <w:color w:val="000000"/>
                <w:sz w:val="24"/>
                <w:szCs w:val="24"/>
              </w:rPr>
            </w:pPr>
            <w:r w:rsidRPr="00D43965">
              <w:rPr>
                <w:color w:val="000000"/>
                <w:sz w:val="24"/>
                <w:szCs w:val="24"/>
              </w:rPr>
              <w:t>$</w:t>
            </w:r>
            <w:r w:rsidRPr="00D43965" w:rsidR="00FD31D2">
              <w:rPr>
                <w:color w:val="000000"/>
                <w:sz w:val="24"/>
                <w:szCs w:val="24"/>
              </w:rPr>
              <w:t>50,903,000</w:t>
            </w:r>
          </w:p>
        </w:tc>
        <w:tc>
          <w:tcPr>
            <w:tcW w:w="2322" w:type="dxa"/>
            <w:tcBorders>
              <w:top w:val="single" w:color="auto" w:sz="4" w:space="0"/>
            </w:tcBorders>
            <w:shd w:val="clear" w:color="auto" w:fill="auto"/>
            <w:noWrap/>
            <w:vAlign w:val="bottom"/>
          </w:tcPr>
          <w:p w:rsidRPr="00D43965" w:rsidR="000A7AC3" w:rsidP="00BC3BAE" w:rsidRDefault="000A7AC3" w14:paraId="0C296505" w14:textId="3B31A6BB">
            <w:pPr>
              <w:jc w:val="right"/>
              <w:rPr>
                <w:color w:val="000000"/>
                <w:sz w:val="24"/>
                <w:szCs w:val="24"/>
              </w:rPr>
            </w:pPr>
            <w:r w:rsidRPr="00D43965">
              <w:rPr>
                <w:color w:val="000000"/>
                <w:sz w:val="24"/>
                <w:szCs w:val="24"/>
              </w:rPr>
              <w:t>$</w:t>
            </w:r>
            <w:r w:rsidRPr="00D43965" w:rsidR="008C06E8">
              <w:rPr>
                <w:color w:val="000000"/>
                <w:sz w:val="24"/>
                <w:szCs w:val="24"/>
              </w:rPr>
              <w:t>57,</w:t>
            </w:r>
            <w:r w:rsidRPr="00D43965" w:rsidR="00BC3BAE">
              <w:rPr>
                <w:color w:val="000000"/>
                <w:sz w:val="24"/>
                <w:szCs w:val="24"/>
              </w:rPr>
              <w:t>36</w:t>
            </w:r>
            <w:r w:rsidRPr="00D43965" w:rsidR="00F46246">
              <w:rPr>
                <w:color w:val="000000"/>
                <w:sz w:val="24"/>
                <w:szCs w:val="24"/>
              </w:rPr>
              <w:t>2</w:t>
            </w:r>
            <w:r w:rsidRPr="00D43965">
              <w:rPr>
                <w:color w:val="000000"/>
                <w:sz w:val="24"/>
                <w:szCs w:val="24"/>
              </w:rPr>
              <w:t>,000</w:t>
            </w:r>
          </w:p>
        </w:tc>
      </w:tr>
      <w:tr w:rsidRPr="00D43965" w:rsidR="000A7AC3" w:rsidTr="00872334" w14:paraId="2C3ECA1E" w14:textId="77777777">
        <w:trPr>
          <w:trHeight w:val="415"/>
        </w:trPr>
        <w:tc>
          <w:tcPr>
            <w:tcW w:w="10602" w:type="dxa"/>
            <w:gridSpan w:val="3"/>
            <w:shd w:val="clear" w:color="auto" w:fill="auto"/>
            <w:noWrap/>
            <w:vAlign w:val="bottom"/>
            <w:hideMark/>
          </w:tcPr>
          <w:p w:rsidRPr="00D43965" w:rsidR="000A7AC3" w:rsidP="00973CEE" w:rsidRDefault="000A7AC3" w14:paraId="680F4108" w14:textId="77777777">
            <w:pPr>
              <w:rPr>
                <w:color w:val="000000"/>
                <w:sz w:val="24"/>
                <w:szCs w:val="24"/>
              </w:rPr>
            </w:pPr>
            <w:r w:rsidRPr="00D43965">
              <w:rPr>
                <w:color w:val="000000"/>
                <w:sz w:val="24"/>
                <w:szCs w:val="24"/>
              </w:rPr>
              <w:t xml:space="preserve">REVENUES, TRANSFERS, AND OTHER ADJUSTMENTS </w:t>
            </w:r>
          </w:p>
        </w:tc>
      </w:tr>
      <w:tr w:rsidRPr="00D43965" w:rsidR="00FF018E" w:rsidTr="00872334" w14:paraId="4DAD879B" w14:textId="77777777">
        <w:trPr>
          <w:trHeight w:val="415"/>
        </w:trPr>
        <w:tc>
          <w:tcPr>
            <w:tcW w:w="10602" w:type="dxa"/>
            <w:gridSpan w:val="3"/>
            <w:shd w:val="clear" w:color="auto" w:fill="auto"/>
            <w:noWrap/>
            <w:vAlign w:val="bottom"/>
            <w:hideMark/>
          </w:tcPr>
          <w:p w:rsidRPr="00D43965" w:rsidR="00FF018E" w:rsidP="00FF018E" w:rsidRDefault="000A1C38" w14:paraId="7FDC9E30" w14:textId="3B03C739">
            <w:pPr>
              <w:rPr>
                <w:color w:val="000000"/>
                <w:sz w:val="24"/>
                <w:szCs w:val="24"/>
              </w:rPr>
            </w:pPr>
            <w:r w:rsidRPr="00D43965">
              <w:rPr>
                <w:color w:val="000000"/>
                <w:sz w:val="24"/>
                <w:szCs w:val="24"/>
              </w:rPr>
              <w:t>Revenues:</w:t>
            </w:r>
            <w:r w:rsidRPr="0005423C" w:rsidR="00B60F11">
              <w:rPr>
                <w:rStyle w:val="FootnoteReference"/>
                <w:b/>
                <w:bCs/>
                <w:color w:val="000000"/>
                <w:sz w:val="24"/>
                <w:szCs w:val="24"/>
                <w:u w:val="single"/>
              </w:rPr>
              <w:footnoteReference w:id="15"/>
            </w:r>
            <w:r w:rsidRPr="00D43965" w:rsidR="00FF018E">
              <w:rPr>
                <w:color w:val="000000"/>
                <w:sz w:val="24"/>
                <w:szCs w:val="24"/>
              </w:rPr>
              <w:t xml:space="preserve"> </w:t>
            </w:r>
          </w:p>
        </w:tc>
      </w:tr>
      <w:tr w:rsidRPr="00D43965" w:rsidR="00065D75" w:rsidTr="00872334" w14:paraId="02685ED5" w14:textId="77777777">
        <w:trPr>
          <w:trHeight w:val="415"/>
        </w:trPr>
        <w:tc>
          <w:tcPr>
            <w:tcW w:w="5704" w:type="dxa"/>
            <w:shd w:val="clear" w:color="auto" w:fill="auto"/>
            <w:noWrap/>
            <w:vAlign w:val="bottom"/>
            <w:hideMark/>
          </w:tcPr>
          <w:p w:rsidRPr="00D43965" w:rsidR="00065D75" w:rsidP="00973CEE" w:rsidRDefault="00065D75" w14:paraId="15381C01" w14:textId="77777777">
            <w:pPr>
              <w:ind w:left="432"/>
              <w:rPr>
                <w:color w:val="000000"/>
                <w:sz w:val="24"/>
                <w:szCs w:val="24"/>
              </w:rPr>
            </w:pPr>
            <w:r w:rsidRPr="00D43965">
              <w:rPr>
                <w:color w:val="000000"/>
                <w:sz w:val="24"/>
                <w:szCs w:val="24"/>
              </w:rPr>
              <w:t>Quarterly Public Utilities Commission Fees</w:t>
            </w:r>
          </w:p>
        </w:tc>
        <w:tc>
          <w:tcPr>
            <w:tcW w:w="2575" w:type="dxa"/>
            <w:shd w:val="clear" w:color="auto" w:fill="auto"/>
            <w:noWrap/>
            <w:vAlign w:val="bottom"/>
            <w:hideMark/>
          </w:tcPr>
          <w:p w:rsidRPr="00D43965" w:rsidR="00065D75" w:rsidP="00973CEE" w:rsidRDefault="00700AAB" w14:paraId="24970BE9" w14:textId="766A3066">
            <w:pPr>
              <w:jc w:val="right"/>
              <w:rPr>
                <w:color w:val="000000"/>
                <w:sz w:val="24"/>
                <w:szCs w:val="24"/>
              </w:rPr>
            </w:pPr>
            <w:r w:rsidRPr="00D43965">
              <w:rPr>
                <w:color w:val="000000"/>
                <w:sz w:val="24"/>
                <w:szCs w:val="24"/>
              </w:rPr>
              <w:t>24,151</w:t>
            </w:r>
            <w:r w:rsidRPr="00D43965" w:rsidR="00B36655">
              <w:rPr>
                <w:color w:val="000000"/>
                <w:sz w:val="24"/>
                <w:szCs w:val="24"/>
              </w:rPr>
              <w:t>,000</w:t>
            </w:r>
          </w:p>
        </w:tc>
        <w:tc>
          <w:tcPr>
            <w:tcW w:w="2322" w:type="dxa"/>
            <w:shd w:val="clear" w:color="auto" w:fill="auto"/>
            <w:noWrap/>
            <w:vAlign w:val="bottom"/>
            <w:hideMark/>
          </w:tcPr>
          <w:p w:rsidRPr="00D43965" w:rsidR="00065D75" w:rsidP="00BC3BAE" w:rsidRDefault="00CB745E" w14:paraId="51B0B04D" w14:textId="33AADCE9">
            <w:pPr>
              <w:jc w:val="right"/>
              <w:rPr>
                <w:color w:val="000000"/>
                <w:sz w:val="24"/>
                <w:szCs w:val="24"/>
              </w:rPr>
            </w:pPr>
            <w:r w:rsidRPr="00D43965">
              <w:rPr>
                <w:color w:val="000000"/>
                <w:sz w:val="24"/>
                <w:szCs w:val="24"/>
              </w:rPr>
              <w:t>12,</w:t>
            </w:r>
            <w:r w:rsidRPr="00D43965" w:rsidR="007C56EE">
              <w:rPr>
                <w:color w:val="000000"/>
                <w:sz w:val="24"/>
                <w:szCs w:val="24"/>
              </w:rPr>
              <w:t>000</w:t>
            </w:r>
            <w:r w:rsidRPr="00D43965" w:rsidR="008C06E8">
              <w:rPr>
                <w:color w:val="000000"/>
                <w:sz w:val="24"/>
                <w:szCs w:val="24"/>
              </w:rPr>
              <w:t>,000</w:t>
            </w:r>
          </w:p>
        </w:tc>
      </w:tr>
      <w:tr w:rsidRPr="00D43965" w:rsidR="00065D75" w:rsidTr="00872334" w14:paraId="450A6EEC" w14:textId="77777777">
        <w:trPr>
          <w:trHeight w:val="415"/>
        </w:trPr>
        <w:tc>
          <w:tcPr>
            <w:tcW w:w="5704" w:type="dxa"/>
            <w:shd w:val="clear" w:color="auto" w:fill="auto"/>
            <w:noWrap/>
            <w:vAlign w:val="bottom"/>
            <w:hideMark/>
          </w:tcPr>
          <w:p w:rsidRPr="00D43965" w:rsidR="00065D75" w:rsidP="00973CEE" w:rsidRDefault="00065D75" w14:paraId="790AB138" w14:textId="77777777">
            <w:pPr>
              <w:ind w:left="432"/>
              <w:rPr>
                <w:color w:val="000000"/>
                <w:sz w:val="24"/>
                <w:szCs w:val="24"/>
              </w:rPr>
            </w:pPr>
            <w:r w:rsidRPr="00D43965">
              <w:rPr>
                <w:color w:val="000000"/>
                <w:sz w:val="24"/>
                <w:szCs w:val="24"/>
              </w:rPr>
              <w:t>Public Utilities Commission-Penalties on Quarterly Fees</w:t>
            </w:r>
          </w:p>
        </w:tc>
        <w:tc>
          <w:tcPr>
            <w:tcW w:w="2575" w:type="dxa"/>
            <w:shd w:val="clear" w:color="auto" w:fill="auto"/>
            <w:noWrap/>
            <w:vAlign w:val="bottom"/>
            <w:hideMark/>
          </w:tcPr>
          <w:p w:rsidRPr="00D43965" w:rsidR="00065D75" w:rsidP="00973CEE" w:rsidRDefault="00BF5B71" w14:paraId="2A3DB91E" w14:textId="0C0FEC81">
            <w:pPr>
              <w:jc w:val="right"/>
              <w:rPr>
                <w:color w:val="000000"/>
                <w:sz w:val="24"/>
                <w:szCs w:val="24"/>
              </w:rPr>
            </w:pPr>
            <w:r w:rsidRPr="00D43965">
              <w:rPr>
                <w:color w:val="000000"/>
                <w:sz w:val="24"/>
                <w:szCs w:val="24"/>
              </w:rPr>
              <w:t>1</w:t>
            </w:r>
            <w:r w:rsidRPr="00D43965" w:rsidR="000A7AC3">
              <w:rPr>
                <w:color w:val="000000"/>
                <w:sz w:val="24"/>
                <w:szCs w:val="24"/>
              </w:rPr>
              <w:t>,000</w:t>
            </w:r>
          </w:p>
        </w:tc>
        <w:tc>
          <w:tcPr>
            <w:tcW w:w="2322" w:type="dxa"/>
            <w:shd w:val="clear" w:color="auto" w:fill="auto"/>
            <w:noWrap/>
            <w:vAlign w:val="bottom"/>
            <w:hideMark/>
          </w:tcPr>
          <w:p w:rsidRPr="00D43965" w:rsidR="00065D75" w:rsidP="00BC3BAE" w:rsidRDefault="000A7AC3" w14:paraId="1CF3838D" w14:textId="396BFDC7">
            <w:pPr>
              <w:jc w:val="right"/>
              <w:rPr>
                <w:color w:val="000000"/>
                <w:sz w:val="24"/>
                <w:szCs w:val="24"/>
              </w:rPr>
            </w:pPr>
            <w:r w:rsidRPr="00D43965">
              <w:rPr>
                <w:color w:val="000000"/>
                <w:sz w:val="24"/>
                <w:szCs w:val="24"/>
              </w:rPr>
              <w:t>2,000</w:t>
            </w:r>
          </w:p>
        </w:tc>
      </w:tr>
      <w:tr w:rsidRPr="00D43965" w:rsidR="00065D75" w:rsidTr="00872334" w14:paraId="640F6DB3" w14:textId="77777777">
        <w:trPr>
          <w:trHeight w:val="415"/>
        </w:trPr>
        <w:tc>
          <w:tcPr>
            <w:tcW w:w="5704" w:type="dxa"/>
            <w:shd w:val="clear" w:color="auto" w:fill="auto"/>
            <w:noWrap/>
            <w:vAlign w:val="bottom"/>
            <w:hideMark/>
          </w:tcPr>
          <w:p w:rsidRPr="00D43965" w:rsidR="00065D75" w:rsidP="00973CEE" w:rsidRDefault="00065D75" w14:paraId="3C4E1E24" w14:textId="77777777">
            <w:pPr>
              <w:ind w:left="432"/>
              <w:rPr>
                <w:color w:val="000000"/>
                <w:sz w:val="24"/>
                <w:szCs w:val="24"/>
              </w:rPr>
            </w:pPr>
            <w:r w:rsidRPr="00D43965">
              <w:rPr>
                <w:color w:val="000000"/>
                <w:sz w:val="24"/>
                <w:szCs w:val="24"/>
              </w:rPr>
              <w:t>Other Regulatory Licenses and Permits</w:t>
            </w:r>
          </w:p>
        </w:tc>
        <w:tc>
          <w:tcPr>
            <w:tcW w:w="2575" w:type="dxa"/>
            <w:shd w:val="clear" w:color="auto" w:fill="auto"/>
            <w:noWrap/>
            <w:vAlign w:val="bottom"/>
            <w:hideMark/>
          </w:tcPr>
          <w:p w:rsidRPr="00D43965" w:rsidR="00065D75" w:rsidP="00973CEE" w:rsidRDefault="000A7AC3" w14:paraId="1BE70CB8" w14:textId="455D82F0">
            <w:pPr>
              <w:jc w:val="right"/>
              <w:rPr>
                <w:color w:val="000000"/>
                <w:sz w:val="24"/>
                <w:szCs w:val="24"/>
              </w:rPr>
            </w:pPr>
            <w:r w:rsidRPr="00D43965">
              <w:rPr>
                <w:color w:val="000000"/>
                <w:sz w:val="24"/>
                <w:szCs w:val="24"/>
              </w:rPr>
              <w:t>1,</w:t>
            </w:r>
            <w:r w:rsidRPr="00D43965" w:rsidR="00BF5B71">
              <w:rPr>
                <w:color w:val="000000"/>
                <w:sz w:val="24"/>
                <w:szCs w:val="24"/>
              </w:rPr>
              <w:t>0</w:t>
            </w:r>
            <w:r w:rsidRPr="00D43965" w:rsidR="00B36655">
              <w:rPr>
                <w:color w:val="000000"/>
                <w:sz w:val="24"/>
                <w:szCs w:val="24"/>
              </w:rPr>
              <w:t>31</w:t>
            </w:r>
            <w:r w:rsidRPr="00D43965">
              <w:rPr>
                <w:color w:val="000000"/>
                <w:sz w:val="24"/>
                <w:szCs w:val="24"/>
              </w:rPr>
              <w:t>,000</w:t>
            </w:r>
          </w:p>
        </w:tc>
        <w:tc>
          <w:tcPr>
            <w:tcW w:w="2322" w:type="dxa"/>
            <w:shd w:val="clear" w:color="auto" w:fill="auto"/>
            <w:noWrap/>
            <w:vAlign w:val="bottom"/>
            <w:hideMark/>
          </w:tcPr>
          <w:p w:rsidRPr="00D43965" w:rsidR="00065D75" w:rsidP="00BC3BAE" w:rsidRDefault="00CB745E" w14:paraId="09DFA6D2" w14:textId="1B9FBACD">
            <w:pPr>
              <w:jc w:val="right"/>
              <w:rPr>
                <w:color w:val="000000"/>
                <w:sz w:val="24"/>
                <w:szCs w:val="24"/>
              </w:rPr>
            </w:pPr>
            <w:r w:rsidRPr="00D43965">
              <w:rPr>
                <w:color w:val="000000"/>
                <w:sz w:val="24"/>
                <w:szCs w:val="24"/>
              </w:rPr>
              <w:t>850</w:t>
            </w:r>
            <w:r w:rsidRPr="00D43965" w:rsidR="000A7AC3">
              <w:rPr>
                <w:color w:val="000000"/>
                <w:sz w:val="24"/>
                <w:szCs w:val="24"/>
              </w:rPr>
              <w:t>,000</w:t>
            </w:r>
          </w:p>
        </w:tc>
      </w:tr>
      <w:tr w:rsidRPr="00D43965" w:rsidR="00065D75" w:rsidTr="00872334" w14:paraId="5A4D214E" w14:textId="77777777">
        <w:trPr>
          <w:trHeight w:val="415"/>
        </w:trPr>
        <w:tc>
          <w:tcPr>
            <w:tcW w:w="5704" w:type="dxa"/>
            <w:shd w:val="clear" w:color="auto" w:fill="auto"/>
            <w:noWrap/>
            <w:vAlign w:val="bottom"/>
            <w:hideMark/>
          </w:tcPr>
          <w:p w:rsidRPr="00D43965" w:rsidR="00065D75" w:rsidP="00973CEE" w:rsidRDefault="00065D75" w14:paraId="3EF05AB2" w14:textId="77777777">
            <w:pPr>
              <w:ind w:left="432"/>
              <w:rPr>
                <w:color w:val="000000"/>
                <w:sz w:val="24"/>
                <w:szCs w:val="24"/>
              </w:rPr>
            </w:pPr>
            <w:r w:rsidRPr="00D43965">
              <w:rPr>
                <w:color w:val="000000"/>
                <w:sz w:val="24"/>
                <w:szCs w:val="24"/>
              </w:rPr>
              <w:t>Income From Surplus Money Investments</w:t>
            </w:r>
          </w:p>
        </w:tc>
        <w:tc>
          <w:tcPr>
            <w:tcW w:w="2575" w:type="dxa"/>
            <w:tcBorders>
              <w:bottom w:val="single" w:color="auto" w:sz="4" w:space="0"/>
            </w:tcBorders>
            <w:shd w:val="clear" w:color="auto" w:fill="auto"/>
            <w:noWrap/>
            <w:vAlign w:val="bottom"/>
            <w:hideMark/>
          </w:tcPr>
          <w:p w:rsidRPr="00D43965" w:rsidR="00065D75" w:rsidP="00973CEE" w:rsidRDefault="00B36655" w14:paraId="25D4435F" w14:textId="150129EC">
            <w:pPr>
              <w:jc w:val="right"/>
              <w:rPr>
                <w:color w:val="000000"/>
                <w:sz w:val="24"/>
                <w:szCs w:val="24"/>
              </w:rPr>
            </w:pPr>
            <w:r w:rsidRPr="00D43965">
              <w:rPr>
                <w:color w:val="000000"/>
                <w:sz w:val="24"/>
                <w:szCs w:val="24"/>
              </w:rPr>
              <w:t>1,051</w:t>
            </w:r>
            <w:r w:rsidRPr="00D43965" w:rsidR="000A7AC3">
              <w:rPr>
                <w:color w:val="000000"/>
                <w:sz w:val="24"/>
                <w:szCs w:val="24"/>
              </w:rPr>
              <w:t>,000</w:t>
            </w:r>
          </w:p>
        </w:tc>
        <w:tc>
          <w:tcPr>
            <w:tcW w:w="2322" w:type="dxa"/>
            <w:tcBorders>
              <w:bottom w:val="single" w:color="auto" w:sz="4" w:space="0"/>
            </w:tcBorders>
            <w:shd w:val="clear" w:color="auto" w:fill="auto"/>
            <w:noWrap/>
            <w:vAlign w:val="bottom"/>
            <w:hideMark/>
          </w:tcPr>
          <w:p w:rsidRPr="00D43965" w:rsidR="00065D75" w:rsidP="00BC3BAE" w:rsidRDefault="00A843AB" w14:paraId="5B294BC8" w14:textId="087130BE">
            <w:pPr>
              <w:jc w:val="right"/>
              <w:rPr>
                <w:color w:val="000000"/>
                <w:sz w:val="24"/>
                <w:szCs w:val="24"/>
              </w:rPr>
            </w:pPr>
            <w:r w:rsidRPr="00D43965">
              <w:rPr>
                <w:color w:val="000000"/>
                <w:sz w:val="24"/>
                <w:szCs w:val="24"/>
              </w:rPr>
              <w:t>600</w:t>
            </w:r>
            <w:r w:rsidRPr="00D43965" w:rsidR="000A7AC3">
              <w:rPr>
                <w:color w:val="000000"/>
                <w:sz w:val="24"/>
                <w:szCs w:val="24"/>
              </w:rPr>
              <w:t>,000</w:t>
            </w:r>
          </w:p>
        </w:tc>
      </w:tr>
      <w:tr w:rsidRPr="00D43965" w:rsidR="00065D75" w:rsidTr="00872334" w14:paraId="293B333E" w14:textId="77777777">
        <w:trPr>
          <w:trHeight w:val="415"/>
        </w:trPr>
        <w:tc>
          <w:tcPr>
            <w:tcW w:w="5704" w:type="dxa"/>
            <w:shd w:val="clear" w:color="auto" w:fill="auto"/>
            <w:noWrap/>
            <w:vAlign w:val="bottom"/>
            <w:hideMark/>
          </w:tcPr>
          <w:p w:rsidRPr="00D43965" w:rsidR="00065D75" w:rsidP="00973CEE" w:rsidRDefault="00065D75" w14:paraId="5C038B85" w14:textId="77777777">
            <w:pPr>
              <w:rPr>
                <w:color w:val="000000"/>
                <w:sz w:val="24"/>
                <w:szCs w:val="24"/>
              </w:rPr>
            </w:pPr>
            <w:r w:rsidRPr="00D43965">
              <w:rPr>
                <w:color w:val="000000"/>
                <w:sz w:val="24"/>
                <w:szCs w:val="24"/>
              </w:rPr>
              <w:t>Total Revenues, Transfers, and Other Adjustments</w:t>
            </w:r>
          </w:p>
        </w:tc>
        <w:tc>
          <w:tcPr>
            <w:tcW w:w="2575" w:type="dxa"/>
            <w:tcBorders>
              <w:top w:val="single" w:color="auto" w:sz="4" w:space="0"/>
              <w:bottom w:val="single" w:color="auto" w:sz="4" w:space="0"/>
            </w:tcBorders>
            <w:shd w:val="clear" w:color="auto" w:fill="auto"/>
            <w:noWrap/>
            <w:vAlign w:val="bottom"/>
            <w:hideMark/>
          </w:tcPr>
          <w:p w:rsidRPr="00D43965" w:rsidR="00065D75" w:rsidP="00973CEE" w:rsidRDefault="000A7AC3" w14:paraId="0F0C5386" w14:textId="197949C7">
            <w:pPr>
              <w:jc w:val="right"/>
              <w:rPr>
                <w:color w:val="000000"/>
                <w:sz w:val="24"/>
                <w:szCs w:val="24"/>
              </w:rPr>
            </w:pPr>
            <w:r w:rsidRPr="00D43965">
              <w:rPr>
                <w:color w:val="000000"/>
                <w:sz w:val="24"/>
                <w:szCs w:val="24"/>
              </w:rPr>
              <w:t>$</w:t>
            </w:r>
            <w:r w:rsidRPr="00D43965" w:rsidR="00700AAB">
              <w:rPr>
                <w:color w:val="000000"/>
                <w:sz w:val="24"/>
                <w:szCs w:val="24"/>
              </w:rPr>
              <w:t>26,234</w:t>
            </w:r>
            <w:r w:rsidRPr="00D43965">
              <w:rPr>
                <w:color w:val="000000"/>
                <w:sz w:val="24"/>
                <w:szCs w:val="24"/>
              </w:rPr>
              <w:t>,000</w:t>
            </w:r>
          </w:p>
        </w:tc>
        <w:tc>
          <w:tcPr>
            <w:tcW w:w="2322" w:type="dxa"/>
            <w:tcBorders>
              <w:top w:val="single" w:color="auto" w:sz="4" w:space="0"/>
              <w:bottom w:val="single" w:color="auto" w:sz="4" w:space="0"/>
            </w:tcBorders>
            <w:shd w:val="clear" w:color="auto" w:fill="auto"/>
            <w:noWrap/>
            <w:vAlign w:val="bottom"/>
            <w:hideMark/>
          </w:tcPr>
          <w:p w:rsidRPr="00D43965" w:rsidR="00065D75" w:rsidP="00BC3BAE" w:rsidRDefault="000A7AC3" w14:paraId="66ECE5DD" w14:textId="34C5C9A8">
            <w:pPr>
              <w:jc w:val="right"/>
              <w:rPr>
                <w:color w:val="000000"/>
                <w:sz w:val="24"/>
                <w:szCs w:val="24"/>
              </w:rPr>
            </w:pPr>
            <w:r w:rsidRPr="00D43965">
              <w:rPr>
                <w:color w:val="000000"/>
                <w:sz w:val="24"/>
                <w:szCs w:val="24"/>
              </w:rPr>
              <w:t>$</w:t>
            </w:r>
            <w:r w:rsidRPr="00D43965" w:rsidR="007C56EE">
              <w:rPr>
                <w:color w:val="000000"/>
                <w:sz w:val="24"/>
                <w:szCs w:val="24"/>
              </w:rPr>
              <w:t>1</w:t>
            </w:r>
            <w:r w:rsidRPr="00D43965" w:rsidR="00A843AB">
              <w:rPr>
                <w:color w:val="000000"/>
                <w:sz w:val="24"/>
                <w:szCs w:val="24"/>
              </w:rPr>
              <w:t>3,452</w:t>
            </w:r>
            <w:r w:rsidRPr="00D43965" w:rsidR="007C56EE">
              <w:rPr>
                <w:color w:val="000000"/>
                <w:sz w:val="24"/>
                <w:szCs w:val="24"/>
              </w:rPr>
              <w:t>,</w:t>
            </w:r>
            <w:r w:rsidRPr="00D43965">
              <w:rPr>
                <w:color w:val="000000"/>
                <w:sz w:val="24"/>
                <w:szCs w:val="24"/>
              </w:rPr>
              <w:t>000</w:t>
            </w:r>
          </w:p>
        </w:tc>
      </w:tr>
      <w:tr w:rsidRPr="00D43965" w:rsidR="00065D75" w:rsidTr="00872334" w14:paraId="49FE54A3" w14:textId="77777777">
        <w:trPr>
          <w:trHeight w:val="415"/>
        </w:trPr>
        <w:tc>
          <w:tcPr>
            <w:tcW w:w="5704" w:type="dxa"/>
            <w:shd w:val="clear" w:color="auto" w:fill="auto"/>
            <w:noWrap/>
            <w:vAlign w:val="bottom"/>
            <w:hideMark/>
          </w:tcPr>
          <w:p w:rsidRPr="00D43965" w:rsidR="00065D75" w:rsidP="00973CEE" w:rsidRDefault="00065D75" w14:paraId="5F2990D6" w14:textId="77777777">
            <w:pPr>
              <w:rPr>
                <w:color w:val="000000"/>
                <w:sz w:val="24"/>
                <w:szCs w:val="24"/>
              </w:rPr>
            </w:pPr>
            <w:r w:rsidRPr="00D43965">
              <w:rPr>
                <w:color w:val="000000"/>
                <w:sz w:val="24"/>
                <w:szCs w:val="24"/>
              </w:rPr>
              <w:t>Total Resources</w:t>
            </w:r>
          </w:p>
        </w:tc>
        <w:tc>
          <w:tcPr>
            <w:tcW w:w="2575" w:type="dxa"/>
            <w:tcBorders>
              <w:top w:val="single" w:color="auto" w:sz="4" w:space="0"/>
            </w:tcBorders>
            <w:shd w:val="clear" w:color="auto" w:fill="auto"/>
            <w:noWrap/>
            <w:vAlign w:val="bottom"/>
            <w:hideMark/>
          </w:tcPr>
          <w:p w:rsidRPr="00D43965" w:rsidR="00065D75" w:rsidP="00973CEE" w:rsidRDefault="000A7AC3" w14:paraId="58A64E3D" w14:textId="76EAD161">
            <w:pPr>
              <w:jc w:val="right"/>
              <w:rPr>
                <w:color w:val="000000"/>
                <w:sz w:val="24"/>
                <w:szCs w:val="24"/>
              </w:rPr>
            </w:pPr>
            <w:r w:rsidRPr="00D43965">
              <w:rPr>
                <w:color w:val="000000"/>
                <w:sz w:val="24"/>
                <w:szCs w:val="24"/>
              </w:rPr>
              <w:t>$</w:t>
            </w:r>
            <w:r w:rsidRPr="00D43965" w:rsidR="008C06E8">
              <w:rPr>
                <w:color w:val="000000"/>
                <w:sz w:val="24"/>
                <w:szCs w:val="24"/>
              </w:rPr>
              <w:t>77,</w:t>
            </w:r>
            <w:r w:rsidRPr="00D43965" w:rsidR="001A15B1">
              <w:rPr>
                <w:color w:val="000000"/>
                <w:sz w:val="24"/>
                <w:szCs w:val="24"/>
              </w:rPr>
              <w:t>137</w:t>
            </w:r>
            <w:r w:rsidRPr="00D43965">
              <w:rPr>
                <w:color w:val="000000"/>
                <w:sz w:val="24"/>
                <w:szCs w:val="24"/>
              </w:rPr>
              <w:t>,000</w:t>
            </w:r>
          </w:p>
        </w:tc>
        <w:tc>
          <w:tcPr>
            <w:tcW w:w="2322" w:type="dxa"/>
            <w:tcBorders>
              <w:top w:val="single" w:color="auto" w:sz="4" w:space="0"/>
            </w:tcBorders>
            <w:shd w:val="clear" w:color="auto" w:fill="auto"/>
            <w:noWrap/>
            <w:vAlign w:val="bottom"/>
            <w:hideMark/>
          </w:tcPr>
          <w:p w:rsidRPr="00D43965" w:rsidR="00065D75" w:rsidP="00BC3BAE" w:rsidRDefault="000A7AC3" w14:paraId="7F145498" w14:textId="7AD62454">
            <w:pPr>
              <w:jc w:val="right"/>
              <w:rPr>
                <w:color w:val="000000"/>
                <w:sz w:val="24"/>
                <w:szCs w:val="24"/>
              </w:rPr>
            </w:pPr>
            <w:r w:rsidRPr="00D43965">
              <w:rPr>
                <w:color w:val="000000"/>
                <w:sz w:val="24"/>
                <w:szCs w:val="24"/>
              </w:rPr>
              <w:t>$</w:t>
            </w:r>
            <w:r w:rsidRPr="00D43965" w:rsidR="00BC3BAE">
              <w:rPr>
                <w:color w:val="000000"/>
                <w:sz w:val="24"/>
                <w:szCs w:val="24"/>
              </w:rPr>
              <w:t>70,81</w:t>
            </w:r>
            <w:r w:rsidRPr="00D43965" w:rsidR="00F46246">
              <w:rPr>
                <w:color w:val="000000"/>
                <w:sz w:val="24"/>
                <w:szCs w:val="24"/>
              </w:rPr>
              <w:t>4</w:t>
            </w:r>
            <w:r w:rsidRPr="00D43965">
              <w:rPr>
                <w:color w:val="000000"/>
                <w:sz w:val="24"/>
                <w:szCs w:val="24"/>
              </w:rPr>
              <w:t>,000</w:t>
            </w:r>
          </w:p>
        </w:tc>
      </w:tr>
      <w:tr w:rsidRPr="00D43965" w:rsidR="000A7AC3" w:rsidTr="00872334" w14:paraId="099B20F8" w14:textId="77777777">
        <w:trPr>
          <w:trHeight w:val="415"/>
        </w:trPr>
        <w:tc>
          <w:tcPr>
            <w:tcW w:w="10602" w:type="dxa"/>
            <w:gridSpan w:val="3"/>
            <w:shd w:val="clear" w:color="auto" w:fill="auto"/>
            <w:noWrap/>
            <w:vAlign w:val="bottom"/>
            <w:hideMark/>
          </w:tcPr>
          <w:p w:rsidRPr="00D43965" w:rsidR="000A7AC3" w:rsidP="00973CEE" w:rsidRDefault="000A7AC3" w14:paraId="3D01D026" w14:textId="77777777">
            <w:pPr>
              <w:rPr>
                <w:color w:val="000000"/>
                <w:sz w:val="24"/>
                <w:szCs w:val="24"/>
              </w:rPr>
            </w:pPr>
            <w:r w:rsidRPr="00D43965">
              <w:rPr>
                <w:color w:val="000000"/>
                <w:sz w:val="24"/>
                <w:szCs w:val="24"/>
              </w:rPr>
              <w:t xml:space="preserve">EXPENDITURES AND EXPENDITURE ADJUSTMENTS </w:t>
            </w:r>
          </w:p>
        </w:tc>
      </w:tr>
      <w:tr w:rsidRPr="00D43965" w:rsidR="00FF018E" w:rsidTr="00872334" w14:paraId="52A870A9" w14:textId="77777777">
        <w:trPr>
          <w:trHeight w:val="415"/>
        </w:trPr>
        <w:tc>
          <w:tcPr>
            <w:tcW w:w="10602" w:type="dxa"/>
            <w:gridSpan w:val="3"/>
            <w:shd w:val="clear" w:color="auto" w:fill="auto"/>
            <w:noWrap/>
            <w:vAlign w:val="bottom"/>
            <w:hideMark/>
          </w:tcPr>
          <w:p w:rsidRPr="00D43965" w:rsidR="00FF018E" w:rsidP="00FF018E" w:rsidRDefault="00FF018E" w14:paraId="1F4C716F" w14:textId="77777777">
            <w:pPr>
              <w:rPr>
                <w:color w:val="000000"/>
                <w:sz w:val="24"/>
                <w:szCs w:val="24"/>
              </w:rPr>
            </w:pPr>
            <w:r w:rsidRPr="00D43965">
              <w:rPr>
                <w:color w:val="000000"/>
                <w:sz w:val="24"/>
                <w:szCs w:val="24"/>
              </w:rPr>
              <w:t xml:space="preserve">Expenditures: </w:t>
            </w:r>
          </w:p>
        </w:tc>
      </w:tr>
      <w:tr w:rsidRPr="00D43965" w:rsidR="00065D75" w:rsidTr="00872334" w14:paraId="1DE91667" w14:textId="77777777">
        <w:trPr>
          <w:trHeight w:val="415"/>
        </w:trPr>
        <w:tc>
          <w:tcPr>
            <w:tcW w:w="5704" w:type="dxa"/>
            <w:shd w:val="clear" w:color="auto" w:fill="auto"/>
            <w:noWrap/>
            <w:vAlign w:val="bottom"/>
            <w:hideMark/>
          </w:tcPr>
          <w:p w:rsidRPr="00D43965" w:rsidR="00065D75" w:rsidP="00973CEE" w:rsidRDefault="000F2A4F" w14:paraId="22F6EC39" w14:textId="77777777">
            <w:pPr>
              <w:ind w:left="432"/>
              <w:rPr>
                <w:color w:val="000000"/>
                <w:sz w:val="24"/>
                <w:szCs w:val="24"/>
              </w:rPr>
            </w:pPr>
            <w:r w:rsidRPr="00D43965">
              <w:rPr>
                <w:color w:val="000000"/>
                <w:sz w:val="24"/>
                <w:szCs w:val="24"/>
              </w:rPr>
              <w:t xml:space="preserve">Public Utilities Commission </w:t>
            </w:r>
            <w:r w:rsidRPr="00D43965" w:rsidR="00065D75">
              <w:rPr>
                <w:color w:val="000000"/>
                <w:sz w:val="24"/>
                <w:szCs w:val="24"/>
              </w:rPr>
              <w:t>State Operations</w:t>
            </w:r>
          </w:p>
        </w:tc>
        <w:tc>
          <w:tcPr>
            <w:tcW w:w="2575" w:type="dxa"/>
            <w:shd w:val="clear" w:color="auto" w:fill="auto"/>
            <w:noWrap/>
            <w:vAlign w:val="bottom"/>
            <w:hideMark/>
          </w:tcPr>
          <w:p w:rsidRPr="00D43965" w:rsidR="00065D75" w:rsidP="00973CEE" w:rsidRDefault="00B36655" w14:paraId="75D0FE9A" w14:textId="6EC30D4D">
            <w:pPr>
              <w:jc w:val="right"/>
              <w:rPr>
                <w:color w:val="000000"/>
                <w:sz w:val="24"/>
                <w:szCs w:val="24"/>
              </w:rPr>
            </w:pPr>
            <w:r w:rsidRPr="00D43965">
              <w:rPr>
                <w:color w:val="000000"/>
                <w:sz w:val="24"/>
                <w:szCs w:val="24"/>
              </w:rPr>
              <w:t>19,034,</w:t>
            </w:r>
            <w:r w:rsidRPr="00D43965" w:rsidR="000A7AC3">
              <w:rPr>
                <w:color w:val="000000"/>
                <w:sz w:val="24"/>
                <w:szCs w:val="24"/>
              </w:rPr>
              <w:t>000</w:t>
            </w:r>
          </w:p>
        </w:tc>
        <w:tc>
          <w:tcPr>
            <w:tcW w:w="2322" w:type="dxa"/>
            <w:shd w:val="clear" w:color="auto" w:fill="auto"/>
            <w:noWrap/>
            <w:vAlign w:val="bottom"/>
            <w:hideMark/>
          </w:tcPr>
          <w:p w:rsidRPr="00D43965" w:rsidR="00065D75" w:rsidP="00BC3BAE" w:rsidRDefault="00A843AB" w14:paraId="6DC4471D" w14:textId="277D1012">
            <w:pPr>
              <w:jc w:val="right"/>
              <w:rPr>
                <w:color w:val="000000"/>
                <w:sz w:val="24"/>
                <w:szCs w:val="24"/>
              </w:rPr>
            </w:pPr>
            <w:r w:rsidRPr="00D43965">
              <w:rPr>
                <w:color w:val="000000"/>
                <w:sz w:val="24"/>
                <w:szCs w:val="24"/>
              </w:rPr>
              <w:t>25,232</w:t>
            </w:r>
            <w:r w:rsidRPr="00D43965" w:rsidR="000A7AC3">
              <w:rPr>
                <w:color w:val="000000"/>
                <w:sz w:val="24"/>
                <w:szCs w:val="24"/>
              </w:rPr>
              <w:t>,000</w:t>
            </w:r>
          </w:p>
        </w:tc>
      </w:tr>
      <w:tr w:rsidRPr="00D43965" w:rsidR="000A7AC3" w:rsidTr="00872334" w14:paraId="4EA21785" w14:textId="77777777">
        <w:trPr>
          <w:trHeight w:val="415"/>
        </w:trPr>
        <w:tc>
          <w:tcPr>
            <w:tcW w:w="5704" w:type="dxa"/>
            <w:shd w:val="clear" w:color="auto" w:fill="auto"/>
            <w:noWrap/>
            <w:vAlign w:val="bottom"/>
          </w:tcPr>
          <w:p w:rsidRPr="00D43965" w:rsidR="000A7AC3" w:rsidP="00973CEE" w:rsidRDefault="000A7AC3" w14:paraId="120D326E" w14:textId="77777777">
            <w:pPr>
              <w:ind w:left="432"/>
              <w:rPr>
                <w:color w:val="000000"/>
                <w:sz w:val="24"/>
                <w:szCs w:val="24"/>
              </w:rPr>
            </w:pPr>
            <w:r w:rsidRPr="00D43965">
              <w:rPr>
                <w:color w:val="000000"/>
                <w:sz w:val="24"/>
                <w:szCs w:val="24"/>
              </w:rPr>
              <w:t>Statewide General Admin Expense (Pro Rata)</w:t>
            </w:r>
          </w:p>
        </w:tc>
        <w:tc>
          <w:tcPr>
            <w:tcW w:w="2575" w:type="dxa"/>
            <w:shd w:val="clear" w:color="auto" w:fill="auto"/>
            <w:noWrap/>
            <w:vAlign w:val="bottom"/>
          </w:tcPr>
          <w:p w:rsidRPr="00D43965" w:rsidR="000A7AC3" w:rsidP="00973CEE" w:rsidRDefault="00626F4C" w14:paraId="1F54649A" w14:textId="37DE7AA9">
            <w:pPr>
              <w:jc w:val="right"/>
              <w:rPr>
                <w:color w:val="000000"/>
                <w:sz w:val="24"/>
                <w:szCs w:val="24"/>
              </w:rPr>
            </w:pPr>
            <w:r w:rsidRPr="00D43965">
              <w:rPr>
                <w:color w:val="000000"/>
                <w:sz w:val="24"/>
                <w:szCs w:val="24"/>
              </w:rPr>
              <w:t>59</w:t>
            </w:r>
            <w:r w:rsidRPr="00D43965" w:rsidR="00F46246">
              <w:rPr>
                <w:color w:val="000000"/>
                <w:sz w:val="24"/>
                <w:szCs w:val="24"/>
              </w:rPr>
              <w:t>9</w:t>
            </w:r>
            <w:r w:rsidRPr="00D43965" w:rsidR="000A7AC3">
              <w:rPr>
                <w:color w:val="000000"/>
                <w:sz w:val="24"/>
                <w:szCs w:val="24"/>
              </w:rPr>
              <w:t>,000</w:t>
            </w:r>
          </w:p>
        </w:tc>
        <w:tc>
          <w:tcPr>
            <w:tcW w:w="2322" w:type="dxa"/>
            <w:shd w:val="clear" w:color="auto" w:fill="auto"/>
            <w:noWrap/>
            <w:vAlign w:val="bottom"/>
          </w:tcPr>
          <w:p w:rsidRPr="00D43965" w:rsidR="000A7AC3" w:rsidP="00BC3BAE" w:rsidRDefault="00A843AB" w14:paraId="03A43C18" w14:textId="35A3A1C1">
            <w:pPr>
              <w:jc w:val="right"/>
              <w:rPr>
                <w:color w:val="000000"/>
                <w:sz w:val="24"/>
                <w:szCs w:val="24"/>
              </w:rPr>
            </w:pPr>
            <w:r w:rsidRPr="00D43965">
              <w:rPr>
                <w:color w:val="000000"/>
                <w:sz w:val="24"/>
                <w:szCs w:val="24"/>
              </w:rPr>
              <w:t>842</w:t>
            </w:r>
            <w:r w:rsidRPr="00D43965" w:rsidR="000A7AC3">
              <w:rPr>
                <w:color w:val="000000"/>
                <w:sz w:val="24"/>
                <w:szCs w:val="24"/>
              </w:rPr>
              <w:t>,000</w:t>
            </w:r>
          </w:p>
        </w:tc>
      </w:tr>
      <w:tr w:rsidRPr="00D43965" w:rsidR="00324E61" w:rsidTr="00872334" w14:paraId="05D7FA70" w14:textId="77777777">
        <w:trPr>
          <w:trHeight w:val="415"/>
        </w:trPr>
        <w:tc>
          <w:tcPr>
            <w:tcW w:w="5704" w:type="dxa"/>
            <w:shd w:val="clear" w:color="auto" w:fill="auto"/>
            <w:noWrap/>
            <w:vAlign w:val="bottom"/>
          </w:tcPr>
          <w:p w:rsidRPr="00D43965" w:rsidR="00324E61" w:rsidP="00973CEE" w:rsidRDefault="00324E61" w14:paraId="4520FBE2" w14:textId="6408A755">
            <w:pPr>
              <w:ind w:left="432"/>
              <w:rPr>
                <w:color w:val="000000"/>
                <w:sz w:val="24"/>
                <w:szCs w:val="24"/>
              </w:rPr>
            </w:pPr>
            <w:r w:rsidRPr="00D43965">
              <w:rPr>
                <w:color w:val="000000"/>
                <w:sz w:val="24"/>
                <w:szCs w:val="24"/>
              </w:rPr>
              <w:t>Supplemental Pension Payments</w:t>
            </w:r>
          </w:p>
        </w:tc>
        <w:tc>
          <w:tcPr>
            <w:tcW w:w="2575" w:type="dxa"/>
            <w:tcBorders>
              <w:bottom w:val="single" w:color="auto" w:sz="4" w:space="0"/>
            </w:tcBorders>
            <w:shd w:val="clear" w:color="auto" w:fill="auto"/>
            <w:noWrap/>
            <w:vAlign w:val="bottom"/>
          </w:tcPr>
          <w:p w:rsidRPr="00D43965" w:rsidR="00324E61" w:rsidP="00973CEE" w:rsidRDefault="00626F4C" w14:paraId="1D6BF51B" w14:textId="274CEFE1">
            <w:pPr>
              <w:jc w:val="right"/>
              <w:rPr>
                <w:color w:val="000000"/>
                <w:sz w:val="24"/>
                <w:szCs w:val="24"/>
              </w:rPr>
            </w:pPr>
            <w:r w:rsidRPr="00D43965">
              <w:rPr>
                <w:color w:val="000000"/>
                <w:sz w:val="24"/>
                <w:szCs w:val="24"/>
              </w:rPr>
              <w:t>140,000</w:t>
            </w:r>
          </w:p>
        </w:tc>
        <w:tc>
          <w:tcPr>
            <w:tcW w:w="2322" w:type="dxa"/>
            <w:tcBorders>
              <w:bottom w:val="single" w:color="auto" w:sz="4" w:space="0"/>
            </w:tcBorders>
            <w:shd w:val="clear" w:color="auto" w:fill="auto"/>
            <w:noWrap/>
            <w:vAlign w:val="bottom"/>
          </w:tcPr>
          <w:p w:rsidRPr="00D43965" w:rsidR="00324E61" w:rsidP="00BC3BAE" w:rsidRDefault="00A843AB" w14:paraId="51A6C4C7" w14:textId="2F44DFE0">
            <w:pPr>
              <w:jc w:val="right"/>
              <w:rPr>
                <w:color w:val="000000"/>
                <w:sz w:val="24"/>
                <w:szCs w:val="24"/>
              </w:rPr>
            </w:pPr>
            <w:r w:rsidRPr="00D43965">
              <w:rPr>
                <w:color w:val="000000"/>
                <w:sz w:val="24"/>
                <w:szCs w:val="24"/>
              </w:rPr>
              <w:t>390</w:t>
            </w:r>
            <w:r w:rsidRPr="00D43965" w:rsidR="00324E61">
              <w:rPr>
                <w:color w:val="000000"/>
                <w:sz w:val="24"/>
                <w:szCs w:val="24"/>
              </w:rPr>
              <w:t>,000</w:t>
            </w:r>
          </w:p>
        </w:tc>
      </w:tr>
      <w:tr w:rsidRPr="00D43965" w:rsidR="00065D75" w:rsidTr="00872334" w14:paraId="1DFE9B33" w14:textId="77777777">
        <w:trPr>
          <w:trHeight w:val="415"/>
        </w:trPr>
        <w:tc>
          <w:tcPr>
            <w:tcW w:w="5704" w:type="dxa"/>
            <w:shd w:val="clear" w:color="auto" w:fill="auto"/>
            <w:noWrap/>
            <w:vAlign w:val="bottom"/>
            <w:hideMark/>
          </w:tcPr>
          <w:p w:rsidRPr="00D43965" w:rsidR="00065D75" w:rsidP="00973CEE" w:rsidRDefault="00065D75" w14:paraId="3B6D2900" w14:textId="77777777">
            <w:pPr>
              <w:ind w:left="432"/>
              <w:rPr>
                <w:color w:val="000000"/>
                <w:sz w:val="24"/>
                <w:szCs w:val="24"/>
              </w:rPr>
            </w:pPr>
            <w:r w:rsidRPr="00D43965">
              <w:rPr>
                <w:color w:val="000000"/>
                <w:sz w:val="24"/>
                <w:szCs w:val="24"/>
              </w:rPr>
              <w:t xml:space="preserve">Financial Information System for CA </w:t>
            </w:r>
          </w:p>
        </w:tc>
        <w:tc>
          <w:tcPr>
            <w:tcW w:w="2575" w:type="dxa"/>
            <w:tcBorders>
              <w:bottom w:val="single" w:color="auto" w:sz="4" w:space="0"/>
            </w:tcBorders>
            <w:shd w:val="clear" w:color="auto" w:fill="auto"/>
            <w:noWrap/>
            <w:vAlign w:val="bottom"/>
            <w:hideMark/>
          </w:tcPr>
          <w:p w:rsidRPr="00D43965" w:rsidR="00065D75" w:rsidP="00973CEE" w:rsidRDefault="00324E61" w14:paraId="65CABD1D" w14:textId="5BBDFD8E">
            <w:pPr>
              <w:jc w:val="right"/>
              <w:rPr>
                <w:color w:val="000000"/>
                <w:sz w:val="24"/>
                <w:szCs w:val="24"/>
              </w:rPr>
            </w:pPr>
            <w:r w:rsidRPr="00D43965">
              <w:rPr>
                <w:color w:val="000000"/>
                <w:sz w:val="24"/>
                <w:szCs w:val="24"/>
              </w:rPr>
              <w:t>2</w:t>
            </w:r>
            <w:r w:rsidRPr="00D43965" w:rsidR="000A7AC3">
              <w:rPr>
                <w:color w:val="000000"/>
                <w:sz w:val="24"/>
                <w:szCs w:val="24"/>
              </w:rPr>
              <w:t>,000</w:t>
            </w:r>
          </w:p>
        </w:tc>
        <w:tc>
          <w:tcPr>
            <w:tcW w:w="2322" w:type="dxa"/>
            <w:tcBorders>
              <w:bottom w:val="single" w:color="auto" w:sz="4" w:space="0"/>
            </w:tcBorders>
            <w:shd w:val="clear" w:color="auto" w:fill="auto"/>
            <w:noWrap/>
            <w:vAlign w:val="bottom"/>
            <w:hideMark/>
          </w:tcPr>
          <w:p w:rsidRPr="00D43965" w:rsidR="00065D75" w:rsidP="00BC3BAE" w:rsidRDefault="00BC3BAE" w14:paraId="2DC5F2C1" w14:textId="2DE7B057">
            <w:pPr>
              <w:jc w:val="right"/>
              <w:rPr>
                <w:color w:val="000000"/>
                <w:sz w:val="24"/>
                <w:szCs w:val="24"/>
              </w:rPr>
            </w:pPr>
            <w:r w:rsidRPr="00D43965">
              <w:rPr>
                <w:color w:val="000000"/>
                <w:sz w:val="24"/>
                <w:szCs w:val="24"/>
              </w:rPr>
              <w:t>(</w:t>
            </w:r>
            <w:r w:rsidRPr="00D43965" w:rsidR="000A7AC3">
              <w:rPr>
                <w:color w:val="000000"/>
                <w:sz w:val="24"/>
                <w:szCs w:val="24"/>
              </w:rPr>
              <w:t>2,000</w:t>
            </w:r>
            <w:r w:rsidRPr="00D43965">
              <w:rPr>
                <w:color w:val="000000"/>
                <w:sz w:val="24"/>
                <w:szCs w:val="24"/>
              </w:rPr>
              <w:t>)</w:t>
            </w:r>
          </w:p>
        </w:tc>
      </w:tr>
      <w:tr w:rsidRPr="00D43965" w:rsidR="00065D75" w:rsidTr="00872334" w14:paraId="428417B0" w14:textId="77777777">
        <w:trPr>
          <w:trHeight w:val="415"/>
        </w:trPr>
        <w:tc>
          <w:tcPr>
            <w:tcW w:w="5704" w:type="dxa"/>
            <w:shd w:val="clear" w:color="auto" w:fill="auto"/>
            <w:noWrap/>
            <w:vAlign w:val="bottom"/>
            <w:hideMark/>
          </w:tcPr>
          <w:p w:rsidRPr="00D43965" w:rsidR="00065D75" w:rsidP="00973CEE" w:rsidRDefault="00065D75" w14:paraId="4B94B923" w14:textId="77777777">
            <w:pPr>
              <w:rPr>
                <w:color w:val="000000"/>
                <w:sz w:val="24"/>
                <w:szCs w:val="24"/>
              </w:rPr>
            </w:pPr>
            <w:r w:rsidRPr="00D43965">
              <w:rPr>
                <w:color w:val="000000"/>
                <w:sz w:val="24"/>
                <w:szCs w:val="24"/>
              </w:rPr>
              <w:t>Total Expenditures and Expenditure Adjustments</w:t>
            </w:r>
          </w:p>
        </w:tc>
        <w:tc>
          <w:tcPr>
            <w:tcW w:w="2575" w:type="dxa"/>
            <w:tcBorders>
              <w:top w:val="single" w:color="auto" w:sz="4" w:space="0"/>
              <w:bottom w:val="single" w:color="auto" w:sz="4" w:space="0"/>
            </w:tcBorders>
            <w:shd w:val="clear" w:color="auto" w:fill="auto"/>
            <w:noWrap/>
            <w:vAlign w:val="bottom"/>
            <w:hideMark/>
          </w:tcPr>
          <w:p w:rsidRPr="00D43965" w:rsidR="00065D75" w:rsidP="00973CEE" w:rsidRDefault="000A7AC3" w14:paraId="238F43BE" w14:textId="6D147E2F">
            <w:pPr>
              <w:jc w:val="right"/>
              <w:rPr>
                <w:color w:val="000000"/>
                <w:sz w:val="24"/>
                <w:szCs w:val="24"/>
              </w:rPr>
            </w:pPr>
            <w:r w:rsidRPr="00D43965">
              <w:rPr>
                <w:color w:val="000000"/>
                <w:sz w:val="24"/>
                <w:szCs w:val="24"/>
              </w:rPr>
              <w:t>$</w:t>
            </w:r>
            <w:r w:rsidRPr="00D43965" w:rsidR="00626F4C">
              <w:rPr>
                <w:color w:val="000000"/>
                <w:sz w:val="24"/>
                <w:szCs w:val="24"/>
              </w:rPr>
              <w:t>19,77</w:t>
            </w:r>
            <w:r w:rsidRPr="00D43965" w:rsidR="00F46246">
              <w:rPr>
                <w:color w:val="000000"/>
                <w:sz w:val="24"/>
                <w:szCs w:val="24"/>
              </w:rPr>
              <w:t>5</w:t>
            </w:r>
            <w:r w:rsidRPr="00D43965">
              <w:rPr>
                <w:color w:val="000000"/>
                <w:sz w:val="24"/>
                <w:szCs w:val="24"/>
              </w:rPr>
              <w:t>,000</w:t>
            </w:r>
          </w:p>
        </w:tc>
        <w:tc>
          <w:tcPr>
            <w:tcW w:w="2322" w:type="dxa"/>
            <w:tcBorders>
              <w:top w:val="single" w:color="auto" w:sz="4" w:space="0"/>
              <w:bottom w:val="single" w:color="auto" w:sz="4" w:space="0"/>
            </w:tcBorders>
            <w:shd w:val="clear" w:color="auto" w:fill="auto"/>
            <w:noWrap/>
            <w:vAlign w:val="bottom"/>
            <w:hideMark/>
          </w:tcPr>
          <w:p w:rsidRPr="00D43965" w:rsidR="00065D75" w:rsidP="00BC3BAE" w:rsidRDefault="000A7AC3" w14:paraId="4A268333" w14:textId="4C7BEB07">
            <w:pPr>
              <w:jc w:val="right"/>
              <w:rPr>
                <w:color w:val="000000"/>
                <w:sz w:val="24"/>
                <w:szCs w:val="24"/>
              </w:rPr>
            </w:pPr>
            <w:r w:rsidRPr="00D43965">
              <w:rPr>
                <w:color w:val="000000"/>
                <w:sz w:val="24"/>
                <w:szCs w:val="24"/>
              </w:rPr>
              <w:t>$</w:t>
            </w:r>
            <w:r w:rsidRPr="00D43965" w:rsidR="00324E61">
              <w:rPr>
                <w:color w:val="000000"/>
                <w:sz w:val="24"/>
                <w:szCs w:val="24"/>
              </w:rPr>
              <w:t>2</w:t>
            </w:r>
            <w:r w:rsidRPr="00D43965" w:rsidR="00A843AB">
              <w:rPr>
                <w:color w:val="000000"/>
                <w:sz w:val="24"/>
                <w:szCs w:val="24"/>
              </w:rPr>
              <w:t>6,4</w:t>
            </w:r>
            <w:r w:rsidRPr="00D43965" w:rsidR="00311F55">
              <w:rPr>
                <w:color w:val="000000"/>
                <w:sz w:val="24"/>
                <w:szCs w:val="24"/>
              </w:rPr>
              <w:t>6</w:t>
            </w:r>
            <w:r w:rsidRPr="00D43965" w:rsidR="00A843AB">
              <w:rPr>
                <w:color w:val="000000"/>
                <w:sz w:val="24"/>
                <w:szCs w:val="24"/>
              </w:rPr>
              <w:t>2,</w:t>
            </w:r>
            <w:r w:rsidRPr="00D43965">
              <w:rPr>
                <w:color w:val="000000"/>
                <w:sz w:val="24"/>
                <w:szCs w:val="24"/>
              </w:rPr>
              <w:t>000</w:t>
            </w:r>
          </w:p>
        </w:tc>
      </w:tr>
      <w:tr w:rsidRPr="00D43965" w:rsidR="00065D75" w:rsidTr="00872334" w14:paraId="0AFCA6E2" w14:textId="77777777">
        <w:trPr>
          <w:trHeight w:val="415"/>
        </w:trPr>
        <w:tc>
          <w:tcPr>
            <w:tcW w:w="5704" w:type="dxa"/>
            <w:shd w:val="clear" w:color="auto" w:fill="auto"/>
            <w:noWrap/>
            <w:vAlign w:val="bottom"/>
            <w:hideMark/>
          </w:tcPr>
          <w:p w:rsidRPr="00D43965" w:rsidR="00065D75" w:rsidP="00973CEE" w:rsidRDefault="00065D75" w14:paraId="608DA4CF" w14:textId="77777777">
            <w:pPr>
              <w:rPr>
                <w:color w:val="000000"/>
                <w:sz w:val="24"/>
                <w:szCs w:val="24"/>
              </w:rPr>
            </w:pPr>
            <w:r w:rsidRPr="00D43965">
              <w:rPr>
                <w:color w:val="000000"/>
                <w:sz w:val="24"/>
                <w:szCs w:val="24"/>
              </w:rPr>
              <w:t xml:space="preserve">FUND BALANCE </w:t>
            </w:r>
          </w:p>
        </w:tc>
        <w:tc>
          <w:tcPr>
            <w:tcW w:w="2575" w:type="dxa"/>
            <w:tcBorders>
              <w:top w:val="single" w:color="auto" w:sz="4" w:space="0"/>
              <w:bottom w:val="double" w:color="auto" w:sz="4" w:space="0"/>
            </w:tcBorders>
            <w:shd w:val="clear" w:color="auto" w:fill="auto"/>
            <w:noWrap/>
            <w:vAlign w:val="bottom"/>
            <w:hideMark/>
          </w:tcPr>
          <w:p w:rsidRPr="00D43965" w:rsidR="00065D75" w:rsidP="00973CEE" w:rsidRDefault="000A7AC3" w14:paraId="34F88C4A" w14:textId="043CA6E7">
            <w:pPr>
              <w:jc w:val="right"/>
              <w:rPr>
                <w:color w:val="000000"/>
                <w:sz w:val="24"/>
                <w:szCs w:val="24"/>
              </w:rPr>
            </w:pPr>
            <w:r w:rsidRPr="00D43965">
              <w:rPr>
                <w:color w:val="000000"/>
                <w:sz w:val="24"/>
                <w:szCs w:val="24"/>
              </w:rPr>
              <w:t>$</w:t>
            </w:r>
            <w:r w:rsidRPr="00D43965" w:rsidR="008C06E8">
              <w:rPr>
                <w:color w:val="000000"/>
                <w:sz w:val="24"/>
                <w:szCs w:val="24"/>
              </w:rPr>
              <w:t>57,</w:t>
            </w:r>
            <w:r w:rsidRPr="00D43965" w:rsidR="001A15B1">
              <w:rPr>
                <w:color w:val="000000"/>
                <w:sz w:val="24"/>
                <w:szCs w:val="24"/>
              </w:rPr>
              <w:t>36</w:t>
            </w:r>
            <w:r w:rsidRPr="00D43965" w:rsidR="00F46246">
              <w:rPr>
                <w:color w:val="000000"/>
                <w:sz w:val="24"/>
                <w:szCs w:val="24"/>
              </w:rPr>
              <w:t>2</w:t>
            </w:r>
            <w:r w:rsidRPr="00D43965">
              <w:rPr>
                <w:color w:val="000000"/>
                <w:sz w:val="24"/>
                <w:szCs w:val="24"/>
              </w:rPr>
              <w:t>,000</w:t>
            </w:r>
          </w:p>
        </w:tc>
        <w:tc>
          <w:tcPr>
            <w:tcW w:w="2322" w:type="dxa"/>
            <w:tcBorders>
              <w:top w:val="single" w:color="auto" w:sz="4" w:space="0"/>
              <w:bottom w:val="double" w:color="auto" w:sz="4" w:space="0"/>
            </w:tcBorders>
            <w:shd w:val="clear" w:color="auto" w:fill="auto"/>
            <w:noWrap/>
            <w:vAlign w:val="bottom"/>
            <w:hideMark/>
          </w:tcPr>
          <w:p w:rsidRPr="00D43965" w:rsidR="00065D75" w:rsidP="00BC3BAE" w:rsidRDefault="000A7AC3" w14:paraId="3E2ACCB9" w14:textId="25DB8D1D">
            <w:pPr>
              <w:jc w:val="right"/>
              <w:rPr>
                <w:color w:val="000000"/>
                <w:sz w:val="24"/>
                <w:szCs w:val="24"/>
              </w:rPr>
            </w:pPr>
            <w:r w:rsidRPr="00D43965">
              <w:rPr>
                <w:color w:val="000000"/>
                <w:sz w:val="24"/>
                <w:szCs w:val="24"/>
              </w:rPr>
              <w:t>$</w:t>
            </w:r>
            <w:r w:rsidRPr="00D43965" w:rsidR="008C06E8">
              <w:rPr>
                <w:color w:val="000000"/>
                <w:sz w:val="24"/>
                <w:szCs w:val="24"/>
              </w:rPr>
              <w:t>44,</w:t>
            </w:r>
            <w:r w:rsidRPr="00D43965" w:rsidR="00BC3BAE">
              <w:rPr>
                <w:color w:val="000000"/>
                <w:sz w:val="24"/>
                <w:szCs w:val="24"/>
              </w:rPr>
              <w:t>35</w:t>
            </w:r>
            <w:r w:rsidRPr="00D43965" w:rsidR="00F46246">
              <w:rPr>
                <w:color w:val="000000"/>
                <w:sz w:val="24"/>
                <w:szCs w:val="24"/>
              </w:rPr>
              <w:t>2</w:t>
            </w:r>
            <w:r w:rsidRPr="00D43965" w:rsidR="007C56EE">
              <w:rPr>
                <w:color w:val="000000"/>
                <w:sz w:val="24"/>
                <w:szCs w:val="24"/>
              </w:rPr>
              <w:t>,</w:t>
            </w:r>
            <w:r w:rsidRPr="00D43965">
              <w:rPr>
                <w:color w:val="000000"/>
                <w:sz w:val="24"/>
                <w:szCs w:val="24"/>
              </w:rPr>
              <w:t>000</w:t>
            </w:r>
          </w:p>
        </w:tc>
      </w:tr>
    </w:tbl>
    <w:p w:rsidRPr="00D43965" w:rsidR="00DA13DA" w:rsidP="004B716D" w:rsidRDefault="00DA13DA" w14:paraId="78115845" w14:textId="186C8E7F">
      <w:pPr>
        <w:rPr>
          <w:sz w:val="24"/>
          <w:szCs w:val="24"/>
        </w:rPr>
      </w:pPr>
    </w:p>
    <w:sectPr w:rsidRPr="00D43965" w:rsidR="00DA13DA" w:rsidSect="0005423C">
      <w:footerReference w:type="first" r:id="rId12"/>
      <w:footnotePr>
        <w:numRestart w:val="eachSect"/>
      </w:footnotePr>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735B2" w14:textId="77777777" w:rsidR="008B476B" w:rsidRDefault="008B476B">
      <w:r>
        <w:separator/>
      </w:r>
    </w:p>
  </w:endnote>
  <w:endnote w:type="continuationSeparator" w:id="0">
    <w:p w14:paraId="658505E5" w14:textId="77777777" w:rsidR="008B476B" w:rsidRDefault="008B4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7732438"/>
      <w:docPartObj>
        <w:docPartGallery w:val="Page Numbers (Bottom of Page)"/>
        <w:docPartUnique/>
      </w:docPartObj>
    </w:sdtPr>
    <w:sdtEndPr>
      <w:rPr>
        <w:noProof/>
      </w:rPr>
    </w:sdtEndPr>
    <w:sdtContent>
      <w:p w14:paraId="45C0CC27" w14:textId="647CD41A" w:rsidR="0044600A" w:rsidRDefault="00B073D3" w:rsidP="0005423C">
        <w:pPr>
          <w:pStyle w:val="Footer"/>
        </w:pPr>
        <w:r w:rsidRPr="00B073D3">
          <w:rPr>
            <w:sz w:val="20"/>
            <w:szCs w:val="20"/>
          </w:rPr>
          <w:t>352460738</w:t>
        </w:r>
        <w:r w:rsidR="0005423C">
          <w:rPr>
            <w:sz w:val="20"/>
            <w:szCs w:val="20"/>
          </w:rPr>
          <w:tab/>
        </w:r>
        <w:r w:rsidR="0044600A">
          <w:fldChar w:fldCharType="begin"/>
        </w:r>
        <w:r w:rsidR="0044600A">
          <w:instrText xml:space="preserve"> PAGE   \* MERGEFORMAT </w:instrText>
        </w:r>
        <w:r w:rsidR="0044600A">
          <w:fldChar w:fldCharType="separate"/>
        </w:r>
        <w:r w:rsidR="0044600A">
          <w:rPr>
            <w:noProof/>
          </w:rPr>
          <w:t>9</w:t>
        </w:r>
        <w:r w:rsidR="0044600A">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7203024"/>
      <w:docPartObj>
        <w:docPartGallery w:val="Page Numbers (Bottom of Page)"/>
        <w:docPartUnique/>
      </w:docPartObj>
    </w:sdtPr>
    <w:sdtEndPr>
      <w:rPr>
        <w:noProof/>
      </w:rPr>
    </w:sdtEndPr>
    <w:sdtContent>
      <w:p w14:paraId="2102342F" w14:textId="48077663" w:rsidR="0044600A" w:rsidRDefault="00B073D3" w:rsidP="0005423C">
        <w:pPr>
          <w:pStyle w:val="Footer"/>
        </w:pPr>
        <w:r w:rsidRPr="00B073D3">
          <w:rPr>
            <w:sz w:val="20"/>
            <w:szCs w:val="20"/>
          </w:rPr>
          <w:t>352460738</w:t>
        </w:r>
        <w:r w:rsidR="0005423C">
          <w:tab/>
        </w:r>
        <w:r w:rsidR="0044600A">
          <w:fldChar w:fldCharType="begin"/>
        </w:r>
        <w:r w:rsidR="0044600A">
          <w:instrText xml:space="preserve"> PAGE   \* MERGEFORMAT </w:instrText>
        </w:r>
        <w:r w:rsidR="0044600A">
          <w:fldChar w:fldCharType="separate"/>
        </w:r>
        <w:r w:rsidR="0044600A">
          <w:rPr>
            <w:noProof/>
          </w:rPr>
          <w:t>1</w:t>
        </w:r>
        <w:r w:rsidR="0044600A">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1297708"/>
      <w:docPartObj>
        <w:docPartGallery w:val="Page Numbers (Bottom of Page)"/>
        <w:docPartUnique/>
      </w:docPartObj>
    </w:sdtPr>
    <w:sdtEndPr>
      <w:rPr>
        <w:noProof/>
      </w:rPr>
    </w:sdtEndPr>
    <w:sdtContent>
      <w:p w14:paraId="017324ED" w14:textId="243C5E8B" w:rsidR="0005423C" w:rsidRDefault="0005423C" w:rsidP="0005423C">
        <w:pPr>
          <w:pStyle w:val="Footer"/>
        </w:pPr>
        <w:r w:rsidRPr="0005423C">
          <w:rPr>
            <w:sz w:val="20"/>
            <w:szCs w:val="20"/>
          </w:rPr>
          <w:t>349920268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A4796" w14:textId="77777777" w:rsidR="008B476B" w:rsidRDefault="008B476B">
      <w:r>
        <w:separator/>
      </w:r>
    </w:p>
  </w:footnote>
  <w:footnote w:type="continuationSeparator" w:id="0">
    <w:p w14:paraId="3BCB427E" w14:textId="77777777" w:rsidR="008B476B" w:rsidRDefault="008B476B">
      <w:r>
        <w:continuationSeparator/>
      </w:r>
    </w:p>
  </w:footnote>
  <w:footnote w:id="1">
    <w:p w14:paraId="72EC3A97" w14:textId="64B54F07" w:rsidR="0044600A" w:rsidRPr="006B729C" w:rsidRDefault="0044600A" w:rsidP="006B729C">
      <w:pPr>
        <w:pStyle w:val="FootnoteText"/>
        <w:spacing w:after="120"/>
        <w:rPr>
          <w:rFonts w:ascii="Times New Roman" w:hAnsi="Times New Roman"/>
          <w:szCs w:val="24"/>
        </w:rPr>
      </w:pPr>
      <w:r w:rsidRPr="006B729C">
        <w:rPr>
          <w:rStyle w:val="FootnoteReference"/>
          <w:rFonts w:ascii="Times New Roman" w:hAnsi="Times New Roman"/>
          <w:b/>
          <w:bCs/>
          <w:szCs w:val="24"/>
          <w:u w:val="single"/>
        </w:rPr>
        <w:footnoteRef/>
      </w:r>
      <w:r w:rsidRPr="006B729C">
        <w:rPr>
          <w:rFonts w:ascii="Times New Roman" w:hAnsi="Times New Roman"/>
          <w:szCs w:val="24"/>
        </w:rPr>
        <w:t xml:space="preserve"> </w:t>
      </w:r>
      <w:r w:rsidRPr="006B729C">
        <w:rPr>
          <w:rFonts w:ascii="Times New Roman" w:hAnsi="Times New Roman"/>
          <w:iCs/>
          <w:szCs w:val="24"/>
        </w:rPr>
        <w:t>Cal. Pub. Util. Code § 422(a)(2).</w:t>
      </w:r>
    </w:p>
  </w:footnote>
  <w:footnote w:id="2">
    <w:p w14:paraId="682D7A6C" w14:textId="3512D0F2" w:rsidR="0044600A" w:rsidRPr="006B729C" w:rsidRDefault="0044600A" w:rsidP="006B729C">
      <w:pPr>
        <w:pStyle w:val="FootnoteText"/>
        <w:spacing w:after="120"/>
        <w:rPr>
          <w:rFonts w:ascii="Times New Roman" w:hAnsi="Times New Roman"/>
          <w:szCs w:val="24"/>
        </w:rPr>
      </w:pPr>
      <w:r w:rsidRPr="006B729C">
        <w:rPr>
          <w:rStyle w:val="FootnoteReference"/>
          <w:rFonts w:ascii="Times New Roman" w:hAnsi="Times New Roman"/>
          <w:b/>
          <w:bCs/>
          <w:szCs w:val="24"/>
          <w:u w:val="single"/>
        </w:rPr>
        <w:footnoteRef/>
      </w:r>
      <w:r w:rsidRPr="006B729C">
        <w:rPr>
          <w:rStyle w:val="FootnoteReference"/>
          <w:b/>
          <w:bCs/>
          <w:u w:val="single"/>
        </w:rPr>
        <w:t xml:space="preserve"> </w:t>
      </w:r>
      <w:r w:rsidR="006B729C">
        <w:t xml:space="preserve"> </w:t>
      </w:r>
      <w:r w:rsidRPr="006B729C">
        <w:rPr>
          <w:rFonts w:ascii="Times New Roman" w:hAnsi="Times New Roman"/>
          <w:iCs/>
          <w:szCs w:val="24"/>
        </w:rPr>
        <w:t>Cal. Pub. Util. Code § 422(a).</w:t>
      </w:r>
    </w:p>
  </w:footnote>
  <w:footnote w:id="3">
    <w:p w14:paraId="19B01F1B" w14:textId="7697A331" w:rsidR="0044600A" w:rsidRPr="006B729C" w:rsidRDefault="0044600A" w:rsidP="006B729C">
      <w:pPr>
        <w:pStyle w:val="FootnoteText"/>
        <w:spacing w:after="120"/>
        <w:rPr>
          <w:rFonts w:ascii="Times New Roman" w:hAnsi="Times New Roman"/>
          <w:szCs w:val="24"/>
        </w:rPr>
      </w:pPr>
      <w:r w:rsidRPr="006B729C">
        <w:rPr>
          <w:rStyle w:val="FootnoteReference"/>
          <w:rFonts w:ascii="Times New Roman" w:hAnsi="Times New Roman"/>
          <w:b/>
          <w:bCs/>
          <w:szCs w:val="24"/>
          <w:u w:val="single"/>
        </w:rPr>
        <w:footnoteRef/>
      </w:r>
      <w:r w:rsidRPr="006B729C">
        <w:rPr>
          <w:rFonts w:ascii="Times New Roman" w:hAnsi="Times New Roman"/>
          <w:szCs w:val="24"/>
        </w:rPr>
        <w:t xml:space="preserve"> </w:t>
      </w:r>
      <w:r w:rsidRPr="006B729C">
        <w:rPr>
          <w:rFonts w:ascii="Times New Roman" w:hAnsi="Times New Roman"/>
          <w:iCs/>
          <w:szCs w:val="24"/>
        </w:rPr>
        <w:t>Cal. Pub. Util. Code § 422(b).</w:t>
      </w:r>
    </w:p>
  </w:footnote>
  <w:footnote w:id="4">
    <w:p w14:paraId="78451BB7" w14:textId="05081CE6" w:rsidR="0044600A" w:rsidRPr="006B729C" w:rsidRDefault="0044600A" w:rsidP="006B729C">
      <w:pPr>
        <w:pStyle w:val="FootnoteText"/>
        <w:spacing w:after="120"/>
        <w:rPr>
          <w:rFonts w:ascii="Times New Roman" w:hAnsi="Times New Roman"/>
          <w:szCs w:val="24"/>
        </w:rPr>
      </w:pPr>
      <w:r w:rsidRPr="006B729C">
        <w:rPr>
          <w:rStyle w:val="FootnoteReference"/>
          <w:rFonts w:ascii="Times New Roman" w:hAnsi="Times New Roman"/>
          <w:b/>
          <w:bCs/>
          <w:szCs w:val="24"/>
          <w:u w:val="single"/>
        </w:rPr>
        <w:footnoteRef/>
      </w:r>
      <w:r w:rsidRPr="006B729C">
        <w:rPr>
          <w:rFonts w:ascii="Times New Roman" w:hAnsi="Times New Roman"/>
          <w:szCs w:val="24"/>
        </w:rPr>
        <w:t xml:space="preserve"> </w:t>
      </w:r>
      <w:bookmarkStart w:id="6" w:name="_Hlk52530652"/>
      <w:r w:rsidRPr="006B729C">
        <w:rPr>
          <w:rFonts w:ascii="Times New Roman" w:hAnsi="Times New Roman"/>
          <w:iCs/>
          <w:szCs w:val="24"/>
        </w:rPr>
        <w:t>Cal. Pub. Util. Code § 422(c)(1</w:t>
      </w:r>
      <w:bookmarkEnd w:id="6"/>
      <w:r w:rsidRPr="006B729C">
        <w:rPr>
          <w:rFonts w:ascii="Times New Roman" w:hAnsi="Times New Roman"/>
          <w:iCs/>
          <w:szCs w:val="24"/>
        </w:rPr>
        <w:t>).</w:t>
      </w:r>
    </w:p>
  </w:footnote>
  <w:footnote w:id="5">
    <w:p w14:paraId="629F865B" w14:textId="03CD19A7" w:rsidR="0044600A" w:rsidRPr="006B729C" w:rsidRDefault="0044600A" w:rsidP="006B729C">
      <w:pPr>
        <w:pStyle w:val="FootnoteText"/>
        <w:spacing w:after="120"/>
        <w:rPr>
          <w:rFonts w:ascii="Times New Roman" w:hAnsi="Times New Roman"/>
          <w:szCs w:val="24"/>
        </w:rPr>
      </w:pPr>
      <w:r w:rsidRPr="006B729C">
        <w:rPr>
          <w:rStyle w:val="FootnoteReference"/>
          <w:rFonts w:ascii="Times New Roman" w:hAnsi="Times New Roman"/>
          <w:b/>
          <w:bCs/>
          <w:szCs w:val="24"/>
          <w:u w:val="single"/>
        </w:rPr>
        <w:footnoteRef/>
      </w:r>
      <w:r w:rsidRPr="006B729C">
        <w:rPr>
          <w:rFonts w:ascii="Times New Roman" w:hAnsi="Times New Roman"/>
          <w:szCs w:val="24"/>
        </w:rPr>
        <w:t xml:space="preserve"> </w:t>
      </w:r>
      <w:r w:rsidRPr="006B729C">
        <w:rPr>
          <w:rFonts w:ascii="Times New Roman" w:hAnsi="Times New Roman"/>
          <w:iCs/>
          <w:szCs w:val="24"/>
        </w:rPr>
        <w:t>Cal. Pub. Util. Code § 424(b).</w:t>
      </w:r>
    </w:p>
  </w:footnote>
  <w:footnote w:id="6">
    <w:p w14:paraId="368EE151" w14:textId="0E0FDE53" w:rsidR="0044600A" w:rsidRPr="006B729C" w:rsidRDefault="0044600A" w:rsidP="006B729C">
      <w:pPr>
        <w:pStyle w:val="FootnoteText"/>
        <w:spacing w:after="120"/>
        <w:rPr>
          <w:rFonts w:ascii="Times New Roman" w:hAnsi="Times New Roman"/>
          <w:szCs w:val="24"/>
        </w:rPr>
      </w:pPr>
      <w:r w:rsidRPr="006B729C">
        <w:rPr>
          <w:rStyle w:val="FootnoteReference"/>
          <w:rFonts w:ascii="Times New Roman" w:hAnsi="Times New Roman"/>
          <w:b/>
          <w:bCs/>
          <w:szCs w:val="24"/>
          <w:u w:val="single"/>
        </w:rPr>
        <w:footnoteRef/>
      </w:r>
      <w:r w:rsidRPr="006B729C">
        <w:rPr>
          <w:rFonts w:ascii="Times New Roman" w:hAnsi="Times New Roman"/>
          <w:szCs w:val="24"/>
        </w:rPr>
        <w:t xml:space="preserve"> </w:t>
      </w:r>
      <w:r w:rsidRPr="006B729C">
        <w:rPr>
          <w:rFonts w:ascii="Times New Roman" w:hAnsi="Times New Roman"/>
          <w:iCs/>
          <w:szCs w:val="24"/>
        </w:rPr>
        <w:t>Cal. Pub. Util. Code § 422(c)(2).</w:t>
      </w:r>
    </w:p>
  </w:footnote>
  <w:footnote w:id="7">
    <w:p w14:paraId="3398017D" w14:textId="176E0EF1" w:rsidR="0044600A" w:rsidRPr="006B729C" w:rsidRDefault="0044600A" w:rsidP="006B729C">
      <w:pPr>
        <w:pStyle w:val="FootnoteText"/>
        <w:spacing w:after="120"/>
        <w:rPr>
          <w:rFonts w:ascii="Times New Roman" w:hAnsi="Times New Roman"/>
          <w:szCs w:val="24"/>
        </w:rPr>
      </w:pPr>
      <w:r w:rsidRPr="006B729C">
        <w:rPr>
          <w:rStyle w:val="FootnoteReference"/>
          <w:rFonts w:ascii="Times New Roman" w:hAnsi="Times New Roman"/>
          <w:b/>
          <w:bCs/>
          <w:szCs w:val="24"/>
          <w:u w:val="single"/>
        </w:rPr>
        <w:footnoteRef/>
      </w:r>
      <w:r w:rsidRPr="006B729C">
        <w:rPr>
          <w:rFonts w:ascii="Times New Roman" w:hAnsi="Times New Roman"/>
          <w:szCs w:val="24"/>
        </w:rPr>
        <w:t xml:space="preserve"> </w:t>
      </w:r>
      <w:r w:rsidRPr="006B729C">
        <w:rPr>
          <w:rFonts w:ascii="Times New Roman" w:hAnsi="Times New Roman"/>
          <w:iCs/>
          <w:szCs w:val="24"/>
        </w:rPr>
        <w:t>Cal. Pub. Util. Code § 422(c)(1).</w:t>
      </w:r>
    </w:p>
  </w:footnote>
  <w:footnote w:id="8">
    <w:p w14:paraId="035A94B3" w14:textId="09EB9BE5" w:rsidR="0044600A" w:rsidRPr="006B729C" w:rsidRDefault="0044600A" w:rsidP="006B729C">
      <w:pPr>
        <w:pStyle w:val="FootnoteText"/>
        <w:spacing w:after="120"/>
        <w:rPr>
          <w:rFonts w:ascii="Times New Roman" w:hAnsi="Times New Roman"/>
          <w:szCs w:val="24"/>
        </w:rPr>
      </w:pPr>
      <w:r w:rsidRPr="006B729C">
        <w:rPr>
          <w:rStyle w:val="FootnoteReference"/>
          <w:rFonts w:ascii="Times New Roman" w:hAnsi="Times New Roman"/>
          <w:b/>
          <w:bCs/>
          <w:szCs w:val="24"/>
          <w:u w:val="single"/>
        </w:rPr>
        <w:footnoteRef/>
      </w:r>
      <w:r w:rsidRPr="006B729C">
        <w:rPr>
          <w:rFonts w:ascii="Times New Roman" w:hAnsi="Times New Roman"/>
          <w:szCs w:val="24"/>
        </w:rPr>
        <w:t xml:space="preserve"> </w:t>
      </w:r>
      <w:r w:rsidRPr="006B729C">
        <w:rPr>
          <w:rFonts w:ascii="Times New Roman" w:hAnsi="Times New Roman"/>
          <w:iCs/>
          <w:szCs w:val="24"/>
        </w:rPr>
        <w:t>Cal. Pub. Util. Code § 422.1.</w:t>
      </w:r>
    </w:p>
  </w:footnote>
  <w:footnote w:id="9">
    <w:p w14:paraId="6635AC80" w14:textId="27A90BA6" w:rsidR="0044600A" w:rsidRPr="006B729C" w:rsidRDefault="0044600A" w:rsidP="006B729C">
      <w:pPr>
        <w:pStyle w:val="FootnoteText"/>
        <w:spacing w:after="120"/>
        <w:rPr>
          <w:rFonts w:ascii="Times New Roman" w:hAnsi="Times New Roman"/>
          <w:szCs w:val="24"/>
        </w:rPr>
      </w:pPr>
      <w:r w:rsidRPr="006B729C">
        <w:rPr>
          <w:rStyle w:val="FootnoteReference"/>
          <w:rFonts w:ascii="Times New Roman" w:hAnsi="Times New Roman"/>
          <w:b/>
          <w:bCs/>
          <w:szCs w:val="24"/>
          <w:u w:val="single"/>
        </w:rPr>
        <w:footnoteRef/>
      </w:r>
      <w:r w:rsidRPr="006B729C">
        <w:rPr>
          <w:rFonts w:ascii="Times New Roman" w:hAnsi="Times New Roman"/>
          <w:szCs w:val="24"/>
        </w:rPr>
        <w:t xml:space="preserve"> From the 2020-21 Proposed Governor’s Budget.</w:t>
      </w:r>
    </w:p>
  </w:footnote>
  <w:footnote w:id="10">
    <w:p w14:paraId="6B93E932" w14:textId="5D5362DA" w:rsidR="0044600A" w:rsidRPr="006B729C" w:rsidRDefault="0044600A" w:rsidP="006B729C">
      <w:pPr>
        <w:pStyle w:val="FootnoteText"/>
        <w:spacing w:after="120"/>
        <w:rPr>
          <w:rFonts w:ascii="Times New Roman" w:hAnsi="Times New Roman"/>
          <w:szCs w:val="24"/>
        </w:rPr>
      </w:pPr>
      <w:r w:rsidRPr="006B729C">
        <w:rPr>
          <w:rStyle w:val="FootnoteReference"/>
          <w:rFonts w:ascii="Times New Roman" w:hAnsi="Times New Roman"/>
          <w:b/>
          <w:bCs/>
          <w:szCs w:val="24"/>
          <w:u w:val="single"/>
        </w:rPr>
        <w:footnoteRef/>
      </w:r>
      <w:r w:rsidRPr="006B729C">
        <w:rPr>
          <w:rFonts w:ascii="Times New Roman" w:hAnsi="Times New Roman"/>
          <w:szCs w:val="24"/>
        </w:rPr>
        <w:t xml:space="preserve"> From the 2020-21 Proposed Governor’s Budget; allocated by workload data by utility class.</w:t>
      </w:r>
    </w:p>
  </w:footnote>
  <w:footnote w:id="11">
    <w:p w14:paraId="2466210C" w14:textId="18E4C7E2" w:rsidR="0044600A" w:rsidRPr="00D43965" w:rsidRDefault="0044600A" w:rsidP="006B729C">
      <w:pPr>
        <w:pStyle w:val="FootnoteText"/>
        <w:spacing w:after="120"/>
        <w:rPr>
          <w:rFonts w:ascii="Times New Roman" w:hAnsi="Times New Roman"/>
          <w:szCs w:val="24"/>
        </w:rPr>
      </w:pPr>
      <w:r w:rsidRPr="006B729C">
        <w:rPr>
          <w:rStyle w:val="FootnoteReference"/>
          <w:rFonts w:ascii="Times New Roman" w:hAnsi="Times New Roman"/>
          <w:b/>
          <w:bCs/>
          <w:szCs w:val="24"/>
          <w:u w:val="single"/>
        </w:rPr>
        <w:footnoteRef/>
      </w:r>
      <w:r w:rsidRPr="006B729C">
        <w:rPr>
          <w:rFonts w:ascii="Times New Roman" w:hAnsi="Times New Roman"/>
          <w:szCs w:val="24"/>
        </w:rPr>
        <w:t xml:space="preserve"> FY2020-21 begins July 1, 2020, the 2020 fees fund these expenditures for half of calendar year 2020 through June 20, 2021.</w:t>
      </w:r>
    </w:p>
  </w:footnote>
  <w:footnote w:id="12">
    <w:p w14:paraId="44A9C575" w14:textId="41A62A70" w:rsidR="0044600A" w:rsidRPr="006B729C" w:rsidRDefault="0044600A" w:rsidP="006B729C">
      <w:pPr>
        <w:pStyle w:val="FootnoteText"/>
        <w:spacing w:after="120"/>
        <w:rPr>
          <w:rFonts w:ascii="Times New Roman" w:hAnsi="Times New Roman"/>
          <w:szCs w:val="24"/>
        </w:rPr>
      </w:pPr>
      <w:r w:rsidRPr="006B729C">
        <w:rPr>
          <w:rStyle w:val="FootnoteReference"/>
          <w:rFonts w:ascii="Times New Roman" w:hAnsi="Times New Roman"/>
          <w:b/>
          <w:bCs/>
          <w:szCs w:val="24"/>
          <w:u w:val="single"/>
        </w:rPr>
        <w:footnoteRef/>
      </w:r>
      <w:r w:rsidRPr="006B729C">
        <w:rPr>
          <w:rFonts w:ascii="Times New Roman" w:hAnsi="Times New Roman"/>
          <w:szCs w:val="24"/>
        </w:rPr>
        <w:t xml:space="preserve"> Revenue in Columns a and b represent actual revenue collected from Quarter 3 and 4 of 18/19 and Quarter 1 and 2 of 19/20.  Penalties that are included are those not remitted to the general fund, such as late penalties.</w:t>
      </w:r>
    </w:p>
  </w:footnote>
  <w:footnote w:id="13">
    <w:p w14:paraId="4332155D" w14:textId="2629BEB9" w:rsidR="0044600A" w:rsidRPr="006B729C" w:rsidRDefault="0044600A" w:rsidP="006B729C">
      <w:pPr>
        <w:pStyle w:val="FootnoteText"/>
        <w:spacing w:after="120"/>
        <w:rPr>
          <w:rFonts w:ascii="Times New Roman" w:hAnsi="Times New Roman"/>
          <w:szCs w:val="24"/>
        </w:rPr>
      </w:pPr>
      <w:r w:rsidRPr="006B729C">
        <w:rPr>
          <w:rStyle w:val="FootnoteReference"/>
          <w:rFonts w:ascii="Times New Roman" w:hAnsi="Times New Roman"/>
          <w:b/>
          <w:bCs/>
          <w:szCs w:val="24"/>
          <w:u w:val="single"/>
        </w:rPr>
        <w:footnoteRef/>
      </w:r>
      <w:r w:rsidRPr="006B729C">
        <w:rPr>
          <w:rFonts w:ascii="Times New Roman" w:hAnsi="Times New Roman"/>
          <w:szCs w:val="24"/>
        </w:rPr>
        <w:t xml:space="preserve"> Includes registration, renewal, and other miscellaneous fees.</w:t>
      </w:r>
    </w:p>
  </w:footnote>
  <w:footnote w:id="14">
    <w:p w14:paraId="2234A866" w14:textId="65B0C791" w:rsidR="0044600A" w:rsidRPr="000F7E58" w:rsidRDefault="0044600A" w:rsidP="006B729C">
      <w:pPr>
        <w:pStyle w:val="FootnoteText"/>
        <w:spacing w:after="120"/>
        <w:rPr>
          <w:rFonts w:ascii="Times New Roman" w:hAnsi="Times New Roman"/>
          <w:szCs w:val="24"/>
        </w:rPr>
      </w:pPr>
      <w:r w:rsidRPr="006B729C">
        <w:rPr>
          <w:rStyle w:val="FootnoteReference"/>
          <w:rFonts w:ascii="Times New Roman" w:hAnsi="Times New Roman"/>
          <w:b/>
          <w:bCs/>
          <w:szCs w:val="24"/>
          <w:u w:val="single"/>
        </w:rPr>
        <w:footnoteRef/>
      </w:r>
      <w:r w:rsidRPr="006B729C">
        <w:rPr>
          <w:rFonts w:ascii="Times New Roman" w:hAnsi="Times New Roman"/>
          <w:szCs w:val="24"/>
        </w:rPr>
        <w:t xml:space="preserve"> D.13-09-045, p. 33.</w:t>
      </w:r>
      <w:r w:rsidRPr="000F7E58">
        <w:rPr>
          <w:rFonts w:ascii="Times New Roman" w:hAnsi="Times New Roman"/>
          <w:szCs w:val="24"/>
        </w:rPr>
        <w:t xml:space="preserve"> </w:t>
      </w:r>
    </w:p>
  </w:footnote>
  <w:footnote w:id="15">
    <w:p w14:paraId="6CC560F0" w14:textId="72A2897D" w:rsidR="0044600A" w:rsidRPr="00D2061C" w:rsidRDefault="0044600A" w:rsidP="00D2061C">
      <w:pPr>
        <w:pStyle w:val="FootnoteText"/>
        <w:spacing w:after="120"/>
        <w:rPr>
          <w:rFonts w:ascii="Times New Roman" w:hAnsi="Times New Roman"/>
          <w:szCs w:val="24"/>
        </w:rPr>
      </w:pPr>
      <w:r w:rsidRPr="00D2061C">
        <w:rPr>
          <w:rStyle w:val="FootnoteReference"/>
          <w:rFonts w:ascii="Times New Roman" w:hAnsi="Times New Roman"/>
          <w:b/>
          <w:bCs/>
          <w:szCs w:val="24"/>
          <w:u w:val="single"/>
        </w:rPr>
        <w:footnoteRef/>
      </w:r>
      <w:r w:rsidRPr="00D2061C">
        <w:rPr>
          <w:rFonts w:ascii="Times New Roman" w:hAnsi="Times New Roman"/>
          <w:szCs w:val="24"/>
        </w:rPr>
        <w:t xml:space="preserve"> Fiscal Year 2018-19 prior year revenue will not match what is displayed in 2020-21 Enacted Budget. A prior year adjustment will be made in the 2021-22 </w:t>
      </w:r>
      <w:r w:rsidR="004747C3" w:rsidRPr="00D2061C">
        <w:rPr>
          <w:rFonts w:ascii="Times New Roman" w:hAnsi="Times New Roman"/>
          <w:szCs w:val="24"/>
        </w:rPr>
        <w:t>G</w:t>
      </w:r>
      <w:r w:rsidR="004747C3">
        <w:rPr>
          <w:rFonts w:ascii="Times New Roman" w:hAnsi="Times New Roman"/>
          <w:szCs w:val="24"/>
        </w:rPr>
        <w:t xml:space="preserve">overnor’s </w:t>
      </w:r>
      <w:r w:rsidRPr="00D2061C">
        <w:rPr>
          <w:rFonts w:ascii="Times New Roman" w:hAnsi="Times New Roman"/>
          <w:szCs w:val="24"/>
        </w:rPr>
        <w:t>B</w:t>
      </w:r>
      <w:r w:rsidR="004747C3">
        <w:rPr>
          <w:rFonts w:ascii="Times New Roman" w:hAnsi="Times New Roman"/>
          <w:szCs w:val="24"/>
        </w:rPr>
        <w:t>udget</w:t>
      </w:r>
      <w:r w:rsidRPr="00D2061C">
        <w:rPr>
          <w:rFonts w:ascii="Times New Roman" w:hAnsi="Times New Roman"/>
          <w:szCs w:val="24"/>
        </w:rPr>
        <w:t xml:space="preserve"> to reflect actual FY 2018-19 revenue.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2FBDB" w14:textId="5F320591" w:rsidR="0044600A" w:rsidRPr="00926539" w:rsidRDefault="0044600A" w:rsidP="0005423C">
    <w:pPr>
      <w:pStyle w:val="Header"/>
      <w:spacing w:after="240"/>
      <w:rPr>
        <w:sz w:val="24"/>
        <w:szCs w:val="24"/>
      </w:rPr>
    </w:pPr>
    <w:r w:rsidRPr="00926539">
      <w:rPr>
        <w:sz w:val="24"/>
        <w:szCs w:val="24"/>
      </w:rPr>
      <w:t>Resolution M-4840</w:t>
    </w:r>
    <w:r w:rsidRPr="00926539">
      <w:rPr>
        <w:sz w:val="24"/>
        <w:szCs w:val="24"/>
      </w:rPr>
      <w:tab/>
    </w:r>
    <w:r w:rsidRPr="00926539">
      <w:rPr>
        <w:b/>
        <w:bCs/>
        <w:sz w:val="24"/>
        <w:szCs w:val="24"/>
      </w:rPr>
      <w:t>DRAFT</w:t>
    </w:r>
    <w:r w:rsidRPr="00926539">
      <w:rPr>
        <w:sz w:val="24"/>
        <w:szCs w:val="24"/>
      </w:rPr>
      <w:tab/>
    </w:r>
    <w:r w:rsidR="006B729C" w:rsidRPr="006B729C">
      <w:rPr>
        <w:sz w:val="24"/>
        <w:szCs w:val="24"/>
      </w:rPr>
      <w:t>December 3</w:t>
    </w:r>
    <w:r w:rsidRPr="006B729C">
      <w:rPr>
        <w:sz w:val="24"/>
        <w:szCs w:val="24"/>
      </w:rPr>
      <w:t>,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3104"/>
      <w:gridCol w:w="3128"/>
      <w:gridCol w:w="3128"/>
    </w:tblGrid>
    <w:tr w:rsidR="0005423C" w14:paraId="641A6D75" w14:textId="77777777" w:rsidTr="0005423C">
      <w:tc>
        <w:tcPr>
          <w:tcW w:w="3104" w:type="dxa"/>
        </w:tcPr>
        <w:p w14:paraId="1D7D374F" w14:textId="18BD6B2B" w:rsidR="0005423C" w:rsidRDefault="0005423C" w:rsidP="0005423C">
          <w:pPr>
            <w:pStyle w:val="Header"/>
            <w:jc w:val="center"/>
            <w:rPr>
              <w:rFonts w:ascii="Palatino Linotype" w:hAnsi="Palatino Linotype"/>
              <w:b/>
              <w:bCs/>
              <w:sz w:val="24"/>
            </w:rPr>
          </w:pPr>
        </w:p>
      </w:tc>
      <w:tc>
        <w:tcPr>
          <w:tcW w:w="3128" w:type="dxa"/>
        </w:tcPr>
        <w:p w14:paraId="67BF8B2B" w14:textId="3FB8679F" w:rsidR="0005423C" w:rsidRDefault="0005423C" w:rsidP="0005423C">
          <w:pPr>
            <w:pStyle w:val="Header"/>
            <w:jc w:val="center"/>
            <w:rPr>
              <w:rFonts w:ascii="Palatino Linotype" w:hAnsi="Palatino Linotype"/>
              <w:b/>
              <w:bCs/>
              <w:sz w:val="24"/>
            </w:rPr>
          </w:pPr>
          <w:r w:rsidRPr="00E10FB8">
            <w:rPr>
              <w:b/>
              <w:bCs/>
              <w:sz w:val="24"/>
              <w:szCs w:val="24"/>
            </w:rPr>
            <w:t>DRAFT</w:t>
          </w:r>
        </w:p>
      </w:tc>
      <w:tc>
        <w:tcPr>
          <w:tcW w:w="3128" w:type="dxa"/>
        </w:tcPr>
        <w:p w14:paraId="3A4AD6AD" w14:textId="6707B932" w:rsidR="0005423C" w:rsidRDefault="0005423C" w:rsidP="0005423C">
          <w:pPr>
            <w:pStyle w:val="Header"/>
            <w:jc w:val="right"/>
            <w:rPr>
              <w:rFonts w:ascii="Palatino Linotype" w:hAnsi="Palatino Linotype"/>
              <w:b/>
              <w:bCs/>
              <w:sz w:val="24"/>
            </w:rPr>
          </w:pPr>
          <w:r>
            <w:rPr>
              <w:sz w:val="24"/>
              <w:szCs w:val="24"/>
            </w:rPr>
            <w:t xml:space="preserve">Item </w:t>
          </w:r>
          <w:r w:rsidR="00B073D3">
            <w:rPr>
              <w:sz w:val="24"/>
              <w:szCs w:val="24"/>
            </w:rPr>
            <w:t>8</w:t>
          </w:r>
          <w:r>
            <w:rPr>
              <w:sz w:val="24"/>
              <w:szCs w:val="24"/>
            </w:rPr>
            <w:t xml:space="preserve"> Agenda ID #18913</w:t>
          </w:r>
        </w:p>
      </w:tc>
    </w:tr>
    <w:tr w:rsidR="00844F8C" w14:paraId="5836B989" w14:textId="77777777" w:rsidTr="0005423C">
      <w:tc>
        <w:tcPr>
          <w:tcW w:w="3104" w:type="dxa"/>
        </w:tcPr>
        <w:p w14:paraId="162E044B" w14:textId="77777777" w:rsidR="00844F8C" w:rsidRDefault="00844F8C" w:rsidP="0005423C">
          <w:pPr>
            <w:pStyle w:val="Header"/>
            <w:jc w:val="center"/>
            <w:rPr>
              <w:rFonts w:ascii="Palatino Linotype" w:hAnsi="Palatino Linotype"/>
              <w:b/>
              <w:bCs/>
              <w:sz w:val="24"/>
            </w:rPr>
          </w:pPr>
        </w:p>
      </w:tc>
      <w:tc>
        <w:tcPr>
          <w:tcW w:w="3128" w:type="dxa"/>
        </w:tcPr>
        <w:p w14:paraId="7E677919" w14:textId="77777777" w:rsidR="00844F8C" w:rsidRPr="00E10FB8" w:rsidRDefault="00844F8C" w:rsidP="0005423C">
          <w:pPr>
            <w:pStyle w:val="Header"/>
            <w:jc w:val="center"/>
            <w:rPr>
              <w:b/>
              <w:bCs/>
              <w:sz w:val="24"/>
              <w:szCs w:val="24"/>
            </w:rPr>
          </w:pPr>
        </w:p>
      </w:tc>
      <w:tc>
        <w:tcPr>
          <w:tcW w:w="3128" w:type="dxa"/>
        </w:tcPr>
        <w:p w14:paraId="629DBBB3" w14:textId="0A23B383" w:rsidR="00844F8C" w:rsidRDefault="00844F8C" w:rsidP="0005423C">
          <w:pPr>
            <w:pStyle w:val="Header"/>
            <w:jc w:val="right"/>
            <w:rPr>
              <w:sz w:val="24"/>
              <w:szCs w:val="24"/>
            </w:rPr>
          </w:pPr>
          <w:r>
            <w:rPr>
              <w:sz w:val="24"/>
              <w:szCs w:val="24"/>
            </w:rPr>
            <w:t>Rev. 1</w:t>
          </w:r>
        </w:p>
      </w:tc>
    </w:tr>
  </w:tbl>
  <w:p w14:paraId="64E60DB3" w14:textId="77777777" w:rsidR="0044600A" w:rsidRDefault="0044600A" w:rsidP="0005423C">
    <w:pPr>
      <w:pStyle w:val="Header"/>
      <w:tabs>
        <w:tab w:val="clear" w:pos="8640"/>
        <w:tab w:val="right" w:pos="85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135F3"/>
    <w:multiLevelType w:val="hybridMultilevel"/>
    <w:tmpl w:val="DD4A1022"/>
    <w:lvl w:ilvl="0" w:tplc="2C0E5E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9E0239"/>
    <w:multiLevelType w:val="hybridMultilevel"/>
    <w:tmpl w:val="07024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265276"/>
    <w:multiLevelType w:val="hybridMultilevel"/>
    <w:tmpl w:val="58505C2A"/>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B1D"/>
    <w:rsid w:val="000022DB"/>
    <w:rsid w:val="00005B5E"/>
    <w:rsid w:val="00006319"/>
    <w:rsid w:val="000111B1"/>
    <w:rsid w:val="00012724"/>
    <w:rsid w:val="00012DA9"/>
    <w:rsid w:val="00015782"/>
    <w:rsid w:val="00030F7D"/>
    <w:rsid w:val="0003536B"/>
    <w:rsid w:val="00036DFF"/>
    <w:rsid w:val="000440E3"/>
    <w:rsid w:val="0004532E"/>
    <w:rsid w:val="0005423C"/>
    <w:rsid w:val="00055D98"/>
    <w:rsid w:val="00056543"/>
    <w:rsid w:val="00060A05"/>
    <w:rsid w:val="00060F16"/>
    <w:rsid w:val="00065D75"/>
    <w:rsid w:val="00072A3B"/>
    <w:rsid w:val="000763A6"/>
    <w:rsid w:val="00080BF2"/>
    <w:rsid w:val="000851D7"/>
    <w:rsid w:val="00087FCE"/>
    <w:rsid w:val="00091B00"/>
    <w:rsid w:val="00093ADE"/>
    <w:rsid w:val="00094C99"/>
    <w:rsid w:val="000A1C38"/>
    <w:rsid w:val="000A7AC3"/>
    <w:rsid w:val="000B0418"/>
    <w:rsid w:val="000B0751"/>
    <w:rsid w:val="000B2EC9"/>
    <w:rsid w:val="000C220D"/>
    <w:rsid w:val="000C23C8"/>
    <w:rsid w:val="000C2A18"/>
    <w:rsid w:val="000C4DF9"/>
    <w:rsid w:val="000C4EFA"/>
    <w:rsid w:val="000D38E4"/>
    <w:rsid w:val="000E1146"/>
    <w:rsid w:val="000E3DF5"/>
    <w:rsid w:val="000F2A4F"/>
    <w:rsid w:val="000F3DE2"/>
    <w:rsid w:val="000F5E56"/>
    <w:rsid w:val="000F6958"/>
    <w:rsid w:val="000F7E58"/>
    <w:rsid w:val="0010393F"/>
    <w:rsid w:val="0010656F"/>
    <w:rsid w:val="0010761D"/>
    <w:rsid w:val="00113ED6"/>
    <w:rsid w:val="001244E1"/>
    <w:rsid w:val="0013056B"/>
    <w:rsid w:val="00130697"/>
    <w:rsid w:val="001310D5"/>
    <w:rsid w:val="00134A30"/>
    <w:rsid w:val="00136B4A"/>
    <w:rsid w:val="0014196B"/>
    <w:rsid w:val="001429E9"/>
    <w:rsid w:val="00142BC1"/>
    <w:rsid w:val="00145467"/>
    <w:rsid w:val="00151908"/>
    <w:rsid w:val="00153666"/>
    <w:rsid w:val="0015388E"/>
    <w:rsid w:val="00156D1D"/>
    <w:rsid w:val="001638ED"/>
    <w:rsid w:val="00163CB3"/>
    <w:rsid w:val="00165F4F"/>
    <w:rsid w:val="0017010F"/>
    <w:rsid w:val="00173121"/>
    <w:rsid w:val="001763AA"/>
    <w:rsid w:val="001850AC"/>
    <w:rsid w:val="00186E33"/>
    <w:rsid w:val="001918EF"/>
    <w:rsid w:val="00193227"/>
    <w:rsid w:val="001A15B1"/>
    <w:rsid w:val="001A4D20"/>
    <w:rsid w:val="001A4E73"/>
    <w:rsid w:val="001A7CF3"/>
    <w:rsid w:val="001B4EF3"/>
    <w:rsid w:val="001C2674"/>
    <w:rsid w:val="001C2F0A"/>
    <w:rsid w:val="001D647D"/>
    <w:rsid w:val="001D6712"/>
    <w:rsid w:val="001D7193"/>
    <w:rsid w:val="001D7C05"/>
    <w:rsid w:val="001E68A2"/>
    <w:rsid w:val="001E6B40"/>
    <w:rsid w:val="001F2363"/>
    <w:rsid w:val="00202913"/>
    <w:rsid w:val="00211567"/>
    <w:rsid w:val="00212687"/>
    <w:rsid w:val="0021639E"/>
    <w:rsid w:val="0021694F"/>
    <w:rsid w:val="00226B43"/>
    <w:rsid w:val="00227D94"/>
    <w:rsid w:val="00232C47"/>
    <w:rsid w:val="002338A7"/>
    <w:rsid w:val="00233A8F"/>
    <w:rsid w:val="00235A1E"/>
    <w:rsid w:val="00237522"/>
    <w:rsid w:val="00251259"/>
    <w:rsid w:val="00253F4D"/>
    <w:rsid w:val="00254F8F"/>
    <w:rsid w:val="002627FA"/>
    <w:rsid w:val="002635FA"/>
    <w:rsid w:val="00266954"/>
    <w:rsid w:val="00270262"/>
    <w:rsid w:val="002723FD"/>
    <w:rsid w:val="002743EA"/>
    <w:rsid w:val="0027642A"/>
    <w:rsid w:val="0027772B"/>
    <w:rsid w:val="00280CF4"/>
    <w:rsid w:val="00281552"/>
    <w:rsid w:val="00285768"/>
    <w:rsid w:val="0029641A"/>
    <w:rsid w:val="002A2F0A"/>
    <w:rsid w:val="002A5194"/>
    <w:rsid w:val="002A62D3"/>
    <w:rsid w:val="002B6CE1"/>
    <w:rsid w:val="002C06F2"/>
    <w:rsid w:val="002C23FB"/>
    <w:rsid w:val="002C244C"/>
    <w:rsid w:val="002C3A2E"/>
    <w:rsid w:val="002C3B0F"/>
    <w:rsid w:val="002C6708"/>
    <w:rsid w:val="002D19DA"/>
    <w:rsid w:val="002D2A9E"/>
    <w:rsid w:val="002E0EAD"/>
    <w:rsid w:val="002E16D1"/>
    <w:rsid w:val="002E457C"/>
    <w:rsid w:val="002F0CE8"/>
    <w:rsid w:val="002F208A"/>
    <w:rsid w:val="0030710E"/>
    <w:rsid w:val="00311F55"/>
    <w:rsid w:val="00314F10"/>
    <w:rsid w:val="00323059"/>
    <w:rsid w:val="00324E61"/>
    <w:rsid w:val="003271B8"/>
    <w:rsid w:val="00327AED"/>
    <w:rsid w:val="00327E11"/>
    <w:rsid w:val="003312F8"/>
    <w:rsid w:val="0033409C"/>
    <w:rsid w:val="00335A61"/>
    <w:rsid w:val="003445CB"/>
    <w:rsid w:val="00345480"/>
    <w:rsid w:val="003501AE"/>
    <w:rsid w:val="00351989"/>
    <w:rsid w:val="003519EF"/>
    <w:rsid w:val="0035213C"/>
    <w:rsid w:val="00361E15"/>
    <w:rsid w:val="00362DE8"/>
    <w:rsid w:val="00380892"/>
    <w:rsid w:val="003838A2"/>
    <w:rsid w:val="00385915"/>
    <w:rsid w:val="0038685E"/>
    <w:rsid w:val="00392CC6"/>
    <w:rsid w:val="003958D5"/>
    <w:rsid w:val="003A3C16"/>
    <w:rsid w:val="003A7526"/>
    <w:rsid w:val="003B20E5"/>
    <w:rsid w:val="003B3BD0"/>
    <w:rsid w:val="003B46BE"/>
    <w:rsid w:val="003B505C"/>
    <w:rsid w:val="003C1D5A"/>
    <w:rsid w:val="003D2428"/>
    <w:rsid w:val="00401672"/>
    <w:rsid w:val="00407287"/>
    <w:rsid w:val="004215DA"/>
    <w:rsid w:val="00427683"/>
    <w:rsid w:val="0044361A"/>
    <w:rsid w:val="0044600A"/>
    <w:rsid w:val="00447911"/>
    <w:rsid w:val="00451408"/>
    <w:rsid w:val="00453A60"/>
    <w:rsid w:val="0045459C"/>
    <w:rsid w:val="00455025"/>
    <w:rsid w:val="00456038"/>
    <w:rsid w:val="00457030"/>
    <w:rsid w:val="004639E6"/>
    <w:rsid w:val="0046763C"/>
    <w:rsid w:val="004747C3"/>
    <w:rsid w:val="004751F9"/>
    <w:rsid w:val="00482709"/>
    <w:rsid w:val="0048450E"/>
    <w:rsid w:val="004A3FEF"/>
    <w:rsid w:val="004B2353"/>
    <w:rsid w:val="004B3CC0"/>
    <w:rsid w:val="004B5B9A"/>
    <w:rsid w:val="004B716D"/>
    <w:rsid w:val="004C164D"/>
    <w:rsid w:val="004C3424"/>
    <w:rsid w:val="004C39AD"/>
    <w:rsid w:val="004C485D"/>
    <w:rsid w:val="004D4198"/>
    <w:rsid w:val="004D43CB"/>
    <w:rsid w:val="004E2EB5"/>
    <w:rsid w:val="004E607E"/>
    <w:rsid w:val="004F28C7"/>
    <w:rsid w:val="004F435D"/>
    <w:rsid w:val="0051208A"/>
    <w:rsid w:val="0051283A"/>
    <w:rsid w:val="00517C46"/>
    <w:rsid w:val="00521DFA"/>
    <w:rsid w:val="00522700"/>
    <w:rsid w:val="005356EF"/>
    <w:rsid w:val="00536DCF"/>
    <w:rsid w:val="0053779D"/>
    <w:rsid w:val="00543ED9"/>
    <w:rsid w:val="00553571"/>
    <w:rsid w:val="00556E84"/>
    <w:rsid w:val="00557BE5"/>
    <w:rsid w:val="00570F0B"/>
    <w:rsid w:val="005721AE"/>
    <w:rsid w:val="00575684"/>
    <w:rsid w:val="00582C6F"/>
    <w:rsid w:val="00582CCD"/>
    <w:rsid w:val="00586491"/>
    <w:rsid w:val="0058691B"/>
    <w:rsid w:val="00587CF0"/>
    <w:rsid w:val="00587ECB"/>
    <w:rsid w:val="00595FFD"/>
    <w:rsid w:val="00596158"/>
    <w:rsid w:val="005A3762"/>
    <w:rsid w:val="005C4026"/>
    <w:rsid w:val="005D3383"/>
    <w:rsid w:val="005D45EA"/>
    <w:rsid w:val="005E4265"/>
    <w:rsid w:val="005E50A5"/>
    <w:rsid w:val="005E6BC4"/>
    <w:rsid w:val="005F0133"/>
    <w:rsid w:val="005F0947"/>
    <w:rsid w:val="005F2440"/>
    <w:rsid w:val="005F622C"/>
    <w:rsid w:val="005F6324"/>
    <w:rsid w:val="005F7488"/>
    <w:rsid w:val="00605D48"/>
    <w:rsid w:val="00607348"/>
    <w:rsid w:val="00610730"/>
    <w:rsid w:val="006213C0"/>
    <w:rsid w:val="00626F4C"/>
    <w:rsid w:val="00632105"/>
    <w:rsid w:val="00634142"/>
    <w:rsid w:val="0064376E"/>
    <w:rsid w:val="0064415A"/>
    <w:rsid w:val="0064662B"/>
    <w:rsid w:val="006510AB"/>
    <w:rsid w:val="00662CD8"/>
    <w:rsid w:val="0067041B"/>
    <w:rsid w:val="00674754"/>
    <w:rsid w:val="00677B1D"/>
    <w:rsid w:val="00694465"/>
    <w:rsid w:val="00695251"/>
    <w:rsid w:val="006966BE"/>
    <w:rsid w:val="0069754B"/>
    <w:rsid w:val="006A1C37"/>
    <w:rsid w:val="006A5E0F"/>
    <w:rsid w:val="006A7EE2"/>
    <w:rsid w:val="006B0F14"/>
    <w:rsid w:val="006B48B3"/>
    <w:rsid w:val="006B729C"/>
    <w:rsid w:val="006C1D48"/>
    <w:rsid w:val="006C387D"/>
    <w:rsid w:val="006C73D6"/>
    <w:rsid w:val="006E1B88"/>
    <w:rsid w:val="00700AAB"/>
    <w:rsid w:val="00700C7B"/>
    <w:rsid w:val="00703F81"/>
    <w:rsid w:val="00710ECD"/>
    <w:rsid w:val="00716145"/>
    <w:rsid w:val="00722A63"/>
    <w:rsid w:val="0072395B"/>
    <w:rsid w:val="00724B69"/>
    <w:rsid w:val="00724BEE"/>
    <w:rsid w:val="00726EA1"/>
    <w:rsid w:val="00730FD6"/>
    <w:rsid w:val="00732412"/>
    <w:rsid w:val="00732C0C"/>
    <w:rsid w:val="00734391"/>
    <w:rsid w:val="007359C5"/>
    <w:rsid w:val="00744F31"/>
    <w:rsid w:val="00760E68"/>
    <w:rsid w:val="00762C65"/>
    <w:rsid w:val="00773693"/>
    <w:rsid w:val="0077380E"/>
    <w:rsid w:val="007745AC"/>
    <w:rsid w:val="00774D68"/>
    <w:rsid w:val="007A165B"/>
    <w:rsid w:val="007B19D0"/>
    <w:rsid w:val="007C4EFA"/>
    <w:rsid w:val="007C56EE"/>
    <w:rsid w:val="007D35EC"/>
    <w:rsid w:val="007D53E0"/>
    <w:rsid w:val="007F0941"/>
    <w:rsid w:val="007F1836"/>
    <w:rsid w:val="007F2B3A"/>
    <w:rsid w:val="007F3DCF"/>
    <w:rsid w:val="007F7C66"/>
    <w:rsid w:val="008103F5"/>
    <w:rsid w:val="0082109B"/>
    <w:rsid w:val="00832C7E"/>
    <w:rsid w:val="008362CA"/>
    <w:rsid w:val="00842C69"/>
    <w:rsid w:val="00843522"/>
    <w:rsid w:val="00844F8C"/>
    <w:rsid w:val="00845D25"/>
    <w:rsid w:val="0084657F"/>
    <w:rsid w:val="00846AB8"/>
    <w:rsid w:val="00847FF9"/>
    <w:rsid w:val="00851EF8"/>
    <w:rsid w:val="008574FE"/>
    <w:rsid w:val="00860EDB"/>
    <w:rsid w:val="00867D94"/>
    <w:rsid w:val="00872334"/>
    <w:rsid w:val="00891620"/>
    <w:rsid w:val="00894EA1"/>
    <w:rsid w:val="008B15A7"/>
    <w:rsid w:val="008B37FC"/>
    <w:rsid w:val="008B476B"/>
    <w:rsid w:val="008B47D5"/>
    <w:rsid w:val="008C06E8"/>
    <w:rsid w:val="008C139B"/>
    <w:rsid w:val="008C2995"/>
    <w:rsid w:val="008C3482"/>
    <w:rsid w:val="008C5CD4"/>
    <w:rsid w:val="008C60EC"/>
    <w:rsid w:val="008C61E0"/>
    <w:rsid w:val="008D1D24"/>
    <w:rsid w:val="008D5FE7"/>
    <w:rsid w:val="008D68BA"/>
    <w:rsid w:val="008D7FE9"/>
    <w:rsid w:val="008E4AB4"/>
    <w:rsid w:val="008E72FD"/>
    <w:rsid w:val="008E75F2"/>
    <w:rsid w:val="008F2241"/>
    <w:rsid w:val="008F719C"/>
    <w:rsid w:val="0091379B"/>
    <w:rsid w:val="00915763"/>
    <w:rsid w:val="00915D16"/>
    <w:rsid w:val="009231AE"/>
    <w:rsid w:val="00925452"/>
    <w:rsid w:val="00926539"/>
    <w:rsid w:val="009310DD"/>
    <w:rsid w:val="00942C96"/>
    <w:rsid w:val="00945BD2"/>
    <w:rsid w:val="00953296"/>
    <w:rsid w:val="00957AD3"/>
    <w:rsid w:val="00960663"/>
    <w:rsid w:val="00961291"/>
    <w:rsid w:val="009656E2"/>
    <w:rsid w:val="009724AA"/>
    <w:rsid w:val="009730AF"/>
    <w:rsid w:val="00973CEE"/>
    <w:rsid w:val="00985544"/>
    <w:rsid w:val="00986090"/>
    <w:rsid w:val="00987F1C"/>
    <w:rsid w:val="0099102B"/>
    <w:rsid w:val="00991DB3"/>
    <w:rsid w:val="00994ABC"/>
    <w:rsid w:val="009A4EE3"/>
    <w:rsid w:val="009B2DB1"/>
    <w:rsid w:val="009B5D0F"/>
    <w:rsid w:val="009B6C99"/>
    <w:rsid w:val="009C169F"/>
    <w:rsid w:val="009C7276"/>
    <w:rsid w:val="009D7F3A"/>
    <w:rsid w:val="009E0FD7"/>
    <w:rsid w:val="009F4A20"/>
    <w:rsid w:val="00A00050"/>
    <w:rsid w:val="00A00C97"/>
    <w:rsid w:val="00A0212A"/>
    <w:rsid w:val="00A022CC"/>
    <w:rsid w:val="00A02441"/>
    <w:rsid w:val="00A04277"/>
    <w:rsid w:val="00A05750"/>
    <w:rsid w:val="00A117F2"/>
    <w:rsid w:val="00A13F8D"/>
    <w:rsid w:val="00A21222"/>
    <w:rsid w:val="00A2267A"/>
    <w:rsid w:val="00A24A67"/>
    <w:rsid w:val="00A30A8A"/>
    <w:rsid w:val="00A34075"/>
    <w:rsid w:val="00A51DAE"/>
    <w:rsid w:val="00A5446A"/>
    <w:rsid w:val="00A57C2F"/>
    <w:rsid w:val="00A614AD"/>
    <w:rsid w:val="00A61D34"/>
    <w:rsid w:val="00A61D4A"/>
    <w:rsid w:val="00A6649B"/>
    <w:rsid w:val="00A6684E"/>
    <w:rsid w:val="00A76B4D"/>
    <w:rsid w:val="00A778DB"/>
    <w:rsid w:val="00A843AB"/>
    <w:rsid w:val="00A85EF6"/>
    <w:rsid w:val="00A96511"/>
    <w:rsid w:val="00A96D67"/>
    <w:rsid w:val="00A97D44"/>
    <w:rsid w:val="00AA0FD7"/>
    <w:rsid w:val="00AB362D"/>
    <w:rsid w:val="00AB5206"/>
    <w:rsid w:val="00AB5730"/>
    <w:rsid w:val="00AC157E"/>
    <w:rsid w:val="00AD015B"/>
    <w:rsid w:val="00AD4F99"/>
    <w:rsid w:val="00AD5242"/>
    <w:rsid w:val="00AD5560"/>
    <w:rsid w:val="00AE32BC"/>
    <w:rsid w:val="00AE422B"/>
    <w:rsid w:val="00AF1849"/>
    <w:rsid w:val="00AF68AB"/>
    <w:rsid w:val="00B038A7"/>
    <w:rsid w:val="00B067ED"/>
    <w:rsid w:val="00B073D3"/>
    <w:rsid w:val="00B14931"/>
    <w:rsid w:val="00B20977"/>
    <w:rsid w:val="00B341E2"/>
    <w:rsid w:val="00B36655"/>
    <w:rsid w:val="00B60F11"/>
    <w:rsid w:val="00B616BA"/>
    <w:rsid w:val="00B63848"/>
    <w:rsid w:val="00B63BF8"/>
    <w:rsid w:val="00B719F9"/>
    <w:rsid w:val="00B73A0A"/>
    <w:rsid w:val="00B779A6"/>
    <w:rsid w:val="00B827DF"/>
    <w:rsid w:val="00B844DC"/>
    <w:rsid w:val="00BA2866"/>
    <w:rsid w:val="00BB0FE8"/>
    <w:rsid w:val="00BC3BAE"/>
    <w:rsid w:val="00BD003F"/>
    <w:rsid w:val="00BE11B7"/>
    <w:rsid w:val="00BE613F"/>
    <w:rsid w:val="00BF21C7"/>
    <w:rsid w:val="00BF26C4"/>
    <w:rsid w:val="00BF5B71"/>
    <w:rsid w:val="00BF720A"/>
    <w:rsid w:val="00BF7284"/>
    <w:rsid w:val="00C03A86"/>
    <w:rsid w:val="00C06C22"/>
    <w:rsid w:val="00C13320"/>
    <w:rsid w:val="00C133DD"/>
    <w:rsid w:val="00C1683D"/>
    <w:rsid w:val="00C1718F"/>
    <w:rsid w:val="00C23027"/>
    <w:rsid w:val="00C31CFD"/>
    <w:rsid w:val="00C35495"/>
    <w:rsid w:val="00C37726"/>
    <w:rsid w:val="00C40114"/>
    <w:rsid w:val="00C40D82"/>
    <w:rsid w:val="00C441E7"/>
    <w:rsid w:val="00C453C5"/>
    <w:rsid w:val="00C45634"/>
    <w:rsid w:val="00C47C80"/>
    <w:rsid w:val="00C53046"/>
    <w:rsid w:val="00C533EE"/>
    <w:rsid w:val="00C55338"/>
    <w:rsid w:val="00C6470F"/>
    <w:rsid w:val="00C838F5"/>
    <w:rsid w:val="00C9166E"/>
    <w:rsid w:val="00C930B5"/>
    <w:rsid w:val="00CA2B43"/>
    <w:rsid w:val="00CA41A6"/>
    <w:rsid w:val="00CB05FB"/>
    <w:rsid w:val="00CB745E"/>
    <w:rsid w:val="00CC24AF"/>
    <w:rsid w:val="00CD01CD"/>
    <w:rsid w:val="00CD0C62"/>
    <w:rsid w:val="00CE2631"/>
    <w:rsid w:val="00CE2690"/>
    <w:rsid w:val="00CF20C6"/>
    <w:rsid w:val="00CF5523"/>
    <w:rsid w:val="00D01B63"/>
    <w:rsid w:val="00D04C02"/>
    <w:rsid w:val="00D1085B"/>
    <w:rsid w:val="00D15104"/>
    <w:rsid w:val="00D16185"/>
    <w:rsid w:val="00D164B9"/>
    <w:rsid w:val="00D2061C"/>
    <w:rsid w:val="00D25626"/>
    <w:rsid w:val="00D263F4"/>
    <w:rsid w:val="00D312A2"/>
    <w:rsid w:val="00D43262"/>
    <w:rsid w:val="00D43965"/>
    <w:rsid w:val="00D4531E"/>
    <w:rsid w:val="00D56D55"/>
    <w:rsid w:val="00D67457"/>
    <w:rsid w:val="00D679CE"/>
    <w:rsid w:val="00D80362"/>
    <w:rsid w:val="00D92C6C"/>
    <w:rsid w:val="00D94CAB"/>
    <w:rsid w:val="00D953A8"/>
    <w:rsid w:val="00D96EE5"/>
    <w:rsid w:val="00D970CF"/>
    <w:rsid w:val="00DA0112"/>
    <w:rsid w:val="00DA13DA"/>
    <w:rsid w:val="00DA308E"/>
    <w:rsid w:val="00DB1B98"/>
    <w:rsid w:val="00DB571E"/>
    <w:rsid w:val="00DB58E0"/>
    <w:rsid w:val="00DC3845"/>
    <w:rsid w:val="00DC5C3E"/>
    <w:rsid w:val="00DC6169"/>
    <w:rsid w:val="00DC7453"/>
    <w:rsid w:val="00DD130F"/>
    <w:rsid w:val="00DD79A5"/>
    <w:rsid w:val="00DE6DCB"/>
    <w:rsid w:val="00DF5DCE"/>
    <w:rsid w:val="00DF700B"/>
    <w:rsid w:val="00E01558"/>
    <w:rsid w:val="00E01868"/>
    <w:rsid w:val="00E0544D"/>
    <w:rsid w:val="00E10F61"/>
    <w:rsid w:val="00E12651"/>
    <w:rsid w:val="00E20603"/>
    <w:rsid w:val="00E25188"/>
    <w:rsid w:val="00E27625"/>
    <w:rsid w:val="00E36008"/>
    <w:rsid w:val="00E368E7"/>
    <w:rsid w:val="00E43804"/>
    <w:rsid w:val="00E458C1"/>
    <w:rsid w:val="00E46507"/>
    <w:rsid w:val="00E52612"/>
    <w:rsid w:val="00E543C1"/>
    <w:rsid w:val="00E62190"/>
    <w:rsid w:val="00E640C0"/>
    <w:rsid w:val="00E65820"/>
    <w:rsid w:val="00E80520"/>
    <w:rsid w:val="00E87115"/>
    <w:rsid w:val="00E9135C"/>
    <w:rsid w:val="00E94644"/>
    <w:rsid w:val="00EA4FCC"/>
    <w:rsid w:val="00EA6403"/>
    <w:rsid w:val="00EB03AF"/>
    <w:rsid w:val="00EB2183"/>
    <w:rsid w:val="00EB5441"/>
    <w:rsid w:val="00EB7B37"/>
    <w:rsid w:val="00EC01B0"/>
    <w:rsid w:val="00EC27D3"/>
    <w:rsid w:val="00ED710C"/>
    <w:rsid w:val="00EE0CBF"/>
    <w:rsid w:val="00EE3328"/>
    <w:rsid w:val="00EE43E0"/>
    <w:rsid w:val="00EE6817"/>
    <w:rsid w:val="00EE6C41"/>
    <w:rsid w:val="00EE731C"/>
    <w:rsid w:val="00EF046F"/>
    <w:rsid w:val="00EF3376"/>
    <w:rsid w:val="00EF5775"/>
    <w:rsid w:val="00EF6C21"/>
    <w:rsid w:val="00EF793E"/>
    <w:rsid w:val="00F00D28"/>
    <w:rsid w:val="00F02907"/>
    <w:rsid w:val="00F03A14"/>
    <w:rsid w:val="00F04B41"/>
    <w:rsid w:val="00F2315D"/>
    <w:rsid w:val="00F30D4C"/>
    <w:rsid w:val="00F32C1D"/>
    <w:rsid w:val="00F33188"/>
    <w:rsid w:val="00F36ED9"/>
    <w:rsid w:val="00F41C0F"/>
    <w:rsid w:val="00F41D13"/>
    <w:rsid w:val="00F46246"/>
    <w:rsid w:val="00F471E8"/>
    <w:rsid w:val="00F50832"/>
    <w:rsid w:val="00F511E9"/>
    <w:rsid w:val="00F52387"/>
    <w:rsid w:val="00F60F43"/>
    <w:rsid w:val="00F64A71"/>
    <w:rsid w:val="00F748A9"/>
    <w:rsid w:val="00F77820"/>
    <w:rsid w:val="00F82A96"/>
    <w:rsid w:val="00F9321E"/>
    <w:rsid w:val="00FA25AB"/>
    <w:rsid w:val="00FA63A8"/>
    <w:rsid w:val="00FB4206"/>
    <w:rsid w:val="00FB6656"/>
    <w:rsid w:val="00FC46D0"/>
    <w:rsid w:val="00FC7D00"/>
    <w:rsid w:val="00FD31D2"/>
    <w:rsid w:val="00FE0FD4"/>
    <w:rsid w:val="00FF018E"/>
    <w:rsid w:val="00FF2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5E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ind w:right="-120"/>
      <w:outlineLvl w:val="0"/>
    </w:pPr>
    <w:rPr>
      <w:rFonts w:ascii="Times" w:hAnsi="Times"/>
      <w:sz w:val="24"/>
    </w:rPr>
  </w:style>
  <w:style w:type="paragraph" w:styleId="Heading2">
    <w:name w:val="heading 2"/>
    <w:basedOn w:val="Normal"/>
    <w:next w:val="Normal"/>
    <w:link w:val="Heading2Char"/>
    <w:qFormat/>
    <w:pPr>
      <w:keepNext/>
      <w:widowControl w:val="0"/>
      <w:spacing w:line="288" w:lineRule="exact"/>
      <w:outlineLvl w:val="1"/>
    </w:pPr>
    <w:rPr>
      <w:rFonts w:ascii="Times" w:hAnsi="Times"/>
      <w:sz w:val="24"/>
    </w:rPr>
  </w:style>
  <w:style w:type="paragraph" w:styleId="Heading3">
    <w:name w:val="heading 3"/>
    <w:basedOn w:val="Normal"/>
    <w:next w:val="Normal"/>
    <w:link w:val="Heading3Char"/>
    <w:qFormat/>
    <w:pPr>
      <w:keepNext/>
      <w:jc w:val="center"/>
      <w:outlineLvl w:val="2"/>
    </w:pPr>
    <w:rPr>
      <w:sz w:val="24"/>
    </w:rPr>
  </w:style>
  <w:style w:type="paragraph" w:styleId="Heading4">
    <w:name w:val="heading 4"/>
    <w:basedOn w:val="Normal"/>
    <w:next w:val="Normal"/>
    <w:link w:val="Heading4Char"/>
    <w:qFormat/>
    <w:pPr>
      <w:keepNext/>
      <w:jc w:val="right"/>
      <w:outlineLvl w:val="3"/>
    </w:pPr>
    <w:rPr>
      <w:sz w:val="24"/>
    </w:rPr>
  </w:style>
  <w:style w:type="paragraph" w:styleId="Heading5">
    <w:name w:val="heading 5"/>
    <w:basedOn w:val="Normal"/>
    <w:next w:val="Normal"/>
    <w:qFormat/>
    <w:pPr>
      <w:keepNext/>
      <w:widowControl w:val="0"/>
      <w:jc w:val="right"/>
      <w:outlineLvl w:val="4"/>
    </w:pPr>
    <w:rPr>
      <w:rFonts w:ascii="Times" w:hAnsi="Times"/>
      <w:b/>
      <w:bCs/>
      <w:sz w:val="24"/>
      <w:szCs w:val="24"/>
    </w:rPr>
  </w:style>
  <w:style w:type="paragraph" w:styleId="Heading6">
    <w:name w:val="heading 6"/>
    <w:basedOn w:val="Normal"/>
    <w:next w:val="Normal"/>
    <w:qFormat/>
    <w:pPr>
      <w:keepNext/>
      <w:ind w:left="1080"/>
      <w:outlineLvl w:val="5"/>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rPr>
  </w:style>
  <w:style w:type="paragraph" w:styleId="Footer">
    <w:name w:val="footer"/>
    <w:basedOn w:val="Normal"/>
    <w:link w:val="FooterChar"/>
    <w:uiPriority w:val="99"/>
    <w:pPr>
      <w:tabs>
        <w:tab w:val="center" w:pos="4320"/>
        <w:tab w:val="right" w:pos="8640"/>
      </w:tabs>
    </w:pPr>
    <w:rPr>
      <w:sz w:val="24"/>
      <w:szCs w:val="24"/>
    </w:rPr>
  </w:style>
  <w:style w:type="paragraph" w:styleId="BodyTextIndent2">
    <w:name w:val="Body Text Indent 2"/>
    <w:basedOn w:val="Normal"/>
    <w:pPr>
      <w:ind w:left="5040"/>
    </w:pPr>
    <w:rPr>
      <w:sz w:val="24"/>
      <w:szCs w:val="24"/>
    </w:rPr>
  </w:style>
  <w:style w:type="paragraph" w:styleId="BodyText2">
    <w:name w:val="Body Text 2"/>
    <w:basedOn w:val="Normal"/>
    <w:link w:val="BodyText2Char"/>
    <w:pPr>
      <w:jc w:val="center"/>
    </w:pPr>
    <w:rPr>
      <w:b/>
      <w:bCs/>
      <w:sz w:val="24"/>
    </w:rPr>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sz w:val="24"/>
    </w:rPr>
  </w:style>
  <w:style w:type="paragraph" w:customStyle="1" w:styleId="standard">
    <w:name w:val="standard"/>
    <w:basedOn w:val="Normal"/>
    <w:pPr>
      <w:spacing w:line="360" w:lineRule="auto"/>
      <w:ind w:firstLine="720"/>
    </w:pPr>
    <w:rPr>
      <w:rFonts w:ascii="Palatino" w:hAnsi="Palatino"/>
      <w:sz w:val="26"/>
    </w:rPr>
  </w:style>
  <w:style w:type="paragraph" w:styleId="BalloonText">
    <w:name w:val="Balloon Text"/>
    <w:basedOn w:val="Normal"/>
    <w:semiHidden/>
    <w:rsid w:val="00030F7D"/>
    <w:rPr>
      <w:rFonts w:ascii="Tahoma" w:hAnsi="Tahoma" w:cs="Tahoma"/>
      <w:sz w:val="16"/>
      <w:szCs w:val="16"/>
    </w:rPr>
  </w:style>
  <w:style w:type="paragraph" w:styleId="ListParagraph">
    <w:name w:val="List Paragraph"/>
    <w:basedOn w:val="Normal"/>
    <w:uiPriority w:val="34"/>
    <w:qFormat/>
    <w:rsid w:val="00D80362"/>
    <w:pPr>
      <w:ind w:left="720"/>
      <w:contextualSpacing/>
    </w:pPr>
  </w:style>
  <w:style w:type="character" w:customStyle="1" w:styleId="Heading3Char">
    <w:name w:val="Heading 3 Char"/>
    <w:basedOn w:val="DefaultParagraphFont"/>
    <w:link w:val="Heading3"/>
    <w:rsid w:val="003C1D5A"/>
    <w:rPr>
      <w:sz w:val="24"/>
    </w:rPr>
  </w:style>
  <w:style w:type="character" w:customStyle="1" w:styleId="BodyText2Char">
    <w:name w:val="Body Text 2 Char"/>
    <w:basedOn w:val="DefaultParagraphFont"/>
    <w:link w:val="BodyText2"/>
    <w:rsid w:val="003C1D5A"/>
    <w:rPr>
      <w:b/>
      <w:bCs/>
      <w:sz w:val="24"/>
    </w:rPr>
  </w:style>
  <w:style w:type="table" w:styleId="TableGrid">
    <w:name w:val="Table Grid"/>
    <w:basedOn w:val="TableNormal"/>
    <w:rsid w:val="00E91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60F16"/>
    <w:rPr>
      <w:sz w:val="24"/>
      <w:szCs w:val="24"/>
    </w:rPr>
  </w:style>
  <w:style w:type="table" w:customStyle="1" w:styleId="TableGridLight1">
    <w:name w:val="Table Grid Light1"/>
    <w:basedOn w:val="TableNormal"/>
    <w:uiPriority w:val="40"/>
    <w:rsid w:val="0017312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DF5DCE"/>
    <w:rPr>
      <w:rFonts w:ascii="Baskerville Old Face" w:eastAsia="Calibri" w:hAnsi="Baskerville Old Face"/>
      <w:sz w:val="24"/>
    </w:rPr>
  </w:style>
  <w:style w:type="character" w:customStyle="1" w:styleId="FootnoteTextChar">
    <w:name w:val="Footnote Text Char"/>
    <w:basedOn w:val="DefaultParagraphFont"/>
    <w:link w:val="FootnoteText"/>
    <w:uiPriority w:val="99"/>
    <w:rsid w:val="00DF5DCE"/>
    <w:rPr>
      <w:rFonts w:ascii="Baskerville Old Face" w:eastAsia="Calibri" w:hAnsi="Baskerville Old Face"/>
      <w:sz w:val="24"/>
    </w:rPr>
  </w:style>
  <w:style w:type="character" w:styleId="FootnoteReference">
    <w:name w:val="footnote reference"/>
    <w:basedOn w:val="DefaultParagraphFont"/>
    <w:uiPriority w:val="99"/>
    <w:unhideWhenUsed/>
    <w:rsid w:val="00DF5DCE"/>
    <w:rPr>
      <w:vertAlign w:val="superscript"/>
    </w:rPr>
  </w:style>
  <w:style w:type="character" w:styleId="CommentReference">
    <w:name w:val="annotation reference"/>
    <w:basedOn w:val="DefaultParagraphFont"/>
    <w:semiHidden/>
    <w:unhideWhenUsed/>
    <w:rsid w:val="00401672"/>
    <w:rPr>
      <w:sz w:val="16"/>
      <w:szCs w:val="16"/>
    </w:rPr>
  </w:style>
  <w:style w:type="paragraph" w:styleId="CommentText">
    <w:name w:val="annotation text"/>
    <w:basedOn w:val="Normal"/>
    <w:link w:val="CommentTextChar"/>
    <w:semiHidden/>
    <w:unhideWhenUsed/>
    <w:rsid w:val="00401672"/>
  </w:style>
  <w:style w:type="character" w:customStyle="1" w:styleId="CommentTextChar">
    <w:name w:val="Comment Text Char"/>
    <w:basedOn w:val="DefaultParagraphFont"/>
    <w:link w:val="CommentText"/>
    <w:semiHidden/>
    <w:rsid w:val="00401672"/>
  </w:style>
  <w:style w:type="paragraph" w:styleId="CommentSubject">
    <w:name w:val="annotation subject"/>
    <w:basedOn w:val="CommentText"/>
    <w:next w:val="CommentText"/>
    <w:link w:val="CommentSubjectChar"/>
    <w:semiHidden/>
    <w:unhideWhenUsed/>
    <w:rsid w:val="008E72FD"/>
    <w:rPr>
      <w:b/>
      <w:bCs/>
    </w:rPr>
  </w:style>
  <w:style w:type="character" w:customStyle="1" w:styleId="CommentSubjectChar">
    <w:name w:val="Comment Subject Char"/>
    <w:basedOn w:val="CommentTextChar"/>
    <w:link w:val="CommentSubject"/>
    <w:semiHidden/>
    <w:rsid w:val="008E72FD"/>
    <w:rPr>
      <w:b/>
      <w:bCs/>
    </w:rPr>
  </w:style>
  <w:style w:type="paragraph" w:styleId="Revision">
    <w:name w:val="Revision"/>
    <w:hidden/>
    <w:uiPriority w:val="99"/>
    <w:semiHidden/>
    <w:rsid w:val="008E72FD"/>
  </w:style>
  <w:style w:type="paragraph" w:styleId="Date">
    <w:name w:val="Date"/>
    <w:basedOn w:val="Normal"/>
    <w:link w:val="DateChar"/>
    <w:rsid w:val="00926539"/>
    <w:pPr>
      <w:jc w:val="right"/>
    </w:pPr>
    <w:rPr>
      <w:sz w:val="26"/>
    </w:rPr>
  </w:style>
  <w:style w:type="character" w:customStyle="1" w:styleId="DateChar">
    <w:name w:val="Date Char"/>
    <w:basedOn w:val="DefaultParagraphFont"/>
    <w:link w:val="Date"/>
    <w:rsid w:val="00926539"/>
    <w:rPr>
      <w:sz w:val="26"/>
    </w:rPr>
  </w:style>
  <w:style w:type="paragraph" w:customStyle="1" w:styleId="BodyText1Noindent">
    <w:name w:val="Body Text 1 (No indent)"/>
    <w:basedOn w:val="Normal"/>
    <w:rsid w:val="004B716D"/>
    <w:rPr>
      <w:sz w:val="26"/>
    </w:rPr>
  </w:style>
  <w:style w:type="character" w:customStyle="1" w:styleId="Heading2Char">
    <w:name w:val="Heading 2 Char"/>
    <w:basedOn w:val="DefaultParagraphFont"/>
    <w:link w:val="Heading2"/>
    <w:rsid w:val="005E50A5"/>
    <w:rPr>
      <w:rFonts w:ascii="Times" w:hAnsi="Times"/>
      <w:sz w:val="24"/>
    </w:rPr>
  </w:style>
  <w:style w:type="character" w:customStyle="1" w:styleId="Heading4Char">
    <w:name w:val="Heading 4 Char"/>
    <w:basedOn w:val="DefaultParagraphFont"/>
    <w:link w:val="Heading4"/>
    <w:rsid w:val="0058691B"/>
    <w:rPr>
      <w:sz w:val="24"/>
    </w:rPr>
  </w:style>
  <w:style w:type="character" w:customStyle="1" w:styleId="BodyTextChar">
    <w:name w:val="Body Text Char"/>
    <w:basedOn w:val="DefaultParagraphFont"/>
    <w:link w:val="BodyText"/>
    <w:rsid w:val="00A5446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092307">
      <w:bodyDiv w:val="1"/>
      <w:marLeft w:val="0"/>
      <w:marRight w:val="0"/>
      <w:marTop w:val="0"/>
      <w:marBottom w:val="0"/>
      <w:divBdr>
        <w:top w:val="none" w:sz="0" w:space="0" w:color="auto"/>
        <w:left w:val="none" w:sz="0" w:space="0" w:color="auto"/>
        <w:bottom w:val="none" w:sz="0" w:space="0" w:color="auto"/>
        <w:right w:val="none" w:sz="0" w:space="0" w:color="auto"/>
      </w:divBdr>
    </w:div>
    <w:div w:id="574782804">
      <w:bodyDiv w:val="1"/>
      <w:marLeft w:val="0"/>
      <w:marRight w:val="0"/>
      <w:marTop w:val="0"/>
      <w:marBottom w:val="0"/>
      <w:divBdr>
        <w:top w:val="none" w:sz="0" w:space="0" w:color="auto"/>
        <w:left w:val="none" w:sz="0" w:space="0" w:color="auto"/>
        <w:bottom w:val="none" w:sz="0" w:space="0" w:color="auto"/>
        <w:right w:val="none" w:sz="0" w:space="0" w:color="auto"/>
      </w:divBdr>
    </w:div>
    <w:div w:id="1048191061">
      <w:bodyDiv w:val="1"/>
      <w:marLeft w:val="0"/>
      <w:marRight w:val="0"/>
      <w:marTop w:val="0"/>
      <w:marBottom w:val="0"/>
      <w:divBdr>
        <w:top w:val="none" w:sz="0" w:space="0" w:color="auto"/>
        <w:left w:val="none" w:sz="0" w:space="0" w:color="auto"/>
        <w:bottom w:val="none" w:sz="0" w:space="0" w:color="auto"/>
        <w:right w:val="none" w:sz="0" w:space="0" w:color="auto"/>
      </w:divBdr>
    </w:div>
    <w:div w:id="1204714236">
      <w:bodyDiv w:val="1"/>
      <w:marLeft w:val="0"/>
      <w:marRight w:val="0"/>
      <w:marTop w:val="0"/>
      <w:marBottom w:val="0"/>
      <w:divBdr>
        <w:top w:val="none" w:sz="0" w:space="0" w:color="auto"/>
        <w:left w:val="none" w:sz="0" w:space="0" w:color="auto"/>
        <w:bottom w:val="none" w:sz="0" w:space="0" w:color="auto"/>
        <w:right w:val="none" w:sz="0" w:space="0" w:color="auto"/>
      </w:divBdr>
    </w:div>
    <w:div w:id="1511984936">
      <w:bodyDiv w:val="1"/>
      <w:marLeft w:val="0"/>
      <w:marRight w:val="0"/>
      <w:marTop w:val="0"/>
      <w:marBottom w:val="0"/>
      <w:divBdr>
        <w:top w:val="single" w:sz="12" w:space="0" w:color="767575"/>
        <w:left w:val="none" w:sz="0" w:space="0" w:color="auto"/>
        <w:bottom w:val="none" w:sz="0" w:space="0" w:color="auto"/>
        <w:right w:val="none" w:sz="0" w:space="0" w:color="auto"/>
      </w:divBdr>
      <w:divsChild>
        <w:div w:id="1175926190">
          <w:marLeft w:val="0"/>
          <w:marRight w:val="0"/>
          <w:marTop w:val="0"/>
          <w:marBottom w:val="0"/>
          <w:divBdr>
            <w:top w:val="none" w:sz="0" w:space="0" w:color="auto"/>
            <w:left w:val="none" w:sz="0" w:space="0" w:color="auto"/>
            <w:bottom w:val="none" w:sz="0" w:space="0" w:color="auto"/>
            <w:right w:val="none" w:sz="0" w:space="0" w:color="auto"/>
          </w:divBdr>
          <w:divsChild>
            <w:div w:id="3867793">
              <w:marLeft w:val="0"/>
              <w:marRight w:val="0"/>
              <w:marTop w:val="0"/>
              <w:marBottom w:val="0"/>
              <w:divBdr>
                <w:top w:val="none" w:sz="0" w:space="0" w:color="auto"/>
                <w:left w:val="none" w:sz="0" w:space="0" w:color="auto"/>
                <w:bottom w:val="none" w:sz="0" w:space="0" w:color="auto"/>
                <w:right w:val="none" w:sz="0" w:space="0" w:color="auto"/>
              </w:divBdr>
              <w:divsChild>
                <w:div w:id="129132459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35956135">
                      <w:marLeft w:val="300"/>
                      <w:marRight w:val="0"/>
                      <w:marTop w:val="0"/>
                      <w:marBottom w:val="0"/>
                      <w:divBdr>
                        <w:top w:val="none" w:sz="0" w:space="0" w:color="auto"/>
                        <w:left w:val="none" w:sz="0" w:space="0" w:color="auto"/>
                        <w:bottom w:val="none" w:sz="0" w:space="0" w:color="auto"/>
                        <w:right w:val="none" w:sz="0" w:space="0" w:color="auto"/>
                      </w:divBdr>
                      <w:divsChild>
                        <w:div w:id="735905285">
                          <w:marLeft w:val="0"/>
                          <w:marRight w:val="0"/>
                          <w:marTop w:val="0"/>
                          <w:marBottom w:val="0"/>
                          <w:divBdr>
                            <w:top w:val="none" w:sz="0" w:space="0" w:color="auto"/>
                            <w:left w:val="none" w:sz="0" w:space="0" w:color="auto"/>
                            <w:bottom w:val="none" w:sz="0" w:space="0" w:color="auto"/>
                            <w:right w:val="none" w:sz="0" w:space="0" w:color="auto"/>
                          </w:divBdr>
                          <w:divsChild>
                            <w:div w:id="6563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8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D6F9D-828D-46A6-BE2E-F0AA333E7C19}">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10</ap:Pages>
  <ap:Words>2574</ap:Words>
  <ap:Characters>14677</ap:Characters>
  <ap:Application>Microsoft Office Word</ap:Application>
  <ap:DocSecurity>2</ap:DocSecurity>
  <ap:Lines>122</ap:Lines>
  <ap:Paragraphs>34</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17217</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2014-12-09T19:33:00Z</cp:lastPrinted>
  <dcterms:created xsi:type="dcterms:W3CDTF">2020-11-25T16:40:28Z</dcterms:created>
  <dcterms:modified xsi:type="dcterms:W3CDTF">2020-11-25T16:40:28Z</dcterms:modified>
</cp:coreProperties>
</file>