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6625" w:rsidR="001D50A6" w:rsidP="00316625" w:rsidRDefault="00A6736D" w14:paraId="4295B839" w14:textId="36D36A94">
      <w:pPr>
        <w:pStyle w:val="Header"/>
        <w:tabs>
          <w:tab w:val="clear" w:pos="4320"/>
        </w:tabs>
        <w:rPr>
          <w:rFonts w:cs="Calibri"/>
          <w:b/>
          <w:bCs/>
          <w:szCs w:val="26"/>
        </w:rPr>
      </w:pPr>
      <w:r w:rsidRPr="00E10520">
        <w:rPr>
          <w:rFonts w:cs="Calibri"/>
          <w:szCs w:val="26"/>
        </w:rPr>
        <w:t>RMD/</w:t>
      </w:r>
      <w:r w:rsidR="00676BD0">
        <w:rPr>
          <w:rFonts w:cs="Calibri"/>
          <w:szCs w:val="26"/>
        </w:rPr>
        <w:t>nd3</w:t>
      </w:r>
      <w:r w:rsidR="00316625">
        <w:rPr>
          <w:rFonts w:cs="Calibri"/>
          <w:szCs w:val="26"/>
        </w:rPr>
        <w:tab/>
      </w:r>
      <w:r w:rsidR="00316625">
        <w:rPr>
          <w:rFonts w:cs="Calibri"/>
          <w:b/>
          <w:bCs/>
          <w:szCs w:val="26"/>
        </w:rPr>
        <w:t>Date of Issuance  12/3/2020</w:t>
      </w:r>
    </w:p>
    <w:p w:rsidR="00A74673" w:rsidRDefault="00A74673" w14:paraId="36024598" w14:textId="77777777">
      <w:pPr>
        <w:rPr>
          <w:rFonts w:cs="Calibri"/>
          <w:szCs w:val="26"/>
        </w:rPr>
      </w:pPr>
    </w:p>
    <w:p w:rsidRPr="00E10520" w:rsidR="00C74ECA" w:rsidRDefault="00C74ECA" w14:paraId="1034ABD8" w14:textId="77777777">
      <w:pPr>
        <w:rPr>
          <w:rFonts w:cs="Calibri"/>
          <w:szCs w:val="26"/>
        </w:rPr>
      </w:pPr>
    </w:p>
    <w:p w:rsidRPr="00E10520" w:rsidR="001D50A6" w:rsidRDefault="001D50A6" w14:paraId="4FB125DB" w14:textId="6983557D">
      <w:pPr>
        <w:rPr>
          <w:rFonts w:cs="Calibri"/>
          <w:szCs w:val="26"/>
        </w:rPr>
      </w:pPr>
      <w:r w:rsidRPr="00E10520">
        <w:rPr>
          <w:rFonts w:cs="Calibri"/>
          <w:szCs w:val="26"/>
        </w:rPr>
        <w:t>Decision</w:t>
      </w:r>
      <w:r w:rsidR="00E77306">
        <w:rPr>
          <w:rFonts w:cs="Calibri"/>
          <w:szCs w:val="26"/>
        </w:rPr>
        <w:t xml:space="preserve"> </w:t>
      </w:r>
      <w:r w:rsidRPr="007D4401" w:rsidR="00316625">
        <w:t>20-12-001</w:t>
      </w:r>
      <w:r w:rsidR="00316625">
        <w:t xml:space="preserve">  December 2, 2020</w:t>
      </w:r>
    </w:p>
    <w:p w:rsidR="001D50A6" w:rsidRDefault="001D50A6" w14:paraId="5A0618BA" w14:textId="7BB912ED">
      <w:pPr>
        <w:rPr>
          <w:rFonts w:cs="Calibri"/>
          <w:szCs w:val="26"/>
        </w:rPr>
      </w:pPr>
    </w:p>
    <w:p w:rsidRPr="00E10520" w:rsidR="008B6E51" w:rsidRDefault="008B6E51" w14:paraId="061801A4" w14:textId="77777777">
      <w:pPr>
        <w:rPr>
          <w:rFonts w:cs="Calibri"/>
          <w:szCs w:val="26"/>
        </w:rPr>
      </w:pPr>
    </w:p>
    <w:p w:rsidR="001D50A6" w:rsidP="008B6E51" w:rsidRDefault="001D50A6" w14:paraId="36EF6D10" w14:textId="77777777">
      <w:pPr>
        <w:pStyle w:val="main"/>
        <w:spacing w:line="240" w:lineRule="auto"/>
        <w:rPr>
          <w:sz w:val="24"/>
        </w:rPr>
      </w:pPr>
      <w:r>
        <w:rPr>
          <w:sz w:val="24"/>
        </w:rPr>
        <w:t>BEFORE THE PUBLIC UTILITIES COMMISSION OF THE STATE OF CALIFORNIA</w:t>
      </w:r>
    </w:p>
    <w:p w:rsidR="001D50A6" w:rsidRDefault="001D50A6" w14:paraId="1A37E252" w14:textId="0E1A0AC8">
      <w:pPr>
        <w:suppressAutoHyphens/>
      </w:pPr>
    </w:p>
    <w:tbl>
      <w:tblPr>
        <w:tblW w:w="0" w:type="auto"/>
        <w:tblLayout w:type="fixed"/>
        <w:tblLook w:val="0000" w:firstRow="0" w:lastRow="0" w:firstColumn="0" w:lastColumn="0" w:noHBand="0" w:noVBand="0"/>
      </w:tblPr>
      <w:tblGrid>
        <w:gridCol w:w="4788"/>
        <w:gridCol w:w="4457"/>
      </w:tblGrid>
      <w:tr w:rsidRPr="00E10520" w:rsidR="001D50A6" w:rsidTr="00557BE6" w14:paraId="26C0B653" w14:textId="77777777">
        <w:tc>
          <w:tcPr>
            <w:tcW w:w="4788" w:type="dxa"/>
            <w:tcBorders>
              <w:bottom w:val="single" w:color="auto" w:sz="6" w:space="0"/>
              <w:right w:val="single" w:color="auto" w:sz="6" w:space="0"/>
            </w:tcBorders>
          </w:tcPr>
          <w:p w:rsidR="00A6736D" w:rsidP="00954C0C" w:rsidRDefault="008B6E51" w14:paraId="22ED5995" w14:textId="3C55A5AC">
            <w:r w:rsidRPr="008B6E51">
              <w:t>Application of Pacific Gas and Electric Company for Approval of its Mobile Application and Supporting Systems Pilot. (U39E</w:t>
            </w:r>
            <w:r>
              <w:t>.</w:t>
            </w:r>
            <w:r w:rsidRPr="008B6E51">
              <w:t>)</w:t>
            </w:r>
          </w:p>
          <w:p w:rsidRPr="00E10520" w:rsidR="008B6E51" w:rsidP="00954C0C" w:rsidRDefault="008B6E51" w14:paraId="1FB54EE5" w14:textId="4BD419C4">
            <w:pPr>
              <w:rPr>
                <w:rFonts w:cs="Calibri"/>
                <w:szCs w:val="26"/>
              </w:rPr>
            </w:pPr>
          </w:p>
        </w:tc>
        <w:tc>
          <w:tcPr>
            <w:tcW w:w="4457" w:type="dxa"/>
            <w:tcBorders>
              <w:left w:val="nil"/>
            </w:tcBorders>
            <w:vAlign w:val="center"/>
          </w:tcPr>
          <w:p w:rsidRPr="00E10520" w:rsidR="001D50A6" w:rsidP="00557BE6" w:rsidRDefault="00954C0C" w14:paraId="6789A661" w14:textId="160E7887">
            <w:pPr>
              <w:jc w:val="center"/>
              <w:rPr>
                <w:rFonts w:cs="Calibri"/>
                <w:szCs w:val="26"/>
              </w:rPr>
            </w:pPr>
            <w:r>
              <w:rPr>
                <w:rFonts w:cs="Calibri"/>
                <w:szCs w:val="26"/>
              </w:rPr>
              <w:t>Application</w:t>
            </w:r>
            <w:r w:rsidRPr="00E10520" w:rsidR="0032779E">
              <w:rPr>
                <w:rFonts w:cs="Calibri"/>
                <w:szCs w:val="26"/>
              </w:rPr>
              <w:t xml:space="preserve"> 1</w:t>
            </w:r>
            <w:r>
              <w:rPr>
                <w:rFonts w:cs="Calibri"/>
                <w:szCs w:val="26"/>
              </w:rPr>
              <w:t>9</w:t>
            </w:r>
            <w:r w:rsidR="008B6E51">
              <w:rPr>
                <w:rFonts w:cs="Calibri"/>
                <w:szCs w:val="26"/>
              </w:rPr>
              <w:noBreakHyphen/>
            </w:r>
            <w:r w:rsidRPr="00E10520" w:rsidR="0032779E">
              <w:rPr>
                <w:rFonts w:cs="Calibri"/>
                <w:szCs w:val="26"/>
              </w:rPr>
              <w:t>0</w:t>
            </w:r>
            <w:r>
              <w:rPr>
                <w:rFonts w:cs="Calibri"/>
                <w:szCs w:val="26"/>
              </w:rPr>
              <w:t>7</w:t>
            </w:r>
            <w:r w:rsidR="008B6E51">
              <w:rPr>
                <w:rFonts w:cs="Calibri"/>
                <w:szCs w:val="26"/>
              </w:rPr>
              <w:noBreakHyphen/>
            </w:r>
            <w:r w:rsidRPr="00E10520" w:rsidR="0032779E">
              <w:rPr>
                <w:rFonts w:cs="Calibri"/>
                <w:szCs w:val="26"/>
              </w:rPr>
              <w:t>019</w:t>
            </w:r>
          </w:p>
        </w:tc>
      </w:tr>
    </w:tbl>
    <w:p w:rsidR="001D50A6" w:rsidRDefault="001D50A6" w14:paraId="4A1F54E2" w14:textId="77777777"/>
    <w:p w:rsidR="001D50A6" w:rsidRDefault="001D50A6" w14:paraId="2F084DED" w14:textId="77777777"/>
    <w:p w:rsidR="001D50A6" w:rsidP="008B6E51" w:rsidRDefault="001D50A6" w14:paraId="6CA23F2F" w14:textId="77777777">
      <w:pPr>
        <w:pStyle w:val="main"/>
        <w:spacing w:after="240" w:line="240" w:lineRule="auto"/>
      </w:pPr>
      <w:r>
        <w:t>ORDER CORRECTING ERROR</w:t>
      </w:r>
    </w:p>
    <w:p w:rsidR="00C000F6" w:rsidP="00E7039B" w:rsidRDefault="001D50A6" w14:paraId="275ECFDC" w14:textId="70D34747">
      <w:pPr>
        <w:pStyle w:val="standard"/>
      </w:pPr>
      <w:r w:rsidRPr="00E10520">
        <w:t xml:space="preserve">The Commission has been informed of an error in </w:t>
      </w:r>
      <w:r w:rsidRPr="00E10520" w:rsidR="0032779E">
        <w:t>Decision</w:t>
      </w:r>
      <w:r w:rsidR="003C7BEF">
        <w:t> </w:t>
      </w:r>
      <w:r w:rsidRPr="00E10520" w:rsidR="0032779E">
        <w:t>(D.)</w:t>
      </w:r>
      <w:r w:rsidR="003C7BEF">
        <w:t> </w:t>
      </w:r>
      <w:r w:rsidRPr="00E10520" w:rsidR="0032779E">
        <w:t>20</w:t>
      </w:r>
      <w:r w:rsidR="008B6E51">
        <w:noBreakHyphen/>
      </w:r>
      <w:r w:rsidR="00DE589B">
        <w:t>10</w:t>
      </w:r>
      <w:r w:rsidR="008B6E51">
        <w:noBreakHyphen/>
      </w:r>
      <w:r w:rsidR="00DE589B">
        <w:t>003</w:t>
      </w:r>
      <w:r w:rsidRPr="00E10520" w:rsidR="00C000F6">
        <w:t>,</w:t>
      </w:r>
      <w:bookmarkStart w:name="_Toc52866535" w:id="0"/>
      <w:r w:rsidRPr="00B06EB2" w:rsidR="00DE589B">
        <w:rPr>
          <w:rFonts w:ascii="Arial" w:hAnsi="Arial" w:cs="Arial" w:eastAsiaTheme="minorHAnsi"/>
          <w:bCs/>
        </w:rPr>
        <w:t xml:space="preserve"> </w:t>
      </w:r>
      <w:r w:rsidRPr="00DE589B" w:rsidR="00DE589B">
        <w:rPr>
          <w:bCs/>
          <w:i/>
          <w:iCs/>
        </w:rPr>
        <w:t xml:space="preserve">Decision Approving Pacific Gas </w:t>
      </w:r>
      <w:r w:rsidR="00DE589B">
        <w:rPr>
          <w:bCs/>
          <w:i/>
          <w:iCs/>
        </w:rPr>
        <w:t>a</w:t>
      </w:r>
      <w:r w:rsidRPr="00DE589B" w:rsidR="00DE589B">
        <w:rPr>
          <w:bCs/>
          <w:i/>
          <w:iCs/>
        </w:rPr>
        <w:t xml:space="preserve">nd Electric Company’s Mobile Application </w:t>
      </w:r>
      <w:r w:rsidR="00DE589B">
        <w:rPr>
          <w:bCs/>
          <w:i/>
          <w:iCs/>
        </w:rPr>
        <w:t>a</w:t>
      </w:r>
      <w:r w:rsidRPr="00DE589B" w:rsidR="00DE589B">
        <w:rPr>
          <w:bCs/>
          <w:i/>
          <w:iCs/>
        </w:rPr>
        <w:t>nd Supporting Systems Pilot</w:t>
      </w:r>
      <w:bookmarkEnd w:id="0"/>
      <w:r w:rsidRPr="00203C8C" w:rsidR="0032779E">
        <w:t xml:space="preserve">, </w:t>
      </w:r>
      <w:r w:rsidRPr="00E10520" w:rsidR="0032779E">
        <w:t>which was</w:t>
      </w:r>
      <w:r w:rsidRPr="00E10520" w:rsidR="00C000F6">
        <w:t xml:space="preserve"> </w:t>
      </w:r>
      <w:r w:rsidRPr="00E10520" w:rsidR="0032779E">
        <w:t xml:space="preserve">adopted by the Commission at </w:t>
      </w:r>
      <w:r w:rsidR="00203C8C">
        <w:t xml:space="preserve">the </w:t>
      </w:r>
      <w:r w:rsidR="00DE589B">
        <w:t>October</w:t>
      </w:r>
      <w:r w:rsidR="00417AD7">
        <w:t> </w:t>
      </w:r>
      <w:r w:rsidR="00DE589B">
        <w:t>8</w:t>
      </w:r>
      <w:r w:rsidRPr="00E10520" w:rsidR="0032779E">
        <w:t>,</w:t>
      </w:r>
      <w:r w:rsidR="00417AD7">
        <w:t> </w:t>
      </w:r>
      <w:r w:rsidRPr="00E10520" w:rsidR="0032779E">
        <w:t>2020 Agenda Meeting</w:t>
      </w:r>
      <w:r w:rsidRPr="00E10520">
        <w:t>.</w:t>
      </w:r>
      <w:r w:rsidRPr="00E10520" w:rsidR="0032779E">
        <w:rPr>
          <w:vertAlign w:val="superscript"/>
        </w:rPr>
        <w:footnoteReference w:id="1"/>
      </w:r>
      <w:r w:rsidRPr="00E10520">
        <w:t xml:space="preserve">  </w:t>
      </w:r>
      <w:r w:rsidRPr="00E10520" w:rsidR="00C000F6">
        <w:t xml:space="preserve">As published </w:t>
      </w:r>
      <w:r w:rsidRPr="00E10520" w:rsidR="008C5A67">
        <w:t xml:space="preserve">by the Commission </w:t>
      </w:r>
      <w:r w:rsidRPr="00E10520" w:rsidR="00C000F6">
        <w:t xml:space="preserve">on </w:t>
      </w:r>
      <w:r w:rsidR="00DE589B">
        <w:t>October</w:t>
      </w:r>
      <w:r w:rsidR="00417AD7">
        <w:t> </w:t>
      </w:r>
      <w:r w:rsidR="00DE589B">
        <w:t>12</w:t>
      </w:r>
      <w:r w:rsidRPr="00E10520" w:rsidR="00C000F6">
        <w:t>,</w:t>
      </w:r>
      <w:r w:rsidR="00417AD7">
        <w:t> </w:t>
      </w:r>
      <w:r w:rsidRPr="00E10520" w:rsidR="00C000F6">
        <w:t xml:space="preserve">2020, </w:t>
      </w:r>
      <w:r w:rsidR="00DE589B">
        <w:t xml:space="preserve">the decision did not designate each </w:t>
      </w:r>
      <w:r w:rsidRPr="00E10520" w:rsidR="00C000F6">
        <w:t>Ordering Paragraph</w:t>
      </w:r>
      <w:r w:rsidR="00CC06A8">
        <w:t xml:space="preserve"> therein</w:t>
      </w:r>
      <w:r w:rsidR="00DE589B">
        <w:t xml:space="preserve"> with a </w:t>
      </w:r>
      <w:r w:rsidR="00CC06A8">
        <w:t xml:space="preserve">separate </w:t>
      </w:r>
      <w:r w:rsidR="00DE589B">
        <w:t>number.</w:t>
      </w:r>
      <w:r w:rsidRPr="00E10520" w:rsidR="00C000F6">
        <w:t xml:space="preserve"> </w:t>
      </w:r>
      <w:r w:rsidR="00F70F31">
        <w:t xml:space="preserve"> </w:t>
      </w:r>
      <w:r w:rsidR="00DE589B">
        <w:t>Because the absence of</w:t>
      </w:r>
      <w:r w:rsidR="006A58B0">
        <w:t xml:space="preserve"> a </w:t>
      </w:r>
      <w:r w:rsidR="00DE589B">
        <w:t>number</w:t>
      </w:r>
      <w:r w:rsidR="00CC06A8">
        <w:t xml:space="preserve"> corresponding to each Ordering Paragraph</w:t>
      </w:r>
      <w:r w:rsidR="00DE589B">
        <w:t xml:space="preserve"> may cause confusi</w:t>
      </w:r>
      <w:r w:rsidR="00CC06A8">
        <w:t xml:space="preserve">on </w:t>
      </w:r>
      <w:r w:rsidR="00DE589B">
        <w:t xml:space="preserve">when attempting to reference specific </w:t>
      </w:r>
      <w:r w:rsidR="00CC06A8">
        <w:t xml:space="preserve">Commission </w:t>
      </w:r>
      <w:r w:rsidR="00DE589B">
        <w:t xml:space="preserve">directives set forth </w:t>
      </w:r>
      <w:r w:rsidR="00CC06A8">
        <w:t>therein</w:t>
      </w:r>
      <w:r w:rsidR="00DE589B">
        <w:t>, we correct this oversight today.</w:t>
      </w:r>
    </w:p>
    <w:p w:rsidR="00CB5CDF" w:rsidP="00E7039B" w:rsidRDefault="008C5A67" w14:paraId="30F3928E" w14:textId="265BAC32">
      <w:pPr>
        <w:pStyle w:val="standard"/>
      </w:pPr>
      <w:r>
        <w:t xml:space="preserve">The </w:t>
      </w:r>
      <w:r w:rsidRPr="008C5A67">
        <w:t>Commission</w:t>
      </w:r>
      <w:r>
        <w:t>’s</w:t>
      </w:r>
      <w:r w:rsidRPr="008C5A67">
        <w:t xml:space="preserve"> Resolution</w:t>
      </w:r>
      <w:r w:rsidR="00417AD7">
        <w:t> </w:t>
      </w:r>
      <w:r w:rsidRPr="008C5A67">
        <w:t>A</w:t>
      </w:r>
      <w:r w:rsidR="008B6E51">
        <w:noBreakHyphen/>
      </w:r>
      <w:r w:rsidRPr="008C5A67">
        <w:t xml:space="preserve">4661, </w:t>
      </w:r>
      <w:r w:rsidRPr="008C5A67">
        <w:rPr>
          <w:i/>
          <w:iCs/>
        </w:rPr>
        <w:t>Orders Correcting Errors in Commission Decisions</w:t>
      </w:r>
      <w:r w:rsidRPr="008C5A67">
        <w:t xml:space="preserve"> (March</w:t>
      </w:r>
      <w:r w:rsidR="00417AD7">
        <w:t> </w:t>
      </w:r>
      <w:r w:rsidRPr="008C5A67">
        <w:t>9,</w:t>
      </w:r>
      <w:r w:rsidR="00417AD7">
        <w:t> </w:t>
      </w:r>
      <w:r w:rsidRPr="008C5A67">
        <w:t>1977)</w:t>
      </w:r>
      <w:r w:rsidRPr="008C5A67">
        <w:rPr>
          <w:vertAlign w:val="superscript"/>
        </w:rPr>
        <w:footnoteReference w:id="2"/>
      </w:r>
      <w:r w:rsidRPr="008C5A67">
        <w:t xml:space="preserve"> </w:t>
      </w:r>
      <w:r>
        <w:t xml:space="preserve">permits the Executive Director to issue </w:t>
      </w:r>
      <w:r>
        <w:lastRenderedPageBreak/>
        <w:t xml:space="preserve">decisions correcting errors in limited circumstances, including when the error is an </w:t>
      </w:r>
      <w:r w:rsidRPr="008C5A67">
        <w:t xml:space="preserve">obvious, </w:t>
      </w:r>
      <w:r w:rsidRPr="00E7039B">
        <w:t>inadvertent</w:t>
      </w:r>
      <w:r>
        <w:t xml:space="preserve"> error. </w:t>
      </w:r>
    </w:p>
    <w:p w:rsidRPr="0043386C" w:rsidR="0043386C" w:rsidP="00DB4CCB" w:rsidRDefault="008C5A67" w14:paraId="16E1E3D7" w14:textId="6445AEE0">
      <w:pPr>
        <w:pStyle w:val="standard"/>
      </w:pPr>
      <w:r>
        <w:t>The error</w:t>
      </w:r>
      <w:r w:rsidR="00E10520">
        <w:t>s</w:t>
      </w:r>
      <w:r w:rsidR="00DE589B">
        <w:t xml:space="preserve"> in D.20</w:t>
      </w:r>
      <w:r w:rsidR="008B6E51">
        <w:noBreakHyphen/>
      </w:r>
      <w:r w:rsidR="00DE589B">
        <w:t>10</w:t>
      </w:r>
      <w:r w:rsidR="008B6E51">
        <w:noBreakHyphen/>
      </w:r>
      <w:r w:rsidR="00DE589B">
        <w:t>003</w:t>
      </w:r>
      <w:r w:rsidR="00203C8C">
        <w:t xml:space="preserve">, as published on </w:t>
      </w:r>
      <w:r w:rsidR="00DE589B">
        <w:t>October</w:t>
      </w:r>
      <w:r w:rsidR="00417AD7">
        <w:t> </w:t>
      </w:r>
      <w:r w:rsidR="00DE589B">
        <w:t>12</w:t>
      </w:r>
      <w:r w:rsidR="00203C8C">
        <w:t>,</w:t>
      </w:r>
      <w:r w:rsidR="00417AD7">
        <w:t> </w:t>
      </w:r>
      <w:r w:rsidR="00203C8C">
        <w:t>2020</w:t>
      </w:r>
      <w:r>
        <w:t xml:space="preserve">, </w:t>
      </w:r>
      <w:bookmarkStart w:name="_Hlk50129715" w:id="2"/>
      <w:r w:rsidR="00E10520">
        <w:t xml:space="preserve">are </w:t>
      </w:r>
      <w:r w:rsidRPr="008C5A67">
        <w:t>obvious</w:t>
      </w:r>
      <w:r w:rsidR="00895D79">
        <w:t xml:space="preserve"> and</w:t>
      </w:r>
      <w:r w:rsidRPr="008C5A67">
        <w:t xml:space="preserve"> inadvertent</w:t>
      </w:r>
      <w:r w:rsidR="00E55B72">
        <w:t xml:space="preserve"> because </w:t>
      </w:r>
      <w:r w:rsidR="00DE589B">
        <w:t>the Commission</w:t>
      </w:r>
      <w:r w:rsidR="00CC06A8">
        <w:t xml:space="preserve">, as a matter of convention, </w:t>
      </w:r>
      <w:r w:rsidR="00DE589B">
        <w:t xml:space="preserve">always includes numbers for each ordering paragraph in its decisions.  </w:t>
      </w:r>
      <w:bookmarkEnd w:id="2"/>
      <w:r w:rsidR="00203C8C">
        <w:t>A</w:t>
      </w:r>
      <w:r>
        <w:t>s a result</w:t>
      </w:r>
      <w:r w:rsidR="00461BD6">
        <w:t xml:space="preserve">, </w:t>
      </w:r>
      <w:r w:rsidR="00203C8C">
        <w:t xml:space="preserve">the Commission hereby modifies </w:t>
      </w:r>
      <w:r w:rsidR="005B5821">
        <w:t>D.</w:t>
      </w:r>
      <w:r w:rsidRPr="005B5821" w:rsidR="005B5821">
        <w:t>20</w:t>
      </w:r>
      <w:r w:rsidR="008B6E51">
        <w:noBreakHyphen/>
      </w:r>
      <w:r w:rsidR="00DE589B">
        <w:t>10</w:t>
      </w:r>
      <w:r w:rsidR="008B6E51">
        <w:noBreakHyphen/>
      </w:r>
      <w:r w:rsidRPr="005B5821" w:rsidR="005B5821">
        <w:t>0</w:t>
      </w:r>
      <w:r w:rsidR="00DE589B">
        <w:t>03</w:t>
      </w:r>
      <w:r w:rsidR="00417AD7">
        <w:t xml:space="preserve"> </w:t>
      </w:r>
      <w:r w:rsidR="00C000F6">
        <w:t>to</w:t>
      </w:r>
      <w:r w:rsidR="00461BD6">
        <w:t xml:space="preserve"> conform to </w:t>
      </w:r>
      <w:r w:rsidR="00CC06A8">
        <w:t xml:space="preserve">the Commission numbering convention for ordering paragraphs </w:t>
      </w:r>
      <w:r w:rsidR="00E55B72">
        <w:t>with the following additions</w:t>
      </w:r>
      <w:r w:rsidR="00CC06A8">
        <w:t xml:space="preserve"> of numbers</w:t>
      </w:r>
      <w:r w:rsidR="006A58B0">
        <w:t xml:space="preserve">, </w:t>
      </w:r>
      <w:r w:rsidR="00E55B72">
        <w:t>noted in underline</w:t>
      </w:r>
      <w:r w:rsidR="006A58B0">
        <w:t>, below</w:t>
      </w:r>
      <w:r w:rsidR="00C000F6">
        <w:t xml:space="preserve">: </w:t>
      </w:r>
    </w:p>
    <w:p w:rsidRPr="0043386C" w:rsidR="0043386C" w:rsidP="00DB4CCB" w:rsidRDefault="0043386C" w14:paraId="72EE7217" w14:textId="77777777">
      <w:pPr>
        <w:keepNext/>
        <w:spacing w:after="120"/>
        <w:ind w:left="720" w:right="720"/>
        <w:jc w:val="center"/>
        <w:outlineLvl w:val="0"/>
        <w:rPr>
          <w:rFonts w:ascii="Arial" w:hAnsi="Arial" w:eastAsiaTheme="majorEastAsia" w:cstheme="majorBidi"/>
          <w:b/>
          <w:caps/>
          <w:spacing w:val="120"/>
          <w:szCs w:val="56"/>
        </w:rPr>
      </w:pPr>
      <w:bookmarkStart w:name="_Toc52866563" w:id="3"/>
      <w:r w:rsidRPr="0043386C">
        <w:rPr>
          <w:rFonts w:ascii="Arial" w:hAnsi="Arial" w:eastAsiaTheme="majorEastAsia" w:cstheme="majorBidi"/>
          <w:b/>
          <w:caps/>
          <w:spacing w:val="120"/>
          <w:szCs w:val="56"/>
        </w:rPr>
        <w:t>ORDER</w:t>
      </w:r>
      <w:bookmarkEnd w:id="3"/>
    </w:p>
    <w:p w:rsidR="00612A66" w:rsidP="00DB4CCB" w:rsidRDefault="00612A66" w14:paraId="2AB329D8" w14:textId="37EF1A55">
      <w:pPr>
        <w:pStyle w:val="standard"/>
        <w:ind w:left="720" w:right="720"/>
        <w:rPr>
          <w:rFonts w:eastAsiaTheme="minorHAnsi" w:cstheme="minorBidi"/>
          <w:szCs w:val="22"/>
        </w:rPr>
      </w:pPr>
      <w:r w:rsidRPr="0043386C">
        <w:rPr>
          <w:rFonts w:eastAsiaTheme="minorHAnsi" w:cstheme="minorBidi"/>
          <w:b/>
          <w:szCs w:val="22"/>
        </w:rPr>
        <w:t>IT IS ORDERED</w:t>
      </w:r>
      <w:r w:rsidRPr="0043386C">
        <w:rPr>
          <w:rFonts w:eastAsiaTheme="minorHAnsi" w:cstheme="minorBidi"/>
          <w:szCs w:val="22"/>
        </w:rPr>
        <w:t xml:space="preserve"> that:</w:t>
      </w:r>
    </w:p>
    <w:p w:rsidR="00612A66" w:rsidP="00E8617F" w:rsidRDefault="00612A66" w14:paraId="3659155E" w14:textId="3A9688A5">
      <w:pPr>
        <w:pStyle w:val="OPCorrected"/>
      </w:pPr>
      <w:r w:rsidRPr="0043386C">
        <w:t xml:space="preserve">Pacific Gas </w:t>
      </w:r>
      <w:r w:rsidRPr="00612A66">
        <w:t>and</w:t>
      </w:r>
      <w:r w:rsidRPr="0043386C">
        <w:t xml:space="preserve"> Electric Company’s (PG&amp;E’s) Application for a proposed mobile application (mobile app) and supporting systems pilot is approved with the modifications set forth herein.  PG&amp;E shall, at a minimum, make the following modifications to the mobile app pilot: </w:t>
      </w:r>
    </w:p>
    <w:p w:rsidRPr="00612A66" w:rsidR="00612A66" w:rsidP="00E8617F" w:rsidRDefault="00612A66" w14:paraId="6D711C8E" w14:textId="3DDC428D">
      <w:pPr>
        <w:pStyle w:val="OPCorrected"/>
        <w:numPr>
          <w:ilvl w:val="1"/>
          <w:numId w:val="6"/>
        </w:numPr>
      </w:pPr>
      <w:r w:rsidRPr="0043386C">
        <w:rPr>
          <w:rFonts w:cstheme="minorBidi"/>
          <w:szCs w:val="22"/>
        </w:rPr>
        <w:t xml:space="preserve">expand the </w:t>
      </w:r>
      <w:r w:rsidRPr="00E8617F">
        <w:t>scope</w:t>
      </w:r>
      <w:r w:rsidRPr="0043386C">
        <w:rPr>
          <w:rFonts w:cstheme="minorBidi"/>
          <w:szCs w:val="22"/>
        </w:rPr>
        <w:t xml:space="preserve"> of the mobile app pilot to encompass all safety matters pertaining to PG&amp;E’s electric infrastructure.</w:t>
      </w:r>
    </w:p>
    <w:p w:rsidR="00612A66" w:rsidP="00E8617F" w:rsidRDefault="00612A66" w14:paraId="45F1EC98" w14:textId="02DC1E01">
      <w:pPr>
        <w:pStyle w:val="OPCorrected"/>
        <w:numPr>
          <w:ilvl w:val="1"/>
          <w:numId w:val="6"/>
        </w:numPr>
      </w:pPr>
      <w:r w:rsidRPr="0043386C">
        <w:rPr>
          <w:rFonts w:cstheme="minorBidi"/>
          <w:szCs w:val="22"/>
        </w:rPr>
        <w:t>implement a native application for its mobile app pilot and develop two separate apps, one for iPhones and one for Android operating system</w:t>
      </w:r>
      <w:r>
        <w:rPr>
          <w:rFonts w:cstheme="minorBidi"/>
          <w:szCs w:val="22"/>
        </w:rPr>
        <w:noBreakHyphen/>
      </w:r>
      <w:r w:rsidRPr="0043386C">
        <w:rPr>
          <w:rFonts w:cstheme="minorBidi"/>
          <w:szCs w:val="22"/>
        </w:rPr>
        <w:t>based smartphones.</w:t>
      </w:r>
    </w:p>
    <w:p w:rsidRPr="0043386C" w:rsidR="0043386C" w:rsidP="00E8617F" w:rsidRDefault="0043386C" w14:paraId="38B50EC8" w14:textId="2F94DF0E">
      <w:pPr>
        <w:pStyle w:val="OPCorrected"/>
        <w:numPr>
          <w:ilvl w:val="1"/>
          <w:numId w:val="6"/>
        </w:numPr>
        <w:rPr>
          <w:rFonts w:cstheme="minorBidi"/>
          <w:szCs w:val="22"/>
        </w:rPr>
      </w:pPr>
      <w:r w:rsidRPr="0043386C">
        <w:rPr>
          <w:rFonts w:cstheme="minorBidi"/>
          <w:szCs w:val="22"/>
        </w:rPr>
        <w:t>develop a publicly</w:t>
      </w:r>
      <w:r w:rsidR="008B6E51">
        <w:rPr>
          <w:rFonts w:cstheme="minorBidi"/>
          <w:szCs w:val="22"/>
        </w:rPr>
        <w:noBreakHyphen/>
      </w:r>
      <w:r w:rsidRPr="0043386C">
        <w:rPr>
          <w:rFonts w:cstheme="minorBidi"/>
          <w:szCs w:val="22"/>
        </w:rPr>
        <w:t>available interface for the mobile app but preserve ownership over the original source code and share the design of the mobile app and relevant materials with others upon request, unless otherwise confidential under a purchase agreement for a commercially available app.</w:t>
      </w:r>
    </w:p>
    <w:p w:rsidRPr="0043386C" w:rsidR="0043386C" w:rsidP="00E8617F" w:rsidRDefault="0043386C" w14:paraId="1504F024" w14:textId="49953EDC">
      <w:pPr>
        <w:pStyle w:val="OPCorrected"/>
        <w:numPr>
          <w:ilvl w:val="1"/>
          <w:numId w:val="6"/>
        </w:numPr>
        <w:rPr>
          <w:rFonts w:cstheme="minorBidi"/>
          <w:szCs w:val="22"/>
        </w:rPr>
      </w:pPr>
      <w:r w:rsidRPr="0043386C">
        <w:rPr>
          <w:rFonts w:cstheme="minorBidi"/>
          <w:szCs w:val="22"/>
        </w:rPr>
        <w:t>within 30 days of a safety issue being reported to PG&amp;E via the mobile app, upload information received to the asset management database and make this information publicly</w:t>
      </w:r>
      <w:r w:rsidR="008B6E51">
        <w:rPr>
          <w:rFonts w:cstheme="minorBidi"/>
          <w:szCs w:val="22"/>
        </w:rPr>
        <w:noBreakHyphen/>
      </w:r>
      <w:r w:rsidRPr="0043386C">
        <w:rPr>
          <w:rFonts w:cstheme="minorBidi"/>
          <w:szCs w:val="22"/>
        </w:rPr>
        <w:t xml:space="preserve">available on its website and </w:t>
      </w:r>
      <w:r w:rsidRPr="0043386C">
        <w:rPr>
          <w:rFonts w:cstheme="minorBidi"/>
          <w:szCs w:val="22"/>
        </w:rPr>
        <w:lastRenderedPageBreak/>
        <w:t xml:space="preserve">mobile app, unless otherwise confidential under the law. </w:t>
      </w:r>
    </w:p>
    <w:p w:rsidRPr="0043386C" w:rsidR="0043386C" w:rsidP="00E8617F" w:rsidRDefault="0043386C" w14:paraId="797D549D" w14:textId="77777777">
      <w:pPr>
        <w:pStyle w:val="OPCorrected"/>
        <w:numPr>
          <w:ilvl w:val="1"/>
          <w:numId w:val="6"/>
        </w:numPr>
        <w:rPr>
          <w:rFonts w:cstheme="minorBidi"/>
          <w:szCs w:val="22"/>
        </w:rPr>
      </w:pPr>
      <w:r w:rsidRPr="0043386C">
        <w:rPr>
          <w:rFonts w:cstheme="minorBidi"/>
          <w:szCs w:val="22"/>
        </w:rPr>
        <w:t>preserve all data submitted via the mobile app deemed invalid and/or rejected (including emergency matters) for a period of four years from the launch date of the mobile app pilot for Commission evaluation purposes, unless preservation for a longer period of time is require by law.</w:t>
      </w:r>
    </w:p>
    <w:p w:rsidRPr="0043386C" w:rsidR="0043386C" w:rsidP="00E8617F" w:rsidRDefault="0043386C" w14:paraId="58240C6F" w14:textId="77777777">
      <w:pPr>
        <w:pStyle w:val="OPCorrected"/>
        <w:numPr>
          <w:ilvl w:val="1"/>
          <w:numId w:val="6"/>
        </w:numPr>
        <w:rPr>
          <w:rFonts w:cstheme="minorBidi"/>
          <w:szCs w:val="22"/>
        </w:rPr>
      </w:pPr>
      <w:r w:rsidRPr="0043386C">
        <w:rPr>
          <w:rFonts w:cstheme="minorBidi"/>
          <w:szCs w:val="22"/>
        </w:rPr>
        <w:t xml:space="preserve">within 30 days of receipt of a safety report via the mobile app, make available to the public the safety report, PG&amp;E’s determination, PG&amp;E’s analysis, GPS coordinates, corrective action, review status, and photos, unless confidential under the law. </w:t>
      </w:r>
    </w:p>
    <w:p w:rsidRPr="0043386C" w:rsidR="0043386C" w:rsidP="00E8617F" w:rsidRDefault="0043386C" w14:paraId="79FDF2D6" w14:textId="77777777">
      <w:pPr>
        <w:pStyle w:val="OPCorrected"/>
        <w:numPr>
          <w:ilvl w:val="1"/>
          <w:numId w:val="6"/>
        </w:numPr>
        <w:rPr>
          <w:rFonts w:cstheme="minorBidi"/>
          <w:szCs w:val="22"/>
        </w:rPr>
      </w:pPr>
      <w:r w:rsidRPr="0043386C">
        <w:rPr>
          <w:rFonts w:cstheme="minorBidi"/>
          <w:szCs w:val="22"/>
        </w:rPr>
        <w:t xml:space="preserve">include all customers located in Tier 2 and Tier 3 High Fire Threat Districts. </w:t>
      </w:r>
    </w:p>
    <w:p w:rsidRPr="0043386C" w:rsidR="0043386C" w:rsidP="00E8617F" w:rsidRDefault="0043386C" w14:paraId="1E59E6E4" w14:textId="77777777">
      <w:pPr>
        <w:pStyle w:val="OPCorrected"/>
        <w:numPr>
          <w:ilvl w:val="1"/>
          <w:numId w:val="6"/>
        </w:numPr>
        <w:rPr>
          <w:rFonts w:cstheme="minorBidi"/>
          <w:szCs w:val="22"/>
        </w:rPr>
      </w:pPr>
      <w:r w:rsidRPr="0043386C">
        <w:rPr>
          <w:rFonts w:cstheme="minorBidi"/>
          <w:szCs w:val="22"/>
        </w:rPr>
        <w:t>conduct outreach to target and make the mobile app available to all contractors performing vegetation management in the field, relevant staff at CAL FIRE, and relevant staff at cable companies and telecommunication providers with whom PG&amp;E operates under joint pole agreements, with the use of the mobile app by these entities being discretionary.</w:t>
      </w:r>
    </w:p>
    <w:p w:rsidRPr="0043386C" w:rsidR="0043386C" w:rsidP="00E8617F" w:rsidRDefault="0043386C" w14:paraId="79FB8913" w14:textId="77777777">
      <w:pPr>
        <w:pStyle w:val="OPCorrected"/>
        <w:numPr>
          <w:ilvl w:val="1"/>
          <w:numId w:val="6"/>
        </w:numPr>
        <w:rPr>
          <w:rFonts w:cstheme="minorBidi"/>
          <w:szCs w:val="22"/>
        </w:rPr>
      </w:pPr>
      <w:r w:rsidRPr="0043386C">
        <w:rPr>
          <w:rFonts w:cstheme="minorBidi"/>
          <w:szCs w:val="22"/>
        </w:rPr>
        <w:t xml:space="preserve">offer the mobile app pilot until Phase 2 of this proceeding is completed.  </w:t>
      </w:r>
    </w:p>
    <w:p w:rsidRPr="0043386C" w:rsidR="0043386C" w:rsidP="00E8617F" w:rsidRDefault="0043386C" w14:paraId="41C68C59" w14:textId="77777777">
      <w:pPr>
        <w:pStyle w:val="OPCorrected"/>
        <w:numPr>
          <w:ilvl w:val="1"/>
          <w:numId w:val="6"/>
        </w:numPr>
        <w:rPr>
          <w:rFonts w:cstheme="minorBidi"/>
          <w:szCs w:val="22"/>
        </w:rPr>
      </w:pPr>
      <w:r w:rsidRPr="0043386C">
        <w:rPr>
          <w:rFonts w:cstheme="minorBidi"/>
          <w:szCs w:val="22"/>
        </w:rPr>
        <w:t xml:space="preserve">launch the mobile app pilot as soon as practicable but within 10 months from the effective date of this decision. </w:t>
      </w:r>
    </w:p>
    <w:p w:rsidRPr="0043386C" w:rsidR="0043386C" w:rsidP="00E8617F" w:rsidRDefault="0043386C" w14:paraId="79030247" w14:textId="77777777">
      <w:pPr>
        <w:pStyle w:val="OPCorrected"/>
        <w:numPr>
          <w:ilvl w:val="1"/>
          <w:numId w:val="6"/>
        </w:numPr>
        <w:rPr>
          <w:rFonts w:cstheme="minorBidi"/>
          <w:szCs w:val="22"/>
        </w:rPr>
      </w:pPr>
      <w:r w:rsidRPr="0043386C">
        <w:rPr>
          <w:rFonts w:cstheme="minorBidi"/>
          <w:szCs w:val="22"/>
        </w:rPr>
        <w:t xml:space="preserve">coordinate with the Commission’s Safety Policy Division, to the extent necessary, to ensure 384 unique submittals/safety reports are received.  </w:t>
      </w:r>
    </w:p>
    <w:p w:rsidRPr="0043386C" w:rsidR="0043386C" w:rsidP="00E8617F" w:rsidRDefault="0043386C" w14:paraId="037B56BB" w14:textId="77777777">
      <w:pPr>
        <w:pStyle w:val="OPCorrected"/>
        <w:numPr>
          <w:ilvl w:val="1"/>
          <w:numId w:val="6"/>
        </w:numPr>
        <w:rPr>
          <w:rFonts w:cstheme="minorBidi"/>
          <w:szCs w:val="22"/>
        </w:rPr>
      </w:pPr>
      <w:r w:rsidRPr="0043386C">
        <w:rPr>
          <w:rFonts w:cstheme="minorBidi"/>
          <w:szCs w:val="22"/>
        </w:rPr>
        <w:t xml:space="preserve">enhance, if necessary, beyond the existing warnings, the mobile app submittal process to clearly advise customers that the mobile app is not to be used in emergency situations when calling 911 would be more appropriate.  </w:t>
      </w:r>
    </w:p>
    <w:p w:rsidRPr="0043386C" w:rsidR="0043386C" w:rsidP="00E8617F" w:rsidRDefault="0043386C" w14:paraId="2DBAFE01" w14:textId="77777777">
      <w:pPr>
        <w:pStyle w:val="OPCorrected"/>
        <w:numPr>
          <w:ilvl w:val="1"/>
          <w:numId w:val="6"/>
        </w:numPr>
        <w:rPr>
          <w:rFonts w:cstheme="minorBidi"/>
          <w:szCs w:val="22"/>
        </w:rPr>
      </w:pPr>
      <w:r w:rsidRPr="0043386C">
        <w:rPr>
          <w:rFonts w:cstheme="minorBidi"/>
          <w:szCs w:val="22"/>
        </w:rPr>
        <w:lastRenderedPageBreak/>
        <w:t xml:space="preserve">offer training to users to promote the success of the mobile app pilot and report on training and public education efforts and status to the Commission’s Safety Policy Division within three months from the effective date of this decision.  </w:t>
      </w:r>
    </w:p>
    <w:p w:rsidRPr="0043386C" w:rsidR="0043386C" w:rsidP="00E8617F" w:rsidRDefault="0043386C" w14:paraId="79AF3D6F" w14:textId="77777777">
      <w:pPr>
        <w:pStyle w:val="OPCorrected"/>
        <w:numPr>
          <w:ilvl w:val="1"/>
          <w:numId w:val="6"/>
        </w:numPr>
        <w:rPr>
          <w:rFonts w:asciiTheme="minorHAnsi" w:hAnsiTheme="minorHAnsi" w:cstheme="minorBidi"/>
          <w:sz w:val="22"/>
          <w:szCs w:val="22"/>
        </w:rPr>
      </w:pPr>
      <w:r w:rsidRPr="0043386C">
        <w:rPr>
          <w:rFonts w:cstheme="minorBidi"/>
          <w:szCs w:val="22"/>
        </w:rPr>
        <w:t>categorize a submittal/safety report a valid concern even if it duplicates a prior submittal/safety report until it is addressed by PG&amp;E.</w:t>
      </w:r>
    </w:p>
    <w:p w:rsidRPr="0043386C" w:rsidR="0043386C" w:rsidP="00E8617F" w:rsidRDefault="0043386C" w14:paraId="52D4B9B1" w14:textId="12FB03BA">
      <w:pPr>
        <w:pStyle w:val="OPCorrected"/>
        <w:rPr>
          <w:rFonts w:cstheme="minorBidi"/>
          <w:szCs w:val="22"/>
        </w:rPr>
      </w:pPr>
      <w:r w:rsidRPr="0043386C">
        <w:rPr>
          <w:rFonts w:cstheme="minorBidi"/>
          <w:szCs w:val="22"/>
        </w:rPr>
        <w:t xml:space="preserve">Pacific Gas and Electric Company (PG&amp;E) shall file and serve on the service list for this proceeding quarterly status reports on its activities and progress on the mobile application pilot.  The first report shall be </w:t>
      </w:r>
      <w:r w:rsidRPr="00E8617F">
        <w:t>due</w:t>
      </w:r>
      <w:r w:rsidRPr="0043386C">
        <w:rPr>
          <w:rFonts w:cstheme="minorBidi"/>
          <w:szCs w:val="22"/>
        </w:rPr>
        <w:t xml:space="preserve"> three months after the effective date of this </w:t>
      </w:r>
      <w:r w:rsidRPr="00612A66">
        <w:t>decision</w:t>
      </w:r>
      <w:r w:rsidRPr="0043386C">
        <w:rPr>
          <w:rFonts w:cstheme="minorBidi"/>
          <w:szCs w:val="22"/>
        </w:rPr>
        <w:t>.  This directive expires at the end of the pilot.</w:t>
      </w:r>
    </w:p>
    <w:p w:rsidRPr="0043386C" w:rsidR="0043386C" w:rsidP="00612A66" w:rsidRDefault="0043386C" w14:paraId="45E4AA92" w14:textId="71F2D87C">
      <w:pPr>
        <w:pStyle w:val="ListParagraph"/>
        <w:widowControl w:val="0"/>
        <w:numPr>
          <w:ilvl w:val="0"/>
          <w:numId w:val="6"/>
        </w:numPr>
        <w:spacing w:after="120"/>
        <w:ind w:right="720"/>
        <w:contextualSpacing w:val="0"/>
        <w:rPr>
          <w:rFonts w:eastAsiaTheme="minorHAnsi" w:cstheme="minorBidi"/>
          <w:szCs w:val="22"/>
        </w:rPr>
      </w:pPr>
      <w:r w:rsidRPr="0043386C">
        <w:rPr>
          <w:rFonts w:eastAsiaTheme="minorHAnsi" w:cstheme="minorBidi"/>
          <w:szCs w:val="22"/>
        </w:rPr>
        <w:t>Pacific Gas and Electric Company shall</w:t>
      </w:r>
      <w:bookmarkStart w:name="_Hlk48220937" w:id="4"/>
      <w:r w:rsidRPr="0043386C">
        <w:rPr>
          <w:rFonts w:eastAsiaTheme="minorHAnsi" w:cstheme="minorBidi"/>
          <w:szCs w:val="22"/>
        </w:rPr>
        <w:t xml:space="preserve">, in consultation with the Commission’s Safety Policy Division, </w:t>
      </w:r>
      <w:bookmarkEnd w:id="4"/>
      <w:r w:rsidRPr="0043386C">
        <w:rPr>
          <w:rFonts w:eastAsiaTheme="minorHAnsi" w:cstheme="minorBidi"/>
          <w:szCs w:val="22"/>
        </w:rPr>
        <w:t xml:space="preserve">undertake an evaluation of its mobile application (mobile app) pilot effort, and in so doing, shall retain a qualified independent consultant. </w:t>
      </w:r>
    </w:p>
    <w:p w:rsidRPr="0043386C" w:rsidR="0043386C" w:rsidP="00612A66" w:rsidRDefault="0043386C" w14:paraId="707072C3" w14:textId="00721260">
      <w:pPr>
        <w:pStyle w:val="ListParagraph"/>
        <w:widowControl w:val="0"/>
        <w:numPr>
          <w:ilvl w:val="0"/>
          <w:numId w:val="6"/>
        </w:numPr>
        <w:spacing w:after="120"/>
        <w:ind w:right="720"/>
        <w:contextualSpacing w:val="0"/>
        <w:rPr>
          <w:rFonts w:eastAsiaTheme="minorHAnsi" w:cstheme="minorBidi"/>
          <w:szCs w:val="22"/>
        </w:rPr>
      </w:pPr>
      <w:r w:rsidRPr="0043386C">
        <w:rPr>
          <w:rFonts w:eastAsiaTheme="minorHAnsi" w:cstheme="minorBidi"/>
          <w:szCs w:val="22"/>
        </w:rPr>
        <w:t>Pacific Gas and Electric Company’s (PG&amp;E) independent consultant shall, in consultation with the Commission’s Safety Policy Division, undertake an evaluation to assess the feasibility, obstacles, benefits for integrating the mobile application (mobile app) into the PG&amp;E’s existing complaint</w:t>
      </w:r>
      <w:r w:rsidR="008B6E51">
        <w:rPr>
          <w:rFonts w:eastAsiaTheme="minorHAnsi" w:cstheme="minorBidi"/>
          <w:szCs w:val="22"/>
        </w:rPr>
        <w:noBreakHyphen/>
      </w:r>
      <w:r w:rsidRPr="0043386C">
        <w:rPr>
          <w:rFonts w:eastAsiaTheme="minorHAnsi" w:cstheme="minorBidi"/>
          <w:szCs w:val="22"/>
        </w:rPr>
        <w:t>intake system.  This evaluation shall be included as part of the independent consultant’s evaluation of the mobile app pilot.</w:t>
      </w:r>
    </w:p>
    <w:p w:rsidRPr="0043386C" w:rsidR="0043386C" w:rsidP="00612A66" w:rsidRDefault="0043386C" w14:paraId="24EF86DF" w14:textId="39F5E978">
      <w:pPr>
        <w:pStyle w:val="ListParagraph"/>
        <w:widowControl w:val="0"/>
        <w:numPr>
          <w:ilvl w:val="0"/>
          <w:numId w:val="6"/>
        </w:numPr>
        <w:spacing w:after="120"/>
        <w:ind w:right="720"/>
        <w:contextualSpacing w:val="0"/>
        <w:rPr>
          <w:rFonts w:eastAsiaTheme="minorHAnsi" w:cstheme="minorBidi"/>
          <w:szCs w:val="22"/>
        </w:rPr>
      </w:pPr>
      <w:r w:rsidRPr="0043386C">
        <w:rPr>
          <w:rFonts w:eastAsiaTheme="minorHAnsi" w:cstheme="minorBidi"/>
          <w:szCs w:val="22"/>
        </w:rPr>
        <w:t xml:space="preserve">The Commission authorizes its Safety Policy Division to modify the evaluation schedule set forth </w:t>
      </w:r>
      <w:r w:rsidRPr="00612A66">
        <w:rPr>
          <w:rFonts w:eastAsiaTheme="minorHAnsi"/>
        </w:rPr>
        <w:t>herein</w:t>
      </w:r>
      <w:r w:rsidRPr="0043386C">
        <w:rPr>
          <w:rFonts w:eastAsiaTheme="minorHAnsi" w:cstheme="minorBidi"/>
          <w:szCs w:val="22"/>
        </w:rPr>
        <w:t xml:space="preserve"> of the Pacific Gas and Electric Company mobile application pilot as may be necessary and appropriate.  </w:t>
      </w:r>
    </w:p>
    <w:p w:rsidRPr="0043386C" w:rsidR="0043386C" w:rsidP="00612A66" w:rsidRDefault="0043386C" w14:paraId="1415DF5F" w14:textId="2572A576">
      <w:pPr>
        <w:pStyle w:val="ListParagraph"/>
        <w:widowControl w:val="0"/>
        <w:numPr>
          <w:ilvl w:val="0"/>
          <w:numId w:val="6"/>
        </w:numPr>
        <w:spacing w:after="120"/>
        <w:ind w:right="720"/>
        <w:contextualSpacing w:val="0"/>
        <w:rPr>
          <w:rFonts w:eastAsiaTheme="minorHAnsi" w:cstheme="minorBidi"/>
          <w:szCs w:val="22"/>
        </w:rPr>
      </w:pPr>
      <w:bookmarkStart w:name="_Hlk48647760" w:id="5"/>
      <w:r w:rsidRPr="0043386C">
        <w:rPr>
          <w:rFonts w:eastAsiaTheme="minorHAnsi" w:cstheme="minorBidi"/>
          <w:szCs w:val="22"/>
        </w:rPr>
        <w:t xml:space="preserve">Pacific Gas and Electric Company’s </w:t>
      </w:r>
      <w:bookmarkEnd w:id="5"/>
      <w:r w:rsidRPr="0043386C">
        <w:rPr>
          <w:rFonts w:eastAsiaTheme="minorHAnsi" w:cstheme="minorBidi"/>
          <w:szCs w:val="22"/>
        </w:rPr>
        <w:t xml:space="preserve">costs associated with the development and continued operation, </w:t>
      </w:r>
      <w:r w:rsidRPr="00612A66">
        <w:rPr>
          <w:rFonts w:eastAsiaTheme="minorHAnsi"/>
        </w:rPr>
        <w:t>including</w:t>
      </w:r>
      <w:r w:rsidRPr="0043386C">
        <w:rPr>
          <w:rFonts w:eastAsiaTheme="minorHAnsi" w:cstheme="minorBidi"/>
          <w:szCs w:val="22"/>
        </w:rPr>
        <w:t xml:space="preserve"> evaluation, outreach, and training, associated with the mobile application pilot shall be at shareholder expense. </w:t>
      </w:r>
    </w:p>
    <w:p w:rsidRPr="0043386C" w:rsidR="0043386C" w:rsidP="00250C88" w:rsidRDefault="0043386C" w14:paraId="2627087E" w14:textId="54C69EB1">
      <w:pPr>
        <w:pStyle w:val="ListParagraph"/>
        <w:widowControl w:val="0"/>
        <w:numPr>
          <w:ilvl w:val="0"/>
          <w:numId w:val="6"/>
        </w:numPr>
        <w:spacing w:after="240"/>
        <w:ind w:right="720"/>
        <w:contextualSpacing w:val="0"/>
        <w:rPr>
          <w:rFonts w:eastAsiaTheme="minorHAnsi" w:cstheme="minorBidi"/>
          <w:szCs w:val="22"/>
        </w:rPr>
      </w:pPr>
      <w:r w:rsidRPr="0043386C">
        <w:rPr>
          <w:rFonts w:eastAsiaTheme="minorHAnsi" w:cstheme="minorBidi"/>
          <w:szCs w:val="22"/>
        </w:rPr>
        <w:t>Application</w:t>
      </w:r>
      <w:r w:rsidR="0029058F">
        <w:rPr>
          <w:rFonts w:eastAsiaTheme="minorHAnsi" w:cstheme="minorBidi"/>
          <w:szCs w:val="22"/>
        </w:rPr>
        <w:t> </w:t>
      </w:r>
      <w:r w:rsidRPr="0043386C">
        <w:rPr>
          <w:rFonts w:eastAsiaTheme="minorHAnsi" w:cstheme="minorBidi"/>
          <w:szCs w:val="22"/>
        </w:rPr>
        <w:t>19</w:t>
      </w:r>
      <w:r w:rsidR="008B6E51">
        <w:rPr>
          <w:rFonts w:eastAsiaTheme="minorHAnsi" w:cstheme="minorBidi"/>
          <w:szCs w:val="22"/>
        </w:rPr>
        <w:noBreakHyphen/>
      </w:r>
      <w:r w:rsidRPr="0043386C">
        <w:rPr>
          <w:rFonts w:eastAsiaTheme="minorHAnsi" w:cstheme="minorBidi"/>
          <w:szCs w:val="22"/>
        </w:rPr>
        <w:t>07</w:t>
      </w:r>
      <w:r w:rsidR="008B6E51">
        <w:rPr>
          <w:rFonts w:eastAsiaTheme="minorHAnsi" w:cstheme="minorBidi"/>
          <w:szCs w:val="22"/>
        </w:rPr>
        <w:noBreakHyphen/>
      </w:r>
      <w:r w:rsidRPr="0043386C">
        <w:rPr>
          <w:rFonts w:eastAsiaTheme="minorHAnsi" w:cstheme="minorBidi"/>
          <w:szCs w:val="22"/>
        </w:rPr>
        <w:t xml:space="preserve">019 remains </w:t>
      </w:r>
      <w:r w:rsidRPr="00612A66">
        <w:rPr>
          <w:rFonts w:eastAsiaTheme="minorHAnsi"/>
        </w:rPr>
        <w:t>open</w:t>
      </w:r>
      <w:r w:rsidRPr="0043386C">
        <w:rPr>
          <w:rFonts w:eastAsiaTheme="minorHAnsi" w:cstheme="minorBidi"/>
          <w:szCs w:val="22"/>
        </w:rPr>
        <w:t>.</w:t>
      </w:r>
    </w:p>
    <w:p w:rsidRPr="00E10520" w:rsidR="00C000F6" w:rsidP="00E10520" w:rsidRDefault="001D50A6" w14:paraId="1A128161" w14:textId="49328931">
      <w:pPr>
        <w:pStyle w:val="standard"/>
        <w:rPr>
          <w:rFonts w:cs="Calibri"/>
          <w:szCs w:val="26"/>
        </w:rPr>
      </w:pPr>
      <w:r w:rsidRPr="00E10520">
        <w:rPr>
          <w:rFonts w:cs="Calibri"/>
          <w:szCs w:val="26"/>
        </w:rPr>
        <w:lastRenderedPageBreak/>
        <w:t xml:space="preserve">Therefore, pursuant to </w:t>
      </w:r>
      <w:bookmarkStart w:name="_Hlk50129645" w:id="6"/>
      <w:r w:rsidRPr="00E10520" w:rsidR="001E239A">
        <w:rPr>
          <w:rFonts w:cs="Calibri"/>
          <w:szCs w:val="26"/>
        </w:rPr>
        <w:t xml:space="preserve">Commission </w:t>
      </w:r>
      <w:bookmarkStart w:name="_Hlk50129079" w:id="7"/>
      <w:r w:rsidRPr="00E10520">
        <w:rPr>
          <w:rFonts w:cs="Calibri"/>
          <w:szCs w:val="26"/>
        </w:rPr>
        <w:t>Resolution</w:t>
      </w:r>
      <w:r w:rsidR="00BD61A2">
        <w:rPr>
          <w:rFonts w:cs="Calibri"/>
          <w:szCs w:val="26"/>
        </w:rPr>
        <w:t> </w:t>
      </w:r>
      <w:r w:rsidRPr="00E10520">
        <w:rPr>
          <w:rFonts w:cs="Calibri"/>
          <w:szCs w:val="26"/>
        </w:rPr>
        <w:t>A</w:t>
      </w:r>
      <w:r w:rsidR="008B6E51">
        <w:rPr>
          <w:rFonts w:cs="Calibri"/>
          <w:szCs w:val="26"/>
        </w:rPr>
        <w:noBreakHyphen/>
      </w:r>
      <w:r w:rsidRPr="00E10520">
        <w:rPr>
          <w:rFonts w:cs="Calibri"/>
          <w:szCs w:val="26"/>
        </w:rPr>
        <w:t>4661</w:t>
      </w:r>
      <w:r w:rsidRPr="00E10520" w:rsidR="009F160F">
        <w:rPr>
          <w:rFonts w:cs="Calibri"/>
          <w:szCs w:val="26"/>
        </w:rPr>
        <w:t xml:space="preserve">, </w:t>
      </w:r>
      <w:bookmarkEnd w:id="7"/>
      <w:r w:rsidRPr="00E10520" w:rsidR="009F160F">
        <w:rPr>
          <w:rFonts w:cs="Calibri"/>
          <w:i/>
          <w:iCs/>
          <w:szCs w:val="26"/>
        </w:rPr>
        <w:t xml:space="preserve">Orders Correcting Errors in Commission Decisions </w:t>
      </w:r>
      <w:r w:rsidRPr="00E10520" w:rsidR="009F160F">
        <w:rPr>
          <w:rFonts w:cs="Calibri"/>
          <w:szCs w:val="26"/>
        </w:rPr>
        <w:t>(March</w:t>
      </w:r>
      <w:r w:rsidR="00BD61A2">
        <w:rPr>
          <w:rFonts w:cs="Calibri"/>
          <w:szCs w:val="26"/>
        </w:rPr>
        <w:t> </w:t>
      </w:r>
      <w:r w:rsidRPr="00E10520" w:rsidR="009F160F">
        <w:rPr>
          <w:rFonts w:cs="Calibri"/>
          <w:szCs w:val="26"/>
        </w:rPr>
        <w:t>9,</w:t>
      </w:r>
      <w:r w:rsidR="00BD61A2">
        <w:rPr>
          <w:rFonts w:cs="Calibri"/>
          <w:szCs w:val="26"/>
        </w:rPr>
        <w:t> </w:t>
      </w:r>
      <w:r w:rsidRPr="00E10520" w:rsidR="009F160F">
        <w:rPr>
          <w:rFonts w:cs="Calibri"/>
          <w:szCs w:val="26"/>
        </w:rPr>
        <w:t>1977)</w:t>
      </w:r>
      <w:bookmarkEnd w:id="6"/>
      <w:r w:rsidR="00BD61A2">
        <w:rPr>
          <w:rFonts w:cs="Calibri"/>
          <w:szCs w:val="26"/>
        </w:rPr>
        <w:t>,</w:t>
      </w:r>
      <w:r w:rsidR="00CC06A8">
        <w:rPr>
          <w:rFonts w:cs="Calibri"/>
          <w:szCs w:val="26"/>
        </w:rPr>
        <w:t xml:space="preserve"> </w:t>
      </w:r>
      <w:r w:rsidRPr="00E10520" w:rsidR="00C000F6">
        <w:rPr>
          <w:rFonts w:cs="Calibri"/>
          <w:szCs w:val="26"/>
        </w:rPr>
        <w:t>D.</w:t>
      </w:r>
      <w:r w:rsidRPr="00E10520" w:rsidR="005B5821">
        <w:rPr>
          <w:rFonts w:cs="Calibri"/>
          <w:szCs w:val="26"/>
        </w:rPr>
        <w:t>20</w:t>
      </w:r>
      <w:r w:rsidR="008B6E51">
        <w:rPr>
          <w:rFonts w:cs="Calibri"/>
          <w:szCs w:val="26"/>
        </w:rPr>
        <w:noBreakHyphen/>
      </w:r>
      <w:r w:rsidR="00CC06A8">
        <w:rPr>
          <w:rFonts w:cs="Calibri"/>
          <w:szCs w:val="26"/>
        </w:rPr>
        <w:t>10</w:t>
      </w:r>
      <w:r w:rsidR="008B6E51">
        <w:rPr>
          <w:rFonts w:cs="Calibri"/>
          <w:szCs w:val="26"/>
        </w:rPr>
        <w:noBreakHyphen/>
      </w:r>
      <w:r w:rsidRPr="00E10520" w:rsidR="005B5821">
        <w:rPr>
          <w:rFonts w:cs="Calibri"/>
          <w:szCs w:val="26"/>
        </w:rPr>
        <w:t>0</w:t>
      </w:r>
      <w:r w:rsidR="00CC06A8">
        <w:rPr>
          <w:rFonts w:cs="Calibri"/>
          <w:szCs w:val="26"/>
        </w:rPr>
        <w:t>03</w:t>
      </w:r>
      <w:r w:rsidRPr="00E10520" w:rsidR="00C000F6">
        <w:rPr>
          <w:rFonts w:cs="Calibri"/>
          <w:szCs w:val="26"/>
        </w:rPr>
        <w:t xml:space="preserve"> </w:t>
      </w:r>
      <w:r w:rsidRPr="00E10520" w:rsidR="008C5A67">
        <w:rPr>
          <w:rFonts w:cs="Calibri"/>
          <w:szCs w:val="26"/>
        </w:rPr>
        <w:t xml:space="preserve">is </w:t>
      </w:r>
      <w:r w:rsidRPr="00E10520" w:rsidR="00C000F6">
        <w:rPr>
          <w:rFonts w:cs="Calibri"/>
          <w:szCs w:val="26"/>
        </w:rPr>
        <w:t>corrected</w:t>
      </w:r>
      <w:r w:rsidR="00CC06A8">
        <w:rPr>
          <w:rFonts w:cs="Calibri"/>
          <w:szCs w:val="26"/>
        </w:rPr>
        <w:t xml:space="preserve"> as shown above.</w:t>
      </w:r>
    </w:p>
    <w:p w:rsidRPr="00E10520" w:rsidR="001D50A6" w:rsidP="00BD61A2" w:rsidRDefault="001D50A6" w14:paraId="6134C214" w14:textId="6052C46E">
      <w:pPr>
        <w:pStyle w:val="standard"/>
        <w:keepNext/>
        <w:rPr>
          <w:rFonts w:cs="Calibri"/>
          <w:szCs w:val="26"/>
        </w:rPr>
      </w:pPr>
      <w:r w:rsidRPr="00E10520">
        <w:rPr>
          <w:rFonts w:cs="Calibri"/>
          <w:b/>
          <w:bCs/>
          <w:szCs w:val="26"/>
        </w:rPr>
        <w:t>IT IS ORDERED</w:t>
      </w:r>
      <w:r w:rsidRPr="00E10520">
        <w:rPr>
          <w:rFonts w:cs="Calibri"/>
          <w:szCs w:val="26"/>
        </w:rPr>
        <w:t xml:space="preserve"> that </w:t>
      </w:r>
      <w:r w:rsidRPr="00E10520" w:rsidR="0032779E">
        <w:rPr>
          <w:rFonts w:cs="Calibri"/>
          <w:szCs w:val="26"/>
        </w:rPr>
        <w:t>Decision</w:t>
      </w:r>
      <w:r w:rsidR="00EA180E">
        <w:rPr>
          <w:rFonts w:cs="Calibri"/>
          <w:szCs w:val="26"/>
        </w:rPr>
        <w:t> </w:t>
      </w:r>
      <w:r w:rsidRPr="00E10520" w:rsidR="005B5821">
        <w:rPr>
          <w:rFonts w:cs="Calibri"/>
          <w:szCs w:val="26"/>
        </w:rPr>
        <w:t>20</w:t>
      </w:r>
      <w:r w:rsidR="008B6E51">
        <w:rPr>
          <w:rFonts w:cs="Calibri"/>
          <w:szCs w:val="26"/>
        </w:rPr>
        <w:noBreakHyphen/>
      </w:r>
      <w:r w:rsidR="00CC06A8">
        <w:rPr>
          <w:rFonts w:cs="Calibri"/>
          <w:szCs w:val="26"/>
        </w:rPr>
        <w:t>10</w:t>
      </w:r>
      <w:r w:rsidR="008B6E51">
        <w:rPr>
          <w:rFonts w:cs="Calibri"/>
          <w:szCs w:val="26"/>
        </w:rPr>
        <w:noBreakHyphen/>
      </w:r>
      <w:r w:rsidRPr="00E10520" w:rsidR="005B5821">
        <w:rPr>
          <w:rFonts w:cs="Calibri"/>
          <w:szCs w:val="26"/>
        </w:rPr>
        <w:t>0</w:t>
      </w:r>
      <w:r w:rsidR="00CC06A8">
        <w:rPr>
          <w:rFonts w:cs="Calibri"/>
          <w:szCs w:val="26"/>
        </w:rPr>
        <w:t>03</w:t>
      </w:r>
      <w:r w:rsidR="00BD61A2">
        <w:rPr>
          <w:rFonts w:cs="Calibri"/>
          <w:szCs w:val="26"/>
        </w:rPr>
        <w:t xml:space="preserve"> </w:t>
      </w:r>
      <w:r w:rsidRPr="00E10520">
        <w:rPr>
          <w:rFonts w:cs="Calibri"/>
          <w:szCs w:val="26"/>
        </w:rPr>
        <w:t>is correct</w:t>
      </w:r>
      <w:r w:rsidRPr="00E10520" w:rsidR="00B04ADC">
        <w:rPr>
          <w:rFonts w:cs="Calibri"/>
          <w:szCs w:val="26"/>
        </w:rPr>
        <w:t xml:space="preserve">ed </w:t>
      </w:r>
      <w:r w:rsidR="00CC06A8">
        <w:rPr>
          <w:rFonts w:cs="Calibri"/>
          <w:szCs w:val="26"/>
        </w:rPr>
        <w:t>by adding numbers to each Ordering Paragraph in the decision</w:t>
      </w:r>
      <w:r w:rsidRPr="00E10520" w:rsidR="0032779E">
        <w:rPr>
          <w:rFonts w:cs="Calibri"/>
          <w:szCs w:val="26"/>
        </w:rPr>
        <w:t>.</w:t>
      </w:r>
    </w:p>
    <w:p w:rsidRPr="00E10520" w:rsidR="001D50A6" w:rsidP="00BD61A2" w:rsidRDefault="009F160F" w14:paraId="40067220" w14:textId="32605B68">
      <w:pPr>
        <w:pStyle w:val="OP"/>
        <w:keepNext/>
        <w:numPr>
          <w:ilvl w:val="0"/>
          <w:numId w:val="1"/>
        </w:numPr>
        <w:ind w:firstLine="547"/>
        <w:rPr>
          <w:rFonts w:cs="Calibri"/>
          <w:szCs w:val="26"/>
        </w:rPr>
      </w:pPr>
      <w:r w:rsidRPr="00E10520">
        <w:rPr>
          <w:rFonts w:cs="Calibri"/>
          <w:szCs w:val="26"/>
        </w:rPr>
        <w:t>The obvious, inadvertent error</w:t>
      </w:r>
      <w:r w:rsidRPr="00E10520" w:rsidR="00E55B72">
        <w:rPr>
          <w:rFonts w:cs="Calibri"/>
          <w:szCs w:val="26"/>
        </w:rPr>
        <w:t>s</w:t>
      </w:r>
      <w:r w:rsidRPr="00E10520">
        <w:rPr>
          <w:rFonts w:cs="Calibri"/>
          <w:szCs w:val="26"/>
        </w:rPr>
        <w:t xml:space="preserve"> in </w:t>
      </w:r>
      <w:r w:rsidRPr="00E10520" w:rsidR="005B5821">
        <w:rPr>
          <w:rFonts w:cs="Calibri"/>
          <w:szCs w:val="26"/>
        </w:rPr>
        <w:t>Decision 20</w:t>
      </w:r>
      <w:r w:rsidR="008B6E51">
        <w:rPr>
          <w:rFonts w:cs="Calibri"/>
          <w:szCs w:val="26"/>
        </w:rPr>
        <w:noBreakHyphen/>
      </w:r>
      <w:r w:rsidR="00CC06A8">
        <w:rPr>
          <w:rFonts w:cs="Calibri"/>
          <w:szCs w:val="26"/>
        </w:rPr>
        <w:t>10</w:t>
      </w:r>
      <w:r w:rsidR="008B6E51">
        <w:rPr>
          <w:rFonts w:cs="Calibri"/>
          <w:szCs w:val="26"/>
        </w:rPr>
        <w:noBreakHyphen/>
      </w:r>
      <w:r w:rsidRPr="00E10520" w:rsidR="005B5821">
        <w:rPr>
          <w:rFonts w:cs="Calibri"/>
          <w:szCs w:val="26"/>
        </w:rPr>
        <w:t>0</w:t>
      </w:r>
      <w:r w:rsidR="00CC06A8">
        <w:rPr>
          <w:rFonts w:cs="Calibri"/>
          <w:szCs w:val="26"/>
        </w:rPr>
        <w:t>03</w:t>
      </w:r>
      <w:r w:rsidRPr="00E10520" w:rsidR="005B5821">
        <w:rPr>
          <w:rFonts w:cs="Calibri"/>
          <w:szCs w:val="26"/>
        </w:rPr>
        <w:t xml:space="preserve"> </w:t>
      </w:r>
      <w:r w:rsidRPr="00E10520" w:rsidR="00E55B72">
        <w:rPr>
          <w:rFonts w:cs="Calibri"/>
          <w:szCs w:val="26"/>
        </w:rPr>
        <w:t>are</w:t>
      </w:r>
      <w:r w:rsidRPr="00E10520" w:rsidR="005B5821">
        <w:rPr>
          <w:rFonts w:cs="Calibri"/>
          <w:szCs w:val="26"/>
        </w:rPr>
        <w:t xml:space="preserve"> hereby corrected.</w:t>
      </w:r>
    </w:p>
    <w:p w:rsidRPr="00E10520" w:rsidR="001D50A6" w:rsidP="00BD61A2" w:rsidRDefault="005B5821" w14:paraId="52550EF0" w14:textId="4298BE02">
      <w:pPr>
        <w:pStyle w:val="OP"/>
        <w:numPr>
          <w:ilvl w:val="0"/>
          <w:numId w:val="1"/>
        </w:numPr>
        <w:ind w:firstLine="540"/>
        <w:rPr>
          <w:rFonts w:cs="Calibri"/>
          <w:szCs w:val="26"/>
        </w:rPr>
      </w:pPr>
      <w:r w:rsidRPr="00E10520">
        <w:rPr>
          <w:rFonts w:cs="Calibri"/>
          <w:szCs w:val="26"/>
        </w:rPr>
        <w:t>Rulemaking</w:t>
      </w:r>
      <w:r w:rsidR="00557BE6">
        <w:rPr>
          <w:rFonts w:cs="Calibri"/>
          <w:szCs w:val="26"/>
        </w:rPr>
        <w:t> </w:t>
      </w:r>
      <w:r w:rsidRPr="00E10520">
        <w:rPr>
          <w:rFonts w:cs="Calibri"/>
          <w:szCs w:val="26"/>
        </w:rPr>
        <w:t>1</w:t>
      </w:r>
      <w:r w:rsidR="00CC06A8">
        <w:rPr>
          <w:rFonts w:cs="Calibri"/>
          <w:szCs w:val="26"/>
        </w:rPr>
        <w:t>9</w:t>
      </w:r>
      <w:r w:rsidR="008B6E51">
        <w:rPr>
          <w:rFonts w:cs="Calibri"/>
          <w:szCs w:val="26"/>
        </w:rPr>
        <w:noBreakHyphen/>
      </w:r>
      <w:r w:rsidRPr="00E10520">
        <w:rPr>
          <w:rFonts w:cs="Calibri"/>
          <w:szCs w:val="26"/>
        </w:rPr>
        <w:t>0</w:t>
      </w:r>
      <w:r w:rsidR="00CC06A8">
        <w:rPr>
          <w:rFonts w:cs="Calibri"/>
          <w:szCs w:val="26"/>
        </w:rPr>
        <w:t>7</w:t>
      </w:r>
      <w:r w:rsidR="008B6E51">
        <w:rPr>
          <w:rFonts w:cs="Calibri"/>
          <w:szCs w:val="26"/>
        </w:rPr>
        <w:noBreakHyphen/>
      </w:r>
      <w:r w:rsidRPr="00E10520">
        <w:rPr>
          <w:rFonts w:cs="Calibri"/>
          <w:szCs w:val="26"/>
        </w:rPr>
        <w:t>0</w:t>
      </w:r>
      <w:r w:rsidR="00CC06A8">
        <w:rPr>
          <w:rFonts w:cs="Calibri"/>
          <w:szCs w:val="26"/>
        </w:rPr>
        <w:t>19</w:t>
      </w:r>
      <w:r w:rsidRPr="00E10520" w:rsidR="001D50A6">
        <w:rPr>
          <w:rFonts w:cs="Calibri"/>
          <w:szCs w:val="26"/>
        </w:rPr>
        <w:t xml:space="preserve"> </w:t>
      </w:r>
      <w:r w:rsidRPr="00501D65" w:rsidR="00501D65">
        <w:rPr>
          <w:rFonts w:cs="Calibri"/>
          <w:szCs w:val="26"/>
        </w:rPr>
        <w:t>remains open</w:t>
      </w:r>
      <w:r w:rsidRPr="00E10520" w:rsidR="001D50A6">
        <w:rPr>
          <w:rFonts w:cs="Calibri"/>
          <w:szCs w:val="26"/>
        </w:rPr>
        <w:t>.</w:t>
      </w:r>
    </w:p>
    <w:p w:rsidRPr="00E10520" w:rsidR="001D50A6" w:rsidP="00C74ECA" w:rsidRDefault="001D50A6" w14:paraId="242AFACF" w14:textId="77777777">
      <w:pPr>
        <w:pStyle w:val="standard"/>
        <w:keepNext/>
        <w:keepLines/>
        <w:rPr>
          <w:rFonts w:cs="Calibri"/>
          <w:szCs w:val="26"/>
        </w:rPr>
      </w:pPr>
      <w:r w:rsidRPr="00E10520">
        <w:rPr>
          <w:rFonts w:cs="Calibri"/>
          <w:szCs w:val="26"/>
        </w:rPr>
        <w:t>This order is effective today.</w:t>
      </w:r>
    </w:p>
    <w:p w:rsidRPr="00E10520" w:rsidR="001D50A6" w:rsidP="00C74ECA" w:rsidRDefault="001D50A6" w14:paraId="1FE4A713" w14:textId="5354D17C">
      <w:pPr>
        <w:pStyle w:val="standard"/>
        <w:keepNext/>
        <w:keepLines/>
        <w:rPr>
          <w:rFonts w:cs="Calibri"/>
          <w:szCs w:val="26"/>
        </w:rPr>
      </w:pPr>
      <w:r w:rsidRPr="00E10520">
        <w:rPr>
          <w:rFonts w:cs="Calibri"/>
          <w:szCs w:val="26"/>
        </w:rPr>
        <w:t xml:space="preserve">Dated </w:t>
      </w:r>
      <w:r w:rsidR="00D9480E">
        <w:rPr>
          <w:rFonts w:cs="Calibri"/>
          <w:szCs w:val="26"/>
        </w:rPr>
        <w:t>December 2</w:t>
      </w:r>
      <w:r w:rsidR="00D344C7">
        <w:rPr>
          <w:rFonts w:cs="Calibri"/>
          <w:szCs w:val="26"/>
        </w:rPr>
        <w:t>, 2020</w:t>
      </w:r>
      <w:r w:rsidRPr="00E10520">
        <w:rPr>
          <w:rFonts w:cs="Calibri"/>
          <w:szCs w:val="26"/>
        </w:rPr>
        <w:t>, at San Francisco, California.</w:t>
      </w:r>
    </w:p>
    <w:tbl>
      <w:tblPr>
        <w:tblW w:w="9360" w:type="dxa"/>
        <w:tblInd w:w="108" w:type="dxa"/>
        <w:tblLayout w:type="fixed"/>
        <w:tblLook w:val="0000" w:firstRow="0" w:lastRow="0" w:firstColumn="0" w:lastColumn="0" w:noHBand="0" w:noVBand="0"/>
      </w:tblPr>
      <w:tblGrid>
        <w:gridCol w:w="4320"/>
        <w:gridCol w:w="720"/>
        <w:gridCol w:w="4320"/>
      </w:tblGrid>
      <w:tr w:rsidRPr="006B5C99" w:rsidR="00CB1331" w:rsidTr="00080920" w14:paraId="30B6BE62" w14:textId="77777777">
        <w:tc>
          <w:tcPr>
            <w:tcW w:w="4320" w:type="dxa"/>
          </w:tcPr>
          <w:p w:rsidRPr="002734E3" w:rsidR="00CB1331" w:rsidP="00080920" w:rsidRDefault="00CB1331" w14:paraId="3A828765" w14:textId="77777777">
            <w:pPr>
              <w:pStyle w:val="Box"/>
              <w:numPr>
                <w:ilvl w:val="0"/>
                <w:numId w:val="0"/>
              </w:numPr>
              <w:spacing w:after="0"/>
              <w:ind w:left="288" w:hanging="288"/>
            </w:pPr>
          </w:p>
        </w:tc>
        <w:tc>
          <w:tcPr>
            <w:tcW w:w="720" w:type="dxa"/>
          </w:tcPr>
          <w:p w:rsidRPr="002734E3" w:rsidR="00CB1331" w:rsidP="00080920" w:rsidRDefault="00CB1331" w14:paraId="3C90FAA5" w14:textId="77777777"/>
        </w:tc>
        <w:tc>
          <w:tcPr>
            <w:tcW w:w="4320" w:type="dxa"/>
            <w:tcBorders>
              <w:bottom w:val="single" w:color="auto" w:sz="6" w:space="0"/>
            </w:tcBorders>
          </w:tcPr>
          <w:p w:rsidR="00CB1331" w:rsidP="00080920" w:rsidRDefault="00CB1331" w14:paraId="20EC5453" w14:textId="77777777">
            <w:pPr>
              <w:jc w:val="center"/>
            </w:pPr>
          </w:p>
          <w:p w:rsidRPr="00B82EAC" w:rsidR="00CB1331" w:rsidP="00080920" w:rsidRDefault="00E77306" w14:paraId="256BB977" w14:textId="6EE43170">
            <w:pPr>
              <w:jc w:val="center"/>
            </w:pPr>
            <w:r>
              <w:t xml:space="preserve">/s/  </w:t>
            </w:r>
            <w:r w:rsidRPr="00E77306">
              <w:t>RACHEL PETERSON</w:t>
            </w:r>
          </w:p>
        </w:tc>
      </w:tr>
      <w:tr w:rsidRPr="006B5C99" w:rsidR="00CB1331" w:rsidTr="00080920" w14:paraId="78088F61" w14:textId="77777777">
        <w:tc>
          <w:tcPr>
            <w:tcW w:w="4320" w:type="dxa"/>
          </w:tcPr>
          <w:p w:rsidRPr="002734E3" w:rsidR="00CB1331" w:rsidP="00080920" w:rsidRDefault="00CB1331" w14:paraId="6DB27942" w14:textId="77777777">
            <w:pPr>
              <w:pStyle w:val="Box"/>
              <w:numPr>
                <w:ilvl w:val="0"/>
                <w:numId w:val="0"/>
              </w:numPr>
              <w:spacing w:after="0"/>
              <w:ind w:left="288" w:hanging="288"/>
            </w:pPr>
          </w:p>
        </w:tc>
        <w:tc>
          <w:tcPr>
            <w:tcW w:w="720" w:type="dxa"/>
          </w:tcPr>
          <w:p w:rsidRPr="002734E3" w:rsidR="00CB1331" w:rsidP="00080920" w:rsidRDefault="00CB1331" w14:paraId="72E2DA00" w14:textId="77777777"/>
        </w:tc>
        <w:tc>
          <w:tcPr>
            <w:tcW w:w="4320" w:type="dxa"/>
          </w:tcPr>
          <w:p w:rsidRPr="00B82EAC" w:rsidR="00CB1331" w:rsidP="00080920" w:rsidRDefault="00CB1331" w14:paraId="03D22A1D" w14:textId="29DBAE79">
            <w:pPr>
              <w:jc w:val="center"/>
            </w:pPr>
            <w:r w:rsidRPr="00D344C7">
              <w:t>Rachel Peterson</w:t>
            </w:r>
          </w:p>
          <w:p w:rsidRPr="00B82EAC" w:rsidR="00CB1331" w:rsidP="00080920" w:rsidRDefault="00CB1331" w14:paraId="30A6549B" w14:textId="5983A780">
            <w:pPr>
              <w:jc w:val="center"/>
            </w:pPr>
            <w:r w:rsidRPr="00D344C7">
              <w:t>Acting Executive Director</w:t>
            </w:r>
          </w:p>
        </w:tc>
      </w:tr>
    </w:tbl>
    <w:p w:rsidR="00EA180E" w:rsidP="00D33A2A" w:rsidRDefault="00EA180E" w14:paraId="21EA4F82" w14:textId="77777777"/>
    <w:sectPr w:rsidR="00EA180E" w:rsidSect="00676BD0">
      <w:headerReference w:type="default" r:id="rId11"/>
      <w:footerReference w:type="default" r:id="rId12"/>
      <w:footerReference w:type="first" r:id="rId13"/>
      <w:endnotePr>
        <w:numFmt w:val="decimal"/>
      </w:endnotePr>
      <w:type w:val="continuous"/>
      <w:pgSz w:w="12240" w:h="15840" w:code="1"/>
      <w:pgMar w:top="1728"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82968" w14:textId="77777777" w:rsidR="003B1A93" w:rsidRDefault="003B1A93">
      <w:pPr>
        <w:spacing w:line="20" w:lineRule="exact"/>
      </w:pPr>
    </w:p>
  </w:endnote>
  <w:endnote w:type="continuationSeparator" w:id="0">
    <w:p w14:paraId="50160608" w14:textId="77777777" w:rsidR="003B1A93" w:rsidRDefault="003B1A93">
      <w:r>
        <w:t xml:space="preserve"> </w:t>
      </w:r>
    </w:p>
  </w:endnote>
  <w:endnote w:type="continuationNotice" w:id="1">
    <w:p w14:paraId="2234D4FE" w14:textId="77777777" w:rsidR="003B1A93" w:rsidRDefault="003B1A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97532" w14:textId="50425275" w:rsidR="00A6736D" w:rsidRPr="00E10520" w:rsidRDefault="008B6E51" w:rsidP="00E10520">
    <w:pPr>
      <w:tabs>
        <w:tab w:val="left" w:pos="600"/>
        <w:tab w:val="center" w:pos="4680"/>
      </w:tabs>
      <w:spacing w:line="360" w:lineRule="auto"/>
      <w:jc w:val="center"/>
      <w:rPr>
        <w:rFonts w:eastAsia="Calibri"/>
        <w:szCs w:val="22"/>
      </w:rPr>
    </w:pPr>
    <w:r>
      <w:noBreakHyphen/>
    </w:r>
    <w:r w:rsidR="00B70BBB">
      <w:t xml:space="preserve"> </w:t>
    </w:r>
    <w:r w:rsidR="00B70BBB">
      <w:fldChar w:fldCharType="begin"/>
    </w:r>
    <w:r w:rsidR="00B70BBB">
      <w:instrText xml:space="preserve"> PAGE   \* MERGEFORMAT </w:instrText>
    </w:r>
    <w:r w:rsidR="00B70BBB">
      <w:fldChar w:fldCharType="separate"/>
    </w:r>
    <w:r w:rsidR="00B70BBB">
      <w:t>2</w:t>
    </w:r>
    <w:r w:rsidR="00B70BBB">
      <w:rPr>
        <w:noProof/>
      </w:rPr>
      <w:fldChar w:fldCharType="end"/>
    </w:r>
    <w:r w:rsidR="00B70BBB">
      <w:rPr>
        <w:noProof/>
      </w:rPr>
      <w:t xml:space="preserve"> </w:t>
    </w:r>
    <w:r>
      <w:rPr>
        <w:noProof/>
      </w:rPr>
      <w:noBreak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F3AC2" w14:textId="774A1FED" w:rsidR="001D50A6" w:rsidRPr="00E10520" w:rsidRDefault="001B392C" w:rsidP="00E10520">
    <w:pPr>
      <w:pStyle w:val="Footer"/>
      <w:tabs>
        <w:tab w:val="clear" w:pos="4320"/>
        <w:tab w:val="clear" w:pos="8640"/>
        <w:tab w:val="center" w:pos="4680"/>
        <w:tab w:val="right" w:pos="9360"/>
      </w:tabs>
      <w:rPr>
        <w:rFonts w:eastAsia="Calibri"/>
        <w:szCs w:val="22"/>
      </w:rPr>
    </w:pPr>
    <w:r w:rsidRPr="001B392C">
      <w:rPr>
        <w:sz w:val="16"/>
      </w:rPr>
      <w:t>352989628</w:t>
    </w:r>
    <w:r w:rsidR="00A6736D">
      <w:rPr>
        <w:sz w:val="16"/>
      </w:rPr>
      <w:tab/>
    </w:r>
    <w:bookmarkStart w:id="8" w:name="_Hlk43888075"/>
    <w:r w:rsidR="008B6E51">
      <w:rPr>
        <w:szCs w:val="26"/>
      </w:rPr>
      <w:noBreakHyphen/>
    </w:r>
    <w:r w:rsidR="00B70BBB" w:rsidRPr="009660A9">
      <w:rPr>
        <w:szCs w:val="26"/>
      </w:rPr>
      <w:t xml:space="preserve"> 1 </w:t>
    </w:r>
    <w:r w:rsidR="008B6E51">
      <w:rPr>
        <w:szCs w:val="26"/>
      </w:rPr>
      <w:noBreakHyphen/>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230F1" w14:textId="77777777" w:rsidR="003B1A93" w:rsidRDefault="003B1A93">
      <w:r>
        <w:separator/>
      </w:r>
    </w:p>
  </w:footnote>
  <w:footnote w:type="continuationSeparator" w:id="0">
    <w:p w14:paraId="21D95C2E" w14:textId="77777777" w:rsidR="003B1A93" w:rsidRDefault="003B1A93">
      <w:r>
        <w:continuationSeparator/>
      </w:r>
    </w:p>
  </w:footnote>
  <w:footnote w:id="1">
    <w:p w14:paraId="6E6C42BF" w14:textId="00D4896B" w:rsidR="0032779E" w:rsidRPr="00E10520" w:rsidRDefault="0032779E" w:rsidP="00250C88">
      <w:pPr>
        <w:pStyle w:val="FootnoteText"/>
      </w:pPr>
      <w:r w:rsidRPr="00E10520">
        <w:rPr>
          <w:vertAlign w:val="superscript"/>
        </w:rPr>
        <w:footnoteRef/>
      </w:r>
      <w:r w:rsidRPr="00E10520">
        <w:t xml:space="preserve"> </w:t>
      </w:r>
      <w:r w:rsidR="00A74673">
        <w:t xml:space="preserve"> </w:t>
      </w:r>
      <w:r w:rsidRPr="00E10520">
        <w:t>D</w:t>
      </w:r>
      <w:bookmarkStart w:id="1" w:name="_Hlk50128561"/>
      <w:r w:rsidR="00417AD7">
        <w:t>ecision </w:t>
      </w:r>
      <w:r w:rsidR="00C000F6" w:rsidRPr="00E10520">
        <w:t>20</w:t>
      </w:r>
      <w:r w:rsidR="008B6E51">
        <w:noBreakHyphen/>
      </w:r>
      <w:r w:rsidR="00DE589B">
        <w:t>10</w:t>
      </w:r>
      <w:r w:rsidR="008B6E51">
        <w:noBreakHyphen/>
      </w:r>
      <w:r w:rsidR="00C000F6" w:rsidRPr="00E10520">
        <w:t>0</w:t>
      </w:r>
      <w:r w:rsidR="00DE589B">
        <w:t>03</w:t>
      </w:r>
      <w:r w:rsidRPr="00E10520">
        <w:t xml:space="preserve"> </w:t>
      </w:r>
      <w:bookmarkEnd w:id="1"/>
      <w:r w:rsidRPr="00E10520">
        <w:t xml:space="preserve">is available on the Commission’s </w:t>
      </w:r>
      <w:r w:rsidRPr="00250C88">
        <w:t>website</w:t>
      </w:r>
      <w:r w:rsidRPr="00E10520">
        <w:t xml:space="preserve"> at: </w:t>
      </w:r>
      <w:hyperlink r:id="rId1" w:history="1">
        <w:r w:rsidR="00417AD7" w:rsidRPr="00DE5142">
          <w:rPr>
            <w:rStyle w:val="Hyperlink"/>
            <w:rFonts w:cs="Calibri"/>
            <w:szCs w:val="22"/>
          </w:rPr>
          <w:t>https://docs.cpuc.ca.gov/SearchRes.aspx?DocFormat=ALL&amp;DocID=348578954</w:t>
        </w:r>
      </w:hyperlink>
      <w:r w:rsidR="00DE589B">
        <w:t>.</w:t>
      </w:r>
    </w:p>
  </w:footnote>
  <w:footnote w:id="2">
    <w:p w14:paraId="4A498429" w14:textId="4076CC34" w:rsidR="008C5A67" w:rsidRPr="00E10520" w:rsidRDefault="008C5A67" w:rsidP="00250C88">
      <w:pPr>
        <w:pStyle w:val="FootnoteText"/>
      </w:pPr>
      <w:r w:rsidRPr="00E10520">
        <w:rPr>
          <w:vertAlign w:val="superscript"/>
        </w:rPr>
        <w:footnoteRef/>
      </w:r>
      <w:r w:rsidRPr="00E10520">
        <w:t xml:space="preserve"> </w:t>
      </w:r>
      <w:r w:rsidR="00A74673">
        <w:t xml:space="preserve"> </w:t>
      </w:r>
      <w:r w:rsidRPr="00E10520">
        <w:t>Resolution</w:t>
      </w:r>
      <w:r w:rsidR="00417AD7">
        <w:t> </w:t>
      </w:r>
      <w:r w:rsidRPr="00E10520">
        <w:t>A</w:t>
      </w:r>
      <w:r w:rsidR="008B6E51">
        <w:noBreakHyphen/>
      </w:r>
      <w:r w:rsidRPr="00E10520">
        <w:t xml:space="preserve">4661 is available on the Commission’s </w:t>
      </w:r>
      <w:r w:rsidRPr="00250C88">
        <w:t>website</w:t>
      </w:r>
      <w:r w:rsidRPr="00E10520">
        <w:t xml:space="preserve"> at: </w:t>
      </w:r>
      <w:hyperlink r:id="rId2" w:history="1">
        <w:r w:rsidRPr="00417AD7">
          <w:rPr>
            <w:rStyle w:val="Hyperlink"/>
            <w:rFonts w:cs="Calibri"/>
            <w:szCs w:val="22"/>
          </w:rPr>
          <w:t>https://docs.cpuc.ca.gov/PublishedDocs/PUBLISHED/FINAL_RESOLUTION/96168.htm</w:t>
        </w:r>
      </w:hyperlink>
      <w:r w:rsidR="00CB5CDF" w:rsidRPr="00E1052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0F2C4" w14:textId="5627AE89" w:rsidR="00B70BBB" w:rsidRPr="00D57EF8" w:rsidRDefault="00EB220B">
    <w:pPr>
      <w:pStyle w:val="Header"/>
      <w:rPr>
        <w:rFonts w:cs="Calibri"/>
        <w:szCs w:val="26"/>
      </w:rPr>
    </w:pPr>
    <w:r>
      <w:rPr>
        <w:rFonts w:cs="Calibri"/>
        <w:szCs w:val="26"/>
      </w:rPr>
      <w:t>A</w:t>
    </w:r>
    <w:r w:rsidR="00B70BBB" w:rsidRPr="00D57EF8">
      <w:rPr>
        <w:rFonts w:cs="Calibri"/>
        <w:szCs w:val="26"/>
      </w:rPr>
      <w:t>.1</w:t>
    </w:r>
    <w:r>
      <w:rPr>
        <w:rFonts w:cs="Calibri"/>
        <w:szCs w:val="26"/>
      </w:rPr>
      <w:t>9</w:t>
    </w:r>
    <w:r w:rsidR="008B6E51">
      <w:rPr>
        <w:rFonts w:cs="Calibri"/>
        <w:szCs w:val="26"/>
      </w:rPr>
      <w:noBreakHyphen/>
    </w:r>
    <w:r w:rsidR="00B70BBB" w:rsidRPr="00D57EF8">
      <w:rPr>
        <w:rFonts w:cs="Calibri"/>
        <w:szCs w:val="26"/>
      </w:rPr>
      <w:t>0</w:t>
    </w:r>
    <w:r>
      <w:rPr>
        <w:rFonts w:cs="Calibri"/>
        <w:szCs w:val="26"/>
      </w:rPr>
      <w:t>7</w:t>
    </w:r>
    <w:r w:rsidR="008B6E51">
      <w:rPr>
        <w:rFonts w:cs="Calibri"/>
        <w:szCs w:val="26"/>
      </w:rPr>
      <w:noBreakHyphen/>
    </w:r>
    <w:r w:rsidR="00B70BBB" w:rsidRPr="00D57EF8">
      <w:rPr>
        <w:rFonts w:cs="Calibri"/>
        <w:szCs w:val="26"/>
      </w:rPr>
      <w:t xml:space="preserve">019  </w:t>
    </w:r>
    <w:r w:rsidR="00676BD0">
      <w:rPr>
        <w:rFonts w:cs="Calibri"/>
        <w:szCs w:val="26"/>
      </w:rPr>
      <w:t>ALJ/</w:t>
    </w:r>
    <w:r w:rsidR="00676BD0" w:rsidRPr="00E10520">
      <w:rPr>
        <w:rFonts w:cs="Calibri"/>
        <w:szCs w:val="26"/>
      </w:rPr>
      <w:t>RMD/</w:t>
    </w:r>
    <w:r w:rsidR="00676BD0">
      <w:rPr>
        <w:rFonts w:cs="Calibri"/>
        <w:szCs w:val="26"/>
      </w:rPr>
      <w:t>nd3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C1C14"/>
    <w:multiLevelType w:val="multilevel"/>
    <w:tmpl w:val="18F4A5AC"/>
    <w:styleLink w:val="FoFCoLOP"/>
    <w:lvl w:ilvl="0">
      <w:start w:val="1"/>
      <w:numFmt w:val="decimal"/>
      <w:lvlText w:val="%1."/>
      <w:lvlJc w:val="right"/>
      <w:pPr>
        <w:ind w:left="-27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 w15:restartNumberingAfterBreak="0">
    <w:nsid w:val="153546B1"/>
    <w:multiLevelType w:val="multilevel"/>
    <w:tmpl w:val="7DCC9AFA"/>
    <w:lvl w:ilvl="0">
      <w:start w:val="4"/>
      <w:numFmt w:val="decimal"/>
      <w:pStyle w:val="OP"/>
      <w:lvlText w:val="%1."/>
      <w:lvlJc w:val="left"/>
      <w:pPr>
        <w:ind w:left="420" w:hanging="420"/>
      </w:pPr>
      <w:rPr>
        <w:rFonts w:hint="default"/>
      </w:rPr>
    </w:lvl>
    <w:lvl w:ilvl="1">
      <w:start w:val="1"/>
      <w:numFmt w:val="decimal"/>
      <w:lvlText w:val="%2."/>
      <w:lvlJc w:val="left"/>
      <w:pPr>
        <w:ind w:left="1350" w:hanging="720"/>
      </w:pPr>
      <w:rPr>
        <w:rFonts w:ascii="Book Antiqua" w:eastAsiaTheme="minorHAnsi" w:hAnsi="Book Antiqua" w:cstheme="minorBidi"/>
      </w:rPr>
    </w:lvl>
    <w:lvl w:ilvl="2">
      <w:start w:val="1"/>
      <w:numFmt w:val="decimalZero"/>
      <w:lvlText w:val="%1.%2.%3."/>
      <w:lvlJc w:val="left"/>
      <w:pPr>
        <w:ind w:left="1980" w:hanging="720"/>
      </w:pPr>
      <w:rPr>
        <w:rFonts w:hint="default"/>
      </w:rPr>
    </w:lvl>
    <w:lvl w:ilvl="3">
      <w:start w:val="1"/>
      <w:numFmt w:val="decimalZero"/>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15:restartNumberingAfterBreak="0">
    <w:nsid w:val="1EB13304"/>
    <w:multiLevelType w:val="hybridMultilevel"/>
    <w:tmpl w:val="A76A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B64647"/>
    <w:multiLevelType w:val="multilevel"/>
    <w:tmpl w:val="AF388B78"/>
    <w:lvl w:ilvl="0">
      <w:start w:val="1"/>
      <w:numFmt w:val="decimal"/>
      <w:pStyle w:val="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7B0CB6"/>
    <w:multiLevelType w:val="hybridMultilevel"/>
    <w:tmpl w:val="9B36E4CC"/>
    <w:lvl w:ilvl="0" w:tplc="19C6044E">
      <w:start w:val="1"/>
      <w:numFmt w:val="decimal"/>
      <w:lvlText w:val="%1."/>
      <w:lvlJc w:val="right"/>
      <w:pPr>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CD42DE"/>
    <w:multiLevelType w:val="hybridMultilevel"/>
    <w:tmpl w:val="7E3AE1AA"/>
    <w:lvl w:ilvl="0" w:tplc="EAB00580">
      <w:start w:val="1"/>
      <w:numFmt w:val="decimal"/>
      <w:pStyle w:val="OPCorrected"/>
      <w:lvlText w:val="%1."/>
      <w:lvlJc w:val="left"/>
      <w:pPr>
        <w:ind w:left="720" w:firstLine="274"/>
      </w:pPr>
      <w:rPr>
        <w:rFonts w:hint="default"/>
        <w:u w:val="single"/>
      </w:rPr>
    </w:lvl>
    <w:lvl w:ilvl="1" w:tplc="0262B672">
      <w:start w:val="1"/>
      <w:numFmt w:val="lowerLetter"/>
      <w:lvlText w:val="(%2)"/>
      <w:lvlJc w:val="left"/>
      <w:pPr>
        <w:ind w:left="1987" w:hanging="547"/>
      </w:pPr>
      <w:rPr>
        <w:rFonts w:ascii="Book Antiqua" w:hAnsi="Book Antiqua" w:hint="default"/>
        <w:sz w:val="2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9A0AFE"/>
    <w:multiLevelType w:val="multilevel"/>
    <w:tmpl w:val="18F4A5AC"/>
    <w:numStyleLink w:val="FoFCoLOP"/>
  </w:abstractNum>
  <w:num w:numId="1">
    <w:abstractNumId w:val="4"/>
  </w:num>
  <w:num w:numId="2">
    <w:abstractNumId w:val="2"/>
  </w:num>
  <w:num w:numId="3">
    <w:abstractNumId w:val="0"/>
  </w:num>
  <w:num w:numId="4">
    <w:abstractNumId w:val="6"/>
    <w:lvlOverride w:ilvl="0">
      <w:lvl w:ilvl="0">
        <w:start w:val="1"/>
        <w:numFmt w:val="decimal"/>
        <w:lvlText w:val="%1."/>
        <w:lvlJc w:val="right"/>
        <w:pPr>
          <w:ind w:left="-270" w:firstLine="540"/>
        </w:pPr>
        <w:rPr>
          <w:rFonts w:hint="default"/>
          <w:u w:val="single"/>
        </w:rPr>
      </w:lvl>
    </w:lvlOverride>
  </w:num>
  <w:num w:numId="5">
    <w:abstractNumId w:val="1"/>
  </w:num>
  <w:num w:numId="6">
    <w:abstractNumId w:val="5"/>
  </w:num>
  <w:num w:numId="7">
    <w:abstractNumId w:val="1"/>
  </w:num>
  <w:num w:numId="8">
    <w:abstractNumId w:val="1"/>
  </w:num>
  <w:num w:numId="9">
    <w:abstractNumId w:val="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A6"/>
    <w:rsid w:val="0000314A"/>
    <w:rsid w:val="000A3CD4"/>
    <w:rsid w:val="000C0847"/>
    <w:rsid w:val="00120F22"/>
    <w:rsid w:val="0013343C"/>
    <w:rsid w:val="00165A89"/>
    <w:rsid w:val="00190399"/>
    <w:rsid w:val="00192A9F"/>
    <w:rsid w:val="001B392C"/>
    <w:rsid w:val="001D1988"/>
    <w:rsid w:val="001D4495"/>
    <w:rsid w:val="001D50A6"/>
    <w:rsid w:val="001E239A"/>
    <w:rsid w:val="00203C8C"/>
    <w:rsid w:val="00250C88"/>
    <w:rsid w:val="002569C6"/>
    <w:rsid w:val="0029058F"/>
    <w:rsid w:val="002C7E28"/>
    <w:rsid w:val="00316625"/>
    <w:rsid w:val="0032779E"/>
    <w:rsid w:val="00347167"/>
    <w:rsid w:val="003B1A93"/>
    <w:rsid w:val="003C7BEF"/>
    <w:rsid w:val="003D3232"/>
    <w:rsid w:val="003E7EAF"/>
    <w:rsid w:val="004014FD"/>
    <w:rsid w:val="0040628B"/>
    <w:rsid w:val="00417AD7"/>
    <w:rsid w:val="00424671"/>
    <w:rsid w:val="0043386C"/>
    <w:rsid w:val="0044034D"/>
    <w:rsid w:val="00450E69"/>
    <w:rsid w:val="00461BD6"/>
    <w:rsid w:val="00477F07"/>
    <w:rsid w:val="004B7632"/>
    <w:rsid w:val="004C44CD"/>
    <w:rsid w:val="004D0E60"/>
    <w:rsid w:val="00501D65"/>
    <w:rsid w:val="00557BE6"/>
    <w:rsid w:val="00574B16"/>
    <w:rsid w:val="0058421D"/>
    <w:rsid w:val="005861EF"/>
    <w:rsid w:val="005B5821"/>
    <w:rsid w:val="005C6CD0"/>
    <w:rsid w:val="005F5324"/>
    <w:rsid w:val="00606193"/>
    <w:rsid w:val="00612A66"/>
    <w:rsid w:val="00622919"/>
    <w:rsid w:val="00676BD0"/>
    <w:rsid w:val="00683E12"/>
    <w:rsid w:val="00697081"/>
    <w:rsid w:val="006A58B0"/>
    <w:rsid w:val="006A65AD"/>
    <w:rsid w:val="006E6286"/>
    <w:rsid w:val="00727D44"/>
    <w:rsid w:val="00777294"/>
    <w:rsid w:val="007A1138"/>
    <w:rsid w:val="007D5B2B"/>
    <w:rsid w:val="007E10EB"/>
    <w:rsid w:val="00830C19"/>
    <w:rsid w:val="008416B6"/>
    <w:rsid w:val="00851186"/>
    <w:rsid w:val="00895D79"/>
    <w:rsid w:val="008B6E51"/>
    <w:rsid w:val="008C5A67"/>
    <w:rsid w:val="00926CD9"/>
    <w:rsid w:val="00954C0C"/>
    <w:rsid w:val="009A35BA"/>
    <w:rsid w:val="009C0743"/>
    <w:rsid w:val="009F160F"/>
    <w:rsid w:val="00A01A75"/>
    <w:rsid w:val="00A0427E"/>
    <w:rsid w:val="00A30076"/>
    <w:rsid w:val="00A4099B"/>
    <w:rsid w:val="00A54663"/>
    <w:rsid w:val="00A6736D"/>
    <w:rsid w:val="00A74673"/>
    <w:rsid w:val="00AF2A4C"/>
    <w:rsid w:val="00B04ADC"/>
    <w:rsid w:val="00B06EB2"/>
    <w:rsid w:val="00B151C3"/>
    <w:rsid w:val="00B70BBB"/>
    <w:rsid w:val="00BA1026"/>
    <w:rsid w:val="00BA5090"/>
    <w:rsid w:val="00BD61A2"/>
    <w:rsid w:val="00C000F6"/>
    <w:rsid w:val="00C27AFC"/>
    <w:rsid w:val="00C7231D"/>
    <w:rsid w:val="00C74ECA"/>
    <w:rsid w:val="00C94EC9"/>
    <w:rsid w:val="00CB1331"/>
    <w:rsid w:val="00CB5CDF"/>
    <w:rsid w:val="00CC06A8"/>
    <w:rsid w:val="00CC4757"/>
    <w:rsid w:val="00D30A94"/>
    <w:rsid w:val="00D33A2A"/>
    <w:rsid w:val="00D344C7"/>
    <w:rsid w:val="00D43505"/>
    <w:rsid w:val="00D44ECF"/>
    <w:rsid w:val="00D57EF8"/>
    <w:rsid w:val="00D9480E"/>
    <w:rsid w:val="00DB09B4"/>
    <w:rsid w:val="00DB4CCB"/>
    <w:rsid w:val="00DE589B"/>
    <w:rsid w:val="00E10520"/>
    <w:rsid w:val="00E14FD8"/>
    <w:rsid w:val="00E55B72"/>
    <w:rsid w:val="00E62ED2"/>
    <w:rsid w:val="00E7039B"/>
    <w:rsid w:val="00E77306"/>
    <w:rsid w:val="00E8617F"/>
    <w:rsid w:val="00EA180E"/>
    <w:rsid w:val="00EB220B"/>
    <w:rsid w:val="00F2313F"/>
    <w:rsid w:val="00F70F31"/>
    <w:rsid w:val="00F926CF"/>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503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2A"/>
    <w:rPr>
      <w:rFonts w:ascii="Book Antiqua" w:hAnsi="Book Antiqu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rsid w:val="00250C88"/>
    <w:pPr>
      <w:spacing w:after="120"/>
    </w:pPr>
    <w:rPr>
      <w:sz w:val="22"/>
    </w:rPr>
  </w:style>
  <w:style w:type="character" w:styleId="FootnoteReference">
    <w:name w:val="footnote reference"/>
    <w:semiHidden/>
    <w:rPr>
      <w:vertAlign w:val="superscript"/>
    </w:rPr>
  </w:style>
  <w:style w:type="paragraph" w:customStyle="1" w:styleId="mainex">
    <w:name w:val="mainex"/>
    <w:basedOn w:val="main"/>
    <w:rPr>
      <w:spacing w:val="120"/>
    </w:rPr>
  </w:style>
  <w:style w:type="paragraph" w:customStyle="1" w:styleId="letter">
    <w:name w:val="letter"/>
    <w:basedOn w:val="standard"/>
    <w:pPr>
      <w:spacing w:after="120" w:line="240" w:lineRule="auto"/>
      <w:ind w:left="1886" w:right="1440" w:hanging="446"/>
    </w:pPr>
  </w:style>
  <w:style w:type="paragraph" w:customStyle="1" w:styleId="heading">
    <w:name w:val="heading"/>
    <w:basedOn w:val="Normal"/>
    <w:pPr>
      <w:keepNext/>
      <w:suppressAutoHyphens/>
      <w:spacing w:line="360" w:lineRule="auto"/>
    </w:pPr>
    <w:rPr>
      <w:rFonts w:ascii="Helvetica" w:hAnsi="Helvetica"/>
      <w:b/>
    </w:rPr>
  </w:style>
  <w:style w:type="paragraph" w:customStyle="1" w:styleId="standard">
    <w:name w:val="standard"/>
    <w:basedOn w:val="Normal"/>
    <w:pPr>
      <w:suppressAutoHyphens/>
      <w:spacing w:line="360" w:lineRule="auto"/>
      <w:ind w:firstLine="720"/>
    </w:pPr>
  </w:style>
  <w:style w:type="paragraph" w:customStyle="1" w:styleId="Quote1">
    <w:name w:val="Quote1"/>
    <w:basedOn w:val="Normal"/>
    <w:pPr>
      <w:tabs>
        <w:tab w:val="left" w:pos="-720"/>
      </w:tabs>
      <w:suppressAutoHyphens/>
      <w:ind w:left="1440" w:right="1440"/>
    </w:pPr>
  </w:style>
  <w:style w:type="paragraph" w:styleId="Footer">
    <w:name w:val="footer"/>
    <w:basedOn w:val="Normal"/>
    <w:link w:val="FooterChar"/>
    <w:uiPriority w:val="99"/>
    <w:pPr>
      <w:tabs>
        <w:tab w:val="center" w:pos="4320"/>
        <w:tab w:val="right" w:pos="8640"/>
      </w:tabs>
    </w:pPr>
  </w:style>
  <w:style w:type="paragraph" w:customStyle="1" w:styleId="num1">
    <w:name w:val="num1"/>
    <w:basedOn w:val="standard"/>
    <w:pPr>
      <w:ind w:firstLine="360"/>
    </w:pPr>
  </w:style>
  <w:style w:type="paragraph" w:styleId="Header">
    <w:name w:val="header"/>
    <w:basedOn w:val="Normal"/>
    <w:pPr>
      <w:tabs>
        <w:tab w:val="center" w:pos="4320"/>
        <w:tab w:val="right" w:pos="8640"/>
      </w:tabs>
    </w:pPr>
  </w:style>
  <w:style w:type="character" w:styleId="PageNumber">
    <w:name w:val="page number"/>
    <w:rPr>
      <w:rFonts w:ascii="Palatino" w:hAnsi="Palatino"/>
      <w:sz w:val="24"/>
    </w:rPr>
  </w:style>
  <w:style w:type="paragraph" w:customStyle="1" w:styleId="main">
    <w:name w:val="main"/>
    <w:basedOn w:val="Normal"/>
    <w:rsid w:val="001B392C"/>
    <w:pPr>
      <w:keepNext/>
      <w:suppressAutoHyphens/>
      <w:spacing w:line="360" w:lineRule="auto"/>
      <w:jc w:val="center"/>
    </w:pPr>
    <w:rPr>
      <w:rFonts w:ascii="Arial" w:hAnsi="Arial"/>
      <w:b/>
    </w:rPr>
  </w:style>
  <w:style w:type="paragraph" w:customStyle="1" w:styleId="num2">
    <w:name w:val="num2"/>
    <w:basedOn w:val="num1"/>
    <w:pPr>
      <w:ind w:firstLine="900"/>
    </w:pPr>
  </w:style>
  <w:style w:type="paragraph" w:customStyle="1" w:styleId="indent">
    <w:name w:val="indent"/>
    <w:basedOn w:val="Normal"/>
    <w:pPr>
      <w:spacing w:line="360" w:lineRule="auto"/>
      <w:ind w:firstLine="994"/>
    </w:pPr>
  </w:style>
  <w:style w:type="character" w:styleId="Hyperlink">
    <w:name w:val="Hyperlink"/>
    <w:uiPriority w:val="99"/>
    <w:rsid w:val="0032779E"/>
    <w:rPr>
      <w:color w:val="0563C1"/>
      <w:u w:val="single"/>
    </w:rPr>
  </w:style>
  <w:style w:type="character" w:styleId="UnresolvedMention">
    <w:name w:val="Unresolved Mention"/>
    <w:uiPriority w:val="99"/>
    <w:semiHidden/>
    <w:unhideWhenUsed/>
    <w:rsid w:val="0032779E"/>
    <w:rPr>
      <w:color w:val="605E5C"/>
      <w:shd w:val="clear" w:color="auto" w:fill="E1DFDD"/>
    </w:rPr>
  </w:style>
  <w:style w:type="paragraph" w:styleId="BalloonText">
    <w:name w:val="Balloon Text"/>
    <w:basedOn w:val="Normal"/>
    <w:link w:val="BalloonTextChar"/>
    <w:rsid w:val="00895D79"/>
    <w:rPr>
      <w:rFonts w:ascii="Segoe UI" w:hAnsi="Segoe UI" w:cs="Segoe UI"/>
      <w:sz w:val="18"/>
      <w:szCs w:val="18"/>
    </w:rPr>
  </w:style>
  <w:style w:type="character" w:customStyle="1" w:styleId="BalloonTextChar">
    <w:name w:val="Balloon Text Char"/>
    <w:link w:val="BalloonText"/>
    <w:rsid w:val="00895D79"/>
    <w:rPr>
      <w:rFonts w:ascii="Segoe UI" w:hAnsi="Segoe UI" w:cs="Segoe UI"/>
      <w:sz w:val="18"/>
      <w:szCs w:val="18"/>
    </w:rPr>
  </w:style>
  <w:style w:type="character" w:customStyle="1" w:styleId="FooterChar">
    <w:name w:val="Footer Char"/>
    <w:link w:val="Footer"/>
    <w:uiPriority w:val="99"/>
    <w:rsid w:val="00B70BBB"/>
    <w:rPr>
      <w:rFonts w:ascii="Palatino" w:hAnsi="Palatino"/>
      <w:sz w:val="26"/>
    </w:rPr>
  </w:style>
  <w:style w:type="numbering" w:customStyle="1" w:styleId="FoFCoLOP">
    <w:name w:val="FoF/CoL/OP"/>
    <w:uiPriority w:val="99"/>
    <w:rsid w:val="0043386C"/>
    <w:pPr>
      <w:numPr>
        <w:numId w:val="3"/>
      </w:numPr>
    </w:pPr>
  </w:style>
  <w:style w:type="paragraph" w:styleId="ListParagraph">
    <w:name w:val="List Paragraph"/>
    <w:basedOn w:val="Normal"/>
    <w:uiPriority w:val="34"/>
    <w:qFormat/>
    <w:rsid w:val="00250C88"/>
    <w:pPr>
      <w:ind w:left="720"/>
      <w:contextualSpacing/>
    </w:pPr>
  </w:style>
  <w:style w:type="paragraph" w:customStyle="1" w:styleId="OP">
    <w:name w:val="OP"/>
    <w:basedOn w:val="standard"/>
    <w:uiPriority w:val="8"/>
    <w:qFormat/>
    <w:rsid w:val="00BD61A2"/>
    <w:pPr>
      <w:numPr>
        <w:numId w:val="5"/>
      </w:numPr>
      <w:suppressAutoHyphens w:val="0"/>
    </w:pPr>
    <w:rPr>
      <w:rFonts w:eastAsiaTheme="minorHAnsi" w:cstheme="minorBidi"/>
      <w:szCs w:val="22"/>
    </w:rPr>
  </w:style>
  <w:style w:type="paragraph" w:customStyle="1" w:styleId="Box">
    <w:name w:val="Box"/>
    <w:basedOn w:val="Normal"/>
    <w:qFormat/>
    <w:rsid w:val="00CB1331"/>
    <w:pPr>
      <w:numPr>
        <w:numId w:val="9"/>
      </w:numPr>
      <w:spacing w:after="240"/>
      <w:ind w:left="288" w:hanging="288"/>
      <w:contextualSpacing/>
    </w:pPr>
    <w:rPr>
      <w:rFonts w:ascii="Times New Roman" w:eastAsiaTheme="minorHAnsi" w:hAnsi="Times New Roman" w:cstheme="minorBidi"/>
      <w:sz w:val="24"/>
      <w:szCs w:val="22"/>
    </w:rPr>
  </w:style>
  <w:style w:type="character" w:styleId="FollowedHyperlink">
    <w:name w:val="FollowedHyperlink"/>
    <w:basedOn w:val="DefaultParagraphFont"/>
    <w:rsid w:val="00250C88"/>
    <w:rPr>
      <w:color w:val="954F72" w:themeColor="followedHyperlink"/>
      <w:u w:val="single"/>
    </w:rPr>
  </w:style>
  <w:style w:type="paragraph" w:customStyle="1" w:styleId="OPCorrected">
    <w:name w:val="OPCorrected"/>
    <w:basedOn w:val="ListParagraph"/>
    <w:qFormat/>
    <w:rsid w:val="00683E12"/>
    <w:pPr>
      <w:numPr>
        <w:numId w:val="6"/>
      </w:numPr>
      <w:spacing w:after="120"/>
      <w:ind w:right="1080"/>
      <w:contextualSpacing w:val="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35246">
      <w:bodyDiv w:val="1"/>
      <w:marLeft w:val="0"/>
      <w:marRight w:val="0"/>
      <w:marTop w:val="0"/>
      <w:marBottom w:val="0"/>
      <w:divBdr>
        <w:top w:val="none" w:sz="0" w:space="0" w:color="auto"/>
        <w:left w:val="none" w:sz="0" w:space="0" w:color="auto"/>
        <w:bottom w:val="none" w:sz="0" w:space="0" w:color="auto"/>
        <w:right w:val="none" w:sz="0" w:space="0" w:color="auto"/>
      </w:divBdr>
    </w:div>
    <w:div w:id="14596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cpuc.ca.gov/PublishedDocs/PUBLISHED/FINAL_RESOLUTION/96168.htm" TargetMode="External"/><Relationship Id="rId1" Type="http://schemas.openxmlformats.org/officeDocument/2006/relationships/hyperlink" Target="https://docs.cpuc.ca.gov/SearchRes.aspx?DocFormat=ALL&amp;DocID=348578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E486276A66E488F7A8C9BD421EDD7" ma:contentTypeVersion="12" ma:contentTypeDescription="Create a new document." ma:contentTypeScope="" ma:versionID="c3fed3c3d0fbd7c3efaf280b6150122a">
  <xsd:schema xmlns:xsd="http://www.w3.org/2001/XMLSchema" xmlns:xs="http://www.w3.org/2001/XMLSchema" xmlns:p="http://schemas.microsoft.com/office/2006/metadata/properties" xmlns:ns2="0b804340-ecaf-43a6-b200-b4f57a6cb633" xmlns:ns3="8ee125a9-f594-4116-9034-99181c55df1c" targetNamespace="http://schemas.microsoft.com/office/2006/metadata/properties" ma:root="true" ma:fieldsID="5b5cd86073f3e16cedb70cc00c6608b3" ns2:_="" ns3:_="">
    <xsd:import namespace="0b804340-ecaf-43a6-b200-b4f57a6cb633"/>
    <xsd:import namespace="8ee125a9-f594-4116-9034-99181c55df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4340-ecaf-43a6-b200-b4f57a6cb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125a9-f594-4116-9034-99181c55df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6E99F-A946-4199-921D-E69CDC407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4340-ecaf-43a6-b200-b4f57a6cb633"/>
    <ds:schemaRef ds:uri="8ee125a9-f594-4116-9034-99181c55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C924B-8DC8-48E4-AE49-02506CD34514}">
  <ds:schemaRefs>
    <ds:schemaRef ds:uri="http://schemas.openxmlformats.org/officeDocument/2006/bibliography"/>
  </ds:schemaRefs>
</ds:datastoreItem>
</file>

<file path=customXml/itemProps3.xml><?xml version="1.0" encoding="utf-8"?>
<ds:datastoreItem xmlns:ds="http://schemas.openxmlformats.org/officeDocument/2006/customXml" ds:itemID="{018668A1-A141-4E89-A8E1-D8DE040DA1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E230F8-0C58-4C38-8EC6-209F13309A3C}">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985</ap:Words>
  <ap:Characters>5617</ap:Characters>
  <ap:Application>Microsoft Office Word</ap:Application>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6589</ap:CharactersWithSpaces>
  <ap:SharedDoc>false</ap:SharedDoc>
  <ap:HLinks>
    <vt:vector baseType="variant" size="12">
      <vt:variant>
        <vt:i4>4063239</vt:i4>
      </vt:variant>
      <vt:variant>
        <vt:i4>3</vt:i4>
      </vt:variant>
      <vt:variant>
        <vt:i4>0</vt:i4>
      </vt:variant>
      <vt:variant>
        <vt:i4>5</vt:i4>
      </vt:variant>
      <vt:variant>
        <vt:lpwstr>https://docs.cpuc.ca.gov/PublishedDocs/PUBLISHED/FINAL_RESOLUTION/96168.htm</vt:lpwstr>
      </vt:variant>
      <vt:variant>
        <vt:lpwstr/>
      </vt:variant>
      <vt:variant>
        <vt:i4>5046367</vt:i4>
      </vt:variant>
      <vt:variant>
        <vt:i4>0</vt:i4>
      </vt:variant>
      <vt:variant>
        <vt:i4>0</vt:i4>
      </vt:variant>
      <vt:variant>
        <vt:i4>5</vt:i4>
      </vt:variant>
      <vt:variant>
        <vt:lpwstr>https://docs.cpuc.ca.gov/SearchRes.aspx?docformat=ALL&amp;docid=346285534</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2007-03-19T16:51:00Z</cp:lastPrinted>
  <dcterms:created xsi:type="dcterms:W3CDTF">2020-12-03T08:52:07Z</dcterms:created>
  <dcterms:modified xsi:type="dcterms:W3CDTF">2020-12-03T08:52:07Z</dcterms:modified>
</cp:coreProperties>
</file>