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204D" w:rsidR="001C538D" w:rsidRDefault="001C538D" w14:paraId="48FC548E" w14:textId="77777777">
      <w:pPr>
        <w:pStyle w:val="titlebar"/>
        <w:rPr>
          <w:sz w:val="24"/>
        </w:rPr>
      </w:pPr>
      <w:r w:rsidRPr="008C204D">
        <w:rPr>
          <w:sz w:val="24"/>
        </w:rPr>
        <w:t>PUBLIC UTILITIES COMMISSION OF THE STATE OF CALIFORNIA</w:t>
      </w:r>
    </w:p>
    <w:p w:rsidRPr="0026099A" w:rsidR="001C538D" w:rsidRDefault="001C538D" w14:paraId="134499E4" w14:textId="77777777">
      <w:pPr>
        <w:suppressAutoHyphens/>
        <w:rPr>
          <w:sz w:val="24"/>
          <w:szCs w:val="24"/>
        </w:rPr>
      </w:pPr>
      <w:r w:rsidRPr="008C204D">
        <w:t xml:space="preserve">                                                                                                   </w:t>
      </w:r>
    </w:p>
    <w:p w:rsidRPr="008C204D" w:rsidR="008150D6" w:rsidP="00E25D8B" w:rsidRDefault="008150D6" w14:paraId="49D06C2F" w14:textId="0F631269">
      <w:pPr>
        <w:rPr>
          <w:b/>
        </w:rPr>
      </w:pPr>
      <w:r>
        <w:t xml:space="preserve">                                                  </w:t>
      </w:r>
      <w:r w:rsidR="0026099A">
        <w:t xml:space="preserve">                                                    </w:t>
      </w:r>
      <w:r w:rsidR="00E25D8B">
        <w:t xml:space="preserve"> </w:t>
      </w:r>
      <w:r w:rsidRPr="00E25D8B" w:rsidR="00E25D8B">
        <w:rPr>
          <w:b/>
          <w:sz w:val="24"/>
        </w:rPr>
        <w:t xml:space="preserve">Agenda ID: </w:t>
      </w:r>
      <w:r w:rsidR="00E25D8B">
        <w:rPr>
          <w:b/>
          <w:sz w:val="24"/>
        </w:rPr>
        <w:t>19055</w:t>
      </w:r>
    </w:p>
    <w:p w:rsidRPr="008C204D" w:rsidR="001C538D" w:rsidP="000F465A" w:rsidRDefault="001C538D" w14:paraId="5BD3354B" w14:textId="5E64CF01">
      <w:pPr>
        <w:rPr>
          <w:b/>
          <w:sz w:val="24"/>
        </w:rPr>
      </w:pPr>
      <w:r w:rsidRPr="008C204D">
        <w:rPr>
          <w:b/>
          <w:sz w:val="24"/>
        </w:rPr>
        <w:t>ENERGY DIVISION</w:t>
      </w:r>
      <w:r w:rsidRPr="008C204D">
        <w:rPr>
          <w:b/>
          <w:sz w:val="24"/>
        </w:rPr>
        <w:tab/>
      </w:r>
      <w:r w:rsidRPr="008C204D">
        <w:rPr>
          <w:b/>
          <w:sz w:val="24"/>
        </w:rPr>
        <w:tab/>
      </w:r>
      <w:r w:rsidRPr="008C204D">
        <w:rPr>
          <w:b/>
          <w:sz w:val="24"/>
        </w:rPr>
        <w:tab/>
      </w:r>
      <w:r w:rsidRPr="008C204D">
        <w:rPr>
          <w:b/>
          <w:sz w:val="24"/>
        </w:rPr>
        <w:tab/>
      </w:r>
      <w:r w:rsidRPr="008C204D">
        <w:rPr>
          <w:b/>
          <w:sz w:val="24"/>
        </w:rPr>
        <w:tab/>
      </w:r>
      <w:r w:rsidRPr="008C204D">
        <w:rPr>
          <w:b/>
          <w:sz w:val="24"/>
        </w:rPr>
        <w:tab/>
      </w:r>
      <w:r w:rsidR="008150D6">
        <w:rPr>
          <w:b/>
          <w:sz w:val="24"/>
        </w:rPr>
        <w:t xml:space="preserve">   </w:t>
      </w:r>
      <w:r w:rsidRPr="008C204D">
        <w:rPr>
          <w:b/>
          <w:sz w:val="24"/>
        </w:rPr>
        <w:t xml:space="preserve">RESOLUTION </w:t>
      </w:r>
      <w:r w:rsidRPr="008C204D" w:rsidR="00B14949">
        <w:rPr>
          <w:b/>
          <w:sz w:val="24"/>
        </w:rPr>
        <w:t>E</w:t>
      </w:r>
      <w:r w:rsidRPr="008C204D" w:rsidR="00843CE8">
        <w:rPr>
          <w:b/>
          <w:sz w:val="24"/>
        </w:rPr>
        <w:t>-</w:t>
      </w:r>
      <w:r w:rsidR="00DE6B1D">
        <w:rPr>
          <w:b/>
          <w:sz w:val="24"/>
        </w:rPr>
        <w:t>51</w:t>
      </w:r>
      <w:r w:rsidR="002E4F49">
        <w:rPr>
          <w:b/>
          <w:sz w:val="24"/>
        </w:rPr>
        <w:t>17</w:t>
      </w:r>
      <w:r w:rsidR="002E2016">
        <w:rPr>
          <w:b/>
          <w:sz w:val="24"/>
        </w:rPr>
        <w:tab/>
      </w:r>
      <w:r w:rsidR="002E2016">
        <w:rPr>
          <w:b/>
          <w:sz w:val="24"/>
        </w:rPr>
        <w:tab/>
      </w:r>
      <w:r w:rsidR="002E2016">
        <w:rPr>
          <w:b/>
          <w:sz w:val="24"/>
        </w:rPr>
        <w:tab/>
      </w:r>
      <w:r w:rsidR="002E2016">
        <w:rPr>
          <w:b/>
          <w:sz w:val="24"/>
        </w:rPr>
        <w:tab/>
      </w:r>
      <w:r w:rsidR="002E2016">
        <w:rPr>
          <w:b/>
          <w:sz w:val="24"/>
        </w:rPr>
        <w:tab/>
      </w:r>
      <w:r w:rsidR="002E2016">
        <w:rPr>
          <w:b/>
          <w:sz w:val="24"/>
        </w:rPr>
        <w:tab/>
      </w:r>
      <w:r w:rsidR="002E2016">
        <w:rPr>
          <w:b/>
          <w:sz w:val="24"/>
        </w:rPr>
        <w:tab/>
      </w:r>
      <w:r w:rsidRPr="008C204D">
        <w:rPr>
          <w:b/>
          <w:sz w:val="24"/>
        </w:rPr>
        <w:tab/>
      </w:r>
      <w:r w:rsidR="006C7B47">
        <w:rPr>
          <w:b/>
          <w:sz w:val="24"/>
        </w:rPr>
        <w:tab/>
      </w:r>
      <w:r w:rsidR="008150D6">
        <w:rPr>
          <w:b/>
          <w:sz w:val="24"/>
        </w:rPr>
        <w:t xml:space="preserve"> </w:t>
      </w:r>
      <w:r w:rsidR="00970598">
        <w:rPr>
          <w:b/>
          <w:sz w:val="24"/>
        </w:rPr>
        <w:tab/>
        <w:t xml:space="preserve"> </w:t>
      </w:r>
      <w:r w:rsidR="008150D6">
        <w:rPr>
          <w:b/>
          <w:sz w:val="24"/>
        </w:rPr>
        <w:t xml:space="preserve"> </w:t>
      </w:r>
      <w:r w:rsidR="00A9683D">
        <w:rPr>
          <w:b/>
          <w:sz w:val="24"/>
        </w:rPr>
        <w:t xml:space="preserve"> </w:t>
      </w:r>
      <w:r w:rsidR="00970598">
        <w:rPr>
          <w:b/>
          <w:sz w:val="24"/>
        </w:rPr>
        <w:t>J</w:t>
      </w:r>
      <w:r w:rsidR="002E4F49">
        <w:rPr>
          <w:b/>
          <w:sz w:val="24"/>
        </w:rPr>
        <w:t>anuary 14</w:t>
      </w:r>
      <w:r w:rsidR="00B33B1B">
        <w:rPr>
          <w:b/>
          <w:sz w:val="24"/>
        </w:rPr>
        <w:t>,</w:t>
      </w:r>
      <w:r w:rsidR="002E4F49">
        <w:rPr>
          <w:b/>
          <w:sz w:val="24"/>
        </w:rPr>
        <w:t xml:space="preserve"> 2021</w:t>
      </w:r>
    </w:p>
    <w:p w:rsidRPr="008C204D" w:rsidR="001C538D" w:rsidRDefault="001C538D" w14:paraId="50B05F81" w14:textId="77777777">
      <w:pPr>
        <w:tabs>
          <w:tab w:val="right" w:pos="8910"/>
        </w:tabs>
        <w:ind w:left="1440" w:firstLine="720"/>
        <w:rPr>
          <w:b/>
          <w:sz w:val="24"/>
        </w:rPr>
      </w:pPr>
    </w:p>
    <w:p w:rsidRPr="008C204D" w:rsidR="001C538D" w:rsidRDefault="00E25D8B" w14:paraId="194CA8DD" w14:textId="48ECC929">
      <w:pPr>
        <w:pStyle w:val="mainex"/>
        <w:rPr>
          <w:u w:val="single"/>
        </w:rPr>
      </w:pPr>
      <w:bookmarkStart w:name="_Ref404993683" w:id="0"/>
      <w:r>
        <w:rPr>
          <w:u w:val="single"/>
        </w:rPr>
        <w:t>REDACTED</w:t>
      </w:r>
      <w:r w:rsidR="00EC29CC">
        <w:rPr>
          <w:u w:val="single"/>
        </w:rPr>
        <w:t xml:space="preserve"> </w:t>
      </w:r>
      <w:r w:rsidRPr="008C204D" w:rsidR="001C538D">
        <w:rPr>
          <w:u w:val="single"/>
        </w:rPr>
        <w:t>RESOLUTION</w:t>
      </w:r>
    </w:p>
    <w:p w:rsidRPr="0026099A" w:rsidR="001C538D" w:rsidRDefault="001C538D" w14:paraId="2CF6E753" w14:textId="77777777">
      <w:pPr>
        <w:rPr>
          <w:sz w:val="24"/>
          <w:szCs w:val="24"/>
        </w:rPr>
      </w:pPr>
    </w:p>
    <w:p w:rsidRPr="008C204D" w:rsidR="001C538D" w:rsidRDefault="001C538D" w14:paraId="1715281B" w14:textId="2CDAFCF5">
      <w:pPr>
        <w:pStyle w:val="Res-Caption"/>
      </w:pPr>
      <w:r w:rsidRPr="008C204D">
        <w:rPr>
          <w:b/>
        </w:rPr>
        <w:t xml:space="preserve">Resolution </w:t>
      </w:r>
      <w:r w:rsidRPr="008C204D" w:rsidR="00B14949">
        <w:rPr>
          <w:b/>
        </w:rPr>
        <w:t>E</w:t>
      </w:r>
      <w:r w:rsidRPr="008C204D">
        <w:rPr>
          <w:b/>
        </w:rPr>
        <w:t>-</w:t>
      </w:r>
      <w:r w:rsidR="002E4F49">
        <w:rPr>
          <w:b/>
        </w:rPr>
        <w:t>5117</w:t>
      </w:r>
      <w:r w:rsidRPr="008C204D">
        <w:rPr>
          <w:b/>
        </w:rPr>
        <w:t xml:space="preserve">.  </w:t>
      </w:r>
      <w:r w:rsidR="002E4F49">
        <w:rPr>
          <w:rFonts w:ascii="Palatino Linotype" w:hAnsi="Palatino Linotype"/>
        </w:rPr>
        <w:t>Partially a</w:t>
      </w:r>
      <w:r w:rsidR="00AC6BDF">
        <w:rPr>
          <w:rFonts w:ascii="Palatino Linotype" w:hAnsi="Palatino Linotype"/>
        </w:rPr>
        <w:t xml:space="preserve">pproves </w:t>
      </w:r>
      <w:r w:rsidR="002E4F49">
        <w:rPr>
          <w:rFonts w:ascii="Palatino Linotype" w:hAnsi="Palatino Linotype"/>
        </w:rPr>
        <w:t>San Diego Gas &amp; Electric’s</w:t>
      </w:r>
      <w:r w:rsidR="00E304A4">
        <w:rPr>
          <w:rFonts w:ascii="Palatino Linotype" w:hAnsi="Palatino Linotype"/>
        </w:rPr>
        <w:t xml:space="preserve"> plan</w:t>
      </w:r>
      <w:r w:rsidR="00AC6BDF">
        <w:rPr>
          <w:rFonts w:ascii="Palatino Linotype" w:hAnsi="Palatino Linotype"/>
        </w:rPr>
        <w:t xml:space="preserve"> submitted in Advice Letter </w:t>
      </w:r>
      <w:r w:rsidR="007D1210">
        <w:rPr>
          <w:rFonts w:ascii="Palatino Linotype" w:hAnsi="Palatino Linotype"/>
        </w:rPr>
        <w:t>3605</w:t>
      </w:r>
      <w:r w:rsidR="00AC6BDF">
        <w:rPr>
          <w:rFonts w:ascii="Palatino Linotype" w:hAnsi="Palatino Linotype"/>
        </w:rPr>
        <w:t>-E</w:t>
      </w:r>
      <w:r w:rsidR="00E304A4">
        <w:rPr>
          <w:rFonts w:ascii="Palatino Linotype" w:hAnsi="Palatino Linotype"/>
        </w:rPr>
        <w:t xml:space="preserve"> to procure</w:t>
      </w:r>
      <w:r w:rsidR="00DC3C56">
        <w:rPr>
          <w:rFonts w:ascii="Palatino Linotype" w:hAnsi="Palatino Linotype"/>
        </w:rPr>
        <w:t xml:space="preserve"> 164</w:t>
      </w:r>
      <w:r w:rsidR="00E304A4">
        <w:rPr>
          <w:rFonts w:ascii="Palatino Linotype" w:hAnsi="Palatino Linotype"/>
        </w:rPr>
        <w:t xml:space="preserve"> megawatts of </w:t>
      </w:r>
      <w:r w:rsidR="009B1E4C">
        <w:rPr>
          <w:rFonts w:ascii="Palatino Linotype" w:hAnsi="Palatino Linotype"/>
        </w:rPr>
        <w:t>resources to satisfy requirements of D.19-11-016</w:t>
      </w:r>
      <w:r w:rsidR="00E304A4">
        <w:rPr>
          <w:rFonts w:ascii="Palatino Linotype" w:hAnsi="Palatino Linotype"/>
        </w:rPr>
        <w:t xml:space="preserve">. </w:t>
      </w:r>
    </w:p>
    <w:p w:rsidR="00075D3C" w:rsidP="00116837" w:rsidRDefault="00075D3C" w14:paraId="21B05C31" w14:textId="77777777">
      <w:pPr>
        <w:pStyle w:val="Res-Caption"/>
        <w:rPr>
          <w:b/>
        </w:rPr>
      </w:pPr>
    </w:p>
    <w:p w:rsidR="0065639C" w:rsidP="00C33AE7" w:rsidRDefault="001C538D" w14:paraId="05CD891D" w14:textId="77777777">
      <w:pPr>
        <w:pStyle w:val="Res-Caption"/>
        <w:rPr>
          <w:b/>
        </w:rPr>
      </w:pPr>
      <w:r w:rsidRPr="008C204D">
        <w:rPr>
          <w:b/>
        </w:rPr>
        <w:t>PROPOSED OUTCOME:</w:t>
      </w:r>
    </w:p>
    <w:p w:rsidRPr="008C204D" w:rsidR="00075D3C" w:rsidP="003B245E" w:rsidRDefault="00E304A4" w14:paraId="3911D1B0" w14:textId="4AFE46D4">
      <w:pPr>
        <w:pStyle w:val="Res-Caption"/>
        <w:numPr>
          <w:ilvl w:val="0"/>
          <w:numId w:val="16"/>
        </w:numPr>
      </w:pPr>
      <w:r>
        <w:rPr>
          <w:rFonts w:ascii="Palatino Linotype" w:hAnsi="Palatino Linotype"/>
        </w:rPr>
        <w:t>This Resolution</w:t>
      </w:r>
      <w:r w:rsidR="000665C4">
        <w:rPr>
          <w:rFonts w:ascii="Palatino Linotype" w:hAnsi="Palatino Linotype"/>
        </w:rPr>
        <w:t xml:space="preserve"> approves procurement by </w:t>
      </w:r>
      <w:r w:rsidR="007D1210">
        <w:rPr>
          <w:rFonts w:ascii="Palatino Linotype" w:hAnsi="Palatino Linotype"/>
        </w:rPr>
        <w:t>San Diego Gas and Electric</w:t>
      </w:r>
      <w:r w:rsidR="000665C4">
        <w:rPr>
          <w:rFonts w:ascii="Palatino Linotype" w:hAnsi="Palatino Linotype"/>
        </w:rPr>
        <w:t xml:space="preserve"> (S</w:t>
      </w:r>
      <w:r w:rsidR="007D1210">
        <w:rPr>
          <w:rFonts w:ascii="Palatino Linotype" w:hAnsi="Palatino Linotype"/>
        </w:rPr>
        <w:t>DG&amp;</w:t>
      </w:r>
      <w:r w:rsidR="000665C4">
        <w:rPr>
          <w:rFonts w:ascii="Palatino Linotype" w:hAnsi="Palatino Linotype"/>
        </w:rPr>
        <w:t xml:space="preserve">E) of </w:t>
      </w:r>
      <w:r w:rsidR="00AB368A">
        <w:rPr>
          <w:rFonts w:ascii="Palatino Linotype" w:hAnsi="Palatino Linotype"/>
        </w:rPr>
        <w:t>1</w:t>
      </w:r>
      <w:r w:rsidR="000D29AB">
        <w:rPr>
          <w:rFonts w:ascii="Palatino Linotype" w:hAnsi="Palatino Linotype"/>
        </w:rPr>
        <w:t>2</w:t>
      </w:r>
      <w:r w:rsidR="00AB368A">
        <w:rPr>
          <w:rFonts w:ascii="Palatino Linotype" w:hAnsi="Palatino Linotype"/>
        </w:rPr>
        <w:t>4</w:t>
      </w:r>
      <w:r w:rsidR="009D56D0">
        <w:rPr>
          <w:rFonts w:ascii="Palatino Linotype" w:hAnsi="Palatino Linotype"/>
        </w:rPr>
        <w:t xml:space="preserve"> MW of Energy Storage resources. This procurement is in response to a Commission order from D.19-11-016</w:t>
      </w:r>
      <w:r w:rsidR="000665C4">
        <w:t xml:space="preserve">. </w:t>
      </w:r>
      <w:r w:rsidRPr="00075D3C" w:rsidR="00075D3C">
        <w:t xml:space="preserve">  </w:t>
      </w:r>
    </w:p>
    <w:p w:rsidR="00075D3C" w:rsidRDefault="00075D3C" w14:paraId="7BA61098" w14:textId="77777777">
      <w:pPr>
        <w:pStyle w:val="Res-Caption"/>
        <w:rPr>
          <w:b/>
        </w:rPr>
      </w:pPr>
    </w:p>
    <w:p w:rsidR="0065639C" w:rsidP="00C33AE7" w:rsidRDefault="00C33AE7" w14:paraId="2CD7983F" w14:textId="77777777">
      <w:pPr>
        <w:autoSpaceDE w:val="0"/>
        <w:autoSpaceDN w:val="0"/>
        <w:ind w:left="720" w:right="720"/>
        <w:rPr>
          <w:rFonts w:ascii="Arial" w:hAnsi="Arial" w:eastAsia="Calibri" w:cs="Arial"/>
          <w:b/>
          <w:bCs/>
          <w:sz w:val="25"/>
          <w:szCs w:val="25"/>
        </w:rPr>
      </w:pPr>
      <w:r w:rsidRPr="009E66B7">
        <w:rPr>
          <w:rFonts w:ascii="Palatino Linotype" w:hAnsi="Palatino Linotype" w:eastAsia="Calibri" w:cs="Arial"/>
          <w:b/>
          <w:bCs/>
          <w:szCs w:val="25"/>
        </w:rPr>
        <w:t>SAFETY CONSIDERATIONS:</w:t>
      </w:r>
    </w:p>
    <w:p w:rsidRPr="00970598" w:rsidR="00C33AE7" w:rsidP="00E166B4" w:rsidRDefault="00970598" w14:paraId="65F87AA2" w14:textId="099C2C13">
      <w:pPr>
        <w:numPr>
          <w:ilvl w:val="0"/>
          <w:numId w:val="16"/>
        </w:numPr>
        <w:autoSpaceDE w:val="0"/>
        <w:autoSpaceDN w:val="0"/>
        <w:ind w:right="720"/>
        <w:rPr>
          <w:rFonts w:ascii="Palatino Linotype" w:hAnsi="Palatino Linotype" w:eastAsia="Calibri" w:cs="Arial"/>
          <w:szCs w:val="22"/>
        </w:rPr>
      </w:pPr>
      <w:r w:rsidRPr="00970598">
        <w:rPr>
          <w:rFonts w:ascii="Palatino Linotype" w:hAnsi="Palatino Linotype" w:eastAsia="Calibri" w:cs="Arial"/>
          <w:bCs/>
          <w:szCs w:val="25"/>
        </w:rPr>
        <w:t xml:space="preserve">SDG&amp;E </w:t>
      </w:r>
      <w:r>
        <w:rPr>
          <w:rFonts w:ascii="Palatino Linotype" w:hAnsi="Palatino Linotype" w:eastAsia="Calibri" w:cs="Arial"/>
          <w:bCs/>
          <w:szCs w:val="25"/>
        </w:rPr>
        <w:t>h</w:t>
      </w:r>
      <w:r w:rsidRPr="00970598">
        <w:rPr>
          <w:rFonts w:ascii="Palatino Linotype" w:hAnsi="Palatino Linotype" w:eastAsia="Calibri" w:cs="Arial"/>
          <w:bCs/>
          <w:szCs w:val="25"/>
        </w:rPr>
        <w:t xml:space="preserve">as addressed safety in their contract structure, and the </w:t>
      </w:r>
      <w:r w:rsidR="00540C94">
        <w:rPr>
          <w:rFonts w:ascii="Palatino Linotype" w:hAnsi="Palatino Linotype" w:eastAsia="Calibri" w:cs="Arial"/>
          <w:bCs/>
          <w:szCs w:val="25"/>
        </w:rPr>
        <w:t>resource adequacy</w:t>
      </w:r>
      <w:r w:rsidRPr="00970598">
        <w:rPr>
          <w:rFonts w:ascii="Palatino Linotype" w:hAnsi="Palatino Linotype" w:eastAsia="Calibri" w:cs="Arial"/>
          <w:bCs/>
          <w:szCs w:val="25"/>
        </w:rPr>
        <w:t xml:space="preserve"> agreements include safety provisions that require sellers to practice responsible safety management enforced by contractual terms and conditions based on</w:t>
      </w:r>
      <w:r>
        <w:rPr>
          <w:rFonts w:ascii="Palatino Linotype" w:hAnsi="Palatino Linotype" w:eastAsia="Calibri" w:cs="Arial"/>
          <w:bCs/>
          <w:szCs w:val="25"/>
        </w:rPr>
        <w:t xml:space="preserve"> </w:t>
      </w:r>
      <w:r w:rsidRPr="00970598">
        <w:rPr>
          <w:rFonts w:ascii="Palatino Linotype" w:hAnsi="Palatino Linotype" w:eastAsia="Calibri" w:cs="Arial"/>
          <w:bCs/>
          <w:szCs w:val="25"/>
        </w:rPr>
        <w:t>standards for Acceptable Electrical Practices and all applicable laws and regulations</w:t>
      </w:r>
      <w:r>
        <w:rPr>
          <w:rFonts w:ascii="Palatino Linotype" w:hAnsi="Palatino Linotype" w:eastAsia="Calibri" w:cs="Arial"/>
          <w:bCs/>
          <w:szCs w:val="25"/>
        </w:rPr>
        <w:t>.</w:t>
      </w:r>
    </w:p>
    <w:p w:rsidR="00C33AE7" w:rsidRDefault="00C33AE7" w14:paraId="08857937" w14:textId="77777777">
      <w:pPr>
        <w:pStyle w:val="Res-Caption"/>
        <w:rPr>
          <w:b/>
        </w:rPr>
      </w:pPr>
    </w:p>
    <w:p w:rsidR="0065639C" w:rsidRDefault="001C538D" w14:paraId="0387D6BA" w14:textId="77777777">
      <w:pPr>
        <w:pStyle w:val="Res-Caption"/>
        <w:rPr>
          <w:b/>
        </w:rPr>
      </w:pPr>
      <w:r w:rsidRPr="008C204D">
        <w:rPr>
          <w:b/>
        </w:rPr>
        <w:t>ESTIMATED COST:</w:t>
      </w:r>
    </w:p>
    <w:p w:rsidRPr="00540C94" w:rsidR="008C22C5" w:rsidP="003B245E" w:rsidRDefault="004B2F91" w14:paraId="0D454356" w14:textId="105F2D24">
      <w:pPr>
        <w:pStyle w:val="Res-Caption"/>
        <w:numPr>
          <w:ilvl w:val="0"/>
          <w:numId w:val="16"/>
        </w:numPr>
        <w:rPr>
          <w:rFonts w:ascii="Palatino Linotype" w:hAnsi="Palatino Linotype" w:cs="Arial"/>
        </w:rPr>
      </w:pPr>
      <w:r w:rsidRPr="007A1A2A">
        <w:rPr>
          <w:rFonts w:ascii="Palatino Linotype" w:hAnsi="Palatino Linotype"/>
        </w:rPr>
        <w:t xml:space="preserve">Contract costs are confidential </w:t>
      </w:r>
      <w:proofErr w:type="gramStart"/>
      <w:r w:rsidRPr="007A1A2A">
        <w:rPr>
          <w:rFonts w:ascii="Palatino Linotype" w:hAnsi="Palatino Linotype"/>
        </w:rPr>
        <w:t>at this time</w:t>
      </w:r>
      <w:proofErr w:type="gramEnd"/>
      <w:r w:rsidRPr="007A1A2A">
        <w:rPr>
          <w:rFonts w:ascii="Palatino Linotype" w:hAnsi="Palatino Linotype"/>
        </w:rPr>
        <w:t xml:space="preserve">. The Commission finds that the </w:t>
      </w:r>
      <w:r w:rsidRPr="007A1A2A" w:rsidR="00045B17">
        <w:rPr>
          <w:rFonts w:ascii="Palatino Linotype" w:hAnsi="Palatino Linotype"/>
        </w:rPr>
        <w:t>approved</w:t>
      </w:r>
      <w:r w:rsidRPr="007A1A2A">
        <w:rPr>
          <w:rFonts w:ascii="Palatino Linotype" w:hAnsi="Palatino Linotype"/>
        </w:rPr>
        <w:t xml:space="preserve"> contracts represent a net benefit to ratepayers over their terms.</w:t>
      </w:r>
    </w:p>
    <w:p w:rsidR="00D93418" w:rsidP="008C22C5" w:rsidRDefault="00D93418" w14:paraId="353502B3" w14:textId="77777777">
      <w:pPr>
        <w:pStyle w:val="Res-Caption"/>
        <w:rPr>
          <w:rFonts w:ascii="Palatino Linotype" w:hAnsi="Palatino Linotype"/>
        </w:rPr>
      </w:pPr>
    </w:p>
    <w:p w:rsidRPr="008C204D" w:rsidR="009B7E15" w:rsidP="0066182A" w:rsidRDefault="006E4FC1" w14:paraId="4DB5594E" w14:textId="278C57ED">
      <w:pPr>
        <w:ind w:left="720"/>
      </w:pPr>
      <w:r w:rsidRPr="00D93418">
        <w:rPr>
          <w:rFonts w:ascii="Palatino Linotype" w:hAnsi="Palatino Linotype"/>
        </w:rPr>
        <w:t xml:space="preserve">By Advice Letter </w:t>
      </w:r>
      <w:r w:rsidR="007D1210">
        <w:rPr>
          <w:rFonts w:ascii="Palatino Linotype" w:hAnsi="Palatino Linotype"/>
        </w:rPr>
        <w:t>3605</w:t>
      </w:r>
      <w:r w:rsidRPr="00D93418" w:rsidR="00D93418">
        <w:rPr>
          <w:rFonts w:ascii="Palatino Linotype" w:hAnsi="Palatino Linotype"/>
        </w:rPr>
        <w:t>-</w:t>
      </w:r>
      <w:r w:rsidRPr="00D93418">
        <w:rPr>
          <w:rFonts w:ascii="Palatino Linotype" w:hAnsi="Palatino Linotype"/>
        </w:rPr>
        <w:t xml:space="preserve">E filed on </w:t>
      </w:r>
      <w:r w:rsidR="007D1210">
        <w:rPr>
          <w:rFonts w:ascii="Palatino Linotype" w:hAnsi="Palatino Linotype"/>
        </w:rPr>
        <w:t>S</w:t>
      </w:r>
      <w:bookmarkStart w:name="_GoBack" w:id="1"/>
      <w:bookmarkEnd w:id="1"/>
      <w:r w:rsidR="007D1210">
        <w:rPr>
          <w:rFonts w:ascii="Palatino Linotype" w:hAnsi="Palatino Linotype"/>
        </w:rPr>
        <w:t>eptember 11</w:t>
      </w:r>
      <w:r w:rsidRPr="004F43EA" w:rsidR="00D93418">
        <w:rPr>
          <w:rFonts w:ascii="Palatino Linotype" w:hAnsi="Palatino Linotype"/>
        </w:rPr>
        <w:t>,</w:t>
      </w:r>
      <w:r w:rsidRPr="004F43EA">
        <w:rPr>
          <w:rFonts w:ascii="Palatino Linotype" w:hAnsi="Palatino Linotype"/>
        </w:rPr>
        <w:t xml:space="preserve"> 20</w:t>
      </w:r>
      <w:r w:rsidRPr="004F43EA" w:rsidR="00EB2272">
        <w:rPr>
          <w:rFonts w:ascii="Palatino Linotype" w:hAnsi="Palatino Linotype"/>
        </w:rPr>
        <w:t>20</w:t>
      </w:r>
      <w:r w:rsidRPr="008C204D">
        <w:rPr>
          <w:b/>
        </w:rPr>
        <w:t>.</w:t>
      </w:r>
      <w:r w:rsidRPr="008C204D" w:rsidR="009B7E15">
        <w:t xml:space="preserve"> </w:t>
      </w:r>
    </w:p>
    <w:p w:rsidRPr="008C204D" w:rsidR="001C538D" w:rsidRDefault="001C538D" w14:paraId="412FDBBA" w14:textId="77777777">
      <w:pPr>
        <w:jc w:val="center"/>
      </w:pPr>
      <w:r w:rsidRPr="008C204D">
        <w:t>__________________________________________________________</w:t>
      </w:r>
    </w:p>
    <w:p w:rsidRPr="008C204D" w:rsidR="001C538D" w:rsidP="008B4E73" w:rsidRDefault="001C538D" w14:paraId="640D58F7" w14:textId="77777777">
      <w:pPr>
        <w:pStyle w:val="Heading1"/>
        <w:jc w:val="both"/>
      </w:pPr>
      <w:r w:rsidRPr="008C204D">
        <w:t>Summary</w:t>
      </w:r>
      <w:bookmarkEnd w:id="0"/>
    </w:p>
    <w:p w:rsidR="00F85E6E" w:rsidP="001F1C26" w:rsidRDefault="00D5167A" w14:paraId="777065C2" w14:textId="47537EF0">
      <w:pPr>
        <w:autoSpaceDE w:val="0"/>
        <w:autoSpaceDN w:val="0"/>
        <w:rPr>
          <w:rFonts w:ascii="Palatino Linotype" w:hAnsi="Palatino Linotype"/>
        </w:rPr>
      </w:pPr>
      <w:r>
        <w:rPr>
          <w:rFonts w:ascii="Palatino Linotype" w:hAnsi="Palatino Linotype"/>
        </w:rPr>
        <w:t xml:space="preserve">This Resolution approves </w:t>
      </w:r>
      <w:r w:rsidR="00540C94">
        <w:rPr>
          <w:rFonts w:ascii="Palatino Linotype" w:hAnsi="Palatino Linotype"/>
        </w:rPr>
        <w:t xml:space="preserve">San Diego Gas &amp; Electric’s (SDG&amp;E’s) </w:t>
      </w:r>
      <w:r>
        <w:rPr>
          <w:rFonts w:ascii="Palatino Linotype" w:hAnsi="Palatino Linotype"/>
        </w:rPr>
        <w:t>request to procure</w:t>
      </w:r>
      <w:r w:rsidR="002E4F49">
        <w:rPr>
          <w:rFonts w:ascii="Palatino Linotype" w:hAnsi="Palatino Linotype"/>
        </w:rPr>
        <w:t xml:space="preserve"> </w:t>
      </w:r>
      <w:r w:rsidR="00380BA0">
        <w:rPr>
          <w:rFonts w:ascii="Palatino Linotype" w:hAnsi="Palatino Linotype"/>
        </w:rPr>
        <w:t>124</w:t>
      </w:r>
      <w:r>
        <w:rPr>
          <w:rFonts w:ascii="Palatino Linotype" w:hAnsi="Palatino Linotype"/>
        </w:rPr>
        <w:t xml:space="preserve"> megawatts </w:t>
      </w:r>
      <w:r w:rsidR="00DE23AA">
        <w:rPr>
          <w:rFonts w:ascii="Palatino Linotype" w:hAnsi="Palatino Linotype"/>
        </w:rPr>
        <w:t xml:space="preserve">(MW) </w:t>
      </w:r>
      <w:r>
        <w:rPr>
          <w:rFonts w:ascii="Palatino Linotype" w:hAnsi="Palatino Linotype"/>
        </w:rPr>
        <w:t>of</w:t>
      </w:r>
      <w:r w:rsidR="00C7718A">
        <w:rPr>
          <w:rFonts w:ascii="Palatino Linotype" w:hAnsi="Palatino Linotype"/>
        </w:rPr>
        <w:t xml:space="preserve"> nameplate</w:t>
      </w:r>
      <w:r>
        <w:rPr>
          <w:rFonts w:ascii="Palatino Linotype" w:hAnsi="Palatino Linotype"/>
        </w:rPr>
        <w:t xml:space="preserve"> energy storage</w:t>
      </w:r>
      <w:r w:rsidR="00C7718A">
        <w:rPr>
          <w:rFonts w:ascii="Palatino Linotype" w:hAnsi="Palatino Linotype"/>
        </w:rPr>
        <w:t xml:space="preserve"> capacit</w:t>
      </w:r>
      <w:r w:rsidR="004B2F91">
        <w:rPr>
          <w:rFonts w:ascii="Palatino Linotype" w:hAnsi="Palatino Linotype"/>
        </w:rPr>
        <w:t xml:space="preserve">y </w:t>
      </w:r>
      <w:r>
        <w:rPr>
          <w:rFonts w:ascii="Palatino Linotype" w:hAnsi="Palatino Linotype"/>
        </w:rPr>
        <w:t>to satisfy</w:t>
      </w:r>
      <w:r w:rsidR="00C7718A">
        <w:rPr>
          <w:rFonts w:ascii="Palatino Linotype" w:hAnsi="Palatino Linotype"/>
        </w:rPr>
        <w:t xml:space="preserve"> the procurement</w:t>
      </w:r>
      <w:r>
        <w:rPr>
          <w:rFonts w:ascii="Palatino Linotype" w:hAnsi="Palatino Linotype"/>
        </w:rPr>
        <w:t xml:space="preserve"> requirements </w:t>
      </w:r>
      <w:r w:rsidR="00C7718A">
        <w:rPr>
          <w:rFonts w:ascii="Palatino Linotype" w:hAnsi="Palatino Linotype"/>
        </w:rPr>
        <w:t xml:space="preserve">ordered in </w:t>
      </w:r>
      <w:r w:rsidR="00F85E6E">
        <w:rPr>
          <w:rFonts w:ascii="Palatino Linotype" w:hAnsi="Palatino Linotype"/>
        </w:rPr>
        <w:t>D</w:t>
      </w:r>
      <w:r w:rsidR="00C7718A">
        <w:rPr>
          <w:rFonts w:ascii="Palatino Linotype" w:hAnsi="Palatino Linotype"/>
        </w:rPr>
        <w:t>.</w:t>
      </w:r>
      <w:r w:rsidR="00F85E6E">
        <w:rPr>
          <w:rFonts w:ascii="Palatino Linotype" w:hAnsi="Palatino Linotype"/>
        </w:rPr>
        <w:t xml:space="preserve">19-11-016. This decision is part of the Integrated Resource Planning </w:t>
      </w:r>
      <w:r w:rsidR="0092671E">
        <w:rPr>
          <w:rFonts w:ascii="Palatino Linotype" w:hAnsi="Palatino Linotype"/>
        </w:rPr>
        <w:t xml:space="preserve">(IRP) </w:t>
      </w:r>
      <w:r w:rsidR="00F85E6E">
        <w:rPr>
          <w:rFonts w:ascii="Palatino Linotype" w:hAnsi="Palatino Linotype"/>
        </w:rPr>
        <w:t>Rulemaking (R.</w:t>
      </w:r>
      <w:r w:rsidR="007A59A9">
        <w:rPr>
          <w:rFonts w:ascii="Palatino Linotype" w:hAnsi="Palatino Linotype"/>
        </w:rPr>
        <w:t>16-02-007</w:t>
      </w:r>
      <w:r w:rsidR="00F85E6E">
        <w:rPr>
          <w:rFonts w:ascii="Palatino Linotype" w:hAnsi="Palatino Linotype"/>
        </w:rPr>
        <w:t xml:space="preserve">), which seeks to </w:t>
      </w:r>
      <w:r w:rsidR="00854296">
        <w:rPr>
          <w:rFonts w:ascii="Palatino Linotype" w:hAnsi="Palatino Linotype"/>
        </w:rPr>
        <w:lastRenderedPageBreak/>
        <w:t xml:space="preserve">ensure adequate and efficient resources are present to provide energy for California’s future in line with the State’s environmental goals. </w:t>
      </w:r>
      <w:r w:rsidR="00045B17">
        <w:rPr>
          <w:rFonts w:ascii="Palatino Linotype" w:hAnsi="Palatino Linotype"/>
        </w:rPr>
        <w:t xml:space="preserve">The resolution also denies requests to procure </w:t>
      </w:r>
      <w:r w:rsidR="00540C94">
        <w:rPr>
          <w:rFonts w:ascii="Palatino Linotype" w:hAnsi="Palatino Linotype"/>
        </w:rPr>
        <w:t>40</w:t>
      </w:r>
      <w:r w:rsidR="00045B17">
        <w:rPr>
          <w:rFonts w:ascii="Palatino Linotype" w:hAnsi="Palatino Linotype"/>
        </w:rPr>
        <w:t xml:space="preserve"> MW of energy storage resources. </w:t>
      </w:r>
    </w:p>
    <w:p w:rsidR="00FB5BDA" w:rsidP="001F1C26" w:rsidRDefault="00B41953" w14:paraId="64E215CB" w14:textId="617638CE">
      <w:pPr>
        <w:autoSpaceDE w:val="0"/>
        <w:autoSpaceDN w:val="0"/>
        <w:rPr>
          <w:rFonts w:ascii="Palatino Linotype" w:hAnsi="Palatino Linotype"/>
        </w:rPr>
      </w:pPr>
      <w:r>
        <w:rPr>
          <w:rFonts w:ascii="Palatino Linotype" w:hAnsi="Palatino Linotype"/>
        </w:rPr>
        <w:t xml:space="preserve">  </w:t>
      </w:r>
    </w:p>
    <w:p w:rsidR="00FB5BDA" w:rsidP="001F1C26" w:rsidRDefault="00FB5BDA" w14:paraId="35663E45" w14:textId="13F89642">
      <w:pPr>
        <w:autoSpaceDE w:val="0"/>
        <w:autoSpaceDN w:val="0"/>
        <w:rPr>
          <w:rFonts w:ascii="Palatino Linotype" w:hAnsi="Palatino Linotype"/>
        </w:rPr>
      </w:pPr>
      <w:r w:rsidRPr="00FB5BDA">
        <w:rPr>
          <w:rFonts w:ascii="Palatino Linotype" w:hAnsi="Palatino Linotype"/>
        </w:rPr>
        <w:t xml:space="preserve">Table 1, below, provides a summary of the </w:t>
      </w:r>
      <w:r w:rsidR="00DD1C63">
        <w:rPr>
          <w:rFonts w:ascii="Palatino Linotype" w:hAnsi="Palatino Linotype"/>
        </w:rPr>
        <w:t>five</w:t>
      </w:r>
      <w:r w:rsidR="009C4954">
        <w:rPr>
          <w:rFonts w:ascii="Palatino Linotype" w:hAnsi="Palatino Linotype"/>
        </w:rPr>
        <w:t xml:space="preserve"> resources</w:t>
      </w:r>
      <w:r>
        <w:rPr>
          <w:rFonts w:ascii="Palatino Linotype" w:hAnsi="Palatino Linotype"/>
        </w:rPr>
        <w:t xml:space="preserve"> selected in S</w:t>
      </w:r>
      <w:r w:rsidR="00540C94">
        <w:rPr>
          <w:rFonts w:ascii="Palatino Linotype" w:hAnsi="Palatino Linotype"/>
        </w:rPr>
        <w:t>DG&amp;E</w:t>
      </w:r>
      <w:r>
        <w:rPr>
          <w:rFonts w:ascii="Palatino Linotype" w:hAnsi="Palatino Linotype"/>
        </w:rPr>
        <w:t xml:space="preserve">’s </w:t>
      </w:r>
      <w:r w:rsidR="009C4954">
        <w:rPr>
          <w:rFonts w:ascii="Palatino Linotype" w:hAnsi="Palatino Linotype"/>
        </w:rPr>
        <w:t>Request for Offers (RFO).</w:t>
      </w:r>
      <w:r w:rsidR="00DD1C63">
        <w:rPr>
          <w:rFonts w:ascii="Palatino Linotype" w:hAnsi="Palatino Linotype"/>
        </w:rPr>
        <w:t xml:space="preserve"> T</w:t>
      </w:r>
      <w:r w:rsidR="00540C94">
        <w:rPr>
          <w:rFonts w:ascii="Palatino Linotype" w:hAnsi="Palatino Linotype"/>
        </w:rPr>
        <w:t>hree</w:t>
      </w:r>
      <w:r w:rsidR="00DD1C63">
        <w:rPr>
          <w:rFonts w:ascii="Palatino Linotype" w:hAnsi="Palatino Linotype"/>
        </w:rPr>
        <w:t xml:space="preserve"> of the contracts are approved, and the other t</w:t>
      </w:r>
      <w:r w:rsidR="00540C94">
        <w:rPr>
          <w:rFonts w:ascii="Palatino Linotype" w:hAnsi="Palatino Linotype"/>
        </w:rPr>
        <w:t>wo</w:t>
      </w:r>
      <w:r w:rsidR="00DD1C63">
        <w:rPr>
          <w:rFonts w:ascii="Palatino Linotype" w:hAnsi="Palatino Linotype"/>
        </w:rPr>
        <w:t xml:space="preserve"> are </w:t>
      </w:r>
      <w:r w:rsidR="00045B17">
        <w:rPr>
          <w:rFonts w:ascii="Palatino Linotype" w:hAnsi="Palatino Linotype"/>
        </w:rPr>
        <w:t>denied</w:t>
      </w:r>
      <w:r w:rsidR="00DD1C63">
        <w:rPr>
          <w:rFonts w:ascii="Palatino Linotype" w:hAnsi="Palatino Linotype"/>
        </w:rPr>
        <w:t>.</w:t>
      </w:r>
    </w:p>
    <w:p w:rsidR="00540C94" w:rsidP="001F1C26" w:rsidRDefault="00540C94" w14:paraId="7D977B5D" w14:textId="77777777">
      <w:pPr>
        <w:autoSpaceDE w:val="0"/>
        <w:autoSpaceDN w:val="0"/>
        <w:rPr>
          <w:rFonts w:ascii="Palatino Linotype" w:hAnsi="Palatino Linotype"/>
        </w:rPr>
      </w:pPr>
    </w:p>
    <w:p w:rsidRPr="007A1A2A" w:rsidR="00540C94" w:rsidP="007A1A2A" w:rsidRDefault="00540C94" w14:paraId="56E4BB43" w14:textId="5DFA495D">
      <w:pPr>
        <w:pStyle w:val="Caption"/>
        <w:rPr>
          <w:rFonts w:ascii="Palatino Linotype" w:hAnsi="Palatino Linotype"/>
          <w:b/>
          <w:bCs/>
          <w:szCs w:val="26"/>
        </w:rPr>
      </w:pPr>
      <w:r w:rsidRPr="007A1A2A">
        <w:rPr>
          <w:rFonts w:ascii="Palatino Linotype" w:hAnsi="Palatino Linotype"/>
          <w:b/>
          <w:bCs/>
          <w:i w:val="0"/>
          <w:iCs w:val="0"/>
          <w:sz w:val="26"/>
          <w:szCs w:val="26"/>
        </w:rPr>
        <w:t xml:space="preserve">Table </w:t>
      </w:r>
      <w:r w:rsidRPr="007A1A2A">
        <w:rPr>
          <w:rFonts w:ascii="Palatino Linotype" w:hAnsi="Palatino Linotype"/>
          <w:b/>
          <w:bCs/>
          <w:i w:val="0"/>
          <w:iCs w:val="0"/>
          <w:sz w:val="26"/>
          <w:szCs w:val="26"/>
        </w:rPr>
        <w:fldChar w:fldCharType="begin"/>
      </w:r>
      <w:r w:rsidRPr="007A1A2A">
        <w:rPr>
          <w:rFonts w:ascii="Palatino Linotype" w:hAnsi="Palatino Linotype"/>
          <w:b/>
          <w:bCs/>
          <w:i w:val="0"/>
          <w:iCs w:val="0"/>
          <w:sz w:val="26"/>
          <w:szCs w:val="26"/>
        </w:rPr>
        <w:instrText xml:space="preserve"> SEQ Table \* ARABIC </w:instrText>
      </w:r>
      <w:r w:rsidRPr="007A1A2A">
        <w:rPr>
          <w:rFonts w:ascii="Palatino Linotype" w:hAnsi="Palatino Linotype"/>
          <w:b/>
          <w:bCs/>
          <w:i w:val="0"/>
          <w:iCs w:val="0"/>
          <w:sz w:val="26"/>
          <w:szCs w:val="26"/>
        </w:rPr>
        <w:fldChar w:fldCharType="separate"/>
      </w:r>
      <w:r w:rsidR="0093437D">
        <w:rPr>
          <w:rFonts w:ascii="Palatino Linotype" w:hAnsi="Palatino Linotype"/>
          <w:b/>
          <w:bCs/>
          <w:i w:val="0"/>
          <w:iCs w:val="0"/>
          <w:noProof/>
          <w:sz w:val="26"/>
          <w:szCs w:val="26"/>
        </w:rPr>
        <w:t>1</w:t>
      </w:r>
      <w:r w:rsidRPr="007A1A2A">
        <w:rPr>
          <w:rFonts w:ascii="Palatino Linotype" w:hAnsi="Palatino Linotype"/>
          <w:b/>
          <w:bCs/>
          <w:i w:val="0"/>
          <w:iCs w:val="0"/>
          <w:sz w:val="26"/>
          <w:szCs w:val="26"/>
        </w:rPr>
        <w:fldChar w:fldCharType="end"/>
      </w:r>
      <w:r w:rsidRPr="007A1A2A">
        <w:rPr>
          <w:rFonts w:ascii="Palatino Linotype" w:hAnsi="Palatino Linotype"/>
          <w:b/>
          <w:bCs/>
          <w:i w:val="0"/>
          <w:iCs w:val="0"/>
          <w:sz w:val="26"/>
          <w:szCs w:val="26"/>
        </w:rPr>
        <w:t>.  Contract Summaries</w:t>
      </w:r>
    </w:p>
    <w:tbl>
      <w:tblPr>
        <w:tblW w:w="9345" w:type="dxa"/>
        <w:tblLook w:val="04A0" w:firstRow="1" w:lastRow="0" w:firstColumn="1" w:lastColumn="0" w:noHBand="0" w:noVBand="1"/>
      </w:tblPr>
      <w:tblGrid>
        <w:gridCol w:w="1627"/>
        <w:gridCol w:w="1402"/>
        <w:gridCol w:w="1307"/>
        <w:gridCol w:w="1316"/>
        <w:gridCol w:w="1091"/>
        <w:gridCol w:w="1329"/>
        <w:gridCol w:w="1273"/>
      </w:tblGrid>
      <w:tr w:rsidRPr="005C757A" w:rsidR="00970D02" w:rsidTr="007A1A2A" w14:paraId="2FC6AD14" w14:textId="3D743332">
        <w:trPr>
          <w:trHeight w:val="1050"/>
          <w:tblHeader/>
        </w:trPr>
        <w:tc>
          <w:tcPr>
            <w:tcW w:w="167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564AFEC4"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 xml:space="preserve">Counterparty / Project Name </w:t>
            </w:r>
          </w:p>
        </w:tc>
        <w:tc>
          <w:tcPr>
            <w:tcW w:w="1402" w:type="dxa"/>
            <w:tcBorders>
              <w:top w:val="single" w:color="auto" w:sz="8" w:space="0"/>
              <w:left w:val="nil"/>
              <w:bottom w:val="single" w:color="auto" w:sz="8" w:space="0"/>
              <w:right w:val="single" w:color="auto" w:sz="8" w:space="0"/>
            </w:tcBorders>
            <w:shd w:val="clear" w:color="auto" w:fill="auto"/>
            <w:vAlign w:val="center"/>
            <w:hideMark/>
          </w:tcPr>
          <w:p w:rsidRPr="005C757A" w:rsidR="00970D02" w:rsidP="005C757A" w:rsidRDefault="00970D02" w14:paraId="161C7C59"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Technology type</w:t>
            </w:r>
          </w:p>
        </w:tc>
        <w:tc>
          <w:tcPr>
            <w:tcW w:w="1307" w:type="dxa"/>
            <w:tcBorders>
              <w:top w:val="single" w:color="auto" w:sz="8" w:space="0"/>
              <w:left w:val="nil"/>
              <w:bottom w:val="single" w:color="auto" w:sz="8" w:space="0"/>
              <w:right w:val="single" w:color="auto" w:sz="8" w:space="0"/>
            </w:tcBorders>
            <w:shd w:val="clear" w:color="auto" w:fill="auto"/>
            <w:vAlign w:val="center"/>
            <w:hideMark/>
          </w:tcPr>
          <w:p w:rsidRPr="005C757A" w:rsidR="00970D02" w:rsidP="005C757A" w:rsidRDefault="00970D02" w14:paraId="5DDB1F52"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Contract type</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5C757A" w:rsidR="00970D02" w:rsidP="005C757A" w:rsidRDefault="00970D02" w14:paraId="3A4D8773"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Nameplate Capacity (MW)</w:t>
            </w:r>
          </w:p>
        </w:tc>
        <w:tc>
          <w:tcPr>
            <w:tcW w:w="1017" w:type="dxa"/>
            <w:tcBorders>
              <w:top w:val="single" w:color="auto" w:sz="8" w:space="0"/>
              <w:left w:val="nil"/>
              <w:bottom w:val="single" w:color="auto" w:sz="8" w:space="0"/>
              <w:right w:val="single" w:color="auto" w:sz="8" w:space="0"/>
            </w:tcBorders>
            <w:shd w:val="clear" w:color="auto" w:fill="auto"/>
            <w:vAlign w:val="center"/>
            <w:hideMark/>
          </w:tcPr>
          <w:p w:rsidRPr="005C757A" w:rsidR="00970D02" w:rsidP="005C757A" w:rsidRDefault="00970D02" w14:paraId="24F72A65"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Online Date</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39223D8F"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Term of Agreement (Years)</w:t>
            </w:r>
          </w:p>
        </w:tc>
        <w:tc>
          <w:tcPr>
            <w:tcW w:w="1302" w:type="dxa"/>
            <w:tcBorders>
              <w:top w:val="single" w:color="auto" w:sz="8" w:space="0"/>
              <w:left w:val="nil"/>
              <w:bottom w:val="single" w:color="auto" w:sz="8" w:space="0"/>
              <w:right w:val="single" w:color="auto" w:sz="4" w:space="0"/>
            </w:tcBorders>
            <w:vAlign w:val="center"/>
          </w:tcPr>
          <w:p w:rsidRPr="005C757A" w:rsidR="00970D02" w:rsidP="00970D02" w:rsidRDefault="00970D02" w14:paraId="2DDCE779" w14:textId="590372B6">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Approved</w:t>
            </w:r>
          </w:p>
        </w:tc>
      </w:tr>
      <w:tr w:rsidRPr="005C757A" w:rsidR="00970D02" w:rsidTr="00970D02" w14:paraId="11A29432" w14:textId="0EA8CC6D">
        <w:trPr>
          <w:trHeight w:val="1663"/>
        </w:trPr>
        <w:tc>
          <w:tcPr>
            <w:tcW w:w="1672" w:type="dxa"/>
            <w:tcBorders>
              <w:top w:val="nil"/>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73EAA19E" w14:textId="4A202389">
            <w:pPr>
              <w:jc w:val="center"/>
              <w:rPr>
                <w:rFonts w:ascii="Palatino Linotype" w:hAnsi="Palatino Linotype" w:cs="Calibri"/>
                <w:color w:val="000000"/>
                <w:sz w:val="22"/>
                <w:szCs w:val="22"/>
              </w:rPr>
            </w:pPr>
            <w:r>
              <w:rPr>
                <w:rFonts w:ascii="Palatino Linotype" w:hAnsi="Palatino Linotype" w:cs="Calibri"/>
                <w:color w:val="000000"/>
                <w:sz w:val="22"/>
                <w:szCs w:val="22"/>
              </w:rPr>
              <w:t>LS Power</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Vista Energy Storage</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San Diego</w:t>
            </w:r>
            <w:r w:rsidRPr="005C757A">
              <w:rPr>
                <w:rFonts w:ascii="Palatino Linotype" w:hAnsi="Palatino Linotype" w:cs="Calibri"/>
                <w:color w:val="000000"/>
                <w:sz w:val="22"/>
                <w:szCs w:val="22"/>
              </w:rPr>
              <w:t xml:space="preserve"> County </w:t>
            </w:r>
          </w:p>
        </w:tc>
        <w:tc>
          <w:tcPr>
            <w:tcW w:w="1402"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0B4723F0" w14:textId="734CFAE5">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2F018C" w:rsidR="00970D02" w:rsidP="005C757A" w:rsidRDefault="00970D02" w14:paraId="433A5347" w14:textId="4FC334FD">
            <w:pPr>
              <w:jc w:val="center"/>
              <w:rPr>
                <w:rFonts w:ascii="Palatino Linotype" w:hAnsi="Palatino Linotype" w:cs="Calibri"/>
                <w:color w:val="FF0000"/>
                <w:sz w:val="22"/>
                <w:szCs w:val="22"/>
              </w:rPr>
            </w:pPr>
            <w:r>
              <w:rPr>
                <w:rFonts w:ascii="Palatino Linotype" w:hAnsi="Palatino Linotype" w:cs="Calibri"/>
                <w:color w:val="000000"/>
                <w:sz w:val="22"/>
                <w:szCs w:val="22"/>
              </w:rPr>
              <w:t>RA contract</w:t>
            </w:r>
          </w:p>
        </w:tc>
        <w:tc>
          <w:tcPr>
            <w:tcW w:w="1316"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2F99A143" w14:textId="765C45FD">
            <w:pPr>
              <w:jc w:val="center"/>
              <w:rPr>
                <w:rFonts w:ascii="Palatino Linotype" w:hAnsi="Palatino Linotype" w:cs="Calibri"/>
                <w:color w:val="000000"/>
                <w:sz w:val="22"/>
                <w:szCs w:val="22"/>
              </w:rPr>
            </w:pPr>
            <w:r>
              <w:rPr>
                <w:rFonts w:ascii="Palatino Linotype" w:hAnsi="Palatino Linotype" w:cs="Calibri"/>
                <w:color w:val="000000"/>
                <w:sz w:val="22"/>
                <w:szCs w:val="22"/>
              </w:rPr>
              <w:t>10</w:t>
            </w:r>
          </w:p>
        </w:tc>
        <w:tc>
          <w:tcPr>
            <w:tcW w:w="101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407FCCFD" w14:textId="7D773754">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r w:rsidR="00380BA0">
              <w:rPr>
                <w:rFonts w:ascii="Palatino Linotype" w:hAnsi="Palatino Linotype" w:cs="Calibri"/>
                <w:color w:val="000000"/>
                <w:sz w:val="22"/>
                <w:szCs w:val="22"/>
              </w:rPr>
              <w:t xml:space="preserve"> (plus 10 MW 8/2/2022)  </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01E7E9A5"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15</w:t>
            </w:r>
          </w:p>
        </w:tc>
        <w:tc>
          <w:tcPr>
            <w:tcW w:w="1302" w:type="dxa"/>
            <w:tcBorders>
              <w:top w:val="single" w:color="auto" w:sz="8" w:space="0"/>
              <w:left w:val="nil"/>
              <w:bottom w:val="single" w:color="auto" w:sz="8" w:space="0"/>
              <w:right w:val="single" w:color="auto" w:sz="4" w:space="0"/>
            </w:tcBorders>
            <w:vAlign w:val="center"/>
          </w:tcPr>
          <w:p w:rsidRPr="005C757A" w:rsidR="00970D02" w:rsidP="00970D02" w:rsidRDefault="00970D02" w14:paraId="7CB71F4D" w14:textId="3ECED426">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r w:rsidRPr="005C757A" w:rsidR="00970D02" w:rsidTr="00970D02" w14:paraId="2E103C1E" w14:textId="1838C589">
        <w:trPr>
          <w:trHeight w:val="1762"/>
        </w:trPr>
        <w:tc>
          <w:tcPr>
            <w:tcW w:w="1672" w:type="dxa"/>
            <w:tcBorders>
              <w:top w:val="nil"/>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251C0C1F" w14:textId="2A06AE12">
            <w:pPr>
              <w:jc w:val="center"/>
              <w:rPr>
                <w:rFonts w:ascii="Palatino Linotype" w:hAnsi="Palatino Linotype" w:cs="Calibri"/>
                <w:color w:val="000000"/>
                <w:sz w:val="22"/>
                <w:szCs w:val="22"/>
              </w:rPr>
            </w:pPr>
            <w:r>
              <w:rPr>
                <w:rFonts w:ascii="Palatino Linotype" w:hAnsi="Palatino Linotype" w:cs="Calibri"/>
                <w:color w:val="000000"/>
                <w:sz w:val="22"/>
                <w:szCs w:val="22"/>
              </w:rPr>
              <w:t>Terra Gen</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Valley Center</w:t>
            </w:r>
            <w:r w:rsidRPr="005C757A">
              <w:rPr>
                <w:rFonts w:ascii="Palatino Linotype" w:hAnsi="Palatino Linotype" w:cs="Calibri"/>
                <w:color w:val="000000"/>
                <w:sz w:val="22"/>
                <w:szCs w:val="22"/>
              </w:rPr>
              <w:t xml:space="preserve"> Energy Storage/ </w:t>
            </w:r>
            <w:r>
              <w:rPr>
                <w:rFonts w:ascii="Palatino Linotype" w:hAnsi="Palatino Linotype" w:cs="Calibri"/>
                <w:color w:val="000000"/>
                <w:sz w:val="22"/>
                <w:szCs w:val="22"/>
              </w:rPr>
              <w:t>San Di</w:t>
            </w:r>
            <w:r w:rsidRPr="005C757A">
              <w:rPr>
                <w:rFonts w:ascii="Palatino Linotype" w:hAnsi="Palatino Linotype" w:cs="Calibri"/>
                <w:color w:val="000000"/>
                <w:sz w:val="22"/>
                <w:szCs w:val="22"/>
              </w:rPr>
              <w:t>e</w:t>
            </w:r>
            <w:r>
              <w:rPr>
                <w:rFonts w:ascii="Palatino Linotype" w:hAnsi="Palatino Linotype" w:cs="Calibri"/>
                <w:color w:val="000000"/>
                <w:sz w:val="22"/>
                <w:szCs w:val="22"/>
              </w:rPr>
              <w:t>go</w:t>
            </w:r>
            <w:r w:rsidRPr="005C757A">
              <w:rPr>
                <w:rFonts w:ascii="Palatino Linotype" w:hAnsi="Palatino Linotype" w:cs="Calibri"/>
                <w:color w:val="000000"/>
                <w:sz w:val="22"/>
                <w:szCs w:val="22"/>
              </w:rPr>
              <w:t xml:space="preserve"> County </w:t>
            </w:r>
          </w:p>
        </w:tc>
        <w:tc>
          <w:tcPr>
            <w:tcW w:w="1402"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4009BF74" w14:textId="629A0B20">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510295D6" w14:textId="4E3DE485">
            <w:pPr>
              <w:jc w:val="center"/>
              <w:rPr>
                <w:rFonts w:ascii="Palatino Linotype" w:hAnsi="Palatino Linotype" w:cs="Calibri"/>
                <w:color w:val="000000"/>
                <w:sz w:val="22"/>
                <w:szCs w:val="22"/>
              </w:rPr>
            </w:pPr>
            <w:r>
              <w:rPr>
                <w:rFonts w:ascii="Palatino Linotype" w:hAnsi="Palatino Linotype" w:cs="Calibri"/>
                <w:color w:val="000000"/>
                <w:sz w:val="22"/>
                <w:szCs w:val="22"/>
              </w:rPr>
              <w:t>RA contract</w:t>
            </w:r>
          </w:p>
        </w:tc>
        <w:tc>
          <w:tcPr>
            <w:tcW w:w="1316"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6B3B24A2" w14:textId="608E82D6">
            <w:pPr>
              <w:jc w:val="center"/>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101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31F135D7"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0DAB5379"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15</w:t>
            </w:r>
          </w:p>
        </w:tc>
        <w:tc>
          <w:tcPr>
            <w:tcW w:w="1302" w:type="dxa"/>
            <w:tcBorders>
              <w:top w:val="single" w:color="auto" w:sz="8" w:space="0"/>
              <w:left w:val="nil"/>
              <w:bottom w:val="single" w:color="auto" w:sz="8" w:space="0"/>
              <w:right w:val="single" w:color="auto" w:sz="4" w:space="0"/>
            </w:tcBorders>
            <w:vAlign w:val="center"/>
          </w:tcPr>
          <w:p w:rsidRPr="005C757A" w:rsidR="00970D02" w:rsidP="00970D02" w:rsidRDefault="00970D02" w14:paraId="54FED649" w14:textId="13DC13CE">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r w:rsidRPr="005C757A" w:rsidR="00970D02" w:rsidTr="00970D02" w14:paraId="21E56F2B" w14:textId="4F6F8D3A">
        <w:trPr>
          <w:trHeight w:val="1798"/>
        </w:trPr>
        <w:tc>
          <w:tcPr>
            <w:tcW w:w="1672" w:type="dxa"/>
            <w:tcBorders>
              <w:top w:val="nil"/>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3FDF1BBF" w14:textId="0F29BE1F">
            <w:pPr>
              <w:jc w:val="center"/>
              <w:rPr>
                <w:rFonts w:ascii="Palatino Linotype" w:hAnsi="Palatino Linotype" w:cs="Calibri"/>
                <w:color w:val="000000"/>
                <w:sz w:val="22"/>
                <w:szCs w:val="22"/>
              </w:rPr>
            </w:pPr>
            <w:r>
              <w:rPr>
                <w:rFonts w:ascii="Palatino Linotype" w:hAnsi="Palatino Linotype" w:cs="Calibri"/>
                <w:color w:val="000000"/>
                <w:sz w:val="22"/>
                <w:szCs w:val="22"/>
              </w:rPr>
              <w:t>Terra Gen</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Valley Center</w:t>
            </w:r>
            <w:r w:rsidRPr="005C757A">
              <w:rPr>
                <w:rFonts w:ascii="Palatino Linotype" w:hAnsi="Palatino Linotype" w:cs="Calibri"/>
                <w:color w:val="000000"/>
                <w:sz w:val="22"/>
                <w:szCs w:val="22"/>
              </w:rPr>
              <w:t xml:space="preserve"> Energy Storage</w:t>
            </w:r>
            <w:r>
              <w:rPr>
                <w:rFonts w:ascii="Palatino Linotype" w:hAnsi="Palatino Linotype" w:cs="Calibri"/>
                <w:color w:val="000000"/>
                <w:sz w:val="22"/>
                <w:szCs w:val="22"/>
              </w:rPr>
              <w:t xml:space="preserve"> II</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San Di</w:t>
            </w:r>
            <w:r w:rsidRPr="005C757A">
              <w:rPr>
                <w:rFonts w:ascii="Palatino Linotype" w:hAnsi="Palatino Linotype" w:cs="Calibri"/>
                <w:color w:val="000000"/>
                <w:sz w:val="22"/>
                <w:szCs w:val="22"/>
              </w:rPr>
              <w:t>e</w:t>
            </w:r>
            <w:r>
              <w:rPr>
                <w:rFonts w:ascii="Palatino Linotype" w:hAnsi="Palatino Linotype" w:cs="Calibri"/>
                <w:color w:val="000000"/>
                <w:sz w:val="22"/>
                <w:szCs w:val="22"/>
              </w:rPr>
              <w:t>go</w:t>
            </w:r>
            <w:r w:rsidRPr="005C757A">
              <w:rPr>
                <w:rFonts w:ascii="Palatino Linotype" w:hAnsi="Palatino Linotype" w:cs="Calibri"/>
                <w:color w:val="000000"/>
                <w:sz w:val="22"/>
                <w:szCs w:val="22"/>
              </w:rPr>
              <w:t xml:space="preserve"> County</w:t>
            </w:r>
          </w:p>
        </w:tc>
        <w:tc>
          <w:tcPr>
            <w:tcW w:w="1402"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6D38535A"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24E28780" w14:textId="62CFA2A7">
            <w:pPr>
              <w:jc w:val="center"/>
              <w:rPr>
                <w:rFonts w:ascii="Palatino Linotype" w:hAnsi="Palatino Linotype" w:cs="Calibri"/>
                <w:color w:val="000000"/>
                <w:sz w:val="22"/>
                <w:szCs w:val="22"/>
              </w:rPr>
            </w:pPr>
            <w:r>
              <w:rPr>
                <w:rFonts w:ascii="Palatino Linotype" w:hAnsi="Palatino Linotype" w:cs="Calibri"/>
                <w:color w:val="000000"/>
                <w:sz w:val="22"/>
                <w:szCs w:val="22"/>
              </w:rPr>
              <w:t>Power Purchase Agreement</w:t>
            </w:r>
          </w:p>
        </w:tc>
        <w:tc>
          <w:tcPr>
            <w:tcW w:w="1316"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2175113E" w14:textId="42EF1E3C">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5</w:t>
            </w:r>
            <w:r>
              <w:rPr>
                <w:rFonts w:ascii="Palatino Linotype" w:hAnsi="Palatino Linotype" w:cs="Calibri"/>
                <w:color w:val="000000"/>
                <w:sz w:val="22"/>
                <w:szCs w:val="22"/>
              </w:rPr>
              <w:t>4</w:t>
            </w:r>
          </w:p>
        </w:tc>
        <w:tc>
          <w:tcPr>
            <w:tcW w:w="101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1B3D623F"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1CEECEA0" w14:textId="28366FA6">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w:t>
            </w:r>
            <w:r>
              <w:rPr>
                <w:rFonts w:ascii="Palatino Linotype" w:hAnsi="Palatino Linotype" w:cs="Calibri"/>
                <w:color w:val="000000"/>
                <w:sz w:val="22"/>
                <w:szCs w:val="22"/>
              </w:rPr>
              <w:t>5</w:t>
            </w:r>
          </w:p>
        </w:tc>
        <w:tc>
          <w:tcPr>
            <w:tcW w:w="1302" w:type="dxa"/>
            <w:tcBorders>
              <w:top w:val="single" w:color="auto" w:sz="8" w:space="0"/>
              <w:left w:val="nil"/>
              <w:bottom w:val="single" w:color="auto" w:sz="8" w:space="0"/>
              <w:right w:val="single" w:color="auto" w:sz="4" w:space="0"/>
            </w:tcBorders>
            <w:vAlign w:val="center"/>
          </w:tcPr>
          <w:p w:rsidRPr="005C757A" w:rsidR="00970D02" w:rsidP="00970D02" w:rsidRDefault="00540C94" w14:paraId="0589DAB1" w14:textId="42A93020">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r w:rsidRPr="005C757A" w:rsidR="00970D02" w:rsidTr="00970D02" w14:paraId="1CB19BA4" w14:textId="14976C01">
        <w:trPr>
          <w:trHeight w:val="2325"/>
        </w:trPr>
        <w:tc>
          <w:tcPr>
            <w:tcW w:w="1672" w:type="dxa"/>
            <w:tcBorders>
              <w:top w:val="nil"/>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79E6976A" w14:textId="2D4FD624">
            <w:pPr>
              <w:jc w:val="center"/>
              <w:rPr>
                <w:rFonts w:ascii="Palatino Linotype" w:hAnsi="Palatino Linotype" w:cs="Calibri"/>
                <w:color w:val="000000"/>
                <w:sz w:val="22"/>
                <w:szCs w:val="22"/>
              </w:rPr>
            </w:pPr>
            <w:r>
              <w:rPr>
                <w:rFonts w:ascii="Palatino Linotype" w:hAnsi="Palatino Linotype" w:cs="Calibri"/>
                <w:color w:val="000000"/>
                <w:sz w:val="22"/>
                <w:szCs w:val="22"/>
              </w:rPr>
              <w:t>Fluence</w:t>
            </w:r>
            <w:r w:rsidRPr="005C757A">
              <w:rPr>
                <w:rFonts w:ascii="Palatino Linotype" w:hAnsi="Palatino Linotype" w:cs="Calibri"/>
                <w:color w:val="000000"/>
                <w:sz w:val="22"/>
                <w:szCs w:val="22"/>
              </w:rPr>
              <w:t>/</w:t>
            </w:r>
            <w:r>
              <w:rPr>
                <w:rFonts w:ascii="Palatino Linotype" w:hAnsi="Palatino Linotype" w:cs="Calibri"/>
                <w:color w:val="000000"/>
                <w:sz w:val="22"/>
                <w:szCs w:val="22"/>
              </w:rPr>
              <w:t xml:space="preserve"> Melrose</w:t>
            </w:r>
            <w:r w:rsidRPr="005C757A">
              <w:rPr>
                <w:rFonts w:ascii="Palatino Linotype" w:hAnsi="Palatino Linotype" w:cs="Calibri"/>
                <w:color w:val="000000"/>
                <w:sz w:val="22"/>
                <w:szCs w:val="22"/>
              </w:rPr>
              <w:t xml:space="preserve"> Energy Storage/ San Diego County</w:t>
            </w:r>
          </w:p>
        </w:tc>
        <w:tc>
          <w:tcPr>
            <w:tcW w:w="1402"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1E4BB2B3"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Energy Storage</w:t>
            </w:r>
          </w:p>
        </w:tc>
        <w:tc>
          <w:tcPr>
            <w:tcW w:w="130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591333CC" w14:textId="703D26F6">
            <w:pPr>
              <w:jc w:val="center"/>
              <w:rPr>
                <w:rFonts w:ascii="Palatino Linotype" w:hAnsi="Palatino Linotype" w:cs="Calibri"/>
                <w:color w:val="000000"/>
                <w:sz w:val="22"/>
                <w:szCs w:val="22"/>
              </w:rPr>
            </w:pPr>
            <w:r>
              <w:rPr>
                <w:rFonts w:ascii="Palatino Linotype" w:hAnsi="Palatino Linotype" w:cs="Calibri"/>
                <w:color w:val="000000"/>
                <w:sz w:val="22"/>
                <w:szCs w:val="22"/>
              </w:rPr>
              <w:t>Utility Owned</w:t>
            </w:r>
          </w:p>
        </w:tc>
        <w:tc>
          <w:tcPr>
            <w:tcW w:w="1316"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50B710D8" w14:textId="051F6270">
            <w:pPr>
              <w:jc w:val="center"/>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101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28E2BF0B"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1DC7D341" w14:textId="2D5191B7">
            <w:pPr>
              <w:jc w:val="center"/>
              <w:rPr>
                <w:rFonts w:ascii="Palatino Linotype" w:hAnsi="Palatino Linotype" w:cs="Calibri"/>
                <w:color w:val="000000"/>
                <w:sz w:val="22"/>
                <w:szCs w:val="22"/>
              </w:rPr>
            </w:pPr>
            <w:r>
              <w:rPr>
                <w:rFonts w:ascii="Palatino Linotype" w:hAnsi="Palatino Linotype" w:cs="Calibri"/>
                <w:color w:val="000000"/>
                <w:sz w:val="22"/>
                <w:szCs w:val="22"/>
              </w:rPr>
              <w:t>n/a</w:t>
            </w:r>
          </w:p>
        </w:tc>
        <w:tc>
          <w:tcPr>
            <w:tcW w:w="1302" w:type="dxa"/>
            <w:tcBorders>
              <w:top w:val="single" w:color="auto" w:sz="8" w:space="0"/>
              <w:left w:val="nil"/>
              <w:bottom w:val="single" w:color="auto" w:sz="8" w:space="0"/>
              <w:right w:val="single" w:color="auto" w:sz="4" w:space="0"/>
            </w:tcBorders>
            <w:vAlign w:val="center"/>
          </w:tcPr>
          <w:p w:rsidR="00970D02" w:rsidP="00970D02" w:rsidRDefault="00970D02" w14:paraId="10172295" w14:textId="6F2A02EF">
            <w:pPr>
              <w:jc w:val="center"/>
              <w:rPr>
                <w:rFonts w:ascii="Palatino Linotype" w:hAnsi="Palatino Linotype" w:cs="Calibri"/>
                <w:color w:val="000000"/>
                <w:sz w:val="22"/>
                <w:szCs w:val="22"/>
              </w:rPr>
            </w:pPr>
            <w:r>
              <w:rPr>
                <w:rFonts w:ascii="Palatino Linotype" w:hAnsi="Palatino Linotype" w:cs="Calibri"/>
                <w:color w:val="000000"/>
                <w:sz w:val="22"/>
                <w:szCs w:val="22"/>
              </w:rPr>
              <w:t>no</w:t>
            </w:r>
          </w:p>
        </w:tc>
      </w:tr>
      <w:tr w:rsidRPr="005C757A" w:rsidR="00970D02" w:rsidTr="00970D02" w14:paraId="2DCD0C4A" w14:textId="629654CA">
        <w:trPr>
          <w:trHeight w:val="2325"/>
        </w:trPr>
        <w:tc>
          <w:tcPr>
            <w:tcW w:w="1672" w:type="dxa"/>
            <w:tcBorders>
              <w:top w:val="nil"/>
              <w:left w:val="single" w:color="auto" w:sz="8" w:space="0"/>
              <w:bottom w:val="single" w:color="auto" w:sz="8" w:space="0"/>
              <w:right w:val="single" w:color="auto" w:sz="8" w:space="0"/>
            </w:tcBorders>
            <w:shd w:val="clear" w:color="auto" w:fill="auto"/>
            <w:vAlign w:val="center"/>
            <w:hideMark/>
          </w:tcPr>
          <w:p w:rsidRPr="005C757A" w:rsidR="00970D02" w:rsidP="005C757A" w:rsidRDefault="00970D02" w14:paraId="64ACAF9A" w14:textId="54CF2524">
            <w:pPr>
              <w:jc w:val="center"/>
              <w:rPr>
                <w:rFonts w:ascii="Palatino Linotype" w:hAnsi="Palatino Linotype" w:cs="Calibri"/>
                <w:color w:val="000000"/>
                <w:sz w:val="22"/>
                <w:szCs w:val="22"/>
              </w:rPr>
            </w:pPr>
            <w:r>
              <w:rPr>
                <w:rFonts w:ascii="Palatino Linotype" w:hAnsi="Palatino Linotype" w:cs="Calibri"/>
                <w:color w:val="000000"/>
                <w:sz w:val="22"/>
                <w:szCs w:val="22"/>
              </w:rPr>
              <w:lastRenderedPageBreak/>
              <w:t>Fluence</w:t>
            </w:r>
            <w:r w:rsidRPr="005C757A">
              <w:rPr>
                <w:rFonts w:ascii="Palatino Linotype" w:hAnsi="Palatino Linotype" w:cs="Calibri"/>
                <w:color w:val="000000"/>
                <w:sz w:val="22"/>
                <w:szCs w:val="22"/>
              </w:rPr>
              <w:t>/</w:t>
            </w:r>
            <w:r>
              <w:rPr>
                <w:rFonts w:ascii="Palatino Linotype" w:hAnsi="Palatino Linotype" w:cs="Calibri"/>
                <w:color w:val="000000"/>
                <w:sz w:val="22"/>
                <w:szCs w:val="22"/>
              </w:rPr>
              <w:t xml:space="preserve"> Kearny</w:t>
            </w:r>
            <w:r w:rsidRPr="005C757A">
              <w:rPr>
                <w:rFonts w:ascii="Palatino Linotype" w:hAnsi="Palatino Linotype" w:cs="Calibri"/>
                <w:color w:val="000000"/>
                <w:sz w:val="22"/>
                <w:szCs w:val="22"/>
              </w:rPr>
              <w:t xml:space="preserve"> Energy Storage/ </w:t>
            </w:r>
            <w:r>
              <w:rPr>
                <w:rFonts w:ascii="Palatino Linotype" w:hAnsi="Palatino Linotype" w:cs="Calibri"/>
                <w:color w:val="000000"/>
                <w:sz w:val="22"/>
                <w:szCs w:val="22"/>
              </w:rPr>
              <w:t>City of San Diego</w:t>
            </w:r>
          </w:p>
        </w:tc>
        <w:tc>
          <w:tcPr>
            <w:tcW w:w="1402"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4FD99CA8" w14:textId="29D0B9CF">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6A5BC094" w14:textId="00CD4D30">
            <w:pPr>
              <w:jc w:val="center"/>
              <w:rPr>
                <w:rFonts w:ascii="Palatino Linotype" w:hAnsi="Palatino Linotype" w:cs="Calibri"/>
                <w:color w:val="000000"/>
                <w:sz w:val="22"/>
                <w:szCs w:val="22"/>
              </w:rPr>
            </w:pPr>
            <w:r>
              <w:rPr>
                <w:rFonts w:ascii="Palatino Linotype" w:hAnsi="Palatino Linotype" w:cs="Calibri"/>
                <w:color w:val="000000"/>
                <w:sz w:val="22"/>
                <w:szCs w:val="22"/>
              </w:rPr>
              <w:t>Utility Owned</w:t>
            </w:r>
          </w:p>
        </w:tc>
        <w:tc>
          <w:tcPr>
            <w:tcW w:w="1316"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5CF7EF04" w14:textId="399F939B">
            <w:pPr>
              <w:jc w:val="center"/>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1017" w:type="dxa"/>
            <w:tcBorders>
              <w:top w:val="nil"/>
              <w:left w:val="nil"/>
              <w:bottom w:val="single" w:color="auto" w:sz="8" w:space="0"/>
              <w:right w:val="single" w:color="auto" w:sz="8" w:space="0"/>
            </w:tcBorders>
            <w:shd w:val="clear" w:color="auto" w:fill="auto"/>
            <w:vAlign w:val="center"/>
            <w:hideMark/>
          </w:tcPr>
          <w:p w:rsidRPr="005C757A" w:rsidR="00970D02" w:rsidP="005C757A" w:rsidRDefault="00970D02" w14:paraId="4B104710"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970D02" w:rsidP="005C757A" w:rsidRDefault="00970D02" w14:paraId="4A830448" w14:textId="5047B703">
            <w:pPr>
              <w:jc w:val="center"/>
              <w:rPr>
                <w:rFonts w:ascii="Palatino Linotype" w:hAnsi="Palatino Linotype" w:cs="Calibri"/>
                <w:color w:val="000000"/>
                <w:sz w:val="22"/>
                <w:szCs w:val="22"/>
              </w:rPr>
            </w:pPr>
            <w:r>
              <w:rPr>
                <w:rFonts w:ascii="Palatino Linotype" w:hAnsi="Palatino Linotype" w:cs="Calibri"/>
                <w:color w:val="000000"/>
                <w:sz w:val="22"/>
                <w:szCs w:val="22"/>
              </w:rPr>
              <w:t>n/a</w:t>
            </w:r>
          </w:p>
        </w:tc>
        <w:tc>
          <w:tcPr>
            <w:tcW w:w="1302" w:type="dxa"/>
            <w:tcBorders>
              <w:top w:val="single" w:color="auto" w:sz="8" w:space="0"/>
              <w:left w:val="nil"/>
              <w:bottom w:val="single" w:color="auto" w:sz="8" w:space="0"/>
              <w:right w:val="single" w:color="auto" w:sz="4" w:space="0"/>
            </w:tcBorders>
            <w:vAlign w:val="center"/>
          </w:tcPr>
          <w:p w:rsidR="00970D02" w:rsidP="00970D02" w:rsidRDefault="00970D02" w14:paraId="3C3FBF19" w14:textId="02C9EE5D">
            <w:pPr>
              <w:jc w:val="center"/>
              <w:rPr>
                <w:rFonts w:ascii="Palatino Linotype" w:hAnsi="Palatino Linotype" w:cs="Calibri"/>
                <w:color w:val="000000"/>
                <w:sz w:val="22"/>
                <w:szCs w:val="22"/>
              </w:rPr>
            </w:pPr>
            <w:r>
              <w:rPr>
                <w:rFonts w:ascii="Palatino Linotype" w:hAnsi="Palatino Linotype" w:cs="Calibri"/>
                <w:color w:val="000000"/>
                <w:sz w:val="22"/>
                <w:szCs w:val="22"/>
              </w:rPr>
              <w:t>no</w:t>
            </w:r>
          </w:p>
        </w:tc>
      </w:tr>
    </w:tbl>
    <w:p w:rsidRPr="00972CD8" w:rsidR="00972CD8" w:rsidP="007A1A2A" w:rsidRDefault="00972CD8" w14:paraId="71ADDE4C" w14:textId="77777777">
      <w:pPr>
        <w:pStyle w:val="standard"/>
        <w:ind w:firstLine="0"/>
      </w:pPr>
    </w:p>
    <w:p w:rsidRPr="008C204D" w:rsidR="001C538D" w:rsidP="008B4E73" w:rsidRDefault="001C538D" w14:paraId="1E6DEA9D" w14:textId="170007F4">
      <w:pPr>
        <w:pStyle w:val="Heading1"/>
        <w:jc w:val="both"/>
      </w:pPr>
      <w:r w:rsidRPr="008C204D">
        <w:t>Background</w:t>
      </w:r>
    </w:p>
    <w:p w:rsidR="004C7049" w:rsidP="00DA7986" w:rsidRDefault="009D56D0" w14:paraId="7C0A902F" w14:textId="25D07933">
      <w:pPr>
        <w:rPr>
          <w:rFonts w:ascii="Palatino Linotype" w:hAnsi="Palatino Linotype"/>
          <w:i/>
          <w:iCs/>
        </w:rPr>
      </w:pPr>
      <w:r>
        <w:rPr>
          <w:rFonts w:ascii="Palatino Linotype" w:hAnsi="Palatino Linotype"/>
          <w:i/>
          <w:iCs/>
        </w:rPr>
        <w:t>Integrated Resource Planning</w:t>
      </w:r>
    </w:p>
    <w:p w:rsidRPr="00957FED" w:rsidR="00957FED" w:rsidP="00DA7986" w:rsidRDefault="00957FED" w14:paraId="6C7B9058" w14:textId="77777777">
      <w:pPr>
        <w:rPr>
          <w:rFonts w:ascii="Palatino Linotype" w:hAnsi="Palatino Linotype"/>
          <w:i/>
          <w:iCs/>
        </w:rPr>
      </w:pPr>
    </w:p>
    <w:p w:rsidRPr="00D44D27" w:rsidR="00D44D27" w:rsidP="00004AE4" w:rsidRDefault="00982B0A" w14:paraId="72D588D5" w14:textId="64B3BFC4">
      <w:pPr>
        <w:autoSpaceDE w:val="0"/>
        <w:autoSpaceDN w:val="0"/>
        <w:adjustRightInd w:val="0"/>
        <w:rPr>
          <w:rFonts w:ascii="Palatino Linotype" w:hAnsi="Palatino Linotype"/>
        </w:rPr>
      </w:pPr>
      <w:r>
        <w:rPr>
          <w:rFonts w:ascii="Palatino Linotype" w:hAnsi="Palatino Linotype"/>
        </w:rPr>
        <w:t>In Decision (</w:t>
      </w:r>
      <w:r w:rsidR="002E33CF">
        <w:rPr>
          <w:rFonts w:ascii="Palatino Linotype" w:hAnsi="Palatino Linotype"/>
        </w:rPr>
        <w:t>D</w:t>
      </w:r>
      <w:r>
        <w:rPr>
          <w:rFonts w:ascii="Palatino Linotype" w:hAnsi="Palatino Linotype"/>
        </w:rPr>
        <w:t>)</w:t>
      </w:r>
      <w:r w:rsidR="002E33CF">
        <w:rPr>
          <w:rFonts w:ascii="Palatino Linotype" w:hAnsi="Palatino Linotype"/>
        </w:rPr>
        <w:t xml:space="preserve">.19-11-016 </w:t>
      </w:r>
      <w:r w:rsidR="006E20A8">
        <w:rPr>
          <w:rFonts w:ascii="Palatino Linotype" w:hAnsi="Palatino Linotype"/>
        </w:rPr>
        <w:t>(Decision)</w:t>
      </w:r>
      <w:r w:rsidR="00E4764F">
        <w:rPr>
          <w:rFonts w:ascii="Palatino Linotype" w:hAnsi="Palatino Linotype"/>
        </w:rPr>
        <w:t>,</w:t>
      </w:r>
      <w:r w:rsidR="006E20A8">
        <w:rPr>
          <w:rFonts w:ascii="Palatino Linotype" w:hAnsi="Palatino Linotype"/>
        </w:rPr>
        <w:t xml:space="preserve"> </w:t>
      </w:r>
      <w:r>
        <w:rPr>
          <w:rFonts w:ascii="Palatino Linotype" w:hAnsi="Palatino Linotype"/>
        </w:rPr>
        <w:t xml:space="preserve">the California Public Utilities Commission (CPUC or the Commission) </w:t>
      </w:r>
      <w:r w:rsidR="002E33CF">
        <w:rPr>
          <w:rFonts w:ascii="Palatino Linotype" w:hAnsi="Palatino Linotype"/>
        </w:rPr>
        <w:t xml:space="preserve">established </w:t>
      </w:r>
      <w:r>
        <w:rPr>
          <w:rFonts w:ascii="Palatino Linotype" w:hAnsi="Palatino Linotype"/>
        </w:rPr>
        <w:t>2021</w:t>
      </w:r>
      <w:r w:rsidR="00A5412C">
        <w:rPr>
          <w:rFonts w:ascii="Palatino Linotype" w:hAnsi="Palatino Linotype"/>
        </w:rPr>
        <w:t xml:space="preserve"> </w:t>
      </w:r>
      <w:r w:rsidR="006E20A8">
        <w:rPr>
          <w:rFonts w:ascii="Palatino Linotype" w:hAnsi="Palatino Linotype"/>
        </w:rPr>
        <w:t>through</w:t>
      </w:r>
      <w:r>
        <w:rPr>
          <w:rFonts w:ascii="Palatino Linotype" w:hAnsi="Palatino Linotype"/>
        </w:rPr>
        <w:t xml:space="preserve"> 2023 (</w:t>
      </w:r>
      <w:r w:rsidR="002E33CF">
        <w:rPr>
          <w:rFonts w:ascii="Palatino Linotype" w:hAnsi="Palatino Linotype"/>
        </w:rPr>
        <w:t>near term</w:t>
      </w:r>
      <w:r>
        <w:rPr>
          <w:rFonts w:ascii="Palatino Linotype" w:hAnsi="Palatino Linotype"/>
        </w:rPr>
        <w:t>)</w:t>
      </w:r>
      <w:r w:rsidR="009E1543">
        <w:rPr>
          <w:rFonts w:ascii="Palatino Linotype" w:hAnsi="Palatino Linotype"/>
        </w:rPr>
        <w:t xml:space="preserve"> </w:t>
      </w:r>
      <w:r w:rsidR="002E33CF">
        <w:rPr>
          <w:rFonts w:ascii="Palatino Linotype" w:hAnsi="Palatino Linotype"/>
        </w:rPr>
        <w:t xml:space="preserve">procurement requirements for all California </w:t>
      </w:r>
      <w:r>
        <w:rPr>
          <w:rFonts w:ascii="Palatino Linotype" w:hAnsi="Palatino Linotype"/>
        </w:rPr>
        <w:t>jurisdictional load serving entities (</w:t>
      </w:r>
      <w:r w:rsidR="002E33CF">
        <w:rPr>
          <w:rFonts w:ascii="Palatino Linotype" w:hAnsi="Palatino Linotype"/>
        </w:rPr>
        <w:t>LSEs</w:t>
      </w:r>
      <w:r>
        <w:rPr>
          <w:rFonts w:ascii="Palatino Linotype" w:hAnsi="Palatino Linotype"/>
        </w:rPr>
        <w:t>)</w:t>
      </w:r>
      <w:r w:rsidR="00781E4A">
        <w:rPr>
          <w:rFonts w:ascii="Palatino Linotype" w:hAnsi="Palatino Linotype"/>
        </w:rPr>
        <w:t xml:space="preserve"> to procure a share of a total of 3</w:t>
      </w:r>
      <w:r>
        <w:rPr>
          <w:rFonts w:ascii="Palatino Linotype" w:hAnsi="Palatino Linotype"/>
        </w:rPr>
        <w:t>,</w:t>
      </w:r>
      <w:r w:rsidR="00781E4A">
        <w:rPr>
          <w:rFonts w:ascii="Palatino Linotype" w:hAnsi="Palatino Linotype"/>
        </w:rPr>
        <w:t xml:space="preserve">300 MW </w:t>
      </w:r>
      <w:r>
        <w:rPr>
          <w:rFonts w:ascii="Palatino Linotype" w:hAnsi="Palatino Linotype"/>
        </w:rPr>
        <w:t xml:space="preserve">of incremental </w:t>
      </w:r>
      <w:r w:rsidR="00E4764F">
        <w:rPr>
          <w:rFonts w:ascii="Palatino Linotype" w:hAnsi="Palatino Linotype"/>
        </w:rPr>
        <w:t>resource adequacy (</w:t>
      </w:r>
      <w:r>
        <w:rPr>
          <w:rFonts w:ascii="Palatino Linotype" w:hAnsi="Palatino Linotype"/>
        </w:rPr>
        <w:t>RA</w:t>
      </w:r>
      <w:r w:rsidR="00E4764F">
        <w:rPr>
          <w:rFonts w:ascii="Palatino Linotype" w:hAnsi="Palatino Linotype"/>
        </w:rPr>
        <w:t>)</w:t>
      </w:r>
      <w:r>
        <w:rPr>
          <w:rFonts w:ascii="Palatino Linotype" w:hAnsi="Palatino Linotype"/>
        </w:rPr>
        <w:t xml:space="preserve"> capacity to come </w:t>
      </w:r>
      <w:r w:rsidR="000865A2">
        <w:rPr>
          <w:rFonts w:ascii="Palatino Linotype" w:hAnsi="Palatino Linotype"/>
        </w:rPr>
        <w:t xml:space="preserve"> </w:t>
      </w:r>
      <w:r w:rsidR="00781E4A">
        <w:rPr>
          <w:rFonts w:ascii="Palatino Linotype" w:hAnsi="Palatino Linotype"/>
        </w:rPr>
        <w:t xml:space="preserve">online by August 1, 2023. </w:t>
      </w:r>
      <w:r w:rsidR="00700A9A">
        <w:rPr>
          <w:rFonts w:ascii="Palatino Linotype" w:hAnsi="Palatino Linotype"/>
        </w:rPr>
        <w:t xml:space="preserve">Additionally, </w:t>
      </w:r>
      <w:r w:rsidR="00E4764F">
        <w:rPr>
          <w:rFonts w:ascii="Palatino Linotype" w:hAnsi="Palatino Linotype"/>
        </w:rPr>
        <w:t>50</w:t>
      </w:r>
      <w:r w:rsidR="006E20A8">
        <w:rPr>
          <w:rFonts w:ascii="Palatino Linotype" w:hAnsi="Palatino Linotype"/>
        </w:rPr>
        <w:t xml:space="preserve"> </w:t>
      </w:r>
      <w:r w:rsidR="00700A9A">
        <w:rPr>
          <w:rFonts w:ascii="Palatino Linotype" w:hAnsi="Palatino Linotype"/>
        </w:rPr>
        <w:t>percent of e</w:t>
      </w:r>
      <w:r w:rsidR="00781E4A">
        <w:rPr>
          <w:rFonts w:ascii="Palatino Linotype" w:hAnsi="Palatino Linotype"/>
        </w:rPr>
        <w:t>ach LSE</w:t>
      </w:r>
      <w:r w:rsidR="00E4764F">
        <w:rPr>
          <w:rFonts w:ascii="Palatino Linotype" w:hAnsi="Palatino Linotype"/>
        </w:rPr>
        <w:t>’</w:t>
      </w:r>
      <w:r w:rsidR="00700A9A">
        <w:rPr>
          <w:rFonts w:ascii="Palatino Linotype" w:hAnsi="Palatino Linotype"/>
        </w:rPr>
        <w:t>s portion</w:t>
      </w:r>
      <w:r w:rsidR="00DB25E4">
        <w:rPr>
          <w:rFonts w:ascii="Palatino Linotype" w:hAnsi="Palatino Linotype"/>
        </w:rPr>
        <w:t xml:space="preserve"> of the requirement</w:t>
      </w:r>
      <w:r w:rsidR="00700A9A">
        <w:rPr>
          <w:rFonts w:ascii="Palatino Linotype" w:hAnsi="Palatino Linotype"/>
        </w:rPr>
        <w:t xml:space="preserve"> must </w:t>
      </w:r>
      <w:r w:rsidR="00781E4A">
        <w:rPr>
          <w:rFonts w:ascii="Palatino Linotype" w:hAnsi="Palatino Linotype"/>
        </w:rPr>
        <w:t xml:space="preserve">come online by </w:t>
      </w:r>
      <w:r w:rsidR="00E25D8B">
        <w:rPr>
          <w:rFonts w:ascii="Palatino Linotype" w:hAnsi="Palatino Linotype"/>
        </w:rPr>
        <w:br/>
      </w:r>
      <w:r w:rsidR="00781E4A">
        <w:rPr>
          <w:rFonts w:ascii="Palatino Linotype" w:hAnsi="Palatino Linotype"/>
        </w:rPr>
        <w:t xml:space="preserve">August 1, 2021. </w:t>
      </w:r>
      <w:r w:rsidRPr="00016FE9" w:rsidR="00781E4A">
        <w:rPr>
          <w:rFonts w:ascii="Palatino Linotype" w:hAnsi="Palatino Linotype"/>
        </w:rPr>
        <w:t>S</w:t>
      </w:r>
      <w:r w:rsidRPr="00016FE9" w:rsidR="00016FE9">
        <w:rPr>
          <w:rFonts w:ascii="Palatino Linotype" w:hAnsi="Palatino Linotype"/>
        </w:rPr>
        <w:t>DG&amp;</w:t>
      </w:r>
      <w:r w:rsidRPr="00016FE9" w:rsidR="00781E4A">
        <w:rPr>
          <w:rFonts w:ascii="Palatino Linotype" w:hAnsi="Palatino Linotype"/>
        </w:rPr>
        <w:t xml:space="preserve">E’s share of the total requirement is </w:t>
      </w:r>
      <w:r w:rsidRPr="00016FE9" w:rsidR="00016FE9">
        <w:rPr>
          <w:rFonts w:ascii="Palatino Linotype" w:hAnsi="Palatino Linotype"/>
        </w:rPr>
        <w:t>292.9 M</w:t>
      </w:r>
      <w:r w:rsidR="00E4764F">
        <w:rPr>
          <w:rFonts w:ascii="Palatino Linotype" w:hAnsi="Palatino Linotype"/>
        </w:rPr>
        <w:t>W</w:t>
      </w:r>
      <w:r w:rsidRPr="00016FE9" w:rsidR="00016FE9">
        <w:rPr>
          <w:rFonts w:ascii="Palatino Linotype" w:hAnsi="Palatino Linotype"/>
        </w:rPr>
        <w:t xml:space="preserve"> for its current bundled customers and 8.4 MW for customers of opt-out LSEs. This</w:t>
      </w:r>
      <w:r w:rsidRPr="00016FE9" w:rsidR="00EE4C57">
        <w:rPr>
          <w:rFonts w:ascii="Palatino Linotype" w:hAnsi="Palatino Linotype"/>
        </w:rPr>
        <w:t xml:space="preserve"> mean</w:t>
      </w:r>
      <w:r w:rsidRPr="00016FE9" w:rsidR="00016FE9">
        <w:rPr>
          <w:rFonts w:ascii="Palatino Linotype" w:hAnsi="Palatino Linotype"/>
        </w:rPr>
        <w:t>s</w:t>
      </w:r>
      <w:r w:rsidRPr="00016FE9" w:rsidR="00EE4C57">
        <w:rPr>
          <w:rFonts w:ascii="Palatino Linotype" w:hAnsi="Palatino Linotype"/>
        </w:rPr>
        <w:t xml:space="preserve"> at least </w:t>
      </w:r>
      <w:r w:rsidRPr="00016FE9" w:rsidR="00016FE9">
        <w:rPr>
          <w:rFonts w:ascii="Palatino Linotype" w:hAnsi="Palatino Linotype"/>
        </w:rPr>
        <w:t>150.65</w:t>
      </w:r>
      <w:r w:rsidRPr="00016FE9" w:rsidR="006E20A8">
        <w:rPr>
          <w:rFonts w:ascii="Palatino Linotype" w:hAnsi="Palatino Linotype"/>
        </w:rPr>
        <w:t xml:space="preserve"> MW</w:t>
      </w:r>
      <w:r w:rsidRPr="00016FE9" w:rsidR="00EE4C57">
        <w:rPr>
          <w:rFonts w:ascii="Palatino Linotype" w:hAnsi="Palatino Linotype"/>
        </w:rPr>
        <w:t xml:space="preserve"> is due online by August 1, 2021.</w:t>
      </w:r>
      <w:r w:rsidRPr="00016FE9" w:rsidR="009E1543">
        <w:rPr>
          <w:rFonts w:ascii="Palatino Linotype" w:hAnsi="Palatino Linotype"/>
        </w:rPr>
        <w:t xml:space="preserve"> </w:t>
      </w:r>
      <w:r w:rsidRPr="00016FE9" w:rsidR="00D44D27">
        <w:rPr>
          <w:rFonts w:ascii="Palatino Linotype" w:hAnsi="Palatino Linotype"/>
        </w:rPr>
        <w:t xml:space="preserve">Pursuant to </w:t>
      </w:r>
      <w:r w:rsidR="00E25D8B">
        <w:rPr>
          <w:rFonts w:ascii="Palatino Linotype" w:hAnsi="Palatino Linotype"/>
        </w:rPr>
        <w:br/>
      </w:r>
      <w:r w:rsidRPr="00016FE9" w:rsidR="00D44D27">
        <w:rPr>
          <w:rFonts w:ascii="Palatino Linotype" w:hAnsi="Palatino Linotype"/>
        </w:rPr>
        <w:t>D.19-11-016,</w:t>
      </w:r>
      <w:r w:rsidRPr="00016FE9" w:rsidR="007803D2">
        <w:rPr>
          <w:rFonts w:ascii="Palatino Linotype" w:hAnsi="Palatino Linotype"/>
        </w:rPr>
        <w:t xml:space="preserve"> </w:t>
      </w:r>
      <w:r w:rsidRPr="00016FE9" w:rsidR="009E1543">
        <w:rPr>
          <w:rFonts w:ascii="Palatino Linotype" w:hAnsi="Palatino Linotype"/>
        </w:rPr>
        <w:t>c</w:t>
      </w:r>
      <w:r w:rsidRPr="00016FE9" w:rsidR="007803D2">
        <w:rPr>
          <w:rFonts w:ascii="Palatino Linotype" w:hAnsi="Palatino Linotype"/>
        </w:rPr>
        <w:t xml:space="preserve">ommunity choice aggregators (CCAs) and electric service providers (ESPs) were given an opportunity to elect not to self-provide their procurement requirements by notifying the Commission </w:t>
      </w:r>
      <w:r w:rsidRPr="00016FE9" w:rsidR="009108FE">
        <w:rPr>
          <w:rFonts w:ascii="Palatino Linotype" w:hAnsi="Palatino Linotype"/>
        </w:rPr>
        <w:t>by</w:t>
      </w:r>
      <w:r w:rsidRPr="00016FE9" w:rsidR="007803D2">
        <w:rPr>
          <w:rFonts w:ascii="Palatino Linotype" w:hAnsi="Palatino Linotype"/>
        </w:rPr>
        <w:t xml:space="preserve"> February</w:t>
      </w:r>
      <w:r w:rsidRPr="00016FE9" w:rsidR="009108FE">
        <w:rPr>
          <w:rFonts w:ascii="Palatino Linotype" w:hAnsi="Palatino Linotype"/>
        </w:rPr>
        <w:t xml:space="preserve"> 15,</w:t>
      </w:r>
      <w:r w:rsidRPr="00016FE9" w:rsidR="007803D2">
        <w:rPr>
          <w:rFonts w:ascii="Palatino Linotype" w:hAnsi="Palatino Linotype"/>
        </w:rPr>
        <w:t xml:space="preserve"> 2020. </w:t>
      </w:r>
      <w:r w:rsidRPr="00016FE9" w:rsidR="009108FE">
        <w:rPr>
          <w:rFonts w:ascii="Palatino Linotype" w:hAnsi="Palatino Linotype"/>
        </w:rPr>
        <w:t>To the extent these LSEs elected not to self</w:t>
      </w:r>
      <w:r w:rsidRPr="00016FE9" w:rsidR="00D44D27">
        <w:rPr>
          <w:rFonts w:ascii="Palatino Linotype" w:hAnsi="Palatino Linotype"/>
        </w:rPr>
        <w:t>-</w:t>
      </w:r>
      <w:r w:rsidRPr="00016FE9" w:rsidR="009108FE">
        <w:rPr>
          <w:rFonts w:ascii="Palatino Linotype" w:hAnsi="Palatino Linotype"/>
        </w:rPr>
        <w:t xml:space="preserve">provide, the Commission required the relevant </w:t>
      </w:r>
      <w:r w:rsidR="00E4764F">
        <w:rPr>
          <w:rFonts w:ascii="Palatino Linotype" w:hAnsi="Palatino Linotype"/>
        </w:rPr>
        <w:t>investor-owned utility (</w:t>
      </w:r>
      <w:r w:rsidRPr="00016FE9" w:rsidR="009108FE">
        <w:rPr>
          <w:rFonts w:ascii="Palatino Linotype" w:hAnsi="Palatino Linotype"/>
        </w:rPr>
        <w:t>IOU</w:t>
      </w:r>
      <w:r w:rsidR="00E4764F">
        <w:rPr>
          <w:rFonts w:ascii="Palatino Linotype" w:hAnsi="Palatino Linotype"/>
        </w:rPr>
        <w:t>)</w:t>
      </w:r>
      <w:r w:rsidRPr="00016FE9" w:rsidR="009108FE">
        <w:rPr>
          <w:rFonts w:ascii="Palatino Linotype" w:hAnsi="Palatino Linotype"/>
        </w:rPr>
        <w:t xml:space="preserve"> to procure on behalf of these</w:t>
      </w:r>
      <w:r w:rsidRPr="00016FE9" w:rsidR="00016FE9">
        <w:rPr>
          <w:rFonts w:ascii="Palatino Linotype" w:hAnsi="Palatino Linotype"/>
        </w:rPr>
        <w:t xml:space="preserve"> opt-out</w:t>
      </w:r>
      <w:r w:rsidRPr="00016FE9" w:rsidR="009108FE">
        <w:rPr>
          <w:rFonts w:ascii="Palatino Linotype" w:hAnsi="Palatino Linotype"/>
        </w:rPr>
        <w:t xml:space="preserve"> LSEs and have the costs allocated to the customers of the</w:t>
      </w:r>
      <w:r w:rsidRPr="00016FE9" w:rsidR="00D44D27">
        <w:rPr>
          <w:rFonts w:ascii="Palatino Linotype" w:hAnsi="Palatino Linotype"/>
        </w:rPr>
        <w:t xml:space="preserve">se LSEs </w:t>
      </w:r>
      <w:r w:rsidRPr="00016FE9" w:rsidR="009108FE">
        <w:rPr>
          <w:rFonts w:ascii="Palatino Linotype" w:hAnsi="Palatino Linotype"/>
        </w:rPr>
        <w:t>on a non</w:t>
      </w:r>
      <w:r w:rsidRPr="00016FE9" w:rsidR="009E1543">
        <w:rPr>
          <w:rFonts w:ascii="Palatino Linotype" w:hAnsi="Palatino Linotype"/>
        </w:rPr>
        <w:t>-</w:t>
      </w:r>
      <w:proofErr w:type="spellStart"/>
      <w:r w:rsidRPr="00016FE9" w:rsidR="009108FE">
        <w:rPr>
          <w:rFonts w:ascii="Palatino Linotype" w:hAnsi="Palatino Linotype"/>
        </w:rPr>
        <w:t>bypassable</w:t>
      </w:r>
      <w:proofErr w:type="spellEnd"/>
      <w:r w:rsidRPr="00016FE9" w:rsidR="00D44D27">
        <w:rPr>
          <w:rFonts w:ascii="Palatino Linotype" w:hAnsi="Palatino Linotype"/>
        </w:rPr>
        <w:t xml:space="preserve"> </w:t>
      </w:r>
      <w:r w:rsidRPr="00016FE9" w:rsidR="009108FE">
        <w:rPr>
          <w:rFonts w:ascii="Palatino Linotype" w:hAnsi="Palatino Linotype"/>
        </w:rPr>
        <w:t>basis based on a modified cost allocation mechanism (CAM).</w:t>
      </w:r>
      <w:r w:rsidRPr="00016FE9" w:rsidR="00EE4C57">
        <w:rPr>
          <w:rFonts w:ascii="Palatino Linotype" w:hAnsi="Palatino Linotype"/>
        </w:rPr>
        <w:t xml:space="preserve"> </w:t>
      </w:r>
    </w:p>
    <w:p w:rsidR="00D44D27" w:rsidP="00004AE4" w:rsidRDefault="00D44D27" w14:paraId="69EB0988" w14:textId="77777777">
      <w:pPr>
        <w:autoSpaceDE w:val="0"/>
        <w:autoSpaceDN w:val="0"/>
        <w:adjustRightInd w:val="0"/>
        <w:rPr>
          <w:rFonts w:ascii="Palatino Linotype" w:hAnsi="Palatino Linotype"/>
        </w:rPr>
      </w:pPr>
    </w:p>
    <w:p w:rsidRPr="00283EFE" w:rsidR="00525242" w:rsidP="00283EFE" w:rsidRDefault="00D14145" w14:paraId="666B6AB2" w14:textId="0515DC15">
      <w:pPr>
        <w:autoSpaceDE w:val="0"/>
        <w:autoSpaceDN w:val="0"/>
        <w:adjustRightInd w:val="0"/>
        <w:rPr>
          <w:rFonts w:ascii="Arial" w:hAnsi="Arial" w:cs="Arial"/>
          <w:color w:val="000000"/>
          <w:sz w:val="24"/>
          <w:szCs w:val="24"/>
        </w:rPr>
      </w:pPr>
      <w:r>
        <w:rPr>
          <w:rFonts w:ascii="Palatino Linotype" w:hAnsi="Palatino Linotype"/>
        </w:rPr>
        <w:t xml:space="preserve">The Decision </w:t>
      </w:r>
      <w:r w:rsidR="00DB25E4">
        <w:rPr>
          <w:rFonts w:ascii="Palatino Linotype" w:hAnsi="Palatino Linotype"/>
        </w:rPr>
        <w:t xml:space="preserve">also requires that the IOUs conduct all source solicitations to procure their share to the procurement requirement and </w:t>
      </w:r>
      <w:proofErr w:type="gramStart"/>
      <w:r w:rsidR="006E20A8">
        <w:rPr>
          <w:rFonts w:ascii="Palatino Linotype" w:hAnsi="Palatino Linotype"/>
        </w:rPr>
        <w:t xml:space="preserve">submit </w:t>
      </w:r>
      <w:r w:rsidR="00DB25E4">
        <w:rPr>
          <w:rFonts w:ascii="Palatino Linotype" w:hAnsi="Palatino Linotype"/>
        </w:rPr>
        <w:t xml:space="preserve"> the</w:t>
      </w:r>
      <w:proofErr w:type="gramEnd"/>
      <w:r w:rsidR="00DB25E4">
        <w:rPr>
          <w:rFonts w:ascii="Palatino Linotype" w:hAnsi="Palatino Linotype"/>
        </w:rPr>
        <w:t xml:space="preserve"> results of these </w:t>
      </w:r>
      <w:r w:rsidR="00F333B9">
        <w:rPr>
          <w:rFonts w:ascii="Palatino Linotype" w:hAnsi="Palatino Linotype"/>
        </w:rPr>
        <w:t>solicitations</w:t>
      </w:r>
      <w:r w:rsidR="00DB25E4">
        <w:rPr>
          <w:rFonts w:ascii="Palatino Linotype" w:hAnsi="Palatino Linotype"/>
        </w:rPr>
        <w:t xml:space="preserve"> in</w:t>
      </w:r>
      <w:r>
        <w:rPr>
          <w:rFonts w:ascii="Palatino Linotype" w:hAnsi="Palatino Linotype"/>
        </w:rPr>
        <w:t xml:space="preserve"> Tier 3 Advice Letter</w:t>
      </w:r>
      <w:r w:rsidR="00E4764F">
        <w:rPr>
          <w:rFonts w:ascii="Palatino Linotype" w:hAnsi="Palatino Linotype"/>
        </w:rPr>
        <w:t>s</w:t>
      </w:r>
      <w:r w:rsidR="00F333B9">
        <w:rPr>
          <w:rFonts w:ascii="Palatino Linotype" w:hAnsi="Palatino Linotype"/>
        </w:rPr>
        <w:t xml:space="preserve"> that</w:t>
      </w:r>
      <w:r>
        <w:rPr>
          <w:rFonts w:ascii="Palatino Linotype" w:hAnsi="Palatino Linotype"/>
        </w:rPr>
        <w:t xml:space="preserve"> </w:t>
      </w:r>
      <w:r w:rsidR="00525242">
        <w:rPr>
          <w:rFonts w:ascii="Palatino Linotype" w:hAnsi="Palatino Linotype"/>
        </w:rPr>
        <w:t>contain a description of the solicitation and procurement process, including</w:t>
      </w:r>
      <w:r>
        <w:rPr>
          <w:rFonts w:ascii="Palatino Linotype" w:hAnsi="Palatino Linotype"/>
        </w:rPr>
        <w:t>:</w:t>
      </w:r>
    </w:p>
    <w:p w:rsidRPr="00525242" w:rsidR="00B458F8" w:rsidP="00B458F8" w:rsidRDefault="00B458F8" w14:paraId="489D1F0D" w14:textId="77777777">
      <w:pPr>
        <w:pStyle w:val="ListParagraph"/>
        <w:numPr>
          <w:ilvl w:val="0"/>
          <w:numId w:val="22"/>
        </w:numPr>
        <w:spacing w:after="0" w:line="240" w:lineRule="auto"/>
        <w:rPr>
          <w:rFonts w:ascii="Palatino Linotype" w:hAnsi="Palatino Linotype"/>
          <w:sz w:val="26"/>
          <w:szCs w:val="26"/>
        </w:rPr>
      </w:pPr>
      <w:r w:rsidRPr="00525242">
        <w:rPr>
          <w:rFonts w:ascii="Palatino Linotype" w:hAnsi="Palatino Linotype"/>
          <w:sz w:val="26"/>
          <w:szCs w:val="26"/>
        </w:rPr>
        <w:lastRenderedPageBreak/>
        <w:t>Metrics used to compare bids received in the solicitation;</w:t>
      </w:r>
    </w:p>
    <w:p w:rsidRPr="00525242" w:rsidR="00B458F8" w:rsidP="00B458F8" w:rsidRDefault="00B458F8" w14:paraId="4EBD0020" w14:textId="7DC04F5D">
      <w:pPr>
        <w:pStyle w:val="ListParagraph"/>
        <w:numPr>
          <w:ilvl w:val="0"/>
          <w:numId w:val="22"/>
        </w:numPr>
        <w:spacing w:after="0" w:line="240" w:lineRule="auto"/>
        <w:rPr>
          <w:rFonts w:ascii="Palatino Linotype" w:hAnsi="Palatino Linotype"/>
          <w:sz w:val="26"/>
          <w:szCs w:val="26"/>
        </w:rPr>
      </w:pPr>
      <w:r w:rsidRPr="00525242">
        <w:rPr>
          <w:rFonts w:ascii="Palatino Linotype" w:hAnsi="Palatino Linotype"/>
          <w:sz w:val="26"/>
          <w:szCs w:val="26"/>
        </w:rPr>
        <w:t>Metrics used to compare utility-owned resource options, using Appendix A, Section 2c, of Decision 19-06-032 as a guide;</w:t>
      </w:r>
      <w:r w:rsidR="00E4764F">
        <w:rPr>
          <w:rFonts w:ascii="Palatino Linotype" w:hAnsi="Palatino Linotype"/>
          <w:sz w:val="26"/>
          <w:szCs w:val="26"/>
        </w:rPr>
        <w:t xml:space="preserve"> and</w:t>
      </w:r>
    </w:p>
    <w:p w:rsidRPr="00525242" w:rsidR="00B458F8" w:rsidP="00B458F8" w:rsidRDefault="00B458F8" w14:paraId="5BE655FE" w14:textId="1EB36596">
      <w:pPr>
        <w:pStyle w:val="ListParagraph"/>
        <w:numPr>
          <w:ilvl w:val="0"/>
          <w:numId w:val="22"/>
        </w:numPr>
        <w:spacing w:after="0" w:line="240" w:lineRule="auto"/>
        <w:rPr>
          <w:rFonts w:ascii="Palatino Linotype" w:hAnsi="Palatino Linotype"/>
          <w:sz w:val="26"/>
          <w:szCs w:val="26"/>
        </w:rPr>
      </w:pPr>
      <w:r w:rsidRPr="00525242">
        <w:rPr>
          <w:rFonts w:ascii="Palatino Linotype" w:hAnsi="Palatino Linotype"/>
          <w:sz w:val="26"/>
          <w:szCs w:val="26"/>
        </w:rPr>
        <w:t xml:space="preserve">Demonstration of incrementality to the baseline given in Ordering Paragraph 5 of this </w:t>
      </w:r>
      <w:r w:rsidR="006E20A8">
        <w:rPr>
          <w:rFonts w:ascii="Palatino Linotype" w:hAnsi="Palatino Linotype"/>
          <w:sz w:val="26"/>
          <w:szCs w:val="26"/>
        </w:rPr>
        <w:t>D</w:t>
      </w:r>
      <w:r w:rsidRPr="00525242">
        <w:rPr>
          <w:rFonts w:ascii="Palatino Linotype" w:hAnsi="Palatino Linotype"/>
          <w:sz w:val="26"/>
          <w:szCs w:val="26"/>
        </w:rPr>
        <w:t>ecision.</w:t>
      </w:r>
    </w:p>
    <w:p w:rsidR="00B458F8" w:rsidP="00B458F8" w:rsidRDefault="00B458F8" w14:paraId="257D8865" w14:textId="77777777">
      <w:pPr>
        <w:pStyle w:val="ListParagraph"/>
        <w:spacing w:after="0" w:line="240" w:lineRule="auto"/>
        <w:ind w:left="1080"/>
      </w:pPr>
    </w:p>
    <w:p w:rsidR="00525242" w:rsidP="00525242" w:rsidRDefault="00525242" w14:paraId="616FCFF5" w14:textId="30B69135">
      <w:pPr>
        <w:autoSpaceDE w:val="0"/>
        <w:autoSpaceDN w:val="0"/>
        <w:adjustRightInd w:val="0"/>
        <w:rPr>
          <w:rFonts w:ascii="Palatino Linotype" w:hAnsi="Palatino Linotype" w:cs="Arial"/>
          <w:b/>
          <w:szCs w:val="26"/>
        </w:rPr>
      </w:pPr>
    </w:p>
    <w:p w:rsidR="00375022" w:rsidP="00375022" w:rsidRDefault="00375022" w14:paraId="7F0A1C6E" w14:textId="43D20612">
      <w:pPr>
        <w:autoSpaceDE w:val="0"/>
        <w:autoSpaceDN w:val="0"/>
        <w:rPr>
          <w:rFonts w:ascii="Palatino Linotype" w:hAnsi="Palatino Linotype"/>
          <w:b/>
        </w:rPr>
      </w:pPr>
      <w:r w:rsidRPr="00375022">
        <w:rPr>
          <w:rFonts w:ascii="Palatino Linotype" w:hAnsi="Palatino Linotype" w:cs="Arial"/>
          <w:b/>
          <w:szCs w:val="26"/>
        </w:rPr>
        <w:t>Details of S</w:t>
      </w:r>
      <w:r w:rsidR="00016FE9">
        <w:rPr>
          <w:rFonts w:ascii="Palatino Linotype" w:hAnsi="Palatino Linotype" w:cs="Arial"/>
          <w:b/>
          <w:szCs w:val="26"/>
        </w:rPr>
        <w:t>DG&amp;</w:t>
      </w:r>
      <w:r w:rsidRPr="00375022">
        <w:rPr>
          <w:rFonts w:ascii="Palatino Linotype" w:hAnsi="Palatino Linotype" w:cs="Arial"/>
          <w:b/>
          <w:szCs w:val="26"/>
        </w:rPr>
        <w:t>E</w:t>
      </w:r>
      <w:r w:rsidR="00DF1DFB">
        <w:rPr>
          <w:rFonts w:ascii="Palatino Linotype" w:hAnsi="Palatino Linotype" w:cs="Arial"/>
          <w:b/>
          <w:szCs w:val="26"/>
        </w:rPr>
        <w:t>’</w:t>
      </w:r>
      <w:r w:rsidRPr="00375022">
        <w:rPr>
          <w:rFonts w:ascii="Palatino Linotype" w:hAnsi="Palatino Linotype" w:cs="Arial"/>
          <w:b/>
          <w:szCs w:val="26"/>
        </w:rPr>
        <w:t xml:space="preserve">s </w:t>
      </w:r>
      <w:r w:rsidRPr="0092671E">
        <w:rPr>
          <w:rFonts w:ascii="Palatino Linotype" w:hAnsi="Palatino Linotype"/>
          <w:b/>
        </w:rPr>
        <w:t xml:space="preserve">Request for Offers </w:t>
      </w:r>
    </w:p>
    <w:p w:rsidRPr="0092671E" w:rsidR="00375022" w:rsidP="00375022" w:rsidRDefault="00375022" w14:paraId="1F6E7EB1" w14:textId="6CFF1847">
      <w:pPr>
        <w:autoSpaceDE w:val="0"/>
        <w:autoSpaceDN w:val="0"/>
        <w:rPr>
          <w:rFonts w:ascii="Palatino Linotype" w:hAnsi="Palatino Linotype"/>
          <w:bCs/>
        </w:rPr>
      </w:pPr>
    </w:p>
    <w:p w:rsidR="00375022" w:rsidP="00B02361" w:rsidRDefault="00375022" w14:paraId="7513016C" w14:textId="3B10048A">
      <w:pPr>
        <w:autoSpaceDE w:val="0"/>
        <w:autoSpaceDN w:val="0"/>
        <w:adjustRightInd w:val="0"/>
        <w:rPr>
          <w:rFonts w:ascii="Palatino Linotype" w:hAnsi="Palatino Linotype" w:cs="Arial"/>
          <w:color w:val="000000"/>
          <w:szCs w:val="26"/>
        </w:rPr>
      </w:pPr>
      <w:r w:rsidRPr="0092671E">
        <w:rPr>
          <w:rFonts w:ascii="Palatino Linotype" w:hAnsi="Palatino Linotype" w:cs="Arial"/>
          <w:color w:val="000000"/>
          <w:szCs w:val="26"/>
        </w:rPr>
        <w:t>S</w:t>
      </w:r>
      <w:r w:rsidR="00325A6F">
        <w:rPr>
          <w:rFonts w:ascii="Palatino Linotype" w:hAnsi="Palatino Linotype" w:cs="Arial"/>
          <w:color w:val="000000"/>
          <w:szCs w:val="26"/>
        </w:rPr>
        <w:t>DG&amp;E</w:t>
      </w:r>
      <w:r w:rsidRPr="0092671E">
        <w:rPr>
          <w:rFonts w:ascii="Palatino Linotype" w:hAnsi="Palatino Linotype" w:cs="Arial"/>
          <w:color w:val="000000"/>
          <w:szCs w:val="26"/>
        </w:rPr>
        <w:t xml:space="preserve"> launched its RFO on </w:t>
      </w:r>
      <w:r w:rsidR="00325A6F">
        <w:rPr>
          <w:rFonts w:ascii="Palatino Linotype" w:hAnsi="Palatino Linotype" w:cs="Arial"/>
          <w:color w:val="000000"/>
          <w:szCs w:val="26"/>
        </w:rPr>
        <w:t>December 13</w:t>
      </w:r>
      <w:r w:rsidRPr="0092671E">
        <w:rPr>
          <w:rFonts w:ascii="Palatino Linotype" w:hAnsi="Palatino Linotype" w:cs="Arial"/>
          <w:color w:val="000000"/>
          <w:szCs w:val="26"/>
        </w:rPr>
        <w:t xml:space="preserve">, 2019, in </w:t>
      </w:r>
      <w:r w:rsidR="00325A6F">
        <w:rPr>
          <w:rFonts w:ascii="Palatino Linotype" w:hAnsi="Palatino Linotype" w:cs="Arial"/>
          <w:color w:val="000000"/>
          <w:szCs w:val="26"/>
        </w:rPr>
        <w:t xml:space="preserve">response to Decision 19-11-016. A single solicitation was conducted to procure resources to come online by August 1 of 2021, 2022, and 2023. </w:t>
      </w:r>
    </w:p>
    <w:p w:rsidRPr="0092671E" w:rsidR="0092671E" w:rsidP="00B02361" w:rsidRDefault="0092671E" w14:paraId="39C5F327" w14:textId="77777777">
      <w:pPr>
        <w:autoSpaceDE w:val="0"/>
        <w:autoSpaceDN w:val="0"/>
        <w:adjustRightInd w:val="0"/>
        <w:rPr>
          <w:rFonts w:ascii="Palatino Linotype" w:hAnsi="Palatino Linotype" w:cs="Arial"/>
          <w:color w:val="000000"/>
          <w:szCs w:val="26"/>
        </w:rPr>
      </w:pPr>
    </w:p>
    <w:p w:rsidRPr="0092671E" w:rsidR="005234CB" w:rsidP="005234CB" w:rsidRDefault="00325A6F" w14:paraId="04459452" w14:textId="58FD6B51">
      <w:pPr>
        <w:autoSpaceDE w:val="0"/>
        <w:autoSpaceDN w:val="0"/>
        <w:adjustRightInd w:val="0"/>
        <w:rPr>
          <w:rFonts w:ascii="Palatino Linotype" w:hAnsi="Palatino Linotype" w:cs="Arial"/>
          <w:color w:val="000000"/>
          <w:szCs w:val="26"/>
        </w:rPr>
      </w:pPr>
      <w:r>
        <w:rPr>
          <w:rFonts w:ascii="Palatino Linotype" w:hAnsi="Palatino Linotype" w:cs="Arial"/>
          <w:color w:val="000000"/>
          <w:szCs w:val="26"/>
        </w:rPr>
        <w:t>All projects were required to be eligible for system RA, and to include Full Capacity Deliverability Status (FCDS).</w:t>
      </w:r>
      <w:r w:rsidRPr="0092671E" w:rsidR="005234CB">
        <w:rPr>
          <w:rFonts w:ascii="Palatino Linotype" w:hAnsi="Palatino Linotype" w:cs="Arial"/>
          <w:color w:val="000000"/>
          <w:szCs w:val="26"/>
        </w:rPr>
        <w:t xml:space="preserve">  </w:t>
      </w:r>
      <w:r>
        <w:rPr>
          <w:rFonts w:ascii="Palatino Linotype" w:hAnsi="Palatino Linotype" w:cs="Arial"/>
          <w:color w:val="000000"/>
          <w:szCs w:val="26"/>
        </w:rPr>
        <w:t xml:space="preserve">Other attributes, such as Local RA, renewable energy credits, and energy were allowed as well. </w:t>
      </w:r>
      <w:r w:rsidRPr="0092671E" w:rsidR="005234CB">
        <w:rPr>
          <w:rFonts w:ascii="Palatino Linotype" w:hAnsi="Palatino Linotype" w:cs="Arial"/>
          <w:color w:val="000000"/>
          <w:szCs w:val="26"/>
        </w:rPr>
        <w:t>All projects were required to be incremental to the baseline resource assumptions identified by the Commission in D.19-11-016.</w:t>
      </w:r>
    </w:p>
    <w:p w:rsidRPr="0092671E" w:rsidR="005234CB" w:rsidP="005234CB" w:rsidRDefault="005234CB" w14:paraId="4C46B63B" w14:textId="4FC9D7D0">
      <w:pPr>
        <w:autoSpaceDE w:val="0"/>
        <w:autoSpaceDN w:val="0"/>
        <w:adjustRightInd w:val="0"/>
        <w:rPr>
          <w:rFonts w:ascii="Palatino Linotype" w:hAnsi="Palatino Linotype" w:cs="Arial"/>
          <w:color w:val="000000"/>
          <w:szCs w:val="26"/>
        </w:rPr>
      </w:pPr>
    </w:p>
    <w:p w:rsidRPr="0092671E" w:rsidR="005234CB" w:rsidP="005234CB" w:rsidRDefault="005234CB" w14:paraId="624501AF" w14:textId="6E270B08">
      <w:pPr>
        <w:autoSpaceDE w:val="0"/>
        <w:autoSpaceDN w:val="0"/>
        <w:adjustRightInd w:val="0"/>
        <w:rPr>
          <w:rFonts w:ascii="Palatino Linotype" w:hAnsi="Palatino Linotype" w:cs="Arial"/>
          <w:color w:val="000000"/>
          <w:szCs w:val="26"/>
        </w:rPr>
      </w:pPr>
      <w:r w:rsidRPr="0092671E">
        <w:rPr>
          <w:rFonts w:ascii="Palatino Linotype" w:hAnsi="Palatino Linotype" w:cs="Arial"/>
          <w:color w:val="000000"/>
          <w:szCs w:val="26"/>
        </w:rPr>
        <w:t xml:space="preserve">The following table documents </w:t>
      </w:r>
      <w:r w:rsidR="00325A6F">
        <w:rPr>
          <w:rFonts w:ascii="Palatino Linotype" w:hAnsi="Palatino Linotype" w:cs="Arial"/>
          <w:color w:val="000000"/>
          <w:szCs w:val="26"/>
        </w:rPr>
        <w:t>SDG&amp;E’s RFO schedule:</w:t>
      </w:r>
    </w:p>
    <w:p w:rsidRPr="0092671E" w:rsidR="005234CB" w:rsidP="005234CB" w:rsidRDefault="005234CB" w14:paraId="5E7A37C0" w14:textId="04C28A46">
      <w:pPr>
        <w:autoSpaceDE w:val="0"/>
        <w:autoSpaceDN w:val="0"/>
        <w:adjustRightInd w:val="0"/>
        <w:rPr>
          <w:rFonts w:ascii="Palatino Linotype" w:hAnsi="Palatino Linotype" w:cs="Arial"/>
          <w:color w:val="000000"/>
          <w:szCs w:val="26"/>
        </w:rPr>
      </w:pPr>
    </w:p>
    <w:tbl>
      <w:tblPr>
        <w:tblW w:w="8100" w:type="dxa"/>
        <w:tblLook w:val="04A0" w:firstRow="1" w:lastRow="0" w:firstColumn="1" w:lastColumn="0" w:noHBand="0" w:noVBand="1"/>
      </w:tblPr>
      <w:tblGrid>
        <w:gridCol w:w="8100"/>
      </w:tblGrid>
      <w:tr w:rsidRPr="00501955" w:rsidR="005234CB" w:rsidTr="005234CB" w14:paraId="75342A78"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4472C4" w:fill="4472C4"/>
            <w:noWrap/>
            <w:vAlign w:val="center"/>
            <w:hideMark/>
          </w:tcPr>
          <w:p w:rsidRPr="0092671E" w:rsidR="005234CB" w:rsidP="005234CB" w:rsidRDefault="005234CB" w14:paraId="79455E00" w14:textId="77777777">
            <w:pPr>
              <w:rPr>
                <w:rFonts w:ascii="Palatino Linotype" w:hAnsi="Palatino Linotype" w:cs="Arial"/>
                <w:color w:val="000000"/>
                <w:szCs w:val="26"/>
              </w:rPr>
            </w:pPr>
            <w:r w:rsidRPr="0092671E">
              <w:rPr>
                <w:rFonts w:ascii="Palatino Linotype" w:hAnsi="Palatino Linotype" w:cs="Arial"/>
                <w:color w:val="000000"/>
                <w:szCs w:val="26"/>
              </w:rPr>
              <w:t>Date RFO Event</w:t>
            </w:r>
          </w:p>
        </w:tc>
      </w:tr>
      <w:tr w:rsidRPr="00501955" w:rsidR="005234CB" w:rsidTr="005234CB" w14:paraId="6E74838B"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D9E1F2" w:fill="D9E1F2"/>
            <w:noWrap/>
            <w:vAlign w:val="center"/>
            <w:hideMark/>
          </w:tcPr>
          <w:p w:rsidRPr="0092671E" w:rsidR="005234CB" w:rsidP="005234CB" w:rsidRDefault="00016FE9" w14:paraId="6D4E4330" w14:textId="7CFA6EC4">
            <w:pPr>
              <w:rPr>
                <w:rFonts w:ascii="Palatino Linotype" w:hAnsi="Palatino Linotype" w:cs="Arial"/>
                <w:color w:val="000000"/>
                <w:szCs w:val="26"/>
              </w:rPr>
            </w:pPr>
            <w:r>
              <w:rPr>
                <w:rFonts w:ascii="Palatino Linotype" w:hAnsi="Palatino Linotype" w:cs="Arial"/>
                <w:color w:val="000000"/>
                <w:szCs w:val="26"/>
              </w:rPr>
              <w:t>December 13</w:t>
            </w:r>
            <w:r w:rsidRPr="0092671E" w:rsidR="005234CB">
              <w:rPr>
                <w:rFonts w:ascii="Palatino Linotype" w:hAnsi="Palatino Linotype" w:cs="Arial"/>
                <w:color w:val="000000"/>
                <w:szCs w:val="26"/>
              </w:rPr>
              <w:t>, 2019 RFO Launch</w:t>
            </w:r>
          </w:p>
        </w:tc>
      </w:tr>
      <w:tr w:rsidRPr="00501955" w:rsidR="005234CB" w:rsidTr="005234CB" w14:paraId="73DFA904"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auto" w:fill="auto"/>
            <w:noWrap/>
            <w:vAlign w:val="center"/>
            <w:hideMark/>
          </w:tcPr>
          <w:p w:rsidRPr="0092671E" w:rsidR="005234CB" w:rsidP="005234CB" w:rsidRDefault="00016FE9" w14:paraId="06E7561F" w14:textId="33CF0E03">
            <w:pPr>
              <w:rPr>
                <w:rFonts w:ascii="Palatino Linotype" w:hAnsi="Palatino Linotype" w:cs="Arial"/>
                <w:color w:val="000000"/>
                <w:szCs w:val="26"/>
              </w:rPr>
            </w:pPr>
            <w:r>
              <w:rPr>
                <w:rFonts w:ascii="Palatino Linotype" w:hAnsi="Palatino Linotype" w:cs="Arial"/>
                <w:color w:val="000000"/>
                <w:szCs w:val="26"/>
              </w:rPr>
              <w:t>January 10</w:t>
            </w:r>
            <w:r w:rsidRPr="0092671E" w:rsidR="005234CB">
              <w:rPr>
                <w:rFonts w:ascii="Palatino Linotype" w:hAnsi="Palatino Linotype" w:cs="Arial"/>
                <w:color w:val="000000"/>
                <w:szCs w:val="26"/>
              </w:rPr>
              <w:t>, 20</w:t>
            </w:r>
            <w:r>
              <w:rPr>
                <w:rFonts w:ascii="Palatino Linotype" w:hAnsi="Palatino Linotype" w:cs="Arial"/>
                <w:color w:val="000000"/>
                <w:szCs w:val="26"/>
              </w:rPr>
              <w:t>20</w:t>
            </w:r>
            <w:r w:rsidRPr="0092671E" w:rsidR="005234CB">
              <w:rPr>
                <w:rFonts w:ascii="Palatino Linotype" w:hAnsi="Palatino Linotype" w:cs="Arial"/>
                <w:color w:val="000000"/>
                <w:szCs w:val="26"/>
              </w:rPr>
              <w:t xml:space="preserve"> </w:t>
            </w:r>
            <w:r>
              <w:rPr>
                <w:rFonts w:ascii="Palatino Linotype" w:hAnsi="Palatino Linotype" w:cs="Arial"/>
                <w:color w:val="000000"/>
                <w:szCs w:val="26"/>
              </w:rPr>
              <w:t>Pre-Bid</w:t>
            </w:r>
            <w:r w:rsidRPr="0092671E" w:rsidR="005234CB">
              <w:rPr>
                <w:rFonts w:ascii="Palatino Linotype" w:hAnsi="Palatino Linotype" w:cs="Arial"/>
                <w:color w:val="000000"/>
                <w:szCs w:val="26"/>
              </w:rPr>
              <w:t xml:space="preserve"> Conference</w:t>
            </w:r>
          </w:p>
        </w:tc>
      </w:tr>
      <w:tr w:rsidRPr="00501955" w:rsidR="005234CB" w:rsidTr="005234CB" w14:paraId="25CB5DBE"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D9E1F2" w:fill="D9E1F2"/>
            <w:noWrap/>
            <w:vAlign w:val="center"/>
            <w:hideMark/>
          </w:tcPr>
          <w:p w:rsidRPr="0092671E" w:rsidR="005234CB" w:rsidP="005234CB" w:rsidRDefault="00016FE9" w14:paraId="666402C6" w14:textId="6D64D2D8">
            <w:pPr>
              <w:rPr>
                <w:rFonts w:ascii="Palatino Linotype" w:hAnsi="Palatino Linotype" w:cs="Arial"/>
                <w:color w:val="000000"/>
                <w:szCs w:val="26"/>
              </w:rPr>
            </w:pPr>
            <w:r>
              <w:rPr>
                <w:rFonts w:ascii="Palatino Linotype" w:hAnsi="Palatino Linotype" w:cs="Arial"/>
                <w:color w:val="000000"/>
                <w:szCs w:val="26"/>
              </w:rPr>
              <w:t>February 7, 2020 Deadline for Bid Submittal</w:t>
            </w:r>
          </w:p>
        </w:tc>
      </w:tr>
      <w:tr w:rsidRPr="00501955" w:rsidR="005234CB" w:rsidTr="005234CB" w14:paraId="4B7E83D1"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auto" w:fill="auto"/>
            <w:noWrap/>
            <w:vAlign w:val="center"/>
            <w:hideMark/>
          </w:tcPr>
          <w:p w:rsidRPr="0092671E" w:rsidR="005234CB" w:rsidP="005234CB" w:rsidRDefault="00016FE9" w14:paraId="05D80683" w14:textId="5ADEE060">
            <w:pPr>
              <w:rPr>
                <w:rFonts w:ascii="Palatino Linotype" w:hAnsi="Palatino Linotype" w:cs="Arial"/>
                <w:color w:val="000000"/>
                <w:szCs w:val="26"/>
              </w:rPr>
            </w:pPr>
            <w:r>
              <w:rPr>
                <w:rFonts w:ascii="Palatino Linotype" w:hAnsi="Palatino Linotype" w:cs="Arial"/>
                <w:color w:val="000000"/>
                <w:szCs w:val="26"/>
              </w:rPr>
              <w:t>May 20, 2020 Initial Shortlist Notification</w:t>
            </w:r>
          </w:p>
        </w:tc>
      </w:tr>
      <w:tr w:rsidRPr="00501955" w:rsidR="005234CB" w:rsidTr="005234CB" w14:paraId="705C2520"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D9E1F2" w:fill="D9E1F2"/>
            <w:noWrap/>
            <w:vAlign w:val="center"/>
            <w:hideMark/>
          </w:tcPr>
          <w:p w:rsidRPr="0092671E" w:rsidR="005234CB" w:rsidP="005234CB" w:rsidRDefault="00016FE9" w14:paraId="4F93B38E" w14:textId="5BA8F52D">
            <w:pPr>
              <w:rPr>
                <w:rFonts w:ascii="Palatino Linotype" w:hAnsi="Palatino Linotype" w:cs="Arial"/>
                <w:color w:val="000000"/>
                <w:szCs w:val="26"/>
              </w:rPr>
            </w:pPr>
            <w:r>
              <w:rPr>
                <w:rFonts w:ascii="Palatino Linotype" w:hAnsi="Palatino Linotype" w:cs="Arial"/>
                <w:color w:val="000000"/>
                <w:szCs w:val="26"/>
              </w:rPr>
              <w:t>August 31, 2020 Contract Execution Date for 2021 COD Offers</w:t>
            </w:r>
          </w:p>
        </w:tc>
      </w:tr>
      <w:tr w:rsidRPr="0092671E" w:rsidR="005234CB" w:rsidTr="005234CB" w14:paraId="6E41906A" w14:textId="77777777">
        <w:trPr>
          <w:trHeight w:val="310"/>
        </w:trPr>
        <w:tc>
          <w:tcPr>
            <w:tcW w:w="8100" w:type="dxa"/>
            <w:tcBorders>
              <w:top w:val="single" w:color="8EA9DB" w:sz="4" w:space="0"/>
              <w:left w:val="single" w:color="8EA9DB" w:sz="4" w:space="0"/>
              <w:bottom w:val="single" w:color="8EA9DB" w:sz="4" w:space="0"/>
              <w:right w:val="single" w:color="8EA9DB" w:sz="4" w:space="0"/>
            </w:tcBorders>
            <w:shd w:val="clear" w:color="auto" w:fill="auto"/>
            <w:noWrap/>
            <w:vAlign w:val="bottom"/>
            <w:hideMark/>
          </w:tcPr>
          <w:p w:rsidRPr="0092671E" w:rsidR="005234CB" w:rsidP="005234CB" w:rsidRDefault="00016FE9" w14:paraId="1A0934F6" w14:textId="767B1A67">
            <w:pPr>
              <w:rPr>
                <w:rFonts w:ascii="Palatino Linotype" w:hAnsi="Palatino Linotype" w:cs="Arial"/>
                <w:color w:val="000000"/>
                <w:szCs w:val="26"/>
              </w:rPr>
            </w:pPr>
            <w:r>
              <w:rPr>
                <w:rFonts w:ascii="Palatino Linotype" w:hAnsi="Palatino Linotype" w:cs="Arial"/>
                <w:color w:val="000000"/>
                <w:szCs w:val="26"/>
              </w:rPr>
              <w:t>October 15, 2020 Contract Execution for 2022-23 COD Offers</w:t>
            </w:r>
          </w:p>
        </w:tc>
      </w:tr>
    </w:tbl>
    <w:p w:rsidRPr="0092671E" w:rsidR="005234CB" w:rsidP="005234CB" w:rsidRDefault="005234CB" w14:paraId="0D69335D" w14:textId="13B284A4">
      <w:pPr>
        <w:autoSpaceDE w:val="0"/>
        <w:autoSpaceDN w:val="0"/>
        <w:adjustRightInd w:val="0"/>
        <w:rPr>
          <w:rFonts w:ascii="Palatino Linotype" w:hAnsi="Palatino Linotype" w:cs="Arial"/>
          <w:color w:val="000000"/>
          <w:szCs w:val="26"/>
        </w:rPr>
      </w:pPr>
    </w:p>
    <w:p w:rsidR="00A65184" w:rsidP="00A65184" w:rsidRDefault="005234CB" w14:paraId="0A719F6A" w14:textId="2CAE6CE9">
      <w:pPr>
        <w:autoSpaceDE w:val="0"/>
        <w:autoSpaceDN w:val="0"/>
        <w:adjustRightInd w:val="0"/>
        <w:rPr>
          <w:rFonts w:ascii="Palatino Linotype" w:hAnsi="Palatino Linotype" w:cs="Arial"/>
          <w:color w:val="000000"/>
          <w:szCs w:val="26"/>
        </w:rPr>
      </w:pPr>
      <w:r w:rsidRPr="000846F7">
        <w:rPr>
          <w:rFonts w:ascii="Palatino Linotype" w:hAnsi="Palatino Linotype" w:cs="Arial"/>
          <w:color w:val="000000"/>
          <w:szCs w:val="26"/>
        </w:rPr>
        <w:t>S</w:t>
      </w:r>
      <w:r w:rsidR="00325A6F">
        <w:rPr>
          <w:rFonts w:ascii="Palatino Linotype" w:hAnsi="Palatino Linotype" w:cs="Arial"/>
          <w:color w:val="000000"/>
          <w:szCs w:val="26"/>
        </w:rPr>
        <w:t xml:space="preserve">DG&amp;E calculated a net present value, </w:t>
      </w:r>
      <w:proofErr w:type="gramStart"/>
      <w:r w:rsidR="00325A6F">
        <w:rPr>
          <w:rFonts w:ascii="Palatino Linotype" w:hAnsi="Palatino Linotype" w:cs="Arial"/>
          <w:color w:val="000000"/>
          <w:szCs w:val="26"/>
        </w:rPr>
        <w:t>and also</w:t>
      </w:r>
      <w:proofErr w:type="gramEnd"/>
      <w:r w:rsidR="00325A6F">
        <w:rPr>
          <w:rFonts w:ascii="Palatino Linotype" w:hAnsi="Palatino Linotype" w:cs="Arial"/>
          <w:color w:val="000000"/>
          <w:szCs w:val="26"/>
        </w:rPr>
        <w:t xml:space="preserve"> what they </w:t>
      </w:r>
      <w:r w:rsidR="00DF1DFB">
        <w:rPr>
          <w:rFonts w:ascii="Palatino Linotype" w:hAnsi="Palatino Linotype" w:cs="Arial"/>
          <w:color w:val="000000"/>
          <w:szCs w:val="26"/>
        </w:rPr>
        <w:t xml:space="preserve">refer to as </w:t>
      </w:r>
      <w:r w:rsidR="00325A6F">
        <w:rPr>
          <w:rFonts w:ascii="Palatino Linotype" w:hAnsi="Palatino Linotype" w:cs="Arial"/>
          <w:color w:val="000000"/>
          <w:szCs w:val="26"/>
        </w:rPr>
        <w:t>a net score</w:t>
      </w:r>
      <w:r w:rsidR="00F6257E">
        <w:rPr>
          <w:rFonts w:ascii="Palatino Linotype" w:hAnsi="Palatino Linotype" w:cs="Arial"/>
          <w:color w:val="000000"/>
          <w:szCs w:val="26"/>
        </w:rPr>
        <w:t>,</w:t>
      </w:r>
      <w:r w:rsidR="00325A6F">
        <w:rPr>
          <w:rFonts w:ascii="Palatino Linotype" w:hAnsi="Palatino Linotype" w:cs="Arial"/>
          <w:color w:val="000000"/>
          <w:szCs w:val="26"/>
        </w:rPr>
        <w:t xml:space="preserve"> for each resource.</w:t>
      </w:r>
      <w:r w:rsidRPr="000846F7">
        <w:rPr>
          <w:rFonts w:ascii="Palatino Linotype" w:hAnsi="Palatino Linotype" w:cs="Arial"/>
          <w:color w:val="000000"/>
          <w:szCs w:val="26"/>
        </w:rPr>
        <w:t xml:space="preserve"> A net present value methodology entails (1) </w:t>
      </w:r>
      <w:r w:rsidRPr="000846F7" w:rsidR="00DF1DFB">
        <w:rPr>
          <w:rFonts w:ascii="Palatino Linotype" w:hAnsi="Palatino Linotype" w:cs="Arial"/>
          <w:color w:val="000000"/>
          <w:szCs w:val="26"/>
        </w:rPr>
        <w:t xml:space="preserve">forecasting </w:t>
      </w:r>
      <w:r w:rsidRPr="000846F7">
        <w:rPr>
          <w:rFonts w:ascii="Palatino Linotype" w:hAnsi="Palatino Linotype" w:cs="Arial"/>
          <w:color w:val="000000"/>
          <w:szCs w:val="26"/>
        </w:rPr>
        <w:t xml:space="preserve">the </w:t>
      </w:r>
      <w:r w:rsidRPr="000846F7" w:rsidR="006B5266">
        <w:rPr>
          <w:rFonts w:ascii="Palatino Linotype" w:hAnsi="Palatino Linotype" w:cs="Arial"/>
          <w:color w:val="000000"/>
          <w:szCs w:val="26"/>
        </w:rPr>
        <w:t>project benefits and costs over the life of the offer</w:t>
      </w:r>
      <w:r w:rsidRPr="000846F7">
        <w:rPr>
          <w:rFonts w:ascii="Palatino Linotype" w:hAnsi="Palatino Linotype" w:cs="Arial"/>
          <w:color w:val="000000"/>
          <w:szCs w:val="26"/>
        </w:rPr>
        <w:t xml:space="preserve">; (2) </w:t>
      </w:r>
      <w:r w:rsidRPr="000846F7" w:rsidR="006B5266">
        <w:rPr>
          <w:rFonts w:ascii="Palatino Linotype" w:hAnsi="Palatino Linotype" w:cs="Arial"/>
          <w:color w:val="000000"/>
          <w:szCs w:val="26"/>
        </w:rPr>
        <w:t>applying time value of money</w:t>
      </w:r>
      <w:r w:rsidRPr="000846F7">
        <w:rPr>
          <w:rFonts w:ascii="Palatino Linotype" w:hAnsi="Palatino Linotype" w:cs="Arial"/>
          <w:color w:val="000000"/>
          <w:szCs w:val="26"/>
        </w:rPr>
        <w:t xml:space="preserve"> (3) </w:t>
      </w:r>
      <w:r w:rsidRPr="000846F7" w:rsidR="006B5266">
        <w:rPr>
          <w:rFonts w:ascii="Palatino Linotype" w:hAnsi="Palatino Linotype" w:cs="Arial"/>
          <w:color w:val="000000"/>
          <w:szCs w:val="26"/>
        </w:rPr>
        <w:t xml:space="preserve">estimating the </w:t>
      </w:r>
      <w:r w:rsidRPr="000846F7">
        <w:rPr>
          <w:rFonts w:ascii="Palatino Linotype" w:hAnsi="Palatino Linotype" w:cs="Arial"/>
          <w:color w:val="000000"/>
          <w:szCs w:val="26"/>
        </w:rPr>
        <w:t>net</w:t>
      </w:r>
      <w:r w:rsidRPr="000846F7" w:rsidR="006B5266">
        <w:rPr>
          <w:rFonts w:ascii="Palatino Linotype" w:hAnsi="Palatino Linotype" w:cs="Arial"/>
          <w:color w:val="000000"/>
          <w:szCs w:val="26"/>
        </w:rPr>
        <w:t xml:space="preserve"> present value as the present value of the benefits minus the present value of the cost; and</w:t>
      </w:r>
      <w:r w:rsidRPr="000846F7">
        <w:rPr>
          <w:rFonts w:ascii="Palatino Linotype" w:hAnsi="Palatino Linotype" w:cs="Arial"/>
          <w:color w:val="000000"/>
          <w:szCs w:val="26"/>
        </w:rPr>
        <w:t xml:space="preserve">  </w:t>
      </w:r>
      <w:r w:rsidRPr="000846F7" w:rsidR="0066126D">
        <w:rPr>
          <w:rFonts w:ascii="Palatino Linotype" w:hAnsi="Palatino Linotype" w:cs="Arial"/>
          <w:color w:val="000000"/>
          <w:szCs w:val="26"/>
        </w:rPr>
        <w:t xml:space="preserve">(4) </w:t>
      </w:r>
      <w:r w:rsidRPr="000846F7" w:rsidR="006B5266">
        <w:rPr>
          <w:rFonts w:ascii="Palatino Linotype" w:hAnsi="Palatino Linotype" w:cs="Arial"/>
          <w:color w:val="000000"/>
          <w:szCs w:val="26"/>
        </w:rPr>
        <w:t>n</w:t>
      </w:r>
      <w:r w:rsidRPr="000846F7" w:rsidR="0066126D">
        <w:rPr>
          <w:rFonts w:ascii="Palatino Linotype" w:hAnsi="Palatino Linotype" w:cs="Arial"/>
          <w:color w:val="000000"/>
          <w:szCs w:val="26"/>
        </w:rPr>
        <w:t>ormalizing the ranking of eac</w:t>
      </w:r>
      <w:r w:rsidRPr="000846F7" w:rsidR="006B5266">
        <w:rPr>
          <w:rFonts w:ascii="Palatino Linotype" w:hAnsi="Palatino Linotype" w:cs="Arial"/>
          <w:color w:val="000000"/>
          <w:szCs w:val="26"/>
        </w:rPr>
        <w:t>h</w:t>
      </w:r>
      <w:r w:rsidRPr="000846F7" w:rsidR="0066126D">
        <w:rPr>
          <w:rFonts w:ascii="Palatino Linotype" w:hAnsi="Palatino Linotype" w:cs="Arial"/>
          <w:color w:val="000000"/>
          <w:szCs w:val="26"/>
        </w:rPr>
        <w:t xml:space="preserve"> offer by an NPV metric  </w:t>
      </w:r>
      <w:r w:rsidRPr="000846F7" w:rsidR="006B5266">
        <w:rPr>
          <w:rFonts w:ascii="Palatino Linotype" w:hAnsi="Palatino Linotype" w:cs="Arial"/>
          <w:color w:val="000000"/>
          <w:szCs w:val="26"/>
        </w:rPr>
        <w:t>(</w:t>
      </w:r>
      <w:r w:rsidRPr="000846F7" w:rsidR="0066126D">
        <w:rPr>
          <w:rFonts w:ascii="Palatino Linotype" w:hAnsi="Palatino Linotype" w:cs="Arial"/>
          <w:color w:val="000000"/>
          <w:szCs w:val="26"/>
        </w:rPr>
        <w:t xml:space="preserve">RA kW-month).  </w:t>
      </w:r>
      <w:r w:rsidR="00C93BA2">
        <w:rPr>
          <w:rFonts w:ascii="Palatino Linotype" w:hAnsi="Palatino Linotype" w:cs="Arial"/>
          <w:color w:val="000000"/>
          <w:szCs w:val="26"/>
        </w:rPr>
        <w:t xml:space="preserve">In the net score calculation, SDG&amp;E uses </w:t>
      </w:r>
      <w:r w:rsidR="00C93BA2">
        <w:rPr>
          <w:rFonts w:ascii="Palatino Linotype" w:hAnsi="Palatino Linotype" w:cs="Arial"/>
          <w:color w:val="000000"/>
          <w:szCs w:val="26"/>
        </w:rPr>
        <w:lastRenderedPageBreak/>
        <w:t xml:space="preserve">additional factors </w:t>
      </w:r>
      <w:r w:rsidR="00DF1DFB">
        <w:rPr>
          <w:rFonts w:ascii="Palatino Linotype" w:hAnsi="Palatino Linotype" w:cs="Arial"/>
          <w:color w:val="000000"/>
          <w:szCs w:val="26"/>
        </w:rPr>
        <w:t xml:space="preserve">including </w:t>
      </w:r>
      <w:r w:rsidR="00C93BA2">
        <w:rPr>
          <w:rFonts w:ascii="Palatino Linotype" w:hAnsi="Palatino Linotype" w:cs="Arial"/>
          <w:color w:val="000000"/>
          <w:szCs w:val="26"/>
        </w:rPr>
        <w:t>project viability and estimated avoided renewable curtailment to further adjust the NPV.</w:t>
      </w:r>
    </w:p>
    <w:p w:rsidRPr="0092671E" w:rsidR="000846F7" w:rsidP="00A65184" w:rsidRDefault="000846F7" w14:paraId="5D4F2586" w14:textId="77777777">
      <w:pPr>
        <w:autoSpaceDE w:val="0"/>
        <w:autoSpaceDN w:val="0"/>
        <w:adjustRightInd w:val="0"/>
        <w:rPr>
          <w:rFonts w:ascii="Palatino Linotype" w:hAnsi="Palatino Linotype" w:cs="Arial"/>
          <w:color w:val="000000"/>
          <w:szCs w:val="26"/>
        </w:rPr>
      </w:pPr>
    </w:p>
    <w:p w:rsidR="006B5266" w:rsidP="00FA15D0" w:rsidRDefault="00A65184" w14:paraId="244D9303" w14:textId="09D33176">
      <w:pPr>
        <w:autoSpaceDE w:val="0"/>
        <w:autoSpaceDN w:val="0"/>
        <w:adjustRightInd w:val="0"/>
        <w:rPr>
          <w:rFonts w:ascii="Palatino Linotype" w:hAnsi="Palatino Linotype" w:cs="Arial"/>
          <w:szCs w:val="26"/>
        </w:rPr>
      </w:pPr>
      <w:r w:rsidRPr="0092671E">
        <w:rPr>
          <w:rFonts w:ascii="Palatino Linotype" w:hAnsi="Palatino Linotype" w:cs="Arial"/>
          <w:color w:val="000000"/>
          <w:szCs w:val="26"/>
        </w:rPr>
        <w:t>S</w:t>
      </w:r>
      <w:r w:rsidR="009E01FD">
        <w:rPr>
          <w:rFonts w:ascii="Palatino Linotype" w:hAnsi="Palatino Linotype" w:cs="Arial"/>
          <w:color w:val="000000"/>
          <w:szCs w:val="26"/>
        </w:rPr>
        <w:t>DG&amp;E</w:t>
      </w:r>
      <w:r w:rsidRPr="0092671E">
        <w:rPr>
          <w:rFonts w:ascii="Palatino Linotype" w:hAnsi="Palatino Linotype" w:cs="Arial"/>
          <w:color w:val="000000"/>
          <w:szCs w:val="26"/>
        </w:rPr>
        <w:t xml:space="preserve"> engaged an Independent Evaluator (IE)</w:t>
      </w:r>
      <w:r w:rsidRPr="0092671E" w:rsidR="00FA15D0">
        <w:rPr>
          <w:rFonts w:ascii="Palatino Linotype" w:hAnsi="Palatino Linotype" w:cs="Arial"/>
          <w:color w:val="000000"/>
          <w:szCs w:val="26"/>
        </w:rPr>
        <w:t>,</w:t>
      </w:r>
      <w:r w:rsidR="00325A6F">
        <w:rPr>
          <w:rFonts w:ascii="Palatino Linotype" w:hAnsi="Palatino Linotype" w:cs="Arial"/>
          <w:color w:val="000000"/>
          <w:szCs w:val="26"/>
        </w:rPr>
        <w:t xml:space="preserve"> PA</w:t>
      </w:r>
      <w:r w:rsidRPr="0092671E" w:rsidR="00FA15D0">
        <w:rPr>
          <w:rFonts w:ascii="Palatino Linotype" w:hAnsi="Palatino Linotype" w:cs="Arial"/>
          <w:color w:val="000000"/>
          <w:szCs w:val="26"/>
        </w:rPr>
        <w:t xml:space="preserve"> Consulting</w:t>
      </w:r>
      <w:r w:rsidRPr="0092671E" w:rsidR="00FA15D0">
        <w:rPr>
          <w:rFonts w:ascii="Palatino Linotype" w:hAnsi="Palatino Linotype" w:cs="Arial"/>
          <w:szCs w:val="26"/>
        </w:rPr>
        <w:t xml:space="preserve">, Inc, from </w:t>
      </w:r>
      <w:r w:rsidRPr="0092671E">
        <w:rPr>
          <w:rFonts w:ascii="Palatino Linotype" w:hAnsi="Palatino Linotype" w:cs="Arial"/>
          <w:szCs w:val="26"/>
        </w:rPr>
        <w:t xml:space="preserve">the Commission’s approved list of IEs for the RFO. The IE was involved </w:t>
      </w:r>
      <w:r w:rsidRPr="0092671E" w:rsidR="00FA15D0">
        <w:rPr>
          <w:rFonts w:ascii="Palatino Linotype" w:hAnsi="Palatino Linotype" w:cs="Arial"/>
          <w:szCs w:val="26"/>
        </w:rPr>
        <w:t>throughout the RFO process which include</w:t>
      </w:r>
      <w:r w:rsidR="00DF1DFB">
        <w:rPr>
          <w:rFonts w:ascii="Palatino Linotype" w:hAnsi="Palatino Linotype" w:cs="Arial"/>
          <w:szCs w:val="26"/>
        </w:rPr>
        <w:t>d</w:t>
      </w:r>
      <w:r w:rsidRPr="0092671E" w:rsidR="00FA15D0">
        <w:rPr>
          <w:rFonts w:ascii="Palatino Linotype" w:hAnsi="Palatino Linotype" w:cs="Arial"/>
          <w:szCs w:val="26"/>
        </w:rPr>
        <w:t xml:space="preserve">: </w:t>
      </w:r>
      <w:r w:rsidRPr="0092671E">
        <w:rPr>
          <w:rFonts w:ascii="Palatino Linotype" w:hAnsi="Palatino Linotype" w:cs="Arial"/>
          <w:szCs w:val="26"/>
        </w:rPr>
        <w:t>review</w:t>
      </w:r>
      <w:r w:rsidR="00DF1DFB">
        <w:rPr>
          <w:rFonts w:ascii="Palatino Linotype" w:hAnsi="Palatino Linotype" w:cs="Arial"/>
          <w:szCs w:val="26"/>
        </w:rPr>
        <w:t xml:space="preserve">ing the </w:t>
      </w:r>
      <w:r w:rsidRPr="0092671E">
        <w:rPr>
          <w:rFonts w:ascii="Palatino Linotype" w:hAnsi="Palatino Linotype" w:cs="Arial"/>
          <w:szCs w:val="26"/>
        </w:rPr>
        <w:t>RFO documentation</w:t>
      </w:r>
      <w:r w:rsidRPr="0092671E" w:rsidR="00FA15D0">
        <w:rPr>
          <w:rFonts w:ascii="Palatino Linotype" w:hAnsi="Palatino Linotype" w:cs="Arial"/>
          <w:szCs w:val="26"/>
        </w:rPr>
        <w:t xml:space="preserve">, </w:t>
      </w:r>
      <w:r w:rsidRPr="0092671E">
        <w:rPr>
          <w:rFonts w:ascii="Palatino Linotype" w:hAnsi="Palatino Linotype" w:cs="Arial"/>
          <w:szCs w:val="26"/>
        </w:rPr>
        <w:t xml:space="preserve">the valuation process, </w:t>
      </w:r>
      <w:r w:rsidRPr="0092671E" w:rsidR="00DF1DFB">
        <w:rPr>
          <w:rFonts w:ascii="Palatino Linotype" w:hAnsi="Palatino Linotype" w:cs="Arial"/>
          <w:szCs w:val="26"/>
        </w:rPr>
        <w:t>and other documents exchanged by parties through the RFO process</w:t>
      </w:r>
      <w:r w:rsidR="00DF1DFB">
        <w:rPr>
          <w:rFonts w:ascii="Palatino Linotype" w:hAnsi="Palatino Linotype" w:cs="Arial"/>
          <w:szCs w:val="26"/>
        </w:rPr>
        <w:t xml:space="preserve"> and attending </w:t>
      </w:r>
      <w:r w:rsidRPr="0092671E">
        <w:rPr>
          <w:rFonts w:ascii="Palatino Linotype" w:hAnsi="Palatino Linotype" w:cs="Arial"/>
          <w:szCs w:val="26"/>
        </w:rPr>
        <w:t xml:space="preserve">numerous conference calls and negotiation sessions. </w:t>
      </w:r>
    </w:p>
    <w:p w:rsidR="008F35A9" w:rsidP="00FA15D0" w:rsidRDefault="008F35A9" w14:paraId="1FC327E3" w14:textId="77777777">
      <w:pPr>
        <w:autoSpaceDE w:val="0"/>
        <w:autoSpaceDN w:val="0"/>
        <w:adjustRightInd w:val="0"/>
        <w:rPr>
          <w:rFonts w:ascii="Palatino Linotype" w:hAnsi="Palatino Linotype" w:cs="Arial"/>
          <w:szCs w:val="26"/>
        </w:rPr>
      </w:pPr>
    </w:p>
    <w:p w:rsidRPr="008F35A9" w:rsidR="008F35A9" w:rsidP="000846F7" w:rsidRDefault="000846F7" w14:paraId="3699F5FD" w14:textId="2732A5B7">
      <w:pPr>
        <w:autoSpaceDE w:val="0"/>
        <w:autoSpaceDN w:val="0"/>
        <w:adjustRightInd w:val="0"/>
        <w:rPr>
          <w:rFonts w:ascii="Palatino Linotype" w:hAnsi="Palatino Linotype" w:cs="Arial"/>
          <w:szCs w:val="26"/>
        </w:rPr>
      </w:pPr>
      <w:r w:rsidRPr="008F35A9">
        <w:rPr>
          <w:rFonts w:ascii="Palatino Linotype" w:hAnsi="Palatino Linotype" w:cs="Arial"/>
          <w:szCs w:val="26"/>
        </w:rPr>
        <w:t>S</w:t>
      </w:r>
      <w:r w:rsidR="009E01FD">
        <w:rPr>
          <w:rFonts w:ascii="Palatino Linotype" w:hAnsi="Palatino Linotype" w:cs="Arial"/>
          <w:szCs w:val="26"/>
        </w:rPr>
        <w:t>DG&amp;E</w:t>
      </w:r>
      <w:r w:rsidRPr="008F35A9">
        <w:rPr>
          <w:rFonts w:ascii="Palatino Linotype" w:hAnsi="Palatino Linotype" w:cs="Arial"/>
          <w:szCs w:val="26"/>
        </w:rPr>
        <w:t xml:space="preserve"> consulted with </w:t>
      </w:r>
      <w:r w:rsidRPr="008F35A9" w:rsidR="008F35A9">
        <w:rPr>
          <w:rFonts w:ascii="Palatino Linotype" w:hAnsi="Palatino Linotype" w:cs="Arial"/>
          <w:szCs w:val="26"/>
        </w:rPr>
        <w:t>the</w:t>
      </w:r>
      <w:r w:rsidRPr="008F35A9">
        <w:rPr>
          <w:rFonts w:ascii="Palatino Linotype" w:hAnsi="Palatino Linotype" w:cs="Arial"/>
          <w:szCs w:val="26"/>
        </w:rPr>
        <w:t xml:space="preserve"> P</w:t>
      </w:r>
      <w:r w:rsidR="00B012F1">
        <w:rPr>
          <w:rFonts w:ascii="Palatino Linotype" w:hAnsi="Palatino Linotype" w:cs="Arial"/>
          <w:szCs w:val="26"/>
        </w:rPr>
        <w:t xml:space="preserve">rocurement </w:t>
      </w:r>
      <w:r w:rsidRPr="008F35A9">
        <w:rPr>
          <w:rFonts w:ascii="Palatino Linotype" w:hAnsi="Palatino Linotype" w:cs="Arial"/>
          <w:szCs w:val="26"/>
        </w:rPr>
        <w:t>R</w:t>
      </w:r>
      <w:r w:rsidR="00B012F1">
        <w:rPr>
          <w:rFonts w:ascii="Palatino Linotype" w:hAnsi="Palatino Linotype" w:cs="Arial"/>
          <w:szCs w:val="26"/>
        </w:rPr>
        <w:t xml:space="preserve">eview </w:t>
      </w:r>
      <w:r w:rsidRPr="008F35A9">
        <w:rPr>
          <w:rFonts w:ascii="Palatino Linotype" w:hAnsi="Palatino Linotype" w:cs="Arial"/>
          <w:szCs w:val="26"/>
        </w:rPr>
        <w:t>G</w:t>
      </w:r>
      <w:r w:rsidR="00B012F1">
        <w:rPr>
          <w:rFonts w:ascii="Palatino Linotype" w:hAnsi="Palatino Linotype" w:cs="Arial"/>
          <w:szCs w:val="26"/>
        </w:rPr>
        <w:t>roup (PRG)</w:t>
      </w:r>
      <w:r w:rsidRPr="008F35A9">
        <w:rPr>
          <w:rFonts w:ascii="Palatino Linotype" w:hAnsi="Palatino Linotype" w:cs="Arial"/>
          <w:szCs w:val="26"/>
        </w:rPr>
        <w:t xml:space="preserve"> </w:t>
      </w:r>
      <w:r w:rsidR="00B012F1">
        <w:rPr>
          <w:rFonts w:ascii="Palatino Linotype" w:hAnsi="Palatino Linotype" w:cs="Arial"/>
          <w:szCs w:val="26"/>
        </w:rPr>
        <w:t>and</w:t>
      </w:r>
      <w:r w:rsidRPr="008F35A9" w:rsidR="008F35A9">
        <w:rPr>
          <w:rFonts w:ascii="Palatino Linotype" w:hAnsi="Palatino Linotype" w:cs="Arial"/>
          <w:szCs w:val="26"/>
        </w:rPr>
        <w:t xml:space="preserve"> CAM</w:t>
      </w:r>
      <w:r w:rsidR="00B012F1">
        <w:rPr>
          <w:rFonts w:ascii="Palatino Linotype" w:hAnsi="Palatino Linotype" w:cs="Arial"/>
          <w:szCs w:val="26"/>
        </w:rPr>
        <w:t xml:space="preserve"> PRG</w:t>
      </w:r>
      <w:r w:rsidRPr="008F35A9" w:rsidR="008F35A9">
        <w:rPr>
          <w:rFonts w:ascii="Palatino Linotype" w:hAnsi="Palatino Linotype" w:cs="Arial"/>
          <w:szCs w:val="26"/>
        </w:rPr>
        <w:t xml:space="preserve"> at several points of the process. Consultations </w:t>
      </w:r>
      <w:r w:rsidRPr="008F35A9">
        <w:rPr>
          <w:rFonts w:ascii="Palatino Linotype" w:hAnsi="Palatino Linotype" w:cs="Arial"/>
          <w:szCs w:val="26"/>
        </w:rPr>
        <w:t>regarding the launch of the RFO</w:t>
      </w:r>
      <w:r w:rsidRPr="008F35A9" w:rsidR="008F35A9">
        <w:rPr>
          <w:rFonts w:ascii="Palatino Linotype" w:hAnsi="Palatino Linotype" w:cs="Arial"/>
          <w:szCs w:val="26"/>
        </w:rPr>
        <w:t xml:space="preserve">, the proposed shortlist, additional procurement for other LSEs, and selection recommendations were all held with the relevant groups </w:t>
      </w:r>
      <w:r w:rsidR="00DF1DFB">
        <w:rPr>
          <w:rFonts w:ascii="Palatino Linotype" w:hAnsi="Palatino Linotype" w:cs="Arial"/>
          <w:szCs w:val="26"/>
        </w:rPr>
        <w:t xml:space="preserve">and participants were </w:t>
      </w:r>
      <w:r w:rsidRPr="008F35A9" w:rsidR="008F35A9">
        <w:rPr>
          <w:rFonts w:ascii="Palatino Linotype" w:hAnsi="Palatino Linotype" w:cs="Arial"/>
          <w:szCs w:val="26"/>
        </w:rPr>
        <w:t xml:space="preserve">given the opportunity to </w:t>
      </w:r>
      <w:r w:rsidR="00DF1DFB">
        <w:rPr>
          <w:rFonts w:ascii="Palatino Linotype" w:hAnsi="Palatino Linotype" w:cs="Arial"/>
          <w:szCs w:val="26"/>
        </w:rPr>
        <w:t>provide</w:t>
      </w:r>
      <w:r w:rsidRPr="008F35A9" w:rsidR="008F35A9">
        <w:rPr>
          <w:rFonts w:ascii="Palatino Linotype" w:hAnsi="Palatino Linotype" w:cs="Arial"/>
          <w:szCs w:val="26"/>
        </w:rPr>
        <w:t xml:space="preserve"> input. </w:t>
      </w:r>
    </w:p>
    <w:p w:rsidRPr="00576E06" w:rsidR="0092671E" w:rsidP="005234CB" w:rsidRDefault="0092671E" w14:paraId="09595B0A" w14:textId="5ED0BB5C">
      <w:pPr>
        <w:autoSpaceDE w:val="0"/>
        <w:autoSpaceDN w:val="0"/>
        <w:adjustRightInd w:val="0"/>
        <w:rPr>
          <w:rFonts w:ascii="Palatino Linotype" w:hAnsi="Palatino Linotype" w:cs="Arial"/>
          <w:b/>
          <w:szCs w:val="26"/>
        </w:rPr>
      </w:pPr>
    </w:p>
    <w:p w:rsidR="0092671E" w:rsidP="005234CB" w:rsidRDefault="0092671E" w14:paraId="3E6B061F" w14:textId="1ECB3A44">
      <w:pPr>
        <w:autoSpaceDE w:val="0"/>
        <w:autoSpaceDN w:val="0"/>
        <w:adjustRightInd w:val="0"/>
        <w:rPr>
          <w:rFonts w:ascii="Palatino Linotype" w:hAnsi="Palatino Linotype" w:cs="Arial"/>
          <w:b/>
          <w:szCs w:val="26"/>
        </w:rPr>
      </w:pPr>
      <w:r w:rsidRPr="00576E06">
        <w:rPr>
          <w:rFonts w:ascii="Palatino Linotype" w:hAnsi="Palatino Linotype" w:cs="Arial"/>
          <w:b/>
          <w:szCs w:val="26"/>
        </w:rPr>
        <w:t xml:space="preserve">Cost Recovery </w:t>
      </w:r>
    </w:p>
    <w:p w:rsidR="0077302B" w:rsidP="005234CB" w:rsidRDefault="00C262C3" w14:paraId="580CE0BD" w14:textId="33EA8D8E">
      <w:pPr>
        <w:autoSpaceDE w:val="0"/>
        <w:autoSpaceDN w:val="0"/>
        <w:adjustRightInd w:val="0"/>
        <w:rPr>
          <w:rFonts w:ascii="Palatino Linotype" w:hAnsi="Palatino Linotype" w:cs="Arial"/>
          <w:bCs/>
          <w:szCs w:val="26"/>
        </w:rPr>
      </w:pPr>
      <w:r>
        <w:rPr>
          <w:rFonts w:ascii="Palatino Linotype" w:hAnsi="Palatino Linotype" w:cs="Arial"/>
          <w:bCs/>
          <w:szCs w:val="26"/>
        </w:rPr>
        <w:t>SDG&amp;E proposes to establish a new memorandum account to track costs,</w:t>
      </w:r>
      <w:r w:rsidR="0074701B">
        <w:rPr>
          <w:rFonts w:ascii="Palatino Linotype" w:hAnsi="Palatino Linotype" w:cs="Arial"/>
          <w:bCs/>
          <w:szCs w:val="26"/>
        </w:rPr>
        <w:t xml:space="preserve"> the</w:t>
      </w:r>
      <w:r>
        <w:rPr>
          <w:rFonts w:ascii="Palatino Linotype" w:hAnsi="Palatino Linotype" w:cs="Arial"/>
          <w:bCs/>
          <w:szCs w:val="26"/>
        </w:rPr>
        <w:t xml:space="preserve"> </w:t>
      </w:r>
      <w:r w:rsidR="009B226A">
        <w:rPr>
          <w:rFonts w:ascii="Palatino Linotype" w:hAnsi="Palatino Linotype" w:cs="Arial"/>
          <w:bCs/>
          <w:szCs w:val="26"/>
        </w:rPr>
        <w:t xml:space="preserve">Resource Adequacy Procurement Memorandum Account or RAPMA. SDG&amp;E plans to use this account to track costs related to procurement </w:t>
      </w:r>
      <w:r w:rsidR="0074701B">
        <w:rPr>
          <w:rFonts w:ascii="Palatino Linotype" w:hAnsi="Palatino Linotype" w:cs="Arial"/>
          <w:bCs/>
          <w:szCs w:val="26"/>
        </w:rPr>
        <w:t xml:space="preserve">undertaken </w:t>
      </w:r>
      <w:r w:rsidR="009B226A">
        <w:rPr>
          <w:rFonts w:ascii="Palatino Linotype" w:hAnsi="Palatino Linotype" w:cs="Arial"/>
          <w:bCs/>
          <w:szCs w:val="26"/>
        </w:rPr>
        <w:t xml:space="preserve">to fulfill requirements of D.19-11-016. The account is </w:t>
      </w:r>
      <w:r w:rsidR="0074701B">
        <w:rPr>
          <w:rFonts w:ascii="Palatino Linotype" w:hAnsi="Palatino Linotype" w:cs="Arial"/>
          <w:bCs/>
          <w:szCs w:val="26"/>
        </w:rPr>
        <w:t xml:space="preserve">intended </w:t>
      </w:r>
      <w:r w:rsidR="009B226A">
        <w:rPr>
          <w:rFonts w:ascii="Palatino Linotype" w:hAnsi="Palatino Linotype" w:cs="Arial"/>
          <w:bCs/>
          <w:szCs w:val="26"/>
        </w:rPr>
        <w:t xml:space="preserve">to be temporary until a Modified CAM is finalized in R.20-05-003. </w:t>
      </w:r>
    </w:p>
    <w:p w:rsidRPr="0092671E" w:rsidR="0092671E" w:rsidP="005234CB" w:rsidRDefault="0092671E" w14:paraId="0887366A" w14:textId="77777777">
      <w:pPr>
        <w:autoSpaceDE w:val="0"/>
        <w:autoSpaceDN w:val="0"/>
        <w:adjustRightInd w:val="0"/>
        <w:rPr>
          <w:rFonts w:ascii="Palatino Linotype" w:hAnsi="Palatino Linotype" w:cs="Arial"/>
          <w:b/>
          <w:szCs w:val="26"/>
        </w:rPr>
      </w:pPr>
    </w:p>
    <w:p w:rsidRPr="005B067D" w:rsidR="00ED7E8D" w:rsidP="00ED7E8D" w:rsidRDefault="00ED7E8D" w14:paraId="2F4BB926" w14:textId="32233E6D">
      <w:pPr>
        <w:autoSpaceDE w:val="0"/>
        <w:autoSpaceDN w:val="0"/>
        <w:adjustRightInd w:val="0"/>
        <w:rPr>
          <w:rFonts w:ascii="Palatino Linotype" w:hAnsi="Palatino Linotype" w:cs="Arial"/>
          <w:b/>
          <w:szCs w:val="26"/>
        </w:rPr>
      </w:pPr>
      <w:r w:rsidRPr="005B067D">
        <w:rPr>
          <w:rFonts w:ascii="Palatino Linotype" w:hAnsi="Palatino Linotype" w:cs="Arial"/>
          <w:b/>
          <w:szCs w:val="26"/>
        </w:rPr>
        <w:t xml:space="preserve">Details of </w:t>
      </w:r>
      <w:r>
        <w:rPr>
          <w:rFonts w:ascii="Palatino Linotype" w:hAnsi="Palatino Linotype" w:cs="Arial"/>
          <w:b/>
          <w:szCs w:val="26"/>
        </w:rPr>
        <w:t>S</w:t>
      </w:r>
      <w:r w:rsidR="00673FEE">
        <w:rPr>
          <w:rFonts w:ascii="Palatino Linotype" w:hAnsi="Palatino Linotype" w:cs="Arial"/>
          <w:b/>
          <w:szCs w:val="26"/>
        </w:rPr>
        <w:t>DG&amp;</w:t>
      </w:r>
      <w:r w:rsidRPr="005B067D">
        <w:rPr>
          <w:rFonts w:ascii="Palatino Linotype" w:hAnsi="Palatino Linotype" w:cs="Arial"/>
          <w:b/>
          <w:szCs w:val="26"/>
        </w:rPr>
        <w:t>E’s requests for</w:t>
      </w:r>
      <w:r>
        <w:rPr>
          <w:rFonts w:ascii="Palatino Linotype" w:hAnsi="Palatino Linotype" w:cs="Arial"/>
          <w:b/>
          <w:szCs w:val="26"/>
        </w:rPr>
        <w:t xml:space="preserve"> </w:t>
      </w:r>
      <w:r w:rsidRPr="005B067D">
        <w:rPr>
          <w:rFonts w:ascii="Palatino Linotype" w:hAnsi="Palatino Linotype" w:cs="Arial"/>
          <w:b/>
          <w:szCs w:val="26"/>
        </w:rPr>
        <w:t>relief in A</w:t>
      </w:r>
      <w:r w:rsidR="004E3AC0">
        <w:rPr>
          <w:rFonts w:ascii="Palatino Linotype" w:hAnsi="Palatino Linotype" w:cs="Arial"/>
          <w:b/>
          <w:szCs w:val="26"/>
        </w:rPr>
        <w:t xml:space="preserve">dvice </w:t>
      </w:r>
      <w:r w:rsidRPr="005B067D">
        <w:rPr>
          <w:rFonts w:ascii="Palatino Linotype" w:hAnsi="Palatino Linotype" w:cs="Arial"/>
          <w:b/>
          <w:szCs w:val="26"/>
        </w:rPr>
        <w:t>L</w:t>
      </w:r>
      <w:r w:rsidR="004E3AC0">
        <w:rPr>
          <w:rFonts w:ascii="Palatino Linotype" w:hAnsi="Palatino Linotype" w:cs="Arial"/>
          <w:b/>
          <w:szCs w:val="26"/>
        </w:rPr>
        <w:t>etter</w:t>
      </w:r>
      <w:r w:rsidRPr="005B067D">
        <w:rPr>
          <w:rFonts w:ascii="Palatino Linotype" w:hAnsi="Palatino Linotype" w:cs="Arial"/>
          <w:b/>
          <w:szCs w:val="26"/>
        </w:rPr>
        <w:t xml:space="preserve"> </w:t>
      </w:r>
      <w:r w:rsidR="00673FEE">
        <w:rPr>
          <w:rFonts w:ascii="Palatino Linotype" w:hAnsi="Palatino Linotype" w:cs="Arial"/>
          <w:b/>
          <w:szCs w:val="26"/>
        </w:rPr>
        <w:t>3605</w:t>
      </w:r>
      <w:r w:rsidRPr="005B067D">
        <w:rPr>
          <w:rFonts w:ascii="Palatino Linotype" w:hAnsi="Palatino Linotype" w:cs="Arial"/>
          <w:b/>
          <w:szCs w:val="26"/>
        </w:rPr>
        <w:t>-E</w:t>
      </w:r>
    </w:p>
    <w:p w:rsidR="00D6140A" w:rsidP="00D6140A" w:rsidRDefault="00673FEE" w14:paraId="4171FEB4" w14:textId="675F3E8A">
      <w:pPr>
        <w:pStyle w:val="Heading1"/>
        <w:jc w:val="both"/>
        <w:rPr>
          <w:rFonts w:ascii="Palatino Linotype" w:hAnsi="Palatino Linotype"/>
          <w:b w:val="0"/>
          <w:caps w:val="0"/>
          <w:kern w:val="0"/>
          <w:szCs w:val="26"/>
          <w:u w:val="none"/>
        </w:rPr>
      </w:pPr>
      <w:r>
        <w:rPr>
          <w:rFonts w:ascii="Palatino Linotype" w:hAnsi="Palatino Linotype"/>
          <w:b w:val="0"/>
          <w:caps w:val="0"/>
          <w:kern w:val="0"/>
          <w:szCs w:val="26"/>
          <w:u w:val="none"/>
        </w:rPr>
        <w:t xml:space="preserve">SDG&amp;E requests that the Advice Letter and the contracts contained in the Advice Letter be approved in a resolution by the </w:t>
      </w:r>
      <w:r w:rsidR="001B3499">
        <w:rPr>
          <w:rFonts w:ascii="Palatino Linotype" w:hAnsi="Palatino Linotype"/>
          <w:b w:val="0"/>
          <w:caps w:val="0"/>
          <w:kern w:val="0"/>
          <w:szCs w:val="26"/>
          <w:u w:val="none"/>
        </w:rPr>
        <w:t>C</w:t>
      </w:r>
      <w:r>
        <w:rPr>
          <w:rFonts w:ascii="Palatino Linotype" w:hAnsi="Palatino Linotype"/>
          <w:b w:val="0"/>
          <w:caps w:val="0"/>
          <w:kern w:val="0"/>
          <w:szCs w:val="26"/>
          <w:u w:val="none"/>
        </w:rPr>
        <w:t>ommission in its December 17</w:t>
      </w:r>
      <w:r w:rsidRPr="00673FEE">
        <w:rPr>
          <w:rFonts w:ascii="Palatino Linotype" w:hAnsi="Palatino Linotype"/>
          <w:b w:val="0"/>
          <w:caps w:val="0"/>
          <w:kern w:val="0"/>
          <w:szCs w:val="26"/>
          <w:u w:val="none"/>
          <w:vertAlign w:val="superscript"/>
        </w:rPr>
        <w:t>th</w:t>
      </w:r>
      <w:r>
        <w:rPr>
          <w:rFonts w:ascii="Palatino Linotype" w:hAnsi="Palatino Linotype"/>
          <w:b w:val="0"/>
          <w:caps w:val="0"/>
          <w:kern w:val="0"/>
          <w:szCs w:val="26"/>
          <w:u w:val="none"/>
        </w:rPr>
        <w:t xml:space="preserve"> meeting. </w:t>
      </w:r>
    </w:p>
    <w:p w:rsidRPr="002F018C" w:rsidR="00C234BF" w:rsidP="00CE465C" w:rsidRDefault="009446B8" w14:paraId="2C2C2387" w14:textId="61927AA3">
      <w:pPr>
        <w:pStyle w:val="standard"/>
        <w:ind w:firstLine="0"/>
        <w:rPr>
          <w:rFonts w:ascii="Palatino Linotype" w:hAnsi="Palatino Linotype"/>
          <w:b/>
          <w:bCs/>
          <w:u w:val="single"/>
        </w:rPr>
      </w:pPr>
      <w:r w:rsidRPr="002F018C">
        <w:rPr>
          <w:rFonts w:ascii="Palatino Linotype" w:hAnsi="Palatino Linotype"/>
          <w:b/>
          <w:bCs/>
          <w:u w:val="single"/>
        </w:rPr>
        <w:t>Supplemental Advice Letter</w:t>
      </w:r>
      <w:r w:rsidR="00380BA0">
        <w:rPr>
          <w:rFonts w:ascii="Palatino Linotype" w:hAnsi="Palatino Linotype"/>
          <w:b/>
          <w:bCs/>
          <w:u w:val="single"/>
        </w:rPr>
        <w:t>s</w:t>
      </w:r>
    </w:p>
    <w:p w:rsidR="0074701B" w:rsidP="007A1A2A" w:rsidRDefault="009446B8" w14:paraId="455264EE" w14:textId="240A7295">
      <w:pPr>
        <w:pStyle w:val="standard"/>
        <w:spacing w:line="240" w:lineRule="auto"/>
        <w:ind w:firstLine="0"/>
        <w:rPr>
          <w:rFonts w:ascii="Palatino Linotype" w:hAnsi="Palatino Linotype"/>
        </w:rPr>
      </w:pPr>
      <w:r w:rsidRPr="002F018C">
        <w:rPr>
          <w:rFonts w:ascii="Palatino Linotype" w:hAnsi="Palatino Linotype"/>
        </w:rPr>
        <w:t xml:space="preserve">On </w:t>
      </w:r>
      <w:r w:rsidR="00804757">
        <w:rPr>
          <w:rFonts w:ascii="Palatino Linotype" w:hAnsi="Palatino Linotype"/>
        </w:rPr>
        <w:t>November</w:t>
      </w:r>
      <w:r w:rsidRPr="002F018C">
        <w:rPr>
          <w:rFonts w:ascii="Palatino Linotype" w:hAnsi="Palatino Linotype"/>
        </w:rPr>
        <w:t xml:space="preserve"> 1</w:t>
      </w:r>
      <w:r w:rsidR="00804757">
        <w:rPr>
          <w:rFonts w:ascii="Palatino Linotype" w:hAnsi="Palatino Linotype"/>
        </w:rPr>
        <w:t>2</w:t>
      </w:r>
      <w:r w:rsidRPr="002F018C">
        <w:rPr>
          <w:rFonts w:ascii="Palatino Linotype" w:hAnsi="Palatino Linotype"/>
        </w:rPr>
        <w:t>, 2020</w:t>
      </w:r>
      <w:r w:rsidR="0074701B">
        <w:rPr>
          <w:rFonts w:ascii="Palatino Linotype" w:hAnsi="Palatino Linotype"/>
        </w:rPr>
        <w:t>,</w:t>
      </w:r>
      <w:r w:rsidRPr="002F018C">
        <w:rPr>
          <w:rFonts w:ascii="Palatino Linotype" w:hAnsi="Palatino Linotype"/>
        </w:rPr>
        <w:t xml:space="preserve"> S</w:t>
      </w:r>
      <w:r w:rsidR="00804757">
        <w:rPr>
          <w:rFonts w:ascii="Palatino Linotype" w:hAnsi="Palatino Linotype"/>
        </w:rPr>
        <w:t>DG</w:t>
      </w:r>
      <w:r w:rsidR="0074701B">
        <w:rPr>
          <w:rFonts w:ascii="Palatino Linotype" w:hAnsi="Palatino Linotype"/>
        </w:rPr>
        <w:t>&amp;</w:t>
      </w:r>
      <w:r w:rsidR="00804757">
        <w:rPr>
          <w:rFonts w:ascii="Palatino Linotype" w:hAnsi="Palatino Linotype"/>
        </w:rPr>
        <w:t>E</w:t>
      </w:r>
      <w:r w:rsidRPr="002F018C">
        <w:rPr>
          <w:rFonts w:ascii="Palatino Linotype" w:hAnsi="Palatino Linotype"/>
        </w:rPr>
        <w:t xml:space="preserve"> filed</w:t>
      </w:r>
      <w:r w:rsidR="000128D3">
        <w:rPr>
          <w:rFonts w:ascii="Palatino Linotype" w:hAnsi="Palatino Linotype"/>
        </w:rPr>
        <w:t xml:space="preserve"> </w:t>
      </w:r>
      <w:r w:rsidR="0074701B">
        <w:rPr>
          <w:rFonts w:ascii="Palatino Linotype" w:hAnsi="Palatino Linotype"/>
        </w:rPr>
        <w:t xml:space="preserve">a </w:t>
      </w:r>
      <w:r w:rsidR="000128D3">
        <w:rPr>
          <w:rFonts w:ascii="Palatino Linotype" w:hAnsi="Palatino Linotype"/>
        </w:rPr>
        <w:t>Supplemental Advice Letter</w:t>
      </w:r>
      <w:r w:rsidR="0074701B">
        <w:rPr>
          <w:rFonts w:ascii="Palatino Linotype" w:hAnsi="Palatino Linotype"/>
        </w:rPr>
        <w:t>,</w:t>
      </w:r>
      <w:r w:rsidRPr="002F018C">
        <w:rPr>
          <w:rFonts w:ascii="Palatino Linotype" w:hAnsi="Palatino Linotype"/>
        </w:rPr>
        <w:t xml:space="preserve"> </w:t>
      </w:r>
      <w:r w:rsidR="00804757">
        <w:rPr>
          <w:rFonts w:ascii="Palatino Linotype" w:hAnsi="Palatino Linotype"/>
        </w:rPr>
        <w:t>36</w:t>
      </w:r>
      <w:r w:rsidR="00AD1D3B">
        <w:rPr>
          <w:rFonts w:ascii="Palatino Linotype" w:hAnsi="Palatino Linotype"/>
        </w:rPr>
        <w:t>0</w:t>
      </w:r>
      <w:r w:rsidR="00804757">
        <w:rPr>
          <w:rFonts w:ascii="Palatino Linotype" w:hAnsi="Palatino Linotype"/>
        </w:rPr>
        <w:t>5</w:t>
      </w:r>
      <w:r w:rsidRPr="002F018C">
        <w:rPr>
          <w:rFonts w:ascii="Palatino Linotype" w:hAnsi="Palatino Linotype"/>
        </w:rPr>
        <w:t>-E</w:t>
      </w:r>
      <w:r w:rsidR="0074701B">
        <w:rPr>
          <w:rFonts w:ascii="Palatino Linotype" w:hAnsi="Palatino Linotype"/>
        </w:rPr>
        <w:t>-</w:t>
      </w:r>
      <w:r w:rsidRPr="002F018C">
        <w:rPr>
          <w:rFonts w:ascii="Palatino Linotype" w:hAnsi="Palatino Linotype"/>
        </w:rPr>
        <w:t>A</w:t>
      </w:r>
      <w:r w:rsidR="000128D3">
        <w:rPr>
          <w:rFonts w:ascii="Palatino Linotype" w:hAnsi="Palatino Linotype"/>
        </w:rPr>
        <w:t>.</w:t>
      </w:r>
      <w:r w:rsidRPr="002F018C">
        <w:rPr>
          <w:rFonts w:ascii="Palatino Linotype" w:hAnsi="Palatino Linotype"/>
        </w:rPr>
        <w:t xml:space="preserve"> The supplement contains </w:t>
      </w:r>
      <w:r w:rsidR="00804757">
        <w:rPr>
          <w:rFonts w:ascii="Palatino Linotype" w:hAnsi="Palatino Linotype"/>
        </w:rPr>
        <w:t>additional details and information that were required to be filed with the advice letter according to D.19-11-016</w:t>
      </w:r>
      <w:r w:rsidRPr="002F018C">
        <w:rPr>
          <w:rFonts w:ascii="Palatino Linotype" w:hAnsi="Palatino Linotype"/>
        </w:rPr>
        <w:t>.</w:t>
      </w:r>
      <w:r w:rsidR="0074701B">
        <w:rPr>
          <w:rFonts w:ascii="Palatino Linotype" w:hAnsi="Palatino Linotype"/>
        </w:rPr>
        <w:t xml:space="preserve"> In its protest, the California Public Advocates Office (</w:t>
      </w:r>
      <w:proofErr w:type="spellStart"/>
      <w:r w:rsidR="00804757">
        <w:rPr>
          <w:rFonts w:ascii="Palatino Linotype" w:hAnsi="Palatino Linotype"/>
        </w:rPr>
        <w:t>CalPA</w:t>
      </w:r>
      <w:proofErr w:type="spellEnd"/>
      <w:r w:rsidR="0074701B">
        <w:rPr>
          <w:rFonts w:ascii="Palatino Linotype" w:hAnsi="Palatino Linotype"/>
        </w:rPr>
        <w:t>)</w:t>
      </w:r>
      <w:r w:rsidR="00804757">
        <w:rPr>
          <w:rFonts w:ascii="Palatino Linotype" w:hAnsi="Palatino Linotype"/>
        </w:rPr>
        <w:t xml:space="preserve"> had </w:t>
      </w:r>
      <w:r w:rsidR="0074701B">
        <w:rPr>
          <w:rFonts w:ascii="Palatino Linotype" w:hAnsi="Palatino Linotype"/>
        </w:rPr>
        <w:t>raised</w:t>
      </w:r>
      <w:r w:rsidR="00804757">
        <w:rPr>
          <w:rFonts w:ascii="Palatino Linotype" w:hAnsi="Palatino Linotype"/>
        </w:rPr>
        <w:t xml:space="preserve"> </w:t>
      </w:r>
      <w:r w:rsidR="0074701B">
        <w:rPr>
          <w:rFonts w:ascii="Palatino Linotype" w:hAnsi="Palatino Linotype"/>
        </w:rPr>
        <w:t>this deficiency</w:t>
      </w:r>
      <w:r w:rsidR="00DA74C5">
        <w:rPr>
          <w:rFonts w:ascii="Palatino Linotype" w:hAnsi="Palatino Linotype"/>
        </w:rPr>
        <w:t>,</w:t>
      </w:r>
      <w:r w:rsidR="0074701B">
        <w:rPr>
          <w:rFonts w:ascii="Palatino Linotype" w:hAnsi="Palatino Linotype"/>
        </w:rPr>
        <w:t xml:space="preserve"> </w:t>
      </w:r>
      <w:r w:rsidR="00804757">
        <w:rPr>
          <w:rFonts w:ascii="Palatino Linotype" w:hAnsi="Palatino Linotype"/>
        </w:rPr>
        <w:t>and SDG</w:t>
      </w:r>
      <w:r w:rsidR="0074701B">
        <w:rPr>
          <w:rFonts w:ascii="Palatino Linotype" w:hAnsi="Palatino Linotype"/>
        </w:rPr>
        <w:t>&amp;</w:t>
      </w:r>
      <w:r w:rsidR="00804757">
        <w:rPr>
          <w:rFonts w:ascii="Palatino Linotype" w:hAnsi="Palatino Linotype"/>
        </w:rPr>
        <w:t xml:space="preserve">E responded that they had submitted similar information in response to data requests </w:t>
      </w:r>
      <w:r w:rsidR="0074701B">
        <w:rPr>
          <w:rFonts w:ascii="Palatino Linotype" w:hAnsi="Palatino Linotype"/>
        </w:rPr>
        <w:t>previously</w:t>
      </w:r>
      <w:r w:rsidR="00804757">
        <w:rPr>
          <w:rFonts w:ascii="Palatino Linotype" w:hAnsi="Palatino Linotype"/>
        </w:rPr>
        <w:t xml:space="preserve">. However, </w:t>
      </w:r>
      <w:r w:rsidR="0074701B">
        <w:rPr>
          <w:rFonts w:ascii="Palatino Linotype" w:hAnsi="Palatino Linotype"/>
        </w:rPr>
        <w:t>D.19-11-016</w:t>
      </w:r>
      <w:r w:rsidR="00804757">
        <w:rPr>
          <w:rFonts w:ascii="Palatino Linotype" w:hAnsi="Palatino Linotype"/>
        </w:rPr>
        <w:t xml:space="preserve"> required that th</w:t>
      </w:r>
      <w:r w:rsidR="0074701B">
        <w:rPr>
          <w:rFonts w:ascii="Palatino Linotype" w:hAnsi="Palatino Linotype"/>
        </w:rPr>
        <w:t>is</w:t>
      </w:r>
      <w:r w:rsidR="00804757">
        <w:rPr>
          <w:rFonts w:ascii="Palatino Linotype" w:hAnsi="Palatino Linotype"/>
        </w:rPr>
        <w:t xml:space="preserve"> information be filed </w:t>
      </w:r>
      <w:r w:rsidR="0074701B">
        <w:rPr>
          <w:rFonts w:ascii="Palatino Linotype" w:hAnsi="Palatino Linotype"/>
        </w:rPr>
        <w:t xml:space="preserve">with </w:t>
      </w:r>
      <w:r w:rsidR="00804757">
        <w:rPr>
          <w:rFonts w:ascii="Palatino Linotype" w:hAnsi="Palatino Linotype"/>
        </w:rPr>
        <w:t xml:space="preserve">the advice letter. </w:t>
      </w:r>
    </w:p>
    <w:p w:rsidR="00380BA0" w:rsidRDefault="0074701B" w14:paraId="4B1147E3" w14:textId="4F92D3C5">
      <w:pPr>
        <w:pStyle w:val="standard"/>
        <w:spacing w:line="240" w:lineRule="auto"/>
        <w:ind w:firstLine="0"/>
        <w:rPr>
          <w:rFonts w:ascii="Palatino Linotype" w:hAnsi="Palatino Linotype"/>
        </w:rPr>
      </w:pPr>
      <w:r>
        <w:rPr>
          <w:rFonts w:ascii="Palatino Linotype" w:hAnsi="Palatino Linotype"/>
        </w:rPr>
        <w:lastRenderedPageBreak/>
        <w:t xml:space="preserve">In addition, </w:t>
      </w:r>
      <w:r w:rsidR="00380BA0">
        <w:rPr>
          <w:rFonts w:ascii="Palatino Linotype" w:hAnsi="Palatino Linotype"/>
        </w:rPr>
        <w:t xml:space="preserve">SDG&amp;E </w:t>
      </w:r>
      <w:r w:rsidR="00AD1D3B">
        <w:rPr>
          <w:rFonts w:ascii="Palatino Linotype" w:hAnsi="Palatino Linotype"/>
        </w:rPr>
        <w:t xml:space="preserve">subsequently </w:t>
      </w:r>
      <w:r w:rsidR="00380BA0">
        <w:rPr>
          <w:rFonts w:ascii="Palatino Linotype" w:hAnsi="Palatino Linotype"/>
        </w:rPr>
        <w:t xml:space="preserve">realized that they had made a clerical mistake in the modelling of NPV for resources. The correction did not make appreciable differences in the overall estimated benefits and was uniform across resources. SDG&amp;E filed Supplemental Advice Letter 3605-E-B on December 4, 2020 to correct this error. </w:t>
      </w:r>
    </w:p>
    <w:p w:rsidRPr="00C55F4A" w:rsidR="00B92C0A" w:rsidP="007A1A2A" w:rsidRDefault="00B92C0A" w14:paraId="6756FC69" w14:textId="77777777">
      <w:pPr>
        <w:pStyle w:val="standard"/>
        <w:spacing w:line="240" w:lineRule="auto"/>
        <w:ind w:firstLine="0"/>
        <w:rPr>
          <w:rFonts w:ascii="Palatino Linotype" w:hAnsi="Palatino Linotype"/>
        </w:rPr>
      </w:pPr>
    </w:p>
    <w:p w:rsidR="00B92C0A" w:rsidP="00B92C0A" w:rsidRDefault="00B92C0A" w14:paraId="7495CFD5" w14:textId="0F1E41E8">
      <w:pPr>
        <w:rPr>
          <w:rFonts w:ascii="Palatino Linotype" w:hAnsi="Palatino Linotype" w:cs="Arial"/>
          <w:szCs w:val="22"/>
        </w:rPr>
      </w:pPr>
      <w:r>
        <w:rPr>
          <w:rFonts w:ascii="Palatino Linotype" w:hAnsi="Palatino Linotype" w:cs="Arial"/>
          <w:szCs w:val="22"/>
        </w:rPr>
        <w:t xml:space="preserve">SDG&amp;E’s initial advice letter did not include details needed to evaluate the proposed procurement and required two supplemental filings. This delayed the Commission’s review of these contracts.  </w:t>
      </w:r>
      <w:r>
        <w:rPr>
          <w:rFonts w:ascii="Palatino Linotype" w:hAnsi="Palatino Linotype" w:cs="Arial"/>
          <w:szCs w:val="22"/>
        </w:rPr>
        <w:br/>
      </w:r>
    </w:p>
    <w:p w:rsidRPr="008C204D" w:rsidR="0006536D" w:rsidP="00D6140A" w:rsidRDefault="0006536D" w14:paraId="4B981F5A" w14:textId="03752DFD">
      <w:pPr>
        <w:pStyle w:val="Heading1"/>
        <w:jc w:val="both"/>
      </w:pPr>
      <w:r w:rsidRPr="008C204D">
        <w:t>notice</w:t>
      </w:r>
    </w:p>
    <w:p w:rsidRPr="002F018C" w:rsidR="0006536D" w:rsidP="002F018C" w:rsidRDefault="0006536D" w14:paraId="25F7A05B" w14:textId="05354D17">
      <w:pPr>
        <w:rPr>
          <w:rFonts w:ascii="Palatino Linotype" w:hAnsi="Palatino Linotype"/>
        </w:rPr>
      </w:pPr>
      <w:r w:rsidRPr="003B6437">
        <w:rPr>
          <w:rFonts w:ascii="Palatino Linotype" w:hAnsi="Palatino Linotype"/>
        </w:rPr>
        <w:t>Notice of A</w:t>
      </w:r>
      <w:r w:rsidRPr="003B6437" w:rsidR="00000D82">
        <w:rPr>
          <w:rFonts w:ascii="Palatino Linotype" w:hAnsi="Palatino Linotype"/>
        </w:rPr>
        <w:t xml:space="preserve">dvice </w:t>
      </w:r>
      <w:r w:rsidRPr="003B6437">
        <w:rPr>
          <w:rFonts w:ascii="Palatino Linotype" w:hAnsi="Palatino Linotype"/>
        </w:rPr>
        <w:t>L</w:t>
      </w:r>
      <w:r w:rsidRPr="003B6437" w:rsidR="00000D82">
        <w:rPr>
          <w:rFonts w:ascii="Palatino Linotype" w:hAnsi="Palatino Linotype"/>
        </w:rPr>
        <w:t>etter</w:t>
      </w:r>
      <w:r w:rsidRPr="003B6437">
        <w:rPr>
          <w:rFonts w:ascii="Palatino Linotype" w:hAnsi="Palatino Linotype"/>
        </w:rPr>
        <w:t xml:space="preserve"> </w:t>
      </w:r>
      <w:r w:rsidRPr="003B6437" w:rsidR="0042043F">
        <w:rPr>
          <w:rFonts w:ascii="Palatino Linotype" w:hAnsi="Palatino Linotype"/>
        </w:rPr>
        <w:t>3605</w:t>
      </w:r>
      <w:r w:rsidRPr="003B6437">
        <w:rPr>
          <w:rFonts w:ascii="Palatino Linotype" w:hAnsi="Palatino Linotype"/>
        </w:rPr>
        <w:t>-E</w:t>
      </w:r>
      <w:r w:rsidRPr="003B6437" w:rsidR="009E66B7">
        <w:rPr>
          <w:rFonts w:ascii="Palatino Linotype" w:hAnsi="Palatino Linotype"/>
        </w:rPr>
        <w:t xml:space="preserve"> </w:t>
      </w:r>
      <w:r w:rsidRPr="003B6437">
        <w:rPr>
          <w:rFonts w:ascii="Palatino Linotype" w:hAnsi="Palatino Linotype"/>
        </w:rPr>
        <w:t xml:space="preserve">was made by publication in the Commission’s Daily Calendar.  </w:t>
      </w:r>
      <w:r w:rsidRPr="003B6437" w:rsidR="009E66B7">
        <w:rPr>
          <w:rFonts w:ascii="Palatino Linotype" w:hAnsi="Palatino Linotype"/>
        </w:rPr>
        <w:t>S</w:t>
      </w:r>
      <w:r w:rsidRPr="003B6437" w:rsidR="0042043F">
        <w:rPr>
          <w:rFonts w:ascii="Palatino Linotype" w:hAnsi="Palatino Linotype"/>
        </w:rPr>
        <w:t>DG&amp;E</w:t>
      </w:r>
      <w:r w:rsidRPr="003B6437">
        <w:rPr>
          <w:rFonts w:ascii="Palatino Linotype" w:hAnsi="Palatino Linotype"/>
        </w:rPr>
        <w:t xml:space="preserve"> states that </w:t>
      </w:r>
      <w:r w:rsidRPr="003B6437" w:rsidR="006A3AF1">
        <w:rPr>
          <w:rFonts w:ascii="Palatino Linotype" w:hAnsi="Palatino Linotype"/>
        </w:rPr>
        <w:t>a copy of A</w:t>
      </w:r>
      <w:r w:rsidRPr="003B6437" w:rsidR="00000D82">
        <w:rPr>
          <w:rFonts w:ascii="Palatino Linotype" w:hAnsi="Palatino Linotype"/>
        </w:rPr>
        <w:t xml:space="preserve">dvice </w:t>
      </w:r>
      <w:r w:rsidRPr="003B6437" w:rsidR="006A3AF1">
        <w:rPr>
          <w:rFonts w:ascii="Palatino Linotype" w:hAnsi="Palatino Linotype"/>
        </w:rPr>
        <w:t>L</w:t>
      </w:r>
      <w:r w:rsidRPr="003B6437" w:rsidR="00000D82">
        <w:rPr>
          <w:rFonts w:ascii="Palatino Linotype" w:hAnsi="Palatino Linotype"/>
        </w:rPr>
        <w:t>etter</w:t>
      </w:r>
      <w:r w:rsidRPr="003B6437" w:rsidR="006A3AF1">
        <w:rPr>
          <w:rFonts w:ascii="Palatino Linotype" w:hAnsi="Palatino Linotype"/>
        </w:rPr>
        <w:t xml:space="preserve"> </w:t>
      </w:r>
      <w:r w:rsidR="00AD1D3B">
        <w:rPr>
          <w:rFonts w:ascii="Palatino Linotype" w:hAnsi="Palatino Linotype"/>
        </w:rPr>
        <w:t>3605</w:t>
      </w:r>
      <w:r w:rsidRPr="003B6437" w:rsidR="006A3AF1">
        <w:rPr>
          <w:rFonts w:ascii="Palatino Linotype" w:hAnsi="Palatino Linotype"/>
        </w:rPr>
        <w:t>-E was distributed in accordance with Section 4.3 of G.O. 96-B.</w:t>
      </w:r>
      <w:r w:rsidRPr="003B6437" w:rsidR="00C74364">
        <w:rPr>
          <w:rFonts w:ascii="Palatino Linotype" w:hAnsi="Palatino Linotype"/>
        </w:rPr>
        <w:t xml:space="preserve"> S</w:t>
      </w:r>
      <w:r w:rsidR="00AD1D3B">
        <w:rPr>
          <w:rFonts w:ascii="Palatino Linotype" w:hAnsi="Palatino Linotype"/>
        </w:rPr>
        <w:t>DG&amp;E</w:t>
      </w:r>
      <w:r w:rsidR="004B29C1">
        <w:rPr>
          <w:rFonts w:ascii="Palatino Linotype" w:hAnsi="Palatino Linotype"/>
        </w:rPr>
        <w:t xml:space="preserve"> </w:t>
      </w:r>
      <w:r w:rsidRPr="003B6437" w:rsidR="00C74364">
        <w:rPr>
          <w:rFonts w:ascii="Palatino Linotype" w:hAnsi="Palatino Linotype"/>
        </w:rPr>
        <w:t>also state</w:t>
      </w:r>
      <w:r w:rsidR="00AD1D3B">
        <w:rPr>
          <w:rFonts w:ascii="Palatino Linotype" w:hAnsi="Palatino Linotype"/>
        </w:rPr>
        <w:t>s</w:t>
      </w:r>
      <w:r w:rsidRPr="003B6437" w:rsidR="00C74364">
        <w:rPr>
          <w:rFonts w:ascii="Palatino Linotype" w:hAnsi="Palatino Linotype"/>
        </w:rPr>
        <w:t xml:space="preserve"> that copies of Supplemental Advice Letter</w:t>
      </w:r>
      <w:r w:rsidR="00380BA0">
        <w:rPr>
          <w:rFonts w:ascii="Palatino Linotype" w:hAnsi="Palatino Linotype"/>
        </w:rPr>
        <w:t>s</w:t>
      </w:r>
      <w:r w:rsidRPr="003B6437" w:rsidR="00C74364">
        <w:rPr>
          <w:rFonts w:ascii="Palatino Linotype" w:hAnsi="Palatino Linotype"/>
        </w:rPr>
        <w:t xml:space="preserve"> </w:t>
      </w:r>
      <w:r w:rsidR="00380BA0">
        <w:rPr>
          <w:rFonts w:ascii="Palatino Linotype" w:hAnsi="Palatino Linotype"/>
        </w:rPr>
        <w:t>3605</w:t>
      </w:r>
      <w:r w:rsidRPr="003B6437" w:rsidR="00C74364">
        <w:rPr>
          <w:rFonts w:ascii="Palatino Linotype" w:hAnsi="Palatino Linotype"/>
        </w:rPr>
        <w:t>-E-A</w:t>
      </w:r>
      <w:r w:rsidR="00380BA0">
        <w:rPr>
          <w:rFonts w:ascii="Palatino Linotype" w:hAnsi="Palatino Linotype"/>
        </w:rPr>
        <w:t xml:space="preserve"> and 3605-E-B</w:t>
      </w:r>
      <w:r w:rsidRPr="003B6437" w:rsidR="00C74364">
        <w:rPr>
          <w:rFonts w:ascii="Palatino Linotype" w:hAnsi="Palatino Linotype"/>
        </w:rPr>
        <w:t xml:space="preserve"> were served on the GO 96-B, R.16-02-007, and R.20-05-003 service lists, as well as the parties that protested and responded to Advice Letter </w:t>
      </w:r>
      <w:r w:rsidR="00380BA0">
        <w:rPr>
          <w:rFonts w:ascii="Palatino Linotype" w:hAnsi="Palatino Linotype"/>
        </w:rPr>
        <w:t>3605</w:t>
      </w:r>
      <w:r w:rsidRPr="003B6437" w:rsidR="00C74364">
        <w:rPr>
          <w:rFonts w:ascii="Palatino Linotype" w:hAnsi="Palatino Linotype"/>
        </w:rPr>
        <w:t>-E.</w:t>
      </w:r>
    </w:p>
    <w:p w:rsidRPr="008C204D" w:rsidR="00932550" w:rsidP="0006536D" w:rsidRDefault="00932550" w14:paraId="5ED4E27D" w14:textId="77777777"/>
    <w:p w:rsidRPr="008C204D" w:rsidR="00AA2F97" w:rsidP="00AA2F97" w:rsidRDefault="00AA2F97" w14:paraId="2801C5BB" w14:textId="0AF19E61">
      <w:pPr>
        <w:pStyle w:val="Heading1"/>
        <w:jc w:val="both"/>
        <w:rPr>
          <w:bCs/>
        </w:rPr>
      </w:pPr>
      <w:r w:rsidRPr="008C204D">
        <w:rPr>
          <w:bCs/>
        </w:rPr>
        <w:t>PROTESTS</w:t>
      </w:r>
      <w:r w:rsidR="00C4253B">
        <w:rPr>
          <w:bCs/>
        </w:rPr>
        <w:t xml:space="preserve"> and responses</w:t>
      </w:r>
    </w:p>
    <w:p w:rsidR="004E3AC0" w:rsidP="004E3AC0" w:rsidRDefault="005A7EE3" w14:paraId="04A1C146" w14:textId="7D77B24C">
      <w:pPr>
        <w:autoSpaceDE w:val="0"/>
        <w:autoSpaceDN w:val="0"/>
        <w:adjustRightInd w:val="0"/>
        <w:rPr>
          <w:rFonts w:ascii="Palatino Linotype" w:hAnsi="Palatino Linotype" w:cs="TimesNewRoman"/>
          <w:szCs w:val="24"/>
        </w:rPr>
      </w:pPr>
      <w:r w:rsidRPr="003B6437">
        <w:rPr>
          <w:rFonts w:ascii="Palatino Linotype" w:hAnsi="Palatino Linotype" w:cs="TimesNewRoman"/>
          <w:szCs w:val="24"/>
        </w:rPr>
        <w:t>A</w:t>
      </w:r>
      <w:r w:rsidRPr="003B6437" w:rsidR="00000D82">
        <w:rPr>
          <w:rFonts w:ascii="Palatino Linotype" w:hAnsi="Palatino Linotype" w:cs="TimesNewRoman"/>
          <w:szCs w:val="24"/>
        </w:rPr>
        <w:t xml:space="preserve">dvice </w:t>
      </w:r>
      <w:r w:rsidRPr="003B6437">
        <w:rPr>
          <w:rFonts w:ascii="Palatino Linotype" w:hAnsi="Palatino Linotype" w:cs="TimesNewRoman"/>
          <w:szCs w:val="24"/>
        </w:rPr>
        <w:t>L</w:t>
      </w:r>
      <w:r w:rsidRPr="003B6437" w:rsidR="00000D82">
        <w:rPr>
          <w:rFonts w:ascii="Palatino Linotype" w:hAnsi="Palatino Linotype" w:cs="TimesNewRoman"/>
          <w:szCs w:val="24"/>
        </w:rPr>
        <w:t>etter</w:t>
      </w:r>
      <w:r w:rsidRPr="003B6437">
        <w:rPr>
          <w:rFonts w:ascii="Palatino Linotype" w:hAnsi="Palatino Linotype" w:cs="TimesNewRoman"/>
          <w:szCs w:val="24"/>
        </w:rPr>
        <w:t xml:space="preserve"> </w:t>
      </w:r>
      <w:r w:rsidRPr="003B6437" w:rsidR="00045B17">
        <w:rPr>
          <w:rFonts w:ascii="Palatino Linotype" w:hAnsi="Palatino Linotype" w:cs="TimesNewRoman"/>
          <w:szCs w:val="24"/>
        </w:rPr>
        <w:t>3605</w:t>
      </w:r>
      <w:r w:rsidRPr="003B6437">
        <w:rPr>
          <w:rFonts w:ascii="Palatino Linotype" w:hAnsi="Palatino Linotype" w:cs="TimesNewRoman"/>
          <w:szCs w:val="24"/>
        </w:rPr>
        <w:t xml:space="preserve">-E was timely protested by the </w:t>
      </w:r>
      <w:proofErr w:type="spellStart"/>
      <w:r w:rsidRPr="003B6437" w:rsidR="00C74364">
        <w:rPr>
          <w:rFonts w:ascii="Palatino Linotype" w:hAnsi="Palatino Linotype" w:cs="TimesNewRoman"/>
          <w:szCs w:val="24"/>
        </w:rPr>
        <w:t>Cal</w:t>
      </w:r>
      <w:r w:rsidR="00AD1D3B">
        <w:rPr>
          <w:rFonts w:ascii="Palatino Linotype" w:hAnsi="Palatino Linotype" w:cs="TimesNewRoman"/>
          <w:szCs w:val="24"/>
        </w:rPr>
        <w:t>PA</w:t>
      </w:r>
      <w:proofErr w:type="spellEnd"/>
      <w:r w:rsidR="00AD1D3B">
        <w:rPr>
          <w:rFonts w:ascii="Palatino Linotype" w:hAnsi="Palatino Linotype" w:cs="TimesNewRoman"/>
          <w:szCs w:val="24"/>
        </w:rPr>
        <w:t>,</w:t>
      </w:r>
      <w:r w:rsidRPr="003B6437" w:rsidR="00971995">
        <w:rPr>
          <w:rFonts w:ascii="Palatino Linotype" w:hAnsi="Palatino Linotype" w:cs="TimesNewRoman"/>
          <w:szCs w:val="24"/>
        </w:rPr>
        <w:t xml:space="preserve"> </w:t>
      </w:r>
      <w:r w:rsidRPr="003B6437" w:rsidR="003B6437">
        <w:rPr>
          <w:rFonts w:ascii="Palatino Linotype" w:hAnsi="Palatino Linotype" w:cs="TimesNewRoman"/>
          <w:szCs w:val="24"/>
        </w:rPr>
        <w:t>San Diego Community Power (SDCP)</w:t>
      </w:r>
      <w:r w:rsidR="00AD1D3B">
        <w:rPr>
          <w:rFonts w:ascii="Palatino Linotype" w:hAnsi="Palatino Linotype" w:cs="TimesNewRoman"/>
          <w:szCs w:val="24"/>
        </w:rPr>
        <w:t>,</w:t>
      </w:r>
      <w:r w:rsidRPr="003B6437" w:rsidR="003B6437">
        <w:rPr>
          <w:rFonts w:ascii="Palatino Linotype" w:hAnsi="Palatino Linotype" w:cs="TimesNewRoman"/>
          <w:szCs w:val="24"/>
        </w:rPr>
        <w:t xml:space="preserve"> and Clean Energy Alliance (CEA) on</w:t>
      </w:r>
      <w:r w:rsidRPr="003B6437" w:rsidR="009D56D0">
        <w:rPr>
          <w:rFonts w:ascii="Palatino Linotype" w:hAnsi="Palatino Linotype" w:cs="TimesNewRoman"/>
          <w:szCs w:val="24"/>
        </w:rPr>
        <w:t xml:space="preserve"> </w:t>
      </w:r>
      <w:r w:rsidRPr="003B6437" w:rsidR="003B6437">
        <w:rPr>
          <w:rFonts w:ascii="Palatino Linotype" w:hAnsi="Palatino Linotype" w:cs="TimesNewRoman"/>
          <w:szCs w:val="24"/>
        </w:rPr>
        <w:t>October 1</w:t>
      </w:r>
      <w:r w:rsidRPr="003B6437" w:rsidR="009C4954">
        <w:rPr>
          <w:rFonts w:ascii="Palatino Linotype" w:hAnsi="Palatino Linotype" w:cs="TimesNewRoman"/>
          <w:szCs w:val="24"/>
        </w:rPr>
        <w:t>, 2020</w:t>
      </w:r>
      <w:r w:rsidRPr="003B6437" w:rsidR="00971995">
        <w:rPr>
          <w:rFonts w:ascii="Palatino Linotype" w:hAnsi="Palatino Linotype" w:cs="TimesNewRoman"/>
          <w:szCs w:val="24"/>
        </w:rPr>
        <w:t>. S</w:t>
      </w:r>
      <w:r w:rsidRPr="003B6437" w:rsidR="003B6437">
        <w:rPr>
          <w:rFonts w:ascii="Palatino Linotype" w:hAnsi="Palatino Linotype" w:cs="TimesNewRoman"/>
          <w:szCs w:val="24"/>
        </w:rPr>
        <w:t>DG&amp;E</w:t>
      </w:r>
      <w:r w:rsidRPr="003B6437" w:rsidR="00971995">
        <w:rPr>
          <w:rFonts w:ascii="Palatino Linotype" w:hAnsi="Palatino Linotype" w:cs="TimesNewRoman"/>
          <w:szCs w:val="24"/>
        </w:rPr>
        <w:t xml:space="preserve"> timely filed a reply to the protest</w:t>
      </w:r>
      <w:r w:rsidRPr="003B6437" w:rsidR="009D56D0">
        <w:rPr>
          <w:rFonts w:ascii="Palatino Linotype" w:hAnsi="Palatino Linotype" w:cs="TimesNewRoman"/>
          <w:szCs w:val="24"/>
        </w:rPr>
        <w:t>s</w:t>
      </w:r>
      <w:r w:rsidRPr="003B6437" w:rsidR="00971995">
        <w:rPr>
          <w:rFonts w:ascii="Palatino Linotype" w:hAnsi="Palatino Linotype" w:cs="TimesNewRoman"/>
          <w:szCs w:val="24"/>
        </w:rPr>
        <w:t xml:space="preserve"> on </w:t>
      </w:r>
      <w:r w:rsidRPr="003B6437" w:rsidR="003B6437">
        <w:rPr>
          <w:rFonts w:ascii="Palatino Linotype" w:hAnsi="Palatino Linotype" w:cs="TimesNewRoman"/>
          <w:szCs w:val="24"/>
        </w:rPr>
        <w:t>October 8,</w:t>
      </w:r>
      <w:r w:rsidRPr="003B6437" w:rsidR="00971995">
        <w:rPr>
          <w:rFonts w:ascii="Palatino Linotype" w:hAnsi="Palatino Linotype" w:cs="TimesNewRoman"/>
          <w:szCs w:val="24"/>
        </w:rPr>
        <w:t xml:space="preserve"> 20</w:t>
      </w:r>
      <w:r w:rsidRPr="003B6437" w:rsidR="0049490A">
        <w:rPr>
          <w:rFonts w:ascii="Palatino Linotype" w:hAnsi="Palatino Linotype" w:cs="TimesNewRoman"/>
          <w:szCs w:val="24"/>
        </w:rPr>
        <w:t>20</w:t>
      </w:r>
      <w:r w:rsidRPr="003B6437" w:rsidR="00971995">
        <w:rPr>
          <w:rFonts w:ascii="Palatino Linotype" w:hAnsi="Palatino Linotype" w:cs="TimesNewRoman"/>
          <w:szCs w:val="24"/>
        </w:rPr>
        <w:t xml:space="preserve">. </w:t>
      </w:r>
      <w:r w:rsidRPr="003B6437" w:rsidR="003B6437">
        <w:rPr>
          <w:rFonts w:ascii="Palatino Linotype" w:hAnsi="Palatino Linotype" w:cs="TimesNewRoman"/>
          <w:szCs w:val="24"/>
        </w:rPr>
        <w:t>Fluence</w:t>
      </w:r>
      <w:r w:rsidRPr="003B6437" w:rsidR="00D00FDF">
        <w:rPr>
          <w:rFonts w:ascii="Palatino Linotype" w:hAnsi="Palatino Linotype" w:cs="TimesNewRoman"/>
          <w:szCs w:val="24"/>
        </w:rPr>
        <w:t xml:space="preserve"> </w:t>
      </w:r>
      <w:r w:rsidRPr="003B6437" w:rsidR="003B6437">
        <w:rPr>
          <w:rFonts w:ascii="Palatino Linotype" w:hAnsi="Palatino Linotype" w:cs="TimesNewRoman"/>
          <w:szCs w:val="24"/>
        </w:rPr>
        <w:t>and Alliance for Retail Energy Markets (</w:t>
      </w:r>
      <w:proofErr w:type="spellStart"/>
      <w:r w:rsidRPr="003B6437" w:rsidR="003B6437">
        <w:rPr>
          <w:rFonts w:ascii="Palatino Linotype" w:hAnsi="Palatino Linotype" w:cs="TimesNewRoman"/>
          <w:szCs w:val="24"/>
        </w:rPr>
        <w:t>AReM</w:t>
      </w:r>
      <w:proofErr w:type="spellEnd"/>
      <w:r w:rsidRPr="003B6437" w:rsidR="003B6437">
        <w:rPr>
          <w:rFonts w:ascii="Palatino Linotype" w:hAnsi="Palatino Linotype" w:cs="TimesNewRoman"/>
          <w:szCs w:val="24"/>
        </w:rPr>
        <w:t>) both</w:t>
      </w:r>
      <w:r w:rsidRPr="003B6437" w:rsidR="004D6345">
        <w:rPr>
          <w:rFonts w:ascii="Palatino Linotype" w:hAnsi="Palatino Linotype" w:cs="TimesNewRoman"/>
          <w:szCs w:val="24"/>
        </w:rPr>
        <w:t xml:space="preserve"> filed responses </w:t>
      </w:r>
      <w:r w:rsidRPr="003B6437" w:rsidR="0049490A">
        <w:rPr>
          <w:rFonts w:ascii="Palatino Linotype" w:hAnsi="Palatino Linotype" w:cs="TimesNewRoman"/>
          <w:szCs w:val="24"/>
        </w:rPr>
        <w:t>to</w:t>
      </w:r>
      <w:r w:rsidRPr="003B6437" w:rsidR="004D6345">
        <w:rPr>
          <w:rFonts w:ascii="Palatino Linotype" w:hAnsi="Palatino Linotype" w:cs="TimesNewRoman"/>
          <w:szCs w:val="24"/>
        </w:rPr>
        <w:t xml:space="preserve"> A</w:t>
      </w:r>
      <w:r w:rsidRPr="003B6437" w:rsidR="003B6437">
        <w:rPr>
          <w:rFonts w:ascii="Palatino Linotype" w:hAnsi="Palatino Linotype" w:cs="TimesNewRoman"/>
          <w:szCs w:val="24"/>
        </w:rPr>
        <w:t xml:space="preserve">dvice </w:t>
      </w:r>
      <w:r w:rsidRPr="003B6437" w:rsidR="004D6345">
        <w:rPr>
          <w:rFonts w:ascii="Palatino Linotype" w:hAnsi="Palatino Linotype" w:cs="TimesNewRoman"/>
          <w:szCs w:val="24"/>
        </w:rPr>
        <w:t>L</w:t>
      </w:r>
      <w:r w:rsidRPr="003B6437" w:rsidR="003B6437">
        <w:rPr>
          <w:rFonts w:ascii="Palatino Linotype" w:hAnsi="Palatino Linotype" w:cs="TimesNewRoman"/>
          <w:szCs w:val="24"/>
        </w:rPr>
        <w:t>etter</w:t>
      </w:r>
      <w:r w:rsidRPr="003B6437" w:rsidR="004D6345">
        <w:rPr>
          <w:rFonts w:ascii="Palatino Linotype" w:hAnsi="Palatino Linotype" w:cs="TimesNewRoman"/>
          <w:szCs w:val="24"/>
        </w:rPr>
        <w:t xml:space="preserve"> </w:t>
      </w:r>
      <w:r w:rsidRPr="003B6437" w:rsidR="003B6437">
        <w:rPr>
          <w:rFonts w:ascii="Palatino Linotype" w:hAnsi="Palatino Linotype" w:cs="TimesNewRoman"/>
          <w:szCs w:val="24"/>
        </w:rPr>
        <w:t>3605</w:t>
      </w:r>
      <w:r w:rsidRPr="003B6437" w:rsidR="004D6345">
        <w:rPr>
          <w:rFonts w:ascii="Palatino Linotype" w:hAnsi="Palatino Linotype" w:cs="TimesNewRoman"/>
          <w:szCs w:val="24"/>
        </w:rPr>
        <w:t xml:space="preserve">-E. </w:t>
      </w:r>
      <w:r w:rsidRPr="003B6437" w:rsidR="00294B1D">
        <w:rPr>
          <w:rFonts w:ascii="Palatino Linotype" w:hAnsi="Palatino Linotype" w:cs="TimesNewRoman"/>
          <w:szCs w:val="24"/>
        </w:rPr>
        <w:t>The issues raised in protests and responses are detailed below and discussed fu</w:t>
      </w:r>
      <w:r w:rsidRPr="003B6437" w:rsidR="00EB2272">
        <w:rPr>
          <w:rFonts w:ascii="Palatino Linotype" w:hAnsi="Palatino Linotype" w:cs="TimesNewRoman"/>
          <w:szCs w:val="24"/>
        </w:rPr>
        <w:t>rther</w:t>
      </w:r>
      <w:r w:rsidRPr="003B6437" w:rsidR="00294B1D">
        <w:rPr>
          <w:rFonts w:ascii="Palatino Linotype" w:hAnsi="Palatino Linotype" w:cs="TimesNewRoman"/>
          <w:szCs w:val="24"/>
        </w:rPr>
        <w:t xml:space="preserve"> in the Discussion section </w:t>
      </w:r>
      <w:r w:rsidRPr="003B6437" w:rsidR="00EB2272">
        <w:rPr>
          <w:rFonts w:ascii="Palatino Linotype" w:hAnsi="Palatino Linotype" w:cs="TimesNewRoman"/>
          <w:szCs w:val="24"/>
        </w:rPr>
        <w:t>o</w:t>
      </w:r>
      <w:r w:rsidRPr="003B6437" w:rsidR="00294B1D">
        <w:rPr>
          <w:rFonts w:ascii="Palatino Linotype" w:hAnsi="Palatino Linotype" w:cs="TimesNewRoman"/>
          <w:szCs w:val="24"/>
        </w:rPr>
        <w:t>f the Resolution.</w:t>
      </w:r>
      <w:r w:rsidR="00294B1D">
        <w:rPr>
          <w:rFonts w:ascii="Palatino Linotype" w:hAnsi="Palatino Linotype" w:cs="TimesNewRoman"/>
          <w:szCs w:val="24"/>
        </w:rPr>
        <w:t xml:space="preserve"> </w:t>
      </w:r>
    </w:p>
    <w:p w:rsidR="004A06C5" w:rsidP="0068753E" w:rsidRDefault="004A06C5" w14:paraId="5185B616" w14:textId="11A74363">
      <w:pPr>
        <w:autoSpaceDE w:val="0"/>
        <w:autoSpaceDN w:val="0"/>
        <w:adjustRightInd w:val="0"/>
        <w:rPr>
          <w:rFonts w:ascii="Palatino Linotype" w:hAnsi="Palatino Linotype" w:cs="TimesNewRoman"/>
          <w:szCs w:val="24"/>
        </w:rPr>
      </w:pPr>
    </w:p>
    <w:p w:rsidRPr="00E446B2" w:rsidR="004A06C5" w:rsidP="0068753E" w:rsidRDefault="00804757" w14:paraId="58D0D4D3" w14:textId="185AACE4">
      <w:pPr>
        <w:autoSpaceDE w:val="0"/>
        <w:autoSpaceDN w:val="0"/>
        <w:adjustRightInd w:val="0"/>
        <w:rPr>
          <w:rFonts w:ascii="Palatino Linotype" w:hAnsi="Palatino Linotype" w:cs="TimesNewRoman"/>
          <w:i/>
          <w:iCs/>
          <w:szCs w:val="24"/>
        </w:rPr>
      </w:pPr>
      <w:r>
        <w:rPr>
          <w:rFonts w:ascii="Palatino Linotype" w:hAnsi="Palatino Linotype" w:cs="TimesNewRoman"/>
          <w:i/>
          <w:iCs/>
          <w:szCs w:val="24"/>
        </w:rPr>
        <w:t>Utility Owned Generation projects</w:t>
      </w:r>
    </w:p>
    <w:p w:rsidR="00B70FA3" w:rsidP="0068753E" w:rsidRDefault="00B70FA3" w14:paraId="14A39733" w14:textId="7B6A9FED">
      <w:pPr>
        <w:autoSpaceDE w:val="0"/>
        <w:autoSpaceDN w:val="0"/>
        <w:adjustRightInd w:val="0"/>
        <w:rPr>
          <w:rFonts w:ascii="Palatino Linotype" w:hAnsi="Palatino Linotype" w:cs="TimesNewRoman"/>
          <w:szCs w:val="24"/>
        </w:rPr>
      </w:pPr>
    </w:p>
    <w:p w:rsidR="008127F0" w:rsidP="0068753E" w:rsidRDefault="00E6146D" w14:paraId="64B60001" w14:textId="3FDA9160">
      <w:pPr>
        <w:autoSpaceDE w:val="0"/>
        <w:autoSpaceDN w:val="0"/>
        <w:adjustRightInd w:val="0"/>
        <w:rPr>
          <w:rFonts w:ascii="Palatino Linotype" w:hAnsi="Palatino Linotype" w:cs="TimesNewRoman"/>
          <w:szCs w:val="24"/>
        </w:rPr>
      </w:pPr>
      <w:proofErr w:type="spellStart"/>
      <w:r>
        <w:rPr>
          <w:rFonts w:ascii="Palatino Linotype" w:hAnsi="Palatino Linotype" w:cs="TimesNewRoman"/>
          <w:szCs w:val="24"/>
        </w:rPr>
        <w:t>Cal</w:t>
      </w:r>
      <w:r w:rsidR="004B29C1">
        <w:rPr>
          <w:rFonts w:ascii="Palatino Linotype" w:hAnsi="Palatino Linotype" w:cs="TimesNewRoman"/>
          <w:szCs w:val="24"/>
        </w:rPr>
        <w:t>PA</w:t>
      </w:r>
      <w:proofErr w:type="spellEnd"/>
      <w:r w:rsidR="00B70FA3">
        <w:rPr>
          <w:rFonts w:ascii="Palatino Linotype" w:hAnsi="Palatino Linotype" w:cs="TimesNewRoman"/>
          <w:szCs w:val="24"/>
        </w:rPr>
        <w:t xml:space="preserve"> raises several issues in their protest, </w:t>
      </w:r>
      <w:proofErr w:type="spellStart"/>
      <w:r w:rsidRPr="00AA5FAE" w:rsidR="0093437D">
        <w:rPr>
          <w:rFonts w:ascii="Palatino Linotype" w:hAnsi="Palatino Linotype" w:cs="TimesNewRoman"/>
          <w:szCs w:val="24"/>
          <w:highlight w:val="black"/>
        </w:rPr>
        <w:t>xxxxxxxxxxxxxxxxxxxxxxxxxx</w:t>
      </w:r>
      <w:proofErr w:type="spellEnd"/>
      <w:r w:rsidRPr="00AA5FAE" w:rsidR="004171DE">
        <w:rPr>
          <w:rFonts w:ascii="Palatino Linotype" w:hAnsi="Palatino Linotype" w:cs="TimesNewRoman"/>
          <w:szCs w:val="24"/>
          <w:highlight w:val="black"/>
        </w:rPr>
        <w:t xml:space="preserve"> </w:t>
      </w:r>
      <w:r w:rsidRPr="00AA5FAE" w:rsidR="0093437D">
        <w:rPr>
          <w:rFonts w:ascii="Palatino Linotype" w:hAnsi="Palatino Linotype" w:cs="TimesNewRoman"/>
          <w:szCs w:val="24"/>
          <w:highlight w:val="black"/>
        </w:rPr>
        <w:t>xxxxxxxxxxxxxxxxxxxxxxxxxxxxxxxxxxxxxxxxxxxxxxxxxxxxxxxxxxxxxxx</w:t>
      </w:r>
      <w:r w:rsidRPr="00AA5FAE" w:rsidR="005F5088">
        <w:rPr>
          <w:rFonts w:ascii="Palatino Linotype" w:hAnsi="Palatino Linotype" w:cs="TimesNewRoman"/>
          <w:szCs w:val="24"/>
          <w:highlight w:val="black"/>
        </w:rPr>
        <w:t>xxxx</w:t>
      </w:r>
      <w:r w:rsidRPr="00AA5FAE" w:rsidR="000F00AD">
        <w:rPr>
          <w:rFonts w:ascii="Palatino Linotype" w:hAnsi="Palatino Linotype" w:cs="TimesNewRoman"/>
          <w:szCs w:val="24"/>
          <w:highlight w:val="black"/>
        </w:rPr>
        <w:t xml:space="preserve"> </w:t>
      </w:r>
      <w:r w:rsidRPr="00AA5FAE" w:rsidR="0093437D">
        <w:rPr>
          <w:rFonts w:ascii="Palatino Linotype" w:hAnsi="Palatino Linotype" w:cs="TimesNewRoman"/>
          <w:szCs w:val="24"/>
          <w:highlight w:val="black"/>
        </w:rPr>
        <w:t>xxxxxxxxxxxxxxxxxxxxxxxxxxxxxxxxxxxxxxxxxxxxxxxxxxxxxxxxxxxxxxxxx</w:t>
      </w:r>
      <w:r w:rsidRPr="00AA5FAE" w:rsidR="004171DE">
        <w:rPr>
          <w:rFonts w:ascii="Palatino Linotype" w:hAnsi="Palatino Linotype" w:cs="TimesNewRoman"/>
          <w:szCs w:val="24"/>
          <w:highlight w:val="black"/>
        </w:rPr>
        <w:t xml:space="preserve"> </w:t>
      </w:r>
      <w:r w:rsidRPr="00AA5FAE" w:rsidR="0093437D">
        <w:rPr>
          <w:rFonts w:ascii="Palatino Linotype" w:hAnsi="Palatino Linotype" w:cs="TimesNewRoman"/>
          <w:szCs w:val="24"/>
          <w:highlight w:val="black"/>
        </w:rPr>
        <w:t>xxxxxxxxxxxxxxxxxxxxxxxxxxxxxxxxxxxxxxxxxxxxxxxxxxxxxxxxxxxxxxxx</w:t>
      </w:r>
      <w:r w:rsidRPr="00AA5FAE" w:rsidR="005F5088">
        <w:rPr>
          <w:rFonts w:ascii="Palatino Linotype" w:hAnsi="Palatino Linotype" w:cs="TimesNewRoman"/>
          <w:szCs w:val="24"/>
          <w:highlight w:val="black"/>
        </w:rPr>
        <w:t>xx</w:t>
      </w:r>
      <w:r w:rsidRPr="00AA5FAE" w:rsidR="004171DE">
        <w:rPr>
          <w:rFonts w:ascii="Palatino Linotype" w:hAnsi="Palatino Linotype" w:cs="TimesNewRoman"/>
          <w:szCs w:val="24"/>
          <w:highlight w:val="black"/>
        </w:rPr>
        <w:t xml:space="preserve"> </w:t>
      </w:r>
      <w:r w:rsidRPr="00AA5FAE" w:rsidR="0093437D">
        <w:rPr>
          <w:rFonts w:ascii="Palatino Linotype" w:hAnsi="Palatino Linotype" w:cs="TimesNewRoman"/>
          <w:szCs w:val="24"/>
          <w:highlight w:val="black"/>
        </w:rPr>
        <w:t>xxxxxxxxxxxxxxxxxxxxxxxxxxxxxxxxxxxxxxxxxxxxxxxxxxxxxxxxxxxxxxxxx</w:t>
      </w:r>
      <w:r w:rsidRPr="00AA5FAE" w:rsidR="004171DE">
        <w:rPr>
          <w:rFonts w:ascii="Palatino Linotype" w:hAnsi="Palatino Linotype" w:cs="TimesNewRoman"/>
          <w:szCs w:val="24"/>
          <w:highlight w:val="black"/>
        </w:rPr>
        <w:t xml:space="preserve"> </w:t>
      </w:r>
      <w:proofErr w:type="spellStart"/>
      <w:r w:rsidRPr="00AA5FAE" w:rsidR="0093437D">
        <w:rPr>
          <w:rFonts w:ascii="Palatino Linotype" w:hAnsi="Palatino Linotype" w:cs="TimesNewRoman"/>
          <w:szCs w:val="24"/>
          <w:highlight w:val="black"/>
        </w:rPr>
        <w:t>xxxxxxx</w:t>
      </w:r>
      <w:proofErr w:type="spellEnd"/>
      <w:r w:rsidRPr="00AA5FAE" w:rsidR="004171DE">
        <w:rPr>
          <w:rFonts w:ascii="Palatino Linotype" w:hAnsi="Palatino Linotype" w:cs="TimesNewRoman"/>
          <w:szCs w:val="24"/>
          <w:highlight w:val="black"/>
        </w:rPr>
        <w:t>.</w:t>
      </w:r>
      <w:r w:rsidR="004171DE">
        <w:rPr>
          <w:rFonts w:ascii="Palatino Linotype" w:hAnsi="Palatino Linotype" w:cs="TimesNewRoman"/>
          <w:szCs w:val="24"/>
        </w:rPr>
        <w:t xml:space="preserve"> </w:t>
      </w:r>
    </w:p>
    <w:p w:rsidRPr="00531979" w:rsidR="003B6437" w:rsidP="0068753E" w:rsidRDefault="003B6437" w14:paraId="196A0BE0" w14:textId="7E616427">
      <w:pPr>
        <w:autoSpaceDE w:val="0"/>
        <w:autoSpaceDN w:val="0"/>
        <w:adjustRightInd w:val="0"/>
        <w:rPr>
          <w:rFonts w:ascii="Palatino Linotype" w:hAnsi="Palatino Linotype" w:cs="TimesNewRoman"/>
          <w:i/>
          <w:iCs/>
          <w:szCs w:val="24"/>
        </w:rPr>
      </w:pPr>
      <w:r w:rsidRPr="00531979">
        <w:rPr>
          <w:rFonts w:ascii="Palatino Linotype" w:hAnsi="Palatino Linotype" w:cs="TimesNewRoman"/>
          <w:i/>
          <w:iCs/>
          <w:szCs w:val="24"/>
        </w:rPr>
        <w:lastRenderedPageBreak/>
        <w:t>Inclusion of bid evaluation metrics and data in Advice Letter 3605-E</w:t>
      </w:r>
    </w:p>
    <w:p w:rsidR="003B6437" w:rsidP="0068753E" w:rsidRDefault="003B6437" w14:paraId="794C1D4E" w14:textId="780D4453">
      <w:pPr>
        <w:autoSpaceDE w:val="0"/>
        <w:autoSpaceDN w:val="0"/>
        <w:adjustRightInd w:val="0"/>
        <w:rPr>
          <w:rFonts w:ascii="Palatino Linotype" w:hAnsi="Palatino Linotype" w:cs="TimesNewRoman"/>
          <w:szCs w:val="24"/>
        </w:rPr>
      </w:pPr>
    </w:p>
    <w:p w:rsidR="003B6437" w:rsidP="0068753E" w:rsidRDefault="003B6437" w14:paraId="30032242" w14:textId="3F07E226">
      <w:pPr>
        <w:autoSpaceDE w:val="0"/>
        <w:autoSpaceDN w:val="0"/>
        <w:adjustRightInd w:val="0"/>
        <w:rPr>
          <w:rFonts w:ascii="Palatino Linotype" w:hAnsi="Palatino Linotype" w:cs="TimesNewRoman"/>
          <w:szCs w:val="24"/>
        </w:rPr>
      </w:pPr>
      <w:r>
        <w:rPr>
          <w:rFonts w:ascii="Palatino Linotype" w:hAnsi="Palatino Linotype" w:cs="TimesNewRoman"/>
          <w:szCs w:val="24"/>
        </w:rPr>
        <w:t xml:space="preserve">Included in </w:t>
      </w:r>
      <w:r w:rsidR="007A1A2A">
        <w:rPr>
          <w:rFonts w:ascii="Palatino Linotype" w:hAnsi="Palatino Linotype" w:cs="TimesNewRoman"/>
          <w:szCs w:val="24"/>
        </w:rPr>
        <w:t xml:space="preserve">the </w:t>
      </w:r>
      <w:proofErr w:type="spellStart"/>
      <w:r>
        <w:rPr>
          <w:rFonts w:ascii="Palatino Linotype" w:hAnsi="Palatino Linotype" w:cs="TimesNewRoman"/>
          <w:szCs w:val="24"/>
        </w:rPr>
        <w:t>Cal</w:t>
      </w:r>
      <w:r w:rsidR="004B29C1">
        <w:rPr>
          <w:rFonts w:ascii="Palatino Linotype" w:hAnsi="Palatino Linotype" w:cs="TimesNewRoman"/>
          <w:szCs w:val="24"/>
        </w:rPr>
        <w:t>PA</w:t>
      </w:r>
      <w:proofErr w:type="spellEnd"/>
      <w:r>
        <w:rPr>
          <w:rFonts w:ascii="Palatino Linotype" w:hAnsi="Palatino Linotype" w:cs="TimesNewRoman"/>
          <w:szCs w:val="24"/>
        </w:rPr>
        <w:t xml:space="preserve"> protest was a request that SDG&amp;E be </w:t>
      </w:r>
      <w:r w:rsidR="00803D2F">
        <w:rPr>
          <w:rFonts w:ascii="Palatino Linotype" w:hAnsi="Palatino Linotype" w:cs="TimesNewRoman"/>
          <w:szCs w:val="24"/>
        </w:rPr>
        <w:t>required</w:t>
      </w:r>
      <w:r w:rsidR="004B29C1">
        <w:rPr>
          <w:rFonts w:ascii="Palatino Linotype" w:hAnsi="Palatino Linotype" w:cs="TimesNewRoman"/>
          <w:szCs w:val="24"/>
        </w:rPr>
        <w:t xml:space="preserve"> </w:t>
      </w:r>
      <w:r>
        <w:rPr>
          <w:rFonts w:ascii="Palatino Linotype" w:hAnsi="Palatino Linotype" w:cs="TimesNewRoman"/>
          <w:szCs w:val="24"/>
        </w:rPr>
        <w:t>to file complete data on their b</w:t>
      </w:r>
      <w:r w:rsidR="00803D2F">
        <w:rPr>
          <w:rFonts w:ascii="Palatino Linotype" w:hAnsi="Palatino Linotype" w:cs="TimesNewRoman"/>
          <w:szCs w:val="24"/>
        </w:rPr>
        <w:t>i</w:t>
      </w:r>
      <w:r>
        <w:rPr>
          <w:rFonts w:ascii="Palatino Linotype" w:hAnsi="Palatino Linotype" w:cs="TimesNewRoman"/>
          <w:szCs w:val="24"/>
        </w:rPr>
        <w:t xml:space="preserve">d evaluation metrics as part of the advice letter. </w:t>
      </w:r>
      <w:r w:rsidR="00531979">
        <w:rPr>
          <w:rFonts w:ascii="Palatino Linotype" w:hAnsi="Palatino Linotype" w:cs="TimesNewRoman"/>
          <w:szCs w:val="24"/>
        </w:rPr>
        <w:t xml:space="preserve">SDG&amp;E replied that they had submitted this information in response to data requests several months before the advice letter was filed. Ultimately, in consultation with Commission staff, SDG&amp;E determined that the additional information was </w:t>
      </w:r>
      <w:proofErr w:type="gramStart"/>
      <w:r w:rsidR="00531979">
        <w:rPr>
          <w:rFonts w:ascii="Palatino Linotype" w:hAnsi="Palatino Linotype" w:cs="TimesNewRoman"/>
          <w:szCs w:val="24"/>
        </w:rPr>
        <w:t>required</w:t>
      </w:r>
      <w:proofErr w:type="gramEnd"/>
      <w:r w:rsidR="00531979">
        <w:rPr>
          <w:rFonts w:ascii="Palatino Linotype" w:hAnsi="Palatino Linotype" w:cs="TimesNewRoman"/>
          <w:szCs w:val="24"/>
        </w:rPr>
        <w:t xml:space="preserve"> and they included this in Supplemental 3605-E-A on </w:t>
      </w:r>
      <w:r w:rsidR="00E25D8B">
        <w:rPr>
          <w:rFonts w:ascii="Palatino Linotype" w:hAnsi="Palatino Linotype" w:cs="TimesNewRoman"/>
          <w:szCs w:val="24"/>
        </w:rPr>
        <w:br/>
      </w:r>
      <w:r w:rsidR="00531979">
        <w:rPr>
          <w:rFonts w:ascii="Palatino Linotype" w:hAnsi="Palatino Linotype" w:cs="TimesNewRoman"/>
          <w:szCs w:val="24"/>
        </w:rPr>
        <w:t xml:space="preserve">November 12, 2020. </w:t>
      </w:r>
    </w:p>
    <w:p w:rsidR="003B6437" w:rsidP="0068753E" w:rsidRDefault="003B6437" w14:paraId="7E2EC376" w14:textId="77777777">
      <w:pPr>
        <w:autoSpaceDE w:val="0"/>
        <w:autoSpaceDN w:val="0"/>
        <w:adjustRightInd w:val="0"/>
        <w:rPr>
          <w:rFonts w:ascii="Palatino Linotype" w:hAnsi="Palatino Linotype" w:cs="TimesNewRoman"/>
          <w:szCs w:val="24"/>
        </w:rPr>
      </w:pPr>
    </w:p>
    <w:p w:rsidRPr="00D16A88" w:rsidR="00E446B2" w:rsidP="0068753E" w:rsidRDefault="004171DE" w14:paraId="099015E0" w14:textId="2395C84A">
      <w:pPr>
        <w:autoSpaceDE w:val="0"/>
        <w:autoSpaceDN w:val="0"/>
        <w:adjustRightInd w:val="0"/>
        <w:rPr>
          <w:rFonts w:ascii="Palatino Linotype" w:hAnsi="Palatino Linotype" w:cs="TimesNewRoman"/>
          <w:i/>
          <w:iCs/>
          <w:szCs w:val="24"/>
        </w:rPr>
      </w:pPr>
      <w:r>
        <w:rPr>
          <w:rFonts w:ascii="Palatino Linotype" w:hAnsi="Palatino Linotype" w:cs="TimesNewRoman"/>
          <w:i/>
          <w:iCs/>
          <w:szCs w:val="24"/>
        </w:rPr>
        <w:t>Use of avoided curtailment as a bid evaluation metric</w:t>
      </w:r>
    </w:p>
    <w:p w:rsidR="00E446B2" w:rsidP="0068753E" w:rsidRDefault="00E446B2" w14:paraId="560E97AE" w14:textId="660127CC">
      <w:pPr>
        <w:autoSpaceDE w:val="0"/>
        <w:autoSpaceDN w:val="0"/>
        <w:adjustRightInd w:val="0"/>
        <w:rPr>
          <w:rFonts w:ascii="Palatino Linotype" w:hAnsi="Palatino Linotype" w:cs="TimesNewRoman"/>
          <w:szCs w:val="24"/>
        </w:rPr>
      </w:pPr>
    </w:p>
    <w:p w:rsidR="00E446B2" w:rsidP="0068753E" w:rsidRDefault="004171DE" w14:paraId="5560A4F6" w14:textId="097B6E8F">
      <w:pPr>
        <w:autoSpaceDE w:val="0"/>
        <w:autoSpaceDN w:val="0"/>
        <w:adjustRightInd w:val="0"/>
        <w:rPr>
          <w:rFonts w:ascii="Palatino Linotype" w:hAnsi="Palatino Linotype" w:cs="TimesNewRoman"/>
          <w:szCs w:val="24"/>
        </w:rPr>
      </w:pPr>
      <w:proofErr w:type="spellStart"/>
      <w:r>
        <w:rPr>
          <w:rFonts w:ascii="Palatino Linotype" w:hAnsi="Palatino Linotype" w:cs="TimesNewRoman"/>
          <w:szCs w:val="24"/>
        </w:rPr>
        <w:t>Cal</w:t>
      </w:r>
      <w:r w:rsidR="004B29C1">
        <w:rPr>
          <w:rFonts w:ascii="Palatino Linotype" w:hAnsi="Palatino Linotype" w:cs="TimesNewRoman"/>
          <w:szCs w:val="24"/>
        </w:rPr>
        <w:t>PA</w:t>
      </w:r>
      <w:proofErr w:type="spellEnd"/>
      <w:r>
        <w:rPr>
          <w:rFonts w:ascii="Palatino Linotype" w:hAnsi="Palatino Linotype" w:cs="TimesNewRoman"/>
          <w:szCs w:val="24"/>
        </w:rPr>
        <w:t xml:space="preserve"> also protested the inclusion of </w:t>
      </w:r>
      <w:r w:rsidR="00803D2F">
        <w:rPr>
          <w:rFonts w:ascii="Palatino Linotype" w:hAnsi="Palatino Linotype" w:cs="TimesNewRoman"/>
          <w:szCs w:val="24"/>
        </w:rPr>
        <w:t>“a</w:t>
      </w:r>
      <w:r>
        <w:rPr>
          <w:rFonts w:ascii="Palatino Linotype" w:hAnsi="Palatino Linotype" w:cs="TimesNewRoman"/>
          <w:szCs w:val="24"/>
        </w:rPr>
        <w:t xml:space="preserve">voided </w:t>
      </w:r>
      <w:r w:rsidR="00803D2F">
        <w:rPr>
          <w:rFonts w:ascii="Palatino Linotype" w:hAnsi="Palatino Linotype" w:cs="TimesNewRoman"/>
          <w:szCs w:val="24"/>
        </w:rPr>
        <w:t>c</w:t>
      </w:r>
      <w:r>
        <w:rPr>
          <w:rFonts w:ascii="Palatino Linotype" w:hAnsi="Palatino Linotype" w:cs="TimesNewRoman"/>
          <w:szCs w:val="24"/>
        </w:rPr>
        <w:t>urtailment</w:t>
      </w:r>
      <w:r w:rsidR="00803D2F">
        <w:rPr>
          <w:rFonts w:ascii="Palatino Linotype" w:hAnsi="Palatino Linotype" w:cs="TimesNewRoman"/>
          <w:szCs w:val="24"/>
        </w:rPr>
        <w:t>”</w:t>
      </w:r>
      <w:r>
        <w:rPr>
          <w:rFonts w:ascii="Palatino Linotype" w:hAnsi="Palatino Linotype" w:cs="TimesNewRoman"/>
          <w:szCs w:val="24"/>
        </w:rPr>
        <w:t xml:space="preserve"> in SDGE’s bid evaluation metrics. Specifically, they </w:t>
      </w:r>
      <w:r w:rsidR="00803D2F">
        <w:rPr>
          <w:rFonts w:ascii="Palatino Linotype" w:hAnsi="Palatino Linotype" w:cs="TimesNewRoman"/>
          <w:szCs w:val="24"/>
        </w:rPr>
        <w:t xml:space="preserve">requested </w:t>
      </w:r>
      <w:r>
        <w:rPr>
          <w:rFonts w:ascii="Palatino Linotype" w:hAnsi="Palatino Linotype" w:cs="TimesNewRoman"/>
          <w:szCs w:val="24"/>
        </w:rPr>
        <w:t xml:space="preserve">that the </w:t>
      </w:r>
      <w:r w:rsidR="00803D2F">
        <w:rPr>
          <w:rFonts w:ascii="Palatino Linotype" w:hAnsi="Palatino Linotype" w:cs="TimesNewRoman"/>
          <w:szCs w:val="24"/>
        </w:rPr>
        <w:t>C</w:t>
      </w:r>
      <w:r>
        <w:rPr>
          <w:rFonts w:ascii="Palatino Linotype" w:hAnsi="Palatino Linotype" w:cs="TimesNewRoman"/>
          <w:szCs w:val="24"/>
        </w:rPr>
        <w:t>ommission require that this metric be review</w:t>
      </w:r>
      <w:r w:rsidR="00803D2F">
        <w:rPr>
          <w:rFonts w:ascii="Palatino Linotype" w:hAnsi="Palatino Linotype" w:cs="TimesNewRoman"/>
          <w:szCs w:val="24"/>
        </w:rPr>
        <w:t>ed</w:t>
      </w:r>
      <w:r>
        <w:rPr>
          <w:rFonts w:ascii="Palatino Linotype" w:hAnsi="Palatino Linotype" w:cs="TimesNewRoman"/>
          <w:szCs w:val="24"/>
        </w:rPr>
        <w:t xml:space="preserve"> and possibly developed further before its use is continued in standard track bid evaluation</w:t>
      </w:r>
      <w:r w:rsidR="00B1402D">
        <w:rPr>
          <w:rFonts w:ascii="Palatino Linotype" w:hAnsi="Palatino Linotype" w:cs="TimesNewRoman"/>
          <w:szCs w:val="24"/>
        </w:rPr>
        <w:t xml:space="preserve"> or other procurement activities. </w:t>
      </w:r>
      <w:r w:rsidR="00531979">
        <w:rPr>
          <w:rFonts w:ascii="Palatino Linotype" w:hAnsi="Palatino Linotype" w:cs="TimesNewRoman"/>
          <w:szCs w:val="24"/>
        </w:rPr>
        <w:t>SDG&amp;E replied that they believe that their use of the metric is in line with Commission goals as stated in D.19-11-016.</w:t>
      </w:r>
    </w:p>
    <w:p w:rsidR="0092189D" w:rsidP="0068753E" w:rsidRDefault="0092189D" w14:paraId="4CDDE851" w14:textId="77777777">
      <w:pPr>
        <w:autoSpaceDE w:val="0"/>
        <w:autoSpaceDN w:val="0"/>
        <w:adjustRightInd w:val="0"/>
        <w:rPr>
          <w:rFonts w:ascii="Palatino Linotype" w:hAnsi="Palatino Linotype" w:cs="TimesNewRoman"/>
          <w:i/>
          <w:iCs/>
          <w:szCs w:val="24"/>
        </w:rPr>
      </w:pPr>
    </w:p>
    <w:p w:rsidRPr="00E446B2" w:rsidR="004A06C5" w:rsidP="0068753E" w:rsidRDefault="009D56D0" w14:paraId="07860BDE" w14:textId="43AC87AE">
      <w:pPr>
        <w:autoSpaceDE w:val="0"/>
        <w:autoSpaceDN w:val="0"/>
        <w:adjustRightInd w:val="0"/>
        <w:rPr>
          <w:rFonts w:ascii="Palatino Linotype" w:hAnsi="Palatino Linotype" w:cs="TimesNewRoman"/>
          <w:i/>
          <w:iCs/>
          <w:szCs w:val="24"/>
        </w:rPr>
      </w:pPr>
      <w:r>
        <w:rPr>
          <w:rFonts w:ascii="Palatino Linotype" w:hAnsi="Palatino Linotype" w:cs="TimesNewRoman"/>
          <w:i/>
          <w:iCs/>
          <w:szCs w:val="24"/>
        </w:rPr>
        <w:t>GHG re</w:t>
      </w:r>
      <w:r w:rsidR="00294B1D">
        <w:rPr>
          <w:rFonts w:ascii="Palatino Linotype" w:hAnsi="Palatino Linotype" w:cs="TimesNewRoman"/>
          <w:i/>
          <w:iCs/>
          <w:szCs w:val="24"/>
        </w:rPr>
        <w:t>duction</w:t>
      </w:r>
    </w:p>
    <w:p w:rsidR="004A06C5" w:rsidP="0068753E" w:rsidRDefault="004A06C5" w14:paraId="74768AFC" w14:textId="02BEDF89">
      <w:pPr>
        <w:autoSpaceDE w:val="0"/>
        <w:autoSpaceDN w:val="0"/>
        <w:adjustRightInd w:val="0"/>
        <w:rPr>
          <w:rFonts w:ascii="Palatino Linotype" w:hAnsi="Palatino Linotype" w:cs="TimesNewRoman"/>
          <w:szCs w:val="24"/>
        </w:rPr>
      </w:pPr>
    </w:p>
    <w:p w:rsidR="00294B1D" w:rsidP="0068753E" w:rsidRDefault="00E6146D" w14:paraId="43944BEE" w14:textId="2CB094F3">
      <w:pPr>
        <w:autoSpaceDE w:val="0"/>
        <w:autoSpaceDN w:val="0"/>
        <w:adjustRightInd w:val="0"/>
        <w:rPr>
          <w:rFonts w:ascii="Palatino Linotype" w:hAnsi="Palatino Linotype" w:cs="TimesNewRoman"/>
          <w:szCs w:val="24"/>
        </w:rPr>
      </w:pPr>
      <w:proofErr w:type="spellStart"/>
      <w:r>
        <w:rPr>
          <w:rFonts w:ascii="Palatino Linotype" w:hAnsi="Palatino Linotype" w:cs="TimesNewRoman"/>
          <w:szCs w:val="24"/>
        </w:rPr>
        <w:t>Ca</w:t>
      </w:r>
      <w:r w:rsidR="004B29C1">
        <w:rPr>
          <w:rFonts w:ascii="Palatino Linotype" w:hAnsi="Palatino Linotype" w:cs="TimesNewRoman"/>
          <w:szCs w:val="24"/>
        </w:rPr>
        <w:t>PA</w:t>
      </w:r>
      <w:proofErr w:type="spellEnd"/>
      <w:r w:rsidR="001E0B03">
        <w:rPr>
          <w:rFonts w:ascii="Palatino Linotype" w:hAnsi="Palatino Linotype" w:cs="TimesNewRoman"/>
          <w:szCs w:val="24"/>
        </w:rPr>
        <w:t xml:space="preserve"> </w:t>
      </w:r>
      <w:r w:rsidR="00CE478C">
        <w:rPr>
          <w:rFonts w:ascii="Palatino Linotype" w:hAnsi="Palatino Linotype" w:cs="TimesNewRoman"/>
          <w:szCs w:val="24"/>
        </w:rPr>
        <w:t xml:space="preserve">also </w:t>
      </w:r>
      <w:r w:rsidR="00294B1D">
        <w:rPr>
          <w:rFonts w:ascii="Palatino Linotype" w:hAnsi="Palatino Linotype" w:cs="TimesNewRoman"/>
          <w:szCs w:val="24"/>
        </w:rPr>
        <w:t>requests</w:t>
      </w:r>
      <w:r w:rsidR="0092788A">
        <w:rPr>
          <w:rFonts w:ascii="Palatino Linotype" w:hAnsi="Palatino Linotype" w:cs="TimesNewRoman"/>
          <w:szCs w:val="24"/>
        </w:rPr>
        <w:t xml:space="preserve"> that S</w:t>
      </w:r>
      <w:r w:rsidR="00B77960">
        <w:rPr>
          <w:rFonts w:ascii="Palatino Linotype" w:hAnsi="Palatino Linotype" w:cs="TimesNewRoman"/>
          <w:szCs w:val="24"/>
        </w:rPr>
        <w:t>DG&amp;E</w:t>
      </w:r>
      <w:r w:rsidR="0092788A">
        <w:rPr>
          <w:rFonts w:ascii="Palatino Linotype" w:hAnsi="Palatino Linotype" w:cs="TimesNewRoman"/>
          <w:szCs w:val="24"/>
        </w:rPr>
        <w:t xml:space="preserve"> be asked to certify or quantify </w:t>
      </w:r>
      <w:r w:rsidR="0092189D">
        <w:rPr>
          <w:rFonts w:ascii="Palatino Linotype" w:hAnsi="Palatino Linotype" w:cs="TimesNewRoman"/>
          <w:szCs w:val="24"/>
        </w:rPr>
        <w:t>greenhouse gas (</w:t>
      </w:r>
      <w:r w:rsidR="0092788A">
        <w:rPr>
          <w:rFonts w:ascii="Palatino Linotype" w:hAnsi="Palatino Linotype" w:cs="TimesNewRoman"/>
          <w:szCs w:val="24"/>
        </w:rPr>
        <w:t>GHG</w:t>
      </w:r>
      <w:r w:rsidR="0092189D">
        <w:rPr>
          <w:rFonts w:ascii="Palatino Linotype" w:hAnsi="Palatino Linotype" w:cs="TimesNewRoman"/>
          <w:szCs w:val="24"/>
        </w:rPr>
        <w:t>)</w:t>
      </w:r>
      <w:r w:rsidR="0092788A">
        <w:rPr>
          <w:rFonts w:ascii="Palatino Linotype" w:hAnsi="Palatino Linotype" w:cs="TimesNewRoman"/>
          <w:szCs w:val="24"/>
        </w:rPr>
        <w:t xml:space="preserve"> reductions that will accrue with the use of the newly contracted resources</w:t>
      </w:r>
      <w:r w:rsidR="00794B67">
        <w:rPr>
          <w:rFonts w:ascii="Palatino Linotype" w:hAnsi="Palatino Linotype" w:cs="TimesNewRoman"/>
          <w:szCs w:val="24"/>
        </w:rPr>
        <w:t>.</w:t>
      </w:r>
      <w:r w:rsidR="0092788A">
        <w:rPr>
          <w:rFonts w:ascii="Palatino Linotype" w:hAnsi="Palatino Linotype" w:cs="TimesNewRoman"/>
          <w:szCs w:val="24"/>
        </w:rPr>
        <w:t xml:space="preserve"> </w:t>
      </w:r>
    </w:p>
    <w:p w:rsidR="0053022E" w:rsidP="0068753E" w:rsidRDefault="0053022E" w14:paraId="244FBA48" w14:textId="77777777">
      <w:pPr>
        <w:autoSpaceDE w:val="0"/>
        <w:autoSpaceDN w:val="0"/>
        <w:adjustRightInd w:val="0"/>
        <w:rPr>
          <w:rFonts w:ascii="Palatino Linotype" w:hAnsi="Palatino Linotype" w:cs="TimesNewRoman"/>
          <w:szCs w:val="24"/>
        </w:rPr>
      </w:pPr>
    </w:p>
    <w:p w:rsidRPr="008B32EF" w:rsidR="004A06C5" w:rsidP="0068753E" w:rsidRDefault="00B1402D" w14:paraId="6F923327" w14:textId="0D4F0533">
      <w:pPr>
        <w:autoSpaceDE w:val="0"/>
        <w:autoSpaceDN w:val="0"/>
        <w:adjustRightInd w:val="0"/>
        <w:rPr>
          <w:rFonts w:ascii="Palatino Linotype" w:hAnsi="Palatino Linotype" w:cs="TimesNewRoman"/>
          <w:i/>
          <w:iCs/>
          <w:szCs w:val="24"/>
        </w:rPr>
      </w:pPr>
      <w:r w:rsidRPr="008B32EF">
        <w:rPr>
          <w:rFonts w:ascii="Palatino Linotype" w:hAnsi="Palatino Linotype" w:cs="TimesNewRoman"/>
          <w:i/>
          <w:iCs/>
          <w:szCs w:val="24"/>
        </w:rPr>
        <w:t>Appropriatene</w:t>
      </w:r>
      <w:r w:rsidRPr="008B32EF" w:rsidR="008B32EF">
        <w:rPr>
          <w:rFonts w:ascii="Palatino Linotype" w:hAnsi="Palatino Linotype" w:cs="TimesNewRoman"/>
          <w:i/>
          <w:iCs/>
          <w:szCs w:val="24"/>
        </w:rPr>
        <w:t>ss</w:t>
      </w:r>
      <w:r w:rsidRPr="008B32EF">
        <w:rPr>
          <w:rFonts w:ascii="Palatino Linotype" w:hAnsi="Palatino Linotype" w:cs="TimesNewRoman"/>
          <w:i/>
          <w:iCs/>
          <w:szCs w:val="24"/>
        </w:rPr>
        <w:t xml:space="preserve"> of long</w:t>
      </w:r>
      <w:r w:rsidR="00803D2F">
        <w:rPr>
          <w:rFonts w:ascii="Palatino Linotype" w:hAnsi="Palatino Linotype" w:cs="TimesNewRoman"/>
          <w:i/>
          <w:iCs/>
          <w:szCs w:val="24"/>
        </w:rPr>
        <w:t>-</w:t>
      </w:r>
      <w:r w:rsidRPr="008B32EF">
        <w:rPr>
          <w:rFonts w:ascii="Palatino Linotype" w:hAnsi="Palatino Linotype" w:cs="TimesNewRoman"/>
          <w:i/>
          <w:iCs/>
          <w:szCs w:val="24"/>
        </w:rPr>
        <w:t>term contracts and assignability of contracts</w:t>
      </w:r>
    </w:p>
    <w:p w:rsidR="00B1402D" w:rsidP="0068753E" w:rsidRDefault="00B1402D" w14:paraId="16319285" w14:textId="06CEC665">
      <w:pPr>
        <w:autoSpaceDE w:val="0"/>
        <w:autoSpaceDN w:val="0"/>
        <w:adjustRightInd w:val="0"/>
        <w:rPr>
          <w:rFonts w:ascii="Palatino Linotype" w:hAnsi="Palatino Linotype" w:cs="TimesNewRoman"/>
          <w:szCs w:val="24"/>
        </w:rPr>
      </w:pPr>
    </w:p>
    <w:p w:rsidR="00B1402D" w:rsidP="0068753E" w:rsidRDefault="000F00AD" w14:paraId="459DCE82" w14:textId="544F2F5F">
      <w:pPr>
        <w:autoSpaceDE w:val="0"/>
        <w:autoSpaceDN w:val="0"/>
        <w:adjustRightInd w:val="0"/>
        <w:rPr>
          <w:rFonts w:ascii="Palatino Linotype" w:hAnsi="Palatino Linotype" w:cs="TimesNewRoman"/>
          <w:szCs w:val="24"/>
        </w:rPr>
      </w:pPr>
      <w:r>
        <w:rPr>
          <w:rFonts w:ascii="Palatino Linotype" w:hAnsi="Palatino Linotype" w:cs="TimesNewRoman"/>
          <w:szCs w:val="24"/>
        </w:rPr>
        <w:t>SDCP</w:t>
      </w:r>
      <w:r w:rsidR="008B32EF">
        <w:rPr>
          <w:rFonts w:ascii="Palatino Linotype" w:hAnsi="Palatino Linotype" w:cs="TimesNewRoman"/>
          <w:szCs w:val="24"/>
        </w:rPr>
        <w:t xml:space="preserve"> and </w:t>
      </w:r>
      <w:r w:rsidR="004B29C1">
        <w:rPr>
          <w:rFonts w:ascii="Palatino Linotype" w:hAnsi="Palatino Linotype" w:cs="TimesNewRoman"/>
          <w:szCs w:val="24"/>
        </w:rPr>
        <w:t>CEA</w:t>
      </w:r>
      <w:r w:rsidR="008B32EF">
        <w:rPr>
          <w:rFonts w:ascii="Palatino Linotype" w:hAnsi="Palatino Linotype" w:cs="TimesNewRoman"/>
          <w:szCs w:val="24"/>
        </w:rPr>
        <w:t xml:space="preserve"> p</w:t>
      </w:r>
      <w:r w:rsidR="00B1402D">
        <w:rPr>
          <w:rFonts w:ascii="Palatino Linotype" w:hAnsi="Palatino Linotype" w:cs="TimesNewRoman"/>
          <w:szCs w:val="24"/>
        </w:rPr>
        <w:t xml:space="preserve">rotested the advice letter on grounds relating to the </w:t>
      </w:r>
      <w:r w:rsidR="008B32EF">
        <w:rPr>
          <w:rFonts w:ascii="Palatino Linotype" w:hAnsi="Palatino Linotype" w:cs="TimesNewRoman"/>
          <w:szCs w:val="24"/>
        </w:rPr>
        <w:t>l</w:t>
      </w:r>
      <w:r w:rsidR="00B1402D">
        <w:rPr>
          <w:rFonts w:ascii="Palatino Linotype" w:hAnsi="Palatino Linotype" w:cs="TimesNewRoman"/>
          <w:szCs w:val="24"/>
        </w:rPr>
        <w:t xml:space="preserve">ength of the contracts and </w:t>
      </w:r>
      <w:r w:rsidR="008B32EF">
        <w:rPr>
          <w:rFonts w:ascii="Palatino Linotype" w:hAnsi="Palatino Linotype" w:cs="TimesNewRoman"/>
          <w:szCs w:val="24"/>
        </w:rPr>
        <w:t>potential major changes to SDG</w:t>
      </w:r>
      <w:r w:rsidR="00803D2F">
        <w:rPr>
          <w:rFonts w:ascii="Palatino Linotype" w:hAnsi="Palatino Linotype" w:cs="TimesNewRoman"/>
          <w:szCs w:val="24"/>
        </w:rPr>
        <w:t>&amp;</w:t>
      </w:r>
      <w:r w:rsidR="008B32EF">
        <w:rPr>
          <w:rFonts w:ascii="Palatino Linotype" w:hAnsi="Palatino Linotype" w:cs="TimesNewRoman"/>
          <w:szCs w:val="24"/>
        </w:rPr>
        <w:t xml:space="preserve">E’s customer base </w:t>
      </w:r>
      <w:proofErr w:type="gramStart"/>
      <w:r w:rsidR="008B32EF">
        <w:rPr>
          <w:rFonts w:ascii="Palatino Linotype" w:hAnsi="Palatino Linotype" w:cs="TimesNewRoman"/>
          <w:szCs w:val="24"/>
        </w:rPr>
        <w:t>in the near future</w:t>
      </w:r>
      <w:proofErr w:type="gramEnd"/>
      <w:r w:rsidR="008B32EF">
        <w:rPr>
          <w:rFonts w:ascii="Palatino Linotype" w:hAnsi="Palatino Linotype" w:cs="TimesNewRoman"/>
          <w:szCs w:val="24"/>
        </w:rPr>
        <w:t>. If significant numbers of customers leave SDG</w:t>
      </w:r>
      <w:r w:rsidR="00803D2F">
        <w:rPr>
          <w:rFonts w:ascii="Palatino Linotype" w:hAnsi="Palatino Linotype" w:cs="TimesNewRoman"/>
          <w:szCs w:val="24"/>
        </w:rPr>
        <w:t>&amp;</w:t>
      </w:r>
      <w:r w:rsidR="008B32EF">
        <w:rPr>
          <w:rFonts w:ascii="Palatino Linotype" w:hAnsi="Palatino Linotype" w:cs="TimesNewRoman"/>
          <w:szCs w:val="24"/>
        </w:rPr>
        <w:t>E for a CCA in the future, those customers will still be responsible for their share of capacity costs incurred by SDG</w:t>
      </w:r>
      <w:r w:rsidR="00803D2F">
        <w:rPr>
          <w:rFonts w:ascii="Palatino Linotype" w:hAnsi="Palatino Linotype" w:cs="TimesNewRoman"/>
          <w:szCs w:val="24"/>
        </w:rPr>
        <w:t>&amp;</w:t>
      </w:r>
      <w:r w:rsidR="008B32EF">
        <w:rPr>
          <w:rFonts w:ascii="Palatino Linotype" w:hAnsi="Palatino Linotype" w:cs="TimesNewRoman"/>
          <w:szCs w:val="24"/>
        </w:rPr>
        <w:t>E while they were SDG</w:t>
      </w:r>
      <w:r w:rsidR="00803D2F">
        <w:rPr>
          <w:rFonts w:ascii="Palatino Linotype" w:hAnsi="Palatino Linotype" w:cs="TimesNewRoman"/>
          <w:szCs w:val="24"/>
        </w:rPr>
        <w:t>&amp;</w:t>
      </w:r>
      <w:r w:rsidR="008B32EF">
        <w:rPr>
          <w:rFonts w:ascii="Palatino Linotype" w:hAnsi="Palatino Linotype" w:cs="TimesNewRoman"/>
          <w:szCs w:val="24"/>
        </w:rPr>
        <w:t>E customers though non-</w:t>
      </w:r>
      <w:proofErr w:type="spellStart"/>
      <w:r w:rsidR="008B32EF">
        <w:rPr>
          <w:rFonts w:ascii="Palatino Linotype" w:hAnsi="Palatino Linotype" w:cs="TimesNewRoman"/>
          <w:szCs w:val="24"/>
        </w:rPr>
        <w:t>bypassable</w:t>
      </w:r>
      <w:proofErr w:type="spellEnd"/>
      <w:r w:rsidR="008B32EF">
        <w:rPr>
          <w:rFonts w:ascii="Palatino Linotype" w:hAnsi="Palatino Linotype" w:cs="TimesNewRoman"/>
          <w:szCs w:val="24"/>
        </w:rPr>
        <w:t xml:space="preserve"> charges.  SDCP and CEA </w:t>
      </w:r>
      <w:r w:rsidR="00803D2F">
        <w:rPr>
          <w:rFonts w:ascii="Palatino Linotype" w:hAnsi="Palatino Linotype" w:cs="TimesNewRoman"/>
          <w:szCs w:val="24"/>
        </w:rPr>
        <w:t xml:space="preserve">request </w:t>
      </w:r>
      <w:r w:rsidR="008B32EF">
        <w:rPr>
          <w:rFonts w:ascii="Palatino Linotype" w:hAnsi="Palatino Linotype" w:cs="TimesNewRoman"/>
          <w:szCs w:val="24"/>
        </w:rPr>
        <w:t xml:space="preserve">that the </w:t>
      </w:r>
      <w:r w:rsidR="00673FEE">
        <w:rPr>
          <w:rFonts w:ascii="Palatino Linotype" w:hAnsi="Palatino Linotype" w:cs="TimesNewRoman"/>
          <w:szCs w:val="24"/>
        </w:rPr>
        <w:t>Commission</w:t>
      </w:r>
      <w:r w:rsidR="008B32EF">
        <w:rPr>
          <w:rFonts w:ascii="Palatino Linotype" w:hAnsi="Palatino Linotype" w:cs="TimesNewRoman"/>
          <w:szCs w:val="24"/>
        </w:rPr>
        <w:t xml:space="preserve"> reject the Advice Letter and order SDG&amp;E to procure shorter term contracts from existing resources so that future potential CCAs are not burdened with SDG&amp;E’s </w:t>
      </w:r>
      <w:proofErr w:type="gramStart"/>
      <w:r w:rsidR="008B32EF">
        <w:rPr>
          <w:rFonts w:ascii="Palatino Linotype" w:hAnsi="Palatino Linotype" w:cs="TimesNewRoman"/>
          <w:szCs w:val="24"/>
        </w:rPr>
        <w:t>long term</w:t>
      </w:r>
      <w:proofErr w:type="gramEnd"/>
      <w:r w:rsidR="008B32EF">
        <w:rPr>
          <w:rFonts w:ascii="Palatino Linotype" w:hAnsi="Palatino Linotype" w:cs="TimesNewRoman"/>
          <w:szCs w:val="24"/>
        </w:rPr>
        <w:t xml:space="preserve"> decisions. </w:t>
      </w:r>
      <w:r w:rsidR="00794B67">
        <w:rPr>
          <w:rFonts w:ascii="Palatino Linotype" w:hAnsi="Palatino Linotype" w:cs="TimesNewRoman"/>
          <w:szCs w:val="24"/>
        </w:rPr>
        <w:t xml:space="preserve">SDG&amp;E responds that such short term planning is unlikely to allow the state to meet its </w:t>
      </w:r>
      <w:r w:rsidR="00794B67">
        <w:rPr>
          <w:rFonts w:ascii="Palatino Linotype" w:hAnsi="Palatino Linotype" w:cs="TimesNewRoman"/>
          <w:szCs w:val="24"/>
        </w:rPr>
        <w:lastRenderedPageBreak/>
        <w:t xml:space="preserve">climate and energy goals, and that they did not receive qualifying bids for the types of resources that could have been signed </w:t>
      </w:r>
      <w:r w:rsidR="00803D2F">
        <w:rPr>
          <w:rFonts w:ascii="Palatino Linotype" w:hAnsi="Palatino Linotype" w:cs="TimesNewRoman"/>
          <w:szCs w:val="24"/>
        </w:rPr>
        <w:t>for</w:t>
      </w:r>
      <w:r w:rsidR="00794B67">
        <w:rPr>
          <w:rFonts w:ascii="Palatino Linotype" w:hAnsi="Palatino Linotype" w:cs="TimesNewRoman"/>
          <w:szCs w:val="24"/>
        </w:rPr>
        <w:t xml:space="preserve"> shorter term contracts. </w:t>
      </w:r>
    </w:p>
    <w:p w:rsidR="00FA62EA" w:rsidP="0068753E" w:rsidRDefault="00FA62EA" w14:paraId="38CD7D53" w14:textId="77777777">
      <w:pPr>
        <w:autoSpaceDE w:val="0"/>
        <w:autoSpaceDN w:val="0"/>
        <w:adjustRightInd w:val="0"/>
        <w:rPr>
          <w:rFonts w:ascii="Palatino Linotype" w:hAnsi="Palatino Linotype" w:cs="TimesNewRoman"/>
          <w:szCs w:val="24"/>
        </w:rPr>
      </w:pPr>
    </w:p>
    <w:p w:rsidRPr="008C204D" w:rsidR="001C538D" w:rsidP="0068753E" w:rsidRDefault="001C538D" w14:paraId="3E4DA4AE" w14:textId="77777777">
      <w:pPr>
        <w:pStyle w:val="Heading1"/>
        <w:spacing w:before="0" w:after="0"/>
      </w:pPr>
      <w:r w:rsidRPr="008C204D">
        <w:t>Discussion</w:t>
      </w:r>
    </w:p>
    <w:p w:rsidRPr="008C204D" w:rsidR="000E738E" w:rsidRDefault="000E738E" w14:paraId="43B384A6" w14:textId="77777777">
      <w:pPr>
        <w:pStyle w:val="standard"/>
        <w:spacing w:line="240" w:lineRule="auto"/>
      </w:pPr>
    </w:p>
    <w:p w:rsidRPr="007A1A2A" w:rsidR="00CE5AA3" w:rsidP="0068753E" w:rsidRDefault="00CE5AA3" w14:paraId="58F49B30" w14:textId="4FA5DC0B">
      <w:pPr>
        <w:rPr>
          <w:rFonts w:ascii="Palatino Linotype" w:hAnsi="Palatino Linotype"/>
        </w:rPr>
      </w:pPr>
      <w:r w:rsidRPr="007A1A2A">
        <w:rPr>
          <w:rFonts w:ascii="Palatino Linotype" w:hAnsi="Palatino Linotype"/>
        </w:rPr>
        <w:t>A</w:t>
      </w:r>
      <w:r w:rsidRPr="007A1A2A" w:rsidR="00000D82">
        <w:rPr>
          <w:rFonts w:ascii="Palatino Linotype" w:hAnsi="Palatino Linotype"/>
        </w:rPr>
        <w:t xml:space="preserve">dvice </w:t>
      </w:r>
      <w:r w:rsidRPr="007A1A2A">
        <w:rPr>
          <w:rFonts w:ascii="Palatino Linotype" w:hAnsi="Palatino Linotype"/>
        </w:rPr>
        <w:t>L</w:t>
      </w:r>
      <w:r w:rsidRPr="007A1A2A" w:rsidR="00000D82">
        <w:rPr>
          <w:rFonts w:ascii="Palatino Linotype" w:hAnsi="Palatino Linotype"/>
        </w:rPr>
        <w:t>etter</w:t>
      </w:r>
      <w:r w:rsidRPr="007A1A2A">
        <w:rPr>
          <w:rFonts w:ascii="Palatino Linotype" w:hAnsi="Palatino Linotype"/>
        </w:rPr>
        <w:t xml:space="preserve"> </w:t>
      </w:r>
      <w:r w:rsidRPr="007A1A2A" w:rsidR="002D12E0">
        <w:rPr>
          <w:rFonts w:ascii="Palatino Linotype" w:hAnsi="Palatino Linotype"/>
        </w:rPr>
        <w:t>3605-E and supplemental Advice Letter</w:t>
      </w:r>
      <w:r w:rsidR="004B29C1">
        <w:rPr>
          <w:rFonts w:ascii="Palatino Linotype" w:hAnsi="Palatino Linotype"/>
        </w:rPr>
        <w:t>s</w:t>
      </w:r>
      <w:r w:rsidRPr="007A1A2A" w:rsidR="002D12E0">
        <w:rPr>
          <w:rFonts w:ascii="Palatino Linotype" w:hAnsi="Palatino Linotype"/>
        </w:rPr>
        <w:t xml:space="preserve"> 3605-E</w:t>
      </w:r>
      <w:r w:rsidRPr="007A1A2A" w:rsidR="00673FEE">
        <w:rPr>
          <w:rFonts w:ascii="Palatino Linotype" w:hAnsi="Palatino Linotype"/>
        </w:rPr>
        <w:t>-</w:t>
      </w:r>
      <w:r w:rsidRPr="007A1A2A" w:rsidR="002D12E0">
        <w:rPr>
          <w:rFonts w:ascii="Palatino Linotype" w:hAnsi="Palatino Linotype"/>
        </w:rPr>
        <w:t xml:space="preserve">A </w:t>
      </w:r>
      <w:r w:rsidR="00803D2F">
        <w:rPr>
          <w:rFonts w:ascii="Palatino Linotype" w:hAnsi="Palatino Linotype"/>
        </w:rPr>
        <w:t xml:space="preserve">and 3605-E-B </w:t>
      </w:r>
      <w:r w:rsidRPr="007A1A2A" w:rsidR="002D12E0">
        <w:rPr>
          <w:rFonts w:ascii="Palatino Linotype" w:hAnsi="Palatino Linotype"/>
        </w:rPr>
        <w:t>are partially approved and partially denied.</w:t>
      </w:r>
      <w:r w:rsidRPr="007A1A2A">
        <w:rPr>
          <w:rFonts w:ascii="Palatino Linotype" w:hAnsi="Palatino Linotype"/>
        </w:rPr>
        <w:t xml:space="preserve"> </w:t>
      </w:r>
      <w:r w:rsidRPr="007A1A2A" w:rsidR="00D85F36">
        <w:rPr>
          <w:rFonts w:ascii="Palatino Linotype" w:hAnsi="Palatino Linotype"/>
        </w:rPr>
        <w:t>T</w:t>
      </w:r>
      <w:r w:rsidRPr="007A1A2A">
        <w:rPr>
          <w:rFonts w:ascii="Palatino Linotype" w:hAnsi="Palatino Linotype"/>
        </w:rPr>
        <w:t xml:space="preserve">he relevant facts that lead to our </w:t>
      </w:r>
      <w:r w:rsidRPr="007A1A2A" w:rsidR="002D12E0">
        <w:rPr>
          <w:rFonts w:ascii="Palatino Linotype" w:hAnsi="Palatino Linotype"/>
        </w:rPr>
        <w:t xml:space="preserve">decision </w:t>
      </w:r>
      <w:r w:rsidRPr="007A1A2A" w:rsidR="00D85F36">
        <w:rPr>
          <w:rFonts w:ascii="Palatino Linotype" w:hAnsi="Palatino Linotype"/>
        </w:rPr>
        <w:t>are discussed below</w:t>
      </w:r>
      <w:r w:rsidRPr="007A1A2A">
        <w:rPr>
          <w:rFonts w:ascii="Palatino Linotype" w:hAnsi="Palatino Linotype"/>
        </w:rPr>
        <w:t>.</w:t>
      </w:r>
    </w:p>
    <w:p w:rsidR="00CE5AA3" w:rsidP="0068753E" w:rsidRDefault="00CE5AA3" w14:paraId="3AF253D5" w14:textId="77777777">
      <w:pPr>
        <w:autoSpaceDE w:val="0"/>
        <w:autoSpaceDN w:val="0"/>
        <w:adjustRightInd w:val="0"/>
        <w:rPr>
          <w:rFonts w:ascii="Palatino Linotype" w:hAnsi="Palatino Linotype" w:cs="Arial"/>
          <w:szCs w:val="22"/>
        </w:rPr>
      </w:pPr>
    </w:p>
    <w:p w:rsidRPr="0068753E" w:rsidR="00CE5AA3" w:rsidP="0068753E" w:rsidRDefault="0044090E" w14:paraId="7D86F295" w14:textId="10524104">
      <w:pPr>
        <w:rPr>
          <w:rFonts w:ascii="Palatino Linotype" w:hAnsi="Palatino Linotype" w:cs="TimesNewRoman"/>
          <w:bCs/>
          <w:i/>
          <w:iCs/>
          <w:szCs w:val="24"/>
        </w:rPr>
      </w:pPr>
      <w:r>
        <w:rPr>
          <w:rFonts w:ascii="Palatino Linotype" w:hAnsi="Palatino Linotype" w:cs="Arial"/>
          <w:bCs/>
          <w:i/>
          <w:iCs/>
          <w:szCs w:val="22"/>
        </w:rPr>
        <w:t xml:space="preserve">SDGE’s </w:t>
      </w:r>
      <w:r w:rsidR="002D12E0">
        <w:rPr>
          <w:rFonts w:ascii="Palatino Linotype" w:hAnsi="Palatino Linotype" w:cs="Arial"/>
          <w:bCs/>
          <w:i/>
          <w:iCs/>
          <w:szCs w:val="22"/>
        </w:rPr>
        <w:t>RFO process and subsequent filings did not meet the urgency of the current need for capacity and procurement timeline</w:t>
      </w:r>
      <w:r w:rsidR="00B92646">
        <w:rPr>
          <w:rFonts w:ascii="Palatino Linotype" w:hAnsi="Palatino Linotype" w:cs="Arial"/>
          <w:bCs/>
          <w:i/>
          <w:iCs/>
          <w:szCs w:val="22"/>
        </w:rPr>
        <w:t>.</w:t>
      </w:r>
    </w:p>
    <w:p w:rsidRPr="00271329" w:rsidR="00CE5AA3" w:rsidP="0068753E" w:rsidRDefault="00CE5AA3" w14:paraId="3D154706" w14:textId="77777777">
      <w:pPr>
        <w:rPr>
          <w:rFonts w:ascii="Palatino Linotype" w:hAnsi="Palatino Linotype" w:cs="TimesNewRoman"/>
          <w:b/>
          <w:szCs w:val="24"/>
        </w:rPr>
      </w:pPr>
    </w:p>
    <w:p w:rsidR="002D12E0" w:rsidP="0068753E" w:rsidRDefault="009A081F" w14:paraId="5619271D" w14:textId="10DEEEEF">
      <w:pPr>
        <w:pStyle w:val="Res-Caption"/>
        <w:ind w:left="0" w:right="0"/>
        <w:rPr>
          <w:rFonts w:ascii="Palatino Linotype" w:hAnsi="Palatino Linotype" w:cs="Arial"/>
          <w:szCs w:val="22"/>
        </w:rPr>
      </w:pPr>
      <w:r>
        <w:rPr>
          <w:rFonts w:ascii="Palatino Linotype" w:hAnsi="Palatino Linotype" w:cs="Arial"/>
          <w:szCs w:val="22"/>
        </w:rPr>
        <w:t>D</w:t>
      </w:r>
      <w:r w:rsidR="00803D2F">
        <w:rPr>
          <w:rFonts w:ascii="Palatino Linotype" w:hAnsi="Palatino Linotype" w:cs="Arial"/>
          <w:szCs w:val="22"/>
        </w:rPr>
        <w:t>.</w:t>
      </w:r>
      <w:r>
        <w:rPr>
          <w:rFonts w:ascii="Palatino Linotype" w:hAnsi="Palatino Linotype" w:cs="Arial"/>
          <w:szCs w:val="22"/>
        </w:rPr>
        <w:t>19-11-016</w:t>
      </w:r>
      <w:r w:rsidR="0079235D">
        <w:rPr>
          <w:rFonts w:ascii="Palatino Linotype" w:hAnsi="Palatino Linotype" w:cs="Arial"/>
          <w:szCs w:val="22"/>
        </w:rPr>
        <w:t xml:space="preserve"> requires all </w:t>
      </w:r>
      <w:r w:rsidR="00004AE4">
        <w:rPr>
          <w:rFonts w:ascii="Palatino Linotype" w:hAnsi="Palatino Linotype" w:cs="Arial"/>
          <w:szCs w:val="22"/>
        </w:rPr>
        <w:t xml:space="preserve">jurisdictional </w:t>
      </w:r>
      <w:r w:rsidR="0079235D">
        <w:rPr>
          <w:rFonts w:ascii="Palatino Linotype" w:hAnsi="Palatino Linotype" w:cs="Arial"/>
          <w:szCs w:val="22"/>
        </w:rPr>
        <w:t xml:space="preserve">LSEs serving load in the CAISO </w:t>
      </w:r>
      <w:r w:rsidR="00803D2F">
        <w:rPr>
          <w:rFonts w:ascii="Palatino Linotype" w:hAnsi="Palatino Linotype" w:cs="Arial"/>
          <w:szCs w:val="22"/>
        </w:rPr>
        <w:t xml:space="preserve">balancing authority </w:t>
      </w:r>
      <w:r w:rsidR="0079235D">
        <w:rPr>
          <w:rFonts w:ascii="Palatino Linotype" w:hAnsi="Palatino Linotype" w:cs="Arial"/>
          <w:szCs w:val="22"/>
        </w:rPr>
        <w:t xml:space="preserve">to procure </w:t>
      </w:r>
      <w:r w:rsidR="00004AE4">
        <w:rPr>
          <w:rFonts w:ascii="Palatino Linotype" w:hAnsi="Palatino Linotype" w:cs="Arial"/>
          <w:szCs w:val="22"/>
        </w:rPr>
        <w:t>a portion of the 1,650 MWs of total capacity</w:t>
      </w:r>
      <w:r w:rsidR="0079235D">
        <w:rPr>
          <w:rFonts w:ascii="Palatino Linotype" w:hAnsi="Palatino Linotype" w:cs="Arial"/>
          <w:szCs w:val="22"/>
        </w:rPr>
        <w:t xml:space="preserve"> to be online by August 1, 2021. </w:t>
      </w:r>
      <w:r w:rsidR="00004AE4">
        <w:rPr>
          <w:rFonts w:ascii="Palatino Linotype" w:hAnsi="Palatino Linotype" w:cs="Arial"/>
          <w:szCs w:val="22"/>
        </w:rPr>
        <w:t xml:space="preserve">The IOUs are also required to procure on behalf of LSEs that elect to not self-provide their portion of these requirements. </w:t>
      </w:r>
      <w:r w:rsidR="006A524E">
        <w:rPr>
          <w:rFonts w:ascii="Palatino Linotype" w:hAnsi="Palatino Linotype" w:cs="Arial"/>
          <w:szCs w:val="22"/>
        </w:rPr>
        <w:t>Additionally</w:t>
      </w:r>
      <w:r w:rsidR="00004AE4">
        <w:rPr>
          <w:rFonts w:ascii="Palatino Linotype" w:hAnsi="Palatino Linotype" w:cs="Arial"/>
          <w:szCs w:val="22"/>
        </w:rPr>
        <w:t>,</w:t>
      </w:r>
      <w:r w:rsidR="006A524E">
        <w:rPr>
          <w:rFonts w:ascii="Palatino Linotype" w:hAnsi="Palatino Linotype" w:cs="Arial"/>
          <w:szCs w:val="22"/>
        </w:rPr>
        <w:t xml:space="preserve"> LSEs must report their methods and metrics used to evaluate all bids received</w:t>
      </w:r>
      <w:r w:rsidR="004B29C1">
        <w:rPr>
          <w:rFonts w:ascii="Palatino Linotype" w:hAnsi="Palatino Linotype" w:cs="Arial"/>
          <w:szCs w:val="22"/>
        </w:rPr>
        <w:t>,</w:t>
      </w:r>
      <w:r w:rsidR="006A524E">
        <w:rPr>
          <w:rFonts w:ascii="Palatino Linotype" w:hAnsi="Palatino Linotype" w:cs="Arial"/>
          <w:szCs w:val="22"/>
        </w:rPr>
        <w:t xml:space="preserve"> determine which resources to procur</w:t>
      </w:r>
      <w:r w:rsidR="00387A47">
        <w:rPr>
          <w:rFonts w:ascii="Palatino Linotype" w:hAnsi="Palatino Linotype" w:cs="Arial"/>
          <w:szCs w:val="22"/>
        </w:rPr>
        <w:t xml:space="preserve">e, and demonstrate that procured resources are incremental to the baseline determined in the IRP proceeding. </w:t>
      </w:r>
    </w:p>
    <w:p w:rsidR="002D12E0" w:rsidP="0068753E" w:rsidRDefault="002D12E0" w14:paraId="73249FB1" w14:textId="5F0F429C">
      <w:pPr>
        <w:pStyle w:val="Res-Caption"/>
        <w:ind w:left="0" w:right="0"/>
        <w:rPr>
          <w:rFonts w:ascii="Palatino Linotype" w:hAnsi="Palatino Linotype" w:cs="Arial"/>
          <w:szCs w:val="22"/>
        </w:rPr>
      </w:pPr>
    </w:p>
    <w:p w:rsidR="002D12E0" w:rsidP="00E25D8B" w:rsidRDefault="002D12E0" w14:paraId="71646E2A" w14:textId="2C7B9037">
      <w:pPr>
        <w:pStyle w:val="Res-Caption"/>
        <w:ind w:left="0"/>
        <w:rPr>
          <w:rFonts w:ascii="Palatino Linotype" w:hAnsi="Palatino Linotype" w:cs="Arial"/>
          <w:szCs w:val="22"/>
        </w:rPr>
      </w:pPr>
      <w:r>
        <w:rPr>
          <w:rFonts w:ascii="Palatino Linotype" w:hAnsi="Palatino Linotype" w:cs="Arial"/>
          <w:szCs w:val="22"/>
        </w:rPr>
        <w:t xml:space="preserve">In its </w:t>
      </w:r>
      <w:r w:rsidR="00B92C0A">
        <w:rPr>
          <w:rFonts w:ascii="Palatino Linotype" w:hAnsi="Palatino Linotype" w:cs="Arial"/>
          <w:szCs w:val="22"/>
        </w:rPr>
        <w:t xml:space="preserve">IE </w:t>
      </w:r>
      <w:r>
        <w:rPr>
          <w:rFonts w:ascii="Palatino Linotype" w:hAnsi="Palatino Linotype" w:cs="Arial"/>
          <w:szCs w:val="22"/>
        </w:rPr>
        <w:t>report on the solicitation and procurement process, PA Consulting noted that SDG</w:t>
      </w:r>
      <w:r w:rsidR="00B92646">
        <w:rPr>
          <w:rFonts w:ascii="Palatino Linotype" w:hAnsi="Palatino Linotype" w:cs="Arial"/>
          <w:szCs w:val="22"/>
        </w:rPr>
        <w:t>&amp;</w:t>
      </w:r>
      <w:r>
        <w:rPr>
          <w:rFonts w:ascii="Palatino Linotype" w:hAnsi="Palatino Linotype" w:cs="Arial"/>
          <w:szCs w:val="22"/>
        </w:rPr>
        <w:t xml:space="preserve">E </w:t>
      </w:r>
      <w:r w:rsidR="00FC4A66">
        <w:rPr>
          <w:rFonts w:ascii="Palatino Linotype" w:hAnsi="Palatino Linotype" w:cs="Arial"/>
          <w:szCs w:val="22"/>
        </w:rPr>
        <w:t xml:space="preserve">“extended what would </w:t>
      </w:r>
      <w:r w:rsidRPr="00FC4A66" w:rsidR="00FC4A66">
        <w:rPr>
          <w:rFonts w:ascii="Palatino Linotype" w:hAnsi="Palatino Linotype" w:cs="Arial"/>
          <w:szCs w:val="22"/>
        </w:rPr>
        <w:t>normally have been appropriate</w:t>
      </w:r>
      <w:r w:rsidR="00FC4A66">
        <w:rPr>
          <w:rFonts w:ascii="Palatino Linotype" w:hAnsi="Palatino Linotype" w:cs="Arial"/>
          <w:szCs w:val="22"/>
        </w:rPr>
        <w:t xml:space="preserve"> </w:t>
      </w:r>
      <w:r w:rsidRPr="00FC4A66" w:rsidR="00FC4A66">
        <w:rPr>
          <w:rFonts w:ascii="Palatino Linotype" w:hAnsi="Palatino Linotype" w:cs="Arial"/>
          <w:szCs w:val="22"/>
        </w:rPr>
        <w:t>outreach</w:t>
      </w:r>
      <w:r w:rsidR="00FC4A66">
        <w:rPr>
          <w:rFonts w:ascii="Palatino Linotype" w:hAnsi="Palatino Linotype" w:cs="Arial"/>
          <w:szCs w:val="22"/>
        </w:rPr>
        <w:t>”</w:t>
      </w:r>
      <w:r w:rsidR="00FC4A66">
        <w:rPr>
          <w:rStyle w:val="FootnoteReference"/>
          <w:rFonts w:ascii="Palatino Linotype" w:hAnsi="Palatino Linotype" w:cs="Arial"/>
          <w:szCs w:val="22"/>
        </w:rPr>
        <w:footnoteReference w:id="2"/>
      </w:r>
      <w:r w:rsidR="00FC4A66">
        <w:rPr>
          <w:rFonts w:ascii="Palatino Linotype" w:hAnsi="Palatino Linotype" w:cs="Arial"/>
          <w:szCs w:val="22"/>
        </w:rPr>
        <w:t xml:space="preserve"> for this procurement, which</w:t>
      </w:r>
      <w:r>
        <w:rPr>
          <w:rFonts w:ascii="Palatino Linotype" w:hAnsi="Palatino Linotype" w:cs="Arial"/>
          <w:szCs w:val="22"/>
        </w:rPr>
        <w:t xml:space="preserve"> was not a normal procurement cycle. Given the urgency of the procurement and the level of competition around the state for new resources during this cycle we believe that SDG</w:t>
      </w:r>
      <w:r w:rsidR="00B92646">
        <w:rPr>
          <w:rFonts w:ascii="Palatino Linotype" w:hAnsi="Palatino Linotype" w:cs="Arial"/>
          <w:szCs w:val="22"/>
        </w:rPr>
        <w:t>&amp;</w:t>
      </w:r>
      <w:r>
        <w:rPr>
          <w:rFonts w:ascii="Palatino Linotype" w:hAnsi="Palatino Linotype" w:cs="Arial"/>
          <w:szCs w:val="22"/>
        </w:rPr>
        <w:t xml:space="preserve">E should have put forth a greater effort. </w:t>
      </w:r>
      <w:r w:rsidR="00FC4A66">
        <w:rPr>
          <w:rFonts w:ascii="Palatino Linotype" w:hAnsi="Palatino Linotype" w:cs="Arial"/>
          <w:szCs w:val="22"/>
        </w:rPr>
        <w:t xml:space="preserve">PA </w:t>
      </w:r>
      <w:r w:rsidR="00803D2F">
        <w:rPr>
          <w:rFonts w:ascii="Palatino Linotype" w:hAnsi="Palatino Linotype" w:cs="Arial"/>
          <w:szCs w:val="22"/>
        </w:rPr>
        <w:t xml:space="preserve">Consulting </w:t>
      </w:r>
      <w:r w:rsidR="00FC4A66">
        <w:rPr>
          <w:rFonts w:ascii="Palatino Linotype" w:hAnsi="Palatino Linotype" w:cs="Arial"/>
          <w:szCs w:val="22"/>
        </w:rPr>
        <w:t>also states that SDG&amp;E’s bid evaluation team “</w:t>
      </w:r>
      <w:r w:rsidRPr="00FC4A66" w:rsidR="00FC4A66">
        <w:rPr>
          <w:rFonts w:ascii="Palatino Linotype" w:hAnsi="Palatino Linotype" w:cs="Arial"/>
          <w:szCs w:val="22"/>
        </w:rPr>
        <w:t>could have been more communicative with</w:t>
      </w:r>
      <w:r w:rsidR="00B92C0A">
        <w:rPr>
          <w:rFonts w:ascii="Palatino Linotype" w:hAnsi="Palatino Linotype" w:cs="Arial"/>
          <w:szCs w:val="22"/>
        </w:rPr>
        <w:t xml:space="preserve"> </w:t>
      </w:r>
      <w:r w:rsidRPr="00FC4A66" w:rsidR="00FC4A66">
        <w:rPr>
          <w:rFonts w:ascii="Palatino Linotype" w:hAnsi="Palatino Linotype" w:cs="Arial"/>
          <w:szCs w:val="22"/>
        </w:rPr>
        <w:t>bidders about bid conformance, and</w:t>
      </w:r>
      <w:r w:rsidR="00B92646">
        <w:rPr>
          <w:rFonts w:ascii="Palatino Linotype" w:hAnsi="Palatino Linotype" w:cs="Arial"/>
          <w:szCs w:val="22"/>
        </w:rPr>
        <w:t xml:space="preserve"> [they could have]</w:t>
      </w:r>
      <w:r w:rsidRPr="00FC4A66" w:rsidR="00FC4A66">
        <w:rPr>
          <w:rFonts w:ascii="Palatino Linotype" w:hAnsi="Palatino Linotype" w:cs="Arial"/>
          <w:szCs w:val="22"/>
        </w:rPr>
        <w:t xml:space="preserve"> allowed more opportunities to cure non</w:t>
      </w:r>
      <w:r w:rsidR="00B92646">
        <w:rPr>
          <w:rFonts w:ascii="Palatino Linotype" w:hAnsi="Palatino Linotype" w:cs="Arial"/>
          <w:szCs w:val="22"/>
        </w:rPr>
        <w:t>-</w:t>
      </w:r>
      <w:r w:rsidRPr="00FC4A66" w:rsidR="00FC4A66">
        <w:rPr>
          <w:rFonts w:ascii="Palatino Linotype" w:hAnsi="Palatino Linotype" w:cs="Arial"/>
          <w:szCs w:val="22"/>
        </w:rPr>
        <w:t>conformance</w:t>
      </w:r>
      <w:r w:rsidR="00FC4A66">
        <w:rPr>
          <w:rFonts w:ascii="Palatino Linotype" w:hAnsi="Palatino Linotype" w:cs="Arial"/>
          <w:szCs w:val="22"/>
        </w:rPr>
        <w:t>”</w:t>
      </w:r>
      <w:r w:rsidR="00FC4A66">
        <w:rPr>
          <w:rStyle w:val="FootnoteReference"/>
          <w:rFonts w:ascii="Palatino Linotype" w:hAnsi="Palatino Linotype" w:cs="Arial"/>
          <w:szCs w:val="22"/>
        </w:rPr>
        <w:footnoteReference w:id="3"/>
      </w:r>
      <w:r w:rsidR="00FC4A66">
        <w:rPr>
          <w:rFonts w:ascii="Palatino Linotype" w:hAnsi="Palatino Linotype" w:cs="Arial"/>
          <w:szCs w:val="22"/>
        </w:rPr>
        <w:t xml:space="preserve"> in order to increase the pool of bids. </w:t>
      </w:r>
      <w:r w:rsidR="00803D2F">
        <w:rPr>
          <w:rFonts w:ascii="Palatino Linotype" w:hAnsi="Palatino Linotype" w:cs="Arial"/>
          <w:szCs w:val="22"/>
        </w:rPr>
        <w:t xml:space="preserve">This appears to have limited the pool of bidders and bids available in this solicitation. </w:t>
      </w:r>
      <w:r>
        <w:rPr>
          <w:rFonts w:ascii="Palatino Linotype" w:hAnsi="Palatino Linotype" w:cs="Arial"/>
          <w:szCs w:val="22"/>
        </w:rPr>
        <w:t xml:space="preserve">Other IOUs took more proactive approaches to meeting the requirements of D.19-11-016 and had significantly better results. </w:t>
      </w:r>
    </w:p>
    <w:p w:rsidRPr="0068753E" w:rsidR="002D12E0" w:rsidP="002D12E0" w:rsidRDefault="002D12E0" w14:paraId="1F7C17FC" w14:textId="4DD76B33">
      <w:pPr>
        <w:rPr>
          <w:rFonts w:ascii="Palatino Linotype" w:hAnsi="Palatino Linotype" w:cs="TimesNewRoman"/>
          <w:bCs/>
          <w:i/>
          <w:iCs/>
          <w:szCs w:val="24"/>
        </w:rPr>
      </w:pPr>
      <w:r>
        <w:rPr>
          <w:rFonts w:ascii="Palatino Linotype" w:hAnsi="Palatino Linotype" w:cs="Arial"/>
          <w:bCs/>
          <w:i/>
          <w:iCs/>
          <w:szCs w:val="22"/>
        </w:rPr>
        <w:lastRenderedPageBreak/>
        <w:t>SDGE’s RA only contracts are reasonable and are approved</w:t>
      </w:r>
      <w:r w:rsidR="00B92646">
        <w:rPr>
          <w:rFonts w:ascii="Palatino Linotype" w:hAnsi="Palatino Linotype" w:cs="Arial"/>
          <w:bCs/>
          <w:i/>
          <w:iCs/>
          <w:szCs w:val="22"/>
        </w:rPr>
        <w:t>.</w:t>
      </w:r>
    </w:p>
    <w:p w:rsidR="002D12E0" w:rsidP="0068753E" w:rsidRDefault="002D12E0" w14:paraId="0C226B53" w14:textId="77777777">
      <w:pPr>
        <w:pStyle w:val="Res-Caption"/>
        <w:ind w:left="0" w:right="0"/>
        <w:rPr>
          <w:rFonts w:ascii="Palatino Linotype" w:hAnsi="Palatino Linotype" w:cs="Arial"/>
          <w:szCs w:val="22"/>
        </w:rPr>
      </w:pPr>
    </w:p>
    <w:p w:rsidR="00D027E2" w:rsidP="0068753E" w:rsidRDefault="0044090E" w14:paraId="6E00EB24" w14:textId="048DB72E">
      <w:pPr>
        <w:pStyle w:val="Res-Caption"/>
        <w:ind w:left="0" w:right="0"/>
        <w:rPr>
          <w:rFonts w:ascii="Palatino Linotype" w:hAnsi="Palatino Linotype" w:cs="Arial"/>
          <w:szCs w:val="22"/>
        </w:rPr>
      </w:pPr>
      <w:r>
        <w:rPr>
          <w:rFonts w:ascii="Palatino Linotype" w:hAnsi="Palatino Linotype" w:cs="Arial"/>
          <w:szCs w:val="22"/>
        </w:rPr>
        <w:t>The RA only contracts included in SDG</w:t>
      </w:r>
      <w:r w:rsidR="00B92646">
        <w:rPr>
          <w:rFonts w:ascii="Palatino Linotype" w:hAnsi="Palatino Linotype" w:cs="Arial"/>
          <w:szCs w:val="22"/>
        </w:rPr>
        <w:t>&amp;</w:t>
      </w:r>
      <w:r>
        <w:rPr>
          <w:rFonts w:ascii="Palatino Linotype" w:hAnsi="Palatino Linotype" w:cs="Arial"/>
          <w:szCs w:val="22"/>
        </w:rPr>
        <w:t xml:space="preserve">E’s advice letter </w:t>
      </w:r>
      <w:r w:rsidR="000155C2">
        <w:rPr>
          <w:rFonts w:ascii="Palatino Linotype" w:hAnsi="Palatino Linotype" w:cs="Arial"/>
          <w:szCs w:val="22"/>
        </w:rPr>
        <w:t>fulfill part of the requirement that was placed on SDG</w:t>
      </w:r>
      <w:r w:rsidR="00B92646">
        <w:rPr>
          <w:rFonts w:ascii="Palatino Linotype" w:hAnsi="Palatino Linotype" w:cs="Arial"/>
          <w:szCs w:val="22"/>
        </w:rPr>
        <w:t>&amp;</w:t>
      </w:r>
      <w:r w:rsidR="000155C2">
        <w:rPr>
          <w:rFonts w:ascii="Palatino Linotype" w:hAnsi="Palatino Linotype" w:cs="Arial"/>
          <w:szCs w:val="22"/>
        </w:rPr>
        <w:t xml:space="preserve">E in the decision. </w:t>
      </w:r>
      <w:r w:rsidR="002D12E0">
        <w:rPr>
          <w:rFonts w:ascii="Palatino Linotype" w:hAnsi="Palatino Linotype" w:cs="Arial"/>
          <w:szCs w:val="22"/>
        </w:rPr>
        <w:t>These contracts represent 60 MW of capacity due to be online by August 1, 2021 and an additional 10 MW due to be online by August 1</w:t>
      </w:r>
      <w:r w:rsidR="00B92646">
        <w:rPr>
          <w:rFonts w:ascii="Palatino Linotype" w:hAnsi="Palatino Linotype" w:cs="Arial"/>
          <w:szCs w:val="22"/>
        </w:rPr>
        <w:t>,</w:t>
      </w:r>
      <w:r w:rsidR="002D12E0">
        <w:rPr>
          <w:rFonts w:ascii="Palatino Linotype" w:hAnsi="Palatino Linotype" w:cs="Arial"/>
          <w:szCs w:val="22"/>
        </w:rPr>
        <w:t xml:space="preserve"> 2022.</w:t>
      </w:r>
    </w:p>
    <w:p w:rsidR="0044090E" w:rsidP="0068753E" w:rsidRDefault="0044090E" w14:paraId="30DCC7E0" w14:textId="20ECB850">
      <w:pPr>
        <w:pStyle w:val="Res-Caption"/>
        <w:ind w:left="0" w:right="0"/>
        <w:rPr>
          <w:rFonts w:ascii="Palatino Linotype" w:hAnsi="Palatino Linotype" w:cs="Arial"/>
          <w:szCs w:val="22"/>
        </w:rPr>
      </w:pPr>
    </w:p>
    <w:p w:rsidRPr="00927FF1" w:rsidR="0044090E" w:rsidP="0068753E" w:rsidRDefault="0044090E" w14:paraId="3467AA08" w14:textId="5906D23D">
      <w:pPr>
        <w:pStyle w:val="Res-Caption"/>
        <w:ind w:left="0" w:right="0"/>
        <w:rPr>
          <w:rFonts w:ascii="Palatino Linotype" w:hAnsi="Palatino Linotype" w:cs="Arial"/>
          <w:i/>
          <w:iCs/>
          <w:szCs w:val="22"/>
        </w:rPr>
      </w:pPr>
      <w:r w:rsidRPr="00927FF1">
        <w:rPr>
          <w:rFonts w:ascii="Palatino Linotype" w:hAnsi="Palatino Linotype" w:cs="Arial"/>
          <w:i/>
          <w:iCs/>
          <w:szCs w:val="22"/>
        </w:rPr>
        <w:t>SDG</w:t>
      </w:r>
      <w:r w:rsidR="00803D2F">
        <w:rPr>
          <w:rFonts w:ascii="Palatino Linotype" w:hAnsi="Palatino Linotype" w:cs="Arial"/>
          <w:i/>
          <w:iCs/>
          <w:szCs w:val="22"/>
        </w:rPr>
        <w:t>&amp;</w:t>
      </w:r>
      <w:r w:rsidRPr="00927FF1">
        <w:rPr>
          <w:rFonts w:ascii="Palatino Linotype" w:hAnsi="Palatino Linotype" w:cs="Arial"/>
          <w:i/>
          <w:iCs/>
          <w:szCs w:val="22"/>
        </w:rPr>
        <w:t xml:space="preserve">E’s </w:t>
      </w:r>
      <w:r w:rsidR="006959A8">
        <w:rPr>
          <w:rFonts w:ascii="Palatino Linotype" w:hAnsi="Palatino Linotype" w:cs="Arial"/>
          <w:i/>
          <w:iCs/>
          <w:szCs w:val="22"/>
        </w:rPr>
        <w:t xml:space="preserve">NPV calculations </w:t>
      </w:r>
      <w:r w:rsidR="001B3499">
        <w:rPr>
          <w:rFonts w:ascii="Palatino Linotype" w:hAnsi="Palatino Linotype" w:cs="Arial"/>
          <w:i/>
          <w:iCs/>
          <w:szCs w:val="22"/>
        </w:rPr>
        <w:t>rely on</w:t>
      </w:r>
      <w:r w:rsidR="006959A8">
        <w:rPr>
          <w:rFonts w:ascii="Palatino Linotype" w:hAnsi="Palatino Linotype" w:cs="Arial"/>
          <w:i/>
          <w:iCs/>
          <w:szCs w:val="22"/>
        </w:rPr>
        <w:t xml:space="preserve"> </w:t>
      </w:r>
      <w:r w:rsidR="001B3499">
        <w:rPr>
          <w:rFonts w:ascii="Palatino Linotype" w:hAnsi="Palatino Linotype" w:cs="Arial"/>
          <w:i/>
          <w:iCs/>
          <w:szCs w:val="22"/>
        </w:rPr>
        <w:t>novel</w:t>
      </w:r>
      <w:r w:rsidR="006959A8">
        <w:rPr>
          <w:rFonts w:ascii="Palatino Linotype" w:hAnsi="Palatino Linotype" w:cs="Arial"/>
          <w:i/>
          <w:iCs/>
          <w:szCs w:val="22"/>
        </w:rPr>
        <w:t xml:space="preserve"> assumptions </w:t>
      </w:r>
    </w:p>
    <w:p w:rsidR="003B5F7B" w:rsidP="0068753E" w:rsidRDefault="003B5F7B" w14:paraId="41669AF4" w14:textId="185358A9">
      <w:pPr>
        <w:pStyle w:val="Res-Caption"/>
        <w:ind w:left="0" w:right="0"/>
        <w:rPr>
          <w:rFonts w:ascii="Palatino Linotype" w:hAnsi="Palatino Linotype" w:cs="Arial"/>
          <w:szCs w:val="22"/>
        </w:rPr>
      </w:pPr>
    </w:p>
    <w:p w:rsidR="003B5F7B" w:rsidP="0068753E" w:rsidRDefault="0093437D" w14:paraId="507D12F3" w14:textId="44EB7EF9">
      <w:pPr>
        <w:pStyle w:val="Res-Caption"/>
        <w:ind w:left="0" w:right="0"/>
        <w:rPr>
          <w:rFonts w:ascii="Palatino Linotype" w:hAnsi="Palatino Linotype" w:cs="Arial"/>
          <w:szCs w:val="22"/>
        </w:rPr>
      </w:pPr>
      <w:r w:rsidRPr="00AA5FAE">
        <w:rPr>
          <w:rFonts w:ascii="Palatino Linotype" w:hAnsi="Palatino Linotype" w:cs="Arial"/>
          <w:szCs w:val="22"/>
          <w:highlight w:val="black"/>
        </w:rPr>
        <w:t>xxxxxxxxxxxxxxxxxxxxxxxxxxxxxxxxxxxxxxxxxxxxxxxxxxxxxxxxxxxxxxxxxx</w:t>
      </w:r>
      <w:r w:rsidRPr="00AA5FAE" w:rsidR="003B5F7B">
        <w:rPr>
          <w:rFonts w:ascii="Palatino Linotype" w:hAnsi="Palatino Linotype" w:cs="Arial"/>
          <w:szCs w:val="22"/>
          <w:highlight w:val="black"/>
        </w:rPr>
        <w:t xml:space="preserve"> </w:t>
      </w:r>
      <w:r w:rsidRPr="00AA5FAE">
        <w:rPr>
          <w:rFonts w:ascii="Palatino Linotype" w:hAnsi="Palatino Linotype" w:cs="Arial"/>
          <w:szCs w:val="22"/>
          <w:highlight w:val="black"/>
        </w:rPr>
        <w:t>xxxxxxxxxxxxxxxxxxxxxxxxxxxxxxxxxxxxxxxxxxxxxxxxxxxxxxxxxxxxxxxxxxxx</w:t>
      </w:r>
      <w:r w:rsidRPr="00AA5FAE" w:rsidR="003B5F7B">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w:t>
      </w:r>
      <w:proofErr w:type="spellEnd"/>
      <w:r w:rsidRPr="00AA5FAE" w:rsidR="003B5F7B">
        <w:rPr>
          <w:rFonts w:ascii="Palatino Linotype" w:hAnsi="Palatino Linotype" w:cs="Arial"/>
          <w:szCs w:val="22"/>
          <w:highlight w:val="black"/>
        </w:rPr>
        <w:t>.</w:t>
      </w:r>
      <w:r w:rsidR="003B5F7B">
        <w:rPr>
          <w:rFonts w:ascii="Palatino Linotype" w:hAnsi="Palatino Linotype" w:cs="Arial"/>
          <w:szCs w:val="22"/>
        </w:rPr>
        <w:t xml:space="preserve"> Our assessment is that this </w:t>
      </w:r>
      <w:proofErr w:type="spellStart"/>
      <w:r w:rsidRPr="00AA5FAE">
        <w:rPr>
          <w:rFonts w:ascii="Palatino Linotype" w:hAnsi="Palatino Linotype" w:cs="Arial"/>
          <w:szCs w:val="22"/>
          <w:highlight w:val="black"/>
        </w:rPr>
        <w:t>xxxxxxxxxxxxxxxx</w:t>
      </w:r>
      <w:proofErr w:type="spellEnd"/>
      <w:r w:rsidR="003B5F7B">
        <w:rPr>
          <w:rFonts w:ascii="Palatino Linotype" w:hAnsi="Palatino Linotype" w:cs="Arial"/>
          <w:szCs w:val="22"/>
        </w:rPr>
        <w:t xml:space="preserve"> is based on historic levels of participation by energy storage resources in relatively small </w:t>
      </w:r>
      <w:proofErr w:type="spellStart"/>
      <w:r w:rsidRPr="00AA5FAE">
        <w:rPr>
          <w:rFonts w:ascii="Palatino Linotype" w:hAnsi="Palatino Linotype" w:cs="Arial"/>
          <w:szCs w:val="22"/>
          <w:highlight w:val="black"/>
        </w:rPr>
        <w:t>xxxxxxxxxxxxx</w:t>
      </w:r>
      <w:proofErr w:type="spellEnd"/>
      <w:r w:rsidR="00B92646">
        <w:rPr>
          <w:rFonts w:ascii="Palatino Linotype" w:hAnsi="Palatino Linotype" w:cs="Arial"/>
          <w:szCs w:val="22"/>
        </w:rPr>
        <w:t xml:space="preserve"> </w:t>
      </w:r>
      <w:r w:rsidR="003B5F7B">
        <w:rPr>
          <w:rFonts w:ascii="Palatino Linotype" w:hAnsi="Palatino Linotype" w:cs="Arial"/>
          <w:szCs w:val="22"/>
        </w:rPr>
        <w:t xml:space="preserve">markets. As the energy storage fleet grows </w:t>
      </w:r>
      <w:r w:rsidR="00B92646">
        <w:rPr>
          <w:rFonts w:ascii="Palatino Linotype" w:hAnsi="Palatino Linotype" w:cs="Arial"/>
          <w:szCs w:val="22"/>
        </w:rPr>
        <w:t xml:space="preserve">in the coming years, </w:t>
      </w:r>
      <w:r w:rsidR="003B5F7B">
        <w:rPr>
          <w:rFonts w:ascii="Palatino Linotype" w:hAnsi="Palatino Linotype" w:cs="Arial"/>
          <w:szCs w:val="22"/>
        </w:rPr>
        <w:t xml:space="preserve">it is not reasonable to assume that the rate of </w:t>
      </w:r>
      <w:proofErr w:type="spellStart"/>
      <w:r w:rsidRPr="00AA5FAE">
        <w:rPr>
          <w:rFonts w:ascii="Palatino Linotype" w:hAnsi="Palatino Linotype" w:cs="Arial"/>
          <w:szCs w:val="22"/>
          <w:highlight w:val="black"/>
        </w:rPr>
        <w:t>xxxxxxxxxxxx</w:t>
      </w:r>
      <w:proofErr w:type="spellEnd"/>
      <w:r w:rsidR="00B92646">
        <w:rPr>
          <w:rFonts w:ascii="Palatino Linotype" w:hAnsi="Palatino Linotype" w:cs="Arial"/>
          <w:szCs w:val="22"/>
        </w:rPr>
        <w:t xml:space="preserve"> </w:t>
      </w:r>
      <w:r w:rsidR="003B5F7B">
        <w:rPr>
          <w:rFonts w:ascii="Palatino Linotype" w:hAnsi="Palatino Linotype" w:cs="Arial"/>
          <w:szCs w:val="22"/>
        </w:rPr>
        <w:t xml:space="preserve">participation in </w:t>
      </w:r>
      <w:proofErr w:type="spellStart"/>
      <w:r w:rsidRPr="00AA5FAE">
        <w:rPr>
          <w:rFonts w:ascii="Palatino Linotype" w:hAnsi="Palatino Linotype" w:cs="Arial"/>
          <w:szCs w:val="22"/>
          <w:highlight w:val="black"/>
        </w:rPr>
        <w:t>xxxxxxxxxxxxx</w:t>
      </w:r>
      <w:r w:rsidRPr="00AA5FAE" w:rsidR="001C468A">
        <w:rPr>
          <w:rFonts w:ascii="Palatino Linotype" w:hAnsi="Palatino Linotype" w:cs="Arial"/>
          <w:szCs w:val="22"/>
          <w:highlight w:val="black"/>
        </w:rPr>
        <w:t>x</w:t>
      </w:r>
      <w:proofErr w:type="spellEnd"/>
      <w:r w:rsidR="003B5F7B">
        <w:rPr>
          <w:rFonts w:ascii="Palatino Linotype" w:hAnsi="Palatino Linotype" w:cs="Arial"/>
          <w:szCs w:val="22"/>
        </w:rPr>
        <w:t xml:space="preserve"> markets will continue. </w:t>
      </w:r>
      <w:proofErr w:type="spellStart"/>
      <w:r w:rsidRPr="00AA5FAE" w:rsidR="001C468A">
        <w:rPr>
          <w:rFonts w:ascii="Palatino Linotype" w:hAnsi="Palatino Linotype" w:cs="Arial"/>
          <w:szCs w:val="22"/>
          <w:highlight w:val="black"/>
        </w:rPr>
        <w:t>xxxxxxxxxxxxxxxxxxxxxxxxxxxxxxxx</w:t>
      </w:r>
      <w:proofErr w:type="spellEnd"/>
      <w:r w:rsidRPr="00AA5FAE" w:rsidR="0020088A">
        <w:rPr>
          <w:rFonts w:ascii="Palatino Linotype" w:hAnsi="Palatino Linotype" w:cs="Arial"/>
          <w:szCs w:val="22"/>
          <w:highlight w:val="black"/>
        </w:rPr>
        <w:t xml:space="preserve"> </w:t>
      </w:r>
      <w:proofErr w:type="spellStart"/>
      <w:r w:rsidRPr="00AA5FAE" w:rsidR="001C468A">
        <w:rPr>
          <w:rFonts w:ascii="Palatino Linotype" w:hAnsi="Palatino Linotype" w:cs="Arial"/>
          <w:szCs w:val="22"/>
          <w:highlight w:val="black"/>
        </w:rPr>
        <w:t>xxxxxxxxxxxxxxxx</w:t>
      </w:r>
      <w:proofErr w:type="spellEnd"/>
      <w:r w:rsidRPr="00AA5FAE" w:rsidR="0020088A">
        <w:rPr>
          <w:rFonts w:ascii="Palatino Linotype" w:hAnsi="Palatino Linotype" w:cs="Arial"/>
          <w:szCs w:val="22"/>
          <w:highlight w:val="black"/>
        </w:rPr>
        <w:t>.</w:t>
      </w:r>
      <w:r w:rsidR="0020088A">
        <w:rPr>
          <w:rFonts w:ascii="Palatino Linotype" w:hAnsi="Palatino Linotype" w:cs="Arial"/>
          <w:szCs w:val="22"/>
        </w:rPr>
        <w:t xml:space="preserve"> </w:t>
      </w:r>
      <w:r w:rsidR="00927FF1">
        <w:rPr>
          <w:rFonts w:ascii="Palatino Linotype" w:hAnsi="Palatino Linotype" w:cs="Arial"/>
          <w:szCs w:val="22"/>
        </w:rPr>
        <w:t>Comparisons to other IOUs</w:t>
      </w:r>
      <w:r w:rsidR="00B92646">
        <w:rPr>
          <w:rFonts w:ascii="Palatino Linotype" w:hAnsi="Palatino Linotype" w:cs="Arial"/>
          <w:szCs w:val="22"/>
        </w:rPr>
        <w:t>’</w:t>
      </w:r>
      <w:r w:rsidR="00927FF1">
        <w:rPr>
          <w:rFonts w:ascii="Palatino Linotype" w:hAnsi="Palatino Linotype" w:cs="Arial"/>
          <w:szCs w:val="22"/>
        </w:rPr>
        <w:t xml:space="preserve"> contract prices </w:t>
      </w:r>
      <w:r w:rsidR="00B92646">
        <w:rPr>
          <w:rFonts w:ascii="Palatino Linotype" w:hAnsi="Palatino Linotype" w:cs="Arial"/>
          <w:szCs w:val="22"/>
        </w:rPr>
        <w:t xml:space="preserve">and other valuation methodologies </w:t>
      </w:r>
      <w:r w:rsidR="00927FF1">
        <w:rPr>
          <w:rFonts w:ascii="Palatino Linotype" w:hAnsi="Palatino Linotype" w:cs="Arial"/>
          <w:szCs w:val="22"/>
        </w:rPr>
        <w:t>serve to reinforce this judgemen</w:t>
      </w:r>
      <w:r w:rsidRPr="00AA5FAE" w:rsidR="00927FF1">
        <w:rPr>
          <w:rFonts w:ascii="Palatino Linotype" w:hAnsi="Palatino Linotype" w:cs="Arial"/>
          <w:szCs w:val="22"/>
        </w:rPr>
        <w:t xml:space="preserve">t.  </w:t>
      </w:r>
      <w:proofErr w:type="spellStart"/>
      <w:r w:rsidRPr="00AA5FAE" w:rsidR="001C468A">
        <w:rPr>
          <w:rFonts w:ascii="Palatino Linotype" w:hAnsi="Palatino Linotype" w:cs="Arial"/>
          <w:szCs w:val="22"/>
          <w:highlight w:val="black"/>
        </w:rPr>
        <w:t>xxxxxxxxxxxxxxxxx</w:t>
      </w:r>
      <w:proofErr w:type="spellEnd"/>
      <w:r w:rsidRPr="00AA5FAE" w:rsidR="00E5220B">
        <w:rPr>
          <w:rFonts w:ascii="Palatino Linotype" w:hAnsi="Palatino Linotype" w:cs="Arial"/>
          <w:szCs w:val="22"/>
          <w:highlight w:val="black"/>
        </w:rPr>
        <w:t xml:space="preserve"> </w:t>
      </w:r>
      <w:r w:rsidRPr="00AA5FAE" w:rsidR="001C468A">
        <w:rPr>
          <w:rFonts w:ascii="Palatino Linotype" w:hAnsi="Palatino Linotype" w:cs="Arial"/>
          <w:szCs w:val="22"/>
          <w:highlight w:val="black"/>
        </w:rPr>
        <w:t>xxxxxxxxxxxxxxxxxxxxxxxxxxxxxxxxxxxxxxxxxxxxxxxxxxxxxxxxxxxxxxxxx</w:t>
      </w:r>
      <w:r w:rsidRPr="00AA5FAE" w:rsidR="00B92646">
        <w:rPr>
          <w:rFonts w:ascii="Palatino Linotype" w:hAnsi="Palatino Linotype" w:cs="Arial"/>
          <w:szCs w:val="22"/>
        </w:rPr>
        <w:t xml:space="preserve"> </w:t>
      </w:r>
      <w:r w:rsidRPr="00AA5FAE" w:rsidR="001C468A">
        <w:rPr>
          <w:rFonts w:ascii="Palatino Linotype" w:hAnsi="Palatino Linotype" w:cs="Arial"/>
          <w:szCs w:val="22"/>
          <w:highlight w:val="black"/>
        </w:rPr>
        <w:t>xxxxxxxxxxxxxxxxxxxxxxxxxxxxxxxxxxxxxxxxxxxxxxxxxxxxxxxxxxxxxxxxxxxx</w:t>
      </w:r>
      <w:r w:rsidRPr="00AA5FAE" w:rsidR="00B92646">
        <w:rPr>
          <w:rFonts w:ascii="Palatino Linotype" w:hAnsi="Palatino Linotype" w:cs="Arial"/>
          <w:szCs w:val="22"/>
          <w:highlight w:val="black"/>
        </w:rPr>
        <w:t xml:space="preserve"> </w:t>
      </w:r>
      <w:proofErr w:type="spellStart"/>
      <w:r w:rsidRPr="00AA5FAE" w:rsidR="001C468A">
        <w:rPr>
          <w:rFonts w:ascii="Palatino Linotype" w:hAnsi="Palatino Linotype" w:cs="Arial"/>
          <w:szCs w:val="22"/>
          <w:highlight w:val="black"/>
        </w:rPr>
        <w:t>xxxxxxxxxxxxxxxxxxxxxxxxxxxxxxxxxxxxxxxxxxxxxxxxxxxxxxxxxxxxxx</w:t>
      </w:r>
      <w:proofErr w:type="spellEnd"/>
      <w:r w:rsidRPr="00AA5FAE" w:rsidR="00B92646">
        <w:rPr>
          <w:rFonts w:ascii="Palatino Linotype" w:hAnsi="Palatino Linotype" w:cs="Arial"/>
          <w:szCs w:val="22"/>
          <w:highlight w:val="black"/>
        </w:rPr>
        <w:t xml:space="preserve"> </w:t>
      </w:r>
      <w:r w:rsidRPr="00AA5FAE" w:rsidR="001C468A">
        <w:rPr>
          <w:rFonts w:ascii="Palatino Linotype" w:hAnsi="Palatino Linotype" w:cs="Arial"/>
          <w:szCs w:val="22"/>
          <w:highlight w:val="black"/>
        </w:rPr>
        <w:t>xxxxxxxxxxxxxxxxxxxxxxxxxxxxxxxxxxxxxxxxxxxxxxxxxxxxxxxxxxxxxxxxx</w:t>
      </w:r>
      <w:r w:rsidRPr="00AA5FAE" w:rsidR="00B92646">
        <w:rPr>
          <w:rFonts w:ascii="Palatino Linotype" w:hAnsi="Palatino Linotype" w:cs="Arial"/>
          <w:szCs w:val="22"/>
          <w:highlight w:val="black"/>
        </w:rPr>
        <w:t xml:space="preserve"> </w:t>
      </w:r>
      <w:proofErr w:type="spellStart"/>
      <w:r w:rsidRPr="00AA5FAE" w:rsidR="001C468A">
        <w:rPr>
          <w:rFonts w:ascii="Palatino Linotype" w:hAnsi="Palatino Linotype" w:cs="Arial"/>
          <w:szCs w:val="22"/>
          <w:highlight w:val="black"/>
        </w:rPr>
        <w:t>xxxxxxxxx</w:t>
      </w:r>
      <w:proofErr w:type="spellEnd"/>
      <w:r w:rsidRPr="00AA5FAE" w:rsidR="001C468A">
        <w:rPr>
          <w:rFonts w:ascii="Palatino Linotype" w:hAnsi="Palatino Linotype" w:cs="Arial"/>
          <w:szCs w:val="22"/>
          <w:highlight w:val="black"/>
        </w:rPr>
        <w:t>.</w:t>
      </w:r>
      <w:r w:rsidR="00E5220B">
        <w:rPr>
          <w:rFonts w:ascii="Palatino Linotype" w:hAnsi="Palatino Linotype" w:cs="Arial"/>
          <w:szCs w:val="22"/>
        </w:rPr>
        <w:t xml:space="preserve"> </w:t>
      </w:r>
    </w:p>
    <w:p w:rsidR="00B02F4C" w:rsidP="0068753E" w:rsidRDefault="00B02F4C" w14:paraId="5CA64345" w14:textId="716F84C1">
      <w:pPr>
        <w:pStyle w:val="Res-Caption"/>
        <w:ind w:left="0" w:right="0"/>
        <w:rPr>
          <w:rFonts w:ascii="Palatino Linotype" w:hAnsi="Palatino Linotype" w:cs="Arial"/>
          <w:szCs w:val="22"/>
        </w:rPr>
      </w:pPr>
    </w:p>
    <w:p w:rsidR="00B02F4C" w:rsidP="0068753E" w:rsidRDefault="00803D2F" w14:paraId="5E44E662" w14:textId="483BE9BB">
      <w:pPr>
        <w:pStyle w:val="Res-Caption"/>
        <w:ind w:left="0" w:right="0"/>
        <w:rPr>
          <w:rFonts w:ascii="Palatino Linotype" w:hAnsi="Palatino Linotype" w:cs="Arial"/>
          <w:szCs w:val="22"/>
        </w:rPr>
      </w:pPr>
      <w:r>
        <w:rPr>
          <w:rFonts w:ascii="Palatino Linotype" w:hAnsi="Palatino Linotype" w:cs="Arial"/>
          <w:szCs w:val="22"/>
        </w:rPr>
        <w:t>However, t</w:t>
      </w:r>
      <w:r w:rsidR="00B62AB0">
        <w:rPr>
          <w:rFonts w:ascii="Palatino Linotype" w:hAnsi="Palatino Linotype" w:cs="Arial"/>
          <w:szCs w:val="22"/>
        </w:rPr>
        <w:t>he overall value proposition of the resource represented by this contract is within acceptable bounds, particularly when compared to the cost of trying to replace it now</w:t>
      </w:r>
      <w:r w:rsidR="00B92646">
        <w:rPr>
          <w:rFonts w:ascii="Palatino Linotype" w:hAnsi="Palatino Linotype" w:cs="Arial"/>
          <w:szCs w:val="22"/>
        </w:rPr>
        <w:t>, with very limited time between now and August 2021</w:t>
      </w:r>
      <w:r w:rsidR="00B62AB0">
        <w:rPr>
          <w:rFonts w:ascii="Palatino Linotype" w:hAnsi="Palatino Linotype" w:cs="Arial"/>
          <w:szCs w:val="22"/>
        </w:rPr>
        <w:t xml:space="preserve">. </w:t>
      </w:r>
      <w:r w:rsidR="00B92646">
        <w:rPr>
          <w:rFonts w:ascii="Palatino Linotype" w:hAnsi="Palatino Linotype" w:cs="Arial"/>
          <w:szCs w:val="22"/>
        </w:rPr>
        <w:t xml:space="preserve"> While this Resolution approves this </w:t>
      </w:r>
      <w:r w:rsidR="00B62AB0">
        <w:rPr>
          <w:rFonts w:ascii="Palatino Linotype" w:hAnsi="Palatino Linotype" w:cs="Arial"/>
          <w:szCs w:val="22"/>
        </w:rPr>
        <w:t xml:space="preserve">tolling contract, </w:t>
      </w:r>
      <w:r w:rsidR="00B92646">
        <w:rPr>
          <w:rFonts w:ascii="Palatino Linotype" w:hAnsi="Palatino Linotype" w:cs="Arial"/>
          <w:szCs w:val="22"/>
        </w:rPr>
        <w:t>S</w:t>
      </w:r>
      <w:r w:rsidR="00B62AB0">
        <w:rPr>
          <w:rFonts w:ascii="Palatino Linotype" w:hAnsi="Palatino Linotype" w:cs="Arial"/>
          <w:szCs w:val="22"/>
        </w:rPr>
        <w:t xml:space="preserve">DG&amp;E </w:t>
      </w:r>
      <w:r>
        <w:rPr>
          <w:rFonts w:ascii="Palatino Linotype" w:hAnsi="Palatino Linotype" w:cs="Arial"/>
          <w:szCs w:val="22"/>
        </w:rPr>
        <w:t xml:space="preserve">should </w:t>
      </w:r>
      <w:r w:rsidR="00B62AB0">
        <w:rPr>
          <w:rFonts w:ascii="Palatino Linotype" w:hAnsi="Palatino Linotype" w:cs="Arial"/>
          <w:szCs w:val="22"/>
        </w:rPr>
        <w:t xml:space="preserve">work to improve their modeling of resource benefits </w:t>
      </w:r>
      <w:r>
        <w:rPr>
          <w:rFonts w:ascii="Palatino Linotype" w:hAnsi="Palatino Linotype" w:cs="Arial"/>
          <w:szCs w:val="22"/>
        </w:rPr>
        <w:t xml:space="preserve">calculations </w:t>
      </w:r>
      <w:r w:rsidR="00B62AB0">
        <w:rPr>
          <w:rFonts w:ascii="Palatino Linotype" w:hAnsi="Palatino Linotype" w:cs="Arial"/>
          <w:szCs w:val="22"/>
        </w:rPr>
        <w:t>in the future.</w:t>
      </w:r>
    </w:p>
    <w:p w:rsidR="0044090E" w:rsidP="0068753E" w:rsidRDefault="0044090E" w14:paraId="7A89A6BA" w14:textId="0DCE2EAD">
      <w:pPr>
        <w:pStyle w:val="Res-Caption"/>
        <w:ind w:left="0" w:right="0"/>
        <w:rPr>
          <w:rFonts w:ascii="Palatino Linotype" w:hAnsi="Palatino Linotype" w:cs="Arial"/>
          <w:szCs w:val="22"/>
        </w:rPr>
      </w:pPr>
    </w:p>
    <w:p w:rsidRPr="00AA5FAE" w:rsidR="0044090E" w:rsidP="0068753E" w:rsidRDefault="001C468A" w14:paraId="39E15520" w14:textId="4A2EE989">
      <w:pPr>
        <w:pStyle w:val="Res-Caption"/>
        <w:ind w:left="0" w:right="0"/>
        <w:rPr>
          <w:rFonts w:ascii="Palatino Linotype" w:hAnsi="Palatino Linotype" w:cs="Arial"/>
          <w:i/>
          <w:iCs/>
          <w:szCs w:val="22"/>
          <w:highlight w:val="black"/>
        </w:rPr>
      </w:pPr>
      <w:r w:rsidRPr="00AA5FAE">
        <w:rPr>
          <w:rFonts w:ascii="Palatino Linotype" w:hAnsi="Palatino Linotype" w:cs="Arial"/>
          <w:i/>
          <w:iCs/>
          <w:szCs w:val="22"/>
          <w:highlight w:val="black"/>
        </w:rPr>
        <w:t>xxxxxxxxxxxxxxxxxxxxxxxxxxxxxxxxxxxxxxxxxxxxxxxxxxxxxxxxxxxxxxxxxx</w:t>
      </w:r>
      <w:r w:rsidRPr="00AA5FAE" w:rsidR="00B02F4C">
        <w:rPr>
          <w:rFonts w:ascii="Palatino Linotype" w:hAnsi="Palatino Linotype" w:cs="Arial"/>
          <w:i/>
          <w:iCs/>
          <w:szCs w:val="22"/>
          <w:highlight w:val="black"/>
        </w:rPr>
        <w:t xml:space="preserve"> </w:t>
      </w:r>
      <w:proofErr w:type="spellStart"/>
      <w:r w:rsidRPr="00AA5FAE">
        <w:rPr>
          <w:rFonts w:ascii="Palatino Linotype" w:hAnsi="Palatino Linotype" w:cs="Arial"/>
          <w:i/>
          <w:iCs/>
          <w:szCs w:val="22"/>
          <w:highlight w:val="black"/>
        </w:rPr>
        <w:t>xxxxxxxxxxxxx</w:t>
      </w:r>
      <w:proofErr w:type="spellEnd"/>
      <w:r w:rsidRPr="00AA5FAE" w:rsidR="00B92646">
        <w:rPr>
          <w:rFonts w:ascii="Palatino Linotype" w:hAnsi="Palatino Linotype" w:cs="Arial"/>
          <w:i/>
          <w:iCs/>
          <w:szCs w:val="22"/>
          <w:highlight w:val="black"/>
        </w:rPr>
        <w:t>.</w:t>
      </w:r>
    </w:p>
    <w:p w:rsidRPr="006959A8" w:rsidR="00E5220B" w:rsidP="0068753E" w:rsidRDefault="00E5220B" w14:paraId="565CF977" w14:textId="0116BBE7">
      <w:pPr>
        <w:pStyle w:val="Res-Caption"/>
        <w:ind w:left="0" w:right="0"/>
        <w:rPr>
          <w:rFonts w:ascii="Palatino Linotype" w:hAnsi="Palatino Linotype" w:cs="Arial"/>
          <w:szCs w:val="22"/>
          <w:highlight w:val="lightGray"/>
        </w:rPr>
      </w:pPr>
    </w:p>
    <w:p w:rsidRPr="00AA5FAE" w:rsidR="000D29AB" w:rsidP="0068753E" w:rsidRDefault="001C468A" w14:paraId="6473E47A" w14:textId="7F3CFE6A">
      <w:pPr>
        <w:pStyle w:val="Res-Caption"/>
        <w:ind w:left="0" w:right="0"/>
        <w:rPr>
          <w:rFonts w:ascii="Palatino Linotype" w:hAnsi="Palatino Linotype" w:cs="Arial"/>
          <w:szCs w:val="22"/>
          <w:highlight w:val="black"/>
        </w:rPr>
      </w:pPr>
      <w:r w:rsidRPr="00AA5FAE">
        <w:rPr>
          <w:rFonts w:ascii="Palatino Linotype" w:hAnsi="Palatino Linotype" w:cs="Arial"/>
          <w:szCs w:val="22"/>
          <w:highlight w:val="black"/>
        </w:rPr>
        <w:t>xxxxxxxxxxxxxxxxxxxxxxxxxxxxxxxxxxxx</w:t>
      </w:r>
      <w:r w:rsidRPr="00AA5FAE" w:rsidR="000D29AB">
        <w:rPr>
          <w:rFonts w:ascii="Palatino Linotype" w:hAnsi="Palatino Linotype" w:cs="Arial"/>
          <w:szCs w:val="22"/>
          <w:highlight w:val="black"/>
        </w:rPr>
        <w:t>x</w:t>
      </w:r>
      <w:r w:rsidRPr="00AA5FAE">
        <w:rPr>
          <w:rFonts w:ascii="Palatino Linotype" w:hAnsi="Palatino Linotype" w:cs="Arial"/>
          <w:szCs w:val="22"/>
          <w:highlight w:val="black"/>
        </w:rPr>
        <w:t>xxxxxxxxxxxxxxxxxxxxxxxxxxxxx</w:t>
      </w:r>
    </w:p>
    <w:p w:rsidR="00FB4A4C" w:rsidP="0068753E" w:rsidRDefault="001C468A" w14:paraId="24C9B2B1" w14:textId="75AA8AF2">
      <w:pPr>
        <w:pStyle w:val="Res-Caption"/>
        <w:ind w:left="0" w:right="0"/>
        <w:rPr>
          <w:rFonts w:ascii="Palatino Linotype" w:hAnsi="Palatino Linotype" w:cs="Arial"/>
          <w:szCs w:val="22"/>
        </w:rPr>
      </w:pPr>
      <w:r w:rsidRPr="00AA5FAE">
        <w:rPr>
          <w:rFonts w:ascii="Palatino Linotype" w:hAnsi="Palatino Linotype" w:cs="Arial"/>
          <w:szCs w:val="22"/>
          <w:highlight w:val="black"/>
        </w:rPr>
        <w:t>xxxxxxxxxxxxxxxxxxxxxxxxxxxxxxxxxxxxxxxxxxxxxxxxxxxxxxxxxxxxxxxxxxxx</w:t>
      </w:r>
      <w:r w:rsidRPr="00AA5FAE" w:rsidR="000D29AB">
        <w:rPr>
          <w:rFonts w:ascii="Palatino Linotype" w:hAnsi="Palatino Linotype" w:cs="Arial"/>
          <w:szCs w:val="22"/>
          <w:highlight w:val="black"/>
        </w:rPr>
        <w:t>x</w:t>
      </w:r>
      <w:r w:rsidRPr="00AA5FAE" w:rsidR="00B02F4C">
        <w:rPr>
          <w:rFonts w:ascii="Palatino Linotype" w:hAnsi="Palatino Linotype" w:cs="Arial"/>
          <w:szCs w:val="22"/>
          <w:highlight w:val="black"/>
        </w:rPr>
        <w:t xml:space="preserve"> </w:t>
      </w:r>
      <w:r w:rsidRPr="00AA5FAE">
        <w:rPr>
          <w:rFonts w:ascii="Palatino Linotype" w:hAnsi="Palatino Linotype" w:cs="Arial"/>
          <w:szCs w:val="22"/>
          <w:highlight w:val="black"/>
        </w:rPr>
        <w:t>xxxxxxxxxxxxxxxxxxxxxxxxxxxxxxxxxxxxxxxxxxxxxxxxxxxxxxxxxxxxxxxxx</w:t>
      </w:r>
      <w:r w:rsidRPr="00AA5FAE" w:rsidR="000D29AB">
        <w:rPr>
          <w:rFonts w:ascii="Palatino Linotype" w:hAnsi="Palatino Linotype" w:cs="Arial"/>
          <w:szCs w:val="22"/>
          <w:highlight w:val="black"/>
        </w:rPr>
        <w:t xml:space="preserve"> </w:t>
      </w:r>
      <w:r w:rsidRPr="00AA5FAE">
        <w:rPr>
          <w:rFonts w:ascii="Palatino Linotype" w:hAnsi="Palatino Linotype" w:cs="Arial"/>
          <w:szCs w:val="22"/>
          <w:highlight w:val="black"/>
        </w:rPr>
        <w:lastRenderedPageBreak/>
        <w:t>xxxxxxxxxxxxxxxxxxxxxxxxxxxxxxxxxxxxxxxxxxxxxxxxxxxxxxxxxxxxxxxxxxxxx</w:t>
      </w:r>
      <w:r w:rsidRPr="00AA5FAE" w:rsidR="000D29AB">
        <w:rPr>
          <w:rFonts w:ascii="Palatino Linotype" w:hAnsi="Palatino Linotype" w:cs="Arial"/>
          <w:szCs w:val="22"/>
          <w:highlight w:val="black"/>
        </w:rPr>
        <w:t>xxxxxxxxxxxxxxxxxxxxxxxxxxxxxxxxxxxxxxxxxxxxxxxxxxxxxxxxxxxxxxxxxx xxxxxxxxxxxxxxxxxxxxxxxxxxxxxxxxxxxxxxxxxxxxxxxxxxxxxxxxxxxxxxxxxxxxx</w:t>
      </w:r>
      <w:r w:rsidRPr="00AA5FAE" w:rsidR="00B02F4C">
        <w:rPr>
          <w:rFonts w:ascii="Palatino Linotype" w:hAnsi="Palatino Linotype" w:cs="Arial"/>
          <w:szCs w:val="22"/>
          <w:highlight w:val="black"/>
        </w:rPr>
        <w:t xml:space="preserve"> </w:t>
      </w:r>
      <w:r w:rsidRPr="00AA5FAE" w:rsidR="000D29AB">
        <w:rPr>
          <w:rFonts w:ascii="Palatino Linotype" w:hAnsi="Palatino Linotype" w:cs="Arial"/>
          <w:szCs w:val="22"/>
          <w:highlight w:val="black"/>
        </w:rPr>
        <w:t>xxxxxxxxxxxxxxxxxxxxxxxxxxxxxxxxxxxxxxxxxxxxxxxxxxxxxxxxxxxxxxxxx</w:t>
      </w:r>
      <w:r w:rsidRPr="00AA5FAE" w:rsidR="00B62AB0">
        <w:rPr>
          <w:rFonts w:ascii="Palatino Linotype" w:hAnsi="Palatino Linotype" w:cs="Arial"/>
          <w:szCs w:val="22"/>
          <w:highlight w:val="black"/>
        </w:rPr>
        <w:t xml:space="preserve"> </w:t>
      </w:r>
      <w:r w:rsidRPr="00AA5FAE" w:rsidR="000D29AB">
        <w:rPr>
          <w:rFonts w:ascii="Palatino Linotype" w:hAnsi="Palatino Linotype" w:cs="Arial"/>
          <w:szCs w:val="22"/>
          <w:highlight w:val="black"/>
        </w:rPr>
        <w:t>xxxxxxxxxxxxxxxxxxxxxxxxxxxxxxxxxxxxxxxxxxxxxxxxxxxxxxxxxxxxxxxxxxxx</w:t>
      </w:r>
      <w:r w:rsidRPr="00AA5FAE" w:rsidR="00B62AB0">
        <w:rPr>
          <w:rFonts w:ascii="Palatino Linotype" w:hAnsi="Palatino Linotype" w:cs="Arial"/>
          <w:szCs w:val="22"/>
          <w:highlight w:val="black"/>
        </w:rPr>
        <w:t xml:space="preserve"> </w:t>
      </w:r>
      <w:proofErr w:type="spellStart"/>
      <w:r w:rsidRPr="00AA5FAE" w:rsidR="000D29AB">
        <w:rPr>
          <w:rFonts w:ascii="Palatino Linotype" w:hAnsi="Palatino Linotype" w:cs="Arial"/>
          <w:szCs w:val="22"/>
          <w:highlight w:val="black"/>
        </w:rPr>
        <w:t>xxxxxxxxxxxxxxxxxx</w:t>
      </w:r>
      <w:proofErr w:type="spellEnd"/>
      <w:r w:rsidRPr="00AA5FAE" w:rsidR="00E166B4">
        <w:rPr>
          <w:rFonts w:ascii="Palatino Linotype" w:hAnsi="Palatino Linotype" w:cs="Arial"/>
          <w:szCs w:val="22"/>
          <w:highlight w:val="black"/>
        </w:rPr>
        <w:t>,</w:t>
      </w:r>
      <w:r w:rsidR="00B02F4C">
        <w:rPr>
          <w:rFonts w:ascii="Palatino Linotype" w:hAnsi="Palatino Linotype" w:cs="Arial"/>
          <w:szCs w:val="22"/>
        </w:rPr>
        <w:t xml:space="preserve"> t</w:t>
      </w:r>
      <w:r w:rsidR="0020088A">
        <w:rPr>
          <w:rFonts w:ascii="Palatino Linotype" w:hAnsi="Palatino Linotype" w:cs="Arial"/>
          <w:szCs w:val="22"/>
        </w:rPr>
        <w:t>he UOG contracts are not approved.</w:t>
      </w:r>
    </w:p>
    <w:p w:rsidRPr="000C08BD" w:rsidR="00B458F8" w:rsidP="0068753E" w:rsidRDefault="00B458F8" w14:paraId="22FF3D8A" w14:textId="317A87DD">
      <w:pPr>
        <w:pStyle w:val="Res-Caption"/>
        <w:ind w:left="0" w:right="0"/>
        <w:rPr>
          <w:rFonts w:ascii="Palatino Linotype" w:hAnsi="Palatino Linotype" w:cs="Arial"/>
          <w:i/>
          <w:iCs/>
          <w:szCs w:val="22"/>
          <w:u w:val="single"/>
        </w:rPr>
      </w:pPr>
      <w:r w:rsidRPr="000C08BD">
        <w:rPr>
          <w:rFonts w:ascii="Palatino Linotype" w:hAnsi="Palatino Linotype" w:cs="Arial"/>
          <w:i/>
          <w:iCs/>
          <w:szCs w:val="22"/>
          <w:u w:val="single"/>
        </w:rPr>
        <w:t>Protests</w:t>
      </w:r>
      <w:r w:rsidR="00F23CE3">
        <w:rPr>
          <w:rFonts w:ascii="Palatino Linotype" w:hAnsi="Palatino Linotype" w:cs="Arial"/>
          <w:i/>
          <w:iCs/>
          <w:szCs w:val="22"/>
          <w:u w:val="single"/>
        </w:rPr>
        <w:t xml:space="preserve"> and other issues</w:t>
      </w:r>
    </w:p>
    <w:p w:rsidR="00B458F8" w:rsidP="0068753E" w:rsidRDefault="00B458F8" w14:paraId="6607FDB7" w14:textId="67B17779">
      <w:pPr>
        <w:pStyle w:val="Res-Caption"/>
        <w:ind w:left="0" w:right="0"/>
        <w:rPr>
          <w:rFonts w:ascii="Palatino Linotype" w:hAnsi="Palatino Linotype" w:cs="Arial"/>
          <w:szCs w:val="22"/>
        </w:rPr>
      </w:pPr>
    </w:p>
    <w:p w:rsidRPr="000C08BD" w:rsidR="00B458F8" w:rsidP="0068753E" w:rsidRDefault="001062C8" w14:paraId="1E414915" w14:textId="557D5DD7">
      <w:pPr>
        <w:pStyle w:val="Res-Caption"/>
        <w:ind w:left="0" w:right="0"/>
        <w:rPr>
          <w:rFonts w:ascii="Palatino Linotype" w:hAnsi="Palatino Linotype" w:cs="Arial"/>
          <w:i/>
          <w:iCs/>
          <w:szCs w:val="22"/>
        </w:rPr>
      </w:pPr>
      <w:r>
        <w:rPr>
          <w:rFonts w:ascii="Palatino Linotype" w:hAnsi="Palatino Linotype" w:cs="Arial"/>
          <w:i/>
          <w:iCs/>
          <w:szCs w:val="22"/>
        </w:rPr>
        <w:t>Unique bid evaluation methods</w:t>
      </w:r>
    </w:p>
    <w:p w:rsidR="00B458F8" w:rsidP="0068753E" w:rsidRDefault="00B458F8" w14:paraId="0731DF2D" w14:textId="77777777">
      <w:pPr>
        <w:pStyle w:val="Res-Caption"/>
        <w:ind w:left="0" w:right="0"/>
        <w:rPr>
          <w:rFonts w:ascii="Palatino Linotype" w:hAnsi="Palatino Linotype" w:cs="Arial"/>
          <w:szCs w:val="22"/>
        </w:rPr>
      </w:pPr>
    </w:p>
    <w:p w:rsidR="007F0C17" w:rsidP="00B458F8" w:rsidRDefault="00E6146D" w14:paraId="2A3E3522" w14:textId="5AE0190F">
      <w:pPr>
        <w:autoSpaceDE w:val="0"/>
        <w:autoSpaceDN w:val="0"/>
        <w:adjustRightInd w:val="0"/>
        <w:rPr>
          <w:rFonts w:ascii="Palatino Linotype" w:hAnsi="Palatino Linotype" w:cs="TimesNewRoman"/>
          <w:szCs w:val="24"/>
        </w:rPr>
      </w:pPr>
      <w:proofErr w:type="spellStart"/>
      <w:r>
        <w:rPr>
          <w:rFonts w:ascii="Palatino Linotype" w:hAnsi="Palatino Linotype" w:cs="TimesNewRoman"/>
          <w:szCs w:val="24"/>
        </w:rPr>
        <w:t>Cal</w:t>
      </w:r>
      <w:r w:rsidR="00ED0CC5">
        <w:rPr>
          <w:rFonts w:ascii="Palatino Linotype" w:hAnsi="Palatino Linotype" w:cs="TimesNewRoman"/>
          <w:szCs w:val="24"/>
        </w:rPr>
        <w:t>PA</w:t>
      </w:r>
      <w:proofErr w:type="spellEnd"/>
      <w:r>
        <w:rPr>
          <w:rFonts w:ascii="Palatino Linotype" w:hAnsi="Palatino Linotype" w:cs="TimesNewRoman"/>
          <w:szCs w:val="24"/>
        </w:rPr>
        <w:t xml:space="preserve"> </w:t>
      </w:r>
      <w:r w:rsidR="005B3B3F">
        <w:rPr>
          <w:rFonts w:ascii="Palatino Linotype" w:hAnsi="Palatino Linotype" w:cs="TimesNewRoman"/>
          <w:szCs w:val="24"/>
        </w:rPr>
        <w:t>cited several novel criteria or treatments that were used by SDG</w:t>
      </w:r>
      <w:r w:rsidR="00B92646">
        <w:rPr>
          <w:rFonts w:ascii="Palatino Linotype" w:hAnsi="Palatino Linotype" w:cs="TimesNewRoman"/>
          <w:szCs w:val="24"/>
        </w:rPr>
        <w:t>&amp;</w:t>
      </w:r>
      <w:r w:rsidR="005B3B3F">
        <w:rPr>
          <w:rFonts w:ascii="Palatino Linotype" w:hAnsi="Palatino Linotype" w:cs="TimesNewRoman"/>
          <w:szCs w:val="24"/>
        </w:rPr>
        <w:t xml:space="preserve">E to evaluate bids and asked the </w:t>
      </w:r>
      <w:r w:rsidR="00E166B4">
        <w:rPr>
          <w:rFonts w:ascii="Palatino Linotype" w:hAnsi="Palatino Linotype" w:cs="TimesNewRoman"/>
          <w:szCs w:val="24"/>
        </w:rPr>
        <w:t>C</w:t>
      </w:r>
      <w:r w:rsidR="005B3B3F">
        <w:rPr>
          <w:rFonts w:ascii="Palatino Linotype" w:hAnsi="Palatino Linotype" w:cs="TimesNewRoman"/>
          <w:szCs w:val="24"/>
        </w:rPr>
        <w:t>ommission to direct SDG</w:t>
      </w:r>
      <w:r w:rsidR="00B92646">
        <w:rPr>
          <w:rFonts w:ascii="Palatino Linotype" w:hAnsi="Palatino Linotype" w:cs="TimesNewRoman"/>
          <w:szCs w:val="24"/>
        </w:rPr>
        <w:t>&amp;</w:t>
      </w:r>
      <w:r w:rsidR="005B3B3F">
        <w:rPr>
          <w:rFonts w:ascii="Palatino Linotype" w:hAnsi="Palatino Linotype" w:cs="TimesNewRoman"/>
          <w:szCs w:val="24"/>
        </w:rPr>
        <w:t xml:space="preserve">E to forego the use of </w:t>
      </w:r>
      <w:r w:rsidR="006E337A">
        <w:rPr>
          <w:rFonts w:ascii="Palatino Linotype" w:hAnsi="Palatino Linotype" w:cs="TimesNewRoman"/>
          <w:szCs w:val="24"/>
        </w:rPr>
        <w:t>one in particular</w:t>
      </w:r>
      <w:r w:rsidR="00AA3645">
        <w:rPr>
          <w:rFonts w:ascii="Palatino Linotype" w:hAnsi="Palatino Linotype" w:cs="TimesNewRoman"/>
          <w:szCs w:val="24"/>
        </w:rPr>
        <w:t>,</w:t>
      </w:r>
      <w:r w:rsidR="006E337A">
        <w:rPr>
          <w:rFonts w:ascii="Palatino Linotype" w:hAnsi="Palatino Linotype" w:cs="TimesNewRoman"/>
          <w:szCs w:val="24"/>
        </w:rPr>
        <w:t xml:space="preserve"> </w:t>
      </w:r>
      <w:r w:rsidR="00B92646">
        <w:rPr>
          <w:rFonts w:ascii="Palatino Linotype" w:hAnsi="Palatino Linotype" w:cs="TimesNewRoman"/>
          <w:szCs w:val="24"/>
        </w:rPr>
        <w:t xml:space="preserve">avoided curtailment, </w:t>
      </w:r>
      <w:r w:rsidR="006E337A">
        <w:rPr>
          <w:rFonts w:ascii="Palatino Linotype" w:hAnsi="Palatino Linotype" w:cs="TimesNewRoman"/>
          <w:szCs w:val="24"/>
        </w:rPr>
        <w:t xml:space="preserve">until it is more fully vetted. </w:t>
      </w:r>
      <w:r w:rsidR="00EB3BDD">
        <w:rPr>
          <w:rFonts w:ascii="Palatino Linotype" w:hAnsi="Palatino Linotype" w:cs="TimesNewRoman"/>
          <w:szCs w:val="24"/>
        </w:rPr>
        <w:t>We agree that SDG</w:t>
      </w:r>
      <w:r w:rsidR="00B92646">
        <w:rPr>
          <w:rFonts w:ascii="Palatino Linotype" w:hAnsi="Palatino Linotype" w:cs="TimesNewRoman"/>
          <w:szCs w:val="24"/>
        </w:rPr>
        <w:t>&amp;</w:t>
      </w:r>
      <w:r w:rsidR="00EB3BDD">
        <w:rPr>
          <w:rFonts w:ascii="Palatino Linotype" w:hAnsi="Palatino Linotype" w:cs="TimesNewRoman"/>
          <w:szCs w:val="24"/>
        </w:rPr>
        <w:t>E’s use of avoided curtailment as a measure of renewable integration requires more development.</w:t>
      </w:r>
      <w:r w:rsidR="0020088A">
        <w:rPr>
          <w:rFonts w:ascii="Palatino Linotype" w:hAnsi="Palatino Linotype" w:cs="TimesNewRoman"/>
          <w:szCs w:val="24"/>
        </w:rPr>
        <w:t xml:space="preserve"> </w:t>
      </w:r>
      <w:proofErr w:type="spellStart"/>
      <w:r w:rsidR="0020088A">
        <w:rPr>
          <w:rFonts w:ascii="Palatino Linotype" w:hAnsi="Palatino Linotype" w:cs="TimesNewRoman"/>
          <w:szCs w:val="24"/>
        </w:rPr>
        <w:t>Cal</w:t>
      </w:r>
      <w:r w:rsidR="00BC2E66">
        <w:rPr>
          <w:rFonts w:ascii="Palatino Linotype" w:hAnsi="Palatino Linotype" w:cs="TimesNewRoman"/>
          <w:szCs w:val="24"/>
        </w:rPr>
        <w:t>PA</w:t>
      </w:r>
      <w:proofErr w:type="spellEnd"/>
      <w:r w:rsidR="0020088A">
        <w:rPr>
          <w:rFonts w:ascii="Palatino Linotype" w:hAnsi="Palatino Linotype" w:cs="TimesNewRoman"/>
          <w:szCs w:val="24"/>
        </w:rPr>
        <w:t xml:space="preserve"> protest is granted</w:t>
      </w:r>
      <w:r w:rsidR="00043396">
        <w:rPr>
          <w:rFonts w:ascii="Palatino Linotype" w:hAnsi="Palatino Linotype" w:cs="TimesNewRoman"/>
          <w:szCs w:val="24"/>
        </w:rPr>
        <w:t xml:space="preserve"> in this regard</w:t>
      </w:r>
      <w:r w:rsidR="0020088A">
        <w:rPr>
          <w:rFonts w:ascii="Palatino Linotype" w:hAnsi="Palatino Linotype" w:cs="TimesNewRoman"/>
          <w:szCs w:val="24"/>
        </w:rPr>
        <w:t>.</w:t>
      </w:r>
    </w:p>
    <w:p w:rsidR="00EB3BDD" w:rsidP="00B458F8" w:rsidRDefault="00EB3BDD" w14:paraId="365655F6" w14:textId="292C7F7B">
      <w:pPr>
        <w:autoSpaceDE w:val="0"/>
        <w:autoSpaceDN w:val="0"/>
        <w:adjustRightInd w:val="0"/>
        <w:rPr>
          <w:rFonts w:ascii="Palatino Linotype" w:hAnsi="Palatino Linotype" w:cs="TimesNewRoman"/>
          <w:szCs w:val="24"/>
        </w:rPr>
      </w:pPr>
    </w:p>
    <w:p w:rsidR="00874024" w:rsidP="00ED0CC5" w:rsidRDefault="00ED0CC5" w14:paraId="18C80398" w14:textId="7F8FD792">
      <w:pPr>
        <w:autoSpaceDE w:val="0"/>
        <w:autoSpaceDN w:val="0"/>
        <w:adjustRightInd w:val="0"/>
        <w:rPr>
          <w:rFonts w:ascii="Palatino Linotype" w:hAnsi="Palatino Linotype" w:cs="TimesNewRoman"/>
          <w:szCs w:val="24"/>
        </w:rPr>
      </w:pPr>
      <w:r>
        <w:rPr>
          <w:rFonts w:ascii="Palatino Linotype" w:hAnsi="Palatino Linotype" w:cs="TimesNewRoman"/>
          <w:szCs w:val="24"/>
        </w:rPr>
        <w:t xml:space="preserve">We also </w:t>
      </w:r>
      <w:r w:rsidR="001B3499">
        <w:rPr>
          <w:rFonts w:ascii="Palatino Linotype" w:hAnsi="Palatino Linotype" w:cs="TimesNewRoman"/>
          <w:szCs w:val="24"/>
        </w:rPr>
        <w:t>question</w:t>
      </w:r>
      <w:r>
        <w:rPr>
          <w:rFonts w:ascii="Palatino Linotype" w:hAnsi="Palatino Linotype" w:cs="TimesNewRoman"/>
          <w:szCs w:val="24"/>
        </w:rPr>
        <w:t xml:space="preserve"> several</w:t>
      </w:r>
      <w:r w:rsidR="00EB3BDD">
        <w:rPr>
          <w:rFonts w:ascii="Palatino Linotype" w:hAnsi="Palatino Linotype" w:cs="TimesNewRoman"/>
          <w:szCs w:val="24"/>
        </w:rPr>
        <w:t xml:space="preserve"> other factors used in SDG</w:t>
      </w:r>
      <w:r w:rsidR="00E166B4">
        <w:rPr>
          <w:rFonts w:ascii="Palatino Linotype" w:hAnsi="Palatino Linotype" w:cs="TimesNewRoman"/>
          <w:szCs w:val="24"/>
        </w:rPr>
        <w:t>&amp;</w:t>
      </w:r>
      <w:r w:rsidR="00EB3BDD">
        <w:rPr>
          <w:rFonts w:ascii="Palatino Linotype" w:hAnsi="Palatino Linotype" w:cs="TimesNewRoman"/>
          <w:szCs w:val="24"/>
        </w:rPr>
        <w:t>E’s bid evaluation</w:t>
      </w:r>
      <w:r w:rsidR="00B92646">
        <w:rPr>
          <w:rFonts w:ascii="Palatino Linotype" w:hAnsi="Palatino Linotype" w:cs="TimesNewRoman"/>
          <w:szCs w:val="24"/>
        </w:rPr>
        <w:t>,</w:t>
      </w:r>
      <w:r w:rsidR="00EB3BDD">
        <w:rPr>
          <w:rFonts w:ascii="Palatino Linotype" w:hAnsi="Palatino Linotype" w:cs="TimesNewRoman"/>
          <w:szCs w:val="24"/>
        </w:rPr>
        <w:t xml:space="preserve"> </w:t>
      </w:r>
      <w:r w:rsidRPr="00AA5FAE" w:rsidR="000D29AB">
        <w:rPr>
          <w:rFonts w:ascii="Palatino Linotype" w:hAnsi="Palatino Linotype" w:cs="TimesNewRoman"/>
          <w:szCs w:val="24"/>
          <w:highlight w:val="black"/>
        </w:rPr>
        <w:t>xxxxxxxxxxxxxxxxxxxxxxxxxxxxxxxxxxxxxxxxxxxxxxxxxxxxxxxxxxxxxxxxxxxx</w:t>
      </w:r>
      <w:r w:rsidRPr="00AA5FAE" w:rsidR="00EB3BDD">
        <w:rPr>
          <w:rFonts w:ascii="Palatino Linotype" w:hAnsi="Palatino Linotype" w:cs="TimesNewRoman"/>
          <w:szCs w:val="24"/>
          <w:highlight w:val="black"/>
        </w:rPr>
        <w:t xml:space="preserve"> </w:t>
      </w:r>
      <w:r w:rsidRPr="00AA5FAE" w:rsidR="000D29AB">
        <w:rPr>
          <w:rFonts w:ascii="Palatino Linotype" w:hAnsi="Palatino Linotype" w:cs="TimesNewRoman"/>
          <w:szCs w:val="24"/>
          <w:highlight w:val="black"/>
        </w:rPr>
        <w:t>xxxxxxxxxxxxxxxxxxxxxxxxxxxxxxxxxxxxxxxxxxxxxxxxxxxxxxxxxxxxxxxx</w:t>
      </w:r>
      <w:r w:rsidRPr="00AA5FAE" w:rsidR="00874024">
        <w:rPr>
          <w:rFonts w:ascii="Palatino Linotype" w:hAnsi="Palatino Linotype" w:cs="TimesNewRoman"/>
          <w:szCs w:val="24"/>
          <w:highlight w:val="black"/>
        </w:rPr>
        <w:t>.</w:t>
      </w:r>
      <w:r w:rsidR="00874024">
        <w:rPr>
          <w:rFonts w:ascii="Palatino Linotype" w:hAnsi="Palatino Linotype" w:cs="TimesNewRoman"/>
          <w:szCs w:val="24"/>
        </w:rPr>
        <w:t xml:space="preserve"> </w:t>
      </w:r>
    </w:p>
    <w:p w:rsidR="00AA3645" w:rsidP="00B458F8" w:rsidRDefault="00AA3645" w14:paraId="6F7027D2" w14:textId="3CB4940F">
      <w:pPr>
        <w:autoSpaceDE w:val="0"/>
        <w:autoSpaceDN w:val="0"/>
        <w:adjustRightInd w:val="0"/>
        <w:rPr>
          <w:rFonts w:ascii="Palatino Linotype" w:hAnsi="Palatino Linotype" w:cs="TimesNewRoman"/>
          <w:szCs w:val="24"/>
        </w:rPr>
      </w:pPr>
    </w:p>
    <w:p w:rsidRPr="004448CA" w:rsidR="00B20F97" w:rsidP="00B20F97" w:rsidRDefault="00B20F97" w14:paraId="62484F6A" w14:textId="260C92CC">
      <w:pPr>
        <w:rPr>
          <w:rFonts w:ascii="Palatino Linotype" w:hAnsi="Palatino Linotype"/>
          <w:i/>
          <w:iCs/>
        </w:rPr>
      </w:pPr>
      <w:r>
        <w:rPr>
          <w:rFonts w:ascii="Palatino Linotype" w:hAnsi="Palatino Linotype"/>
          <w:i/>
          <w:iCs/>
        </w:rPr>
        <w:t xml:space="preserve">GHG </w:t>
      </w:r>
      <w:r w:rsidR="009A081F">
        <w:rPr>
          <w:rFonts w:ascii="Palatino Linotype" w:hAnsi="Palatino Linotype"/>
          <w:i/>
          <w:iCs/>
        </w:rPr>
        <w:t xml:space="preserve">Reduction </w:t>
      </w:r>
      <w:r>
        <w:rPr>
          <w:rFonts w:ascii="Palatino Linotype" w:hAnsi="Palatino Linotype"/>
          <w:i/>
          <w:iCs/>
        </w:rPr>
        <w:t>Requirements</w:t>
      </w:r>
    </w:p>
    <w:p w:rsidR="00B20F97" w:rsidP="00B20F97" w:rsidRDefault="00B20F97" w14:paraId="0B1B835B" w14:textId="77777777">
      <w:pPr>
        <w:rPr>
          <w:rFonts w:ascii="Palatino Linotype" w:hAnsi="Palatino Linotype"/>
        </w:rPr>
      </w:pPr>
    </w:p>
    <w:p w:rsidR="00B20F97" w:rsidP="00B20F97" w:rsidRDefault="00E6146D" w14:paraId="236B1F90" w14:textId="1B58619A">
      <w:pPr>
        <w:rPr>
          <w:rFonts w:ascii="Palatino Linotype" w:hAnsi="Palatino Linotype" w:cs="TimesNewRoman"/>
          <w:szCs w:val="24"/>
        </w:rPr>
      </w:pPr>
      <w:proofErr w:type="spellStart"/>
      <w:r>
        <w:rPr>
          <w:rFonts w:ascii="Palatino Linotype" w:hAnsi="Palatino Linotype"/>
        </w:rPr>
        <w:t>Cal</w:t>
      </w:r>
      <w:r w:rsidR="00BC2E66">
        <w:rPr>
          <w:rFonts w:ascii="Palatino Linotype" w:hAnsi="Palatino Linotype"/>
        </w:rPr>
        <w:t>PA</w:t>
      </w:r>
      <w:proofErr w:type="spellEnd"/>
      <w:r w:rsidR="0036756D">
        <w:rPr>
          <w:rFonts w:ascii="Palatino Linotype" w:hAnsi="Palatino Linotype"/>
        </w:rPr>
        <w:t xml:space="preserve"> </w:t>
      </w:r>
      <w:r w:rsidR="00AC43B5">
        <w:rPr>
          <w:rFonts w:ascii="Palatino Linotype" w:hAnsi="Palatino Linotype" w:cs="TimesNewRoman"/>
          <w:szCs w:val="24"/>
        </w:rPr>
        <w:t>requests that S</w:t>
      </w:r>
      <w:r w:rsidR="00F25CB5">
        <w:rPr>
          <w:rFonts w:ascii="Palatino Linotype" w:hAnsi="Palatino Linotype" w:cs="TimesNewRoman"/>
          <w:szCs w:val="24"/>
        </w:rPr>
        <w:t>DG&amp;E</w:t>
      </w:r>
      <w:r w:rsidR="00AC43B5">
        <w:rPr>
          <w:rFonts w:ascii="Palatino Linotype" w:hAnsi="Palatino Linotype" w:cs="TimesNewRoman"/>
          <w:szCs w:val="24"/>
        </w:rPr>
        <w:t xml:space="preserve"> </w:t>
      </w:r>
      <w:r w:rsidR="009A081F">
        <w:rPr>
          <w:rFonts w:ascii="Palatino Linotype" w:hAnsi="Palatino Linotype" w:cs="TimesNewRoman"/>
          <w:szCs w:val="24"/>
        </w:rPr>
        <w:t>b</w:t>
      </w:r>
      <w:r w:rsidR="00AC43B5">
        <w:rPr>
          <w:rFonts w:ascii="Palatino Linotype" w:hAnsi="Palatino Linotype" w:cs="TimesNewRoman"/>
          <w:szCs w:val="24"/>
        </w:rPr>
        <w:t xml:space="preserve">e </w:t>
      </w:r>
      <w:r w:rsidR="001D04E2">
        <w:rPr>
          <w:rFonts w:ascii="Palatino Linotype" w:hAnsi="Palatino Linotype" w:cs="TimesNewRoman"/>
          <w:szCs w:val="24"/>
        </w:rPr>
        <w:t>compelled</w:t>
      </w:r>
      <w:r w:rsidR="00AC43B5">
        <w:rPr>
          <w:rFonts w:ascii="Palatino Linotype" w:hAnsi="Palatino Linotype" w:cs="TimesNewRoman"/>
          <w:szCs w:val="24"/>
        </w:rPr>
        <w:t xml:space="preserve"> to demonstrate that its procured resources will lead to a reduction in GHG emissions. </w:t>
      </w:r>
      <w:r w:rsidR="0092788A">
        <w:rPr>
          <w:rFonts w:ascii="Palatino Linotype" w:hAnsi="Palatino Linotype" w:cs="TimesNewRoman"/>
          <w:szCs w:val="24"/>
        </w:rPr>
        <w:t xml:space="preserve">Energy Storage resources do not contribute directly to </w:t>
      </w:r>
      <w:r w:rsidR="000C08BD">
        <w:rPr>
          <w:rFonts w:ascii="Palatino Linotype" w:hAnsi="Palatino Linotype" w:cs="TimesNewRoman"/>
          <w:szCs w:val="24"/>
        </w:rPr>
        <w:t xml:space="preserve">GHG, </w:t>
      </w:r>
      <w:r w:rsidR="0092788A">
        <w:rPr>
          <w:rFonts w:ascii="Palatino Linotype" w:hAnsi="Palatino Linotype" w:cs="TimesNewRoman"/>
          <w:szCs w:val="24"/>
        </w:rPr>
        <w:t>criteria pollutants</w:t>
      </w:r>
      <w:r w:rsidR="000C08BD">
        <w:rPr>
          <w:rFonts w:ascii="Palatino Linotype" w:hAnsi="Palatino Linotype" w:cs="TimesNewRoman"/>
          <w:szCs w:val="24"/>
        </w:rPr>
        <w:t>,</w:t>
      </w:r>
      <w:r w:rsidR="0092788A">
        <w:rPr>
          <w:rFonts w:ascii="Palatino Linotype" w:hAnsi="Palatino Linotype" w:cs="TimesNewRoman"/>
          <w:szCs w:val="24"/>
        </w:rPr>
        <w:t xml:space="preserve"> or local air pollution. The actual change in emissions due to energy storage charging is a complex issue that will not be controllable by or visible to the individual </w:t>
      </w:r>
      <w:r w:rsidR="000C08BD">
        <w:rPr>
          <w:rFonts w:ascii="Palatino Linotype" w:hAnsi="Palatino Linotype" w:cs="TimesNewRoman"/>
          <w:szCs w:val="24"/>
        </w:rPr>
        <w:t xml:space="preserve">energy storage </w:t>
      </w:r>
      <w:r w:rsidR="0092788A">
        <w:rPr>
          <w:rFonts w:ascii="Palatino Linotype" w:hAnsi="Palatino Linotype" w:cs="TimesNewRoman"/>
          <w:szCs w:val="24"/>
        </w:rPr>
        <w:t>resource</w:t>
      </w:r>
      <w:r w:rsidR="000E0413">
        <w:rPr>
          <w:rFonts w:ascii="Palatino Linotype" w:hAnsi="Palatino Linotype" w:cs="TimesNewRoman"/>
          <w:szCs w:val="24"/>
        </w:rPr>
        <w:t xml:space="preserve">.  </w:t>
      </w:r>
      <w:r w:rsidR="000C08BD">
        <w:rPr>
          <w:rFonts w:ascii="Palatino Linotype" w:hAnsi="Palatino Linotype" w:cs="TimesNewRoman"/>
          <w:szCs w:val="24"/>
        </w:rPr>
        <w:t>Energy storage</w:t>
      </w:r>
      <w:r w:rsidR="0092788A">
        <w:rPr>
          <w:rFonts w:ascii="Palatino Linotype" w:hAnsi="Palatino Linotype" w:cs="TimesNewRoman"/>
          <w:szCs w:val="24"/>
        </w:rPr>
        <w:t xml:space="preserve"> resources can store inexpensive power, often generated by zero marginal cost renewable generation, and release it at later times when prices are higher. Those higher prices are often set by gas fired generation. The State and the </w:t>
      </w:r>
      <w:r w:rsidR="00BE3D91">
        <w:rPr>
          <w:rFonts w:ascii="Palatino Linotype" w:hAnsi="Palatino Linotype" w:cs="TimesNewRoman"/>
          <w:szCs w:val="24"/>
        </w:rPr>
        <w:t>Commission</w:t>
      </w:r>
      <w:r w:rsidR="0092788A">
        <w:rPr>
          <w:rFonts w:ascii="Palatino Linotype" w:hAnsi="Palatino Linotype" w:cs="TimesNewRoman"/>
          <w:szCs w:val="24"/>
        </w:rPr>
        <w:t xml:space="preserve"> have implemented many policies to increase the functionality and </w:t>
      </w:r>
      <w:r w:rsidR="00793FB0">
        <w:rPr>
          <w:rFonts w:ascii="Palatino Linotype" w:hAnsi="Palatino Linotype" w:cs="TimesNewRoman"/>
          <w:szCs w:val="24"/>
        </w:rPr>
        <w:t xml:space="preserve">development </w:t>
      </w:r>
      <w:r w:rsidR="0092788A">
        <w:rPr>
          <w:rFonts w:ascii="Palatino Linotype" w:hAnsi="Palatino Linotype" w:cs="TimesNewRoman"/>
          <w:szCs w:val="24"/>
        </w:rPr>
        <w:t xml:space="preserve">of the storage fleet in order to facilitate this movement of clean energy to displace polluting </w:t>
      </w:r>
      <w:r w:rsidR="00793FB0">
        <w:rPr>
          <w:rFonts w:ascii="Palatino Linotype" w:hAnsi="Palatino Linotype" w:cs="TimesNewRoman"/>
          <w:szCs w:val="24"/>
        </w:rPr>
        <w:t>generating resources</w:t>
      </w:r>
      <w:r w:rsidR="0092788A">
        <w:rPr>
          <w:rFonts w:ascii="Palatino Linotype" w:hAnsi="Palatino Linotype" w:cs="TimesNewRoman"/>
          <w:szCs w:val="24"/>
        </w:rPr>
        <w:t>. S</w:t>
      </w:r>
      <w:r w:rsidR="00F25CB5">
        <w:rPr>
          <w:rFonts w:ascii="Palatino Linotype" w:hAnsi="Palatino Linotype" w:cs="TimesNewRoman"/>
          <w:szCs w:val="24"/>
        </w:rPr>
        <w:t>DG&amp;</w:t>
      </w:r>
      <w:r w:rsidR="0092788A">
        <w:rPr>
          <w:rFonts w:ascii="Palatino Linotype" w:hAnsi="Palatino Linotype" w:cs="TimesNewRoman"/>
          <w:szCs w:val="24"/>
        </w:rPr>
        <w:t>E’s decision to choose contracts that follow this path is prudent</w:t>
      </w:r>
      <w:r w:rsidR="00ED0CC5">
        <w:rPr>
          <w:rFonts w:ascii="Palatino Linotype" w:hAnsi="Palatino Linotype" w:cs="TimesNewRoman"/>
          <w:szCs w:val="24"/>
        </w:rPr>
        <w:t>,</w:t>
      </w:r>
      <w:r w:rsidR="000C08BD">
        <w:rPr>
          <w:rFonts w:ascii="Palatino Linotype" w:hAnsi="Palatino Linotype" w:cs="TimesNewRoman"/>
          <w:szCs w:val="24"/>
        </w:rPr>
        <w:t xml:space="preserve"> and we </w:t>
      </w:r>
      <w:r w:rsidR="00793FB0">
        <w:rPr>
          <w:rFonts w:ascii="Palatino Linotype" w:hAnsi="Palatino Linotype" w:cs="TimesNewRoman"/>
          <w:szCs w:val="24"/>
        </w:rPr>
        <w:t xml:space="preserve">do not grant </w:t>
      </w:r>
      <w:proofErr w:type="spellStart"/>
      <w:r>
        <w:rPr>
          <w:rFonts w:ascii="Palatino Linotype" w:hAnsi="Palatino Linotype" w:cs="TimesNewRoman"/>
          <w:szCs w:val="24"/>
        </w:rPr>
        <w:t>Cal</w:t>
      </w:r>
      <w:r w:rsidR="00ED0CC5">
        <w:rPr>
          <w:rFonts w:ascii="Palatino Linotype" w:hAnsi="Palatino Linotype" w:cs="TimesNewRoman"/>
          <w:szCs w:val="24"/>
        </w:rPr>
        <w:t>PA’s</w:t>
      </w:r>
      <w:proofErr w:type="spellEnd"/>
      <w:r w:rsidR="00ED0CC5">
        <w:rPr>
          <w:rFonts w:ascii="Palatino Linotype" w:hAnsi="Palatino Linotype" w:cs="TimesNewRoman"/>
          <w:szCs w:val="24"/>
        </w:rPr>
        <w:t xml:space="preserve"> </w:t>
      </w:r>
      <w:r w:rsidR="00793FB0">
        <w:rPr>
          <w:rFonts w:ascii="Palatino Linotype" w:hAnsi="Palatino Linotype" w:cs="TimesNewRoman"/>
          <w:szCs w:val="24"/>
        </w:rPr>
        <w:t xml:space="preserve">request </w:t>
      </w:r>
      <w:r w:rsidR="000C08BD">
        <w:rPr>
          <w:rFonts w:ascii="Palatino Linotype" w:hAnsi="Palatino Linotype" w:cs="TimesNewRoman"/>
          <w:szCs w:val="24"/>
        </w:rPr>
        <w:t xml:space="preserve">on this </w:t>
      </w:r>
      <w:r w:rsidR="00793FB0">
        <w:rPr>
          <w:rFonts w:ascii="Palatino Linotype" w:hAnsi="Palatino Linotype" w:cs="TimesNewRoman"/>
          <w:szCs w:val="24"/>
        </w:rPr>
        <w:t>subject</w:t>
      </w:r>
      <w:r w:rsidR="000C08BD">
        <w:rPr>
          <w:rFonts w:ascii="Palatino Linotype" w:hAnsi="Palatino Linotype" w:cs="TimesNewRoman"/>
          <w:szCs w:val="24"/>
        </w:rPr>
        <w:t>.</w:t>
      </w:r>
    </w:p>
    <w:p w:rsidR="00E25D8B" w:rsidP="00B20F97" w:rsidRDefault="00E25D8B" w14:paraId="28A51FB2" w14:textId="77777777">
      <w:pPr>
        <w:rPr>
          <w:rFonts w:ascii="Palatino Linotype" w:hAnsi="Palatino Linotype"/>
        </w:rPr>
      </w:pPr>
    </w:p>
    <w:p w:rsidRPr="007C3CCD" w:rsidR="0092788A" w:rsidP="0068753E" w:rsidRDefault="0020088A" w14:paraId="4C72CE53" w14:textId="230FB563">
      <w:pPr>
        <w:pStyle w:val="Res-Caption"/>
        <w:ind w:left="0" w:right="0"/>
        <w:rPr>
          <w:rFonts w:ascii="Palatino Linotype" w:hAnsi="Palatino Linotype" w:cs="Arial"/>
          <w:i/>
          <w:iCs/>
          <w:szCs w:val="22"/>
        </w:rPr>
      </w:pPr>
      <w:r w:rsidRPr="007C3CCD">
        <w:rPr>
          <w:rFonts w:ascii="Palatino Linotype" w:hAnsi="Palatino Linotype" w:cs="Arial"/>
          <w:i/>
          <w:iCs/>
          <w:szCs w:val="22"/>
        </w:rPr>
        <w:lastRenderedPageBreak/>
        <w:t>Pursuit of shorter</w:t>
      </w:r>
      <w:r w:rsidR="000E0413">
        <w:rPr>
          <w:rFonts w:ascii="Palatino Linotype" w:hAnsi="Palatino Linotype" w:cs="Arial"/>
          <w:i/>
          <w:iCs/>
          <w:szCs w:val="22"/>
        </w:rPr>
        <w:t>-</w:t>
      </w:r>
      <w:r w:rsidRPr="007C3CCD">
        <w:rPr>
          <w:rFonts w:ascii="Palatino Linotype" w:hAnsi="Palatino Linotype" w:cs="Arial"/>
          <w:i/>
          <w:iCs/>
          <w:szCs w:val="22"/>
        </w:rPr>
        <w:t>term contracts</w:t>
      </w:r>
    </w:p>
    <w:p w:rsidR="0020088A" w:rsidP="0068753E" w:rsidRDefault="0020088A" w14:paraId="41CC5560" w14:textId="56F40BBB">
      <w:pPr>
        <w:pStyle w:val="Res-Caption"/>
        <w:ind w:left="0" w:right="0"/>
        <w:rPr>
          <w:rFonts w:ascii="Palatino Linotype" w:hAnsi="Palatino Linotype" w:cs="Arial"/>
          <w:szCs w:val="22"/>
        </w:rPr>
      </w:pPr>
    </w:p>
    <w:p w:rsidR="0020088A" w:rsidP="002A0030" w:rsidRDefault="0020088A" w14:paraId="6B72E630" w14:textId="50FB6BD1">
      <w:pPr>
        <w:pStyle w:val="Res-Caption"/>
        <w:ind w:left="0"/>
        <w:rPr>
          <w:rFonts w:ascii="Palatino Linotype" w:hAnsi="Palatino Linotype" w:cs="Arial"/>
          <w:szCs w:val="22"/>
        </w:rPr>
      </w:pPr>
      <w:r>
        <w:rPr>
          <w:rFonts w:ascii="Palatino Linotype" w:hAnsi="Palatino Linotype" w:cs="Arial"/>
          <w:szCs w:val="22"/>
        </w:rPr>
        <w:t xml:space="preserve">SDCP and CEA </w:t>
      </w:r>
      <w:r w:rsidR="00E166B4">
        <w:rPr>
          <w:rFonts w:ascii="Palatino Linotype" w:hAnsi="Palatino Linotype" w:cs="Arial"/>
          <w:szCs w:val="22"/>
        </w:rPr>
        <w:t>request</w:t>
      </w:r>
      <w:r>
        <w:rPr>
          <w:rFonts w:ascii="Palatino Linotype" w:hAnsi="Palatino Linotype" w:cs="Arial"/>
          <w:szCs w:val="22"/>
        </w:rPr>
        <w:t xml:space="preserve"> that SDG</w:t>
      </w:r>
      <w:r w:rsidR="00E166B4">
        <w:rPr>
          <w:rFonts w:ascii="Palatino Linotype" w:hAnsi="Palatino Linotype" w:cs="Arial"/>
          <w:szCs w:val="22"/>
        </w:rPr>
        <w:t>&amp;</w:t>
      </w:r>
      <w:r>
        <w:rPr>
          <w:rFonts w:ascii="Palatino Linotype" w:hAnsi="Palatino Linotype" w:cs="Arial"/>
          <w:szCs w:val="22"/>
        </w:rPr>
        <w:t xml:space="preserve">E be </w:t>
      </w:r>
      <w:r w:rsidR="00E166B4">
        <w:rPr>
          <w:rFonts w:ascii="Palatino Linotype" w:hAnsi="Palatino Linotype" w:cs="Arial"/>
          <w:szCs w:val="22"/>
        </w:rPr>
        <w:t>required</w:t>
      </w:r>
      <w:r>
        <w:rPr>
          <w:rFonts w:ascii="Palatino Linotype" w:hAnsi="Palatino Linotype" w:cs="Arial"/>
          <w:szCs w:val="22"/>
        </w:rPr>
        <w:t xml:space="preserve"> to sign shorter term contracts</w:t>
      </w:r>
      <w:r w:rsidR="00F25CB5">
        <w:rPr>
          <w:rFonts w:ascii="Palatino Linotype" w:hAnsi="Palatino Linotype" w:cs="Arial"/>
          <w:szCs w:val="22"/>
        </w:rPr>
        <w:t xml:space="preserve">. </w:t>
      </w:r>
      <w:r w:rsidR="00607296">
        <w:rPr>
          <w:rFonts w:ascii="Palatino Linotype" w:hAnsi="Palatino Linotype" w:cs="Arial"/>
          <w:szCs w:val="22"/>
        </w:rPr>
        <w:t xml:space="preserve">We agree with SDG&amp;E that </w:t>
      </w:r>
      <w:r w:rsidR="000E0413">
        <w:rPr>
          <w:rFonts w:ascii="Palatino Linotype" w:hAnsi="Palatino Linotype" w:cs="Arial"/>
          <w:szCs w:val="22"/>
        </w:rPr>
        <w:t xml:space="preserve">shorter contract lengths </w:t>
      </w:r>
      <w:r w:rsidR="002A0030">
        <w:rPr>
          <w:rFonts w:ascii="Palatino Linotype" w:hAnsi="Palatino Linotype" w:cs="Arial"/>
          <w:szCs w:val="22"/>
        </w:rPr>
        <w:t>“</w:t>
      </w:r>
      <w:r w:rsidRPr="002A0030" w:rsidR="002A0030">
        <w:rPr>
          <w:rFonts w:ascii="Palatino Linotype" w:hAnsi="Palatino Linotype" w:cs="Arial"/>
          <w:szCs w:val="22"/>
        </w:rPr>
        <w:t>do not support development of the type of resources needed by the</w:t>
      </w:r>
      <w:r w:rsidR="002A0030">
        <w:rPr>
          <w:rFonts w:ascii="Palatino Linotype" w:hAnsi="Palatino Linotype" w:cs="Arial"/>
          <w:szCs w:val="22"/>
        </w:rPr>
        <w:t xml:space="preserve"> </w:t>
      </w:r>
      <w:r w:rsidRPr="002A0030" w:rsidR="002A0030">
        <w:rPr>
          <w:rFonts w:ascii="Palatino Linotype" w:hAnsi="Palatino Linotype" w:cs="Arial"/>
          <w:szCs w:val="22"/>
        </w:rPr>
        <w:t>State to meet its GHG mitigation targets.</w:t>
      </w:r>
      <w:r w:rsidR="002A0030">
        <w:rPr>
          <w:rFonts w:ascii="Palatino Linotype" w:hAnsi="Palatino Linotype" w:cs="Arial"/>
          <w:szCs w:val="22"/>
        </w:rPr>
        <w:t>”</w:t>
      </w:r>
      <w:r w:rsidR="002A0030">
        <w:rPr>
          <w:rStyle w:val="FootnoteReference"/>
          <w:rFonts w:ascii="Palatino Linotype" w:hAnsi="Palatino Linotype" w:cs="Arial"/>
          <w:szCs w:val="22"/>
        </w:rPr>
        <w:footnoteReference w:id="4"/>
      </w:r>
      <w:r w:rsidR="002A0030">
        <w:rPr>
          <w:rFonts w:ascii="Palatino Linotype" w:hAnsi="Palatino Linotype" w:cs="Arial"/>
          <w:szCs w:val="22"/>
        </w:rPr>
        <w:t xml:space="preserve"> Additionally</w:t>
      </w:r>
      <w:r w:rsidR="00E166B4">
        <w:rPr>
          <w:rFonts w:ascii="Palatino Linotype" w:hAnsi="Palatino Linotype" w:cs="Arial"/>
          <w:szCs w:val="22"/>
        </w:rPr>
        <w:t>,</w:t>
      </w:r>
      <w:r w:rsidR="002A0030">
        <w:rPr>
          <w:rFonts w:ascii="Palatino Linotype" w:hAnsi="Palatino Linotype" w:cs="Arial"/>
          <w:szCs w:val="22"/>
        </w:rPr>
        <w:t xml:space="preserve"> we agree with SDG</w:t>
      </w:r>
      <w:r w:rsidR="000E0413">
        <w:rPr>
          <w:rFonts w:ascii="Palatino Linotype" w:hAnsi="Palatino Linotype" w:cs="Arial"/>
          <w:szCs w:val="22"/>
        </w:rPr>
        <w:t>&amp;</w:t>
      </w:r>
      <w:r w:rsidR="002A0030">
        <w:rPr>
          <w:rFonts w:ascii="Palatino Linotype" w:hAnsi="Palatino Linotype" w:cs="Arial"/>
          <w:szCs w:val="22"/>
        </w:rPr>
        <w:t xml:space="preserve">E’s assertion that is unlikely that shorter term contracts would provide better value for ratepayers in the long run. SDCP and CEA’s request is not granted. </w:t>
      </w:r>
    </w:p>
    <w:p w:rsidR="00380BA0" w:rsidP="002A0030" w:rsidRDefault="00380BA0" w14:paraId="53EB4A48" w14:textId="75BB4DAB">
      <w:pPr>
        <w:pStyle w:val="Res-Caption"/>
        <w:ind w:left="0"/>
        <w:rPr>
          <w:rFonts w:ascii="Palatino Linotype" w:hAnsi="Palatino Linotype" w:cs="Arial"/>
          <w:szCs w:val="22"/>
        </w:rPr>
      </w:pPr>
    </w:p>
    <w:p w:rsidRPr="007A1A2A" w:rsidR="00380BA0" w:rsidP="002A0030" w:rsidRDefault="006F5D89" w14:paraId="2D9FA251" w14:textId="2174B24D">
      <w:pPr>
        <w:pStyle w:val="Res-Caption"/>
        <w:ind w:left="0"/>
        <w:rPr>
          <w:rFonts w:ascii="Palatino Linotype" w:hAnsi="Palatino Linotype" w:cs="Arial"/>
          <w:i/>
          <w:iCs/>
          <w:szCs w:val="22"/>
        </w:rPr>
      </w:pPr>
      <w:r>
        <w:rPr>
          <w:rFonts w:ascii="Palatino Linotype" w:hAnsi="Palatino Linotype" w:cs="Arial"/>
          <w:i/>
          <w:iCs/>
          <w:szCs w:val="22"/>
        </w:rPr>
        <w:t>Contract Details for</w:t>
      </w:r>
      <w:r w:rsidRPr="007A1A2A" w:rsidR="00380BA0">
        <w:rPr>
          <w:rFonts w:ascii="Palatino Linotype" w:hAnsi="Palatino Linotype" w:cs="Arial"/>
          <w:i/>
          <w:iCs/>
          <w:szCs w:val="22"/>
        </w:rPr>
        <w:t xml:space="preserve"> Utility Owned Projects</w:t>
      </w:r>
    </w:p>
    <w:p w:rsidR="00380BA0" w:rsidP="002A0030" w:rsidRDefault="00380BA0" w14:paraId="127BBED3" w14:textId="30546970">
      <w:pPr>
        <w:pStyle w:val="Res-Caption"/>
        <w:ind w:left="0"/>
        <w:rPr>
          <w:rFonts w:ascii="Palatino Linotype" w:hAnsi="Palatino Linotype" w:cs="Arial"/>
          <w:szCs w:val="22"/>
        </w:rPr>
      </w:pPr>
    </w:p>
    <w:p w:rsidR="00380BA0" w:rsidP="002A0030" w:rsidRDefault="000D29AB" w14:paraId="315DBDC9" w14:textId="1959731D">
      <w:pPr>
        <w:pStyle w:val="Res-Caption"/>
        <w:ind w:left="0"/>
        <w:rPr>
          <w:rFonts w:ascii="Palatino Linotype" w:hAnsi="Palatino Linotype" w:cs="Arial"/>
          <w:szCs w:val="22"/>
        </w:rPr>
      </w:pPr>
      <w:proofErr w:type="spellStart"/>
      <w:r w:rsidRPr="00AA5FAE">
        <w:rPr>
          <w:rFonts w:ascii="Palatino Linotype" w:hAnsi="Palatino Linotype" w:cs="Arial"/>
          <w:szCs w:val="22"/>
          <w:highlight w:val="black"/>
        </w:rPr>
        <w:t>xxxxxxxxxxxxxxxxxxxxxxxxxxxxxxxxxxxxxxxxxxxxxxxxxxxxxxxxxxxxx</w:t>
      </w:r>
      <w:proofErr w:type="spellEnd"/>
      <w:r w:rsidRPr="00AA5FAE" w:rsidR="00380BA0">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xxxxxxxxxxxxxxxxxxxxxxxxxxxxxxxxxxxxxxxxxxxxxxxxxxxxxxx</w:t>
      </w:r>
      <w:proofErr w:type="spellEnd"/>
      <w:r w:rsidRPr="00AA5FAE" w:rsidR="00380BA0">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xxxxxxxxxxxxxxxxxxxxxxxxxxxxxxxxxxxxxxxxxxxxxxxxxxxxxxxxxx</w:t>
      </w:r>
      <w:proofErr w:type="spellEnd"/>
      <w:r w:rsidRPr="00AA5FAE" w:rsidR="00B62AB0">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xxxxxxxxxxxxxxxxxxxxxxxxxxxxxxxxxxxxxxxxxxxxxxxxxxxxxxxxxxxxxx</w:t>
      </w:r>
      <w:proofErr w:type="spellEnd"/>
      <w:r w:rsidRPr="00AA5FAE" w:rsidR="00B62AB0">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xxxxxxxxxxxxxxxxxxxxxxxxxxxxxxxxxxxxxxxxxxxxxxxxxxxxxxxxxxxxxxx</w:t>
      </w:r>
      <w:proofErr w:type="spellEnd"/>
      <w:r w:rsidRPr="00AA5FAE" w:rsidR="00774234">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xxxxxxxxxxxxxxxxxxxxxxxxxxxxxxxxxxxxxxxxxxxxxxxxxxxxxxxxxxxxxx</w:t>
      </w:r>
      <w:proofErr w:type="spellEnd"/>
      <w:r w:rsidRPr="00AA5FAE" w:rsidR="00774234">
        <w:rPr>
          <w:rFonts w:ascii="Palatino Linotype" w:hAnsi="Palatino Linotype" w:cs="Arial"/>
          <w:szCs w:val="22"/>
          <w:highlight w:val="black"/>
        </w:rPr>
        <w:t xml:space="preserve"> </w:t>
      </w:r>
      <w:proofErr w:type="spellStart"/>
      <w:r w:rsidRPr="00AA5FAE">
        <w:rPr>
          <w:rFonts w:ascii="Palatino Linotype" w:hAnsi="Palatino Linotype" w:cs="Arial"/>
          <w:szCs w:val="22"/>
          <w:highlight w:val="black"/>
        </w:rPr>
        <w:t>xxxxxxxxx</w:t>
      </w:r>
      <w:proofErr w:type="spellEnd"/>
      <w:r w:rsidRPr="00AA5FAE" w:rsidR="00774234">
        <w:rPr>
          <w:rFonts w:ascii="Palatino Linotype" w:hAnsi="Palatino Linotype" w:cs="Arial"/>
          <w:szCs w:val="22"/>
          <w:highlight w:val="black"/>
        </w:rPr>
        <w:t>.</w:t>
      </w:r>
      <w:r w:rsidR="00774234">
        <w:rPr>
          <w:rFonts w:ascii="Palatino Linotype" w:hAnsi="Palatino Linotype" w:cs="Arial"/>
          <w:szCs w:val="22"/>
        </w:rPr>
        <w:t xml:space="preserve"> </w:t>
      </w:r>
    </w:p>
    <w:p w:rsidR="00B8394D" w:rsidP="0068753E" w:rsidRDefault="00B8394D" w14:paraId="1CDD19CD" w14:textId="35EBB871">
      <w:pPr>
        <w:pStyle w:val="Res-Caption"/>
        <w:ind w:left="0" w:right="0"/>
        <w:rPr>
          <w:rFonts w:ascii="Palatino Linotype" w:hAnsi="Palatino Linotype" w:cs="Arial"/>
          <w:szCs w:val="22"/>
        </w:rPr>
      </w:pPr>
    </w:p>
    <w:p w:rsidRPr="0068753E" w:rsidR="004D6345" w:rsidP="0068753E" w:rsidRDefault="00A02A1A" w14:paraId="05DB34AF" w14:textId="63E0ED42">
      <w:pPr>
        <w:autoSpaceDE w:val="0"/>
        <w:autoSpaceDN w:val="0"/>
        <w:adjustRightInd w:val="0"/>
        <w:rPr>
          <w:rFonts w:ascii="Palatino Linotype" w:hAnsi="Palatino Linotype" w:cs="TimesNewRoman"/>
          <w:i/>
          <w:iCs/>
          <w:szCs w:val="24"/>
        </w:rPr>
      </w:pPr>
      <w:r>
        <w:rPr>
          <w:rFonts w:ascii="Palatino Linotype" w:hAnsi="Palatino Linotype" w:cs="TimesNewRoman"/>
          <w:i/>
          <w:iCs/>
          <w:szCs w:val="24"/>
        </w:rPr>
        <w:t>Other responses to</w:t>
      </w:r>
      <w:r w:rsidRPr="0068753E" w:rsidR="004D6345">
        <w:rPr>
          <w:rFonts w:ascii="Palatino Linotype" w:hAnsi="Palatino Linotype" w:cs="TimesNewRoman"/>
          <w:i/>
          <w:iCs/>
          <w:szCs w:val="24"/>
        </w:rPr>
        <w:t xml:space="preserve"> </w:t>
      </w:r>
      <w:r w:rsidR="004E3AC0">
        <w:rPr>
          <w:rFonts w:ascii="Palatino Linotype" w:hAnsi="Palatino Linotype" w:cs="TimesNewRoman"/>
          <w:i/>
          <w:iCs/>
          <w:szCs w:val="24"/>
        </w:rPr>
        <w:t>A</w:t>
      </w:r>
      <w:r w:rsidRPr="0068753E" w:rsidR="004D6345">
        <w:rPr>
          <w:rFonts w:ascii="Palatino Linotype" w:hAnsi="Palatino Linotype" w:cs="TimesNewRoman"/>
          <w:i/>
          <w:iCs/>
          <w:szCs w:val="24"/>
        </w:rPr>
        <w:t xml:space="preserve">dvice </w:t>
      </w:r>
      <w:r w:rsidR="004E3AC0">
        <w:rPr>
          <w:rFonts w:ascii="Palatino Linotype" w:hAnsi="Palatino Linotype" w:cs="TimesNewRoman"/>
          <w:i/>
          <w:iCs/>
          <w:szCs w:val="24"/>
        </w:rPr>
        <w:t>L</w:t>
      </w:r>
      <w:r w:rsidRPr="0068753E" w:rsidR="004D6345">
        <w:rPr>
          <w:rFonts w:ascii="Palatino Linotype" w:hAnsi="Palatino Linotype" w:cs="TimesNewRoman"/>
          <w:i/>
          <w:iCs/>
          <w:szCs w:val="24"/>
        </w:rPr>
        <w:t>etter</w:t>
      </w:r>
    </w:p>
    <w:p w:rsidR="00D04F92" w:rsidP="0068753E" w:rsidRDefault="00D04F92" w14:paraId="503E4E38" w14:textId="77777777">
      <w:pPr>
        <w:autoSpaceDE w:val="0"/>
        <w:autoSpaceDN w:val="0"/>
        <w:adjustRightInd w:val="0"/>
        <w:rPr>
          <w:rFonts w:ascii="Palatino Linotype" w:hAnsi="Palatino Linotype" w:cs="TimesNewRoman"/>
          <w:szCs w:val="24"/>
        </w:rPr>
      </w:pPr>
    </w:p>
    <w:p w:rsidR="009A081F" w:rsidP="0068753E" w:rsidRDefault="00387A47" w14:paraId="006DC95E" w14:textId="77777777">
      <w:pPr>
        <w:autoSpaceDE w:val="0"/>
        <w:autoSpaceDN w:val="0"/>
        <w:adjustRightInd w:val="0"/>
        <w:rPr>
          <w:rFonts w:ascii="Palatino Linotype" w:hAnsi="Palatino Linotype" w:cs="TimesNewRoman"/>
          <w:szCs w:val="24"/>
        </w:rPr>
      </w:pPr>
      <w:r>
        <w:rPr>
          <w:rFonts w:ascii="Palatino Linotype" w:hAnsi="Palatino Linotype" w:cs="TimesNewRoman"/>
          <w:szCs w:val="24"/>
        </w:rPr>
        <w:t>The Commis</w:t>
      </w:r>
      <w:r w:rsidR="00F23CE3">
        <w:rPr>
          <w:rFonts w:ascii="Palatino Linotype" w:hAnsi="Palatino Linotype" w:cs="TimesNewRoman"/>
          <w:szCs w:val="24"/>
        </w:rPr>
        <w:t>s</w:t>
      </w:r>
      <w:r>
        <w:rPr>
          <w:rFonts w:ascii="Palatino Linotype" w:hAnsi="Palatino Linotype" w:cs="TimesNewRoman"/>
          <w:szCs w:val="24"/>
        </w:rPr>
        <w:t>ion has received multiple responses from parties in support of the Advice Letter</w:t>
      </w:r>
      <w:r w:rsidR="00A02A1A">
        <w:rPr>
          <w:rFonts w:ascii="Palatino Linotype" w:hAnsi="Palatino Linotype" w:cs="TimesNewRoman"/>
          <w:szCs w:val="24"/>
        </w:rPr>
        <w:t xml:space="preserve"> and some with additional comments on the Advice Letter</w:t>
      </w:r>
      <w:r>
        <w:rPr>
          <w:rFonts w:ascii="Palatino Linotype" w:hAnsi="Palatino Linotype" w:cs="TimesNewRoman"/>
          <w:szCs w:val="24"/>
        </w:rPr>
        <w:t xml:space="preserve">. </w:t>
      </w:r>
    </w:p>
    <w:p w:rsidR="009A081F" w:rsidP="0068753E" w:rsidRDefault="009A081F" w14:paraId="4A084DE2" w14:textId="77777777">
      <w:pPr>
        <w:autoSpaceDE w:val="0"/>
        <w:autoSpaceDN w:val="0"/>
        <w:adjustRightInd w:val="0"/>
        <w:rPr>
          <w:rFonts w:ascii="Palatino Linotype" w:hAnsi="Palatino Linotype" w:cs="TimesNewRoman"/>
          <w:szCs w:val="24"/>
        </w:rPr>
      </w:pPr>
    </w:p>
    <w:p w:rsidR="004D6345" w:rsidP="0068753E" w:rsidRDefault="0020088A" w14:paraId="4580D206" w14:textId="0EE36A9F">
      <w:pPr>
        <w:autoSpaceDE w:val="0"/>
        <w:autoSpaceDN w:val="0"/>
        <w:adjustRightInd w:val="0"/>
        <w:rPr>
          <w:rFonts w:ascii="Palatino Linotype" w:hAnsi="Palatino Linotype" w:cs="TimesNewRoman"/>
          <w:szCs w:val="24"/>
        </w:rPr>
      </w:pPr>
      <w:proofErr w:type="spellStart"/>
      <w:r>
        <w:rPr>
          <w:rFonts w:ascii="Palatino Linotype" w:hAnsi="Palatino Linotype" w:cs="TimesNewRoman"/>
          <w:szCs w:val="24"/>
        </w:rPr>
        <w:t>AReM</w:t>
      </w:r>
      <w:proofErr w:type="spellEnd"/>
      <w:r>
        <w:rPr>
          <w:rFonts w:ascii="Palatino Linotype" w:hAnsi="Palatino Linotype" w:cs="TimesNewRoman"/>
          <w:szCs w:val="24"/>
        </w:rPr>
        <w:t xml:space="preserve"> filed a response seeking clarification </w:t>
      </w:r>
      <w:r w:rsidR="002A0030">
        <w:rPr>
          <w:rFonts w:ascii="Palatino Linotype" w:hAnsi="Palatino Linotype" w:cs="TimesNewRoman"/>
          <w:szCs w:val="24"/>
        </w:rPr>
        <w:t xml:space="preserve">on what portion of the proposed contracts would be attributed to opt-out LSEs, and </w:t>
      </w:r>
      <w:r w:rsidR="007C3CCD">
        <w:rPr>
          <w:rFonts w:ascii="Palatino Linotype" w:hAnsi="Palatino Linotype" w:cs="TimesNewRoman"/>
          <w:szCs w:val="24"/>
        </w:rPr>
        <w:t xml:space="preserve">seeking a statement from the </w:t>
      </w:r>
      <w:r w:rsidR="00E166B4">
        <w:rPr>
          <w:rFonts w:ascii="Palatino Linotype" w:hAnsi="Palatino Linotype" w:cs="TimesNewRoman"/>
          <w:szCs w:val="24"/>
        </w:rPr>
        <w:t>C</w:t>
      </w:r>
      <w:r w:rsidR="007C3CCD">
        <w:rPr>
          <w:rFonts w:ascii="Palatino Linotype" w:hAnsi="Palatino Linotype" w:cs="TimesNewRoman"/>
          <w:szCs w:val="24"/>
        </w:rPr>
        <w:t xml:space="preserve">ommission that cost allocation and recovery for bundled customers will be determined in R.20-05-003. In response, we clarify that details on cost allocation, including portions of procurements attributed to opt-out LSEs are appropriately addressed in R.20-05-003. </w:t>
      </w:r>
    </w:p>
    <w:p w:rsidR="00DA1BB2" w:rsidP="0068753E" w:rsidRDefault="00DA1BB2" w14:paraId="3D44AC61" w14:textId="77777777">
      <w:pPr>
        <w:autoSpaceDE w:val="0"/>
        <w:autoSpaceDN w:val="0"/>
        <w:adjustRightInd w:val="0"/>
        <w:rPr>
          <w:rFonts w:ascii="Palatino Linotype" w:hAnsi="Palatino Linotype" w:cs="TimesNewRoman"/>
          <w:szCs w:val="24"/>
        </w:rPr>
      </w:pPr>
    </w:p>
    <w:p w:rsidR="007938F5" w:rsidP="0068753E" w:rsidRDefault="0020088A" w14:paraId="081A75EF" w14:textId="478C2B8B">
      <w:pPr>
        <w:autoSpaceDE w:val="0"/>
        <w:autoSpaceDN w:val="0"/>
        <w:adjustRightInd w:val="0"/>
        <w:rPr>
          <w:rFonts w:ascii="Palatino Linotype" w:hAnsi="Palatino Linotype" w:cs="TimesNewRoman"/>
          <w:szCs w:val="24"/>
        </w:rPr>
      </w:pPr>
      <w:r>
        <w:rPr>
          <w:rFonts w:ascii="Palatino Linotype" w:hAnsi="Palatino Linotype" w:cs="TimesNewRoman"/>
          <w:szCs w:val="24"/>
        </w:rPr>
        <w:lastRenderedPageBreak/>
        <w:t>Fluence filed a response</w:t>
      </w:r>
      <w:r w:rsidR="007C3CCD">
        <w:rPr>
          <w:rFonts w:ascii="Palatino Linotype" w:hAnsi="Palatino Linotype" w:cs="TimesNewRoman"/>
          <w:szCs w:val="24"/>
        </w:rPr>
        <w:t xml:space="preserve"> supporting the Advice Letter and requesting expeditious approval. We agree with their assertion that the Advice Letter needs to be reviewed promptly. Commission Staff have worked to review and evaluate this promptly</w:t>
      </w:r>
      <w:r w:rsidR="000E0413">
        <w:rPr>
          <w:rFonts w:ascii="Palatino Linotype" w:hAnsi="Palatino Linotype" w:cs="TimesNewRoman"/>
          <w:szCs w:val="24"/>
        </w:rPr>
        <w:t xml:space="preserve">; </w:t>
      </w:r>
      <w:r w:rsidR="00BC2E66">
        <w:rPr>
          <w:rFonts w:ascii="Palatino Linotype" w:hAnsi="Palatino Linotype" w:cs="TimesNewRoman"/>
          <w:szCs w:val="24"/>
        </w:rPr>
        <w:t xml:space="preserve">however, </w:t>
      </w:r>
      <w:r w:rsidR="00ED0CC5">
        <w:rPr>
          <w:rFonts w:ascii="Palatino Linotype" w:hAnsi="Palatino Linotype" w:cs="TimesNewRoman"/>
          <w:szCs w:val="24"/>
        </w:rPr>
        <w:t xml:space="preserve">the completion of </w:t>
      </w:r>
      <w:proofErr w:type="gramStart"/>
      <w:r w:rsidR="00ED0CC5">
        <w:rPr>
          <w:rFonts w:ascii="Palatino Linotype" w:hAnsi="Palatino Linotype" w:cs="TimesNewRoman"/>
          <w:szCs w:val="24"/>
        </w:rPr>
        <w:t>staff‘</w:t>
      </w:r>
      <w:proofErr w:type="gramEnd"/>
      <w:r w:rsidR="00ED0CC5">
        <w:rPr>
          <w:rFonts w:ascii="Palatino Linotype" w:hAnsi="Palatino Linotype" w:cs="TimesNewRoman"/>
          <w:szCs w:val="24"/>
        </w:rPr>
        <w:t>s review</w:t>
      </w:r>
      <w:r w:rsidR="000E0413">
        <w:rPr>
          <w:rFonts w:ascii="Palatino Linotype" w:hAnsi="Palatino Linotype" w:cs="TimesNewRoman"/>
          <w:szCs w:val="24"/>
        </w:rPr>
        <w:t xml:space="preserve"> was dependent on receiving</w:t>
      </w:r>
      <w:r w:rsidR="007C3CCD">
        <w:rPr>
          <w:rFonts w:ascii="Palatino Linotype" w:hAnsi="Palatino Linotype" w:cs="TimesNewRoman"/>
          <w:szCs w:val="24"/>
        </w:rPr>
        <w:t xml:space="preserve"> additional materials </w:t>
      </w:r>
      <w:r w:rsidR="000E0413">
        <w:rPr>
          <w:rFonts w:ascii="Palatino Linotype" w:hAnsi="Palatino Linotype" w:cs="TimesNewRoman"/>
          <w:szCs w:val="24"/>
        </w:rPr>
        <w:t xml:space="preserve">only </w:t>
      </w:r>
      <w:r w:rsidR="007C3CCD">
        <w:rPr>
          <w:rFonts w:ascii="Palatino Linotype" w:hAnsi="Palatino Linotype" w:cs="TimesNewRoman"/>
          <w:szCs w:val="24"/>
        </w:rPr>
        <w:t>submitted by SDG</w:t>
      </w:r>
      <w:r w:rsidR="000E0413">
        <w:rPr>
          <w:rFonts w:ascii="Palatino Linotype" w:hAnsi="Palatino Linotype" w:cs="TimesNewRoman"/>
          <w:szCs w:val="24"/>
        </w:rPr>
        <w:t>&amp;</w:t>
      </w:r>
      <w:r w:rsidR="007C3CCD">
        <w:rPr>
          <w:rFonts w:ascii="Palatino Linotype" w:hAnsi="Palatino Linotype" w:cs="TimesNewRoman"/>
          <w:szCs w:val="24"/>
        </w:rPr>
        <w:t xml:space="preserve">E in supplemental </w:t>
      </w:r>
      <w:r w:rsidR="000E0413">
        <w:rPr>
          <w:rFonts w:ascii="Palatino Linotype" w:hAnsi="Palatino Linotype" w:cs="TimesNewRoman"/>
          <w:szCs w:val="24"/>
        </w:rPr>
        <w:t xml:space="preserve">advice letter </w:t>
      </w:r>
      <w:r w:rsidR="007C3CCD">
        <w:rPr>
          <w:rFonts w:ascii="Palatino Linotype" w:hAnsi="Palatino Linotype" w:cs="TimesNewRoman"/>
          <w:szCs w:val="24"/>
        </w:rPr>
        <w:t xml:space="preserve">filings. </w:t>
      </w:r>
    </w:p>
    <w:p w:rsidR="00706499" w:rsidP="0068753E" w:rsidRDefault="00706499" w14:paraId="0E669E80" w14:textId="4AE570C4">
      <w:pPr>
        <w:pStyle w:val="Res-Caption"/>
        <w:ind w:left="0" w:right="0"/>
        <w:rPr>
          <w:rFonts w:ascii="Palatino Linotype" w:hAnsi="Palatino Linotype" w:cs="Arial"/>
          <w:szCs w:val="22"/>
        </w:rPr>
      </w:pPr>
    </w:p>
    <w:p w:rsidR="00DF4DB4" w:rsidP="00AF327A" w:rsidRDefault="00DF4DB4" w14:paraId="12FF7457" w14:textId="252F743B">
      <w:pPr>
        <w:pStyle w:val="Heading1"/>
        <w:spacing w:before="0" w:after="0"/>
        <w:jc w:val="both"/>
      </w:pPr>
    </w:p>
    <w:p w:rsidR="001C538D" w:rsidP="00AF327A" w:rsidRDefault="001C538D" w14:paraId="6D1EDAC9" w14:textId="77777777">
      <w:pPr>
        <w:pStyle w:val="Heading1"/>
        <w:spacing w:before="0" w:after="0"/>
        <w:jc w:val="both"/>
      </w:pPr>
      <w:r w:rsidRPr="008C204D">
        <w:t>Comments</w:t>
      </w:r>
    </w:p>
    <w:p w:rsidRPr="00DD135D" w:rsidR="0068753E" w:rsidP="0068753E" w:rsidRDefault="008150D6" w14:paraId="21CD9511" w14:textId="1F80C7BA">
      <w:pPr>
        <w:rPr>
          <w:rFonts w:ascii="Palatino Linotype" w:hAnsi="Palatino Linotype"/>
        </w:rPr>
      </w:pPr>
      <w:r>
        <w:br/>
      </w:r>
      <w:r w:rsidRPr="00DD135D" w:rsidR="0068753E">
        <w:rPr>
          <w:rFonts w:ascii="Palatino Linotype" w:hAnsi="Palatino Linotype"/>
        </w:rPr>
        <w:t xml:space="preserve">Public Utilities Code section 311(g)(1) provides that this </w:t>
      </w:r>
      <w:r w:rsidRPr="00DD135D" w:rsidR="00DC7991">
        <w:rPr>
          <w:rFonts w:ascii="Palatino Linotype" w:hAnsi="Palatino Linotype"/>
        </w:rPr>
        <w:t>Draft R</w:t>
      </w:r>
      <w:r w:rsidRPr="00DD135D" w:rsidR="0068753E">
        <w:rPr>
          <w:rFonts w:ascii="Palatino Linotype" w:hAnsi="Palatino Linotype"/>
        </w:rPr>
        <w:t xml:space="preserve">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Pr="00DD135D" w:rsidR="0068753E" w:rsidP="0068753E" w:rsidRDefault="0068753E" w14:paraId="66DC63A6" w14:textId="77777777">
      <w:pPr>
        <w:rPr>
          <w:rFonts w:ascii="Palatino Linotype" w:hAnsi="Palatino Linotype"/>
        </w:rPr>
      </w:pPr>
    </w:p>
    <w:p w:rsidR="0068753E" w:rsidP="0068753E" w:rsidRDefault="0068753E" w14:paraId="2FE7B32B" w14:textId="3D94A9CA">
      <w:pPr>
        <w:rPr>
          <w:rFonts w:ascii="Palatino Linotype" w:hAnsi="Palatino Linotype"/>
        </w:rPr>
      </w:pPr>
      <w:r w:rsidRPr="00DD135D">
        <w:rPr>
          <w:rFonts w:ascii="Palatino Linotype" w:hAnsi="Palatino Linotype"/>
        </w:rPr>
        <w:t xml:space="preserve">The 30-day review and 20-day comment period for the </w:t>
      </w:r>
      <w:r w:rsidRPr="00DD135D" w:rsidR="00DC7991">
        <w:rPr>
          <w:rFonts w:ascii="Palatino Linotype" w:hAnsi="Palatino Linotype"/>
        </w:rPr>
        <w:t>D</w:t>
      </w:r>
      <w:r w:rsidRPr="00DD135D">
        <w:rPr>
          <w:rFonts w:ascii="Palatino Linotype" w:hAnsi="Palatino Linotype"/>
        </w:rPr>
        <w:t xml:space="preserve">raft of this </w:t>
      </w:r>
      <w:r w:rsidRPr="00DD135D" w:rsidR="00DC7991">
        <w:rPr>
          <w:rFonts w:ascii="Palatino Linotype" w:hAnsi="Palatino Linotype"/>
        </w:rPr>
        <w:t>R</w:t>
      </w:r>
      <w:r w:rsidRPr="00DD135D">
        <w:rPr>
          <w:rFonts w:ascii="Palatino Linotype" w:hAnsi="Palatino Linotype"/>
        </w:rPr>
        <w:t xml:space="preserve">esolution was neither waived nor reduced.  Accordingly, this </w:t>
      </w:r>
      <w:r w:rsidRPr="00DD135D" w:rsidR="00DC7991">
        <w:rPr>
          <w:rFonts w:ascii="Palatino Linotype" w:hAnsi="Palatino Linotype"/>
        </w:rPr>
        <w:t>D</w:t>
      </w:r>
      <w:r w:rsidRPr="00DD135D">
        <w:rPr>
          <w:rFonts w:ascii="Palatino Linotype" w:hAnsi="Palatino Linotype"/>
        </w:rPr>
        <w:t xml:space="preserve">raft </w:t>
      </w:r>
      <w:r w:rsidRPr="00DD135D" w:rsidR="00DC7991">
        <w:rPr>
          <w:rFonts w:ascii="Palatino Linotype" w:hAnsi="Palatino Linotype"/>
        </w:rPr>
        <w:t>R</w:t>
      </w:r>
      <w:r w:rsidRPr="00DD135D">
        <w:rPr>
          <w:rFonts w:ascii="Palatino Linotype" w:hAnsi="Palatino Linotype"/>
        </w:rPr>
        <w:t>esolution was mailed to parties for comments, and will be placed on the Commission's agenda no earlier than 30 days from today.</w:t>
      </w:r>
    </w:p>
    <w:p w:rsidR="009D56D0" w:rsidP="0068753E" w:rsidRDefault="009D56D0" w14:paraId="0B42831A" w14:textId="11AC3252">
      <w:pPr>
        <w:rPr>
          <w:rFonts w:ascii="Palatino Linotype" w:hAnsi="Palatino Linotype"/>
        </w:rPr>
      </w:pPr>
    </w:p>
    <w:p w:rsidR="005842B3" w:rsidP="0068753E" w:rsidRDefault="005842B3" w14:paraId="77D008B1" w14:textId="57959DA5"/>
    <w:p w:rsidR="001C538D" w:rsidP="00AF327A" w:rsidRDefault="001C538D" w14:paraId="02EA77B9" w14:textId="77777777">
      <w:pPr>
        <w:pStyle w:val="Heading1"/>
        <w:spacing w:before="0" w:after="0"/>
        <w:jc w:val="both"/>
      </w:pPr>
      <w:r w:rsidRPr="008C204D">
        <w:t>Findings AND CONCLUSIONS</w:t>
      </w:r>
    </w:p>
    <w:p w:rsidR="00A71DC6" w:rsidP="003B245E" w:rsidRDefault="00A71DC6" w14:paraId="77FFACC6" w14:textId="17BE92C0">
      <w:pPr>
        <w:pStyle w:val="standard"/>
      </w:pPr>
    </w:p>
    <w:p w:rsidRPr="007A1A2A" w:rsidR="00CC506A" w:rsidP="00261A13" w:rsidRDefault="00AA3645" w14:paraId="05108B3F" w14:textId="5B8DABF8">
      <w:pPr>
        <w:pStyle w:val="standard"/>
        <w:numPr>
          <w:ilvl w:val="0"/>
          <w:numId w:val="19"/>
        </w:numPr>
        <w:spacing w:line="240" w:lineRule="auto"/>
        <w:ind w:hanging="630"/>
        <w:rPr>
          <w:rFonts w:ascii="Palatino Linotype" w:hAnsi="Palatino Linotype"/>
        </w:rPr>
      </w:pPr>
      <w:r w:rsidRPr="007A1A2A">
        <w:rPr>
          <w:rFonts w:ascii="Palatino Linotype" w:hAnsi="Palatino Linotype"/>
        </w:rPr>
        <w:t>SDG</w:t>
      </w:r>
      <w:r w:rsidRPr="007A1A2A" w:rsidR="000E0413">
        <w:rPr>
          <w:rFonts w:ascii="Palatino Linotype" w:hAnsi="Palatino Linotype"/>
        </w:rPr>
        <w:t>&amp;</w:t>
      </w:r>
      <w:r w:rsidRPr="007A1A2A">
        <w:rPr>
          <w:rFonts w:ascii="Palatino Linotype" w:hAnsi="Palatino Linotype"/>
        </w:rPr>
        <w:t xml:space="preserve">Es Advice Letter 3605-E </w:t>
      </w:r>
      <w:r w:rsidRPr="007A1A2A" w:rsidR="007C3CCD">
        <w:rPr>
          <w:rFonts w:ascii="Palatino Linotype" w:hAnsi="Palatino Linotype"/>
        </w:rPr>
        <w:t xml:space="preserve">and proposed contracts </w:t>
      </w:r>
      <w:r w:rsidRPr="007A1A2A">
        <w:rPr>
          <w:rFonts w:ascii="Palatino Linotype" w:hAnsi="Palatino Linotype"/>
        </w:rPr>
        <w:t xml:space="preserve">fell short of the requirements </w:t>
      </w:r>
      <w:r w:rsidR="00E166B4">
        <w:rPr>
          <w:rFonts w:ascii="Palatino Linotype" w:hAnsi="Palatino Linotype"/>
        </w:rPr>
        <w:t>included in</w:t>
      </w:r>
      <w:r w:rsidR="005810A7">
        <w:rPr>
          <w:rFonts w:ascii="Palatino Linotype" w:hAnsi="Palatino Linotype"/>
        </w:rPr>
        <w:t xml:space="preserve"> </w:t>
      </w:r>
      <w:r w:rsidRPr="007A1A2A">
        <w:rPr>
          <w:rFonts w:ascii="Palatino Linotype" w:hAnsi="Palatino Linotype"/>
        </w:rPr>
        <w:t>Decision 19-11-016</w:t>
      </w:r>
      <w:r w:rsidRPr="007A1A2A" w:rsidR="007C3CCD">
        <w:rPr>
          <w:rFonts w:ascii="Palatino Linotype" w:hAnsi="Palatino Linotype"/>
        </w:rPr>
        <w:t xml:space="preserve"> </w:t>
      </w:r>
    </w:p>
    <w:p w:rsidRPr="007A1A2A" w:rsidR="00450ED8" w:rsidP="00261A13" w:rsidRDefault="00AA3645" w14:paraId="2A4EA2B1" w14:textId="53C905BF">
      <w:pPr>
        <w:pStyle w:val="standard"/>
        <w:numPr>
          <w:ilvl w:val="0"/>
          <w:numId w:val="19"/>
        </w:numPr>
        <w:spacing w:line="240" w:lineRule="auto"/>
        <w:rPr>
          <w:rFonts w:ascii="Palatino Linotype" w:hAnsi="Palatino Linotype"/>
          <w:u w:val="single"/>
        </w:rPr>
      </w:pPr>
      <w:r w:rsidRPr="007A1A2A">
        <w:rPr>
          <w:rFonts w:ascii="Palatino Linotype" w:hAnsi="Palatino Linotype"/>
        </w:rPr>
        <w:t>SDG</w:t>
      </w:r>
      <w:r w:rsidRPr="007A1A2A" w:rsidR="000E0413">
        <w:rPr>
          <w:rFonts w:ascii="Palatino Linotype" w:hAnsi="Palatino Linotype"/>
        </w:rPr>
        <w:t>&amp;</w:t>
      </w:r>
      <w:r w:rsidRPr="007A1A2A">
        <w:rPr>
          <w:rFonts w:ascii="Palatino Linotype" w:hAnsi="Palatino Linotype"/>
        </w:rPr>
        <w:t>E filed supplemental Advice Letter</w:t>
      </w:r>
      <w:r w:rsidRPr="007A1A2A" w:rsidR="008B48B7">
        <w:rPr>
          <w:rFonts w:ascii="Palatino Linotype" w:hAnsi="Palatino Linotype"/>
        </w:rPr>
        <w:t>s</w:t>
      </w:r>
      <w:r w:rsidRPr="007A1A2A">
        <w:rPr>
          <w:rFonts w:ascii="Palatino Linotype" w:hAnsi="Palatino Linotype"/>
        </w:rPr>
        <w:t xml:space="preserve"> to </w:t>
      </w:r>
      <w:r w:rsidR="00E166B4">
        <w:rPr>
          <w:rFonts w:ascii="Palatino Linotype" w:hAnsi="Palatino Linotype"/>
        </w:rPr>
        <w:t xml:space="preserve">address </w:t>
      </w:r>
      <w:r w:rsidRPr="007A1A2A">
        <w:rPr>
          <w:rFonts w:ascii="Palatino Linotype" w:hAnsi="Palatino Linotype"/>
        </w:rPr>
        <w:t>the</w:t>
      </w:r>
      <w:r w:rsidR="00E166B4">
        <w:rPr>
          <w:rFonts w:ascii="Palatino Linotype" w:hAnsi="Palatino Linotype"/>
        </w:rPr>
        <w:t>se deficiencies</w:t>
      </w:r>
      <w:r w:rsidRPr="007A1A2A" w:rsidR="000E0413">
        <w:rPr>
          <w:rFonts w:ascii="Palatino Linotype" w:hAnsi="Palatino Linotype"/>
        </w:rPr>
        <w:t xml:space="preserve"> and the delay of time to receive additional information from SDG&amp;E has delayed the Com</w:t>
      </w:r>
      <w:r w:rsidR="005F5088">
        <w:rPr>
          <w:rFonts w:ascii="Palatino Linotype" w:hAnsi="Palatino Linotype"/>
        </w:rPr>
        <w:t>m</w:t>
      </w:r>
      <w:r w:rsidRPr="007A1A2A" w:rsidR="000E0413">
        <w:rPr>
          <w:rFonts w:ascii="Palatino Linotype" w:hAnsi="Palatino Linotype"/>
        </w:rPr>
        <w:t>ission’s consideration of these contracts</w:t>
      </w:r>
      <w:r w:rsidRPr="007A1A2A">
        <w:rPr>
          <w:rFonts w:ascii="Palatino Linotype" w:hAnsi="Palatino Linotype"/>
        </w:rPr>
        <w:t>.</w:t>
      </w:r>
    </w:p>
    <w:p w:rsidRPr="007A1A2A" w:rsidR="00BF4257" w:rsidP="00BF4257" w:rsidRDefault="00442B4D" w14:paraId="242DA106" w14:textId="7AC325B4">
      <w:pPr>
        <w:pStyle w:val="ListParagraph"/>
        <w:numPr>
          <w:ilvl w:val="0"/>
          <w:numId w:val="19"/>
        </w:numPr>
        <w:rPr>
          <w:rFonts w:ascii="Palatino Linotype" w:hAnsi="Palatino Linotype"/>
          <w:sz w:val="26"/>
          <w:szCs w:val="20"/>
        </w:rPr>
      </w:pPr>
      <w:r w:rsidRPr="007A1A2A">
        <w:rPr>
          <w:rFonts w:ascii="Palatino Linotype" w:hAnsi="Palatino Linotype"/>
          <w:sz w:val="26"/>
          <w:szCs w:val="20"/>
        </w:rPr>
        <w:t>The Commission finds t</w:t>
      </w:r>
      <w:r w:rsidRPr="007A1A2A" w:rsidR="00BF4257">
        <w:rPr>
          <w:rFonts w:ascii="Palatino Linotype" w:hAnsi="Palatino Linotype"/>
          <w:sz w:val="26"/>
          <w:szCs w:val="20"/>
        </w:rPr>
        <w:t xml:space="preserve">he </w:t>
      </w:r>
      <w:r w:rsidRPr="007A1A2A" w:rsidR="00AA3645">
        <w:rPr>
          <w:rFonts w:ascii="Palatino Linotype" w:hAnsi="Palatino Linotype"/>
          <w:sz w:val="26"/>
          <w:szCs w:val="20"/>
        </w:rPr>
        <w:t>R</w:t>
      </w:r>
      <w:r w:rsidR="00B33B1B">
        <w:rPr>
          <w:rFonts w:ascii="Palatino Linotype" w:hAnsi="Palatino Linotype"/>
          <w:sz w:val="26"/>
          <w:szCs w:val="20"/>
        </w:rPr>
        <w:t xml:space="preserve">esource </w:t>
      </w:r>
      <w:r w:rsidRPr="007A1A2A" w:rsidR="00AA3645">
        <w:rPr>
          <w:rFonts w:ascii="Palatino Linotype" w:hAnsi="Palatino Linotype"/>
          <w:sz w:val="26"/>
          <w:szCs w:val="20"/>
        </w:rPr>
        <w:t>A</w:t>
      </w:r>
      <w:r w:rsidR="00B33B1B">
        <w:rPr>
          <w:rFonts w:ascii="Palatino Linotype" w:hAnsi="Palatino Linotype"/>
          <w:sz w:val="26"/>
          <w:szCs w:val="20"/>
        </w:rPr>
        <w:t xml:space="preserve">dequacy </w:t>
      </w:r>
      <w:r w:rsidRPr="007A1A2A" w:rsidR="00AA3645">
        <w:rPr>
          <w:rFonts w:ascii="Palatino Linotype" w:hAnsi="Palatino Linotype"/>
          <w:sz w:val="26"/>
          <w:szCs w:val="20"/>
        </w:rPr>
        <w:t>only</w:t>
      </w:r>
      <w:r w:rsidRPr="007A1A2A" w:rsidR="00BF4257">
        <w:rPr>
          <w:rFonts w:ascii="Palatino Linotype" w:hAnsi="Palatino Linotype"/>
          <w:sz w:val="26"/>
          <w:szCs w:val="20"/>
        </w:rPr>
        <w:t xml:space="preserve"> contracts</w:t>
      </w:r>
      <w:r w:rsidRPr="007A1A2A" w:rsidR="008B48B7">
        <w:rPr>
          <w:rFonts w:ascii="Palatino Linotype" w:hAnsi="Palatino Linotype"/>
          <w:sz w:val="26"/>
          <w:szCs w:val="20"/>
        </w:rPr>
        <w:t xml:space="preserve"> and tolling agreement</w:t>
      </w:r>
      <w:r w:rsidRPr="007A1A2A" w:rsidR="00BF4257">
        <w:rPr>
          <w:rFonts w:ascii="Palatino Linotype" w:hAnsi="Palatino Linotype"/>
          <w:sz w:val="26"/>
          <w:szCs w:val="20"/>
        </w:rPr>
        <w:t>, and S</w:t>
      </w:r>
      <w:r w:rsidRPr="007A1A2A" w:rsidR="00AA3645">
        <w:rPr>
          <w:rFonts w:ascii="Palatino Linotype" w:hAnsi="Palatino Linotype"/>
          <w:sz w:val="26"/>
          <w:szCs w:val="20"/>
        </w:rPr>
        <w:t>DG&amp;</w:t>
      </w:r>
      <w:r w:rsidRPr="007A1A2A" w:rsidR="00BF4257">
        <w:rPr>
          <w:rFonts w:ascii="Palatino Linotype" w:hAnsi="Palatino Linotype"/>
          <w:sz w:val="26"/>
          <w:szCs w:val="20"/>
        </w:rPr>
        <w:t xml:space="preserve">E's entry into them, </w:t>
      </w:r>
      <w:r w:rsidRPr="007A1A2A" w:rsidR="008B48B7">
        <w:rPr>
          <w:rFonts w:ascii="Palatino Linotype" w:hAnsi="Palatino Linotype"/>
          <w:sz w:val="26"/>
          <w:szCs w:val="20"/>
        </w:rPr>
        <w:t>are</w:t>
      </w:r>
      <w:r w:rsidRPr="007A1A2A" w:rsidR="00BF4257">
        <w:rPr>
          <w:rFonts w:ascii="Palatino Linotype" w:hAnsi="Palatino Linotype"/>
          <w:sz w:val="26"/>
          <w:szCs w:val="20"/>
        </w:rPr>
        <w:t xml:space="preserve"> reasonable and prudent</w:t>
      </w:r>
      <w:r w:rsidRPr="007A1A2A" w:rsidR="000E0413">
        <w:rPr>
          <w:rFonts w:ascii="Palatino Linotype" w:hAnsi="Palatino Linotype"/>
          <w:sz w:val="26"/>
          <w:szCs w:val="20"/>
        </w:rPr>
        <w:t>. A</w:t>
      </w:r>
      <w:r w:rsidRPr="007A1A2A" w:rsidR="00BF4257">
        <w:rPr>
          <w:rFonts w:ascii="Palatino Linotype" w:hAnsi="Palatino Linotype"/>
          <w:sz w:val="26"/>
          <w:szCs w:val="20"/>
        </w:rPr>
        <w:t>ny payments made by S</w:t>
      </w:r>
      <w:r w:rsidRPr="007A1A2A" w:rsidR="00AA3645">
        <w:rPr>
          <w:rFonts w:ascii="Palatino Linotype" w:hAnsi="Palatino Linotype"/>
          <w:sz w:val="26"/>
          <w:szCs w:val="20"/>
        </w:rPr>
        <w:t>DG&amp;</w:t>
      </w:r>
      <w:r w:rsidRPr="007A1A2A" w:rsidR="00BF4257">
        <w:rPr>
          <w:rFonts w:ascii="Palatino Linotype" w:hAnsi="Palatino Linotype"/>
          <w:sz w:val="26"/>
          <w:szCs w:val="20"/>
        </w:rPr>
        <w:t>E pursuant to the</w:t>
      </w:r>
      <w:r w:rsidRPr="007A1A2A" w:rsidR="00AA3645">
        <w:rPr>
          <w:rFonts w:ascii="Palatino Linotype" w:hAnsi="Palatino Linotype"/>
          <w:sz w:val="26"/>
          <w:szCs w:val="20"/>
        </w:rPr>
        <w:t xml:space="preserve"> R</w:t>
      </w:r>
      <w:r w:rsidR="00B33B1B">
        <w:rPr>
          <w:rFonts w:ascii="Palatino Linotype" w:hAnsi="Palatino Linotype"/>
          <w:sz w:val="26"/>
          <w:szCs w:val="20"/>
        </w:rPr>
        <w:t xml:space="preserve">esource </w:t>
      </w:r>
      <w:r w:rsidRPr="007A1A2A" w:rsidR="00AA3645">
        <w:rPr>
          <w:rFonts w:ascii="Palatino Linotype" w:hAnsi="Palatino Linotype"/>
          <w:sz w:val="26"/>
          <w:szCs w:val="20"/>
        </w:rPr>
        <w:t>A</w:t>
      </w:r>
      <w:r w:rsidR="00B33B1B">
        <w:rPr>
          <w:rFonts w:ascii="Palatino Linotype" w:hAnsi="Palatino Linotype"/>
          <w:sz w:val="26"/>
          <w:szCs w:val="20"/>
        </w:rPr>
        <w:t xml:space="preserve">dequacy </w:t>
      </w:r>
      <w:r w:rsidRPr="007A1A2A" w:rsidR="00AA3645">
        <w:rPr>
          <w:rFonts w:ascii="Palatino Linotype" w:hAnsi="Palatino Linotype"/>
          <w:sz w:val="26"/>
          <w:szCs w:val="20"/>
        </w:rPr>
        <w:t>only</w:t>
      </w:r>
      <w:r w:rsidRPr="007A1A2A" w:rsidR="00BF4257">
        <w:rPr>
          <w:rFonts w:ascii="Palatino Linotype" w:hAnsi="Palatino Linotype"/>
          <w:sz w:val="26"/>
          <w:szCs w:val="20"/>
        </w:rPr>
        <w:t xml:space="preserve"> contracts </w:t>
      </w:r>
      <w:r w:rsidR="00426B59">
        <w:rPr>
          <w:rFonts w:ascii="Palatino Linotype" w:hAnsi="Palatino Linotype"/>
          <w:sz w:val="26"/>
          <w:szCs w:val="20"/>
        </w:rPr>
        <w:t xml:space="preserve">and the </w:t>
      </w:r>
      <w:r w:rsidR="00D463EB">
        <w:rPr>
          <w:rFonts w:ascii="Palatino Linotype" w:hAnsi="Palatino Linotype"/>
          <w:sz w:val="26"/>
          <w:szCs w:val="20"/>
        </w:rPr>
        <w:t>net</w:t>
      </w:r>
      <w:r w:rsidR="00426B59">
        <w:rPr>
          <w:rFonts w:ascii="Palatino Linotype" w:hAnsi="Palatino Linotype"/>
          <w:sz w:val="26"/>
          <w:szCs w:val="20"/>
        </w:rPr>
        <w:t xml:space="preserve"> costs of the tolling agreement </w:t>
      </w:r>
      <w:r w:rsidRPr="007A1A2A" w:rsidR="00BF4257">
        <w:rPr>
          <w:rFonts w:ascii="Palatino Linotype" w:hAnsi="Palatino Linotype"/>
          <w:sz w:val="26"/>
          <w:szCs w:val="20"/>
        </w:rPr>
        <w:t>are recoverable by S</w:t>
      </w:r>
      <w:r w:rsidRPr="007A1A2A" w:rsidR="00AA3645">
        <w:rPr>
          <w:rFonts w:ascii="Palatino Linotype" w:hAnsi="Palatino Linotype"/>
          <w:sz w:val="26"/>
          <w:szCs w:val="20"/>
        </w:rPr>
        <w:t>DG&amp;E</w:t>
      </w:r>
      <w:r w:rsidRPr="007A1A2A" w:rsidR="00BF4257">
        <w:rPr>
          <w:rFonts w:ascii="Palatino Linotype" w:hAnsi="Palatino Linotype"/>
          <w:sz w:val="26"/>
          <w:szCs w:val="20"/>
        </w:rPr>
        <w:t xml:space="preserve"> through the ERRA proceeding, subject to the Commission’s review of S</w:t>
      </w:r>
      <w:r w:rsidRPr="007A1A2A" w:rsidR="00AA3645">
        <w:rPr>
          <w:rFonts w:ascii="Palatino Linotype" w:hAnsi="Palatino Linotype"/>
          <w:sz w:val="26"/>
          <w:szCs w:val="20"/>
        </w:rPr>
        <w:t>DG&amp;E</w:t>
      </w:r>
      <w:r w:rsidRPr="007A1A2A" w:rsidR="00BF4257">
        <w:rPr>
          <w:rFonts w:ascii="Palatino Linotype" w:hAnsi="Palatino Linotype"/>
          <w:sz w:val="26"/>
          <w:szCs w:val="20"/>
        </w:rPr>
        <w:t xml:space="preserve">'s prudent administration of the contracts. </w:t>
      </w:r>
    </w:p>
    <w:p w:rsidRPr="007A1A2A" w:rsidR="005B0728" w:rsidP="005234CB" w:rsidRDefault="005B0728" w14:paraId="205BE5EE" w14:textId="5FCD297E">
      <w:pPr>
        <w:pStyle w:val="ListParagraph"/>
        <w:numPr>
          <w:ilvl w:val="0"/>
          <w:numId w:val="19"/>
        </w:numPr>
        <w:rPr>
          <w:rFonts w:ascii="Palatino Linotype" w:hAnsi="Palatino Linotype"/>
          <w:sz w:val="26"/>
          <w:szCs w:val="20"/>
        </w:rPr>
      </w:pPr>
      <w:r w:rsidRPr="007A1A2A">
        <w:rPr>
          <w:rFonts w:ascii="Palatino Linotype" w:hAnsi="Palatino Linotype"/>
          <w:sz w:val="26"/>
          <w:szCs w:val="20"/>
        </w:rPr>
        <w:lastRenderedPageBreak/>
        <w:t xml:space="preserve">The Commission finds that the </w:t>
      </w:r>
      <w:r w:rsidRPr="007A1A2A" w:rsidR="000E0413">
        <w:rPr>
          <w:rFonts w:ascii="Palatino Linotype" w:hAnsi="Palatino Linotype"/>
          <w:sz w:val="26"/>
          <w:szCs w:val="20"/>
        </w:rPr>
        <w:t>utility owned generation (</w:t>
      </w:r>
      <w:r w:rsidRPr="007A1A2A" w:rsidR="00AA3645">
        <w:rPr>
          <w:rFonts w:ascii="Palatino Linotype" w:hAnsi="Palatino Linotype"/>
          <w:sz w:val="26"/>
          <w:szCs w:val="20"/>
        </w:rPr>
        <w:t>UOG</w:t>
      </w:r>
      <w:r w:rsidRPr="007A1A2A" w:rsidR="000E0413">
        <w:rPr>
          <w:rFonts w:ascii="Palatino Linotype" w:hAnsi="Palatino Linotype"/>
          <w:sz w:val="26"/>
          <w:szCs w:val="20"/>
        </w:rPr>
        <w:t>)</w:t>
      </w:r>
      <w:r w:rsidRPr="007A1A2A" w:rsidR="00AA3645">
        <w:rPr>
          <w:rFonts w:ascii="Palatino Linotype" w:hAnsi="Palatino Linotype"/>
          <w:sz w:val="26"/>
          <w:szCs w:val="20"/>
        </w:rPr>
        <w:t xml:space="preserve"> contract</w:t>
      </w:r>
      <w:r w:rsidRPr="007A1A2A" w:rsidR="008B48B7">
        <w:rPr>
          <w:rFonts w:ascii="Palatino Linotype" w:hAnsi="Palatino Linotype"/>
          <w:sz w:val="26"/>
          <w:szCs w:val="20"/>
        </w:rPr>
        <w:t>s</w:t>
      </w:r>
      <w:r w:rsidRPr="007A1A2A" w:rsidR="00AA3645">
        <w:rPr>
          <w:rFonts w:ascii="Palatino Linotype" w:hAnsi="Palatino Linotype"/>
          <w:sz w:val="26"/>
          <w:szCs w:val="20"/>
        </w:rPr>
        <w:t xml:space="preserve"> </w:t>
      </w:r>
      <w:r w:rsidRPr="007A1A2A" w:rsidR="008B48B7">
        <w:rPr>
          <w:rFonts w:ascii="Palatino Linotype" w:hAnsi="Palatino Linotype"/>
          <w:sz w:val="26"/>
          <w:szCs w:val="20"/>
        </w:rPr>
        <w:t>have not been compared to the relevant set of resource</w:t>
      </w:r>
      <w:r w:rsidRPr="007A1A2A" w:rsidR="000E0413">
        <w:rPr>
          <w:rFonts w:ascii="Palatino Linotype" w:hAnsi="Palatino Linotype"/>
          <w:sz w:val="26"/>
          <w:szCs w:val="20"/>
        </w:rPr>
        <w:t xml:space="preserve"> requirements</w:t>
      </w:r>
      <w:r w:rsidRPr="007A1A2A" w:rsidR="008B48B7">
        <w:rPr>
          <w:rFonts w:ascii="Palatino Linotype" w:hAnsi="Palatino Linotype"/>
          <w:sz w:val="26"/>
          <w:szCs w:val="20"/>
        </w:rPr>
        <w:t xml:space="preserve"> and </w:t>
      </w:r>
      <w:r w:rsidRPr="007A1A2A" w:rsidR="000E0413">
        <w:rPr>
          <w:rFonts w:ascii="Palatino Linotype" w:hAnsi="Palatino Linotype"/>
          <w:sz w:val="26"/>
          <w:szCs w:val="20"/>
        </w:rPr>
        <w:t xml:space="preserve">UOG </w:t>
      </w:r>
      <w:r w:rsidRPr="007A1A2A" w:rsidR="008B48B7">
        <w:rPr>
          <w:rFonts w:ascii="Palatino Linotype" w:hAnsi="Palatino Linotype"/>
          <w:sz w:val="26"/>
          <w:szCs w:val="20"/>
        </w:rPr>
        <w:t xml:space="preserve">contracts and are not approved at this time. </w:t>
      </w:r>
    </w:p>
    <w:p w:rsidRPr="007A1A2A" w:rsidR="007A0A70" w:rsidP="00BF4257" w:rsidRDefault="006F5D89" w14:paraId="622DC28A" w14:textId="2C9DBEC5">
      <w:pPr>
        <w:pStyle w:val="ListParagraph"/>
        <w:numPr>
          <w:ilvl w:val="0"/>
          <w:numId w:val="19"/>
        </w:numPr>
        <w:rPr>
          <w:rFonts w:ascii="Palatino Linotype" w:hAnsi="Palatino Linotype"/>
          <w:sz w:val="26"/>
          <w:szCs w:val="20"/>
        </w:rPr>
      </w:pPr>
      <w:r>
        <w:rPr>
          <w:rFonts w:ascii="Palatino Linotype" w:hAnsi="Palatino Linotype"/>
          <w:sz w:val="26"/>
          <w:szCs w:val="20"/>
        </w:rPr>
        <w:t>We</w:t>
      </w:r>
      <w:r w:rsidRPr="007A1A2A" w:rsidR="00442B4D">
        <w:rPr>
          <w:rFonts w:ascii="Palatino Linotype" w:hAnsi="Palatino Linotype"/>
          <w:sz w:val="26"/>
          <w:szCs w:val="20"/>
        </w:rPr>
        <w:t xml:space="preserve"> </w:t>
      </w:r>
      <w:r w:rsidRPr="006F5D89">
        <w:rPr>
          <w:rFonts w:ascii="Palatino Linotype" w:hAnsi="Palatino Linotype"/>
          <w:sz w:val="26"/>
          <w:szCs w:val="20"/>
        </w:rPr>
        <w:t>take issue with several assumptions SDG&amp;E made in its</w:t>
      </w:r>
      <w:r w:rsidR="00B33B1B">
        <w:rPr>
          <w:rFonts w:ascii="Palatino Linotype" w:hAnsi="Palatino Linotype"/>
          <w:sz w:val="26"/>
          <w:szCs w:val="20"/>
        </w:rPr>
        <w:t xml:space="preserve"> Net Present Value</w:t>
      </w:r>
      <w:r w:rsidRPr="006F5D89">
        <w:rPr>
          <w:rFonts w:ascii="Palatino Linotype" w:hAnsi="Palatino Linotype"/>
          <w:sz w:val="26"/>
          <w:szCs w:val="20"/>
        </w:rPr>
        <w:t xml:space="preserve"> </w:t>
      </w:r>
      <w:r w:rsidR="00B33B1B">
        <w:rPr>
          <w:rFonts w:ascii="Palatino Linotype" w:hAnsi="Palatino Linotype"/>
          <w:sz w:val="26"/>
          <w:szCs w:val="20"/>
        </w:rPr>
        <w:t>(</w:t>
      </w:r>
      <w:r w:rsidRPr="006F5D89">
        <w:rPr>
          <w:rFonts w:ascii="Palatino Linotype" w:hAnsi="Palatino Linotype"/>
          <w:sz w:val="26"/>
          <w:szCs w:val="20"/>
        </w:rPr>
        <w:t>NPV</w:t>
      </w:r>
      <w:r w:rsidR="00B33B1B">
        <w:rPr>
          <w:rFonts w:ascii="Palatino Linotype" w:hAnsi="Palatino Linotype"/>
          <w:sz w:val="26"/>
          <w:szCs w:val="20"/>
        </w:rPr>
        <w:t>)</w:t>
      </w:r>
      <w:r w:rsidRPr="006F5D89">
        <w:rPr>
          <w:rFonts w:ascii="Palatino Linotype" w:hAnsi="Palatino Linotype"/>
          <w:sz w:val="26"/>
          <w:szCs w:val="20"/>
        </w:rPr>
        <w:t xml:space="preserve"> calculations and direct staff to take these issues up with SDG&amp;E through the </w:t>
      </w:r>
      <w:r w:rsidR="00B33B1B">
        <w:rPr>
          <w:rFonts w:ascii="Palatino Linotype" w:hAnsi="Palatino Linotype"/>
          <w:sz w:val="26"/>
          <w:szCs w:val="20"/>
        </w:rPr>
        <w:t xml:space="preserve">Procurement Review Group </w:t>
      </w:r>
      <w:r w:rsidRPr="006F5D89">
        <w:rPr>
          <w:rFonts w:ascii="Palatino Linotype" w:hAnsi="Palatino Linotype"/>
          <w:sz w:val="26"/>
          <w:szCs w:val="20"/>
        </w:rPr>
        <w:t>process</w:t>
      </w:r>
      <w:r>
        <w:rPr>
          <w:rFonts w:ascii="Palatino Linotype" w:hAnsi="Palatino Linotype"/>
          <w:sz w:val="26"/>
          <w:szCs w:val="20"/>
        </w:rPr>
        <w:t>.</w:t>
      </w:r>
      <w:r w:rsidRPr="006F5D89">
        <w:rPr>
          <w:rFonts w:ascii="Palatino Linotype" w:hAnsi="Palatino Linotype"/>
          <w:sz w:val="26"/>
          <w:szCs w:val="20"/>
        </w:rPr>
        <w:t xml:space="preserve">  </w:t>
      </w:r>
    </w:p>
    <w:p w:rsidRPr="007A1A2A" w:rsidR="00AA3645" w:rsidP="003B245E" w:rsidRDefault="00AA3645" w14:paraId="47E7ED96" w14:textId="2F88C8A4">
      <w:pPr>
        <w:pStyle w:val="ListParagraph"/>
        <w:numPr>
          <w:ilvl w:val="0"/>
          <w:numId w:val="19"/>
        </w:numPr>
        <w:rPr>
          <w:rFonts w:ascii="Palatino Linotype" w:hAnsi="Palatino Linotype"/>
          <w:sz w:val="26"/>
          <w:szCs w:val="20"/>
        </w:rPr>
      </w:pPr>
      <w:r w:rsidRPr="007A1A2A">
        <w:rPr>
          <w:rFonts w:ascii="Palatino Linotype" w:hAnsi="Palatino Linotype"/>
          <w:sz w:val="26"/>
          <w:szCs w:val="20"/>
        </w:rPr>
        <w:t xml:space="preserve">The Commission finds that SDG&amp;E’s use of an avoided curtailment value in its bid evaluation method is not fully developed and shall not be used </w:t>
      </w:r>
      <w:r w:rsidRPr="007A1A2A" w:rsidR="000E0413">
        <w:rPr>
          <w:rFonts w:ascii="Palatino Linotype" w:hAnsi="Palatino Linotype"/>
          <w:sz w:val="26"/>
          <w:szCs w:val="20"/>
        </w:rPr>
        <w:t xml:space="preserve">by SDG&amp;E in any subsequent procurement </w:t>
      </w:r>
      <w:r w:rsidRPr="007A1A2A">
        <w:rPr>
          <w:rFonts w:ascii="Palatino Linotype" w:hAnsi="Palatino Linotype"/>
          <w:sz w:val="26"/>
          <w:szCs w:val="20"/>
        </w:rPr>
        <w:t xml:space="preserve">until it </w:t>
      </w:r>
      <w:r w:rsidRPr="007A1A2A" w:rsidR="000E0413">
        <w:rPr>
          <w:rFonts w:ascii="Palatino Linotype" w:hAnsi="Palatino Linotype"/>
          <w:sz w:val="26"/>
          <w:szCs w:val="20"/>
        </w:rPr>
        <w:t xml:space="preserve">can be </w:t>
      </w:r>
      <w:r w:rsidRPr="007A1A2A">
        <w:rPr>
          <w:rFonts w:ascii="Palatino Linotype" w:hAnsi="Palatino Linotype"/>
          <w:sz w:val="26"/>
          <w:szCs w:val="20"/>
        </w:rPr>
        <w:t xml:space="preserve">evaluated in the proper </w:t>
      </w:r>
      <w:r w:rsidR="0012188E">
        <w:rPr>
          <w:rFonts w:ascii="Palatino Linotype" w:hAnsi="Palatino Linotype"/>
          <w:sz w:val="26"/>
          <w:szCs w:val="20"/>
        </w:rPr>
        <w:t>C</w:t>
      </w:r>
      <w:r w:rsidRPr="007A1A2A">
        <w:rPr>
          <w:rFonts w:ascii="Palatino Linotype" w:hAnsi="Palatino Linotype"/>
          <w:sz w:val="26"/>
          <w:szCs w:val="20"/>
        </w:rPr>
        <w:t xml:space="preserve">ommission proceeding. </w:t>
      </w:r>
    </w:p>
    <w:p w:rsidRPr="007A1A2A" w:rsidR="00874024" w:rsidP="003B245E" w:rsidRDefault="00874024" w14:paraId="169A324E" w14:textId="16D18ED2">
      <w:pPr>
        <w:pStyle w:val="ListParagraph"/>
        <w:numPr>
          <w:ilvl w:val="0"/>
          <w:numId w:val="19"/>
        </w:numPr>
        <w:rPr>
          <w:rFonts w:ascii="Palatino Linotype" w:hAnsi="Palatino Linotype"/>
          <w:sz w:val="26"/>
          <w:szCs w:val="20"/>
        </w:rPr>
      </w:pPr>
      <w:r w:rsidRPr="007A1A2A">
        <w:rPr>
          <w:rFonts w:ascii="Palatino Linotype" w:hAnsi="Palatino Linotype"/>
          <w:sz w:val="26"/>
          <w:szCs w:val="20"/>
        </w:rPr>
        <w:t xml:space="preserve">The </w:t>
      </w:r>
      <w:r w:rsidRPr="007A1A2A" w:rsidR="000E0413">
        <w:rPr>
          <w:rFonts w:ascii="Palatino Linotype" w:hAnsi="Palatino Linotype"/>
          <w:sz w:val="26"/>
          <w:szCs w:val="20"/>
        </w:rPr>
        <w:t>C</w:t>
      </w:r>
      <w:r w:rsidRPr="007A1A2A">
        <w:rPr>
          <w:rFonts w:ascii="Palatino Linotype" w:hAnsi="Palatino Linotype"/>
          <w:sz w:val="26"/>
          <w:szCs w:val="20"/>
        </w:rPr>
        <w:t xml:space="preserve">ommission finds that other elements of SDG&amp;E’s bid evaluation methodology </w:t>
      </w:r>
      <w:r w:rsidRPr="007A1A2A" w:rsidR="003643B8">
        <w:rPr>
          <w:rFonts w:ascii="Palatino Linotype" w:hAnsi="Palatino Linotype"/>
          <w:sz w:val="26"/>
          <w:szCs w:val="20"/>
        </w:rPr>
        <w:t>require</w:t>
      </w:r>
      <w:r w:rsidRPr="007A1A2A">
        <w:rPr>
          <w:rFonts w:ascii="Palatino Linotype" w:hAnsi="Palatino Linotype"/>
          <w:sz w:val="26"/>
          <w:szCs w:val="20"/>
        </w:rPr>
        <w:t xml:space="preserve"> </w:t>
      </w:r>
      <w:r w:rsidR="0012188E">
        <w:rPr>
          <w:rFonts w:ascii="Palatino Linotype" w:hAnsi="Palatino Linotype"/>
          <w:sz w:val="26"/>
          <w:szCs w:val="20"/>
        </w:rPr>
        <w:t>further</w:t>
      </w:r>
      <w:r w:rsidRPr="007A1A2A">
        <w:rPr>
          <w:rFonts w:ascii="Palatino Linotype" w:hAnsi="Palatino Linotype"/>
          <w:sz w:val="26"/>
          <w:szCs w:val="20"/>
        </w:rPr>
        <w:t xml:space="preserve"> consideration</w:t>
      </w:r>
      <w:r w:rsidRPr="007A1A2A" w:rsidR="003643B8">
        <w:rPr>
          <w:rFonts w:ascii="Palatino Linotype" w:hAnsi="Palatino Linotype"/>
          <w:sz w:val="26"/>
          <w:szCs w:val="20"/>
        </w:rPr>
        <w:t xml:space="preserve"> before they can be included in future bid evaluation metrics</w:t>
      </w:r>
      <w:r w:rsidRPr="007A1A2A">
        <w:rPr>
          <w:rFonts w:ascii="Palatino Linotype" w:hAnsi="Palatino Linotype"/>
          <w:sz w:val="26"/>
          <w:szCs w:val="20"/>
        </w:rPr>
        <w:t xml:space="preserve">. </w:t>
      </w:r>
    </w:p>
    <w:p w:rsidRPr="007A1A2A" w:rsidR="00CC506A" w:rsidP="003B245E" w:rsidRDefault="00442B4D" w14:paraId="2261A9B7" w14:textId="0A994E5A">
      <w:pPr>
        <w:pStyle w:val="ListParagraph"/>
        <w:numPr>
          <w:ilvl w:val="0"/>
          <w:numId w:val="19"/>
        </w:numPr>
        <w:rPr>
          <w:rFonts w:ascii="Palatino Linotype" w:hAnsi="Palatino Linotype"/>
          <w:sz w:val="26"/>
          <w:szCs w:val="20"/>
        </w:rPr>
      </w:pPr>
      <w:r w:rsidRPr="007A1A2A">
        <w:rPr>
          <w:rFonts w:ascii="Palatino Linotype" w:hAnsi="Palatino Linotype"/>
          <w:sz w:val="26"/>
          <w:szCs w:val="20"/>
        </w:rPr>
        <w:t xml:space="preserve">The Commission </w:t>
      </w:r>
      <w:r w:rsidRPr="007A1A2A" w:rsidR="00CA1DC3">
        <w:rPr>
          <w:rFonts w:ascii="Palatino Linotype" w:hAnsi="Palatino Linotype"/>
          <w:sz w:val="26"/>
          <w:szCs w:val="20"/>
        </w:rPr>
        <w:t xml:space="preserve">finds </w:t>
      </w:r>
      <w:r w:rsidRPr="007A1A2A">
        <w:rPr>
          <w:rFonts w:ascii="Palatino Linotype" w:hAnsi="Palatino Linotype"/>
          <w:sz w:val="26"/>
          <w:szCs w:val="20"/>
        </w:rPr>
        <w:t>that i</w:t>
      </w:r>
      <w:r w:rsidRPr="007A1A2A" w:rsidR="007A0A70">
        <w:rPr>
          <w:rFonts w:ascii="Palatino Linotype" w:hAnsi="Palatino Linotype"/>
          <w:sz w:val="26"/>
          <w:szCs w:val="20"/>
        </w:rPr>
        <w:t>t is reasonable to authorize the</w:t>
      </w:r>
      <w:r w:rsidRPr="007A1A2A" w:rsidR="005B0728">
        <w:rPr>
          <w:rFonts w:ascii="Palatino Linotype" w:hAnsi="Palatino Linotype"/>
          <w:sz w:val="26"/>
          <w:szCs w:val="20"/>
        </w:rPr>
        <w:t xml:space="preserve"> Modified</w:t>
      </w:r>
      <w:r w:rsidRPr="007A1A2A" w:rsidR="007A0A70">
        <w:rPr>
          <w:rFonts w:ascii="Palatino Linotype" w:hAnsi="Palatino Linotype"/>
          <w:sz w:val="26"/>
          <w:szCs w:val="20"/>
        </w:rPr>
        <w:t xml:space="preserve"> </w:t>
      </w:r>
      <w:r w:rsidRPr="007A1A2A" w:rsidR="00BF4257">
        <w:rPr>
          <w:rFonts w:ascii="Palatino Linotype" w:hAnsi="Palatino Linotype"/>
          <w:sz w:val="26"/>
          <w:szCs w:val="20"/>
        </w:rPr>
        <w:t>Cost Allocation Mechanism</w:t>
      </w:r>
      <w:r w:rsidR="00F91388">
        <w:rPr>
          <w:rFonts w:ascii="Palatino Linotype" w:hAnsi="Palatino Linotype"/>
          <w:sz w:val="26"/>
          <w:szCs w:val="20"/>
        </w:rPr>
        <w:t xml:space="preserve"> being developed in</w:t>
      </w:r>
      <w:r w:rsidR="000F00AD">
        <w:rPr>
          <w:rFonts w:ascii="Palatino Linotype" w:hAnsi="Palatino Linotype"/>
          <w:sz w:val="26"/>
          <w:szCs w:val="20"/>
        </w:rPr>
        <w:t xml:space="preserve"> the I</w:t>
      </w:r>
      <w:r w:rsidR="00B33B1B">
        <w:rPr>
          <w:rFonts w:ascii="Palatino Linotype" w:hAnsi="Palatino Linotype"/>
          <w:sz w:val="26"/>
          <w:szCs w:val="20"/>
        </w:rPr>
        <w:t xml:space="preserve">ntegrated </w:t>
      </w:r>
      <w:r w:rsidR="000F00AD">
        <w:rPr>
          <w:rFonts w:ascii="Palatino Linotype" w:hAnsi="Palatino Linotype"/>
          <w:sz w:val="26"/>
          <w:szCs w:val="20"/>
        </w:rPr>
        <w:t>R</w:t>
      </w:r>
      <w:r w:rsidR="00B33B1B">
        <w:rPr>
          <w:rFonts w:ascii="Palatino Linotype" w:hAnsi="Palatino Linotype"/>
          <w:sz w:val="26"/>
          <w:szCs w:val="20"/>
        </w:rPr>
        <w:t xml:space="preserve">esource </w:t>
      </w:r>
      <w:r w:rsidR="000F00AD">
        <w:rPr>
          <w:rFonts w:ascii="Palatino Linotype" w:hAnsi="Palatino Linotype"/>
          <w:sz w:val="26"/>
          <w:szCs w:val="20"/>
        </w:rPr>
        <w:t>P</w:t>
      </w:r>
      <w:r w:rsidR="00B33B1B">
        <w:rPr>
          <w:rFonts w:ascii="Palatino Linotype" w:hAnsi="Palatino Linotype"/>
          <w:sz w:val="26"/>
          <w:szCs w:val="20"/>
        </w:rPr>
        <w:t>lanning</w:t>
      </w:r>
      <w:r w:rsidR="000F00AD">
        <w:rPr>
          <w:rFonts w:ascii="Palatino Linotype" w:hAnsi="Palatino Linotype"/>
          <w:sz w:val="26"/>
          <w:szCs w:val="20"/>
        </w:rPr>
        <w:t xml:space="preserve"> proceeding</w:t>
      </w:r>
      <w:r w:rsidRPr="007A1A2A" w:rsidR="00BF4257">
        <w:rPr>
          <w:rFonts w:ascii="Palatino Linotype" w:hAnsi="Palatino Linotype"/>
          <w:sz w:val="26"/>
          <w:szCs w:val="20"/>
        </w:rPr>
        <w:t xml:space="preserve">, </w:t>
      </w:r>
      <w:r w:rsidR="00F91388">
        <w:rPr>
          <w:rFonts w:ascii="Palatino Linotype" w:hAnsi="Palatino Linotype"/>
          <w:sz w:val="26"/>
          <w:szCs w:val="20"/>
        </w:rPr>
        <w:t>once</w:t>
      </w:r>
      <w:r w:rsidRPr="007A1A2A" w:rsidR="00F91388">
        <w:rPr>
          <w:rFonts w:ascii="Palatino Linotype" w:hAnsi="Palatino Linotype"/>
          <w:sz w:val="26"/>
          <w:szCs w:val="20"/>
        </w:rPr>
        <w:t xml:space="preserve"> </w:t>
      </w:r>
      <w:r w:rsidR="000F00AD">
        <w:rPr>
          <w:rFonts w:ascii="Palatino Linotype" w:hAnsi="Palatino Linotype"/>
          <w:sz w:val="26"/>
          <w:szCs w:val="20"/>
        </w:rPr>
        <w:t>it is finalized</w:t>
      </w:r>
      <w:r w:rsidR="00F91388">
        <w:rPr>
          <w:rFonts w:ascii="Palatino Linotype" w:hAnsi="Palatino Linotype"/>
          <w:sz w:val="26"/>
          <w:szCs w:val="20"/>
        </w:rPr>
        <w:t>,</w:t>
      </w:r>
      <w:r w:rsidRPr="007A1A2A" w:rsidR="00BF4257">
        <w:rPr>
          <w:rFonts w:ascii="Palatino Linotype" w:hAnsi="Palatino Linotype"/>
          <w:sz w:val="26"/>
          <w:szCs w:val="20"/>
        </w:rPr>
        <w:t xml:space="preserve"> </w:t>
      </w:r>
      <w:r w:rsidRPr="007A1A2A" w:rsidR="007A0A70">
        <w:rPr>
          <w:rFonts w:ascii="Palatino Linotype" w:hAnsi="Palatino Linotype"/>
          <w:sz w:val="26"/>
          <w:szCs w:val="20"/>
        </w:rPr>
        <w:t xml:space="preserve">to </w:t>
      </w:r>
      <w:r w:rsidRPr="007A1A2A" w:rsidR="007014AF">
        <w:rPr>
          <w:rFonts w:ascii="Palatino Linotype" w:hAnsi="Palatino Linotype"/>
          <w:sz w:val="26"/>
          <w:szCs w:val="20"/>
        </w:rPr>
        <w:t>appl</w:t>
      </w:r>
      <w:r w:rsidRPr="007A1A2A" w:rsidR="007A0A70">
        <w:rPr>
          <w:rFonts w:ascii="Palatino Linotype" w:hAnsi="Palatino Linotype"/>
          <w:sz w:val="26"/>
          <w:szCs w:val="20"/>
        </w:rPr>
        <w:t xml:space="preserve">y </w:t>
      </w:r>
      <w:r w:rsidRPr="007A1A2A" w:rsidR="00BF4257">
        <w:rPr>
          <w:rFonts w:ascii="Palatino Linotype" w:hAnsi="Palatino Linotype"/>
          <w:sz w:val="26"/>
          <w:szCs w:val="20"/>
        </w:rPr>
        <w:t xml:space="preserve">to the </w:t>
      </w:r>
      <w:r w:rsidRPr="007A1A2A" w:rsidR="00AA3645">
        <w:rPr>
          <w:rFonts w:ascii="Palatino Linotype" w:hAnsi="Palatino Linotype"/>
          <w:sz w:val="26"/>
          <w:szCs w:val="20"/>
        </w:rPr>
        <w:t>R</w:t>
      </w:r>
      <w:r w:rsidR="00B33B1B">
        <w:rPr>
          <w:rFonts w:ascii="Palatino Linotype" w:hAnsi="Palatino Linotype"/>
          <w:sz w:val="26"/>
          <w:szCs w:val="20"/>
        </w:rPr>
        <w:t xml:space="preserve">esource </w:t>
      </w:r>
      <w:r w:rsidRPr="007A1A2A" w:rsidR="00AA3645">
        <w:rPr>
          <w:rFonts w:ascii="Palatino Linotype" w:hAnsi="Palatino Linotype"/>
          <w:sz w:val="26"/>
          <w:szCs w:val="20"/>
        </w:rPr>
        <w:t>A</w:t>
      </w:r>
      <w:r w:rsidR="00B33B1B">
        <w:rPr>
          <w:rFonts w:ascii="Palatino Linotype" w:hAnsi="Palatino Linotype"/>
          <w:sz w:val="26"/>
          <w:szCs w:val="20"/>
        </w:rPr>
        <w:t xml:space="preserve">dequacy </w:t>
      </w:r>
      <w:r w:rsidRPr="007A1A2A" w:rsidR="00AA3645">
        <w:rPr>
          <w:rFonts w:ascii="Palatino Linotype" w:hAnsi="Palatino Linotype"/>
          <w:sz w:val="26"/>
          <w:szCs w:val="20"/>
        </w:rPr>
        <w:t>only</w:t>
      </w:r>
      <w:r w:rsidRPr="007A1A2A" w:rsidR="00BF4257">
        <w:rPr>
          <w:rFonts w:ascii="Palatino Linotype" w:hAnsi="Palatino Linotype"/>
          <w:sz w:val="26"/>
          <w:szCs w:val="20"/>
        </w:rPr>
        <w:t xml:space="preserve"> </w:t>
      </w:r>
      <w:r w:rsidR="0012188E">
        <w:rPr>
          <w:rFonts w:ascii="Palatino Linotype" w:hAnsi="Palatino Linotype"/>
          <w:sz w:val="26"/>
          <w:szCs w:val="20"/>
        </w:rPr>
        <w:t xml:space="preserve">and tolling </w:t>
      </w:r>
      <w:r w:rsidRPr="007A1A2A" w:rsidR="00BF4257">
        <w:rPr>
          <w:rFonts w:ascii="Palatino Linotype" w:hAnsi="Palatino Linotype"/>
          <w:sz w:val="26"/>
          <w:szCs w:val="20"/>
        </w:rPr>
        <w:t>contracts.</w:t>
      </w:r>
    </w:p>
    <w:p w:rsidRPr="00F6257E" w:rsidR="009A081F" w:rsidP="003B245E" w:rsidRDefault="009A081F" w14:paraId="41C76F3B" w14:textId="592DF99B">
      <w:pPr>
        <w:pStyle w:val="ListParagraph"/>
        <w:numPr>
          <w:ilvl w:val="0"/>
          <w:numId w:val="19"/>
        </w:numPr>
        <w:rPr>
          <w:rFonts w:ascii="Palatino Linotype" w:hAnsi="Palatino Linotype"/>
          <w:sz w:val="26"/>
          <w:szCs w:val="20"/>
        </w:rPr>
      </w:pPr>
      <w:r w:rsidRPr="00F6257E">
        <w:rPr>
          <w:rFonts w:ascii="Palatino Linotype" w:hAnsi="Palatino Linotype"/>
          <w:sz w:val="26"/>
          <w:szCs w:val="20"/>
        </w:rPr>
        <w:t xml:space="preserve">Additional </w:t>
      </w:r>
      <w:r w:rsidR="00426B59">
        <w:rPr>
          <w:rFonts w:ascii="Palatino Linotype" w:hAnsi="Palatino Linotype"/>
          <w:sz w:val="26"/>
          <w:szCs w:val="20"/>
        </w:rPr>
        <w:t>GHG</w:t>
      </w:r>
      <w:r w:rsidRPr="00F6257E">
        <w:rPr>
          <w:rFonts w:ascii="Palatino Linotype" w:hAnsi="Palatino Linotype"/>
          <w:sz w:val="26"/>
          <w:szCs w:val="20"/>
        </w:rPr>
        <w:t xml:space="preserve"> </w:t>
      </w:r>
      <w:r w:rsidRPr="00F6257E" w:rsidR="00160EEB">
        <w:rPr>
          <w:rFonts w:ascii="Palatino Linotype" w:hAnsi="Palatino Linotype"/>
          <w:sz w:val="26"/>
          <w:szCs w:val="20"/>
        </w:rPr>
        <w:t xml:space="preserve">impact </w:t>
      </w:r>
      <w:r w:rsidRPr="00F6257E">
        <w:rPr>
          <w:rFonts w:ascii="Palatino Linotype" w:hAnsi="Palatino Linotype"/>
          <w:sz w:val="26"/>
          <w:szCs w:val="20"/>
        </w:rPr>
        <w:t xml:space="preserve">analysis </w:t>
      </w:r>
      <w:r w:rsidRPr="00F6257E" w:rsidR="00C4368D">
        <w:rPr>
          <w:rFonts w:ascii="Palatino Linotype" w:hAnsi="Palatino Linotype"/>
          <w:sz w:val="26"/>
          <w:szCs w:val="20"/>
        </w:rPr>
        <w:t xml:space="preserve">that can attribute specific GHG reductions to specific contracts that will operate in the wholesale market </w:t>
      </w:r>
      <w:r w:rsidRPr="00F6257E">
        <w:rPr>
          <w:rFonts w:ascii="Palatino Linotype" w:hAnsi="Palatino Linotype"/>
          <w:sz w:val="26"/>
          <w:szCs w:val="20"/>
        </w:rPr>
        <w:t>is not a prerequisite for approval</w:t>
      </w:r>
      <w:r w:rsidRPr="00F6257E" w:rsidR="007C3CCD">
        <w:rPr>
          <w:rFonts w:ascii="Palatino Linotype" w:hAnsi="Palatino Linotype"/>
          <w:sz w:val="26"/>
          <w:szCs w:val="20"/>
        </w:rPr>
        <w:t xml:space="preserve"> or partial approval</w:t>
      </w:r>
      <w:r w:rsidRPr="00F6257E">
        <w:rPr>
          <w:rFonts w:ascii="Palatino Linotype" w:hAnsi="Palatino Linotype"/>
          <w:sz w:val="26"/>
          <w:szCs w:val="20"/>
        </w:rPr>
        <w:t xml:space="preserve"> of AL </w:t>
      </w:r>
      <w:r w:rsidRPr="00F6257E" w:rsidR="00AA3645">
        <w:rPr>
          <w:rFonts w:ascii="Palatino Linotype" w:hAnsi="Palatino Linotype"/>
          <w:sz w:val="26"/>
          <w:szCs w:val="20"/>
        </w:rPr>
        <w:t>3605-E</w:t>
      </w:r>
      <w:r w:rsidRPr="00F6257E">
        <w:rPr>
          <w:rFonts w:ascii="Palatino Linotype" w:hAnsi="Palatino Linotype"/>
          <w:sz w:val="26"/>
          <w:szCs w:val="20"/>
        </w:rPr>
        <w:t>.</w:t>
      </w:r>
    </w:p>
    <w:p w:rsidR="001C538D" w:rsidP="00AF327A" w:rsidRDefault="001C538D" w14:paraId="79879FD0" w14:textId="77777777">
      <w:pPr>
        <w:pStyle w:val="Heading1"/>
        <w:spacing w:before="0" w:after="0"/>
        <w:jc w:val="both"/>
      </w:pPr>
      <w:proofErr w:type="gramStart"/>
      <w:r w:rsidRPr="008C204D">
        <w:t>Therefore</w:t>
      </w:r>
      <w:proofErr w:type="gramEnd"/>
      <w:r w:rsidRPr="008C204D">
        <w:t xml:space="preserve"> it is ordered that:</w:t>
      </w:r>
    </w:p>
    <w:p w:rsidRPr="00A71DC6" w:rsidR="00A71DC6" w:rsidP="003B245E" w:rsidRDefault="00A71DC6" w14:paraId="630AD4B0" w14:textId="77777777">
      <w:pPr>
        <w:pStyle w:val="standard"/>
      </w:pPr>
    </w:p>
    <w:p w:rsidR="00B81116" w:rsidP="0068753E" w:rsidRDefault="00673FEE" w14:paraId="6BC7E5DF" w14:textId="02C2555B">
      <w:pPr>
        <w:numPr>
          <w:ilvl w:val="0"/>
          <w:numId w:val="4"/>
        </w:numPr>
        <w:rPr>
          <w:rFonts w:ascii="Palatino Linotype" w:hAnsi="Palatino Linotype" w:cs="Arial"/>
        </w:rPr>
      </w:pPr>
      <w:r>
        <w:rPr>
          <w:rFonts w:ascii="Palatino Linotype" w:hAnsi="Palatino Linotype" w:cs="Arial"/>
        </w:rPr>
        <w:t>The R</w:t>
      </w:r>
      <w:r w:rsidR="003334E8">
        <w:rPr>
          <w:rFonts w:ascii="Palatino Linotype" w:hAnsi="Palatino Linotype" w:cs="Arial"/>
        </w:rPr>
        <w:t xml:space="preserve">esource </w:t>
      </w:r>
      <w:r>
        <w:rPr>
          <w:rFonts w:ascii="Palatino Linotype" w:hAnsi="Palatino Linotype" w:cs="Arial"/>
        </w:rPr>
        <w:t>A</w:t>
      </w:r>
      <w:r w:rsidR="003334E8">
        <w:rPr>
          <w:rFonts w:ascii="Palatino Linotype" w:hAnsi="Palatino Linotype" w:cs="Arial"/>
        </w:rPr>
        <w:t xml:space="preserve">dequacy </w:t>
      </w:r>
      <w:r>
        <w:rPr>
          <w:rFonts w:ascii="Palatino Linotype" w:hAnsi="Palatino Linotype" w:cs="Arial"/>
        </w:rPr>
        <w:t>only contracts</w:t>
      </w:r>
      <w:r w:rsidR="008B48B7">
        <w:rPr>
          <w:rFonts w:ascii="Palatino Linotype" w:hAnsi="Palatino Linotype" w:cs="Arial"/>
        </w:rPr>
        <w:t xml:space="preserve"> and tolling agreement</w:t>
      </w:r>
      <w:r>
        <w:rPr>
          <w:rFonts w:ascii="Palatino Linotype" w:hAnsi="Palatino Linotype" w:cs="Arial"/>
        </w:rPr>
        <w:t xml:space="preserve"> contained in Advice Letter 3605-E are approved.</w:t>
      </w:r>
      <w:r w:rsidR="00C4368D">
        <w:rPr>
          <w:rFonts w:ascii="Palatino Linotype" w:hAnsi="Palatino Linotype" w:cs="Arial"/>
        </w:rPr>
        <w:t xml:space="preserve"> </w:t>
      </w:r>
    </w:p>
    <w:tbl>
      <w:tblPr>
        <w:tblW w:w="9345" w:type="dxa"/>
        <w:tblLook w:val="04A0" w:firstRow="1" w:lastRow="0" w:firstColumn="1" w:lastColumn="0" w:noHBand="0" w:noVBand="1"/>
      </w:tblPr>
      <w:tblGrid>
        <w:gridCol w:w="1627"/>
        <w:gridCol w:w="1402"/>
        <w:gridCol w:w="1307"/>
        <w:gridCol w:w="1316"/>
        <w:gridCol w:w="1091"/>
        <w:gridCol w:w="1329"/>
        <w:gridCol w:w="1273"/>
      </w:tblGrid>
      <w:tr w:rsidRPr="005C757A" w:rsidR="00C4368D" w:rsidTr="00F6257E" w14:paraId="6FADF7A7" w14:textId="77777777">
        <w:trPr>
          <w:trHeight w:val="1050"/>
        </w:trPr>
        <w:tc>
          <w:tcPr>
            <w:tcW w:w="16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72273E91"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 xml:space="preserve">Counterparty / Project Name </w:t>
            </w:r>
          </w:p>
        </w:tc>
        <w:tc>
          <w:tcPr>
            <w:tcW w:w="1402"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6698344A"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Technology type</w:t>
            </w:r>
          </w:p>
        </w:tc>
        <w:tc>
          <w:tcPr>
            <w:tcW w:w="1307"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781ADF35"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Contract type</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39F1FCC6"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Nameplate Capacity (MW)</w:t>
            </w:r>
          </w:p>
        </w:tc>
        <w:tc>
          <w:tcPr>
            <w:tcW w:w="1091"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137B0FF9"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Online Date</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73208757"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Term of Agreement (Years)</w:t>
            </w:r>
          </w:p>
        </w:tc>
        <w:tc>
          <w:tcPr>
            <w:tcW w:w="1273" w:type="dxa"/>
            <w:tcBorders>
              <w:top w:val="single" w:color="auto" w:sz="8" w:space="0"/>
              <w:left w:val="nil"/>
              <w:bottom w:val="single" w:color="auto" w:sz="8" w:space="0"/>
              <w:right w:val="single" w:color="auto" w:sz="4" w:space="0"/>
            </w:tcBorders>
            <w:vAlign w:val="center"/>
          </w:tcPr>
          <w:p w:rsidRPr="005C757A" w:rsidR="00C4368D" w:rsidP="00E166B4" w:rsidRDefault="00C4368D" w14:paraId="41F5042D" w14:textId="77777777">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Approved</w:t>
            </w:r>
          </w:p>
        </w:tc>
      </w:tr>
      <w:tr w:rsidRPr="005C757A" w:rsidR="00C4368D" w:rsidTr="00F6257E" w14:paraId="5560C27B" w14:textId="77777777">
        <w:trPr>
          <w:trHeight w:val="1663"/>
        </w:trPr>
        <w:tc>
          <w:tcPr>
            <w:tcW w:w="1627" w:type="dxa"/>
            <w:tcBorders>
              <w:top w:val="nil"/>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0002C28D"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LS Power</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Vista Energy Storage</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San Diego</w:t>
            </w:r>
            <w:r w:rsidRPr="005C757A">
              <w:rPr>
                <w:rFonts w:ascii="Palatino Linotype" w:hAnsi="Palatino Linotype" w:cs="Calibri"/>
                <w:color w:val="000000"/>
                <w:sz w:val="22"/>
                <w:szCs w:val="22"/>
              </w:rPr>
              <w:t xml:space="preserve"> County </w:t>
            </w:r>
          </w:p>
        </w:tc>
        <w:tc>
          <w:tcPr>
            <w:tcW w:w="1402"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04EE3886"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2F018C" w:rsidR="00C4368D" w:rsidP="00E166B4" w:rsidRDefault="00C4368D" w14:paraId="41FB20FB" w14:textId="06BA4A53">
            <w:pPr>
              <w:jc w:val="center"/>
              <w:rPr>
                <w:rFonts w:ascii="Palatino Linotype" w:hAnsi="Palatino Linotype" w:cs="Calibri"/>
                <w:color w:val="FF0000"/>
                <w:sz w:val="22"/>
                <w:szCs w:val="22"/>
              </w:rPr>
            </w:pPr>
            <w:r>
              <w:rPr>
                <w:rFonts w:ascii="Palatino Linotype" w:hAnsi="Palatino Linotype" w:cs="Calibri"/>
                <w:color w:val="000000"/>
                <w:sz w:val="22"/>
                <w:szCs w:val="22"/>
              </w:rPr>
              <w:t>R</w:t>
            </w:r>
            <w:r w:rsidR="003334E8">
              <w:rPr>
                <w:rFonts w:ascii="Palatino Linotype" w:hAnsi="Palatino Linotype" w:cs="Calibri"/>
                <w:color w:val="000000"/>
                <w:sz w:val="22"/>
                <w:szCs w:val="22"/>
              </w:rPr>
              <w:t xml:space="preserve">esource </w:t>
            </w:r>
            <w:r>
              <w:rPr>
                <w:rFonts w:ascii="Palatino Linotype" w:hAnsi="Palatino Linotype" w:cs="Calibri"/>
                <w:color w:val="000000"/>
                <w:sz w:val="22"/>
                <w:szCs w:val="22"/>
              </w:rPr>
              <w:t>A</w:t>
            </w:r>
            <w:r w:rsidR="003334E8">
              <w:rPr>
                <w:rFonts w:ascii="Palatino Linotype" w:hAnsi="Palatino Linotype" w:cs="Calibri"/>
                <w:color w:val="000000"/>
                <w:sz w:val="22"/>
                <w:szCs w:val="22"/>
              </w:rPr>
              <w:t>dequacy</w:t>
            </w:r>
            <w:r>
              <w:rPr>
                <w:rFonts w:ascii="Palatino Linotype" w:hAnsi="Palatino Linotype" w:cs="Calibri"/>
                <w:color w:val="000000"/>
                <w:sz w:val="22"/>
                <w:szCs w:val="22"/>
              </w:rPr>
              <w:t xml:space="preserve"> contract</w:t>
            </w:r>
          </w:p>
        </w:tc>
        <w:tc>
          <w:tcPr>
            <w:tcW w:w="1316"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5A2D1C9D"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10</w:t>
            </w:r>
          </w:p>
        </w:tc>
        <w:tc>
          <w:tcPr>
            <w:tcW w:w="1091"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0FAF9532"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r>
              <w:rPr>
                <w:rFonts w:ascii="Palatino Linotype" w:hAnsi="Palatino Linotype" w:cs="Calibri"/>
                <w:color w:val="000000"/>
                <w:sz w:val="22"/>
                <w:szCs w:val="22"/>
              </w:rPr>
              <w:t xml:space="preserve"> (plus 10 MW 8/2/2022)  </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5DFB50B1"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15</w:t>
            </w:r>
          </w:p>
        </w:tc>
        <w:tc>
          <w:tcPr>
            <w:tcW w:w="1273" w:type="dxa"/>
            <w:tcBorders>
              <w:top w:val="single" w:color="auto" w:sz="8" w:space="0"/>
              <w:left w:val="nil"/>
              <w:bottom w:val="single" w:color="auto" w:sz="8" w:space="0"/>
              <w:right w:val="single" w:color="auto" w:sz="4" w:space="0"/>
            </w:tcBorders>
            <w:vAlign w:val="center"/>
          </w:tcPr>
          <w:p w:rsidRPr="005C757A" w:rsidR="00C4368D" w:rsidP="00E166B4" w:rsidRDefault="00C4368D" w14:paraId="0D53729E"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r w:rsidRPr="005C757A" w:rsidR="00C4368D" w:rsidTr="00F6257E" w14:paraId="12B92BDB" w14:textId="77777777">
        <w:trPr>
          <w:trHeight w:val="1762"/>
        </w:trPr>
        <w:tc>
          <w:tcPr>
            <w:tcW w:w="1627" w:type="dxa"/>
            <w:tcBorders>
              <w:top w:val="nil"/>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7C11D387"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lastRenderedPageBreak/>
              <w:t>Terra Gen</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Valley Center</w:t>
            </w:r>
            <w:r w:rsidRPr="005C757A">
              <w:rPr>
                <w:rFonts w:ascii="Palatino Linotype" w:hAnsi="Palatino Linotype" w:cs="Calibri"/>
                <w:color w:val="000000"/>
                <w:sz w:val="22"/>
                <w:szCs w:val="22"/>
              </w:rPr>
              <w:t xml:space="preserve"> Energy Storage/ </w:t>
            </w:r>
            <w:r>
              <w:rPr>
                <w:rFonts w:ascii="Palatino Linotype" w:hAnsi="Palatino Linotype" w:cs="Calibri"/>
                <w:color w:val="000000"/>
                <w:sz w:val="22"/>
                <w:szCs w:val="22"/>
              </w:rPr>
              <w:t>San Di</w:t>
            </w:r>
            <w:r w:rsidRPr="005C757A">
              <w:rPr>
                <w:rFonts w:ascii="Palatino Linotype" w:hAnsi="Palatino Linotype" w:cs="Calibri"/>
                <w:color w:val="000000"/>
                <w:sz w:val="22"/>
                <w:szCs w:val="22"/>
              </w:rPr>
              <w:t>e</w:t>
            </w:r>
            <w:r>
              <w:rPr>
                <w:rFonts w:ascii="Palatino Linotype" w:hAnsi="Palatino Linotype" w:cs="Calibri"/>
                <w:color w:val="000000"/>
                <w:sz w:val="22"/>
                <w:szCs w:val="22"/>
              </w:rPr>
              <w:t>go</w:t>
            </w:r>
            <w:r w:rsidRPr="005C757A">
              <w:rPr>
                <w:rFonts w:ascii="Palatino Linotype" w:hAnsi="Palatino Linotype" w:cs="Calibri"/>
                <w:color w:val="000000"/>
                <w:sz w:val="22"/>
                <w:szCs w:val="22"/>
              </w:rPr>
              <w:t xml:space="preserve"> County </w:t>
            </w:r>
          </w:p>
        </w:tc>
        <w:tc>
          <w:tcPr>
            <w:tcW w:w="1402"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52ECE2FE"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64CD1B57" w14:textId="7360E1A2">
            <w:pPr>
              <w:jc w:val="center"/>
              <w:rPr>
                <w:rFonts w:ascii="Palatino Linotype" w:hAnsi="Palatino Linotype" w:cs="Calibri"/>
                <w:color w:val="000000"/>
                <w:sz w:val="22"/>
                <w:szCs w:val="22"/>
              </w:rPr>
            </w:pPr>
            <w:r>
              <w:rPr>
                <w:rFonts w:ascii="Palatino Linotype" w:hAnsi="Palatino Linotype" w:cs="Calibri"/>
                <w:color w:val="000000"/>
                <w:sz w:val="22"/>
                <w:szCs w:val="22"/>
              </w:rPr>
              <w:t>R</w:t>
            </w:r>
            <w:r w:rsidR="003334E8">
              <w:rPr>
                <w:rFonts w:ascii="Palatino Linotype" w:hAnsi="Palatino Linotype" w:cs="Calibri"/>
                <w:color w:val="000000"/>
                <w:sz w:val="22"/>
                <w:szCs w:val="22"/>
              </w:rPr>
              <w:t xml:space="preserve">esource </w:t>
            </w:r>
            <w:r>
              <w:rPr>
                <w:rFonts w:ascii="Palatino Linotype" w:hAnsi="Palatino Linotype" w:cs="Calibri"/>
                <w:color w:val="000000"/>
                <w:sz w:val="22"/>
                <w:szCs w:val="22"/>
              </w:rPr>
              <w:t>A</w:t>
            </w:r>
            <w:r w:rsidR="003334E8">
              <w:rPr>
                <w:rFonts w:ascii="Palatino Linotype" w:hAnsi="Palatino Linotype" w:cs="Calibri"/>
                <w:color w:val="000000"/>
                <w:sz w:val="22"/>
                <w:szCs w:val="22"/>
              </w:rPr>
              <w:t>dequacy</w:t>
            </w:r>
            <w:r>
              <w:rPr>
                <w:rFonts w:ascii="Palatino Linotype" w:hAnsi="Palatino Linotype" w:cs="Calibri"/>
                <w:color w:val="000000"/>
                <w:sz w:val="22"/>
                <w:szCs w:val="22"/>
              </w:rPr>
              <w:t xml:space="preserve"> contract</w:t>
            </w:r>
          </w:p>
        </w:tc>
        <w:tc>
          <w:tcPr>
            <w:tcW w:w="1316"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2B9EB61E"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50</w:t>
            </w:r>
          </w:p>
        </w:tc>
        <w:tc>
          <w:tcPr>
            <w:tcW w:w="1091"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02BD6AC1"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37B51706"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15</w:t>
            </w:r>
          </w:p>
        </w:tc>
        <w:tc>
          <w:tcPr>
            <w:tcW w:w="1273" w:type="dxa"/>
            <w:tcBorders>
              <w:top w:val="single" w:color="auto" w:sz="8" w:space="0"/>
              <w:left w:val="nil"/>
              <w:bottom w:val="single" w:color="auto" w:sz="8" w:space="0"/>
              <w:right w:val="single" w:color="auto" w:sz="4" w:space="0"/>
            </w:tcBorders>
            <w:vAlign w:val="center"/>
          </w:tcPr>
          <w:p w:rsidRPr="005C757A" w:rsidR="00C4368D" w:rsidP="00E166B4" w:rsidRDefault="00C4368D" w14:paraId="394121C4"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r w:rsidRPr="005C757A" w:rsidR="00C4368D" w:rsidTr="00F6257E" w14:paraId="2797F4D7" w14:textId="77777777">
        <w:trPr>
          <w:trHeight w:val="1798"/>
        </w:trPr>
        <w:tc>
          <w:tcPr>
            <w:tcW w:w="1627" w:type="dxa"/>
            <w:tcBorders>
              <w:top w:val="nil"/>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64D42741"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Terra Gen</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Valley Center</w:t>
            </w:r>
            <w:r w:rsidRPr="005C757A">
              <w:rPr>
                <w:rFonts w:ascii="Palatino Linotype" w:hAnsi="Palatino Linotype" w:cs="Calibri"/>
                <w:color w:val="000000"/>
                <w:sz w:val="22"/>
                <w:szCs w:val="22"/>
              </w:rPr>
              <w:t xml:space="preserve"> Energy Storage</w:t>
            </w:r>
            <w:r>
              <w:rPr>
                <w:rFonts w:ascii="Palatino Linotype" w:hAnsi="Palatino Linotype" w:cs="Calibri"/>
                <w:color w:val="000000"/>
                <w:sz w:val="22"/>
                <w:szCs w:val="22"/>
              </w:rPr>
              <w:t xml:space="preserve"> II</w:t>
            </w:r>
            <w:r w:rsidRPr="005C757A">
              <w:rPr>
                <w:rFonts w:ascii="Palatino Linotype" w:hAnsi="Palatino Linotype" w:cs="Calibri"/>
                <w:color w:val="000000"/>
                <w:sz w:val="22"/>
                <w:szCs w:val="22"/>
              </w:rPr>
              <w:t xml:space="preserve">/ </w:t>
            </w:r>
            <w:r>
              <w:rPr>
                <w:rFonts w:ascii="Palatino Linotype" w:hAnsi="Palatino Linotype" w:cs="Calibri"/>
                <w:color w:val="000000"/>
                <w:sz w:val="22"/>
                <w:szCs w:val="22"/>
              </w:rPr>
              <w:t>San Di</w:t>
            </w:r>
            <w:r w:rsidRPr="005C757A">
              <w:rPr>
                <w:rFonts w:ascii="Palatino Linotype" w:hAnsi="Palatino Linotype" w:cs="Calibri"/>
                <w:color w:val="000000"/>
                <w:sz w:val="22"/>
                <w:szCs w:val="22"/>
              </w:rPr>
              <w:t>e</w:t>
            </w:r>
            <w:r>
              <w:rPr>
                <w:rFonts w:ascii="Palatino Linotype" w:hAnsi="Palatino Linotype" w:cs="Calibri"/>
                <w:color w:val="000000"/>
                <w:sz w:val="22"/>
                <w:szCs w:val="22"/>
              </w:rPr>
              <w:t>go</w:t>
            </w:r>
            <w:r w:rsidRPr="005C757A">
              <w:rPr>
                <w:rFonts w:ascii="Palatino Linotype" w:hAnsi="Palatino Linotype" w:cs="Calibri"/>
                <w:color w:val="000000"/>
                <w:sz w:val="22"/>
                <w:szCs w:val="22"/>
              </w:rPr>
              <w:t xml:space="preserve"> County</w:t>
            </w:r>
          </w:p>
        </w:tc>
        <w:tc>
          <w:tcPr>
            <w:tcW w:w="1402"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39F2D962"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348A463D"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Power Purchase Agreement</w:t>
            </w:r>
          </w:p>
        </w:tc>
        <w:tc>
          <w:tcPr>
            <w:tcW w:w="1316"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37B5707F"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5</w:t>
            </w:r>
            <w:r>
              <w:rPr>
                <w:rFonts w:ascii="Palatino Linotype" w:hAnsi="Palatino Linotype" w:cs="Calibri"/>
                <w:color w:val="000000"/>
                <w:sz w:val="22"/>
                <w:szCs w:val="22"/>
              </w:rPr>
              <w:t>4</w:t>
            </w:r>
          </w:p>
        </w:tc>
        <w:tc>
          <w:tcPr>
            <w:tcW w:w="1091"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46A985EA"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70832A50"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1</w:t>
            </w:r>
            <w:r>
              <w:rPr>
                <w:rFonts w:ascii="Palatino Linotype" w:hAnsi="Palatino Linotype" w:cs="Calibri"/>
                <w:color w:val="000000"/>
                <w:sz w:val="22"/>
                <w:szCs w:val="22"/>
              </w:rPr>
              <w:t>5</w:t>
            </w:r>
          </w:p>
        </w:tc>
        <w:tc>
          <w:tcPr>
            <w:tcW w:w="1273" w:type="dxa"/>
            <w:tcBorders>
              <w:top w:val="single" w:color="auto" w:sz="8" w:space="0"/>
              <w:left w:val="nil"/>
              <w:bottom w:val="single" w:color="auto" w:sz="8" w:space="0"/>
              <w:right w:val="single" w:color="auto" w:sz="4" w:space="0"/>
            </w:tcBorders>
            <w:vAlign w:val="center"/>
          </w:tcPr>
          <w:p w:rsidRPr="005C757A" w:rsidR="00C4368D" w:rsidP="00E166B4" w:rsidRDefault="0012188E" w14:paraId="72FB23C3" w14:textId="0EF689C6">
            <w:pPr>
              <w:jc w:val="center"/>
              <w:rPr>
                <w:rFonts w:ascii="Palatino Linotype" w:hAnsi="Palatino Linotype" w:cs="Calibri"/>
                <w:color w:val="000000"/>
                <w:sz w:val="22"/>
                <w:szCs w:val="22"/>
              </w:rPr>
            </w:pPr>
            <w:r>
              <w:rPr>
                <w:rFonts w:ascii="Palatino Linotype" w:hAnsi="Palatino Linotype" w:cs="Calibri"/>
                <w:color w:val="000000"/>
                <w:sz w:val="22"/>
                <w:szCs w:val="22"/>
              </w:rPr>
              <w:t>yes</w:t>
            </w:r>
          </w:p>
        </w:tc>
      </w:tr>
    </w:tbl>
    <w:p w:rsidR="00C4368D" w:rsidP="00F6257E" w:rsidRDefault="00C4368D" w14:paraId="33E84EE4" w14:textId="77777777">
      <w:pPr>
        <w:ind w:left="420"/>
        <w:rPr>
          <w:rFonts w:ascii="Palatino Linotype" w:hAnsi="Palatino Linotype" w:cs="Arial"/>
        </w:rPr>
      </w:pPr>
    </w:p>
    <w:p w:rsidR="00CC506A" w:rsidP="000C553F" w:rsidRDefault="00B81116" w14:paraId="6E938A71" w14:textId="1044251E">
      <w:pPr>
        <w:numPr>
          <w:ilvl w:val="0"/>
          <w:numId w:val="4"/>
        </w:numPr>
        <w:rPr>
          <w:rFonts w:ascii="Palatino Linotype" w:hAnsi="Palatino Linotype" w:cs="Arial"/>
        </w:rPr>
      </w:pPr>
      <w:r>
        <w:rPr>
          <w:rFonts w:ascii="Palatino Linotype" w:hAnsi="Palatino Linotype" w:cs="Arial"/>
        </w:rPr>
        <w:t xml:space="preserve">The </w:t>
      </w:r>
      <w:r w:rsidR="00673FEE">
        <w:rPr>
          <w:rFonts w:ascii="Palatino Linotype" w:hAnsi="Palatino Linotype" w:cs="Arial"/>
        </w:rPr>
        <w:t>Utility Owned Generation contracts contained in Advice Letter 3605-E are not</w:t>
      </w:r>
      <w:r>
        <w:rPr>
          <w:rFonts w:ascii="Palatino Linotype" w:hAnsi="Palatino Linotype" w:cs="Arial"/>
        </w:rPr>
        <w:t xml:space="preserve"> approved</w:t>
      </w:r>
      <w:r w:rsidR="00D91556">
        <w:rPr>
          <w:rFonts w:ascii="Palatino Linotype" w:hAnsi="Palatino Linotype" w:cs="Arial"/>
        </w:rPr>
        <w:t>.</w:t>
      </w:r>
      <w:r w:rsidR="00D5368F">
        <w:rPr>
          <w:rFonts w:ascii="Palatino Linotype" w:hAnsi="Palatino Linotype" w:cs="Arial"/>
        </w:rPr>
        <w:t xml:space="preserve"> </w:t>
      </w:r>
    </w:p>
    <w:p w:rsidR="00C4368D" w:rsidP="00F6257E" w:rsidRDefault="00C4368D" w14:paraId="2150BB0E" w14:textId="6A4D68B2">
      <w:pPr>
        <w:ind w:left="420"/>
        <w:rPr>
          <w:rFonts w:ascii="Palatino Linotype" w:hAnsi="Palatino Linotype" w:cs="Arial"/>
        </w:rPr>
      </w:pPr>
    </w:p>
    <w:tbl>
      <w:tblPr>
        <w:tblW w:w="9345" w:type="dxa"/>
        <w:tblLook w:val="04A0" w:firstRow="1" w:lastRow="0" w:firstColumn="1" w:lastColumn="0" w:noHBand="0" w:noVBand="1"/>
      </w:tblPr>
      <w:tblGrid>
        <w:gridCol w:w="1627"/>
        <w:gridCol w:w="1402"/>
        <w:gridCol w:w="1307"/>
        <w:gridCol w:w="1316"/>
        <w:gridCol w:w="1091"/>
        <w:gridCol w:w="1329"/>
        <w:gridCol w:w="1273"/>
      </w:tblGrid>
      <w:tr w:rsidRPr="005C757A" w:rsidR="00C4368D" w:rsidTr="00F6257E" w14:paraId="17C18245" w14:textId="77777777">
        <w:trPr>
          <w:trHeight w:val="1050"/>
        </w:trPr>
        <w:tc>
          <w:tcPr>
            <w:tcW w:w="162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1D10601E"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 xml:space="preserve">Counterparty / Project Name </w:t>
            </w:r>
          </w:p>
        </w:tc>
        <w:tc>
          <w:tcPr>
            <w:tcW w:w="1402"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18442901"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Technology type</w:t>
            </w:r>
          </w:p>
        </w:tc>
        <w:tc>
          <w:tcPr>
            <w:tcW w:w="1307"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09E5D77E"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Contract type</w:t>
            </w:r>
          </w:p>
        </w:tc>
        <w:tc>
          <w:tcPr>
            <w:tcW w:w="1316"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5188C53A"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Nameplate Capacity (MW)</w:t>
            </w:r>
          </w:p>
        </w:tc>
        <w:tc>
          <w:tcPr>
            <w:tcW w:w="1091" w:type="dxa"/>
            <w:tcBorders>
              <w:top w:val="single" w:color="auto" w:sz="8" w:space="0"/>
              <w:left w:val="nil"/>
              <w:bottom w:val="single" w:color="auto" w:sz="8" w:space="0"/>
              <w:right w:val="single" w:color="auto" w:sz="8" w:space="0"/>
            </w:tcBorders>
            <w:shd w:val="clear" w:color="auto" w:fill="auto"/>
            <w:vAlign w:val="center"/>
            <w:hideMark/>
          </w:tcPr>
          <w:p w:rsidRPr="005C757A" w:rsidR="00C4368D" w:rsidP="00E166B4" w:rsidRDefault="00C4368D" w14:paraId="070334B7"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Online Date</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210A0083" w14:textId="77777777">
            <w:pPr>
              <w:jc w:val="center"/>
              <w:rPr>
                <w:rFonts w:ascii="Palatino Linotype" w:hAnsi="Palatino Linotype" w:cs="Calibri"/>
                <w:b/>
                <w:bCs/>
                <w:color w:val="000000"/>
                <w:sz w:val="22"/>
                <w:szCs w:val="22"/>
              </w:rPr>
            </w:pPr>
            <w:r w:rsidRPr="005C757A">
              <w:rPr>
                <w:rFonts w:ascii="Palatino Linotype" w:hAnsi="Palatino Linotype" w:cs="Calibri"/>
                <w:b/>
                <w:bCs/>
                <w:color w:val="000000"/>
                <w:sz w:val="22"/>
                <w:szCs w:val="22"/>
              </w:rPr>
              <w:t>Term of Agreement (Years)</w:t>
            </w:r>
          </w:p>
        </w:tc>
        <w:tc>
          <w:tcPr>
            <w:tcW w:w="1273" w:type="dxa"/>
            <w:tcBorders>
              <w:top w:val="single" w:color="auto" w:sz="8" w:space="0"/>
              <w:left w:val="nil"/>
              <w:bottom w:val="single" w:color="auto" w:sz="8" w:space="0"/>
              <w:right w:val="single" w:color="auto" w:sz="4" w:space="0"/>
            </w:tcBorders>
            <w:vAlign w:val="center"/>
          </w:tcPr>
          <w:p w:rsidRPr="005C757A" w:rsidR="00C4368D" w:rsidP="00E166B4" w:rsidRDefault="00C4368D" w14:paraId="17C265A1" w14:textId="77777777">
            <w:pPr>
              <w:jc w:val="center"/>
              <w:rPr>
                <w:rFonts w:ascii="Palatino Linotype" w:hAnsi="Palatino Linotype" w:cs="Calibri"/>
                <w:b/>
                <w:bCs/>
                <w:color w:val="000000"/>
                <w:sz w:val="22"/>
                <w:szCs w:val="22"/>
              </w:rPr>
            </w:pPr>
            <w:r>
              <w:rPr>
                <w:rFonts w:ascii="Palatino Linotype" w:hAnsi="Palatino Linotype" w:cs="Calibri"/>
                <w:b/>
                <w:bCs/>
                <w:color w:val="000000"/>
                <w:sz w:val="22"/>
                <w:szCs w:val="22"/>
              </w:rPr>
              <w:t>Approved</w:t>
            </w:r>
          </w:p>
        </w:tc>
      </w:tr>
      <w:tr w:rsidRPr="005C757A" w:rsidR="00C4368D" w:rsidTr="00F6257E" w14:paraId="5C3B33B5" w14:textId="77777777">
        <w:trPr>
          <w:trHeight w:val="2325"/>
        </w:trPr>
        <w:tc>
          <w:tcPr>
            <w:tcW w:w="1627" w:type="dxa"/>
            <w:tcBorders>
              <w:top w:val="nil"/>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7BDAFF74"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Fluence</w:t>
            </w:r>
            <w:r w:rsidRPr="005C757A">
              <w:rPr>
                <w:rFonts w:ascii="Palatino Linotype" w:hAnsi="Palatino Linotype" w:cs="Calibri"/>
                <w:color w:val="000000"/>
                <w:sz w:val="22"/>
                <w:szCs w:val="22"/>
              </w:rPr>
              <w:t>/</w:t>
            </w:r>
            <w:r>
              <w:rPr>
                <w:rFonts w:ascii="Palatino Linotype" w:hAnsi="Palatino Linotype" w:cs="Calibri"/>
                <w:color w:val="000000"/>
                <w:sz w:val="22"/>
                <w:szCs w:val="22"/>
              </w:rPr>
              <w:t xml:space="preserve"> Melrose</w:t>
            </w:r>
            <w:r w:rsidRPr="005C757A">
              <w:rPr>
                <w:rFonts w:ascii="Palatino Linotype" w:hAnsi="Palatino Linotype" w:cs="Calibri"/>
                <w:color w:val="000000"/>
                <w:sz w:val="22"/>
                <w:szCs w:val="22"/>
              </w:rPr>
              <w:t xml:space="preserve"> Energy Storage/ San Diego County</w:t>
            </w:r>
          </w:p>
        </w:tc>
        <w:tc>
          <w:tcPr>
            <w:tcW w:w="1402"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1B86F742"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Energy Storage</w:t>
            </w:r>
          </w:p>
        </w:tc>
        <w:tc>
          <w:tcPr>
            <w:tcW w:w="1307"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23C86B08"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Utility Owned</w:t>
            </w:r>
          </w:p>
        </w:tc>
        <w:tc>
          <w:tcPr>
            <w:tcW w:w="1316"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5ABED364"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1091"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65C09A16"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28E43A60"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n/a</w:t>
            </w:r>
          </w:p>
        </w:tc>
        <w:tc>
          <w:tcPr>
            <w:tcW w:w="1273" w:type="dxa"/>
            <w:tcBorders>
              <w:top w:val="single" w:color="auto" w:sz="8" w:space="0"/>
              <w:left w:val="nil"/>
              <w:bottom w:val="single" w:color="auto" w:sz="8" w:space="0"/>
              <w:right w:val="single" w:color="auto" w:sz="4" w:space="0"/>
            </w:tcBorders>
            <w:vAlign w:val="center"/>
          </w:tcPr>
          <w:p w:rsidR="00C4368D" w:rsidP="00E166B4" w:rsidRDefault="00C4368D" w14:paraId="56A03C6E"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no</w:t>
            </w:r>
          </w:p>
        </w:tc>
      </w:tr>
      <w:tr w:rsidRPr="005C757A" w:rsidR="00C4368D" w:rsidTr="00F6257E" w14:paraId="25BF8808" w14:textId="77777777">
        <w:trPr>
          <w:trHeight w:val="2325"/>
        </w:trPr>
        <w:tc>
          <w:tcPr>
            <w:tcW w:w="1627" w:type="dxa"/>
            <w:tcBorders>
              <w:top w:val="nil"/>
              <w:left w:val="single" w:color="auto" w:sz="8" w:space="0"/>
              <w:bottom w:val="single" w:color="auto" w:sz="8" w:space="0"/>
              <w:right w:val="single" w:color="auto" w:sz="8" w:space="0"/>
            </w:tcBorders>
            <w:shd w:val="clear" w:color="auto" w:fill="auto"/>
            <w:vAlign w:val="center"/>
            <w:hideMark/>
          </w:tcPr>
          <w:p w:rsidRPr="005C757A" w:rsidR="00C4368D" w:rsidP="00E166B4" w:rsidRDefault="00C4368D" w14:paraId="663B883C"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Fluence</w:t>
            </w:r>
            <w:r w:rsidRPr="005C757A">
              <w:rPr>
                <w:rFonts w:ascii="Palatino Linotype" w:hAnsi="Palatino Linotype" w:cs="Calibri"/>
                <w:color w:val="000000"/>
                <w:sz w:val="22"/>
                <w:szCs w:val="22"/>
              </w:rPr>
              <w:t>/</w:t>
            </w:r>
            <w:r>
              <w:rPr>
                <w:rFonts w:ascii="Palatino Linotype" w:hAnsi="Palatino Linotype" w:cs="Calibri"/>
                <w:color w:val="000000"/>
                <w:sz w:val="22"/>
                <w:szCs w:val="22"/>
              </w:rPr>
              <w:t xml:space="preserve"> Kearny</w:t>
            </w:r>
            <w:r w:rsidRPr="005C757A">
              <w:rPr>
                <w:rFonts w:ascii="Palatino Linotype" w:hAnsi="Palatino Linotype" w:cs="Calibri"/>
                <w:color w:val="000000"/>
                <w:sz w:val="22"/>
                <w:szCs w:val="22"/>
              </w:rPr>
              <w:t xml:space="preserve"> Energy Storage/ </w:t>
            </w:r>
            <w:r>
              <w:rPr>
                <w:rFonts w:ascii="Palatino Linotype" w:hAnsi="Palatino Linotype" w:cs="Calibri"/>
                <w:color w:val="000000"/>
                <w:sz w:val="22"/>
                <w:szCs w:val="22"/>
              </w:rPr>
              <w:t>City of San Diego</w:t>
            </w:r>
          </w:p>
        </w:tc>
        <w:tc>
          <w:tcPr>
            <w:tcW w:w="1402"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14E64BB4"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 xml:space="preserve">Energy Storage </w:t>
            </w:r>
          </w:p>
        </w:tc>
        <w:tc>
          <w:tcPr>
            <w:tcW w:w="1307"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61F2ED10"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Utility Owned</w:t>
            </w:r>
          </w:p>
        </w:tc>
        <w:tc>
          <w:tcPr>
            <w:tcW w:w="1316"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3F7D7340"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20</w:t>
            </w:r>
          </w:p>
        </w:tc>
        <w:tc>
          <w:tcPr>
            <w:tcW w:w="1091" w:type="dxa"/>
            <w:tcBorders>
              <w:top w:val="nil"/>
              <w:left w:val="nil"/>
              <w:bottom w:val="single" w:color="auto" w:sz="8" w:space="0"/>
              <w:right w:val="single" w:color="auto" w:sz="8" w:space="0"/>
            </w:tcBorders>
            <w:shd w:val="clear" w:color="auto" w:fill="auto"/>
            <w:vAlign w:val="center"/>
            <w:hideMark/>
          </w:tcPr>
          <w:p w:rsidRPr="005C757A" w:rsidR="00C4368D" w:rsidP="00E166B4" w:rsidRDefault="00C4368D" w14:paraId="4ABB426E" w14:textId="77777777">
            <w:pPr>
              <w:jc w:val="center"/>
              <w:rPr>
                <w:rFonts w:ascii="Palatino Linotype" w:hAnsi="Palatino Linotype" w:cs="Calibri"/>
                <w:color w:val="000000"/>
                <w:sz w:val="22"/>
                <w:szCs w:val="22"/>
              </w:rPr>
            </w:pPr>
            <w:r w:rsidRPr="005C757A">
              <w:rPr>
                <w:rFonts w:ascii="Palatino Linotype" w:hAnsi="Palatino Linotype" w:cs="Calibri"/>
                <w:color w:val="000000"/>
                <w:sz w:val="22"/>
                <w:szCs w:val="22"/>
              </w:rPr>
              <w:t>8/1/2021</w:t>
            </w:r>
          </w:p>
        </w:tc>
        <w:tc>
          <w:tcPr>
            <w:tcW w:w="1329" w:type="dxa"/>
            <w:tcBorders>
              <w:top w:val="single" w:color="auto" w:sz="8" w:space="0"/>
              <w:left w:val="nil"/>
              <w:bottom w:val="single" w:color="auto" w:sz="8" w:space="0"/>
              <w:right w:val="single" w:color="auto" w:sz="4" w:space="0"/>
            </w:tcBorders>
            <w:shd w:val="clear" w:color="auto" w:fill="auto"/>
            <w:vAlign w:val="center"/>
            <w:hideMark/>
          </w:tcPr>
          <w:p w:rsidRPr="005C757A" w:rsidR="00C4368D" w:rsidP="00E166B4" w:rsidRDefault="00C4368D" w14:paraId="0CF04A2F"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n/a</w:t>
            </w:r>
          </w:p>
        </w:tc>
        <w:tc>
          <w:tcPr>
            <w:tcW w:w="1273" w:type="dxa"/>
            <w:tcBorders>
              <w:top w:val="single" w:color="auto" w:sz="8" w:space="0"/>
              <w:left w:val="nil"/>
              <w:bottom w:val="single" w:color="auto" w:sz="8" w:space="0"/>
              <w:right w:val="single" w:color="auto" w:sz="4" w:space="0"/>
            </w:tcBorders>
            <w:vAlign w:val="center"/>
          </w:tcPr>
          <w:p w:rsidR="00C4368D" w:rsidP="00E166B4" w:rsidRDefault="00C4368D" w14:paraId="795AA6D7" w14:textId="77777777">
            <w:pPr>
              <w:jc w:val="center"/>
              <w:rPr>
                <w:rFonts w:ascii="Palatino Linotype" w:hAnsi="Palatino Linotype" w:cs="Calibri"/>
                <w:color w:val="000000"/>
                <w:sz w:val="22"/>
                <w:szCs w:val="22"/>
              </w:rPr>
            </w:pPr>
            <w:r>
              <w:rPr>
                <w:rFonts w:ascii="Palatino Linotype" w:hAnsi="Palatino Linotype" w:cs="Calibri"/>
                <w:color w:val="000000"/>
                <w:sz w:val="22"/>
                <w:szCs w:val="22"/>
              </w:rPr>
              <w:t>no</w:t>
            </w:r>
          </w:p>
        </w:tc>
      </w:tr>
    </w:tbl>
    <w:p w:rsidR="00C4368D" w:rsidP="00F6257E" w:rsidRDefault="00C4368D" w14:paraId="2225BEAB" w14:textId="77777777">
      <w:pPr>
        <w:ind w:left="420"/>
        <w:rPr>
          <w:rFonts w:ascii="Palatino Linotype" w:hAnsi="Palatino Linotype" w:cs="Arial"/>
        </w:rPr>
      </w:pPr>
    </w:p>
    <w:p w:rsidR="008B48B7" w:rsidP="000C553F" w:rsidRDefault="008B48B7" w14:paraId="501EE177" w14:textId="36B66C8D">
      <w:pPr>
        <w:numPr>
          <w:ilvl w:val="0"/>
          <w:numId w:val="4"/>
        </w:numPr>
        <w:rPr>
          <w:rFonts w:ascii="Palatino Linotype" w:hAnsi="Palatino Linotype" w:cs="Arial"/>
        </w:rPr>
      </w:pPr>
      <w:r>
        <w:rPr>
          <w:rFonts w:ascii="Palatino Linotype" w:hAnsi="Palatino Linotype" w:cs="Arial"/>
        </w:rPr>
        <w:t xml:space="preserve">SDG&amp;E shall further develop their bid evaluation methodology, either refining or excluding in the future the value of avoided curtailment. </w:t>
      </w:r>
    </w:p>
    <w:p w:rsidR="00C4368D" w:rsidP="00F6257E" w:rsidRDefault="00C4368D" w14:paraId="0F6F28AE" w14:textId="77777777">
      <w:pPr>
        <w:ind w:left="420"/>
        <w:rPr>
          <w:rFonts w:ascii="Palatino Linotype" w:hAnsi="Palatino Linotype" w:cs="Arial"/>
        </w:rPr>
      </w:pPr>
    </w:p>
    <w:p w:rsidR="00426B59" w:rsidP="000C553F" w:rsidRDefault="008B48B7" w14:paraId="2D879F83" w14:textId="3CD11789">
      <w:pPr>
        <w:numPr>
          <w:ilvl w:val="0"/>
          <w:numId w:val="4"/>
        </w:numPr>
        <w:rPr>
          <w:rFonts w:ascii="Palatino Linotype" w:hAnsi="Palatino Linotype" w:cs="Arial"/>
        </w:rPr>
      </w:pPr>
      <w:r>
        <w:rPr>
          <w:rFonts w:ascii="Palatino Linotype" w:hAnsi="Palatino Linotype" w:cs="Arial"/>
        </w:rPr>
        <w:lastRenderedPageBreak/>
        <w:t xml:space="preserve">SDG&amp;E shall </w:t>
      </w:r>
      <w:r w:rsidR="006F5D89">
        <w:rPr>
          <w:rFonts w:ascii="Palatino Linotype" w:hAnsi="Palatino Linotype" w:cs="Arial"/>
        </w:rPr>
        <w:t>make further refinements to bid evaluation models in consultation with Energy Division staff and others through the P</w:t>
      </w:r>
      <w:r w:rsidR="003334E8">
        <w:rPr>
          <w:rFonts w:ascii="Palatino Linotype" w:hAnsi="Palatino Linotype" w:cs="Arial"/>
        </w:rPr>
        <w:t xml:space="preserve">rocurement </w:t>
      </w:r>
      <w:r w:rsidR="006F5D89">
        <w:rPr>
          <w:rFonts w:ascii="Palatino Linotype" w:hAnsi="Palatino Linotype" w:cs="Arial"/>
        </w:rPr>
        <w:t>R</w:t>
      </w:r>
      <w:r w:rsidR="003334E8">
        <w:rPr>
          <w:rFonts w:ascii="Palatino Linotype" w:hAnsi="Palatino Linotype" w:cs="Arial"/>
        </w:rPr>
        <w:t xml:space="preserve">eview </w:t>
      </w:r>
      <w:r w:rsidR="006F5D89">
        <w:rPr>
          <w:rFonts w:ascii="Palatino Linotype" w:hAnsi="Palatino Linotype" w:cs="Arial"/>
        </w:rPr>
        <w:t>G</w:t>
      </w:r>
      <w:r w:rsidR="003334E8">
        <w:rPr>
          <w:rFonts w:ascii="Palatino Linotype" w:hAnsi="Palatino Linotype" w:cs="Arial"/>
        </w:rPr>
        <w:t>roup</w:t>
      </w:r>
      <w:r w:rsidR="006F5D89">
        <w:rPr>
          <w:rFonts w:ascii="Palatino Linotype" w:hAnsi="Palatino Linotype" w:cs="Arial"/>
        </w:rPr>
        <w:t xml:space="preserve"> process</w:t>
      </w:r>
      <w:r>
        <w:rPr>
          <w:rFonts w:ascii="Palatino Linotype" w:hAnsi="Palatino Linotype" w:cs="Arial"/>
        </w:rPr>
        <w:t>.</w:t>
      </w:r>
      <w:r w:rsidR="00426B59">
        <w:rPr>
          <w:rFonts w:ascii="Palatino Linotype" w:hAnsi="Palatino Linotype" w:cs="Arial"/>
        </w:rPr>
        <w:br/>
      </w:r>
    </w:p>
    <w:p w:rsidRPr="00F6257E" w:rsidR="008B48B7" w:rsidP="000C553F" w:rsidRDefault="008B48B7" w14:paraId="38240A07" w14:textId="59FC0F8F">
      <w:pPr>
        <w:numPr>
          <w:ilvl w:val="0"/>
          <w:numId w:val="4"/>
        </w:numPr>
        <w:rPr>
          <w:rFonts w:ascii="Palatino Linotype" w:hAnsi="Palatino Linotype" w:cs="Arial"/>
        </w:rPr>
      </w:pPr>
      <w:r>
        <w:rPr>
          <w:rFonts w:ascii="Palatino Linotype" w:hAnsi="Palatino Linotype" w:cs="Arial"/>
        </w:rPr>
        <w:t xml:space="preserve"> </w:t>
      </w:r>
      <w:r w:rsidRPr="00F6257E" w:rsidR="00426B59">
        <w:rPr>
          <w:rFonts w:ascii="Palatino Linotype" w:hAnsi="Palatino Linotype" w:cs="Arial"/>
        </w:rPr>
        <w:t xml:space="preserve">SDG&amp;E shall replace the 40 MW of rejected resources with other resources </w:t>
      </w:r>
      <w:r w:rsidR="00F6257E">
        <w:rPr>
          <w:rFonts w:ascii="Palatino Linotype" w:hAnsi="Palatino Linotype" w:cs="Arial"/>
        </w:rPr>
        <w:t xml:space="preserve">that meet all the requirements of D.19-11-016 </w:t>
      </w:r>
      <w:r w:rsidRPr="00F6257E" w:rsidR="00426B59">
        <w:rPr>
          <w:rFonts w:ascii="Palatino Linotype" w:hAnsi="Palatino Linotype" w:cs="Arial"/>
        </w:rPr>
        <w:t xml:space="preserve">by </w:t>
      </w:r>
      <w:proofErr w:type="gramStart"/>
      <w:r w:rsidR="00FD59E7">
        <w:rPr>
          <w:rFonts w:ascii="Palatino Linotype" w:hAnsi="Palatino Linotype" w:cs="Arial"/>
        </w:rPr>
        <w:t xml:space="preserve">August 1, </w:t>
      </w:r>
      <w:r w:rsidRPr="00F6257E" w:rsidR="00426B59">
        <w:rPr>
          <w:rFonts w:ascii="Palatino Linotype" w:hAnsi="Palatino Linotype" w:cs="Arial"/>
        </w:rPr>
        <w:t>2021, and</w:t>
      </w:r>
      <w:proofErr w:type="gramEnd"/>
      <w:r w:rsidRPr="00F6257E" w:rsidR="00426B59">
        <w:rPr>
          <w:rFonts w:ascii="Palatino Linotype" w:hAnsi="Palatino Linotype" w:cs="Arial"/>
        </w:rPr>
        <w:t xml:space="preserve"> report this additional make-up procurement in a letter to the CPUC Executive Director</w:t>
      </w:r>
      <w:r w:rsidR="004E0166">
        <w:rPr>
          <w:rFonts w:ascii="Palatino Linotype" w:hAnsi="Palatino Linotype" w:cs="Arial"/>
        </w:rPr>
        <w:t>.</w:t>
      </w:r>
    </w:p>
    <w:p w:rsidRPr="00C51FFD" w:rsidR="00C51FFD" w:rsidP="00C51FFD" w:rsidRDefault="00C51FFD" w14:paraId="3C37A6AF" w14:textId="77777777">
      <w:pPr>
        <w:ind w:left="360"/>
        <w:jc w:val="both"/>
        <w:rPr>
          <w:rFonts w:ascii="Palatino Linotype" w:hAnsi="Palatino Linotype"/>
        </w:rPr>
      </w:pPr>
    </w:p>
    <w:p w:rsidRPr="008C204D" w:rsidR="001C538D" w:rsidP="00AF327A" w:rsidRDefault="001C538D" w14:paraId="7D79A481" w14:textId="77777777">
      <w:pPr>
        <w:tabs>
          <w:tab w:val="left" w:pos="720"/>
          <w:tab w:val="left" w:pos="1296"/>
          <w:tab w:val="left" w:pos="2016"/>
          <w:tab w:val="left" w:pos="2736"/>
          <w:tab w:val="left" w:pos="3456"/>
          <w:tab w:val="left" w:pos="4176"/>
          <w:tab w:val="left" w:pos="5760"/>
        </w:tabs>
        <w:jc w:val="both"/>
        <w:rPr>
          <w:rFonts w:ascii="Palatino Linotype" w:hAnsi="Palatino Linotype"/>
        </w:rPr>
      </w:pPr>
    </w:p>
    <w:p w:rsidRPr="008C204D" w:rsidR="001C538D" w:rsidP="00C6577C" w:rsidRDefault="001C538D" w14:paraId="3EA8D463" w14:textId="4C8C9420">
      <w:pPr>
        <w:jc w:val="both"/>
        <w:rPr>
          <w:rFonts w:ascii="Palatino Linotype" w:hAnsi="Palatino Linotype"/>
          <w:snapToGrid w:val="0"/>
        </w:rPr>
      </w:pPr>
      <w:r w:rsidRPr="008C204D">
        <w:rPr>
          <w:rFonts w:ascii="Palatino Linotype" w:hAnsi="Palatino Linotype"/>
          <w:snapToGrid w:val="0"/>
        </w:rPr>
        <w:t xml:space="preserve">I certify that the foregoing resolution was duly introduced, passed and adopted at a conference of the Public Utilities Commission of the State of California held on </w:t>
      </w:r>
      <w:r w:rsidR="00673FEE">
        <w:rPr>
          <w:rFonts w:ascii="Palatino Linotype" w:hAnsi="Palatino Linotype"/>
          <w:snapToGrid w:val="0"/>
        </w:rPr>
        <w:t>January 14</w:t>
      </w:r>
      <w:r w:rsidR="009A081F">
        <w:rPr>
          <w:rFonts w:ascii="Palatino Linotype" w:hAnsi="Palatino Linotype"/>
          <w:snapToGrid w:val="0"/>
        </w:rPr>
        <w:t>, 20</w:t>
      </w:r>
      <w:r w:rsidR="00DB1A1C">
        <w:rPr>
          <w:rFonts w:ascii="Palatino Linotype" w:hAnsi="Palatino Linotype"/>
          <w:snapToGrid w:val="0"/>
        </w:rPr>
        <w:t>2</w:t>
      </w:r>
      <w:r w:rsidR="00B33B1B">
        <w:rPr>
          <w:rFonts w:ascii="Palatino Linotype" w:hAnsi="Palatino Linotype"/>
          <w:snapToGrid w:val="0"/>
        </w:rPr>
        <w:t>1</w:t>
      </w:r>
      <w:r w:rsidRPr="008C204D">
        <w:rPr>
          <w:rFonts w:ascii="Palatino Linotype" w:hAnsi="Palatino Linotype"/>
          <w:snapToGrid w:val="0"/>
        </w:rPr>
        <w:t>; the following Commissioners voting favorably thereon:</w:t>
      </w:r>
    </w:p>
    <w:p w:rsidR="008150D6" w:rsidP="00AF327A" w:rsidRDefault="008150D6" w14:paraId="4A920302" w14:textId="3948FFAC">
      <w:pPr>
        <w:tabs>
          <w:tab w:val="left" w:pos="720"/>
          <w:tab w:val="left" w:pos="1152"/>
          <w:tab w:val="left" w:pos="1728"/>
          <w:tab w:val="left" w:pos="3168"/>
          <w:tab w:val="left" w:pos="5040"/>
        </w:tabs>
        <w:ind w:right="144"/>
        <w:jc w:val="both"/>
        <w:rPr>
          <w:rFonts w:ascii="Palatino Linotype" w:hAnsi="Palatino Linotype"/>
        </w:rPr>
      </w:pPr>
    </w:p>
    <w:p w:rsidR="00E25D8B" w:rsidP="00AF327A" w:rsidRDefault="00E25D8B" w14:paraId="40853C81" w14:textId="77777777">
      <w:pPr>
        <w:tabs>
          <w:tab w:val="left" w:pos="720"/>
          <w:tab w:val="left" w:pos="1152"/>
          <w:tab w:val="left" w:pos="1728"/>
          <w:tab w:val="left" w:pos="3168"/>
          <w:tab w:val="left" w:pos="5040"/>
        </w:tabs>
        <w:ind w:right="144"/>
        <w:jc w:val="both"/>
        <w:rPr>
          <w:rFonts w:ascii="Palatino Linotype" w:hAnsi="Palatino Linotype"/>
        </w:rPr>
      </w:pPr>
    </w:p>
    <w:p w:rsidRPr="008C204D" w:rsidR="008150D6" w:rsidP="00AF327A" w:rsidRDefault="008150D6" w14:paraId="5E8A4AAD" w14:textId="77777777">
      <w:pPr>
        <w:tabs>
          <w:tab w:val="left" w:pos="720"/>
          <w:tab w:val="left" w:pos="1152"/>
          <w:tab w:val="left" w:pos="1728"/>
          <w:tab w:val="left" w:pos="3168"/>
          <w:tab w:val="left" w:pos="5040"/>
        </w:tabs>
        <w:ind w:right="144"/>
        <w:jc w:val="both"/>
        <w:rPr>
          <w:rFonts w:ascii="Palatino Linotype" w:hAnsi="Palatino Linotype"/>
        </w:rPr>
      </w:pPr>
    </w:p>
    <w:p w:rsidRPr="00E25D8B" w:rsidR="001C538D" w:rsidP="00AF327A" w:rsidRDefault="001C538D" w14:paraId="7A5FBEB6" w14:textId="08100BFF">
      <w:pPr>
        <w:tabs>
          <w:tab w:val="left" w:pos="720"/>
          <w:tab w:val="left" w:pos="1152"/>
          <w:tab w:val="left" w:pos="1728"/>
          <w:tab w:val="left" w:pos="3168"/>
          <w:tab w:val="left" w:pos="5040"/>
        </w:tabs>
        <w:ind w:right="144"/>
        <w:jc w:val="both"/>
        <w:rPr>
          <w:u w:val="single"/>
        </w:rPr>
      </w:pPr>
      <w:r w:rsidRPr="008C204D">
        <w:tab/>
      </w:r>
      <w:r w:rsidRPr="008C204D">
        <w:tab/>
      </w:r>
      <w:r w:rsidRPr="008C204D">
        <w:tab/>
      </w:r>
      <w:r w:rsidRPr="008C204D">
        <w:tab/>
      </w:r>
      <w:r w:rsidR="008150D6">
        <w:t xml:space="preserve">                             </w:t>
      </w:r>
      <w:r w:rsidRPr="00E25D8B" w:rsidR="00E25D8B">
        <w:rPr>
          <w:u w:val="single"/>
        </w:rPr>
        <w:t>__</w:t>
      </w:r>
      <w:r w:rsidRPr="00E25D8B" w:rsidR="008150D6">
        <w:rPr>
          <w:u w:val="single"/>
        </w:rPr>
        <w:t>____________</w:t>
      </w:r>
    </w:p>
    <w:p w:rsidRPr="00F6257E" w:rsidR="001C538D" w:rsidP="00AF327A" w:rsidRDefault="001C538D" w14:paraId="46245396" w14:textId="142FB448">
      <w:pPr>
        <w:jc w:val="both"/>
      </w:pPr>
      <w:r w:rsidRPr="00F6257E">
        <w:tab/>
      </w:r>
      <w:r w:rsidRPr="00F6257E">
        <w:tab/>
      </w:r>
      <w:r w:rsidRPr="00F6257E">
        <w:tab/>
      </w:r>
      <w:r w:rsidRPr="00F6257E">
        <w:tab/>
      </w:r>
      <w:r w:rsidRPr="00F6257E">
        <w:tab/>
      </w:r>
      <w:r w:rsidRPr="00F6257E">
        <w:tab/>
      </w:r>
      <w:r w:rsidRPr="00F6257E">
        <w:tab/>
        <w:t xml:space="preserve"> </w:t>
      </w:r>
      <w:r w:rsidRPr="00F6257E" w:rsidR="00C4368D">
        <w:t>Rachel Peterson</w:t>
      </w:r>
    </w:p>
    <w:p w:rsidR="00256B97" w:rsidP="0066182A" w:rsidRDefault="001C538D" w14:paraId="7AA78AEA" w14:textId="208C8E03">
      <w:pPr>
        <w:jc w:val="both"/>
      </w:pPr>
      <w:r w:rsidRPr="00F6257E">
        <w:tab/>
      </w:r>
      <w:r w:rsidRPr="00F6257E">
        <w:tab/>
      </w:r>
      <w:r w:rsidRPr="00F6257E">
        <w:tab/>
      </w:r>
      <w:r w:rsidRPr="00F6257E">
        <w:tab/>
      </w:r>
      <w:r w:rsidRPr="00F6257E">
        <w:tab/>
      </w:r>
      <w:r w:rsidRPr="00F6257E">
        <w:tab/>
        <w:t xml:space="preserve"> </w:t>
      </w:r>
      <w:r w:rsidRPr="00F6257E">
        <w:tab/>
      </w:r>
      <w:r w:rsidR="00E25D8B">
        <w:t>Acting Executive Director</w:t>
      </w:r>
      <w:r w:rsidR="00256B97">
        <w:tab/>
      </w:r>
      <w:r w:rsidR="00256B97">
        <w:tab/>
      </w:r>
      <w:r w:rsidR="00256B97">
        <w:tab/>
      </w:r>
      <w:r w:rsidR="00256B97">
        <w:tab/>
      </w:r>
      <w:r w:rsidR="00256B97">
        <w:tab/>
      </w:r>
      <w:r w:rsidR="00256B97">
        <w:tab/>
        <w:t xml:space="preserve"> </w:t>
      </w:r>
    </w:p>
    <w:p w:rsidR="008150D6" w:rsidP="0066182A" w:rsidRDefault="008150D6" w14:paraId="088922A8" w14:textId="77777777">
      <w:pPr>
        <w:jc w:val="both"/>
      </w:pPr>
    </w:p>
    <w:p w:rsidR="008150D6" w:rsidP="0066182A" w:rsidRDefault="008150D6" w14:paraId="10032D06" w14:textId="77777777">
      <w:pPr>
        <w:jc w:val="both"/>
      </w:pPr>
    </w:p>
    <w:p w:rsidR="008150D6" w:rsidP="0066182A" w:rsidRDefault="008150D6" w14:paraId="64E2F62D" w14:textId="77777777">
      <w:pPr>
        <w:jc w:val="both"/>
      </w:pPr>
    </w:p>
    <w:p w:rsidR="008150D6" w:rsidP="0066182A" w:rsidRDefault="008150D6" w14:paraId="720B029F" w14:textId="77777777">
      <w:pPr>
        <w:jc w:val="both"/>
      </w:pPr>
    </w:p>
    <w:p w:rsidR="008150D6" w:rsidP="0066182A" w:rsidRDefault="008150D6" w14:paraId="2B708BA5" w14:textId="77777777">
      <w:pPr>
        <w:jc w:val="both"/>
      </w:pPr>
    </w:p>
    <w:p w:rsidR="008150D6" w:rsidP="0066182A" w:rsidRDefault="008150D6" w14:paraId="17A9F26A" w14:textId="77777777">
      <w:pPr>
        <w:jc w:val="both"/>
      </w:pPr>
    </w:p>
    <w:p w:rsidR="008150D6" w:rsidP="0066182A" w:rsidRDefault="008150D6" w14:paraId="6DC58C32" w14:textId="77777777">
      <w:pPr>
        <w:jc w:val="both"/>
      </w:pPr>
    </w:p>
    <w:sectPr w:rsidR="008150D6">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74C8" w14:textId="77777777" w:rsidR="00020326" w:rsidRDefault="00020326">
      <w:r>
        <w:separator/>
      </w:r>
    </w:p>
  </w:endnote>
  <w:endnote w:type="continuationSeparator" w:id="0">
    <w:p w14:paraId="665C4736" w14:textId="77777777" w:rsidR="00020326" w:rsidRDefault="0002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5F0B" w14:textId="77777777" w:rsidR="007A1A2A" w:rsidRDefault="007A1A2A" w:rsidP="00DB6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86EECF4" w14:textId="77777777" w:rsidR="007A1A2A" w:rsidRDefault="007A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FCD3" w14:textId="41BD20BF" w:rsidR="007A1A2A" w:rsidRDefault="007A1A2A" w:rsidP="00DB6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5E5FE92" w14:textId="77777777" w:rsidR="007A1A2A" w:rsidRDefault="007A1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357D" w14:textId="199A182A" w:rsidR="007A1A2A" w:rsidRDefault="000F7966">
    <w:pPr>
      <w:pStyle w:val="Footer"/>
      <w:tabs>
        <w:tab w:val="clear" w:pos="4320"/>
        <w:tab w:val="center" w:pos="4680"/>
      </w:tabs>
      <w:jc w:val="left"/>
    </w:pPr>
    <w:r>
      <w:t>354592792</w:t>
    </w:r>
    <w:r>
      <w:rPr>
        <w:rStyle w:val="PageNumber"/>
      </w:rPr>
      <w:tab/>
    </w:r>
    <w:r w:rsidR="007A1A2A">
      <w:rPr>
        <w:rStyle w:val="PageNumber"/>
      </w:rPr>
      <w:fldChar w:fldCharType="begin"/>
    </w:r>
    <w:r w:rsidR="007A1A2A">
      <w:rPr>
        <w:rStyle w:val="PageNumber"/>
      </w:rPr>
      <w:instrText xml:space="preserve"> PAGE </w:instrText>
    </w:r>
    <w:r w:rsidR="007A1A2A">
      <w:rPr>
        <w:rStyle w:val="PageNumber"/>
      </w:rPr>
      <w:fldChar w:fldCharType="separate"/>
    </w:r>
    <w:r w:rsidR="007A1A2A">
      <w:rPr>
        <w:rStyle w:val="PageNumber"/>
        <w:noProof/>
      </w:rPr>
      <w:t>1</w:t>
    </w:r>
    <w:r w:rsidR="007A1A2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A90CE" w14:textId="77777777" w:rsidR="00020326" w:rsidRDefault="00020326">
      <w:r>
        <w:separator/>
      </w:r>
    </w:p>
  </w:footnote>
  <w:footnote w:type="continuationSeparator" w:id="0">
    <w:p w14:paraId="4EE3C1C6" w14:textId="77777777" w:rsidR="00020326" w:rsidRDefault="00020326">
      <w:r>
        <w:continuationSeparator/>
      </w:r>
    </w:p>
  </w:footnote>
  <w:footnote w:type="continuationNotice" w:id="1">
    <w:p w14:paraId="5F5F4917" w14:textId="77777777" w:rsidR="00020326" w:rsidRDefault="00020326">
      <w:pPr>
        <w:rPr>
          <w:sz w:val="22"/>
        </w:rPr>
      </w:pPr>
    </w:p>
    <w:p w14:paraId="6583D9A9" w14:textId="77777777" w:rsidR="00020326" w:rsidRDefault="00020326">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58857D90" w14:textId="4F09964D" w:rsidR="007A1A2A" w:rsidRDefault="007A1A2A">
      <w:pPr>
        <w:pStyle w:val="FootnoteText"/>
      </w:pPr>
      <w:r>
        <w:rPr>
          <w:rStyle w:val="FootnoteReference"/>
        </w:rPr>
        <w:footnoteRef/>
      </w:r>
      <w:r>
        <w:t xml:space="preserve"> AL 3605-E Appendix C page 3</w:t>
      </w:r>
    </w:p>
  </w:footnote>
  <w:footnote w:id="3">
    <w:p w14:paraId="4E3D0038" w14:textId="160FDE5D" w:rsidR="007A1A2A" w:rsidRDefault="007A1A2A">
      <w:pPr>
        <w:pStyle w:val="FootnoteText"/>
      </w:pPr>
      <w:r>
        <w:rPr>
          <w:rStyle w:val="FootnoteReference"/>
        </w:rPr>
        <w:footnoteRef/>
      </w:r>
      <w:r>
        <w:t xml:space="preserve"> AL 3605-E Appendix C page 3</w:t>
      </w:r>
    </w:p>
  </w:footnote>
  <w:footnote w:id="4">
    <w:p w14:paraId="1AB8B410" w14:textId="34D9659B" w:rsidR="007A1A2A" w:rsidRDefault="007A1A2A">
      <w:pPr>
        <w:pStyle w:val="FootnoteText"/>
      </w:pPr>
      <w:r>
        <w:rPr>
          <w:rStyle w:val="FootnoteReference"/>
        </w:rPr>
        <w:footnoteRef/>
      </w:r>
      <w:r>
        <w:t xml:space="preserve"> SDGE reply to protest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45B8" w14:textId="5DAEE2AF" w:rsidR="007A1A2A" w:rsidRPr="00F6257E" w:rsidRDefault="007A1A2A" w:rsidP="00AA5FAE">
    <w:pPr>
      <w:pStyle w:val="Header"/>
      <w:tabs>
        <w:tab w:val="clear" w:pos="4320"/>
        <w:tab w:val="clear" w:pos="8640"/>
        <w:tab w:val="center" w:pos="4680"/>
        <w:tab w:val="right" w:pos="9180"/>
      </w:tabs>
      <w:rPr>
        <w:rFonts w:ascii="Palatino Linotype" w:hAnsi="Palatino Linotype"/>
        <w:lang w:val="it-IT"/>
      </w:rPr>
    </w:pPr>
    <w:r w:rsidRPr="00F6257E">
      <w:rPr>
        <w:rFonts w:ascii="Palatino Linotype" w:hAnsi="Palatino Linotype"/>
        <w:lang w:val="it-IT"/>
      </w:rPr>
      <w:t>Resolution E-5117                          DRAFT</w:t>
    </w:r>
    <w:r w:rsidR="00C6533C">
      <w:rPr>
        <w:rFonts w:ascii="Palatino Linotype" w:hAnsi="Palatino Linotype"/>
        <w:lang w:val="it-IT"/>
      </w:rPr>
      <w:t xml:space="preserve"> </w:t>
    </w:r>
    <w:r w:rsidRPr="00F6257E">
      <w:rPr>
        <w:rFonts w:ascii="Palatino Linotype" w:hAnsi="Palatino Linotype"/>
        <w:lang w:val="it-IT"/>
      </w:rPr>
      <w:tab/>
      <w:t>January 14, 202</w:t>
    </w:r>
    <w:r w:rsidR="00B33B1B">
      <w:rPr>
        <w:rFonts w:ascii="Palatino Linotype" w:hAnsi="Palatino Linotype"/>
        <w:lang w:val="it-IT"/>
      </w:rPr>
      <w:t>1</w:t>
    </w:r>
  </w:p>
  <w:p w14:paraId="041F68A2" w14:textId="34B32345" w:rsidR="007A1A2A" w:rsidRPr="00F6257E" w:rsidRDefault="007A1A2A" w:rsidP="00930F43">
    <w:pPr>
      <w:pStyle w:val="Header"/>
      <w:tabs>
        <w:tab w:val="clear" w:pos="4320"/>
        <w:tab w:val="clear" w:pos="8640"/>
        <w:tab w:val="center" w:pos="4680"/>
        <w:tab w:val="right" w:pos="9180"/>
      </w:tabs>
      <w:rPr>
        <w:rFonts w:ascii="Palatino Linotype" w:hAnsi="Palatino Linotype"/>
        <w:lang w:val="it-IT"/>
      </w:rPr>
    </w:pPr>
    <w:r w:rsidRPr="00F6257E">
      <w:rPr>
        <w:rFonts w:ascii="Palatino Linotype" w:hAnsi="Palatino Linotype"/>
        <w:lang w:val="it-IT"/>
      </w:rPr>
      <w:t>SDGE</w:t>
    </w:r>
    <w:r w:rsidRPr="00AD1D3B">
      <w:rPr>
        <w:rFonts w:ascii="Palatino Linotype" w:hAnsi="Palatino Linotype" w:cs="Arial"/>
        <w:szCs w:val="22"/>
        <w:lang w:val="it-IT"/>
      </w:rPr>
      <w:t xml:space="preserve"> AL 3605-E</w:t>
    </w:r>
    <w:r w:rsidR="00AA5FAE">
      <w:rPr>
        <w:rFonts w:ascii="Palatino Linotype" w:hAnsi="Palatino Linotype" w:cs="Arial"/>
        <w:szCs w:val="22"/>
        <w:lang w:val="it-IT"/>
      </w:rPr>
      <w:t>/MIL</w:t>
    </w:r>
  </w:p>
  <w:p w14:paraId="43FDB896" w14:textId="77777777" w:rsidR="007A1A2A" w:rsidRPr="00930F43" w:rsidRDefault="007A1A2A">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6C70" w14:textId="77777777" w:rsidR="007A1A2A" w:rsidRPr="00E25D8B" w:rsidRDefault="007A1A2A">
    <w:pPr>
      <w:pStyle w:val="Header"/>
      <w:rPr>
        <w:rFonts w:ascii="Helvetica" w:hAnsi="Helvetica"/>
        <w:bCs/>
        <w:sz w:val="28"/>
      </w:rPr>
    </w:pPr>
    <w:r>
      <w:tab/>
    </w:r>
    <w:r w:rsidRPr="00E25D8B">
      <w:rPr>
        <w:bCs/>
      </w:rPr>
      <w:t xml:space="preserve">DRAFT                                                                                   </w:t>
    </w:r>
    <w:r w:rsidRPr="00E25D8B">
      <w:rPr>
        <w:bCs/>
      </w:rPr>
      <w:tab/>
    </w:r>
    <w:r w:rsidRPr="00E25D8B">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7C1"/>
    <w:multiLevelType w:val="hybridMultilevel"/>
    <w:tmpl w:val="ECB8F5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D53CC"/>
    <w:multiLevelType w:val="hybridMultilevel"/>
    <w:tmpl w:val="19B47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7771AB"/>
    <w:multiLevelType w:val="hybridMultilevel"/>
    <w:tmpl w:val="8BAE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F33C8"/>
    <w:multiLevelType w:val="hybridMultilevel"/>
    <w:tmpl w:val="7062C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1E624D8"/>
    <w:multiLevelType w:val="hybridMultilevel"/>
    <w:tmpl w:val="A1F0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F11E6"/>
    <w:multiLevelType w:val="hybridMultilevel"/>
    <w:tmpl w:val="FA50924C"/>
    <w:lvl w:ilvl="0" w:tplc="E3D2B0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66023"/>
    <w:multiLevelType w:val="hybridMultilevel"/>
    <w:tmpl w:val="3546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F5546"/>
    <w:multiLevelType w:val="hybridMultilevel"/>
    <w:tmpl w:val="392E1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415C5"/>
    <w:multiLevelType w:val="hybridMultilevel"/>
    <w:tmpl w:val="9662B0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6FA4523"/>
    <w:multiLevelType w:val="hybridMultilevel"/>
    <w:tmpl w:val="1E2A73AA"/>
    <w:lvl w:ilvl="0" w:tplc="BA90A13C">
      <w:start w:val="1"/>
      <w:numFmt w:val="decimal"/>
      <w:lvlText w:val="%1."/>
      <w:lvlJc w:val="left"/>
      <w:pPr>
        <w:ind w:left="720" w:hanging="360"/>
      </w:pPr>
    </w:lvl>
    <w:lvl w:ilvl="1" w:tplc="213A2106">
      <w:start w:val="1"/>
      <w:numFmt w:val="lowerLetter"/>
      <w:lvlText w:val="%2."/>
      <w:lvlJc w:val="left"/>
      <w:pPr>
        <w:ind w:left="1440" w:hanging="360"/>
      </w:pPr>
    </w:lvl>
    <w:lvl w:ilvl="2" w:tplc="404629DC">
      <w:start w:val="1"/>
      <w:numFmt w:val="lowerRoman"/>
      <w:lvlText w:val="%3."/>
      <w:lvlJc w:val="right"/>
      <w:pPr>
        <w:ind w:left="2160" w:hanging="180"/>
      </w:pPr>
    </w:lvl>
    <w:lvl w:ilvl="3" w:tplc="2BCEFF6A">
      <w:start w:val="1"/>
      <w:numFmt w:val="decimal"/>
      <w:lvlText w:val="%4."/>
      <w:lvlJc w:val="left"/>
      <w:pPr>
        <w:ind w:left="2880" w:hanging="360"/>
      </w:pPr>
    </w:lvl>
    <w:lvl w:ilvl="4" w:tplc="1658AF52">
      <w:start w:val="1"/>
      <w:numFmt w:val="lowerLetter"/>
      <w:lvlText w:val="%5."/>
      <w:lvlJc w:val="left"/>
      <w:pPr>
        <w:ind w:left="3600" w:hanging="360"/>
      </w:pPr>
    </w:lvl>
    <w:lvl w:ilvl="5" w:tplc="66288BBA">
      <w:start w:val="1"/>
      <w:numFmt w:val="lowerRoman"/>
      <w:lvlText w:val="%6."/>
      <w:lvlJc w:val="right"/>
      <w:pPr>
        <w:ind w:left="4320" w:hanging="180"/>
      </w:pPr>
    </w:lvl>
    <w:lvl w:ilvl="6" w:tplc="DC6E0496">
      <w:start w:val="1"/>
      <w:numFmt w:val="decimal"/>
      <w:lvlText w:val="%7."/>
      <w:lvlJc w:val="left"/>
      <w:pPr>
        <w:ind w:left="5040" w:hanging="360"/>
      </w:pPr>
    </w:lvl>
    <w:lvl w:ilvl="7" w:tplc="44643F84">
      <w:start w:val="1"/>
      <w:numFmt w:val="lowerLetter"/>
      <w:lvlText w:val="%8."/>
      <w:lvlJc w:val="left"/>
      <w:pPr>
        <w:ind w:left="5760" w:hanging="360"/>
      </w:pPr>
    </w:lvl>
    <w:lvl w:ilvl="8" w:tplc="1F08CB60">
      <w:start w:val="1"/>
      <w:numFmt w:val="lowerRoman"/>
      <w:lvlText w:val="%9."/>
      <w:lvlJc w:val="right"/>
      <w:pPr>
        <w:ind w:left="6480" w:hanging="180"/>
      </w:pPr>
    </w:lvl>
  </w:abstractNum>
  <w:abstractNum w:abstractNumId="13" w15:restartNumberingAfterBreak="0">
    <w:nsid w:val="3BBD6EBD"/>
    <w:multiLevelType w:val="hybridMultilevel"/>
    <w:tmpl w:val="1E82B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936E4"/>
    <w:multiLevelType w:val="hybridMultilevel"/>
    <w:tmpl w:val="0994E3B0"/>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5"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9B3615"/>
    <w:multiLevelType w:val="hybridMultilevel"/>
    <w:tmpl w:val="8B826306"/>
    <w:lvl w:ilvl="0" w:tplc="4C7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66334"/>
    <w:multiLevelType w:val="hybridMultilevel"/>
    <w:tmpl w:val="322E98E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D6773BD"/>
    <w:multiLevelType w:val="hybridMultilevel"/>
    <w:tmpl w:val="F11A078C"/>
    <w:lvl w:ilvl="0" w:tplc="336874F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14AD4"/>
    <w:multiLevelType w:val="hybridMultilevel"/>
    <w:tmpl w:val="9A66E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86A69EB"/>
    <w:multiLevelType w:val="hybridMultilevel"/>
    <w:tmpl w:val="BEA45092"/>
    <w:lvl w:ilvl="0" w:tplc="54D85DC4">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270375"/>
    <w:multiLevelType w:val="hybridMultilevel"/>
    <w:tmpl w:val="A91C2BD4"/>
    <w:lvl w:ilvl="0" w:tplc="D0FE350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5" w15:restartNumberingAfterBreak="0">
    <w:nsid w:val="7B1C30FD"/>
    <w:multiLevelType w:val="singleLevel"/>
    <w:tmpl w:val="2FB6A734"/>
    <w:lvl w:ilvl="0">
      <w:start w:val="1"/>
      <w:numFmt w:val="decimal"/>
      <w:lvlText w:val="%1."/>
      <w:legacy w:legacy="1" w:legacySpace="144" w:legacyIndent="0"/>
      <w:lvlJc w:val="left"/>
    </w:lvl>
  </w:abstractNum>
  <w:abstractNum w:abstractNumId="26" w15:restartNumberingAfterBreak="0">
    <w:nsid w:val="7EFD79FF"/>
    <w:multiLevelType w:val="hybridMultilevel"/>
    <w:tmpl w:val="0972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6"/>
  </w:num>
  <w:num w:numId="4">
    <w:abstractNumId w:val="19"/>
  </w:num>
  <w:num w:numId="5">
    <w:abstractNumId w:val="3"/>
  </w:num>
  <w:num w:numId="6">
    <w:abstractNumId w:val="24"/>
  </w:num>
  <w:num w:numId="7">
    <w:abstractNumId w:val="16"/>
  </w:num>
  <w:num w:numId="8">
    <w:abstractNumId w:val="11"/>
  </w:num>
  <w:num w:numId="9">
    <w:abstractNumId w:val="0"/>
  </w:num>
  <w:num w:numId="10">
    <w:abstractNumId w:val="25"/>
  </w:num>
  <w:num w:numId="11">
    <w:abstractNumId w:val="14"/>
  </w:num>
  <w:num w:numId="12">
    <w:abstractNumId w:val="5"/>
  </w:num>
  <w:num w:numId="13">
    <w:abstractNumId w:val="21"/>
  </w:num>
  <w:num w:numId="14">
    <w:abstractNumId w:val="4"/>
  </w:num>
  <w:num w:numId="15">
    <w:abstractNumId w:val="8"/>
  </w:num>
  <w:num w:numId="16">
    <w:abstractNumId w:val="18"/>
  </w:num>
  <w:num w:numId="17">
    <w:abstractNumId w:val="9"/>
  </w:num>
  <w:num w:numId="18">
    <w:abstractNumId w:val="1"/>
  </w:num>
  <w:num w:numId="19">
    <w:abstractNumId w:val="23"/>
  </w:num>
  <w:num w:numId="20">
    <w:abstractNumId w:val="26"/>
  </w:num>
  <w:num w:numId="21">
    <w:abstractNumId w:val="7"/>
  </w:num>
  <w:num w:numId="22">
    <w:abstractNumId w:val="20"/>
  </w:num>
  <w:num w:numId="23">
    <w:abstractNumId w:val="12"/>
  </w:num>
  <w:num w:numId="24">
    <w:abstractNumId w:val="10"/>
  </w:num>
  <w:num w:numId="25">
    <w:abstractNumId w:val="22"/>
  </w:num>
  <w:num w:numId="26">
    <w:abstractNumId w:val="13"/>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lang="en-US" w:vendorID="8" w:dllVersion="513" w:checkStyle="1" w:appName="MSWord"/>
  <w:activeWritingStyle w:lang="it-IT" w:vendorID="3" w:dllVersion="517"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8D"/>
    <w:rsid w:val="000005BA"/>
    <w:rsid w:val="00000D82"/>
    <w:rsid w:val="00004AE4"/>
    <w:rsid w:val="000128D3"/>
    <w:rsid w:val="0001548E"/>
    <w:rsid w:val="000155C2"/>
    <w:rsid w:val="00016FE9"/>
    <w:rsid w:val="00020326"/>
    <w:rsid w:val="000241F5"/>
    <w:rsid w:val="00025B6C"/>
    <w:rsid w:val="00027FF7"/>
    <w:rsid w:val="00033F67"/>
    <w:rsid w:val="00043396"/>
    <w:rsid w:val="00045B17"/>
    <w:rsid w:val="00045F48"/>
    <w:rsid w:val="00051D95"/>
    <w:rsid w:val="000533A6"/>
    <w:rsid w:val="00054828"/>
    <w:rsid w:val="00055BAF"/>
    <w:rsid w:val="0006536D"/>
    <w:rsid w:val="000665C4"/>
    <w:rsid w:val="000665E7"/>
    <w:rsid w:val="000716BE"/>
    <w:rsid w:val="00075D3C"/>
    <w:rsid w:val="0008025B"/>
    <w:rsid w:val="000846F7"/>
    <w:rsid w:val="00085AC4"/>
    <w:rsid w:val="000865A2"/>
    <w:rsid w:val="00086E11"/>
    <w:rsid w:val="0009280D"/>
    <w:rsid w:val="00092DF4"/>
    <w:rsid w:val="0009364A"/>
    <w:rsid w:val="0009605F"/>
    <w:rsid w:val="00097088"/>
    <w:rsid w:val="00097F33"/>
    <w:rsid w:val="000A1F1F"/>
    <w:rsid w:val="000A4A18"/>
    <w:rsid w:val="000B3798"/>
    <w:rsid w:val="000B4765"/>
    <w:rsid w:val="000B4FBD"/>
    <w:rsid w:val="000B5C8F"/>
    <w:rsid w:val="000B678D"/>
    <w:rsid w:val="000C08BD"/>
    <w:rsid w:val="000C44D1"/>
    <w:rsid w:val="000C553F"/>
    <w:rsid w:val="000D0A84"/>
    <w:rsid w:val="000D29AB"/>
    <w:rsid w:val="000D6F9B"/>
    <w:rsid w:val="000E0413"/>
    <w:rsid w:val="000E26D8"/>
    <w:rsid w:val="000E3671"/>
    <w:rsid w:val="000E5E77"/>
    <w:rsid w:val="000E7029"/>
    <w:rsid w:val="000E738E"/>
    <w:rsid w:val="000F00AD"/>
    <w:rsid w:val="000F05D8"/>
    <w:rsid w:val="000F3D7C"/>
    <w:rsid w:val="000F4202"/>
    <w:rsid w:val="000F465A"/>
    <w:rsid w:val="000F4BD1"/>
    <w:rsid w:val="000F4DAB"/>
    <w:rsid w:val="000F7966"/>
    <w:rsid w:val="00100BC6"/>
    <w:rsid w:val="00102E67"/>
    <w:rsid w:val="00104691"/>
    <w:rsid w:val="001062C8"/>
    <w:rsid w:val="00116837"/>
    <w:rsid w:val="0012188E"/>
    <w:rsid w:val="00131437"/>
    <w:rsid w:val="0013271C"/>
    <w:rsid w:val="001360F1"/>
    <w:rsid w:val="00140613"/>
    <w:rsid w:val="00141635"/>
    <w:rsid w:val="00142485"/>
    <w:rsid w:val="00142783"/>
    <w:rsid w:val="0014286F"/>
    <w:rsid w:val="00160EEB"/>
    <w:rsid w:val="001637C9"/>
    <w:rsid w:val="0017030D"/>
    <w:rsid w:val="0017053D"/>
    <w:rsid w:val="001744C8"/>
    <w:rsid w:val="00174FA9"/>
    <w:rsid w:val="0017560F"/>
    <w:rsid w:val="00177FF5"/>
    <w:rsid w:val="00184A59"/>
    <w:rsid w:val="00184CC1"/>
    <w:rsid w:val="00184E67"/>
    <w:rsid w:val="001930B2"/>
    <w:rsid w:val="001971A4"/>
    <w:rsid w:val="001A2E77"/>
    <w:rsid w:val="001A559C"/>
    <w:rsid w:val="001A6F67"/>
    <w:rsid w:val="001A7A3C"/>
    <w:rsid w:val="001B3499"/>
    <w:rsid w:val="001B4035"/>
    <w:rsid w:val="001B6BC2"/>
    <w:rsid w:val="001C2664"/>
    <w:rsid w:val="001C37A6"/>
    <w:rsid w:val="001C3A74"/>
    <w:rsid w:val="001C3F76"/>
    <w:rsid w:val="001C453D"/>
    <w:rsid w:val="001C468A"/>
    <w:rsid w:val="001C4E54"/>
    <w:rsid w:val="001C538D"/>
    <w:rsid w:val="001C6D62"/>
    <w:rsid w:val="001D04E2"/>
    <w:rsid w:val="001D0567"/>
    <w:rsid w:val="001D6B98"/>
    <w:rsid w:val="001E011B"/>
    <w:rsid w:val="001E0784"/>
    <w:rsid w:val="001E0B03"/>
    <w:rsid w:val="001E0B4B"/>
    <w:rsid w:val="001E4D7D"/>
    <w:rsid w:val="001E5CBC"/>
    <w:rsid w:val="001F1C08"/>
    <w:rsid w:val="001F1C26"/>
    <w:rsid w:val="0020088A"/>
    <w:rsid w:val="002017FC"/>
    <w:rsid w:val="00212777"/>
    <w:rsid w:val="00214036"/>
    <w:rsid w:val="00214309"/>
    <w:rsid w:val="00216EF1"/>
    <w:rsid w:val="00221F8A"/>
    <w:rsid w:val="00224B3F"/>
    <w:rsid w:val="002254E4"/>
    <w:rsid w:val="00230461"/>
    <w:rsid w:val="002355CE"/>
    <w:rsid w:val="00235BF8"/>
    <w:rsid w:val="00236D01"/>
    <w:rsid w:val="00237912"/>
    <w:rsid w:val="0024492D"/>
    <w:rsid w:val="002454A7"/>
    <w:rsid w:val="0024629B"/>
    <w:rsid w:val="00250E0F"/>
    <w:rsid w:val="0025299F"/>
    <w:rsid w:val="002555AF"/>
    <w:rsid w:val="00256B97"/>
    <w:rsid w:val="0026099A"/>
    <w:rsid w:val="00261A13"/>
    <w:rsid w:val="002627BD"/>
    <w:rsid w:val="00276CDB"/>
    <w:rsid w:val="002771C2"/>
    <w:rsid w:val="00277208"/>
    <w:rsid w:val="00280956"/>
    <w:rsid w:val="00283EFE"/>
    <w:rsid w:val="0028406B"/>
    <w:rsid w:val="0028408A"/>
    <w:rsid w:val="002850D8"/>
    <w:rsid w:val="00294B1D"/>
    <w:rsid w:val="002A0030"/>
    <w:rsid w:val="002A085E"/>
    <w:rsid w:val="002A0B87"/>
    <w:rsid w:val="002A5296"/>
    <w:rsid w:val="002B00C0"/>
    <w:rsid w:val="002B0B97"/>
    <w:rsid w:val="002B40A5"/>
    <w:rsid w:val="002B4821"/>
    <w:rsid w:val="002B71DB"/>
    <w:rsid w:val="002C130B"/>
    <w:rsid w:val="002C6D73"/>
    <w:rsid w:val="002D12E0"/>
    <w:rsid w:val="002D2ADC"/>
    <w:rsid w:val="002D2C94"/>
    <w:rsid w:val="002D2F2F"/>
    <w:rsid w:val="002E2016"/>
    <w:rsid w:val="002E33CF"/>
    <w:rsid w:val="002E4F49"/>
    <w:rsid w:val="002E6172"/>
    <w:rsid w:val="002E7709"/>
    <w:rsid w:val="002F018C"/>
    <w:rsid w:val="002F068F"/>
    <w:rsid w:val="002F0DA1"/>
    <w:rsid w:val="002F1E45"/>
    <w:rsid w:val="002F4646"/>
    <w:rsid w:val="00303F40"/>
    <w:rsid w:val="00305582"/>
    <w:rsid w:val="00306BD9"/>
    <w:rsid w:val="0031541C"/>
    <w:rsid w:val="00317A51"/>
    <w:rsid w:val="003226CA"/>
    <w:rsid w:val="00325A6F"/>
    <w:rsid w:val="003268AE"/>
    <w:rsid w:val="00330F31"/>
    <w:rsid w:val="0033217B"/>
    <w:rsid w:val="003334E8"/>
    <w:rsid w:val="003365B2"/>
    <w:rsid w:val="003400A4"/>
    <w:rsid w:val="0035079C"/>
    <w:rsid w:val="00353833"/>
    <w:rsid w:val="00357694"/>
    <w:rsid w:val="003643B8"/>
    <w:rsid w:val="0036756D"/>
    <w:rsid w:val="00375022"/>
    <w:rsid w:val="003805C7"/>
    <w:rsid w:val="00380BA0"/>
    <w:rsid w:val="003828D3"/>
    <w:rsid w:val="0038411E"/>
    <w:rsid w:val="00384433"/>
    <w:rsid w:val="003849E2"/>
    <w:rsid w:val="00384FD1"/>
    <w:rsid w:val="00386D08"/>
    <w:rsid w:val="00387A47"/>
    <w:rsid w:val="0039083D"/>
    <w:rsid w:val="00390EF3"/>
    <w:rsid w:val="00396F6D"/>
    <w:rsid w:val="003A071F"/>
    <w:rsid w:val="003A1A2D"/>
    <w:rsid w:val="003B1B30"/>
    <w:rsid w:val="003B245E"/>
    <w:rsid w:val="003B5F7B"/>
    <w:rsid w:val="003B6437"/>
    <w:rsid w:val="003B7500"/>
    <w:rsid w:val="003C0D77"/>
    <w:rsid w:val="003C407E"/>
    <w:rsid w:val="003C69D2"/>
    <w:rsid w:val="003C7900"/>
    <w:rsid w:val="003D4B7F"/>
    <w:rsid w:val="003D639B"/>
    <w:rsid w:val="003D7E75"/>
    <w:rsid w:val="003E0E54"/>
    <w:rsid w:val="003E1759"/>
    <w:rsid w:val="003E1DE2"/>
    <w:rsid w:val="003E1ED6"/>
    <w:rsid w:val="003E2AB1"/>
    <w:rsid w:val="003E2F86"/>
    <w:rsid w:val="00400ECD"/>
    <w:rsid w:val="00405635"/>
    <w:rsid w:val="00405928"/>
    <w:rsid w:val="00415791"/>
    <w:rsid w:val="004171DE"/>
    <w:rsid w:val="0042043F"/>
    <w:rsid w:val="0042292A"/>
    <w:rsid w:val="00426B59"/>
    <w:rsid w:val="00430103"/>
    <w:rsid w:val="004315C4"/>
    <w:rsid w:val="00435D1C"/>
    <w:rsid w:val="0044090E"/>
    <w:rsid w:val="004409C8"/>
    <w:rsid w:val="00442B4D"/>
    <w:rsid w:val="00442B77"/>
    <w:rsid w:val="004448CA"/>
    <w:rsid w:val="00450ED8"/>
    <w:rsid w:val="00453692"/>
    <w:rsid w:val="0045666D"/>
    <w:rsid w:val="004629F5"/>
    <w:rsid w:val="00465163"/>
    <w:rsid w:val="00472EAF"/>
    <w:rsid w:val="004733E0"/>
    <w:rsid w:val="0048204F"/>
    <w:rsid w:val="00485190"/>
    <w:rsid w:val="00487335"/>
    <w:rsid w:val="0049373E"/>
    <w:rsid w:val="004941EC"/>
    <w:rsid w:val="0049490A"/>
    <w:rsid w:val="004964A7"/>
    <w:rsid w:val="0049696E"/>
    <w:rsid w:val="00496FAA"/>
    <w:rsid w:val="004A06C5"/>
    <w:rsid w:val="004A1396"/>
    <w:rsid w:val="004A2E10"/>
    <w:rsid w:val="004B29C1"/>
    <w:rsid w:val="004B2F91"/>
    <w:rsid w:val="004B61C4"/>
    <w:rsid w:val="004B6DB5"/>
    <w:rsid w:val="004B7B87"/>
    <w:rsid w:val="004C1AEE"/>
    <w:rsid w:val="004C35E5"/>
    <w:rsid w:val="004C5B6C"/>
    <w:rsid w:val="004C7049"/>
    <w:rsid w:val="004D164A"/>
    <w:rsid w:val="004D1A91"/>
    <w:rsid w:val="004D6345"/>
    <w:rsid w:val="004D713A"/>
    <w:rsid w:val="004E0166"/>
    <w:rsid w:val="004E087C"/>
    <w:rsid w:val="004E1602"/>
    <w:rsid w:val="004E3915"/>
    <w:rsid w:val="004E3AC0"/>
    <w:rsid w:val="004E5378"/>
    <w:rsid w:val="004F237E"/>
    <w:rsid w:val="004F3AF0"/>
    <w:rsid w:val="004F43EA"/>
    <w:rsid w:val="0050109E"/>
    <w:rsid w:val="00501955"/>
    <w:rsid w:val="00503AE8"/>
    <w:rsid w:val="00511D1A"/>
    <w:rsid w:val="005134DC"/>
    <w:rsid w:val="00516B2C"/>
    <w:rsid w:val="00520E0D"/>
    <w:rsid w:val="005234CB"/>
    <w:rsid w:val="00525242"/>
    <w:rsid w:val="0053022E"/>
    <w:rsid w:val="00530D98"/>
    <w:rsid w:val="00531979"/>
    <w:rsid w:val="00536BED"/>
    <w:rsid w:val="00537E98"/>
    <w:rsid w:val="00540C94"/>
    <w:rsid w:val="005468C1"/>
    <w:rsid w:val="0055060A"/>
    <w:rsid w:val="00551F29"/>
    <w:rsid w:val="0055250E"/>
    <w:rsid w:val="00555B54"/>
    <w:rsid w:val="00560BCD"/>
    <w:rsid w:val="005641F0"/>
    <w:rsid w:val="00564DA9"/>
    <w:rsid w:val="00571A38"/>
    <w:rsid w:val="005729A4"/>
    <w:rsid w:val="00576E06"/>
    <w:rsid w:val="005810A7"/>
    <w:rsid w:val="005820D3"/>
    <w:rsid w:val="005823E4"/>
    <w:rsid w:val="005842B3"/>
    <w:rsid w:val="00584F67"/>
    <w:rsid w:val="00586016"/>
    <w:rsid w:val="00590FC2"/>
    <w:rsid w:val="00591372"/>
    <w:rsid w:val="005971BF"/>
    <w:rsid w:val="005A061B"/>
    <w:rsid w:val="005A7EE3"/>
    <w:rsid w:val="005B0728"/>
    <w:rsid w:val="005B0AC6"/>
    <w:rsid w:val="005B3B3F"/>
    <w:rsid w:val="005B3FC3"/>
    <w:rsid w:val="005B46B9"/>
    <w:rsid w:val="005C1B74"/>
    <w:rsid w:val="005C757A"/>
    <w:rsid w:val="005D171B"/>
    <w:rsid w:val="005D4A41"/>
    <w:rsid w:val="005D5230"/>
    <w:rsid w:val="005D6328"/>
    <w:rsid w:val="005D7E2C"/>
    <w:rsid w:val="005E0E6C"/>
    <w:rsid w:val="005E6C01"/>
    <w:rsid w:val="005F2EAF"/>
    <w:rsid w:val="005F5088"/>
    <w:rsid w:val="005F5EBE"/>
    <w:rsid w:val="0060228F"/>
    <w:rsid w:val="006069B0"/>
    <w:rsid w:val="00607296"/>
    <w:rsid w:val="006110F0"/>
    <w:rsid w:val="00614C1D"/>
    <w:rsid w:val="00615145"/>
    <w:rsid w:val="00615726"/>
    <w:rsid w:val="00615D95"/>
    <w:rsid w:val="00620C86"/>
    <w:rsid w:val="00622955"/>
    <w:rsid w:val="00634E42"/>
    <w:rsid w:val="00642D21"/>
    <w:rsid w:val="0064431E"/>
    <w:rsid w:val="006454A5"/>
    <w:rsid w:val="006516BF"/>
    <w:rsid w:val="0065639C"/>
    <w:rsid w:val="0066126D"/>
    <w:rsid w:val="0066182A"/>
    <w:rsid w:val="006629FC"/>
    <w:rsid w:val="00665DD2"/>
    <w:rsid w:val="006703DD"/>
    <w:rsid w:val="00670DB7"/>
    <w:rsid w:val="0067137F"/>
    <w:rsid w:val="00673934"/>
    <w:rsid w:val="00673FEE"/>
    <w:rsid w:val="0067696C"/>
    <w:rsid w:val="00677E33"/>
    <w:rsid w:val="0068753E"/>
    <w:rsid w:val="006932FF"/>
    <w:rsid w:val="006948B0"/>
    <w:rsid w:val="006959A8"/>
    <w:rsid w:val="00697263"/>
    <w:rsid w:val="006A3439"/>
    <w:rsid w:val="006A3AF1"/>
    <w:rsid w:val="006A524E"/>
    <w:rsid w:val="006B5266"/>
    <w:rsid w:val="006B57B5"/>
    <w:rsid w:val="006C4D06"/>
    <w:rsid w:val="006C7B47"/>
    <w:rsid w:val="006D65E6"/>
    <w:rsid w:val="006E20A8"/>
    <w:rsid w:val="006E337A"/>
    <w:rsid w:val="006E4FC1"/>
    <w:rsid w:val="006E6B6F"/>
    <w:rsid w:val="006E6C76"/>
    <w:rsid w:val="006F2B56"/>
    <w:rsid w:val="006F32F0"/>
    <w:rsid w:val="006F4A94"/>
    <w:rsid w:val="006F599A"/>
    <w:rsid w:val="006F5D89"/>
    <w:rsid w:val="00700A9A"/>
    <w:rsid w:val="007014AF"/>
    <w:rsid w:val="00701865"/>
    <w:rsid w:val="007034FE"/>
    <w:rsid w:val="0070444C"/>
    <w:rsid w:val="00706499"/>
    <w:rsid w:val="0070742F"/>
    <w:rsid w:val="00710DAB"/>
    <w:rsid w:val="007118ED"/>
    <w:rsid w:val="00713D13"/>
    <w:rsid w:val="007278B7"/>
    <w:rsid w:val="00730846"/>
    <w:rsid w:val="00731013"/>
    <w:rsid w:val="0073552C"/>
    <w:rsid w:val="00735862"/>
    <w:rsid w:val="0074701B"/>
    <w:rsid w:val="0075169D"/>
    <w:rsid w:val="007531EE"/>
    <w:rsid w:val="00762093"/>
    <w:rsid w:val="0076505A"/>
    <w:rsid w:val="00766FFA"/>
    <w:rsid w:val="007671A4"/>
    <w:rsid w:val="00767C70"/>
    <w:rsid w:val="00771504"/>
    <w:rsid w:val="007726B4"/>
    <w:rsid w:val="0077302B"/>
    <w:rsid w:val="00774234"/>
    <w:rsid w:val="0078027C"/>
    <w:rsid w:val="007803D2"/>
    <w:rsid w:val="007817CE"/>
    <w:rsid w:val="00781E4A"/>
    <w:rsid w:val="00786581"/>
    <w:rsid w:val="00787552"/>
    <w:rsid w:val="00792083"/>
    <w:rsid w:val="0079235D"/>
    <w:rsid w:val="007938F5"/>
    <w:rsid w:val="00793FB0"/>
    <w:rsid w:val="00794B67"/>
    <w:rsid w:val="007952C5"/>
    <w:rsid w:val="007A0A70"/>
    <w:rsid w:val="007A1A2A"/>
    <w:rsid w:val="007A59A9"/>
    <w:rsid w:val="007B4DF1"/>
    <w:rsid w:val="007C3C9E"/>
    <w:rsid w:val="007C3CCD"/>
    <w:rsid w:val="007C63D8"/>
    <w:rsid w:val="007D013B"/>
    <w:rsid w:val="007D10E7"/>
    <w:rsid w:val="007D1210"/>
    <w:rsid w:val="007E00BC"/>
    <w:rsid w:val="007E0B7C"/>
    <w:rsid w:val="007E76F8"/>
    <w:rsid w:val="007E7948"/>
    <w:rsid w:val="007F0136"/>
    <w:rsid w:val="007F0C17"/>
    <w:rsid w:val="007F1A3F"/>
    <w:rsid w:val="007F3805"/>
    <w:rsid w:val="007F48DA"/>
    <w:rsid w:val="007F582A"/>
    <w:rsid w:val="008009A6"/>
    <w:rsid w:val="00803D2F"/>
    <w:rsid w:val="00804613"/>
    <w:rsid w:val="00804757"/>
    <w:rsid w:val="008127F0"/>
    <w:rsid w:val="008150D6"/>
    <w:rsid w:val="008177E4"/>
    <w:rsid w:val="0082032C"/>
    <w:rsid w:val="0082103A"/>
    <w:rsid w:val="00824CE2"/>
    <w:rsid w:val="00824E21"/>
    <w:rsid w:val="00825A54"/>
    <w:rsid w:val="00831F7D"/>
    <w:rsid w:val="00837DD8"/>
    <w:rsid w:val="00843CE8"/>
    <w:rsid w:val="00850FAB"/>
    <w:rsid w:val="008512FA"/>
    <w:rsid w:val="00852F53"/>
    <w:rsid w:val="00854296"/>
    <w:rsid w:val="0085708F"/>
    <w:rsid w:val="008600F4"/>
    <w:rsid w:val="00861F98"/>
    <w:rsid w:val="00862D74"/>
    <w:rsid w:val="00864E43"/>
    <w:rsid w:val="00870233"/>
    <w:rsid w:val="00870917"/>
    <w:rsid w:val="008709E8"/>
    <w:rsid w:val="00874024"/>
    <w:rsid w:val="00880515"/>
    <w:rsid w:val="008827D8"/>
    <w:rsid w:val="00884469"/>
    <w:rsid w:val="00890A28"/>
    <w:rsid w:val="008A493A"/>
    <w:rsid w:val="008B32EF"/>
    <w:rsid w:val="008B3DB4"/>
    <w:rsid w:val="008B4041"/>
    <w:rsid w:val="008B48B7"/>
    <w:rsid w:val="008B4E73"/>
    <w:rsid w:val="008B6723"/>
    <w:rsid w:val="008B7DC9"/>
    <w:rsid w:val="008C204D"/>
    <w:rsid w:val="008C22C5"/>
    <w:rsid w:val="008D34D0"/>
    <w:rsid w:val="008D4A38"/>
    <w:rsid w:val="008D632F"/>
    <w:rsid w:val="008E0A6C"/>
    <w:rsid w:val="008E0A8F"/>
    <w:rsid w:val="008E0C24"/>
    <w:rsid w:val="008E1937"/>
    <w:rsid w:val="008E2100"/>
    <w:rsid w:val="008E2AA4"/>
    <w:rsid w:val="008E5116"/>
    <w:rsid w:val="008E7BF3"/>
    <w:rsid w:val="008F35A9"/>
    <w:rsid w:val="008F3D34"/>
    <w:rsid w:val="008F67FE"/>
    <w:rsid w:val="008F76D9"/>
    <w:rsid w:val="00901BEE"/>
    <w:rsid w:val="00902847"/>
    <w:rsid w:val="00903063"/>
    <w:rsid w:val="00904115"/>
    <w:rsid w:val="00906B5E"/>
    <w:rsid w:val="009108FE"/>
    <w:rsid w:val="00911149"/>
    <w:rsid w:val="009116F8"/>
    <w:rsid w:val="00912230"/>
    <w:rsid w:val="00913DAD"/>
    <w:rsid w:val="009143FC"/>
    <w:rsid w:val="009144F9"/>
    <w:rsid w:val="00920A3F"/>
    <w:rsid w:val="0092189D"/>
    <w:rsid w:val="009228D6"/>
    <w:rsid w:val="0092430B"/>
    <w:rsid w:val="00925AD3"/>
    <w:rsid w:val="0092671E"/>
    <w:rsid w:val="0092788A"/>
    <w:rsid w:val="00927FF1"/>
    <w:rsid w:val="00930F43"/>
    <w:rsid w:val="00932550"/>
    <w:rsid w:val="00933C35"/>
    <w:rsid w:val="0093437D"/>
    <w:rsid w:val="00935F34"/>
    <w:rsid w:val="009369D3"/>
    <w:rsid w:val="00942B3C"/>
    <w:rsid w:val="009434A4"/>
    <w:rsid w:val="009446B8"/>
    <w:rsid w:val="0095250A"/>
    <w:rsid w:val="00957FED"/>
    <w:rsid w:val="00961052"/>
    <w:rsid w:val="00966760"/>
    <w:rsid w:val="0096706C"/>
    <w:rsid w:val="0096755F"/>
    <w:rsid w:val="00970598"/>
    <w:rsid w:val="00970D02"/>
    <w:rsid w:val="00971995"/>
    <w:rsid w:val="00972CD8"/>
    <w:rsid w:val="00975FDA"/>
    <w:rsid w:val="00976F20"/>
    <w:rsid w:val="009772FB"/>
    <w:rsid w:val="00977BD8"/>
    <w:rsid w:val="00980DF5"/>
    <w:rsid w:val="00982B0A"/>
    <w:rsid w:val="00987224"/>
    <w:rsid w:val="0099026B"/>
    <w:rsid w:val="00990AFF"/>
    <w:rsid w:val="0099168B"/>
    <w:rsid w:val="00994947"/>
    <w:rsid w:val="00995DB7"/>
    <w:rsid w:val="009974A7"/>
    <w:rsid w:val="009A081F"/>
    <w:rsid w:val="009A2C8F"/>
    <w:rsid w:val="009B1E4C"/>
    <w:rsid w:val="009B1ED5"/>
    <w:rsid w:val="009B226A"/>
    <w:rsid w:val="009B3C92"/>
    <w:rsid w:val="009B4418"/>
    <w:rsid w:val="009B5CED"/>
    <w:rsid w:val="009B68ED"/>
    <w:rsid w:val="009B7E15"/>
    <w:rsid w:val="009C4954"/>
    <w:rsid w:val="009D167E"/>
    <w:rsid w:val="009D56D0"/>
    <w:rsid w:val="009E01FD"/>
    <w:rsid w:val="009E1543"/>
    <w:rsid w:val="009E412A"/>
    <w:rsid w:val="009E66B7"/>
    <w:rsid w:val="009F7734"/>
    <w:rsid w:val="00A02A1A"/>
    <w:rsid w:val="00A02B9C"/>
    <w:rsid w:val="00A0304D"/>
    <w:rsid w:val="00A0352E"/>
    <w:rsid w:val="00A05019"/>
    <w:rsid w:val="00A051CC"/>
    <w:rsid w:val="00A40498"/>
    <w:rsid w:val="00A4525F"/>
    <w:rsid w:val="00A47E93"/>
    <w:rsid w:val="00A5195F"/>
    <w:rsid w:val="00A52B6E"/>
    <w:rsid w:val="00A5412C"/>
    <w:rsid w:val="00A57C55"/>
    <w:rsid w:val="00A62B6A"/>
    <w:rsid w:val="00A631D8"/>
    <w:rsid w:val="00A65184"/>
    <w:rsid w:val="00A662DE"/>
    <w:rsid w:val="00A70E99"/>
    <w:rsid w:val="00A716A2"/>
    <w:rsid w:val="00A71DC6"/>
    <w:rsid w:val="00A83F67"/>
    <w:rsid w:val="00A847D7"/>
    <w:rsid w:val="00A84ACB"/>
    <w:rsid w:val="00A85222"/>
    <w:rsid w:val="00A858B1"/>
    <w:rsid w:val="00A95FB6"/>
    <w:rsid w:val="00A9615A"/>
    <w:rsid w:val="00A9683D"/>
    <w:rsid w:val="00AA2F97"/>
    <w:rsid w:val="00AA3645"/>
    <w:rsid w:val="00AA5FAE"/>
    <w:rsid w:val="00AB0026"/>
    <w:rsid w:val="00AB2366"/>
    <w:rsid w:val="00AB2F4F"/>
    <w:rsid w:val="00AB368A"/>
    <w:rsid w:val="00AB5844"/>
    <w:rsid w:val="00AC13E4"/>
    <w:rsid w:val="00AC1482"/>
    <w:rsid w:val="00AC2105"/>
    <w:rsid w:val="00AC2402"/>
    <w:rsid w:val="00AC3866"/>
    <w:rsid w:val="00AC43B5"/>
    <w:rsid w:val="00AC6BDF"/>
    <w:rsid w:val="00AD1D3B"/>
    <w:rsid w:val="00AD696D"/>
    <w:rsid w:val="00AE2C88"/>
    <w:rsid w:val="00AE3396"/>
    <w:rsid w:val="00AE4A60"/>
    <w:rsid w:val="00AF0456"/>
    <w:rsid w:val="00AF10D0"/>
    <w:rsid w:val="00AF327A"/>
    <w:rsid w:val="00AF36B0"/>
    <w:rsid w:val="00AF5571"/>
    <w:rsid w:val="00B00F46"/>
    <w:rsid w:val="00B012F1"/>
    <w:rsid w:val="00B02361"/>
    <w:rsid w:val="00B02868"/>
    <w:rsid w:val="00B02F4C"/>
    <w:rsid w:val="00B039A2"/>
    <w:rsid w:val="00B10641"/>
    <w:rsid w:val="00B135A5"/>
    <w:rsid w:val="00B1402D"/>
    <w:rsid w:val="00B14949"/>
    <w:rsid w:val="00B20F97"/>
    <w:rsid w:val="00B23423"/>
    <w:rsid w:val="00B24320"/>
    <w:rsid w:val="00B24744"/>
    <w:rsid w:val="00B24B6D"/>
    <w:rsid w:val="00B33B1B"/>
    <w:rsid w:val="00B40771"/>
    <w:rsid w:val="00B41953"/>
    <w:rsid w:val="00B452FB"/>
    <w:rsid w:val="00B458F8"/>
    <w:rsid w:val="00B46FD7"/>
    <w:rsid w:val="00B51C37"/>
    <w:rsid w:val="00B52975"/>
    <w:rsid w:val="00B578EC"/>
    <w:rsid w:val="00B62AB0"/>
    <w:rsid w:val="00B659E2"/>
    <w:rsid w:val="00B70FA3"/>
    <w:rsid w:val="00B7132F"/>
    <w:rsid w:val="00B74CFC"/>
    <w:rsid w:val="00B77960"/>
    <w:rsid w:val="00B81116"/>
    <w:rsid w:val="00B8394D"/>
    <w:rsid w:val="00B86C22"/>
    <w:rsid w:val="00B92646"/>
    <w:rsid w:val="00B92C0A"/>
    <w:rsid w:val="00B95422"/>
    <w:rsid w:val="00B97C50"/>
    <w:rsid w:val="00BA02AE"/>
    <w:rsid w:val="00BA2DEB"/>
    <w:rsid w:val="00BA3507"/>
    <w:rsid w:val="00BA3C4B"/>
    <w:rsid w:val="00BA59F7"/>
    <w:rsid w:val="00BA6FC6"/>
    <w:rsid w:val="00BB4DAB"/>
    <w:rsid w:val="00BC2E66"/>
    <w:rsid w:val="00BC6FCB"/>
    <w:rsid w:val="00BD15B8"/>
    <w:rsid w:val="00BD3365"/>
    <w:rsid w:val="00BD7143"/>
    <w:rsid w:val="00BE1B7A"/>
    <w:rsid w:val="00BE3D91"/>
    <w:rsid w:val="00BE47FC"/>
    <w:rsid w:val="00BE4E3A"/>
    <w:rsid w:val="00BE58BD"/>
    <w:rsid w:val="00BF2D82"/>
    <w:rsid w:val="00BF4257"/>
    <w:rsid w:val="00C04970"/>
    <w:rsid w:val="00C05F68"/>
    <w:rsid w:val="00C0743C"/>
    <w:rsid w:val="00C10000"/>
    <w:rsid w:val="00C1644C"/>
    <w:rsid w:val="00C2302B"/>
    <w:rsid w:val="00C234BF"/>
    <w:rsid w:val="00C262C3"/>
    <w:rsid w:val="00C33AE7"/>
    <w:rsid w:val="00C361E3"/>
    <w:rsid w:val="00C37832"/>
    <w:rsid w:val="00C37C7E"/>
    <w:rsid w:val="00C4253B"/>
    <w:rsid w:val="00C4368D"/>
    <w:rsid w:val="00C51FFD"/>
    <w:rsid w:val="00C549D1"/>
    <w:rsid w:val="00C55F4A"/>
    <w:rsid w:val="00C57E4B"/>
    <w:rsid w:val="00C624C3"/>
    <w:rsid w:val="00C63020"/>
    <w:rsid w:val="00C6533C"/>
    <w:rsid w:val="00C6577C"/>
    <w:rsid w:val="00C724FA"/>
    <w:rsid w:val="00C74364"/>
    <w:rsid w:val="00C74D03"/>
    <w:rsid w:val="00C7718A"/>
    <w:rsid w:val="00C823A9"/>
    <w:rsid w:val="00C82E02"/>
    <w:rsid w:val="00C849CC"/>
    <w:rsid w:val="00C855D2"/>
    <w:rsid w:val="00C85AA1"/>
    <w:rsid w:val="00C918E2"/>
    <w:rsid w:val="00C93BA2"/>
    <w:rsid w:val="00C9547B"/>
    <w:rsid w:val="00C96919"/>
    <w:rsid w:val="00CA1BFF"/>
    <w:rsid w:val="00CA1DC3"/>
    <w:rsid w:val="00CA34C0"/>
    <w:rsid w:val="00CB4AB3"/>
    <w:rsid w:val="00CB5D3D"/>
    <w:rsid w:val="00CB6753"/>
    <w:rsid w:val="00CC087D"/>
    <w:rsid w:val="00CC44DE"/>
    <w:rsid w:val="00CC506A"/>
    <w:rsid w:val="00CC7416"/>
    <w:rsid w:val="00CD4247"/>
    <w:rsid w:val="00CE12E2"/>
    <w:rsid w:val="00CE465C"/>
    <w:rsid w:val="00CE478C"/>
    <w:rsid w:val="00CE5AA3"/>
    <w:rsid w:val="00CF1E00"/>
    <w:rsid w:val="00CF3642"/>
    <w:rsid w:val="00D00279"/>
    <w:rsid w:val="00D00FDF"/>
    <w:rsid w:val="00D027E2"/>
    <w:rsid w:val="00D0392C"/>
    <w:rsid w:val="00D04DAE"/>
    <w:rsid w:val="00D04F92"/>
    <w:rsid w:val="00D072E0"/>
    <w:rsid w:val="00D07CEB"/>
    <w:rsid w:val="00D11259"/>
    <w:rsid w:val="00D14145"/>
    <w:rsid w:val="00D14341"/>
    <w:rsid w:val="00D16A88"/>
    <w:rsid w:val="00D16B7B"/>
    <w:rsid w:val="00D2028C"/>
    <w:rsid w:val="00D35EF7"/>
    <w:rsid w:val="00D365B0"/>
    <w:rsid w:val="00D36663"/>
    <w:rsid w:val="00D37873"/>
    <w:rsid w:val="00D438AC"/>
    <w:rsid w:val="00D44D27"/>
    <w:rsid w:val="00D463EB"/>
    <w:rsid w:val="00D5167A"/>
    <w:rsid w:val="00D52CF0"/>
    <w:rsid w:val="00D5368F"/>
    <w:rsid w:val="00D53C4A"/>
    <w:rsid w:val="00D56632"/>
    <w:rsid w:val="00D6140A"/>
    <w:rsid w:val="00D6291F"/>
    <w:rsid w:val="00D659E5"/>
    <w:rsid w:val="00D67270"/>
    <w:rsid w:val="00D75602"/>
    <w:rsid w:val="00D75F1D"/>
    <w:rsid w:val="00D76003"/>
    <w:rsid w:val="00D8111E"/>
    <w:rsid w:val="00D825E7"/>
    <w:rsid w:val="00D826AB"/>
    <w:rsid w:val="00D8591E"/>
    <w:rsid w:val="00D85E2D"/>
    <w:rsid w:val="00D85F36"/>
    <w:rsid w:val="00D91556"/>
    <w:rsid w:val="00D93418"/>
    <w:rsid w:val="00D93B87"/>
    <w:rsid w:val="00D94A21"/>
    <w:rsid w:val="00D9668C"/>
    <w:rsid w:val="00D968E6"/>
    <w:rsid w:val="00DA0F8F"/>
    <w:rsid w:val="00DA1B13"/>
    <w:rsid w:val="00DA1BB2"/>
    <w:rsid w:val="00DA1C05"/>
    <w:rsid w:val="00DA4B3F"/>
    <w:rsid w:val="00DA583A"/>
    <w:rsid w:val="00DA74C5"/>
    <w:rsid w:val="00DA7986"/>
    <w:rsid w:val="00DB18CE"/>
    <w:rsid w:val="00DB1A1C"/>
    <w:rsid w:val="00DB25E4"/>
    <w:rsid w:val="00DB49D3"/>
    <w:rsid w:val="00DB6091"/>
    <w:rsid w:val="00DB6B16"/>
    <w:rsid w:val="00DB748E"/>
    <w:rsid w:val="00DB74F3"/>
    <w:rsid w:val="00DB778F"/>
    <w:rsid w:val="00DC3C56"/>
    <w:rsid w:val="00DC459C"/>
    <w:rsid w:val="00DC7991"/>
    <w:rsid w:val="00DD135D"/>
    <w:rsid w:val="00DD1C63"/>
    <w:rsid w:val="00DD421F"/>
    <w:rsid w:val="00DD4FFD"/>
    <w:rsid w:val="00DD50D7"/>
    <w:rsid w:val="00DD5BC3"/>
    <w:rsid w:val="00DD60FD"/>
    <w:rsid w:val="00DE23AA"/>
    <w:rsid w:val="00DE2B02"/>
    <w:rsid w:val="00DE665B"/>
    <w:rsid w:val="00DE6B1D"/>
    <w:rsid w:val="00DE7D6B"/>
    <w:rsid w:val="00DF050D"/>
    <w:rsid w:val="00DF1DFB"/>
    <w:rsid w:val="00DF27C8"/>
    <w:rsid w:val="00DF2865"/>
    <w:rsid w:val="00DF3601"/>
    <w:rsid w:val="00DF3686"/>
    <w:rsid w:val="00DF4DB4"/>
    <w:rsid w:val="00DF4E2A"/>
    <w:rsid w:val="00E058C6"/>
    <w:rsid w:val="00E05A6F"/>
    <w:rsid w:val="00E07FBF"/>
    <w:rsid w:val="00E11EA1"/>
    <w:rsid w:val="00E1409C"/>
    <w:rsid w:val="00E166B4"/>
    <w:rsid w:val="00E24C00"/>
    <w:rsid w:val="00E255F5"/>
    <w:rsid w:val="00E25D8B"/>
    <w:rsid w:val="00E27384"/>
    <w:rsid w:val="00E302F2"/>
    <w:rsid w:val="00E304A4"/>
    <w:rsid w:val="00E314BD"/>
    <w:rsid w:val="00E34CE8"/>
    <w:rsid w:val="00E4427A"/>
    <w:rsid w:val="00E446B2"/>
    <w:rsid w:val="00E462A1"/>
    <w:rsid w:val="00E4764F"/>
    <w:rsid w:val="00E478FA"/>
    <w:rsid w:val="00E5220B"/>
    <w:rsid w:val="00E54C9C"/>
    <w:rsid w:val="00E56EB1"/>
    <w:rsid w:val="00E6146D"/>
    <w:rsid w:val="00E6181F"/>
    <w:rsid w:val="00E62651"/>
    <w:rsid w:val="00E70766"/>
    <w:rsid w:val="00E73FAD"/>
    <w:rsid w:val="00E8108A"/>
    <w:rsid w:val="00E84424"/>
    <w:rsid w:val="00E86B66"/>
    <w:rsid w:val="00E90ABA"/>
    <w:rsid w:val="00E91C32"/>
    <w:rsid w:val="00E91FB5"/>
    <w:rsid w:val="00EA0237"/>
    <w:rsid w:val="00EA042A"/>
    <w:rsid w:val="00EA2984"/>
    <w:rsid w:val="00EA75BC"/>
    <w:rsid w:val="00EB2272"/>
    <w:rsid w:val="00EB2DA8"/>
    <w:rsid w:val="00EB3BDD"/>
    <w:rsid w:val="00EB717B"/>
    <w:rsid w:val="00EC0ACA"/>
    <w:rsid w:val="00EC24E7"/>
    <w:rsid w:val="00EC29CC"/>
    <w:rsid w:val="00ED052A"/>
    <w:rsid w:val="00ED0CC5"/>
    <w:rsid w:val="00ED68DE"/>
    <w:rsid w:val="00ED7E8D"/>
    <w:rsid w:val="00EE03DA"/>
    <w:rsid w:val="00EE29C0"/>
    <w:rsid w:val="00EE4096"/>
    <w:rsid w:val="00EE4C57"/>
    <w:rsid w:val="00EF1BF9"/>
    <w:rsid w:val="00EF7AE6"/>
    <w:rsid w:val="00F01B34"/>
    <w:rsid w:val="00F02EF8"/>
    <w:rsid w:val="00F03497"/>
    <w:rsid w:val="00F0506A"/>
    <w:rsid w:val="00F07F7C"/>
    <w:rsid w:val="00F178FB"/>
    <w:rsid w:val="00F23CE3"/>
    <w:rsid w:val="00F25CB5"/>
    <w:rsid w:val="00F273F9"/>
    <w:rsid w:val="00F2780C"/>
    <w:rsid w:val="00F333B9"/>
    <w:rsid w:val="00F338DB"/>
    <w:rsid w:val="00F34F34"/>
    <w:rsid w:val="00F4487F"/>
    <w:rsid w:val="00F458BD"/>
    <w:rsid w:val="00F5251F"/>
    <w:rsid w:val="00F6257E"/>
    <w:rsid w:val="00F64402"/>
    <w:rsid w:val="00F66A1C"/>
    <w:rsid w:val="00F71A35"/>
    <w:rsid w:val="00F732CB"/>
    <w:rsid w:val="00F73DE4"/>
    <w:rsid w:val="00F75BC8"/>
    <w:rsid w:val="00F85605"/>
    <w:rsid w:val="00F85E6E"/>
    <w:rsid w:val="00F862AA"/>
    <w:rsid w:val="00F91388"/>
    <w:rsid w:val="00F91C06"/>
    <w:rsid w:val="00F929E2"/>
    <w:rsid w:val="00F9376F"/>
    <w:rsid w:val="00F9745A"/>
    <w:rsid w:val="00FA15D0"/>
    <w:rsid w:val="00FA5DD8"/>
    <w:rsid w:val="00FA62EA"/>
    <w:rsid w:val="00FA75D2"/>
    <w:rsid w:val="00FB1272"/>
    <w:rsid w:val="00FB2778"/>
    <w:rsid w:val="00FB4A4C"/>
    <w:rsid w:val="00FB5BDA"/>
    <w:rsid w:val="00FC4A66"/>
    <w:rsid w:val="00FC676F"/>
    <w:rsid w:val="00FD069C"/>
    <w:rsid w:val="00FD33D9"/>
    <w:rsid w:val="00FD35D4"/>
    <w:rsid w:val="00FD5438"/>
    <w:rsid w:val="00FD59E7"/>
    <w:rsid w:val="00FE144C"/>
    <w:rsid w:val="00FE35F1"/>
    <w:rsid w:val="00FF1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4D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515"/>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customStyle="1" w:styleId="standardChar">
    <w:name w:val="standard Char"/>
    <w:link w:val="standard"/>
    <w:rPr>
      <w:rFonts w:ascii="Palatino" w:hAnsi="Palatino"/>
      <w:sz w:val="26"/>
      <w:lang w:val="en-US" w:eastAsia="en-US" w:bidi="ar-SA"/>
    </w:rPr>
  </w:style>
  <w:style w:type="paragraph" w:customStyle="1" w:styleId="Style2">
    <w:name w:val="Style2"/>
    <w:basedOn w:val="Normal"/>
  </w:style>
  <w:style w:type="paragraph" w:customStyle="1" w:styleId="Style3">
    <w:name w:val="Style3"/>
    <w:basedOn w:val="Normal"/>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PlainTextChar">
    <w:name w:val="Plain Text Char"/>
    <w:link w:val="PlainText"/>
    <w:semiHidden/>
    <w:locked/>
    <w:rPr>
      <w:rFonts w:ascii="Consolas" w:hAnsi="Consolas"/>
      <w:color w:val="000000"/>
      <w:sz w:val="21"/>
      <w:szCs w:val="21"/>
      <w:lang w:bidi="ar-SA"/>
    </w:rPr>
  </w:style>
  <w:style w:type="paragraph" w:styleId="PlainText">
    <w:name w:val="Plain Text"/>
    <w:basedOn w:val="Normal"/>
    <w:link w:val="PlainTextChar"/>
    <w:semiHidden/>
    <w:rPr>
      <w:rFonts w:ascii="Consolas" w:hAnsi="Consolas"/>
      <w:color w:val="000000"/>
      <w:sz w:val="21"/>
      <w:szCs w:val="21"/>
    </w:rPr>
  </w:style>
  <w:style w:type="paragraph" w:customStyle="1" w:styleId="CM10">
    <w:name w:val="CM10"/>
    <w:basedOn w:val="Normal"/>
    <w:next w:val="Normal"/>
    <w:rsid w:val="00942B3C"/>
    <w:pPr>
      <w:widowControl w:val="0"/>
      <w:autoSpaceDE w:val="0"/>
      <w:autoSpaceDN w:val="0"/>
      <w:adjustRightInd w:val="0"/>
    </w:pPr>
    <w:rPr>
      <w:rFonts w:ascii="Lucida Bright" w:hAnsi="Lucida Bright"/>
      <w:sz w:val="24"/>
      <w:szCs w:val="24"/>
    </w:rPr>
  </w:style>
  <w:style w:type="character" w:customStyle="1" w:styleId="FootnoteTextChar">
    <w:name w:val="Footnote Text Char"/>
    <w:link w:val="FootnoteText"/>
    <w:semiHidden/>
    <w:locked/>
    <w:rsid w:val="00850FAB"/>
    <w:rPr>
      <w:rFonts w:ascii="Palatino" w:hAnsi="Palatino"/>
      <w:sz w:val="24"/>
      <w:lang w:val="en-US" w:eastAsia="en-US" w:bidi="ar-SA"/>
    </w:rPr>
  </w:style>
  <w:style w:type="paragraph" w:styleId="ListParagraph">
    <w:name w:val="List Paragraph"/>
    <w:basedOn w:val="Normal"/>
    <w:uiPriority w:val="34"/>
    <w:qFormat/>
    <w:rsid w:val="00DA0F8F"/>
    <w:pPr>
      <w:spacing w:after="200" w:line="276" w:lineRule="auto"/>
      <w:ind w:left="720"/>
      <w:contextualSpacing/>
    </w:pPr>
    <w:rPr>
      <w:rFonts w:ascii="Calibri" w:hAnsi="Calibri"/>
      <w:sz w:val="22"/>
      <w:szCs w:val="22"/>
    </w:rPr>
  </w:style>
  <w:style w:type="paragraph" w:styleId="Revision">
    <w:name w:val="Revision"/>
    <w:hidden/>
    <w:uiPriority w:val="99"/>
    <w:semiHidden/>
    <w:rsid w:val="00055BAF"/>
    <w:rPr>
      <w:rFonts w:ascii="Palatino" w:hAnsi="Palatino"/>
      <w:sz w:val="26"/>
    </w:rPr>
  </w:style>
  <w:style w:type="paragraph" w:styleId="Caption">
    <w:name w:val="caption"/>
    <w:basedOn w:val="Normal"/>
    <w:next w:val="Normal"/>
    <w:unhideWhenUsed/>
    <w:qFormat/>
    <w:rsid w:val="00540C9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1230">
      <w:bodyDiv w:val="1"/>
      <w:marLeft w:val="0"/>
      <w:marRight w:val="0"/>
      <w:marTop w:val="0"/>
      <w:marBottom w:val="0"/>
      <w:divBdr>
        <w:top w:val="none" w:sz="0" w:space="0" w:color="auto"/>
        <w:left w:val="none" w:sz="0" w:space="0" w:color="auto"/>
        <w:bottom w:val="none" w:sz="0" w:space="0" w:color="auto"/>
        <w:right w:val="none" w:sz="0" w:space="0" w:color="auto"/>
      </w:divBdr>
    </w:div>
    <w:div w:id="86580646">
      <w:bodyDiv w:val="1"/>
      <w:marLeft w:val="0"/>
      <w:marRight w:val="0"/>
      <w:marTop w:val="0"/>
      <w:marBottom w:val="0"/>
      <w:divBdr>
        <w:top w:val="none" w:sz="0" w:space="0" w:color="auto"/>
        <w:left w:val="none" w:sz="0" w:space="0" w:color="auto"/>
        <w:bottom w:val="none" w:sz="0" w:space="0" w:color="auto"/>
        <w:right w:val="none" w:sz="0" w:space="0" w:color="auto"/>
      </w:divBdr>
    </w:div>
    <w:div w:id="92435119">
      <w:bodyDiv w:val="1"/>
      <w:marLeft w:val="0"/>
      <w:marRight w:val="0"/>
      <w:marTop w:val="0"/>
      <w:marBottom w:val="0"/>
      <w:divBdr>
        <w:top w:val="none" w:sz="0" w:space="0" w:color="auto"/>
        <w:left w:val="none" w:sz="0" w:space="0" w:color="auto"/>
        <w:bottom w:val="none" w:sz="0" w:space="0" w:color="auto"/>
        <w:right w:val="none" w:sz="0" w:space="0" w:color="auto"/>
      </w:divBdr>
    </w:div>
    <w:div w:id="312150079">
      <w:bodyDiv w:val="1"/>
      <w:marLeft w:val="0"/>
      <w:marRight w:val="0"/>
      <w:marTop w:val="0"/>
      <w:marBottom w:val="0"/>
      <w:divBdr>
        <w:top w:val="none" w:sz="0" w:space="0" w:color="auto"/>
        <w:left w:val="none" w:sz="0" w:space="0" w:color="auto"/>
        <w:bottom w:val="none" w:sz="0" w:space="0" w:color="auto"/>
        <w:right w:val="none" w:sz="0" w:space="0" w:color="auto"/>
      </w:divBdr>
      <w:divsChild>
        <w:div w:id="1526744716">
          <w:marLeft w:val="0"/>
          <w:marRight w:val="0"/>
          <w:marTop w:val="0"/>
          <w:marBottom w:val="0"/>
          <w:divBdr>
            <w:top w:val="none" w:sz="0" w:space="0" w:color="auto"/>
            <w:left w:val="none" w:sz="0" w:space="0" w:color="auto"/>
            <w:bottom w:val="none" w:sz="0" w:space="0" w:color="auto"/>
            <w:right w:val="none" w:sz="0" w:space="0" w:color="auto"/>
          </w:divBdr>
        </w:div>
      </w:divsChild>
    </w:div>
    <w:div w:id="445152792">
      <w:bodyDiv w:val="1"/>
      <w:marLeft w:val="0"/>
      <w:marRight w:val="0"/>
      <w:marTop w:val="0"/>
      <w:marBottom w:val="0"/>
      <w:divBdr>
        <w:top w:val="none" w:sz="0" w:space="0" w:color="auto"/>
        <w:left w:val="none" w:sz="0" w:space="0" w:color="auto"/>
        <w:bottom w:val="none" w:sz="0" w:space="0" w:color="auto"/>
        <w:right w:val="none" w:sz="0" w:space="0" w:color="auto"/>
      </w:divBdr>
    </w:div>
    <w:div w:id="1207640362">
      <w:bodyDiv w:val="1"/>
      <w:marLeft w:val="0"/>
      <w:marRight w:val="0"/>
      <w:marTop w:val="0"/>
      <w:marBottom w:val="0"/>
      <w:divBdr>
        <w:top w:val="none" w:sz="0" w:space="0" w:color="auto"/>
        <w:left w:val="none" w:sz="0" w:space="0" w:color="auto"/>
        <w:bottom w:val="none" w:sz="0" w:space="0" w:color="auto"/>
        <w:right w:val="none" w:sz="0" w:space="0" w:color="auto"/>
      </w:divBdr>
    </w:div>
    <w:div w:id="1250314658">
      <w:bodyDiv w:val="1"/>
      <w:marLeft w:val="0"/>
      <w:marRight w:val="0"/>
      <w:marTop w:val="0"/>
      <w:marBottom w:val="0"/>
      <w:divBdr>
        <w:top w:val="none" w:sz="0" w:space="0" w:color="auto"/>
        <w:left w:val="none" w:sz="0" w:space="0" w:color="auto"/>
        <w:bottom w:val="none" w:sz="0" w:space="0" w:color="auto"/>
        <w:right w:val="none" w:sz="0" w:space="0" w:color="auto"/>
      </w:divBdr>
    </w:div>
    <w:div w:id="1286541988">
      <w:bodyDiv w:val="1"/>
      <w:marLeft w:val="0"/>
      <w:marRight w:val="0"/>
      <w:marTop w:val="0"/>
      <w:marBottom w:val="0"/>
      <w:divBdr>
        <w:top w:val="none" w:sz="0" w:space="0" w:color="auto"/>
        <w:left w:val="none" w:sz="0" w:space="0" w:color="auto"/>
        <w:bottom w:val="none" w:sz="0" w:space="0" w:color="auto"/>
        <w:right w:val="none" w:sz="0" w:space="0" w:color="auto"/>
      </w:divBdr>
    </w:div>
    <w:div w:id="1803230664">
      <w:bodyDiv w:val="1"/>
      <w:marLeft w:val="0"/>
      <w:marRight w:val="0"/>
      <w:marTop w:val="0"/>
      <w:marBottom w:val="0"/>
      <w:divBdr>
        <w:top w:val="none" w:sz="0" w:space="0" w:color="auto"/>
        <w:left w:val="none" w:sz="0" w:space="0" w:color="auto"/>
        <w:bottom w:val="none" w:sz="0" w:space="0" w:color="auto"/>
        <w:right w:val="none" w:sz="0" w:space="0" w:color="auto"/>
      </w:divBdr>
    </w:div>
    <w:div w:id="1913002897">
      <w:bodyDiv w:val="1"/>
      <w:marLeft w:val="0"/>
      <w:marRight w:val="0"/>
      <w:marTop w:val="0"/>
      <w:marBottom w:val="0"/>
      <w:divBdr>
        <w:top w:val="none" w:sz="0" w:space="0" w:color="auto"/>
        <w:left w:val="none" w:sz="0" w:space="0" w:color="auto"/>
        <w:bottom w:val="none" w:sz="0" w:space="0" w:color="auto"/>
        <w:right w:val="none" w:sz="0" w:space="0" w:color="auto"/>
      </w:divBdr>
      <w:divsChild>
        <w:div w:id="304119142">
          <w:marLeft w:val="0"/>
          <w:marRight w:val="0"/>
          <w:marTop w:val="0"/>
          <w:marBottom w:val="0"/>
          <w:divBdr>
            <w:top w:val="none" w:sz="0" w:space="0" w:color="auto"/>
            <w:left w:val="none" w:sz="0" w:space="0" w:color="auto"/>
            <w:bottom w:val="none" w:sz="0" w:space="0" w:color="auto"/>
            <w:right w:val="none" w:sz="0" w:space="0" w:color="auto"/>
          </w:divBdr>
        </w:div>
      </w:divsChild>
    </w:div>
    <w:div w:id="2045984496">
      <w:bodyDiv w:val="1"/>
      <w:marLeft w:val="0"/>
      <w:marRight w:val="0"/>
      <w:marTop w:val="0"/>
      <w:marBottom w:val="0"/>
      <w:divBdr>
        <w:top w:val="none" w:sz="0" w:space="0" w:color="auto"/>
        <w:left w:val="none" w:sz="0" w:space="0" w:color="auto"/>
        <w:bottom w:val="none" w:sz="0" w:space="0" w:color="auto"/>
        <w:right w:val="none" w:sz="0" w:space="0" w:color="auto"/>
      </w:divBdr>
    </w:div>
    <w:div w:id="2063484260">
      <w:bodyDiv w:val="1"/>
      <w:marLeft w:val="0"/>
      <w:marRight w:val="0"/>
      <w:marTop w:val="0"/>
      <w:marBottom w:val="0"/>
      <w:divBdr>
        <w:top w:val="none" w:sz="0" w:space="0" w:color="auto"/>
        <w:left w:val="none" w:sz="0" w:space="0" w:color="auto"/>
        <w:bottom w:val="none" w:sz="0" w:space="0" w:color="auto"/>
        <w:right w:val="none" w:sz="0" w:space="0" w:color="auto"/>
      </w:divBdr>
      <w:divsChild>
        <w:div w:id="108553266">
          <w:marLeft w:val="0"/>
          <w:marRight w:val="0"/>
          <w:marTop w:val="0"/>
          <w:marBottom w:val="0"/>
          <w:divBdr>
            <w:top w:val="none" w:sz="0" w:space="0" w:color="auto"/>
            <w:left w:val="none" w:sz="0" w:space="0" w:color="auto"/>
            <w:bottom w:val="none" w:sz="0" w:space="0" w:color="auto"/>
            <w:right w:val="none" w:sz="0" w:space="0" w:color="auto"/>
          </w:divBdr>
        </w:div>
      </w:divsChild>
    </w:div>
    <w:div w:id="20696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2C8BED6CF3548BF8333AE401CD8C8" ma:contentTypeVersion="12" ma:contentTypeDescription="Create a new document." ma:contentTypeScope="" ma:versionID="68943819a1656b960083b9b093039d7a">
  <xsd:schema xmlns:xsd="http://www.w3.org/2001/XMLSchema" xmlns:xs="http://www.w3.org/2001/XMLSchema" xmlns:p="http://schemas.microsoft.com/office/2006/metadata/properties" xmlns:ns3="b68f4fe1-3a55-4bcc-9c2a-17f3e71cc75b" xmlns:ns4="939e3009-1176-41fd-a24b-ed27b0027fde" targetNamespace="http://schemas.microsoft.com/office/2006/metadata/properties" ma:root="true" ma:fieldsID="112ca5a50018b9c1f946fe8308963e07" ns3:_="" ns4:_="">
    <xsd:import namespace="b68f4fe1-3a55-4bcc-9c2a-17f3e71cc75b"/>
    <xsd:import namespace="939e3009-1176-41fd-a24b-ed27b0027f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4fe1-3a55-4bcc-9c2a-17f3e71cc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9e3009-1176-41fd-a24b-ed27b002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6F00-4CCA-4275-90D5-2CF6AA298FCF}">
  <ds:schemaRefs>
    <ds:schemaRef ds:uri="http://schemas.microsoft.com/sharepoint/v3/contenttype/forms"/>
  </ds:schemaRefs>
</ds:datastoreItem>
</file>

<file path=customXml/itemProps2.xml><?xml version="1.0" encoding="utf-8"?>
<ds:datastoreItem xmlns:ds="http://schemas.openxmlformats.org/officeDocument/2006/customXml" ds:itemID="{933E9F28-5CCA-4548-BC29-D6F9ECB178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3579EA-A790-46C9-9498-CD89A460D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4fe1-3a55-4bcc-9c2a-17f3e71cc75b"/>
    <ds:schemaRef ds:uri="939e3009-1176-41fd-a24b-ed27b002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67BAD-1A0A-4D7E-9ABC-74E5334C67C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3618</ap:Words>
  <ap:Characters>20627</ap:Characters>
  <ap:Application>Microsoft Office Word</ap:Application>
  <ap:DocSecurity>0</ap:DocSecurity>
  <ap:Lines>171</ap:Lines>
  <ap:Paragraphs>48</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24197</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2014-06-30T21:25:00Z</cp:lastPrinted>
  <dcterms:created xsi:type="dcterms:W3CDTF">2020-12-11T10:42:01Z</dcterms:created>
  <dcterms:modified xsi:type="dcterms:W3CDTF">2020-12-11T10:42:01Z</dcterms:modified>
</cp:coreProperties>
</file>