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3B79" w:rsidP="001F3B79" w:rsidRDefault="001F3B79" w14:paraId="01BBF9BF" w14:textId="1C7F19BF">
      <w:pPr>
        <w:pStyle w:val="titlebar"/>
        <w:rPr>
          <w:sz w:val="24"/>
        </w:rPr>
      </w:pPr>
      <w:r>
        <w:rPr>
          <w:sz w:val="24"/>
        </w:rPr>
        <w:t>PUBLIC UTILITIES COMMISSION OF THE STATE OF CALIFORNIA</w:t>
      </w:r>
    </w:p>
    <w:p w:rsidR="003812C3" w:rsidP="001F3B79" w:rsidRDefault="003812C3" w14:paraId="530B7772" w14:textId="77777777">
      <w:pPr>
        <w:pStyle w:val="titlebar"/>
        <w:rPr>
          <w:sz w:val="24"/>
        </w:rPr>
      </w:pPr>
    </w:p>
    <w:p w:rsidR="001F3B79" w:rsidP="003812C3" w:rsidRDefault="003812C3" w14:paraId="2368C4CB" w14:textId="75BF346A">
      <w:pPr>
        <w:tabs>
          <w:tab w:val="left" w:pos="6840"/>
        </w:tabs>
      </w:pPr>
      <w:r>
        <w:tab/>
      </w:r>
    </w:p>
    <w:p w:rsidR="001F3B79" w:rsidP="003812C3" w:rsidRDefault="001F3B79" w14:paraId="05526044" w14:textId="1D77EB00">
      <w:pPr>
        <w:tabs>
          <w:tab w:val="left" w:pos="6840"/>
        </w:tabs>
        <w:rPr>
          <w:b/>
          <w:sz w:val="24"/>
        </w:rPr>
      </w:pPr>
      <w:r>
        <w:rPr>
          <w:b/>
          <w:sz w:val="24"/>
        </w:rPr>
        <w:t>ENERGY DIVISION</w:t>
      </w:r>
      <w:r w:rsidR="003812C3">
        <w:rPr>
          <w:b/>
          <w:sz w:val="24"/>
        </w:rPr>
        <w:t xml:space="preserve"> </w:t>
      </w:r>
      <w:r w:rsidR="003812C3">
        <w:rPr>
          <w:b/>
          <w:sz w:val="24"/>
        </w:rPr>
        <w:tab/>
      </w:r>
      <w:r>
        <w:rPr>
          <w:b/>
          <w:sz w:val="24"/>
        </w:rPr>
        <w:t xml:space="preserve">RESOLUTION </w:t>
      </w:r>
      <w:r w:rsidR="00355036">
        <w:rPr>
          <w:b/>
          <w:sz w:val="24"/>
        </w:rPr>
        <w:t>G-</w:t>
      </w:r>
      <w:r w:rsidR="00C054F3">
        <w:rPr>
          <w:b/>
          <w:sz w:val="24"/>
        </w:rPr>
        <w:t>3576</w:t>
      </w:r>
    </w:p>
    <w:p w:rsidR="001F3B79" w:rsidP="003812C3" w:rsidRDefault="003812C3" w14:paraId="4443C3E1" w14:textId="140A9136">
      <w:pPr>
        <w:tabs>
          <w:tab w:val="left" w:pos="6840"/>
          <w:tab w:val="right" w:pos="8910"/>
        </w:tabs>
        <w:ind w:left="1440" w:firstLine="720"/>
        <w:rPr>
          <w:b/>
          <w:sz w:val="24"/>
        </w:rPr>
      </w:pPr>
      <w:r>
        <w:rPr>
          <w:b/>
          <w:sz w:val="24"/>
        </w:rPr>
        <w:tab/>
      </w:r>
      <w:r w:rsidRPr="00613B28" w:rsidR="00442266">
        <w:rPr>
          <w:b/>
          <w:sz w:val="24"/>
        </w:rPr>
        <w:t xml:space="preserve">DECEMBER </w:t>
      </w:r>
      <w:r w:rsidRPr="00613B28" w:rsidR="000D43B5">
        <w:rPr>
          <w:b/>
          <w:sz w:val="24"/>
        </w:rPr>
        <w:t>17</w:t>
      </w:r>
      <w:r w:rsidRPr="00613B28" w:rsidR="00442266">
        <w:rPr>
          <w:b/>
          <w:sz w:val="24"/>
        </w:rPr>
        <w:t>,</w:t>
      </w:r>
      <w:r w:rsidR="00442266">
        <w:rPr>
          <w:b/>
          <w:sz w:val="24"/>
        </w:rPr>
        <w:t xml:space="preserve"> 2020</w:t>
      </w:r>
    </w:p>
    <w:p w:rsidR="001F3B79" w:rsidP="001F3B79" w:rsidRDefault="001F3B79" w14:paraId="76BE6AE6" w14:textId="77777777">
      <w:pPr>
        <w:tabs>
          <w:tab w:val="right" w:pos="8910"/>
        </w:tabs>
        <w:ind w:left="1440" w:firstLine="720"/>
        <w:rPr>
          <w:b/>
          <w:sz w:val="24"/>
        </w:rPr>
      </w:pPr>
    </w:p>
    <w:p w:rsidR="001F3B79" w:rsidP="001F3B79" w:rsidRDefault="001F3B79" w14:paraId="0217E36F" w14:textId="77777777">
      <w:pPr>
        <w:pStyle w:val="mainex"/>
        <w:rPr>
          <w:u w:val="single"/>
        </w:rPr>
      </w:pPr>
      <w:bookmarkStart w:name="_Ref404993683" w:id="0"/>
      <w:r>
        <w:rPr>
          <w:u w:val="single"/>
        </w:rPr>
        <w:t>RESOLUTION</w:t>
      </w:r>
    </w:p>
    <w:p w:rsidR="001F3B79" w:rsidP="001F3B79" w:rsidRDefault="001F3B79" w14:paraId="697CBFC3" w14:textId="77777777"/>
    <w:p w:rsidR="00681B88" w:rsidP="00681B88" w:rsidRDefault="00681B88" w14:paraId="1AA4630D" w14:textId="77777777">
      <w:pPr>
        <w:pStyle w:val="Default"/>
      </w:pPr>
    </w:p>
    <w:p w:rsidRPr="00613B28" w:rsidR="00681B88" w:rsidP="00681B88" w:rsidRDefault="00681B88" w14:paraId="2F789C73" w14:textId="1660F6E7">
      <w:pPr>
        <w:pStyle w:val="Default"/>
        <w:rPr>
          <w:rFonts w:ascii="Garamond" w:hAnsi="Garamond"/>
          <w:sz w:val="26"/>
          <w:szCs w:val="26"/>
        </w:rPr>
      </w:pPr>
      <w:bookmarkStart w:name="_Hlk57022207" w:id="1"/>
      <w:r w:rsidRPr="00613B28">
        <w:rPr>
          <w:rFonts w:ascii="Garamond" w:hAnsi="Garamond"/>
          <w:sz w:val="26"/>
          <w:szCs w:val="26"/>
        </w:rPr>
        <w:t>Resolution G-</w:t>
      </w:r>
      <w:r w:rsidRPr="00613B28" w:rsidR="006D0334">
        <w:rPr>
          <w:rFonts w:ascii="Garamond" w:hAnsi="Garamond"/>
          <w:sz w:val="26"/>
          <w:szCs w:val="26"/>
        </w:rPr>
        <w:t xml:space="preserve">3576 </w:t>
      </w:r>
      <w:r w:rsidRPr="00613B28" w:rsidR="00E5583F">
        <w:rPr>
          <w:rFonts w:ascii="Garamond" w:hAnsi="Garamond"/>
          <w:sz w:val="26"/>
          <w:szCs w:val="26"/>
        </w:rPr>
        <w:t>re</w:t>
      </w:r>
      <w:r w:rsidRPr="00613B28" w:rsidR="00447AB3">
        <w:rPr>
          <w:rFonts w:ascii="Garamond" w:hAnsi="Garamond"/>
          <w:sz w:val="26"/>
          <w:szCs w:val="26"/>
        </w:rPr>
        <w:t>garding</w:t>
      </w:r>
      <w:r w:rsidRPr="00613B28" w:rsidR="00D93C1F">
        <w:rPr>
          <w:rFonts w:ascii="Garamond" w:hAnsi="Garamond"/>
          <w:sz w:val="26"/>
          <w:szCs w:val="26"/>
        </w:rPr>
        <w:t xml:space="preserve"> the</w:t>
      </w:r>
      <w:r w:rsidRPr="00613B28" w:rsidR="00447AB3">
        <w:rPr>
          <w:rFonts w:ascii="Garamond" w:hAnsi="Garamond"/>
          <w:sz w:val="26"/>
          <w:szCs w:val="26"/>
        </w:rPr>
        <w:t xml:space="preserve"> </w:t>
      </w:r>
      <w:bookmarkStart w:name="_Hlk53667149" w:id="2"/>
      <w:r w:rsidRPr="00613B28" w:rsidR="00447AB3">
        <w:rPr>
          <w:rFonts w:ascii="Garamond" w:hAnsi="Garamond"/>
          <w:sz w:val="26"/>
          <w:szCs w:val="26"/>
        </w:rPr>
        <w:t xml:space="preserve">Southern California Gas Company’s </w:t>
      </w:r>
      <w:bookmarkEnd w:id="2"/>
      <w:r w:rsidRPr="00613B28" w:rsidR="00E4227F">
        <w:rPr>
          <w:rFonts w:ascii="Garamond" w:hAnsi="Garamond"/>
          <w:sz w:val="26"/>
          <w:szCs w:val="26"/>
        </w:rPr>
        <w:t xml:space="preserve">2020 Compliance Plan and </w:t>
      </w:r>
      <w:r w:rsidRPr="00613B28" w:rsidR="00E5583F">
        <w:rPr>
          <w:rFonts w:ascii="Garamond" w:hAnsi="Garamond"/>
          <w:sz w:val="26"/>
          <w:szCs w:val="26"/>
        </w:rPr>
        <w:t xml:space="preserve">Ratemaking </w:t>
      </w:r>
      <w:r w:rsidRPr="00613B28">
        <w:rPr>
          <w:rFonts w:ascii="Garamond" w:hAnsi="Garamond"/>
          <w:sz w:val="26"/>
          <w:szCs w:val="26"/>
        </w:rPr>
        <w:t>Forecast</w:t>
      </w:r>
      <w:r w:rsidRPr="00613B28" w:rsidR="00E5583F">
        <w:rPr>
          <w:rFonts w:ascii="Garamond" w:hAnsi="Garamond"/>
          <w:sz w:val="26"/>
          <w:szCs w:val="26"/>
        </w:rPr>
        <w:t>s</w:t>
      </w:r>
      <w:r w:rsidRPr="00613B28">
        <w:rPr>
          <w:rFonts w:ascii="Garamond" w:hAnsi="Garamond"/>
          <w:sz w:val="26"/>
          <w:szCs w:val="26"/>
        </w:rPr>
        <w:t xml:space="preserve"> for </w:t>
      </w:r>
      <w:r w:rsidRPr="00613B28" w:rsidR="00447AB3">
        <w:rPr>
          <w:rFonts w:ascii="Garamond" w:hAnsi="Garamond"/>
          <w:sz w:val="26"/>
          <w:szCs w:val="26"/>
        </w:rPr>
        <w:t xml:space="preserve">its </w:t>
      </w:r>
      <w:r w:rsidRPr="00613B28">
        <w:rPr>
          <w:rFonts w:ascii="Garamond" w:hAnsi="Garamond"/>
          <w:sz w:val="26"/>
          <w:szCs w:val="26"/>
        </w:rPr>
        <w:t>Natural Gas Leak Abatement Program</w:t>
      </w:r>
      <w:r w:rsidRPr="00613B28" w:rsidR="00D81B6F">
        <w:rPr>
          <w:rFonts w:ascii="Garamond" w:hAnsi="Garamond"/>
          <w:sz w:val="26"/>
          <w:szCs w:val="26"/>
        </w:rPr>
        <w:t>.</w:t>
      </w:r>
      <w:r w:rsidRPr="00613B28">
        <w:rPr>
          <w:rFonts w:ascii="Garamond" w:hAnsi="Garamond"/>
          <w:sz w:val="26"/>
          <w:szCs w:val="26"/>
        </w:rPr>
        <w:t xml:space="preserve"> </w:t>
      </w:r>
    </w:p>
    <w:p w:rsidRPr="00613B28" w:rsidR="00681B88" w:rsidP="00681B88" w:rsidRDefault="00681B88" w14:paraId="097C8C1D" w14:textId="77777777">
      <w:pPr>
        <w:pStyle w:val="Default"/>
        <w:rPr>
          <w:rFonts w:ascii="Garamond" w:hAnsi="Garamond"/>
          <w:sz w:val="26"/>
          <w:szCs w:val="26"/>
        </w:rPr>
      </w:pPr>
    </w:p>
    <w:p w:rsidRPr="00613B28" w:rsidR="00681B88" w:rsidP="00681B88" w:rsidRDefault="00681B88" w14:paraId="4116C07E" w14:textId="77777777">
      <w:pPr>
        <w:pStyle w:val="Default"/>
        <w:rPr>
          <w:rFonts w:ascii="Garamond" w:hAnsi="Garamond" w:cs="Palatino Linotype"/>
          <w:sz w:val="26"/>
          <w:szCs w:val="26"/>
        </w:rPr>
      </w:pPr>
      <w:r w:rsidRPr="00613B28">
        <w:rPr>
          <w:rFonts w:ascii="Garamond" w:hAnsi="Garamond"/>
          <w:sz w:val="26"/>
          <w:szCs w:val="26"/>
        </w:rPr>
        <w:t>PROPOSED OUTCOME</w:t>
      </w:r>
      <w:r w:rsidRPr="00613B28">
        <w:rPr>
          <w:rFonts w:ascii="Garamond" w:hAnsi="Garamond" w:cs="Palatino Linotype"/>
          <w:sz w:val="26"/>
          <w:szCs w:val="26"/>
        </w:rPr>
        <w:t xml:space="preserve">: </w:t>
      </w:r>
    </w:p>
    <w:p w:rsidRPr="00613B28" w:rsidR="00681B88" w:rsidP="009E1AB3" w:rsidRDefault="00681B88" w14:paraId="20E37E03" w14:textId="51C14EF6">
      <w:pPr>
        <w:pStyle w:val="Default"/>
        <w:numPr>
          <w:ilvl w:val="0"/>
          <w:numId w:val="11"/>
        </w:numPr>
        <w:rPr>
          <w:rFonts w:ascii="Garamond" w:hAnsi="Garamond" w:cs="Palatino Linotype"/>
          <w:sz w:val="26"/>
          <w:szCs w:val="26"/>
        </w:rPr>
      </w:pPr>
      <w:r w:rsidRPr="00613B28">
        <w:rPr>
          <w:rFonts w:ascii="Garamond" w:hAnsi="Garamond" w:cs="Palatino Linotype"/>
          <w:sz w:val="26"/>
          <w:szCs w:val="26"/>
        </w:rPr>
        <w:t>Approv</w:t>
      </w:r>
      <w:r w:rsidRPr="00613B28" w:rsidR="00447AB3">
        <w:rPr>
          <w:rFonts w:ascii="Garamond" w:hAnsi="Garamond" w:cs="Palatino Linotype"/>
          <w:sz w:val="26"/>
          <w:szCs w:val="26"/>
        </w:rPr>
        <w:t>es</w:t>
      </w:r>
      <w:r w:rsidRPr="00613B28">
        <w:rPr>
          <w:rFonts w:ascii="Garamond" w:hAnsi="Garamond" w:cs="Palatino Linotype"/>
          <w:sz w:val="26"/>
          <w:szCs w:val="26"/>
        </w:rPr>
        <w:t xml:space="preserve"> </w:t>
      </w:r>
      <w:r w:rsidRPr="00613B28" w:rsidR="00447AB3">
        <w:rPr>
          <w:rFonts w:ascii="Garamond" w:hAnsi="Garamond" w:cs="Palatino Linotype"/>
          <w:sz w:val="26"/>
          <w:szCs w:val="26"/>
        </w:rPr>
        <w:t xml:space="preserve">SoCalGas’ </w:t>
      </w:r>
      <w:r w:rsidRPr="00613B28">
        <w:rPr>
          <w:rFonts w:ascii="Garamond" w:hAnsi="Garamond" w:cs="Palatino Linotype"/>
          <w:sz w:val="26"/>
          <w:szCs w:val="26"/>
        </w:rPr>
        <w:t xml:space="preserve">2020 </w:t>
      </w:r>
      <w:r w:rsidR="008F387D">
        <w:rPr>
          <w:rFonts w:ascii="Garamond" w:hAnsi="Garamond" w:cs="Palatino Linotype"/>
          <w:sz w:val="26"/>
          <w:szCs w:val="26"/>
        </w:rPr>
        <w:t xml:space="preserve">Natural Gas Leak Abatement </w:t>
      </w:r>
      <w:r w:rsidRPr="00613B28">
        <w:rPr>
          <w:rFonts w:ascii="Garamond" w:hAnsi="Garamond" w:cs="Palatino Linotype"/>
          <w:sz w:val="26"/>
          <w:szCs w:val="26"/>
        </w:rPr>
        <w:t xml:space="preserve">Compliance Plan and </w:t>
      </w:r>
      <w:r w:rsidRPr="00613B28" w:rsidR="00E5583F">
        <w:rPr>
          <w:rFonts w:ascii="Garamond" w:hAnsi="Garamond" w:cs="Palatino Linotype"/>
          <w:sz w:val="26"/>
          <w:szCs w:val="26"/>
        </w:rPr>
        <w:t>Advice Letter 5603-</w:t>
      </w:r>
      <w:r w:rsidRPr="00613B28" w:rsidR="00BF42F5">
        <w:rPr>
          <w:rFonts w:ascii="Garamond" w:hAnsi="Garamond" w:cs="Palatino Linotype"/>
          <w:sz w:val="26"/>
          <w:szCs w:val="26"/>
        </w:rPr>
        <w:t>G-</w:t>
      </w:r>
      <w:r w:rsidRPr="00613B28" w:rsidR="006D0334">
        <w:rPr>
          <w:rFonts w:ascii="Garamond" w:hAnsi="Garamond" w:cs="Palatino Linotype"/>
          <w:sz w:val="26"/>
          <w:szCs w:val="26"/>
        </w:rPr>
        <w:t>C</w:t>
      </w:r>
      <w:r w:rsidRPr="00613B28" w:rsidR="00E5583F">
        <w:rPr>
          <w:rFonts w:ascii="Garamond" w:hAnsi="Garamond" w:cs="Palatino Linotype"/>
          <w:sz w:val="26"/>
          <w:szCs w:val="26"/>
        </w:rPr>
        <w:t>.</w:t>
      </w:r>
      <w:r w:rsidRPr="00613B28">
        <w:rPr>
          <w:rFonts w:ascii="Garamond" w:hAnsi="Garamond" w:cs="Palatino Linotype"/>
          <w:sz w:val="26"/>
          <w:szCs w:val="26"/>
        </w:rPr>
        <w:t xml:space="preserve"> </w:t>
      </w:r>
    </w:p>
    <w:p w:rsidRPr="00613B28" w:rsidR="00681B88" w:rsidP="00681B88" w:rsidRDefault="00681B88" w14:paraId="52660391" w14:textId="77777777">
      <w:pPr>
        <w:pStyle w:val="Default"/>
        <w:rPr>
          <w:rFonts w:ascii="Garamond" w:hAnsi="Garamond" w:cs="Palatino Linotype"/>
          <w:sz w:val="26"/>
          <w:szCs w:val="26"/>
        </w:rPr>
      </w:pPr>
    </w:p>
    <w:p w:rsidRPr="00613B28" w:rsidR="00681B88" w:rsidP="00681B88" w:rsidRDefault="00681B88" w14:paraId="2EA3C0A5" w14:textId="77777777">
      <w:pPr>
        <w:pStyle w:val="Default"/>
        <w:rPr>
          <w:rFonts w:ascii="Garamond" w:hAnsi="Garamond"/>
          <w:sz w:val="26"/>
          <w:szCs w:val="26"/>
        </w:rPr>
      </w:pPr>
      <w:r w:rsidRPr="00613B28">
        <w:rPr>
          <w:rFonts w:ascii="Garamond" w:hAnsi="Garamond"/>
          <w:sz w:val="26"/>
          <w:szCs w:val="26"/>
        </w:rPr>
        <w:t xml:space="preserve">SAFETY CONSIDERATIONS: </w:t>
      </w:r>
    </w:p>
    <w:p w:rsidRPr="00613B28" w:rsidR="00681B88" w:rsidP="009E1AB3" w:rsidRDefault="00905389" w14:paraId="5B225427" w14:textId="70039A3B">
      <w:pPr>
        <w:pStyle w:val="Default"/>
        <w:numPr>
          <w:ilvl w:val="0"/>
          <w:numId w:val="11"/>
        </w:numPr>
        <w:rPr>
          <w:rFonts w:ascii="Garamond" w:hAnsi="Garamond" w:cs="Palatino Linotype"/>
          <w:sz w:val="26"/>
          <w:szCs w:val="26"/>
        </w:rPr>
      </w:pPr>
      <w:r w:rsidRPr="00613B28">
        <w:rPr>
          <w:rFonts w:ascii="Garamond" w:hAnsi="Garamond" w:cs="Palatino Linotype"/>
          <w:sz w:val="26"/>
          <w:szCs w:val="26"/>
        </w:rPr>
        <w:t>R</w:t>
      </w:r>
      <w:r w:rsidRPr="00613B28" w:rsidR="00681B88">
        <w:rPr>
          <w:rFonts w:ascii="Garamond" w:hAnsi="Garamond" w:cs="Palatino Linotype"/>
          <w:sz w:val="26"/>
          <w:szCs w:val="26"/>
        </w:rPr>
        <w:t>epairing or replacing pipes</w:t>
      </w:r>
      <w:r w:rsidRPr="00613B28" w:rsidR="0045233F">
        <w:rPr>
          <w:rFonts w:ascii="Garamond" w:hAnsi="Garamond" w:cs="Palatino Linotype"/>
          <w:sz w:val="26"/>
          <w:szCs w:val="26"/>
        </w:rPr>
        <w:t xml:space="preserve"> and</w:t>
      </w:r>
      <w:r w:rsidRPr="00613B28" w:rsidR="00FF570D">
        <w:rPr>
          <w:rFonts w:ascii="Garamond" w:hAnsi="Garamond" w:cs="Palatino Linotype"/>
          <w:sz w:val="26"/>
          <w:szCs w:val="26"/>
        </w:rPr>
        <w:t xml:space="preserve"> modifying operations</w:t>
      </w:r>
      <w:r w:rsidRPr="00613B28" w:rsidR="00681B88">
        <w:rPr>
          <w:rFonts w:ascii="Garamond" w:hAnsi="Garamond" w:cs="Palatino Linotype"/>
          <w:sz w:val="26"/>
          <w:szCs w:val="26"/>
        </w:rPr>
        <w:t xml:space="preserve"> and associated infrastructure </w:t>
      </w:r>
      <w:r w:rsidRPr="00613B28">
        <w:rPr>
          <w:rFonts w:ascii="Garamond" w:hAnsi="Garamond" w:cs="Palatino Linotype"/>
          <w:sz w:val="26"/>
          <w:szCs w:val="26"/>
        </w:rPr>
        <w:t xml:space="preserve">to reduce methane emissions also </w:t>
      </w:r>
      <w:r w:rsidRPr="00613B28" w:rsidR="00681B88">
        <w:rPr>
          <w:rFonts w:ascii="Garamond" w:hAnsi="Garamond" w:cs="Palatino Linotype"/>
          <w:sz w:val="26"/>
          <w:szCs w:val="26"/>
        </w:rPr>
        <w:t xml:space="preserve">advances natural gas pipeline safety. </w:t>
      </w:r>
    </w:p>
    <w:p w:rsidRPr="00613B28" w:rsidR="00681B88" w:rsidP="00681B88" w:rsidRDefault="00681B88" w14:paraId="4F0350AE" w14:textId="77777777">
      <w:pPr>
        <w:pStyle w:val="Default"/>
        <w:rPr>
          <w:rFonts w:ascii="Garamond" w:hAnsi="Garamond" w:cs="Palatino Linotype"/>
          <w:sz w:val="26"/>
          <w:szCs w:val="26"/>
        </w:rPr>
      </w:pPr>
    </w:p>
    <w:p w:rsidR="004F5057" w:rsidP="004F5057" w:rsidRDefault="00681B88" w14:paraId="1CE4681C" w14:textId="77777777">
      <w:pPr>
        <w:pStyle w:val="Default"/>
        <w:rPr>
          <w:rFonts w:ascii="Garamond" w:hAnsi="Garamond" w:cs="Palatino Linotype"/>
          <w:sz w:val="26"/>
          <w:szCs w:val="26"/>
        </w:rPr>
      </w:pPr>
      <w:bookmarkStart w:name="_Hlk54266446" w:id="3"/>
      <w:r w:rsidRPr="00613B28">
        <w:rPr>
          <w:rFonts w:ascii="Garamond" w:hAnsi="Garamond"/>
          <w:sz w:val="26"/>
          <w:szCs w:val="26"/>
        </w:rPr>
        <w:t>ESTIMATED COST</w:t>
      </w:r>
      <w:r w:rsidRPr="00613B28">
        <w:rPr>
          <w:rFonts w:ascii="Garamond" w:hAnsi="Garamond" w:cs="Palatino Linotype"/>
          <w:sz w:val="26"/>
          <w:szCs w:val="26"/>
        </w:rPr>
        <w:t xml:space="preserve">: </w:t>
      </w:r>
    </w:p>
    <w:p w:rsidRPr="00613B28" w:rsidR="00905389" w:rsidP="004F5057" w:rsidRDefault="00C92DDC" w14:paraId="40B38615" w14:textId="5532E768">
      <w:pPr>
        <w:pStyle w:val="Default"/>
        <w:numPr>
          <w:ilvl w:val="0"/>
          <w:numId w:val="11"/>
        </w:numPr>
        <w:rPr>
          <w:rFonts w:ascii="Garamond" w:hAnsi="Garamond"/>
          <w:sz w:val="26"/>
          <w:szCs w:val="26"/>
        </w:rPr>
      </w:pPr>
      <w:r w:rsidRPr="00613B28">
        <w:rPr>
          <w:rFonts w:ascii="Garamond" w:hAnsi="Garamond"/>
          <w:sz w:val="26"/>
          <w:szCs w:val="26"/>
        </w:rPr>
        <w:t>SoCalGas forecasts a total revenue requirement</w:t>
      </w:r>
      <w:r w:rsidRPr="00613B28" w:rsidR="0014648D">
        <w:rPr>
          <w:rFonts w:ascii="Garamond" w:hAnsi="Garamond"/>
          <w:sz w:val="26"/>
          <w:szCs w:val="26"/>
        </w:rPr>
        <w:t xml:space="preserve"> over the life of the capital projects</w:t>
      </w:r>
      <w:r w:rsidRPr="00613B28">
        <w:rPr>
          <w:rFonts w:ascii="Garamond" w:hAnsi="Garamond"/>
          <w:sz w:val="26"/>
          <w:szCs w:val="26"/>
        </w:rPr>
        <w:t xml:space="preserve"> of $285 million with an annual revenue requirement of $80.588 million for 2021 and $85.026 million for 2022, not including Franchise Fees and </w:t>
      </w:r>
      <w:proofErr w:type="spellStart"/>
      <w:r w:rsidRPr="00613B28">
        <w:rPr>
          <w:rFonts w:ascii="Garamond" w:hAnsi="Garamond"/>
          <w:sz w:val="26"/>
          <w:szCs w:val="26"/>
        </w:rPr>
        <w:t>Uncollectibles</w:t>
      </w:r>
      <w:proofErr w:type="spellEnd"/>
      <w:r w:rsidRPr="00613B28">
        <w:rPr>
          <w:rFonts w:ascii="Garamond" w:hAnsi="Garamond"/>
          <w:sz w:val="26"/>
          <w:szCs w:val="26"/>
        </w:rPr>
        <w:t xml:space="preserve">. </w:t>
      </w:r>
      <w:bookmarkEnd w:id="3"/>
    </w:p>
    <w:p w:rsidRPr="00613B28" w:rsidR="00C92DDC" w:rsidP="00905389" w:rsidRDefault="00C92DDC" w14:paraId="6E022EC4" w14:textId="77777777">
      <w:pPr>
        <w:pStyle w:val="Default"/>
        <w:rPr>
          <w:rFonts w:ascii="Garamond" w:hAnsi="Garamond"/>
          <w:sz w:val="26"/>
          <w:szCs w:val="26"/>
        </w:rPr>
      </w:pPr>
    </w:p>
    <w:p w:rsidRPr="00613B28" w:rsidR="00905389" w:rsidP="00905389" w:rsidRDefault="00905389" w14:paraId="0ED4EE15" w14:textId="15B65237">
      <w:pPr>
        <w:pStyle w:val="Default"/>
        <w:rPr>
          <w:rFonts w:ascii="Garamond" w:hAnsi="Garamond"/>
          <w:sz w:val="26"/>
          <w:szCs w:val="26"/>
        </w:rPr>
      </w:pPr>
      <w:r w:rsidRPr="00613B28">
        <w:rPr>
          <w:rFonts w:ascii="Garamond" w:hAnsi="Garamond"/>
          <w:sz w:val="26"/>
          <w:szCs w:val="26"/>
        </w:rPr>
        <w:t xml:space="preserve">By Advice Letter 5603-G and </w:t>
      </w:r>
      <w:r w:rsidRPr="00613B28" w:rsidR="00251886">
        <w:rPr>
          <w:rFonts w:ascii="Garamond" w:hAnsi="Garamond"/>
          <w:sz w:val="26"/>
          <w:szCs w:val="26"/>
        </w:rPr>
        <w:t>amend</w:t>
      </w:r>
      <w:r w:rsidRPr="00613B28" w:rsidR="00801BDB">
        <w:rPr>
          <w:rFonts w:ascii="Garamond" w:hAnsi="Garamond"/>
          <w:sz w:val="26"/>
          <w:szCs w:val="26"/>
        </w:rPr>
        <w:t>ed filings</w:t>
      </w:r>
      <w:r w:rsidRPr="00613B28" w:rsidR="00251886">
        <w:rPr>
          <w:rFonts w:ascii="Garamond" w:hAnsi="Garamond"/>
          <w:sz w:val="26"/>
          <w:szCs w:val="26"/>
        </w:rPr>
        <w:t xml:space="preserve"> </w:t>
      </w:r>
      <w:r w:rsidRPr="00613B28">
        <w:rPr>
          <w:rFonts w:ascii="Garamond" w:hAnsi="Garamond"/>
          <w:sz w:val="26"/>
          <w:szCs w:val="26"/>
        </w:rPr>
        <w:t xml:space="preserve">5603-G-A, 5603-G-B, and 5603-G-C, </w:t>
      </w:r>
      <w:r w:rsidRPr="00613B28" w:rsidR="00F0249A">
        <w:rPr>
          <w:rFonts w:ascii="Garamond" w:hAnsi="Garamond" w:cs="Arial"/>
          <w:iCs/>
          <w:sz w:val="26"/>
          <w:szCs w:val="26"/>
        </w:rPr>
        <w:t>which were filed on June 12, June 29, and October 2, respectively</w:t>
      </w:r>
      <w:r w:rsidRPr="00613B28">
        <w:rPr>
          <w:rFonts w:ascii="Garamond" w:hAnsi="Garamond"/>
          <w:sz w:val="26"/>
          <w:szCs w:val="26"/>
        </w:rPr>
        <w:t xml:space="preserve">. </w:t>
      </w:r>
    </w:p>
    <w:p w:rsidRPr="00613B28" w:rsidR="00681B88" w:rsidP="00681B88" w:rsidRDefault="00681B88" w14:paraId="00AF8FA7" w14:textId="77777777">
      <w:pPr>
        <w:pStyle w:val="Default"/>
        <w:rPr>
          <w:rFonts w:ascii="Garamond" w:hAnsi="Garamond" w:cstheme="minorBidi"/>
          <w:color w:val="auto"/>
          <w:sz w:val="26"/>
          <w:szCs w:val="26"/>
        </w:rPr>
      </w:pPr>
      <w:r w:rsidRPr="00613B28">
        <w:rPr>
          <w:rFonts w:ascii="Garamond" w:hAnsi="Garamond" w:cstheme="minorBidi"/>
          <w:color w:val="auto"/>
          <w:sz w:val="26"/>
          <w:szCs w:val="26"/>
        </w:rPr>
        <w:t xml:space="preserve">__________________________________________________________ </w:t>
      </w:r>
      <w:bookmarkEnd w:id="1"/>
    </w:p>
    <w:p w:rsidRPr="00613B28" w:rsidR="00425704" w:rsidP="00681B88" w:rsidRDefault="00425704" w14:paraId="6AB93A33" w14:textId="77777777">
      <w:pPr>
        <w:pStyle w:val="Default"/>
        <w:rPr>
          <w:rFonts w:ascii="Garamond" w:hAnsi="Garamond" w:cs="Arial"/>
          <w:b/>
          <w:bCs/>
          <w:color w:val="auto"/>
          <w:sz w:val="26"/>
          <w:szCs w:val="26"/>
        </w:rPr>
      </w:pPr>
    </w:p>
    <w:p w:rsidRPr="00613B28" w:rsidR="00681B88" w:rsidP="00681B88" w:rsidRDefault="00681B88" w14:paraId="6A26BA41" w14:textId="6B104879">
      <w:pPr>
        <w:pStyle w:val="Default"/>
        <w:rPr>
          <w:rFonts w:ascii="Garamond" w:hAnsi="Garamond"/>
          <w:color w:val="auto"/>
          <w:sz w:val="26"/>
          <w:szCs w:val="26"/>
          <w:u w:val="single"/>
        </w:rPr>
      </w:pPr>
      <w:bookmarkStart w:name="_Hlk51925659" w:id="4"/>
      <w:r w:rsidRPr="00613B28">
        <w:rPr>
          <w:rFonts w:ascii="Garamond" w:hAnsi="Garamond" w:cs="Arial"/>
          <w:b/>
          <w:bCs/>
          <w:color w:val="auto"/>
          <w:sz w:val="26"/>
          <w:szCs w:val="26"/>
          <w:u w:val="single"/>
        </w:rPr>
        <w:t xml:space="preserve">SUMMARY </w:t>
      </w:r>
    </w:p>
    <w:p w:rsidRPr="00613B28" w:rsidR="00681B88" w:rsidP="00681B88" w:rsidRDefault="00681B88" w14:paraId="1FDE74FC" w14:textId="77777777">
      <w:pPr>
        <w:pStyle w:val="Default"/>
        <w:rPr>
          <w:rFonts w:ascii="Garamond" w:hAnsi="Garamond"/>
          <w:color w:val="auto"/>
          <w:sz w:val="26"/>
          <w:szCs w:val="26"/>
        </w:rPr>
      </w:pPr>
    </w:p>
    <w:p w:rsidRPr="00613B28" w:rsidR="00732C1A" w:rsidP="00681B88" w:rsidRDefault="00681B88" w14:paraId="14C38618" w14:textId="5F8A1620">
      <w:pPr>
        <w:pStyle w:val="Default"/>
        <w:rPr>
          <w:rFonts w:ascii="Garamond" w:hAnsi="Garamond"/>
          <w:color w:val="auto"/>
          <w:sz w:val="26"/>
          <w:szCs w:val="26"/>
        </w:rPr>
      </w:pPr>
      <w:r w:rsidRPr="00613B28">
        <w:rPr>
          <w:rFonts w:ascii="Garamond" w:hAnsi="Garamond"/>
          <w:color w:val="auto"/>
          <w:sz w:val="26"/>
          <w:szCs w:val="26"/>
        </w:rPr>
        <w:t xml:space="preserve">This </w:t>
      </w:r>
      <w:r w:rsidRPr="00613B28" w:rsidR="002607CE">
        <w:rPr>
          <w:rFonts w:ascii="Garamond" w:hAnsi="Garamond"/>
          <w:color w:val="auto"/>
          <w:sz w:val="26"/>
          <w:szCs w:val="26"/>
        </w:rPr>
        <w:t>r</w:t>
      </w:r>
      <w:r w:rsidRPr="00613B28">
        <w:rPr>
          <w:rFonts w:ascii="Garamond" w:hAnsi="Garamond"/>
          <w:color w:val="auto"/>
          <w:sz w:val="26"/>
          <w:szCs w:val="26"/>
        </w:rPr>
        <w:t xml:space="preserve">esolution approves </w:t>
      </w:r>
      <w:r w:rsidRPr="00613B28" w:rsidR="00247596">
        <w:rPr>
          <w:rFonts w:ascii="Garamond" w:hAnsi="Garamond"/>
          <w:sz w:val="26"/>
          <w:szCs w:val="26"/>
        </w:rPr>
        <w:t>Southern California Gas Company’s (</w:t>
      </w:r>
      <w:r w:rsidRPr="00613B28">
        <w:rPr>
          <w:rFonts w:ascii="Garamond" w:hAnsi="Garamond"/>
          <w:color w:val="auto"/>
          <w:sz w:val="26"/>
          <w:szCs w:val="26"/>
        </w:rPr>
        <w:t>SoCalGas</w:t>
      </w:r>
      <w:r w:rsidRPr="00613B28" w:rsidR="00247596">
        <w:rPr>
          <w:rFonts w:ascii="Garamond" w:hAnsi="Garamond"/>
          <w:color w:val="auto"/>
          <w:sz w:val="26"/>
          <w:szCs w:val="26"/>
        </w:rPr>
        <w:t>)</w:t>
      </w:r>
      <w:r w:rsidRPr="00613B28">
        <w:rPr>
          <w:rFonts w:ascii="Garamond" w:hAnsi="Garamond"/>
          <w:color w:val="auto"/>
          <w:sz w:val="26"/>
          <w:szCs w:val="26"/>
        </w:rPr>
        <w:t xml:space="preserve"> 2020 </w:t>
      </w:r>
      <w:r w:rsidRPr="00613B28" w:rsidR="00E5583F">
        <w:rPr>
          <w:rFonts w:ascii="Garamond" w:hAnsi="Garamond"/>
          <w:color w:val="auto"/>
          <w:sz w:val="26"/>
          <w:szCs w:val="26"/>
        </w:rPr>
        <w:t xml:space="preserve">Natural Gas </w:t>
      </w:r>
      <w:r w:rsidRPr="00613B28" w:rsidR="00A70346">
        <w:rPr>
          <w:rFonts w:ascii="Garamond" w:hAnsi="Garamond"/>
          <w:color w:val="auto"/>
          <w:sz w:val="26"/>
          <w:szCs w:val="26"/>
        </w:rPr>
        <w:t xml:space="preserve">Leak Abatement (NGLA) </w:t>
      </w:r>
      <w:r w:rsidR="00E920B0">
        <w:rPr>
          <w:rFonts w:ascii="Garamond" w:hAnsi="Garamond"/>
          <w:color w:val="auto"/>
          <w:sz w:val="26"/>
          <w:szCs w:val="26"/>
        </w:rPr>
        <w:t xml:space="preserve">Program and </w:t>
      </w:r>
      <w:r w:rsidRPr="00613B28">
        <w:rPr>
          <w:rFonts w:ascii="Garamond" w:hAnsi="Garamond"/>
          <w:color w:val="auto"/>
          <w:sz w:val="26"/>
          <w:szCs w:val="26"/>
        </w:rPr>
        <w:t xml:space="preserve">Compliance Plan and </w:t>
      </w:r>
      <w:r w:rsidRPr="00613B28" w:rsidR="00E5583F">
        <w:rPr>
          <w:rFonts w:ascii="Garamond" w:hAnsi="Garamond"/>
          <w:color w:val="auto"/>
          <w:sz w:val="26"/>
          <w:szCs w:val="26"/>
        </w:rPr>
        <w:t xml:space="preserve">ratemaking </w:t>
      </w:r>
      <w:r w:rsidRPr="00613B28">
        <w:rPr>
          <w:rFonts w:ascii="Garamond" w:hAnsi="Garamond"/>
          <w:color w:val="auto"/>
          <w:sz w:val="26"/>
          <w:szCs w:val="26"/>
        </w:rPr>
        <w:t>forecast</w:t>
      </w:r>
      <w:r w:rsidRPr="00613B28" w:rsidR="00E5583F">
        <w:rPr>
          <w:rFonts w:ascii="Garamond" w:hAnsi="Garamond"/>
          <w:color w:val="auto"/>
          <w:sz w:val="26"/>
          <w:szCs w:val="26"/>
        </w:rPr>
        <w:t>s</w:t>
      </w:r>
      <w:r w:rsidRPr="00613B28">
        <w:rPr>
          <w:rFonts w:ascii="Garamond" w:hAnsi="Garamond"/>
          <w:color w:val="auto"/>
          <w:sz w:val="26"/>
          <w:szCs w:val="26"/>
        </w:rPr>
        <w:t xml:space="preserve"> as filed in Advice Letter (AL) </w:t>
      </w:r>
      <w:r w:rsidRPr="00613B28" w:rsidR="006560B3">
        <w:rPr>
          <w:rFonts w:ascii="Garamond" w:hAnsi="Garamond"/>
          <w:color w:val="auto"/>
          <w:sz w:val="26"/>
          <w:szCs w:val="26"/>
        </w:rPr>
        <w:t>5603-G-C</w:t>
      </w:r>
      <w:r w:rsidRPr="00613B28" w:rsidR="00D93C1F">
        <w:rPr>
          <w:rFonts w:ascii="Garamond" w:hAnsi="Garamond"/>
          <w:color w:val="auto"/>
          <w:sz w:val="26"/>
          <w:szCs w:val="26"/>
        </w:rPr>
        <w:t xml:space="preserve">. </w:t>
      </w:r>
      <w:r w:rsidRPr="00613B28" w:rsidR="00E5583F">
        <w:rPr>
          <w:rFonts w:ascii="Garamond" w:hAnsi="Garamond"/>
          <w:color w:val="auto"/>
          <w:sz w:val="26"/>
          <w:szCs w:val="26"/>
        </w:rPr>
        <w:t>The purpose of the N</w:t>
      </w:r>
      <w:r w:rsidRPr="00613B28" w:rsidR="00A70346">
        <w:rPr>
          <w:rFonts w:ascii="Garamond" w:hAnsi="Garamond"/>
          <w:color w:val="auto"/>
          <w:sz w:val="26"/>
          <w:szCs w:val="26"/>
        </w:rPr>
        <w:t xml:space="preserve">GLA Compliance Plan is to propose how the utility will </w:t>
      </w:r>
      <w:r w:rsidRPr="00613B28" w:rsidR="002607CE">
        <w:rPr>
          <w:rFonts w:ascii="Garamond" w:hAnsi="Garamond"/>
          <w:color w:val="auto"/>
          <w:sz w:val="26"/>
          <w:szCs w:val="26"/>
        </w:rPr>
        <w:t xml:space="preserve">reduce emissions and implement </w:t>
      </w:r>
      <w:r w:rsidRPr="00613B28" w:rsidR="009A1E89">
        <w:rPr>
          <w:rFonts w:ascii="Garamond" w:hAnsi="Garamond"/>
          <w:color w:val="auto"/>
          <w:sz w:val="26"/>
          <w:szCs w:val="26"/>
        </w:rPr>
        <w:t xml:space="preserve">26 </w:t>
      </w:r>
      <w:r w:rsidRPr="00613B28" w:rsidR="002607CE">
        <w:rPr>
          <w:rFonts w:ascii="Garamond" w:hAnsi="Garamond"/>
          <w:color w:val="auto"/>
          <w:sz w:val="26"/>
          <w:szCs w:val="26"/>
        </w:rPr>
        <w:t xml:space="preserve">Best Practices for </w:t>
      </w:r>
      <w:r w:rsidRPr="00613B28" w:rsidR="00A70346">
        <w:rPr>
          <w:rFonts w:ascii="Garamond" w:hAnsi="Garamond"/>
          <w:color w:val="auto"/>
          <w:sz w:val="26"/>
          <w:szCs w:val="26"/>
        </w:rPr>
        <w:t xml:space="preserve">leak abatement described in the Phase 1 NGLA Program Decision </w:t>
      </w:r>
      <w:r w:rsidRPr="00613B28" w:rsidR="002607CE">
        <w:rPr>
          <w:rFonts w:ascii="Garamond" w:hAnsi="Garamond"/>
          <w:color w:val="auto"/>
          <w:sz w:val="26"/>
          <w:szCs w:val="26"/>
        </w:rPr>
        <w:t>(</w:t>
      </w:r>
      <w:r w:rsidRPr="00613B28" w:rsidR="00A70346">
        <w:rPr>
          <w:rFonts w:ascii="Garamond" w:hAnsi="Garamond"/>
          <w:color w:val="auto"/>
          <w:sz w:val="26"/>
          <w:szCs w:val="26"/>
        </w:rPr>
        <w:t>D.</w:t>
      </w:r>
      <w:r w:rsidRPr="00613B28" w:rsidR="002607CE">
        <w:rPr>
          <w:rFonts w:ascii="Garamond" w:hAnsi="Garamond"/>
          <w:color w:val="auto"/>
          <w:sz w:val="26"/>
          <w:szCs w:val="26"/>
        </w:rPr>
        <w:t>)</w:t>
      </w:r>
      <w:r w:rsidRPr="00613B28" w:rsidR="00A70346">
        <w:rPr>
          <w:rFonts w:ascii="Garamond" w:hAnsi="Garamond"/>
          <w:color w:val="auto"/>
          <w:sz w:val="26"/>
          <w:szCs w:val="26"/>
        </w:rPr>
        <w:t xml:space="preserve"> 17-06-015 and to </w:t>
      </w:r>
      <w:r w:rsidRPr="00613B28" w:rsidR="00247596">
        <w:rPr>
          <w:rFonts w:ascii="Garamond" w:hAnsi="Garamond"/>
          <w:color w:val="auto"/>
          <w:sz w:val="26"/>
          <w:szCs w:val="26"/>
        </w:rPr>
        <w:t>detail</w:t>
      </w:r>
      <w:r w:rsidRPr="00613B28" w:rsidR="00A70346">
        <w:rPr>
          <w:rFonts w:ascii="Garamond" w:hAnsi="Garamond"/>
          <w:color w:val="auto"/>
          <w:sz w:val="26"/>
          <w:szCs w:val="26"/>
        </w:rPr>
        <w:t xml:space="preserve"> the</w:t>
      </w:r>
      <w:r w:rsidRPr="00613B28" w:rsidR="006939E8">
        <w:rPr>
          <w:rFonts w:ascii="Garamond" w:hAnsi="Garamond"/>
          <w:color w:val="auto"/>
          <w:sz w:val="26"/>
          <w:szCs w:val="26"/>
        </w:rPr>
        <w:t>ir</w:t>
      </w:r>
      <w:r w:rsidRPr="00613B28" w:rsidR="00A70346">
        <w:rPr>
          <w:rFonts w:ascii="Garamond" w:hAnsi="Garamond"/>
          <w:color w:val="auto"/>
          <w:sz w:val="26"/>
          <w:szCs w:val="26"/>
        </w:rPr>
        <w:t xml:space="preserve"> costs and cost effectiveness. </w:t>
      </w:r>
      <w:r w:rsidRPr="00613B28" w:rsidR="009A4A8A">
        <w:rPr>
          <w:rFonts w:ascii="Garamond" w:hAnsi="Garamond" w:cs="Arial"/>
          <w:iCs/>
          <w:sz w:val="26"/>
          <w:szCs w:val="26"/>
        </w:rPr>
        <w:t xml:space="preserve">The 2020 Plan is forecasted to achieve substantially more methane abatement and cost less than the 2018 Plan. </w:t>
      </w:r>
      <w:r w:rsidRPr="00613B28" w:rsidR="00A70346">
        <w:rPr>
          <w:rFonts w:ascii="Garamond" w:hAnsi="Garamond"/>
          <w:color w:val="auto"/>
          <w:sz w:val="26"/>
          <w:szCs w:val="26"/>
        </w:rPr>
        <w:t xml:space="preserve">The funding request </w:t>
      </w:r>
      <w:r w:rsidRPr="00613B28" w:rsidR="00732C1A">
        <w:rPr>
          <w:rFonts w:ascii="Garamond" w:hAnsi="Garamond"/>
          <w:color w:val="auto"/>
          <w:sz w:val="26"/>
          <w:szCs w:val="26"/>
        </w:rPr>
        <w:t xml:space="preserve">detailed in </w:t>
      </w:r>
      <w:r w:rsidRPr="00613B28" w:rsidR="00BF42F5">
        <w:rPr>
          <w:rFonts w:ascii="Garamond" w:hAnsi="Garamond"/>
          <w:color w:val="auto"/>
          <w:sz w:val="26"/>
          <w:szCs w:val="26"/>
        </w:rPr>
        <w:t>AL 5603-G-C</w:t>
      </w:r>
      <w:r w:rsidRPr="00613B28" w:rsidR="00732C1A">
        <w:rPr>
          <w:rFonts w:ascii="Garamond" w:hAnsi="Garamond"/>
          <w:color w:val="auto"/>
          <w:sz w:val="26"/>
          <w:szCs w:val="26"/>
        </w:rPr>
        <w:t xml:space="preserve"> </w:t>
      </w:r>
      <w:r w:rsidRPr="00613B28" w:rsidR="00A70346">
        <w:rPr>
          <w:rFonts w:ascii="Garamond" w:hAnsi="Garamond"/>
          <w:color w:val="auto"/>
          <w:sz w:val="26"/>
          <w:szCs w:val="26"/>
        </w:rPr>
        <w:t xml:space="preserve">is for </w:t>
      </w:r>
      <w:r w:rsidRPr="00613B28" w:rsidR="00C92DDC">
        <w:rPr>
          <w:rFonts w:ascii="Garamond" w:hAnsi="Garamond" w:cs="Arial"/>
          <w:sz w:val="26"/>
          <w:szCs w:val="26"/>
        </w:rPr>
        <w:t>$218 million in loaded, escalated 2020 dollars for a total forecasted revenue requirement of $285 million over the life of the capital projects.</w:t>
      </w:r>
      <w:r w:rsidRPr="00613B28" w:rsidR="00C92DDC">
        <w:rPr>
          <w:rFonts w:ascii="Garamond" w:hAnsi="Garamond"/>
          <w:color w:val="auto"/>
          <w:sz w:val="26"/>
          <w:szCs w:val="26"/>
        </w:rPr>
        <w:t xml:space="preserve"> </w:t>
      </w:r>
      <w:r w:rsidRPr="00613B28" w:rsidR="004F5057">
        <w:rPr>
          <w:rFonts w:ascii="Garamond" w:hAnsi="Garamond"/>
          <w:color w:val="auto"/>
          <w:sz w:val="26"/>
          <w:szCs w:val="26"/>
        </w:rPr>
        <w:t xml:space="preserve">This includes $266.6 million for Best Practices, $13.5 million for proposed pilots and research and development (R&amp;D), and $4.9 million for program administration costs.  </w:t>
      </w:r>
      <w:r w:rsidRPr="00613B28" w:rsidR="00C92DDC">
        <w:rPr>
          <w:rFonts w:ascii="Garamond" w:hAnsi="Garamond"/>
          <w:color w:val="auto"/>
          <w:sz w:val="26"/>
          <w:szCs w:val="26"/>
        </w:rPr>
        <w:t xml:space="preserve">The annual revenue requirement for 2021 and </w:t>
      </w:r>
      <w:r w:rsidRPr="00613B28" w:rsidR="00C92DDC">
        <w:rPr>
          <w:rFonts w:ascii="Garamond" w:hAnsi="Garamond"/>
          <w:color w:val="auto"/>
          <w:sz w:val="26"/>
          <w:szCs w:val="26"/>
        </w:rPr>
        <w:lastRenderedPageBreak/>
        <w:t xml:space="preserve">2022 is </w:t>
      </w:r>
      <w:r w:rsidRPr="00613B28" w:rsidR="00A70346">
        <w:rPr>
          <w:rFonts w:ascii="Garamond" w:hAnsi="Garamond"/>
          <w:color w:val="auto"/>
          <w:sz w:val="26"/>
          <w:szCs w:val="26"/>
        </w:rPr>
        <w:t>$</w:t>
      </w:r>
      <w:r w:rsidRPr="00613B28" w:rsidR="009E72E6">
        <w:rPr>
          <w:rFonts w:ascii="Garamond" w:hAnsi="Garamond"/>
          <w:color w:val="auto"/>
          <w:sz w:val="26"/>
          <w:szCs w:val="26"/>
        </w:rPr>
        <w:t xml:space="preserve">80.588 million </w:t>
      </w:r>
      <w:r w:rsidRPr="00613B28" w:rsidR="00727956">
        <w:rPr>
          <w:rFonts w:ascii="Garamond" w:hAnsi="Garamond"/>
          <w:color w:val="auto"/>
          <w:sz w:val="26"/>
          <w:szCs w:val="26"/>
        </w:rPr>
        <w:t xml:space="preserve">and </w:t>
      </w:r>
      <w:r w:rsidRPr="00613B28" w:rsidR="009E72E6">
        <w:rPr>
          <w:rFonts w:ascii="Garamond" w:hAnsi="Garamond"/>
          <w:color w:val="auto"/>
          <w:sz w:val="26"/>
          <w:szCs w:val="26"/>
        </w:rPr>
        <w:t>$</w:t>
      </w:r>
      <w:r w:rsidRPr="00613B28" w:rsidR="00C64FFB">
        <w:rPr>
          <w:rFonts w:ascii="Garamond" w:hAnsi="Garamond"/>
          <w:color w:val="auto"/>
          <w:sz w:val="26"/>
          <w:szCs w:val="26"/>
        </w:rPr>
        <w:t>85</w:t>
      </w:r>
      <w:r w:rsidRPr="00613B28" w:rsidR="000D52CA">
        <w:rPr>
          <w:rFonts w:ascii="Garamond" w:hAnsi="Garamond"/>
          <w:color w:val="auto"/>
          <w:sz w:val="26"/>
          <w:szCs w:val="26"/>
        </w:rPr>
        <w:t>.026</w:t>
      </w:r>
      <w:r w:rsidRPr="00613B28" w:rsidR="00C64FFB">
        <w:rPr>
          <w:rFonts w:ascii="Garamond" w:hAnsi="Garamond"/>
          <w:color w:val="auto"/>
          <w:sz w:val="26"/>
          <w:szCs w:val="26"/>
        </w:rPr>
        <w:t xml:space="preserve"> million</w:t>
      </w:r>
      <w:r w:rsidRPr="00613B28" w:rsidR="00C92DDC">
        <w:rPr>
          <w:rFonts w:ascii="Garamond" w:hAnsi="Garamond"/>
          <w:color w:val="auto"/>
          <w:sz w:val="26"/>
          <w:szCs w:val="26"/>
        </w:rPr>
        <w:t xml:space="preserve"> respectively</w:t>
      </w:r>
      <w:r w:rsidRPr="00613B28" w:rsidR="00C64FFB">
        <w:rPr>
          <w:rFonts w:ascii="Garamond" w:hAnsi="Garamond"/>
          <w:color w:val="auto"/>
          <w:sz w:val="26"/>
          <w:szCs w:val="26"/>
        </w:rPr>
        <w:t xml:space="preserve">, without Franchise Fees and </w:t>
      </w:r>
      <w:proofErr w:type="spellStart"/>
      <w:r w:rsidRPr="00613B28" w:rsidR="00C64FFB">
        <w:rPr>
          <w:rFonts w:ascii="Garamond" w:hAnsi="Garamond"/>
          <w:color w:val="auto"/>
          <w:sz w:val="26"/>
          <w:szCs w:val="26"/>
        </w:rPr>
        <w:t>Uncollect</w:t>
      </w:r>
      <w:r w:rsidRPr="00613B28" w:rsidR="0022498A">
        <w:rPr>
          <w:rFonts w:ascii="Garamond" w:hAnsi="Garamond"/>
          <w:color w:val="auto"/>
          <w:sz w:val="26"/>
          <w:szCs w:val="26"/>
        </w:rPr>
        <w:t>i</w:t>
      </w:r>
      <w:r w:rsidRPr="00613B28" w:rsidR="00C64FFB">
        <w:rPr>
          <w:rFonts w:ascii="Garamond" w:hAnsi="Garamond"/>
          <w:color w:val="auto"/>
          <w:sz w:val="26"/>
          <w:szCs w:val="26"/>
        </w:rPr>
        <w:t>bles</w:t>
      </w:r>
      <w:proofErr w:type="spellEnd"/>
      <w:r w:rsidRPr="00613B28" w:rsidR="00C64FFB">
        <w:rPr>
          <w:rFonts w:ascii="Garamond" w:hAnsi="Garamond"/>
          <w:color w:val="auto"/>
          <w:sz w:val="26"/>
          <w:szCs w:val="26"/>
        </w:rPr>
        <w:t xml:space="preserve">. </w:t>
      </w:r>
    </w:p>
    <w:bookmarkEnd w:id="0"/>
    <w:bookmarkEnd w:id="4"/>
    <w:p w:rsidRPr="00613B28" w:rsidR="001F3B79" w:rsidP="001F3B79" w:rsidRDefault="001F3B79" w14:paraId="0F94074B" w14:textId="29866962">
      <w:pPr>
        <w:pStyle w:val="Heading1"/>
        <w:rPr>
          <w:rFonts w:ascii="Garamond" w:hAnsi="Garamond"/>
          <w:szCs w:val="26"/>
        </w:rPr>
      </w:pPr>
      <w:r w:rsidRPr="00613B28">
        <w:rPr>
          <w:rFonts w:ascii="Garamond" w:hAnsi="Garamond"/>
          <w:szCs w:val="26"/>
        </w:rPr>
        <w:t>Background</w:t>
      </w:r>
    </w:p>
    <w:p w:rsidRPr="00613B28" w:rsidR="006560B3" w:rsidP="008D42E3" w:rsidRDefault="006560B3" w14:paraId="08C07820" w14:textId="2782429E">
      <w:pPr>
        <w:rPr>
          <w:rFonts w:ascii="Garamond" w:hAnsi="Garamond"/>
          <w:szCs w:val="26"/>
        </w:rPr>
      </w:pPr>
      <w:bookmarkStart w:name="_Hlk54346318" w:id="5"/>
      <w:bookmarkStart w:name="_Hlk51842957" w:id="6"/>
      <w:r w:rsidRPr="00613B28">
        <w:rPr>
          <w:rFonts w:ascii="Garamond" w:hAnsi="Garamond"/>
          <w:szCs w:val="26"/>
        </w:rPr>
        <w:t xml:space="preserve">On </w:t>
      </w:r>
      <w:r w:rsidRPr="00613B28" w:rsidR="00E35BDA">
        <w:rPr>
          <w:rFonts w:ascii="Garamond" w:hAnsi="Garamond"/>
          <w:szCs w:val="26"/>
        </w:rPr>
        <w:t>September 21, 2014</w:t>
      </w:r>
      <w:r w:rsidRPr="00613B28">
        <w:rPr>
          <w:rFonts w:ascii="Garamond" w:hAnsi="Garamond"/>
          <w:szCs w:val="26"/>
        </w:rPr>
        <w:t xml:space="preserve">, Senate Bill (SB) 1371 </w:t>
      </w:r>
      <w:r w:rsidRPr="00613B28" w:rsidR="00E35BDA">
        <w:rPr>
          <w:rFonts w:ascii="Garamond" w:hAnsi="Garamond"/>
          <w:szCs w:val="26"/>
        </w:rPr>
        <w:t xml:space="preserve">(Leno) </w:t>
      </w:r>
      <w:r w:rsidRPr="00613B28">
        <w:rPr>
          <w:rFonts w:ascii="Garamond" w:hAnsi="Garamond"/>
          <w:szCs w:val="26"/>
        </w:rPr>
        <w:t xml:space="preserve">was signed into law. </w:t>
      </w:r>
      <w:r w:rsidRPr="00613B28" w:rsidR="008B6ACA">
        <w:rPr>
          <w:rFonts w:ascii="Garamond" w:hAnsi="Garamond"/>
          <w:szCs w:val="26"/>
        </w:rPr>
        <w:t>SB 1371</w:t>
      </w:r>
      <w:r w:rsidRPr="00613B28" w:rsidR="00E35BDA">
        <w:rPr>
          <w:rFonts w:ascii="Garamond" w:hAnsi="Garamond"/>
          <w:szCs w:val="26"/>
        </w:rPr>
        <w:t xml:space="preserve"> authorized the California Public Utilities Commission (</w:t>
      </w:r>
      <w:r w:rsidRPr="00613B28" w:rsidR="00D93C1F">
        <w:rPr>
          <w:rFonts w:ascii="Garamond" w:hAnsi="Garamond"/>
          <w:szCs w:val="26"/>
        </w:rPr>
        <w:t>CPUC</w:t>
      </w:r>
      <w:r w:rsidRPr="00613B28" w:rsidR="00E35BDA">
        <w:rPr>
          <w:rFonts w:ascii="Garamond" w:hAnsi="Garamond"/>
          <w:szCs w:val="26"/>
        </w:rPr>
        <w:t xml:space="preserve">) to adopt rules and procedures to reduce emissions of natural gas from </w:t>
      </w:r>
      <w:r w:rsidRPr="00613B28" w:rsidR="00C44799">
        <w:rPr>
          <w:rFonts w:ascii="Garamond" w:hAnsi="Garamond"/>
          <w:szCs w:val="26"/>
        </w:rPr>
        <w:t>CPUC</w:t>
      </w:r>
      <w:r w:rsidRPr="00613B28" w:rsidR="00E35BDA">
        <w:rPr>
          <w:rFonts w:ascii="Garamond" w:hAnsi="Garamond"/>
          <w:szCs w:val="26"/>
        </w:rPr>
        <w:t>-regulated gas facilities to the maximum extent feasible.</w:t>
      </w:r>
    </w:p>
    <w:p w:rsidRPr="00613B28" w:rsidR="006560B3" w:rsidP="008D42E3" w:rsidRDefault="006560B3" w14:paraId="298A6667" w14:textId="64F8D427">
      <w:pPr>
        <w:rPr>
          <w:rFonts w:ascii="Garamond" w:hAnsi="Garamond"/>
          <w:szCs w:val="26"/>
        </w:rPr>
      </w:pPr>
    </w:p>
    <w:bookmarkEnd w:id="5"/>
    <w:p w:rsidRPr="00613B28" w:rsidR="006560B3" w:rsidP="008D42E3" w:rsidRDefault="006560B3" w14:paraId="38EFBA94" w14:textId="5B1F66D8">
      <w:pPr>
        <w:rPr>
          <w:rFonts w:ascii="Garamond" w:hAnsi="Garamond"/>
          <w:szCs w:val="26"/>
        </w:rPr>
      </w:pPr>
      <w:r w:rsidRPr="00613B28">
        <w:rPr>
          <w:rFonts w:ascii="Garamond" w:hAnsi="Garamond"/>
          <w:szCs w:val="26"/>
        </w:rPr>
        <w:t xml:space="preserve">On </w:t>
      </w:r>
      <w:r w:rsidRPr="00613B28" w:rsidR="00E35BDA">
        <w:rPr>
          <w:rFonts w:ascii="Garamond" w:hAnsi="Garamond"/>
          <w:szCs w:val="26"/>
        </w:rPr>
        <w:t>September 19, 2016</w:t>
      </w:r>
      <w:r w:rsidRPr="00613B28">
        <w:rPr>
          <w:rFonts w:ascii="Garamond" w:hAnsi="Garamond"/>
          <w:szCs w:val="26"/>
        </w:rPr>
        <w:t>, SB 1383</w:t>
      </w:r>
      <w:r w:rsidRPr="00613B28" w:rsidR="00E35BDA">
        <w:rPr>
          <w:rFonts w:ascii="Garamond" w:hAnsi="Garamond"/>
          <w:szCs w:val="26"/>
        </w:rPr>
        <w:t xml:space="preserve"> (Lara)</w:t>
      </w:r>
      <w:r w:rsidRPr="00613B28">
        <w:rPr>
          <w:rFonts w:ascii="Garamond" w:hAnsi="Garamond"/>
          <w:szCs w:val="26"/>
        </w:rPr>
        <w:t xml:space="preserve"> was signed into law. </w:t>
      </w:r>
      <w:r w:rsidRPr="00613B28" w:rsidR="008B6ACA">
        <w:rPr>
          <w:rFonts w:ascii="Garamond" w:hAnsi="Garamond"/>
          <w:szCs w:val="26"/>
        </w:rPr>
        <w:t xml:space="preserve"> SB 1383 requires the </w:t>
      </w:r>
      <w:r w:rsidRPr="00613B28" w:rsidR="00FF2EC2">
        <w:rPr>
          <w:rFonts w:ascii="Garamond" w:hAnsi="Garamond"/>
          <w:szCs w:val="26"/>
        </w:rPr>
        <w:t>California</w:t>
      </w:r>
      <w:r w:rsidRPr="00613B28" w:rsidR="008B6ACA">
        <w:rPr>
          <w:rFonts w:ascii="Garamond" w:hAnsi="Garamond"/>
          <w:szCs w:val="26"/>
        </w:rPr>
        <w:t xml:space="preserve"> Air Resources Board, in consultation with the </w:t>
      </w:r>
      <w:r w:rsidRPr="00613B28" w:rsidR="00912CE0">
        <w:rPr>
          <w:rFonts w:ascii="Garamond" w:hAnsi="Garamond"/>
          <w:szCs w:val="26"/>
        </w:rPr>
        <w:t>CPUC</w:t>
      </w:r>
      <w:r w:rsidRPr="00613B28" w:rsidR="008B6ACA">
        <w:rPr>
          <w:rFonts w:ascii="Garamond" w:hAnsi="Garamond"/>
          <w:szCs w:val="26"/>
        </w:rPr>
        <w:t>, to approve and begin implementing a comprehensive strategy by January 1, 2018</w:t>
      </w:r>
      <w:r w:rsidRPr="00613B28" w:rsidR="00912CE0">
        <w:rPr>
          <w:rFonts w:ascii="Garamond" w:hAnsi="Garamond"/>
          <w:szCs w:val="26"/>
        </w:rPr>
        <w:t>,</w:t>
      </w:r>
      <w:r w:rsidRPr="00613B28" w:rsidR="008B6ACA">
        <w:rPr>
          <w:rFonts w:ascii="Garamond" w:hAnsi="Garamond"/>
          <w:szCs w:val="26"/>
        </w:rPr>
        <w:t xml:space="preserve"> to reduce</w:t>
      </w:r>
      <w:r w:rsidRPr="00613B28" w:rsidR="00912CE0">
        <w:rPr>
          <w:rFonts w:ascii="Garamond" w:hAnsi="Garamond"/>
          <w:szCs w:val="26"/>
        </w:rPr>
        <w:t xml:space="preserve"> methane</w:t>
      </w:r>
      <w:r w:rsidRPr="00613B28" w:rsidR="008B6ACA">
        <w:rPr>
          <w:rFonts w:ascii="Garamond" w:hAnsi="Garamond"/>
          <w:szCs w:val="26"/>
        </w:rPr>
        <w:t xml:space="preserve"> emissions by 40</w:t>
      </w:r>
      <w:r w:rsidRPr="00613B28" w:rsidR="00912CE0">
        <w:rPr>
          <w:rFonts w:ascii="Garamond" w:hAnsi="Garamond"/>
          <w:szCs w:val="26"/>
        </w:rPr>
        <w:t xml:space="preserve"> percent</w:t>
      </w:r>
      <w:r w:rsidRPr="00613B28" w:rsidR="008B6ACA">
        <w:rPr>
          <w:rFonts w:ascii="Garamond" w:hAnsi="Garamond"/>
          <w:szCs w:val="26"/>
        </w:rPr>
        <w:t xml:space="preserve"> by 2030.</w:t>
      </w:r>
    </w:p>
    <w:p w:rsidRPr="00613B28" w:rsidR="006560B3" w:rsidP="008D42E3" w:rsidRDefault="006560B3" w14:paraId="2C9FCE56" w14:textId="77777777">
      <w:pPr>
        <w:rPr>
          <w:rFonts w:ascii="Garamond" w:hAnsi="Garamond"/>
          <w:szCs w:val="26"/>
        </w:rPr>
      </w:pPr>
    </w:p>
    <w:p w:rsidRPr="00613B28" w:rsidR="001F3B79" w:rsidP="008E0CA2" w:rsidRDefault="006560B3" w14:paraId="4F87DFC0" w14:textId="4E233856">
      <w:pPr>
        <w:autoSpaceDE w:val="0"/>
        <w:autoSpaceDN w:val="0"/>
        <w:adjustRightInd w:val="0"/>
        <w:rPr>
          <w:rFonts w:ascii="Garamond" w:hAnsi="Garamond" w:cs="Arial"/>
          <w:szCs w:val="26"/>
        </w:rPr>
      </w:pPr>
      <w:r w:rsidRPr="00613B28">
        <w:rPr>
          <w:rFonts w:ascii="Garamond" w:hAnsi="Garamond"/>
          <w:szCs w:val="26"/>
        </w:rPr>
        <w:t xml:space="preserve">On </w:t>
      </w:r>
      <w:r w:rsidRPr="00613B28" w:rsidR="008B6ACA">
        <w:rPr>
          <w:rFonts w:ascii="Garamond" w:hAnsi="Garamond"/>
          <w:szCs w:val="26"/>
        </w:rPr>
        <w:t>June 15, 2017</w:t>
      </w:r>
      <w:r w:rsidRPr="00613B28">
        <w:rPr>
          <w:rFonts w:ascii="Garamond" w:hAnsi="Garamond"/>
          <w:szCs w:val="26"/>
        </w:rPr>
        <w:t xml:space="preserve">, </w:t>
      </w:r>
      <w:bookmarkEnd w:id="6"/>
      <w:r w:rsidRPr="00613B28">
        <w:rPr>
          <w:rFonts w:ascii="Garamond" w:hAnsi="Garamond"/>
          <w:szCs w:val="26"/>
        </w:rPr>
        <w:t xml:space="preserve">the </w:t>
      </w:r>
      <w:r w:rsidRPr="00613B28" w:rsidR="003C5BFC">
        <w:rPr>
          <w:rFonts w:ascii="Garamond" w:hAnsi="Garamond"/>
          <w:szCs w:val="26"/>
        </w:rPr>
        <w:t xml:space="preserve">Commission </w:t>
      </w:r>
      <w:r w:rsidRPr="00613B28">
        <w:rPr>
          <w:rFonts w:ascii="Garamond" w:hAnsi="Garamond"/>
          <w:szCs w:val="26"/>
        </w:rPr>
        <w:t xml:space="preserve">issued </w:t>
      </w:r>
      <w:r w:rsidRPr="00613B28" w:rsidR="001F3B79">
        <w:rPr>
          <w:rFonts w:ascii="Garamond" w:hAnsi="Garamond"/>
          <w:szCs w:val="26"/>
        </w:rPr>
        <w:t>Decision (D.) 17-06-015</w:t>
      </w:r>
      <w:r w:rsidRPr="00613B28">
        <w:rPr>
          <w:rFonts w:ascii="Garamond" w:hAnsi="Garamond"/>
          <w:szCs w:val="26"/>
        </w:rPr>
        <w:t>, which directed SoCalGas to submit a Tier 3 AL to establish 2018 and 2019 revenue requirement forecasts and caps for the Natural Gas Leak Abatement program.</w:t>
      </w:r>
      <w:r w:rsidRPr="00613B28" w:rsidR="003C5BFC">
        <w:rPr>
          <w:rFonts w:ascii="Garamond" w:hAnsi="Garamond"/>
          <w:szCs w:val="26"/>
        </w:rPr>
        <w:t xml:space="preserve"> The AL was to include the </w:t>
      </w:r>
      <w:r w:rsidRPr="00613B28" w:rsidR="003C5BFC">
        <w:rPr>
          <w:rFonts w:ascii="Garamond" w:hAnsi="Garamond" w:cs="Arial"/>
          <w:szCs w:val="26"/>
        </w:rPr>
        <w:t xml:space="preserve">incremental costs for each of 26 Best Practices </w:t>
      </w:r>
      <w:r w:rsidRPr="00613B28" w:rsidR="00C44799">
        <w:rPr>
          <w:rFonts w:ascii="Garamond" w:hAnsi="Garamond" w:cs="Arial"/>
          <w:szCs w:val="26"/>
        </w:rPr>
        <w:t xml:space="preserve">as well as </w:t>
      </w:r>
      <w:r w:rsidRPr="00613B28" w:rsidR="003C5BFC">
        <w:rPr>
          <w:rFonts w:ascii="Garamond" w:hAnsi="Garamond" w:cs="Arial"/>
          <w:szCs w:val="26"/>
        </w:rPr>
        <w:t>costs for pilot projects and research and development (R&amp;D), broken down by type of expenditure, justifications for the pilot and R&amp;D projects</w:t>
      </w:r>
      <w:r w:rsidRPr="00613B28" w:rsidR="00912CE0">
        <w:rPr>
          <w:rFonts w:ascii="Garamond" w:hAnsi="Garamond" w:cs="Arial"/>
          <w:szCs w:val="26"/>
        </w:rPr>
        <w:t>,</w:t>
      </w:r>
      <w:r w:rsidRPr="00613B28" w:rsidR="003C5BFC">
        <w:rPr>
          <w:rFonts w:ascii="Garamond" w:hAnsi="Garamond" w:cs="Arial"/>
          <w:szCs w:val="26"/>
        </w:rPr>
        <w:t xml:space="preserve"> and the proposed allocation methodology. </w:t>
      </w:r>
      <w:r w:rsidRPr="00613B28" w:rsidR="00C44799">
        <w:rPr>
          <w:rFonts w:ascii="Garamond" w:hAnsi="Garamond" w:cs="Arial"/>
          <w:szCs w:val="26"/>
        </w:rPr>
        <w:t xml:space="preserve">Ordering Paragraph (OP) </w:t>
      </w:r>
      <w:r w:rsidRPr="00613B28" w:rsidR="001F3B79">
        <w:rPr>
          <w:rFonts w:ascii="Garamond" w:hAnsi="Garamond" w:cs="Arial"/>
          <w:szCs w:val="26"/>
        </w:rPr>
        <w:t xml:space="preserve">12 states </w:t>
      </w:r>
      <w:r w:rsidRPr="00613B28" w:rsidR="00031006">
        <w:rPr>
          <w:rFonts w:ascii="Garamond" w:hAnsi="Garamond" w:cs="Arial"/>
          <w:szCs w:val="26"/>
        </w:rPr>
        <w:t xml:space="preserve">that </w:t>
      </w:r>
      <w:r w:rsidRPr="00613B28" w:rsidR="001F3B79">
        <w:rPr>
          <w:rFonts w:ascii="Garamond" w:hAnsi="Garamond" w:cs="Arial"/>
          <w:szCs w:val="26"/>
        </w:rPr>
        <w:t>the ratemaking forecasts and caps that the</w:t>
      </w:r>
      <w:r w:rsidRPr="00613B28" w:rsidR="00D93C1F">
        <w:rPr>
          <w:rFonts w:ascii="Garamond" w:hAnsi="Garamond" w:cs="Arial"/>
          <w:szCs w:val="26"/>
        </w:rPr>
        <w:t xml:space="preserve"> CPUC</w:t>
      </w:r>
      <w:r w:rsidRPr="00613B28" w:rsidR="001F3B79">
        <w:rPr>
          <w:rFonts w:ascii="Garamond" w:hAnsi="Garamond" w:cs="Arial"/>
          <w:szCs w:val="26"/>
        </w:rPr>
        <w:t xml:space="preserve"> approves in response to the Tier 3 ALs shall apply until </w:t>
      </w:r>
      <w:r w:rsidRPr="00613B28" w:rsidR="003C5BFC">
        <w:rPr>
          <w:rFonts w:ascii="Garamond" w:hAnsi="Garamond" w:cs="Arial"/>
          <w:szCs w:val="26"/>
        </w:rPr>
        <w:t xml:space="preserve">the NGLA is incorporated into </w:t>
      </w:r>
      <w:r w:rsidRPr="00613B28" w:rsidR="001F3B79">
        <w:rPr>
          <w:rFonts w:ascii="Garamond" w:hAnsi="Garamond" w:cs="Arial"/>
          <w:szCs w:val="26"/>
        </w:rPr>
        <w:t xml:space="preserve">each Utility’s next General Rate Case (GRC) or other gas ratemaking proceeding. </w:t>
      </w:r>
    </w:p>
    <w:p w:rsidRPr="00613B28" w:rsidR="001F3B79" w:rsidP="001F3B79" w:rsidRDefault="001F3B79" w14:paraId="2A9F9C5F" w14:textId="77777777">
      <w:pPr>
        <w:autoSpaceDE w:val="0"/>
        <w:autoSpaceDN w:val="0"/>
        <w:adjustRightInd w:val="0"/>
        <w:rPr>
          <w:rFonts w:ascii="Garamond" w:hAnsi="Garamond" w:cs="Arial"/>
          <w:szCs w:val="26"/>
        </w:rPr>
      </w:pPr>
    </w:p>
    <w:p w:rsidRPr="00613B28" w:rsidR="001F3B79" w:rsidP="00D5192A" w:rsidRDefault="001F3B79" w14:paraId="67085FB8" w14:textId="078FC017">
      <w:pPr>
        <w:autoSpaceDE w:val="0"/>
        <w:autoSpaceDN w:val="0"/>
        <w:adjustRightInd w:val="0"/>
        <w:rPr>
          <w:rFonts w:ascii="Garamond" w:hAnsi="Garamond" w:cs="Arial"/>
          <w:szCs w:val="26"/>
        </w:rPr>
      </w:pPr>
      <w:bookmarkStart w:name="_Hlk51843492" w:id="7"/>
      <w:r w:rsidRPr="00613B28">
        <w:rPr>
          <w:rFonts w:ascii="Garamond" w:hAnsi="Garamond" w:cs="Arial"/>
          <w:szCs w:val="26"/>
        </w:rPr>
        <w:t xml:space="preserve">On August 15, 2019, the </w:t>
      </w:r>
      <w:r w:rsidRPr="00613B28" w:rsidR="003C5BFC">
        <w:rPr>
          <w:rFonts w:ascii="Garamond" w:hAnsi="Garamond" w:cs="Arial"/>
          <w:szCs w:val="26"/>
        </w:rPr>
        <w:t xml:space="preserve">CPUC </w:t>
      </w:r>
      <w:r w:rsidRPr="00613B28">
        <w:rPr>
          <w:rFonts w:ascii="Garamond" w:hAnsi="Garamond" w:cs="Arial"/>
          <w:szCs w:val="26"/>
        </w:rPr>
        <w:t xml:space="preserve">adopted a Second Phase Decision, D.19-08-020, establishing additional policies, including requiring use of the </w:t>
      </w:r>
      <w:r w:rsidRPr="00613B28" w:rsidR="008D42E3">
        <w:rPr>
          <w:rFonts w:ascii="Garamond" w:hAnsi="Garamond" w:cs="Arial"/>
          <w:szCs w:val="26"/>
        </w:rPr>
        <w:t>utility</w:t>
      </w:r>
      <w:r w:rsidRPr="00613B28" w:rsidR="00031006">
        <w:rPr>
          <w:rFonts w:ascii="Garamond" w:hAnsi="Garamond" w:cs="Arial"/>
          <w:szCs w:val="26"/>
        </w:rPr>
        <w:t>-</w:t>
      </w:r>
      <w:r w:rsidRPr="00613B28" w:rsidR="008D42E3">
        <w:rPr>
          <w:rFonts w:ascii="Garamond" w:hAnsi="Garamond" w:cs="Arial"/>
          <w:szCs w:val="26"/>
        </w:rPr>
        <w:t xml:space="preserve">proposed </w:t>
      </w:r>
      <w:r w:rsidRPr="00613B28" w:rsidR="009A4A8A">
        <w:rPr>
          <w:rFonts w:ascii="Garamond" w:hAnsi="Garamond" w:cs="Arial"/>
          <w:szCs w:val="26"/>
        </w:rPr>
        <w:t xml:space="preserve">standard </w:t>
      </w:r>
      <w:r w:rsidRPr="00613B28" w:rsidR="008D42E3">
        <w:rPr>
          <w:rFonts w:ascii="Garamond" w:hAnsi="Garamond" w:cs="Arial"/>
          <w:szCs w:val="26"/>
        </w:rPr>
        <w:t xml:space="preserve">cost effectiveness methodology </w:t>
      </w:r>
      <w:r w:rsidRPr="00613B28">
        <w:rPr>
          <w:rFonts w:ascii="Garamond" w:hAnsi="Garamond" w:cs="Arial"/>
          <w:szCs w:val="26"/>
        </w:rPr>
        <w:t xml:space="preserve">and two </w:t>
      </w:r>
      <w:r w:rsidRPr="00613B28" w:rsidR="007E3739">
        <w:rPr>
          <w:rFonts w:ascii="Garamond" w:hAnsi="Garamond" w:cs="Arial"/>
          <w:szCs w:val="26"/>
        </w:rPr>
        <w:t xml:space="preserve">additional </w:t>
      </w:r>
      <w:r w:rsidRPr="00613B28" w:rsidR="008D42E3">
        <w:rPr>
          <w:rFonts w:ascii="Garamond" w:hAnsi="Garamond" w:cs="Arial"/>
          <w:szCs w:val="26"/>
        </w:rPr>
        <w:t>cost-benefit analyses</w:t>
      </w:r>
      <w:r w:rsidRPr="00613B28" w:rsidR="00031006">
        <w:rPr>
          <w:rFonts w:ascii="Garamond" w:hAnsi="Garamond" w:cs="Arial"/>
          <w:szCs w:val="26"/>
        </w:rPr>
        <w:t>.</w:t>
      </w:r>
      <w:r w:rsidRPr="00613B28" w:rsidR="007507C5">
        <w:rPr>
          <w:rFonts w:ascii="Garamond" w:hAnsi="Garamond" w:cs="Arial"/>
          <w:szCs w:val="26"/>
        </w:rPr>
        <w:t xml:space="preserve"> </w:t>
      </w:r>
      <w:bookmarkEnd w:id="7"/>
      <w:r w:rsidRPr="00613B28" w:rsidR="001A18C9">
        <w:rPr>
          <w:rFonts w:ascii="Garamond" w:hAnsi="Garamond" w:cs="Arial"/>
          <w:szCs w:val="26"/>
        </w:rPr>
        <w:t>T</w:t>
      </w:r>
      <w:r w:rsidRPr="00613B28">
        <w:rPr>
          <w:rFonts w:ascii="Garamond" w:hAnsi="Garamond" w:cs="Arial"/>
          <w:szCs w:val="26"/>
        </w:rPr>
        <w:t>he decision also imposed a restriction on rate recovery</w:t>
      </w:r>
      <w:r w:rsidRPr="00613B28" w:rsidR="00031006">
        <w:rPr>
          <w:rFonts w:ascii="Garamond" w:hAnsi="Garamond" w:cs="Arial"/>
          <w:szCs w:val="26"/>
        </w:rPr>
        <w:t xml:space="preserve"> </w:t>
      </w:r>
      <w:r w:rsidRPr="00613B28" w:rsidR="00D5192A">
        <w:rPr>
          <w:rFonts w:ascii="Garamond" w:hAnsi="Garamond" w:cs="Arial"/>
          <w:szCs w:val="26"/>
        </w:rPr>
        <w:t xml:space="preserve">for Lost and Unaccounted For (LUAF) gas </w:t>
      </w:r>
      <w:r w:rsidRPr="00613B28" w:rsidR="00031006">
        <w:rPr>
          <w:rFonts w:ascii="Garamond" w:hAnsi="Garamond" w:cs="Arial"/>
          <w:szCs w:val="26"/>
        </w:rPr>
        <w:t>beginning in 2025</w:t>
      </w:r>
      <w:r w:rsidRPr="00613B28" w:rsidR="001A18C9">
        <w:rPr>
          <w:rFonts w:ascii="Garamond" w:hAnsi="Garamond" w:cs="Arial"/>
          <w:szCs w:val="26"/>
        </w:rPr>
        <w:t xml:space="preserve"> for SoCalGas and Pacific Gas &amp; Electric</w:t>
      </w:r>
      <w:r w:rsidRPr="00613B28">
        <w:rPr>
          <w:rFonts w:ascii="Garamond" w:hAnsi="Garamond" w:cs="Arial"/>
          <w:szCs w:val="26"/>
        </w:rPr>
        <w:t xml:space="preserve"> </w:t>
      </w:r>
      <w:r w:rsidRPr="00613B28" w:rsidR="00447855">
        <w:rPr>
          <w:rFonts w:ascii="Garamond" w:hAnsi="Garamond" w:cs="Arial"/>
          <w:szCs w:val="26"/>
        </w:rPr>
        <w:t xml:space="preserve">if their </w:t>
      </w:r>
      <w:r w:rsidRPr="00613B28">
        <w:rPr>
          <w:rFonts w:ascii="Garamond" w:hAnsi="Garamond" w:cs="Arial"/>
          <w:szCs w:val="26"/>
        </w:rPr>
        <w:t xml:space="preserve">methane emissions </w:t>
      </w:r>
      <w:r w:rsidRPr="00613B28" w:rsidR="00447855">
        <w:rPr>
          <w:rFonts w:ascii="Garamond" w:hAnsi="Garamond" w:cs="Arial"/>
          <w:szCs w:val="26"/>
        </w:rPr>
        <w:t xml:space="preserve">are </w:t>
      </w:r>
      <w:r w:rsidRPr="00613B28">
        <w:rPr>
          <w:rFonts w:ascii="Garamond" w:hAnsi="Garamond" w:cs="Arial"/>
          <w:szCs w:val="26"/>
        </w:rPr>
        <w:t>greater than 20</w:t>
      </w:r>
      <w:r w:rsidRPr="00613B28" w:rsidR="002607CE">
        <w:rPr>
          <w:rFonts w:ascii="Garamond" w:hAnsi="Garamond" w:cs="Arial"/>
          <w:szCs w:val="26"/>
        </w:rPr>
        <w:t xml:space="preserve"> percent</w:t>
      </w:r>
      <w:r w:rsidRPr="00613B28">
        <w:rPr>
          <w:rFonts w:ascii="Garamond" w:hAnsi="Garamond" w:cs="Arial"/>
          <w:szCs w:val="26"/>
        </w:rPr>
        <w:t xml:space="preserve"> below the 2015 baseline levels</w:t>
      </w:r>
      <w:r w:rsidRPr="00613B28" w:rsidR="009A4A8A">
        <w:rPr>
          <w:rStyle w:val="FootnoteReference"/>
          <w:rFonts w:ascii="Garamond" w:hAnsi="Garamond" w:cs="Arial"/>
          <w:szCs w:val="26"/>
        </w:rPr>
        <w:footnoteReference w:id="1"/>
      </w:r>
      <w:r w:rsidRPr="00613B28" w:rsidR="001A18C9">
        <w:rPr>
          <w:rFonts w:ascii="Garamond" w:hAnsi="Garamond" w:cs="Arial"/>
          <w:szCs w:val="26"/>
        </w:rPr>
        <w:t>.</w:t>
      </w:r>
      <w:r w:rsidRPr="00613B28">
        <w:rPr>
          <w:rFonts w:ascii="Garamond" w:hAnsi="Garamond" w:cs="Arial"/>
          <w:szCs w:val="26"/>
        </w:rPr>
        <w:t xml:space="preserve"> </w:t>
      </w:r>
      <w:r w:rsidRPr="00613B28" w:rsidR="001A18C9">
        <w:rPr>
          <w:rFonts w:ascii="Garamond" w:hAnsi="Garamond" w:cs="Arial"/>
          <w:szCs w:val="26"/>
        </w:rPr>
        <w:t>This</w:t>
      </w:r>
      <w:r w:rsidRPr="00613B28">
        <w:rPr>
          <w:rFonts w:ascii="Garamond" w:hAnsi="Garamond" w:cs="Arial"/>
          <w:szCs w:val="26"/>
        </w:rPr>
        <w:t xml:space="preserve"> </w:t>
      </w:r>
      <w:r w:rsidRPr="00613B28" w:rsidR="001A18C9">
        <w:rPr>
          <w:rFonts w:ascii="Garamond" w:hAnsi="Garamond" w:cs="Arial"/>
          <w:szCs w:val="26"/>
        </w:rPr>
        <w:t>performance objective</w:t>
      </w:r>
      <w:r w:rsidRPr="00613B28">
        <w:rPr>
          <w:rFonts w:ascii="Garamond" w:hAnsi="Garamond" w:cs="Arial"/>
          <w:szCs w:val="26"/>
        </w:rPr>
        <w:t xml:space="preserve"> reflects the </w:t>
      </w:r>
      <w:r w:rsidRPr="00613B28" w:rsidR="00031006">
        <w:rPr>
          <w:rFonts w:ascii="Garamond" w:hAnsi="Garamond" w:cs="Arial"/>
          <w:szCs w:val="26"/>
        </w:rPr>
        <w:t xml:space="preserve">CPUC’s </w:t>
      </w:r>
      <w:r w:rsidRPr="00613B28" w:rsidR="00D91CE6">
        <w:rPr>
          <w:rFonts w:ascii="Garamond" w:hAnsi="Garamond" w:cs="Arial"/>
          <w:szCs w:val="26"/>
        </w:rPr>
        <w:t>intent</w:t>
      </w:r>
      <w:r w:rsidRPr="00613B28">
        <w:rPr>
          <w:rFonts w:ascii="Garamond" w:hAnsi="Garamond" w:cs="Arial"/>
          <w:szCs w:val="26"/>
        </w:rPr>
        <w:t xml:space="preserve"> </w:t>
      </w:r>
      <w:r w:rsidRPr="00613B28" w:rsidR="008E0CA2">
        <w:rPr>
          <w:rFonts w:ascii="Garamond" w:hAnsi="Garamond" w:cs="Arial"/>
          <w:szCs w:val="26"/>
        </w:rPr>
        <w:t>that SoCalGas and PG&amp;E</w:t>
      </w:r>
      <w:r w:rsidRPr="00613B28">
        <w:rPr>
          <w:rFonts w:ascii="Garamond" w:hAnsi="Garamond" w:cs="Arial"/>
          <w:szCs w:val="26"/>
        </w:rPr>
        <w:t xml:space="preserve"> be at least halfway to achieving the </w:t>
      </w:r>
      <w:r w:rsidRPr="00613B28" w:rsidR="00031006">
        <w:rPr>
          <w:rFonts w:ascii="Garamond" w:hAnsi="Garamond" w:cs="Arial"/>
          <w:szCs w:val="26"/>
        </w:rPr>
        <w:t>s</w:t>
      </w:r>
      <w:r w:rsidRPr="00613B28">
        <w:rPr>
          <w:rFonts w:ascii="Garamond" w:hAnsi="Garamond" w:cs="Arial"/>
          <w:szCs w:val="26"/>
        </w:rPr>
        <w:t>tate’s goal of a 40</w:t>
      </w:r>
      <w:r w:rsidRPr="00613B28" w:rsidR="002607CE">
        <w:rPr>
          <w:rFonts w:ascii="Garamond" w:hAnsi="Garamond" w:cs="Arial"/>
          <w:szCs w:val="26"/>
        </w:rPr>
        <w:t xml:space="preserve"> percent</w:t>
      </w:r>
      <w:r w:rsidRPr="00613B28">
        <w:rPr>
          <w:rFonts w:ascii="Garamond" w:hAnsi="Garamond" w:cs="Arial"/>
          <w:szCs w:val="26"/>
        </w:rPr>
        <w:t xml:space="preserve"> reduction in methane emissions by 20</w:t>
      </w:r>
      <w:r w:rsidRPr="00613B28" w:rsidR="00031006">
        <w:rPr>
          <w:rFonts w:ascii="Garamond" w:hAnsi="Garamond" w:cs="Arial"/>
          <w:szCs w:val="26"/>
        </w:rPr>
        <w:t>30</w:t>
      </w:r>
      <w:r w:rsidRPr="00613B28">
        <w:rPr>
          <w:rFonts w:ascii="Garamond" w:hAnsi="Garamond" w:cs="Arial"/>
          <w:szCs w:val="26"/>
        </w:rPr>
        <w:t xml:space="preserve">, consistent with SB 1383. </w:t>
      </w:r>
    </w:p>
    <w:p w:rsidRPr="00613B28" w:rsidR="00B70736" w:rsidP="001F3B79" w:rsidRDefault="00B70736" w14:paraId="5962FFCD" w14:textId="16B953F3">
      <w:pPr>
        <w:autoSpaceDE w:val="0"/>
        <w:autoSpaceDN w:val="0"/>
        <w:adjustRightInd w:val="0"/>
        <w:rPr>
          <w:rFonts w:ascii="Garamond" w:hAnsi="Garamond" w:cs="Arial"/>
          <w:szCs w:val="26"/>
        </w:rPr>
      </w:pPr>
    </w:p>
    <w:p w:rsidRPr="00613B28" w:rsidR="00B70736" w:rsidP="001F3B79" w:rsidRDefault="00B70736" w14:paraId="5ED64A72" w14:textId="738AB09A">
      <w:pPr>
        <w:autoSpaceDE w:val="0"/>
        <w:autoSpaceDN w:val="0"/>
        <w:adjustRightInd w:val="0"/>
        <w:rPr>
          <w:rFonts w:ascii="Garamond" w:hAnsi="Garamond" w:cs="Arial"/>
          <w:szCs w:val="26"/>
        </w:rPr>
      </w:pPr>
      <w:r w:rsidRPr="00613B28">
        <w:rPr>
          <w:rFonts w:ascii="Garamond" w:hAnsi="Garamond" w:cs="Arial"/>
          <w:szCs w:val="26"/>
        </w:rPr>
        <w:t>On October 21, 2019, a Technical Working Group was established to develop guidelines for the NGLA Compliance Plans, and a public workshop was held. The guidelines allow more than one of the 26 Best Practices to be addressed by a combination of actions that may be grouped together in a chapter of the Compliance Plan.</w:t>
      </w:r>
    </w:p>
    <w:p w:rsidRPr="00613B28" w:rsidR="00ED3BC0" w:rsidP="001F3B79" w:rsidRDefault="00ED3BC0" w14:paraId="311DACFE" w14:textId="5A824B10">
      <w:pPr>
        <w:autoSpaceDE w:val="0"/>
        <w:autoSpaceDN w:val="0"/>
        <w:adjustRightInd w:val="0"/>
        <w:rPr>
          <w:rFonts w:ascii="Garamond" w:hAnsi="Garamond" w:cs="Arial"/>
          <w:szCs w:val="26"/>
        </w:rPr>
      </w:pPr>
    </w:p>
    <w:p w:rsidRPr="00613B28" w:rsidR="00F0249A" w:rsidP="00A6484E" w:rsidRDefault="001F3B79" w14:paraId="437092F8" w14:textId="7FFA6456">
      <w:pPr>
        <w:autoSpaceDE w:val="0"/>
        <w:autoSpaceDN w:val="0"/>
        <w:adjustRightInd w:val="0"/>
        <w:rPr>
          <w:rFonts w:ascii="Garamond" w:hAnsi="Garamond" w:cs="Arial"/>
          <w:szCs w:val="26"/>
        </w:rPr>
      </w:pPr>
      <w:r w:rsidRPr="00613B28">
        <w:rPr>
          <w:rFonts w:ascii="Garamond" w:hAnsi="Garamond" w:cs="Arial"/>
          <w:szCs w:val="26"/>
        </w:rPr>
        <w:t xml:space="preserve">On January 16, 2020, the CPUC voted to modify the GRC plan, adopting an extension of the GRC cycle for each utility from three years to four years and extending </w:t>
      </w:r>
      <w:r w:rsidRPr="00613B28" w:rsidR="00B3351F">
        <w:rPr>
          <w:rFonts w:ascii="Garamond" w:hAnsi="Garamond" w:cs="Arial"/>
          <w:szCs w:val="26"/>
        </w:rPr>
        <w:t>SoCalGas’</w:t>
      </w:r>
      <w:r w:rsidRPr="00613B28">
        <w:rPr>
          <w:rFonts w:ascii="Garamond" w:hAnsi="Garamond" w:cs="Arial"/>
          <w:szCs w:val="26"/>
        </w:rPr>
        <w:t xml:space="preserve"> </w:t>
      </w:r>
      <w:r w:rsidRPr="00613B28" w:rsidR="00B3351F">
        <w:rPr>
          <w:rFonts w:ascii="Garamond" w:hAnsi="Garamond" w:cs="Arial"/>
          <w:szCs w:val="26"/>
        </w:rPr>
        <w:t>current GRC through 2023</w:t>
      </w:r>
      <w:r w:rsidRPr="00613B28">
        <w:rPr>
          <w:rFonts w:ascii="Garamond" w:hAnsi="Garamond" w:cs="Arial"/>
          <w:szCs w:val="26"/>
        </w:rPr>
        <w:t xml:space="preserve">. </w:t>
      </w:r>
    </w:p>
    <w:p w:rsidRPr="00613B28" w:rsidR="003D48D8" w:rsidP="00A6484E" w:rsidRDefault="00F0249A" w14:paraId="21D558C7" w14:textId="66AC2ACE">
      <w:pPr>
        <w:autoSpaceDE w:val="0"/>
        <w:autoSpaceDN w:val="0"/>
        <w:adjustRightInd w:val="0"/>
        <w:rPr>
          <w:rFonts w:ascii="Garamond" w:hAnsi="Garamond" w:cs="Arial"/>
          <w:iCs/>
          <w:szCs w:val="26"/>
        </w:rPr>
      </w:pPr>
      <w:r w:rsidRPr="00613B28">
        <w:rPr>
          <w:rFonts w:ascii="Garamond" w:hAnsi="Garamond" w:cs="Arial"/>
          <w:szCs w:val="26"/>
        </w:rPr>
        <w:lastRenderedPageBreak/>
        <w:t xml:space="preserve">On March 12, 2020, </w:t>
      </w:r>
      <w:r w:rsidRPr="00613B28" w:rsidR="00D91CE6">
        <w:rPr>
          <w:rFonts w:ascii="Garamond" w:hAnsi="Garamond" w:cs="Arial"/>
          <w:szCs w:val="26"/>
        </w:rPr>
        <w:t>SoCalGas</w:t>
      </w:r>
      <w:r w:rsidRPr="00613B28" w:rsidR="00BD3D8A">
        <w:rPr>
          <w:rFonts w:ascii="Garamond" w:hAnsi="Garamond" w:cs="Arial"/>
          <w:szCs w:val="26"/>
        </w:rPr>
        <w:t xml:space="preserve"> submitted</w:t>
      </w:r>
      <w:r w:rsidRPr="00613B28" w:rsidR="00D91CE6">
        <w:rPr>
          <w:rFonts w:ascii="Garamond" w:hAnsi="Garamond" w:cs="Arial"/>
          <w:szCs w:val="26"/>
        </w:rPr>
        <w:t xml:space="preserve"> </w:t>
      </w:r>
      <w:r w:rsidRPr="00613B28" w:rsidR="001F3B79">
        <w:rPr>
          <w:rFonts w:ascii="Garamond" w:hAnsi="Garamond" w:cs="Arial"/>
          <w:szCs w:val="26"/>
        </w:rPr>
        <w:t xml:space="preserve">AL </w:t>
      </w:r>
      <w:r w:rsidRPr="00613B28" w:rsidR="00A6484E">
        <w:rPr>
          <w:rFonts w:ascii="Garamond" w:hAnsi="Garamond" w:cs="Arial"/>
          <w:szCs w:val="26"/>
        </w:rPr>
        <w:t>5603</w:t>
      </w:r>
      <w:r w:rsidRPr="00613B28">
        <w:rPr>
          <w:rFonts w:ascii="Garamond" w:hAnsi="Garamond" w:cs="Arial"/>
          <w:szCs w:val="26"/>
        </w:rPr>
        <w:t>-G</w:t>
      </w:r>
      <w:r w:rsidRPr="00613B28" w:rsidR="00A6484E">
        <w:rPr>
          <w:rFonts w:ascii="Garamond" w:hAnsi="Garamond" w:cs="Arial"/>
          <w:szCs w:val="26"/>
        </w:rPr>
        <w:t xml:space="preserve"> </w:t>
      </w:r>
      <w:r w:rsidRPr="00613B28" w:rsidR="001F3B79">
        <w:rPr>
          <w:rFonts w:ascii="Garamond" w:hAnsi="Garamond" w:cs="Arial"/>
          <w:szCs w:val="26"/>
        </w:rPr>
        <w:t>to provide</w:t>
      </w:r>
      <w:r w:rsidRPr="00613B28" w:rsidR="00D02437">
        <w:rPr>
          <w:rFonts w:ascii="Garamond" w:hAnsi="Garamond" w:cs="Arial"/>
          <w:szCs w:val="26"/>
        </w:rPr>
        <w:t xml:space="preserve"> </w:t>
      </w:r>
      <w:r w:rsidRPr="00613B28" w:rsidR="00A6484E">
        <w:rPr>
          <w:rFonts w:ascii="Garamond" w:hAnsi="Garamond" w:cs="Arial"/>
          <w:szCs w:val="26"/>
        </w:rPr>
        <w:t>f</w:t>
      </w:r>
      <w:r w:rsidRPr="00613B28" w:rsidR="001F3B79">
        <w:rPr>
          <w:rFonts w:ascii="Garamond" w:hAnsi="Garamond" w:cs="Arial"/>
          <w:szCs w:val="26"/>
        </w:rPr>
        <w:t>orecasted costs for</w:t>
      </w:r>
      <w:r w:rsidRPr="00613B28" w:rsidR="00D91CE6">
        <w:rPr>
          <w:rFonts w:ascii="Garamond" w:hAnsi="Garamond" w:cs="Arial"/>
          <w:szCs w:val="26"/>
        </w:rPr>
        <w:t xml:space="preserve"> its 2020 Compliance Plan, including its forecast of costs and emissions reductions for</w:t>
      </w:r>
      <w:r w:rsidRPr="00613B28" w:rsidR="00B36380">
        <w:rPr>
          <w:rFonts w:ascii="Garamond" w:hAnsi="Garamond" w:cs="Arial"/>
          <w:szCs w:val="26"/>
        </w:rPr>
        <w:t xml:space="preserve"> the</w:t>
      </w:r>
      <w:r w:rsidRPr="00613B28" w:rsidR="00D91CE6">
        <w:rPr>
          <w:rFonts w:ascii="Garamond" w:hAnsi="Garamond" w:cs="Arial"/>
          <w:szCs w:val="26"/>
        </w:rPr>
        <w:t xml:space="preserve"> years</w:t>
      </w:r>
      <w:r w:rsidRPr="00613B28" w:rsidR="001F3B79">
        <w:rPr>
          <w:rFonts w:ascii="Garamond" w:hAnsi="Garamond" w:cs="Arial"/>
          <w:szCs w:val="26"/>
        </w:rPr>
        <w:t xml:space="preserve"> 2021</w:t>
      </w:r>
      <w:r w:rsidRPr="00613B28" w:rsidR="00D02437">
        <w:rPr>
          <w:rFonts w:ascii="Garamond" w:hAnsi="Garamond" w:cs="Arial"/>
          <w:szCs w:val="26"/>
        </w:rPr>
        <w:t xml:space="preserve"> </w:t>
      </w:r>
      <w:r w:rsidRPr="00613B28" w:rsidR="000D3492">
        <w:rPr>
          <w:rFonts w:ascii="Garamond" w:hAnsi="Garamond" w:cs="Arial"/>
          <w:szCs w:val="26"/>
        </w:rPr>
        <w:t>and</w:t>
      </w:r>
      <w:r w:rsidRPr="00613B28" w:rsidR="001F3B79">
        <w:rPr>
          <w:rFonts w:ascii="Garamond" w:hAnsi="Garamond" w:cs="Arial"/>
          <w:szCs w:val="26"/>
        </w:rPr>
        <w:t xml:space="preserve"> 2022</w:t>
      </w:r>
      <w:r w:rsidRPr="00613B28" w:rsidR="00B36380">
        <w:rPr>
          <w:rFonts w:ascii="Garamond" w:hAnsi="Garamond" w:cs="Arial"/>
          <w:szCs w:val="26"/>
        </w:rPr>
        <w:t xml:space="preserve"> </w:t>
      </w:r>
      <w:r w:rsidRPr="00613B28" w:rsidR="003D48D8">
        <w:rPr>
          <w:rFonts w:ascii="Garamond" w:hAnsi="Garamond" w:cs="Arial"/>
          <w:szCs w:val="26"/>
        </w:rPr>
        <w:t xml:space="preserve">and </w:t>
      </w:r>
      <w:r w:rsidRPr="00613B28" w:rsidR="00720710">
        <w:rPr>
          <w:rFonts w:ascii="Garamond" w:hAnsi="Garamond" w:cs="Arial"/>
          <w:szCs w:val="26"/>
        </w:rPr>
        <w:t>revenue requirements for the life of the capital projects</w:t>
      </w:r>
      <w:r w:rsidRPr="00613B28" w:rsidR="00770CA4">
        <w:rPr>
          <w:rFonts w:ascii="Garamond" w:hAnsi="Garamond" w:cs="Arial"/>
          <w:szCs w:val="26"/>
        </w:rPr>
        <w:t>.</w:t>
      </w:r>
      <w:r w:rsidRPr="00613B28" w:rsidR="00D91CE6">
        <w:rPr>
          <w:rFonts w:ascii="Garamond" w:hAnsi="Garamond" w:cs="Arial"/>
          <w:szCs w:val="26"/>
        </w:rPr>
        <w:t xml:space="preserve"> </w:t>
      </w:r>
      <w:r w:rsidRPr="00613B28" w:rsidR="00EE6C51">
        <w:rPr>
          <w:rFonts w:ascii="Garamond" w:hAnsi="Garamond" w:cs="Arial"/>
          <w:iCs/>
          <w:szCs w:val="26"/>
        </w:rPr>
        <w:t>SoCalGas</w:t>
      </w:r>
      <w:r w:rsidRPr="00613B28">
        <w:rPr>
          <w:rFonts w:ascii="Garamond" w:hAnsi="Garamond" w:cs="Arial"/>
          <w:iCs/>
          <w:szCs w:val="26"/>
        </w:rPr>
        <w:t xml:space="preserve"> made various corrections to its initial filing in ALs 5603-G-A, 5603-G-B, and 5603-G-C, which were filed on June 12, June 29, and October 2, respectively.</w:t>
      </w:r>
      <w:r w:rsidRPr="00613B28" w:rsidR="00EE6C51">
        <w:rPr>
          <w:rFonts w:ascii="Garamond" w:hAnsi="Garamond" w:cs="Arial"/>
          <w:iCs/>
          <w:szCs w:val="26"/>
        </w:rPr>
        <w:t xml:space="preserve"> </w:t>
      </w:r>
    </w:p>
    <w:p w:rsidRPr="00613B28" w:rsidR="00386473" w:rsidP="00A6484E" w:rsidRDefault="00386473" w14:paraId="211FBFBE" w14:textId="5A0B933F">
      <w:pPr>
        <w:autoSpaceDE w:val="0"/>
        <w:autoSpaceDN w:val="0"/>
        <w:adjustRightInd w:val="0"/>
        <w:rPr>
          <w:rFonts w:ascii="Garamond" w:hAnsi="Garamond" w:cs="Arial"/>
          <w:iCs/>
          <w:szCs w:val="26"/>
        </w:rPr>
      </w:pPr>
    </w:p>
    <w:p w:rsidRPr="00613B28" w:rsidR="00386473" w:rsidP="00A6484E" w:rsidRDefault="00915058" w14:paraId="091CACB6" w14:textId="746FE1C4">
      <w:pPr>
        <w:autoSpaceDE w:val="0"/>
        <w:autoSpaceDN w:val="0"/>
        <w:adjustRightInd w:val="0"/>
        <w:rPr>
          <w:rFonts w:ascii="Garamond" w:hAnsi="Garamond" w:cs="Arial"/>
          <w:szCs w:val="26"/>
        </w:rPr>
      </w:pPr>
      <w:r w:rsidRPr="00613B28">
        <w:rPr>
          <w:rFonts w:ascii="Garamond" w:hAnsi="Garamond" w:cs="Arial"/>
          <w:szCs w:val="26"/>
        </w:rPr>
        <w:t>AL 5603-</w:t>
      </w:r>
      <w:r w:rsidRPr="00613B28" w:rsidR="00C3370F">
        <w:rPr>
          <w:rFonts w:ascii="Garamond" w:hAnsi="Garamond" w:cs="Arial"/>
          <w:szCs w:val="26"/>
        </w:rPr>
        <w:t>G-</w:t>
      </w:r>
      <w:r w:rsidRPr="00613B28" w:rsidR="003D53A8">
        <w:rPr>
          <w:rFonts w:ascii="Garamond" w:hAnsi="Garamond" w:cs="Arial"/>
          <w:szCs w:val="26"/>
        </w:rPr>
        <w:t>C</w:t>
      </w:r>
      <w:r w:rsidRPr="00613B28" w:rsidR="00C86C40">
        <w:rPr>
          <w:rFonts w:ascii="Garamond" w:hAnsi="Garamond" w:cs="Arial"/>
          <w:szCs w:val="26"/>
        </w:rPr>
        <w:t xml:space="preserve"> requests funding of $218 million</w:t>
      </w:r>
      <w:r w:rsidRPr="00613B28" w:rsidR="00C64FFB">
        <w:rPr>
          <w:rFonts w:ascii="Garamond" w:hAnsi="Garamond" w:cs="Arial"/>
          <w:szCs w:val="26"/>
        </w:rPr>
        <w:t xml:space="preserve"> in loaded, escalated 2020 dollars</w:t>
      </w:r>
      <w:r w:rsidRPr="00613B28" w:rsidR="00C86C40">
        <w:rPr>
          <w:rFonts w:ascii="Garamond" w:hAnsi="Garamond" w:cs="Arial"/>
          <w:szCs w:val="26"/>
        </w:rPr>
        <w:t xml:space="preserve"> or a total forecasted revenue</w:t>
      </w:r>
      <w:r w:rsidRPr="00613B28" w:rsidR="008B692B">
        <w:rPr>
          <w:rFonts w:ascii="Garamond" w:hAnsi="Garamond" w:cs="Arial"/>
          <w:szCs w:val="26"/>
        </w:rPr>
        <w:t xml:space="preserve"> </w:t>
      </w:r>
      <w:r w:rsidRPr="00613B28" w:rsidR="00C86C40">
        <w:rPr>
          <w:rFonts w:ascii="Garamond" w:hAnsi="Garamond" w:cs="Arial"/>
          <w:szCs w:val="26"/>
        </w:rPr>
        <w:t xml:space="preserve">requirement </w:t>
      </w:r>
      <w:r w:rsidRPr="00613B28" w:rsidR="008B692B">
        <w:rPr>
          <w:rFonts w:ascii="Garamond" w:hAnsi="Garamond" w:cs="Arial"/>
          <w:szCs w:val="26"/>
        </w:rPr>
        <w:t>of $285 million over the life of the capital projects</w:t>
      </w:r>
      <w:r w:rsidRPr="00613B28" w:rsidR="00B36380">
        <w:rPr>
          <w:rFonts w:ascii="Garamond" w:hAnsi="Garamond" w:cs="Arial"/>
          <w:szCs w:val="26"/>
        </w:rPr>
        <w:t>.</w:t>
      </w:r>
      <w:r w:rsidRPr="00613B28" w:rsidR="008B692B">
        <w:rPr>
          <w:rStyle w:val="FootnoteReference"/>
          <w:rFonts w:ascii="Garamond" w:hAnsi="Garamond" w:cs="Arial"/>
          <w:szCs w:val="26"/>
        </w:rPr>
        <w:footnoteReference w:id="2"/>
      </w:r>
      <w:r w:rsidRPr="00613B28" w:rsidR="003D53A8">
        <w:rPr>
          <w:rFonts w:ascii="Garamond" w:hAnsi="Garamond" w:cs="Arial"/>
          <w:szCs w:val="26"/>
        </w:rPr>
        <w:t xml:space="preserve"> </w:t>
      </w:r>
      <w:r w:rsidRPr="00613B28" w:rsidR="00BC08B8">
        <w:rPr>
          <w:rFonts w:ascii="Garamond" w:hAnsi="Garamond" w:cs="Arial"/>
          <w:szCs w:val="26"/>
        </w:rPr>
        <w:t>The</w:t>
      </w:r>
      <w:r w:rsidRPr="00613B28" w:rsidR="008B692B">
        <w:rPr>
          <w:rFonts w:ascii="Garamond" w:hAnsi="Garamond" w:cs="Arial"/>
          <w:szCs w:val="26"/>
        </w:rPr>
        <w:t xml:space="preserve"> annual revenue requirement </w:t>
      </w:r>
      <w:r w:rsidRPr="00613B28" w:rsidR="000B3FBE">
        <w:rPr>
          <w:rFonts w:ascii="Garamond" w:hAnsi="Garamond" w:cs="Arial"/>
          <w:szCs w:val="26"/>
        </w:rPr>
        <w:t xml:space="preserve">for the program </w:t>
      </w:r>
      <w:r w:rsidRPr="00613B28" w:rsidR="006C757C">
        <w:rPr>
          <w:rFonts w:ascii="Garamond" w:hAnsi="Garamond" w:cs="Arial"/>
          <w:szCs w:val="26"/>
        </w:rPr>
        <w:t xml:space="preserve">is </w:t>
      </w:r>
      <w:r w:rsidRPr="00613B28" w:rsidR="008B692B">
        <w:rPr>
          <w:rFonts w:ascii="Garamond" w:hAnsi="Garamond" w:cs="Arial"/>
          <w:szCs w:val="26"/>
        </w:rPr>
        <w:t>$80.588 for 2021 and $85</w:t>
      </w:r>
      <w:r w:rsidRPr="00613B28" w:rsidR="000D52CA">
        <w:rPr>
          <w:rFonts w:ascii="Garamond" w:hAnsi="Garamond" w:cs="Arial"/>
          <w:szCs w:val="26"/>
        </w:rPr>
        <w:t>.026</w:t>
      </w:r>
      <w:r w:rsidRPr="00613B28" w:rsidR="008B692B">
        <w:rPr>
          <w:rFonts w:ascii="Garamond" w:hAnsi="Garamond" w:cs="Arial"/>
          <w:szCs w:val="26"/>
        </w:rPr>
        <w:t xml:space="preserve"> million for 2022, which results in an</w:t>
      </w:r>
      <w:r w:rsidRPr="00613B28" w:rsidR="003D53A8">
        <w:rPr>
          <w:rFonts w:ascii="Garamond" w:hAnsi="Garamond" w:cs="Arial"/>
          <w:szCs w:val="26"/>
        </w:rPr>
        <w:t xml:space="preserve"> overall rate increase of 0.</w:t>
      </w:r>
      <w:r w:rsidRPr="00613B28" w:rsidR="00E73E6C">
        <w:rPr>
          <w:rFonts w:ascii="Garamond" w:hAnsi="Garamond" w:cs="Arial"/>
          <w:szCs w:val="26"/>
        </w:rPr>
        <w:t>4</w:t>
      </w:r>
      <w:r w:rsidRPr="00613B28" w:rsidR="002607CE">
        <w:rPr>
          <w:rFonts w:ascii="Garamond" w:hAnsi="Garamond" w:cs="Arial"/>
          <w:szCs w:val="26"/>
        </w:rPr>
        <w:t xml:space="preserve"> percent</w:t>
      </w:r>
      <w:r w:rsidRPr="00613B28" w:rsidR="003D53A8">
        <w:rPr>
          <w:rFonts w:ascii="Garamond" w:hAnsi="Garamond" w:cs="Arial"/>
          <w:szCs w:val="26"/>
        </w:rPr>
        <w:t xml:space="preserve"> in </w:t>
      </w:r>
      <w:r w:rsidRPr="00613B28" w:rsidR="00E73E6C">
        <w:rPr>
          <w:rFonts w:ascii="Garamond" w:hAnsi="Garamond" w:cs="Arial"/>
          <w:szCs w:val="26"/>
        </w:rPr>
        <w:t xml:space="preserve">both </w:t>
      </w:r>
      <w:r w:rsidRPr="00613B28" w:rsidR="008B692B">
        <w:rPr>
          <w:rFonts w:ascii="Garamond" w:hAnsi="Garamond" w:cs="Arial"/>
          <w:szCs w:val="26"/>
        </w:rPr>
        <w:t>years</w:t>
      </w:r>
      <w:r w:rsidRPr="00613B28" w:rsidR="000D3492">
        <w:rPr>
          <w:rFonts w:ascii="Garamond" w:hAnsi="Garamond" w:cs="Arial"/>
          <w:szCs w:val="26"/>
        </w:rPr>
        <w:t>.</w:t>
      </w:r>
      <w:r w:rsidRPr="00613B28" w:rsidR="00E73E6C">
        <w:rPr>
          <w:rStyle w:val="FootnoteReference"/>
          <w:rFonts w:ascii="Garamond" w:hAnsi="Garamond" w:cs="Arial"/>
          <w:szCs w:val="26"/>
        </w:rPr>
        <w:footnoteReference w:id="3"/>
      </w:r>
      <w:r w:rsidRPr="00613B28" w:rsidR="003D53A8">
        <w:rPr>
          <w:rFonts w:ascii="Garamond" w:hAnsi="Garamond" w:cs="Arial"/>
          <w:szCs w:val="26"/>
        </w:rPr>
        <w:t xml:space="preserve"> </w:t>
      </w:r>
    </w:p>
    <w:p w:rsidRPr="00613B28" w:rsidR="00F570A7" w:rsidP="00A6484E" w:rsidRDefault="00F570A7" w14:paraId="6B6ADDCA" w14:textId="12528D5B">
      <w:pPr>
        <w:autoSpaceDE w:val="0"/>
        <w:autoSpaceDN w:val="0"/>
        <w:adjustRightInd w:val="0"/>
        <w:rPr>
          <w:rFonts w:ascii="Garamond" w:hAnsi="Garamond" w:cs="Arial"/>
          <w:szCs w:val="26"/>
        </w:rPr>
      </w:pPr>
    </w:p>
    <w:p w:rsidRPr="00613B28" w:rsidR="00F570A7" w:rsidP="00F570A7" w:rsidRDefault="00F570A7" w14:paraId="1B546DF2" w14:textId="44D4351B">
      <w:pPr>
        <w:autoSpaceDE w:val="0"/>
        <w:autoSpaceDN w:val="0"/>
        <w:adjustRightInd w:val="0"/>
        <w:rPr>
          <w:rFonts w:ascii="Garamond" w:hAnsi="Garamond" w:cs="Book Antiqua" w:eastAsiaTheme="minorHAnsi"/>
          <w:color w:val="000000"/>
          <w:szCs w:val="26"/>
        </w:rPr>
      </w:pPr>
      <w:r w:rsidRPr="00613B28">
        <w:rPr>
          <w:rFonts w:ascii="Garamond" w:hAnsi="Garamond" w:cs="Book Antiqua" w:eastAsiaTheme="minorHAnsi"/>
          <w:color w:val="000000"/>
          <w:szCs w:val="26"/>
        </w:rPr>
        <w:t>On March 15, 2020, SoCalGas filed its Compliance Plan. The Plan was subsequently amended on June 12 and September 4</w:t>
      </w:r>
      <w:r w:rsidRPr="00613B28" w:rsidR="006B0609">
        <w:rPr>
          <w:rFonts w:ascii="Garamond" w:hAnsi="Garamond" w:cs="Book Antiqua" w:eastAsiaTheme="minorHAnsi"/>
          <w:color w:val="000000"/>
          <w:szCs w:val="26"/>
        </w:rPr>
        <w:t>, 2020</w:t>
      </w:r>
      <w:r w:rsidRPr="00613B28">
        <w:rPr>
          <w:rFonts w:ascii="Garamond" w:hAnsi="Garamond" w:cs="Book Antiqua" w:eastAsiaTheme="minorHAnsi"/>
          <w:color w:val="000000"/>
          <w:szCs w:val="26"/>
        </w:rPr>
        <w:t>.</w:t>
      </w:r>
      <w:r w:rsidRPr="00613B28">
        <w:rPr>
          <w:rFonts w:ascii="Garamond" w:hAnsi="Garamond" w:cs="Book Antiqua" w:eastAsiaTheme="minorHAnsi"/>
          <w:color w:val="FF0000"/>
          <w:szCs w:val="26"/>
        </w:rPr>
        <w:t xml:space="preserve"> </w:t>
      </w:r>
      <w:r w:rsidRPr="00613B28">
        <w:rPr>
          <w:rFonts w:ascii="Garamond" w:hAnsi="Garamond" w:cs="Book Antiqua" w:eastAsiaTheme="minorHAnsi"/>
          <w:color w:val="000000"/>
          <w:szCs w:val="26"/>
        </w:rPr>
        <w:t>D.19-08-020 authorizes the CPUC’s Safety and Enforcement Division (SED) to approve NGLA Compliance Plans.</w:t>
      </w:r>
      <w:r w:rsidRPr="00613B28">
        <w:rPr>
          <w:rStyle w:val="FootnoteReference"/>
          <w:rFonts w:ascii="Garamond" w:hAnsi="Garamond" w:cs="Book Antiqua" w:eastAsiaTheme="minorHAnsi"/>
          <w:color w:val="000000"/>
          <w:szCs w:val="26"/>
        </w:rPr>
        <w:footnoteReference w:id="4"/>
      </w:r>
      <w:r w:rsidRPr="00613B28">
        <w:rPr>
          <w:rFonts w:ascii="Garamond" w:hAnsi="Garamond" w:cs="Book Antiqua" w:eastAsiaTheme="minorHAnsi"/>
          <w:color w:val="000000"/>
          <w:szCs w:val="26"/>
        </w:rPr>
        <w:t xml:space="preserve"> The authority was transferred to the Safety Policy Division’s Risk Assessment and Safety Analytics Section (</w:t>
      </w:r>
      <w:r w:rsidRPr="00613B28" w:rsidR="00487CB2">
        <w:rPr>
          <w:rFonts w:ascii="Garamond" w:hAnsi="Garamond" w:cs="Book Antiqua" w:eastAsiaTheme="minorHAnsi"/>
          <w:color w:val="000000"/>
          <w:szCs w:val="26"/>
        </w:rPr>
        <w:t>SPD staff</w:t>
      </w:r>
      <w:r w:rsidRPr="00613B28">
        <w:rPr>
          <w:rFonts w:ascii="Garamond" w:hAnsi="Garamond" w:cs="Book Antiqua" w:eastAsiaTheme="minorHAnsi"/>
          <w:color w:val="000000"/>
          <w:szCs w:val="26"/>
        </w:rPr>
        <w:t xml:space="preserve">) upon creation of that new division. </w:t>
      </w:r>
      <w:r w:rsidRPr="00613B28" w:rsidR="00A61046">
        <w:rPr>
          <w:rFonts w:ascii="Garamond" w:hAnsi="Garamond" w:cs="Book Antiqua" w:eastAsiaTheme="minorHAnsi"/>
          <w:color w:val="000000"/>
          <w:szCs w:val="26"/>
        </w:rPr>
        <w:t>SPD</w:t>
      </w:r>
      <w:r w:rsidRPr="00613B28" w:rsidR="00B36380">
        <w:rPr>
          <w:rFonts w:ascii="Garamond" w:hAnsi="Garamond" w:cs="Book Antiqua" w:eastAsiaTheme="minorHAnsi"/>
          <w:color w:val="000000"/>
          <w:szCs w:val="26"/>
        </w:rPr>
        <w:t xml:space="preserve"> </w:t>
      </w:r>
      <w:r w:rsidRPr="00613B28" w:rsidR="00487CB2">
        <w:rPr>
          <w:rFonts w:ascii="Garamond" w:hAnsi="Garamond" w:cs="Book Antiqua" w:eastAsiaTheme="minorHAnsi"/>
          <w:color w:val="000000"/>
          <w:szCs w:val="26"/>
        </w:rPr>
        <w:t>staff</w:t>
      </w:r>
      <w:r w:rsidRPr="00613B28" w:rsidR="00B36380">
        <w:rPr>
          <w:rFonts w:ascii="Garamond" w:hAnsi="Garamond" w:cs="Book Antiqua" w:eastAsiaTheme="minorHAnsi"/>
          <w:color w:val="000000"/>
          <w:szCs w:val="26"/>
        </w:rPr>
        <w:t xml:space="preserve"> </w:t>
      </w:r>
      <w:r w:rsidRPr="00613B28">
        <w:rPr>
          <w:rFonts w:ascii="Garamond" w:hAnsi="Garamond" w:cs="Book Antiqua" w:eastAsiaTheme="minorHAnsi"/>
          <w:color w:val="000000"/>
          <w:szCs w:val="26"/>
        </w:rPr>
        <w:t xml:space="preserve">evaluated the Compliance Plan in consultation </w:t>
      </w:r>
      <w:r w:rsidRPr="00613B28" w:rsidR="00487CB2">
        <w:rPr>
          <w:rFonts w:ascii="Garamond" w:hAnsi="Garamond" w:cs="Book Antiqua" w:eastAsiaTheme="minorHAnsi"/>
          <w:color w:val="000000"/>
          <w:szCs w:val="26"/>
        </w:rPr>
        <w:t xml:space="preserve">with the </w:t>
      </w:r>
      <w:r w:rsidRPr="00613B28" w:rsidR="008D1DC0">
        <w:rPr>
          <w:rFonts w:ascii="Garamond" w:hAnsi="Garamond" w:cs="Book Antiqua" w:eastAsiaTheme="minorHAnsi"/>
          <w:color w:val="000000"/>
          <w:szCs w:val="26"/>
        </w:rPr>
        <w:t>California</w:t>
      </w:r>
      <w:r w:rsidRPr="00613B28" w:rsidR="00487CB2">
        <w:rPr>
          <w:rFonts w:ascii="Garamond" w:hAnsi="Garamond" w:cs="Book Antiqua" w:eastAsiaTheme="minorHAnsi"/>
          <w:color w:val="000000"/>
          <w:szCs w:val="26"/>
        </w:rPr>
        <w:t xml:space="preserve"> Air Resources Board and </w:t>
      </w:r>
      <w:r w:rsidRPr="00613B28">
        <w:rPr>
          <w:rFonts w:ascii="Garamond" w:hAnsi="Garamond" w:cs="Book Antiqua" w:eastAsiaTheme="minorHAnsi"/>
          <w:color w:val="000000"/>
          <w:szCs w:val="26"/>
        </w:rPr>
        <w:t xml:space="preserve">Energy Division staff, and their complete evaluation is included as </w:t>
      </w:r>
      <w:r w:rsidRPr="00613B28" w:rsidR="008B692B">
        <w:rPr>
          <w:rFonts w:ascii="Garamond" w:hAnsi="Garamond" w:cs="Book Antiqua" w:eastAsiaTheme="minorHAnsi"/>
          <w:color w:val="000000"/>
          <w:szCs w:val="26"/>
        </w:rPr>
        <w:t xml:space="preserve">Appendix </w:t>
      </w:r>
      <w:r w:rsidR="009C3A85">
        <w:rPr>
          <w:rFonts w:ascii="Garamond" w:hAnsi="Garamond" w:cs="Book Antiqua" w:eastAsiaTheme="minorHAnsi"/>
          <w:color w:val="000000"/>
          <w:szCs w:val="26"/>
        </w:rPr>
        <w:t>A</w:t>
      </w:r>
      <w:r w:rsidRPr="00613B28">
        <w:rPr>
          <w:rFonts w:ascii="Garamond" w:hAnsi="Garamond" w:cs="Book Antiqua" w:eastAsiaTheme="minorHAnsi"/>
          <w:color w:val="000000"/>
          <w:szCs w:val="26"/>
        </w:rPr>
        <w:t>.</w:t>
      </w:r>
    </w:p>
    <w:p w:rsidRPr="00613B28" w:rsidR="00A61046" w:rsidP="00F570A7" w:rsidRDefault="00A61046" w14:paraId="28F8EDE0" w14:textId="70CA64AB">
      <w:pPr>
        <w:autoSpaceDE w:val="0"/>
        <w:autoSpaceDN w:val="0"/>
        <w:adjustRightInd w:val="0"/>
        <w:rPr>
          <w:rFonts w:ascii="Garamond" w:hAnsi="Garamond" w:cs="Book Antiqua" w:eastAsiaTheme="minorHAnsi"/>
          <w:color w:val="000000"/>
          <w:szCs w:val="26"/>
        </w:rPr>
      </w:pPr>
    </w:p>
    <w:p w:rsidRPr="00613B28" w:rsidR="00C05292" w:rsidP="00D5192A" w:rsidRDefault="002C0B1C" w14:paraId="7D50275E" w14:textId="5F6184F9">
      <w:pPr>
        <w:autoSpaceDE w:val="0"/>
        <w:autoSpaceDN w:val="0"/>
        <w:adjustRightInd w:val="0"/>
        <w:rPr>
          <w:rFonts w:ascii="Garamond" w:hAnsi="Garamond" w:cs="Arial"/>
          <w:b/>
          <w:bCs/>
          <w:szCs w:val="26"/>
        </w:rPr>
      </w:pPr>
      <w:r w:rsidRPr="00613B28">
        <w:rPr>
          <w:rFonts w:ascii="Garamond" w:hAnsi="Garamond" w:cs="Arial"/>
          <w:b/>
          <w:bCs/>
          <w:szCs w:val="26"/>
        </w:rPr>
        <w:t>NOTICE </w:t>
      </w:r>
    </w:p>
    <w:p w:rsidRPr="00613B28" w:rsidR="00C05292" w:rsidP="00C05292" w:rsidRDefault="00C05292" w14:paraId="070348D9" w14:textId="19917BEF">
      <w:pPr>
        <w:autoSpaceDE w:val="0"/>
        <w:autoSpaceDN w:val="0"/>
        <w:adjustRightInd w:val="0"/>
        <w:rPr>
          <w:rFonts w:ascii="Garamond" w:hAnsi="Garamond" w:cs="Arial"/>
          <w:szCs w:val="26"/>
        </w:rPr>
      </w:pPr>
      <w:r w:rsidRPr="00613B28">
        <w:rPr>
          <w:rFonts w:ascii="Garamond" w:hAnsi="Garamond" w:cs="Arial"/>
          <w:szCs w:val="26"/>
        </w:rPr>
        <w:t>Notice of AL 5603-G</w:t>
      </w:r>
      <w:r w:rsidRPr="00613B28" w:rsidR="007360AB">
        <w:rPr>
          <w:rFonts w:ascii="Garamond" w:hAnsi="Garamond" w:cs="Arial"/>
          <w:szCs w:val="26"/>
        </w:rPr>
        <w:t>, 5603-G-A, 5603-G-B, and 5603-G-C</w:t>
      </w:r>
      <w:r w:rsidRPr="00613B28">
        <w:rPr>
          <w:rFonts w:ascii="Garamond" w:hAnsi="Garamond" w:cs="Arial"/>
          <w:szCs w:val="26"/>
        </w:rPr>
        <w:t xml:space="preserve"> </w:t>
      </w:r>
      <w:r w:rsidRPr="00613B28" w:rsidR="007360AB">
        <w:rPr>
          <w:rFonts w:ascii="Garamond" w:hAnsi="Garamond" w:cs="Arial"/>
          <w:szCs w:val="26"/>
        </w:rPr>
        <w:t xml:space="preserve">were </w:t>
      </w:r>
      <w:r w:rsidRPr="00613B28">
        <w:rPr>
          <w:rFonts w:ascii="Garamond" w:hAnsi="Garamond" w:cs="Arial"/>
          <w:szCs w:val="26"/>
        </w:rPr>
        <w:t xml:space="preserve">made by publication in the Commission’s Daily Calendar.  SoCalGas states that a copy of the Advice Letter was mailed and distributed in accordance with Section 4 of General Order 96-B. </w:t>
      </w:r>
    </w:p>
    <w:p w:rsidRPr="00613B28" w:rsidR="00C05292" w:rsidP="00A6484E" w:rsidRDefault="00C05292" w14:paraId="4B56372E" w14:textId="77777777">
      <w:pPr>
        <w:autoSpaceDE w:val="0"/>
        <w:autoSpaceDN w:val="0"/>
        <w:adjustRightInd w:val="0"/>
        <w:rPr>
          <w:rFonts w:ascii="Garamond" w:hAnsi="Garamond" w:cs="Arial"/>
          <w:szCs w:val="26"/>
        </w:rPr>
      </w:pPr>
    </w:p>
    <w:p w:rsidRPr="00613B28" w:rsidR="00662616" w:rsidP="00D5192A" w:rsidRDefault="00662616" w14:paraId="0488FCF3" w14:textId="48F0981C">
      <w:pPr>
        <w:pStyle w:val="Heading1"/>
        <w:rPr>
          <w:rFonts w:ascii="Garamond" w:hAnsi="Garamond"/>
          <w:szCs w:val="26"/>
        </w:rPr>
      </w:pPr>
      <w:r w:rsidRPr="00613B28">
        <w:rPr>
          <w:rFonts w:ascii="Garamond" w:hAnsi="Garamond"/>
          <w:szCs w:val="26"/>
        </w:rPr>
        <w:t xml:space="preserve">PROTESTS </w:t>
      </w:r>
    </w:p>
    <w:p w:rsidRPr="00613B28" w:rsidR="00662616" w:rsidP="00662616" w:rsidRDefault="00662616" w14:paraId="7C78DC51" w14:textId="406C89AA">
      <w:pPr>
        <w:autoSpaceDE w:val="0"/>
        <w:autoSpaceDN w:val="0"/>
        <w:adjustRightInd w:val="0"/>
        <w:rPr>
          <w:rFonts w:ascii="Garamond" w:hAnsi="Garamond" w:cs="Book Antiqua" w:eastAsiaTheme="minorHAnsi"/>
          <w:color w:val="000000"/>
          <w:szCs w:val="26"/>
        </w:rPr>
      </w:pPr>
      <w:r w:rsidRPr="00613B28">
        <w:rPr>
          <w:rFonts w:ascii="Garamond" w:hAnsi="Garamond" w:cs="Book Antiqua" w:eastAsiaTheme="minorHAnsi"/>
          <w:color w:val="000000"/>
          <w:szCs w:val="26"/>
        </w:rPr>
        <w:t xml:space="preserve">No </w:t>
      </w:r>
      <w:r w:rsidRPr="00613B28" w:rsidR="00F570A7">
        <w:rPr>
          <w:rFonts w:ascii="Garamond" w:hAnsi="Garamond" w:cs="Book Antiqua" w:eastAsiaTheme="minorHAnsi"/>
          <w:color w:val="000000"/>
          <w:szCs w:val="26"/>
        </w:rPr>
        <w:t>p</w:t>
      </w:r>
      <w:r w:rsidRPr="00613B28">
        <w:rPr>
          <w:rFonts w:ascii="Garamond" w:hAnsi="Garamond" w:cs="Book Antiqua" w:eastAsiaTheme="minorHAnsi"/>
          <w:color w:val="000000"/>
          <w:szCs w:val="26"/>
        </w:rPr>
        <w:t>rotests were received.</w:t>
      </w:r>
    </w:p>
    <w:p w:rsidRPr="00613B28" w:rsidR="002C0B1C" w:rsidP="00662616" w:rsidRDefault="002C0B1C" w14:paraId="1EEA184D" w14:textId="77777777">
      <w:pPr>
        <w:autoSpaceDE w:val="0"/>
        <w:autoSpaceDN w:val="0"/>
        <w:adjustRightInd w:val="0"/>
        <w:rPr>
          <w:rFonts w:ascii="Garamond" w:hAnsi="Garamond" w:cs="Book Antiqua" w:eastAsiaTheme="minorHAnsi"/>
          <w:color w:val="000000"/>
          <w:szCs w:val="26"/>
        </w:rPr>
      </w:pPr>
    </w:p>
    <w:p w:rsidRPr="00613B28" w:rsidR="00662616" w:rsidP="00D5192A" w:rsidRDefault="00662616" w14:paraId="033839EC" w14:textId="20AE394F">
      <w:pPr>
        <w:pStyle w:val="Heading1"/>
        <w:rPr>
          <w:rFonts w:ascii="Garamond" w:hAnsi="Garamond" w:eastAsiaTheme="minorHAnsi"/>
          <w:szCs w:val="26"/>
        </w:rPr>
      </w:pPr>
      <w:r w:rsidRPr="00613B28">
        <w:rPr>
          <w:rFonts w:ascii="Garamond" w:hAnsi="Garamond" w:eastAsiaTheme="minorHAnsi"/>
          <w:szCs w:val="26"/>
        </w:rPr>
        <w:t>DISCUSSION</w:t>
      </w:r>
    </w:p>
    <w:p w:rsidRPr="00613B28" w:rsidR="006B0609" w:rsidP="00902C92" w:rsidRDefault="006B0609" w14:paraId="04539AE8" w14:textId="5628FACA">
      <w:pPr>
        <w:autoSpaceDE w:val="0"/>
        <w:autoSpaceDN w:val="0"/>
        <w:adjustRightInd w:val="0"/>
        <w:rPr>
          <w:rFonts w:ascii="Garamond" w:hAnsi="Garamond" w:cs="Book Antiqua" w:eastAsiaTheme="minorHAnsi"/>
          <w:color w:val="000000"/>
          <w:szCs w:val="26"/>
        </w:rPr>
      </w:pPr>
      <w:r w:rsidRPr="00613B28">
        <w:rPr>
          <w:rFonts w:ascii="Garamond" w:hAnsi="Garamond" w:cs="Book Antiqua" w:eastAsiaTheme="minorHAnsi"/>
          <w:color w:val="000000"/>
          <w:szCs w:val="26"/>
        </w:rPr>
        <w:t>Energy Division has reviewed SoCalGas AL</w:t>
      </w:r>
      <w:r w:rsidRPr="00613B28" w:rsidR="00D865D6">
        <w:rPr>
          <w:rFonts w:ascii="Garamond" w:hAnsi="Garamond" w:cs="Book Antiqua" w:eastAsiaTheme="minorHAnsi"/>
          <w:color w:val="000000"/>
          <w:szCs w:val="26"/>
        </w:rPr>
        <w:t xml:space="preserve"> 5603-</w:t>
      </w:r>
      <w:r w:rsidRPr="00613B28" w:rsidR="006C757C">
        <w:rPr>
          <w:rFonts w:ascii="Garamond" w:hAnsi="Garamond" w:cs="Book Antiqua" w:eastAsiaTheme="minorHAnsi"/>
          <w:color w:val="000000"/>
          <w:szCs w:val="26"/>
        </w:rPr>
        <w:t>G-</w:t>
      </w:r>
      <w:r w:rsidRPr="00613B28" w:rsidR="00D865D6">
        <w:rPr>
          <w:rFonts w:ascii="Garamond" w:hAnsi="Garamond" w:cs="Book Antiqua" w:eastAsiaTheme="minorHAnsi"/>
          <w:color w:val="000000"/>
          <w:szCs w:val="26"/>
        </w:rPr>
        <w:t>C</w:t>
      </w:r>
      <w:r w:rsidRPr="00613B28">
        <w:rPr>
          <w:rFonts w:ascii="Garamond" w:hAnsi="Garamond" w:cs="Book Antiqua" w:eastAsiaTheme="minorHAnsi"/>
          <w:color w:val="000000"/>
          <w:szCs w:val="26"/>
        </w:rPr>
        <w:t xml:space="preserve"> as well as S</w:t>
      </w:r>
      <w:r w:rsidRPr="00613B28" w:rsidR="006F3CFB">
        <w:rPr>
          <w:rFonts w:ascii="Garamond" w:hAnsi="Garamond" w:cs="Book Antiqua" w:eastAsiaTheme="minorHAnsi"/>
          <w:color w:val="000000"/>
          <w:szCs w:val="26"/>
        </w:rPr>
        <w:t>P</w:t>
      </w:r>
      <w:r w:rsidRPr="00613B28">
        <w:rPr>
          <w:rFonts w:ascii="Garamond" w:hAnsi="Garamond" w:cs="Book Antiqua" w:eastAsiaTheme="minorHAnsi"/>
          <w:color w:val="000000"/>
          <w:szCs w:val="26"/>
        </w:rPr>
        <w:t>D</w:t>
      </w:r>
      <w:r w:rsidRPr="00613B28" w:rsidR="00487CB2">
        <w:rPr>
          <w:rFonts w:ascii="Garamond" w:hAnsi="Garamond" w:cs="Book Antiqua" w:eastAsiaTheme="minorHAnsi"/>
          <w:color w:val="000000"/>
          <w:szCs w:val="26"/>
        </w:rPr>
        <w:t xml:space="preserve"> staff’s</w:t>
      </w:r>
      <w:r w:rsidRPr="00613B28">
        <w:rPr>
          <w:rFonts w:ascii="Garamond" w:hAnsi="Garamond" w:cs="Book Antiqua" w:eastAsiaTheme="minorHAnsi"/>
          <w:color w:val="000000"/>
          <w:szCs w:val="26"/>
        </w:rPr>
        <w:t xml:space="preserve"> evaluation of SoCalGas’ </w:t>
      </w:r>
      <w:r w:rsidRPr="00613B28" w:rsidR="00D865D6">
        <w:rPr>
          <w:rFonts w:ascii="Garamond" w:hAnsi="Garamond" w:cs="Book Antiqua" w:eastAsiaTheme="minorHAnsi"/>
          <w:color w:val="000000"/>
          <w:szCs w:val="26"/>
        </w:rPr>
        <w:t xml:space="preserve">2020 </w:t>
      </w:r>
      <w:r w:rsidRPr="00613B28">
        <w:rPr>
          <w:rFonts w:ascii="Garamond" w:hAnsi="Garamond" w:cs="Book Antiqua" w:eastAsiaTheme="minorHAnsi"/>
          <w:color w:val="000000"/>
          <w:szCs w:val="26"/>
        </w:rPr>
        <w:t>Compliance Plan</w:t>
      </w:r>
      <w:r w:rsidRPr="00613B28" w:rsidR="00D865D6">
        <w:rPr>
          <w:rFonts w:ascii="Garamond" w:hAnsi="Garamond" w:cs="Book Antiqua" w:eastAsiaTheme="minorHAnsi"/>
          <w:color w:val="000000"/>
          <w:szCs w:val="26"/>
        </w:rPr>
        <w:t>, which was developed in co</w:t>
      </w:r>
      <w:r w:rsidRPr="00613B28" w:rsidR="00700CD1">
        <w:rPr>
          <w:rFonts w:ascii="Garamond" w:hAnsi="Garamond" w:cs="Book Antiqua" w:eastAsiaTheme="minorHAnsi"/>
          <w:color w:val="000000"/>
          <w:szCs w:val="26"/>
        </w:rPr>
        <w:t>nsultation</w:t>
      </w:r>
      <w:r w:rsidRPr="00613B28" w:rsidR="00D865D6">
        <w:rPr>
          <w:rFonts w:ascii="Garamond" w:hAnsi="Garamond" w:cs="Book Antiqua" w:eastAsiaTheme="minorHAnsi"/>
          <w:color w:val="000000"/>
          <w:szCs w:val="26"/>
        </w:rPr>
        <w:t xml:space="preserve"> with the </w:t>
      </w:r>
      <w:r w:rsidRPr="00613B28" w:rsidR="008D1DC0">
        <w:rPr>
          <w:rFonts w:ascii="Garamond" w:hAnsi="Garamond" w:cs="Book Antiqua" w:eastAsiaTheme="minorHAnsi"/>
          <w:color w:val="000000"/>
          <w:szCs w:val="26"/>
        </w:rPr>
        <w:t>California</w:t>
      </w:r>
      <w:r w:rsidRPr="00613B28" w:rsidR="00D865D6">
        <w:rPr>
          <w:rFonts w:ascii="Garamond" w:hAnsi="Garamond" w:cs="Book Antiqua" w:eastAsiaTheme="minorHAnsi"/>
          <w:color w:val="000000"/>
          <w:szCs w:val="26"/>
        </w:rPr>
        <w:t xml:space="preserve"> Air Resources Board. </w:t>
      </w:r>
      <w:r w:rsidRPr="00613B28" w:rsidR="00700CD1">
        <w:rPr>
          <w:rFonts w:ascii="Garamond" w:hAnsi="Garamond" w:cs="Book Antiqua" w:eastAsiaTheme="minorHAnsi"/>
          <w:color w:val="000000"/>
          <w:szCs w:val="26"/>
        </w:rPr>
        <w:t xml:space="preserve">SPD and </w:t>
      </w:r>
      <w:r w:rsidRPr="00613B28" w:rsidR="00D865D6">
        <w:rPr>
          <w:rFonts w:ascii="Garamond" w:hAnsi="Garamond" w:cs="Book Antiqua" w:eastAsiaTheme="minorHAnsi"/>
          <w:color w:val="000000"/>
          <w:szCs w:val="26"/>
        </w:rPr>
        <w:t>Energy Division</w:t>
      </w:r>
      <w:r w:rsidRPr="00613B28" w:rsidR="00700CD1">
        <w:rPr>
          <w:rFonts w:ascii="Garamond" w:hAnsi="Garamond" w:cs="Book Antiqua" w:eastAsiaTheme="minorHAnsi"/>
          <w:color w:val="000000"/>
          <w:szCs w:val="26"/>
        </w:rPr>
        <w:t xml:space="preserve"> </w:t>
      </w:r>
      <w:r w:rsidRPr="00613B28" w:rsidR="00D865D6">
        <w:rPr>
          <w:rFonts w:ascii="Garamond" w:hAnsi="Garamond" w:cs="Book Antiqua" w:eastAsiaTheme="minorHAnsi"/>
          <w:color w:val="000000"/>
          <w:szCs w:val="26"/>
        </w:rPr>
        <w:t>recommend approval of SoCalGas’ Compliance Plan and AL 5603-</w:t>
      </w:r>
      <w:r w:rsidRPr="00613B28" w:rsidR="004F2457">
        <w:rPr>
          <w:rFonts w:ascii="Garamond" w:hAnsi="Garamond" w:cs="Book Antiqua" w:eastAsiaTheme="minorHAnsi"/>
          <w:color w:val="000000"/>
          <w:szCs w:val="26"/>
        </w:rPr>
        <w:t>G-</w:t>
      </w:r>
      <w:r w:rsidRPr="00613B28" w:rsidR="00D865D6">
        <w:rPr>
          <w:rFonts w:ascii="Garamond" w:hAnsi="Garamond" w:cs="Book Antiqua" w:eastAsiaTheme="minorHAnsi"/>
          <w:color w:val="000000"/>
          <w:szCs w:val="26"/>
        </w:rPr>
        <w:t xml:space="preserve">C. </w:t>
      </w:r>
    </w:p>
    <w:p w:rsidRPr="00613B28" w:rsidR="00163E1F" w:rsidP="00902C92" w:rsidRDefault="00163E1F" w14:paraId="7D2A0BD1" w14:textId="51145B78">
      <w:pPr>
        <w:autoSpaceDE w:val="0"/>
        <w:autoSpaceDN w:val="0"/>
        <w:adjustRightInd w:val="0"/>
        <w:rPr>
          <w:rFonts w:ascii="Garamond" w:hAnsi="Garamond" w:cs="Book Antiqua" w:eastAsiaTheme="minorHAnsi"/>
          <w:color w:val="000000"/>
          <w:szCs w:val="26"/>
        </w:rPr>
      </w:pPr>
    </w:p>
    <w:p w:rsidRPr="00613B28" w:rsidR="002C0B1C" w:rsidP="002C0B1C" w:rsidRDefault="002C0B1C" w14:paraId="5E1CBF76" w14:textId="5B1B8688">
      <w:pPr>
        <w:autoSpaceDE w:val="0"/>
        <w:autoSpaceDN w:val="0"/>
        <w:adjustRightInd w:val="0"/>
        <w:rPr>
          <w:rFonts w:ascii="Garamond" w:hAnsi="Garamond" w:cs="Arial"/>
          <w:szCs w:val="26"/>
        </w:rPr>
      </w:pPr>
      <w:r w:rsidRPr="00613B28">
        <w:rPr>
          <w:rFonts w:ascii="Garamond" w:hAnsi="Garamond" w:cs="Arial"/>
          <w:szCs w:val="26"/>
        </w:rPr>
        <w:t>SPD staff’s review includes</w:t>
      </w:r>
      <w:r w:rsidRPr="00613B28" w:rsidR="00163E1F">
        <w:rPr>
          <w:rFonts w:ascii="Garamond" w:hAnsi="Garamond" w:cs="Arial"/>
          <w:szCs w:val="26"/>
        </w:rPr>
        <w:t xml:space="preserve"> the cost effectiveness methodologies established in D.19-08-020. </w:t>
      </w:r>
      <w:r w:rsidRPr="00613B28">
        <w:rPr>
          <w:rFonts w:ascii="Garamond" w:hAnsi="Garamond" w:cs="Arial"/>
          <w:szCs w:val="26"/>
        </w:rPr>
        <w:t xml:space="preserve">The standard cost effectiveness measure is the total program cost divided by the total emission reduction for the </w:t>
      </w:r>
      <w:proofErr w:type="gramStart"/>
      <w:r w:rsidRPr="00613B28">
        <w:rPr>
          <w:rFonts w:ascii="Garamond" w:hAnsi="Garamond" w:cs="Arial"/>
          <w:szCs w:val="26"/>
        </w:rPr>
        <w:t>time period</w:t>
      </w:r>
      <w:proofErr w:type="gramEnd"/>
      <w:r w:rsidRPr="00613B28">
        <w:rPr>
          <w:rFonts w:ascii="Garamond" w:hAnsi="Garamond" w:cs="Arial"/>
          <w:szCs w:val="26"/>
        </w:rPr>
        <w:t xml:space="preserve">. The total program costs are taken as the Average Annual Revenue Requirement (AARR) times the number of years of the program.  From </w:t>
      </w:r>
      <w:r w:rsidRPr="00613B28">
        <w:rPr>
          <w:rFonts w:ascii="Garamond" w:hAnsi="Garamond" w:cs="Arial"/>
          <w:szCs w:val="26"/>
        </w:rPr>
        <w:lastRenderedPageBreak/>
        <w:t>that cost, direct cost savings such as the cost of gas saved are deducted. The net cost is then divided by the cumulative emissions reduction and expressed in dollars per thousand standard cubic feet of natural gas emissions or $/MCF.</w:t>
      </w:r>
      <w:r w:rsidRPr="00613B28">
        <w:rPr>
          <w:rStyle w:val="FootnoteReference"/>
          <w:rFonts w:ascii="Garamond" w:hAnsi="Garamond" w:cs="Arial"/>
          <w:szCs w:val="26"/>
        </w:rPr>
        <w:footnoteReference w:id="5"/>
      </w:r>
    </w:p>
    <w:p w:rsidRPr="00613B28" w:rsidR="002C0B1C" w:rsidP="002C0B1C" w:rsidRDefault="002C0B1C" w14:paraId="0FE9F048" w14:textId="77777777">
      <w:pPr>
        <w:autoSpaceDE w:val="0"/>
        <w:autoSpaceDN w:val="0"/>
        <w:adjustRightInd w:val="0"/>
        <w:rPr>
          <w:rFonts w:ascii="Garamond" w:hAnsi="Garamond" w:cs="Arial"/>
          <w:szCs w:val="26"/>
        </w:rPr>
      </w:pPr>
    </w:p>
    <w:p w:rsidRPr="00613B28" w:rsidR="002C0B1C" w:rsidP="002C0B1C" w:rsidRDefault="002C0B1C" w14:paraId="1CB3A88A" w14:textId="617E0FBF">
      <w:pPr>
        <w:autoSpaceDE w:val="0"/>
        <w:autoSpaceDN w:val="0"/>
        <w:adjustRightInd w:val="0"/>
        <w:rPr>
          <w:rFonts w:ascii="Garamond" w:hAnsi="Garamond" w:cs="Arial"/>
          <w:szCs w:val="26"/>
        </w:rPr>
      </w:pPr>
      <w:r w:rsidRPr="00613B28">
        <w:rPr>
          <w:rFonts w:ascii="Garamond" w:hAnsi="Garamond" w:cs="Arial"/>
          <w:szCs w:val="26"/>
        </w:rPr>
        <w:t>This is the first time the additional two cost-benefit tests have been used in the Compliance Plans</w:t>
      </w:r>
      <w:r w:rsidRPr="00613B28" w:rsidR="00763DD0">
        <w:rPr>
          <w:rFonts w:ascii="Garamond" w:hAnsi="Garamond" w:cs="Arial"/>
          <w:szCs w:val="26"/>
        </w:rPr>
        <w:t>: the avoided Cap and Trade compliance costs and the avoided Social Cost of Methane.</w:t>
      </w:r>
      <w:r w:rsidRPr="00613B28">
        <w:rPr>
          <w:rFonts w:ascii="Garamond" w:hAnsi="Garamond" w:cs="Arial"/>
          <w:szCs w:val="26"/>
        </w:rPr>
        <w:t xml:space="preserve"> As specified in D.19-08-020, </w:t>
      </w:r>
      <w:r w:rsidRPr="00613B28" w:rsidR="00763DD0">
        <w:rPr>
          <w:rFonts w:ascii="Garamond" w:hAnsi="Garamond" w:cs="Arial"/>
          <w:szCs w:val="26"/>
        </w:rPr>
        <w:t xml:space="preserve">the avoided Cap and Trade cost is based on the reduction in </w:t>
      </w:r>
      <w:r w:rsidRPr="00613B28">
        <w:rPr>
          <w:rFonts w:ascii="Garamond" w:hAnsi="Garamond" w:cs="Arial"/>
          <w:szCs w:val="26"/>
        </w:rPr>
        <w:t xml:space="preserve">gas throughput </w:t>
      </w:r>
      <w:r w:rsidRPr="00613B28" w:rsidR="00763DD0">
        <w:rPr>
          <w:rFonts w:ascii="Garamond" w:hAnsi="Garamond" w:cs="Arial"/>
          <w:szCs w:val="26"/>
        </w:rPr>
        <w:t xml:space="preserve">caused by abating leaks and assumes </w:t>
      </w:r>
      <w:r w:rsidRPr="00613B28">
        <w:rPr>
          <w:rFonts w:ascii="Garamond" w:hAnsi="Garamond" w:cs="Arial"/>
          <w:szCs w:val="26"/>
        </w:rPr>
        <w:t>that all gas throughput would have been combusted to carbon dioxide</w:t>
      </w:r>
      <w:r w:rsidR="00F934F9">
        <w:rPr>
          <w:rFonts w:ascii="Garamond" w:hAnsi="Garamond" w:cs="Arial"/>
          <w:szCs w:val="26"/>
        </w:rPr>
        <w:t xml:space="preserve"> (CO2) </w:t>
      </w:r>
      <w:r w:rsidRPr="00613B28">
        <w:rPr>
          <w:rFonts w:ascii="Garamond" w:hAnsi="Garamond" w:cs="Arial"/>
          <w:szCs w:val="26"/>
        </w:rPr>
        <w:t xml:space="preserve"> and emitted to the atmosphere.</w:t>
      </w:r>
      <w:r w:rsidRPr="00613B28">
        <w:rPr>
          <w:rStyle w:val="FootnoteReference"/>
          <w:rFonts w:ascii="Garamond" w:hAnsi="Garamond" w:cs="Arial"/>
          <w:szCs w:val="26"/>
        </w:rPr>
        <w:footnoteReference w:id="6"/>
      </w:r>
      <w:r w:rsidRPr="00613B28">
        <w:rPr>
          <w:rFonts w:ascii="Garamond" w:hAnsi="Garamond" w:cs="Arial"/>
          <w:szCs w:val="26"/>
        </w:rPr>
        <w:t xml:space="preserve"> To estimate the value of reduced </w:t>
      </w:r>
      <w:r w:rsidRPr="00613B28" w:rsidR="00763DD0">
        <w:rPr>
          <w:rFonts w:ascii="Garamond" w:hAnsi="Garamond" w:cs="Arial"/>
          <w:szCs w:val="26"/>
        </w:rPr>
        <w:t xml:space="preserve">Cap and Trade compliance costs, </w:t>
      </w:r>
      <w:r w:rsidRPr="00613B28">
        <w:rPr>
          <w:rFonts w:ascii="Garamond" w:hAnsi="Garamond" w:cs="Arial"/>
          <w:szCs w:val="26"/>
        </w:rPr>
        <w:t xml:space="preserve">SoCalGas </w:t>
      </w:r>
      <w:r w:rsidRPr="00613B28">
        <w:rPr>
          <w:rFonts w:ascii="Garamond" w:hAnsi="Garamond"/>
          <w:szCs w:val="26"/>
        </w:rPr>
        <w:t>assumed a December 2022 vintage futures value based on the five-day average of trading days January 10-16, 2020</w:t>
      </w:r>
      <w:r w:rsidRPr="00613B28" w:rsidR="00763DD0">
        <w:rPr>
          <w:rFonts w:ascii="Garamond" w:hAnsi="Garamond"/>
          <w:szCs w:val="26"/>
        </w:rPr>
        <w:t>,</w:t>
      </w:r>
      <w:r w:rsidRPr="00613B28">
        <w:rPr>
          <w:rFonts w:ascii="Garamond" w:hAnsi="Garamond"/>
          <w:szCs w:val="26"/>
        </w:rPr>
        <w:t xml:space="preserve"> from the International Exchange. Use of that value </w:t>
      </w:r>
      <w:r w:rsidRPr="00613B28">
        <w:rPr>
          <w:rFonts w:ascii="Garamond" w:hAnsi="Garamond" w:cs="Arial"/>
          <w:szCs w:val="26"/>
        </w:rPr>
        <w:t xml:space="preserve">results in a Cap and Trade benefit of $1.14 </w:t>
      </w:r>
      <w:r w:rsidRPr="00613B28" w:rsidR="00763DD0">
        <w:rPr>
          <w:rFonts w:ascii="Garamond" w:hAnsi="Garamond" w:cs="Arial"/>
          <w:szCs w:val="26"/>
        </w:rPr>
        <w:t>per MCF</w:t>
      </w:r>
      <w:r w:rsidRPr="00613B28">
        <w:rPr>
          <w:rFonts w:ascii="Garamond" w:hAnsi="Garamond" w:cs="Arial"/>
          <w:szCs w:val="26"/>
        </w:rPr>
        <w:t>.</w:t>
      </w:r>
    </w:p>
    <w:p w:rsidRPr="00613B28" w:rsidR="002C0B1C" w:rsidP="002C0B1C" w:rsidRDefault="002C0B1C" w14:paraId="33557A52" w14:textId="77777777">
      <w:pPr>
        <w:autoSpaceDE w:val="0"/>
        <w:autoSpaceDN w:val="0"/>
        <w:adjustRightInd w:val="0"/>
        <w:rPr>
          <w:rFonts w:ascii="Garamond" w:hAnsi="Garamond" w:cs="Arial"/>
          <w:szCs w:val="26"/>
        </w:rPr>
      </w:pPr>
    </w:p>
    <w:p w:rsidRPr="00613B28" w:rsidR="002C0B1C" w:rsidP="002C0B1C" w:rsidRDefault="002C0B1C" w14:paraId="71425A80" w14:textId="5F7D105E">
      <w:pPr>
        <w:autoSpaceDE w:val="0"/>
        <w:autoSpaceDN w:val="0"/>
        <w:adjustRightInd w:val="0"/>
        <w:rPr>
          <w:rFonts w:ascii="Garamond" w:hAnsi="Garamond" w:cs="Arial"/>
          <w:szCs w:val="26"/>
        </w:rPr>
      </w:pPr>
      <w:r w:rsidRPr="00613B28">
        <w:rPr>
          <w:rFonts w:ascii="Garamond" w:hAnsi="Garamond" w:cs="Arial"/>
          <w:szCs w:val="26"/>
        </w:rPr>
        <w:t xml:space="preserve">The benefit of the avoided Social Cost of Methane is the future cost to society from the environmental impact of </w:t>
      </w:r>
      <w:r w:rsidRPr="00613B28" w:rsidR="00763DD0">
        <w:rPr>
          <w:rFonts w:ascii="Garamond" w:hAnsi="Garamond" w:cs="Arial"/>
          <w:szCs w:val="26"/>
        </w:rPr>
        <w:t xml:space="preserve">methane, which has </w:t>
      </w:r>
      <w:r w:rsidRPr="00613B28" w:rsidR="00C137B8">
        <w:rPr>
          <w:rFonts w:ascii="Garamond" w:hAnsi="Garamond" w:cs="Arial"/>
          <w:szCs w:val="26"/>
        </w:rPr>
        <w:t>a higher global warming potential in the short term than CO2</w:t>
      </w:r>
      <w:r w:rsidRPr="00613B28">
        <w:rPr>
          <w:rFonts w:ascii="Garamond" w:hAnsi="Garamond" w:cs="Arial"/>
          <w:szCs w:val="26"/>
        </w:rPr>
        <w:t>.  D.19-08-020 provides a value of $21</w:t>
      </w:r>
      <w:r w:rsidRPr="00613B28" w:rsidR="00C137B8">
        <w:rPr>
          <w:rFonts w:ascii="Garamond" w:hAnsi="Garamond" w:cs="Arial"/>
          <w:szCs w:val="26"/>
        </w:rPr>
        <w:t>/MCF for the Social Cost of Methane</w:t>
      </w:r>
      <w:r w:rsidRPr="00613B28">
        <w:rPr>
          <w:rFonts w:ascii="Garamond" w:hAnsi="Garamond" w:cs="Arial"/>
          <w:szCs w:val="26"/>
        </w:rPr>
        <w:t xml:space="preserve"> for use in the utilities’ Compliance Plans. These two additional tests are to be used for information and comparison purposes.</w:t>
      </w:r>
      <w:r w:rsidRPr="00613B28">
        <w:rPr>
          <w:rStyle w:val="FootnoteReference"/>
          <w:rFonts w:ascii="Garamond" w:hAnsi="Garamond" w:cs="Arial"/>
          <w:szCs w:val="26"/>
        </w:rPr>
        <w:footnoteReference w:id="7"/>
      </w:r>
      <w:r w:rsidRPr="00613B28">
        <w:rPr>
          <w:rFonts w:ascii="Garamond" w:hAnsi="Garamond" w:cs="Arial"/>
          <w:szCs w:val="26"/>
        </w:rPr>
        <w:t xml:space="preserve"> </w:t>
      </w:r>
    </w:p>
    <w:p w:rsidRPr="00613B28" w:rsidR="002C0B1C" w:rsidP="002C0B1C" w:rsidRDefault="002C0B1C" w14:paraId="1996E1FB" w14:textId="77777777">
      <w:pPr>
        <w:autoSpaceDE w:val="0"/>
        <w:autoSpaceDN w:val="0"/>
        <w:adjustRightInd w:val="0"/>
        <w:rPr>
          <w:rFonts w:ascii="Garamond" w:hAnsi="Garamond" w:cs="Arial"/>
          <w:szCs w:val="26"/>
        </w:rPr>
      </w:pPr>
    </w:p>
    <w:p w:rsidRPr="00613B28" w:rsidR="002C0B1C" w:rsidP="002C0B1C" w:rsidRDefault="002C0B1C" w14:paraId="4C6808DD" w14:textId="6F98EC98">
      <w:pPr>
        <w:rPr>
          <w:rFonts w:ascii="Garamond" w:hAnsi="Garamond" w:cs="Arial"/>
          <w:szCs w:val="26"/>
        </w:rPr>
      </w:pPr>
      <w:r w:rsidRPr="00613B28">
        <w:rPr>
          <w:rFonts w:ascii="Garamond" w:hAnsi="Garamond" w:cs="Arial"/>
          <w:szCs w:val="26"/>
        </w:rPr>
        <w:t>When the benefits of Cap and Trade and Social Cost of Methane are subtracted from the standard cost effectiveness methodology, they have the effect of increasing the cost effectiveness of the program by lowering its cost relative to its benefits. Where net negative benefits result, it means the Best Practice saves more than it costs. It is important to note that while D.19-08-020 required these three tests, it specifically states “</w:t>
      </w:r>
      <w:r w:rsidRPr="00613B28" w:rsidR="00C137B8">
        <w:rPr>
          <w:rFonts w:ascii="Garamond" w:hAnsi="Garamond" w:cs="Arial"/>
          <w:szCs w:val="26"/>
        </w:rPr>
        <w:t>…</w:t>
      </w:r>
      <w:r w:rsidRPr="00613B28">
        <w:rPr>
          <w:rFonts w:ascii="Garamond" w:hAnsi="Garamond" w:cs="Arial"/>
          <w:szCs w:val="26"/>
        </w:rPr>
        <w:t>we do not adopt a requirement that all measures, or the Compliance Plans in their entirety, must show a positive benefit to cost ratio under either methodology. The CPUC retains full discretion to evaluate measures proposed in the Compliance</w:t>
      </w:r>
      <w:r w:rsidRPr="00613B28" w:rsidR="00C137B8">
        <w:rPr>
          <w:rFonts w:ascii="Garamond" w:hAnsi="Garamond" w:cs="Arial"/>
          <w:szCs w:val="26"/>
        </w:rPr>
        <w:t xml:space="preserve"> Plans considering cost-effectiveness along with other qualitative factors and policy goals.”</w:t>
      </w:r>
      <w:r w:rsidRPr="00613B28" w:rsidR="00C137B8">
        <w:rPr>
          <w:rStyle w:val="FootnoteReference"/>
          <w:rFonts w:ascii="Garamond" w:hAnsi="Garamond" w:cs="Arial"/>
          <w:szCs w:val="26"/>
        </w:rPr>
        <w:footnoteReference w:id="8"/>
      </w:r>
    </w:p>
    <w:p w:rsidRPr="00613B28" w:rsidR="00EE6F10" w:rsidP="002C0B1C" w:rsidRDefault="00EE6F10" w14:paraId="58B98658" w14:textId="753014EF">
      <w:pPr>
        <w:rPr>
          <w:rFonts w:ascii="Garamond" w:hAnsi="Garamond" w:cs="Arial"/>
          <w:szCs w:val="26"/>
        </w:rPr>
      </w:pPr>
    </w:p>
    <w:p w:rsidRPr="00613B28" w:rsidR="00EE6F10" w:rsidP="00EE6F10" w:rsidRDefault="00EE6F10" w14:paraId="7906ACBB" w14:textId="13EAEDF9">
      <w:pPr>
        <w:rPr>
          <w:rFonts w:ascii="Garamond" w:hAnsi="Garamond" w:cs="Arial"/>
          <w:szCs w:val="26"/>
        </w:rPr>
      </w:pPr>
      <w:r w:rsidRPr="00613B28">
        <w:rPr>
          <w:rFonts w:ascii="Garamond" w:hAnsi="Garamond" w:cs="Arial"/>
          <w:szCs w:val="26"/>
        </w:rPr>
        <w:t xml:space="preserve">SPD staff’s evaluation of SoCalGas’ Compliance Plan shows that a number of the Best Practices are very cost effective. Blowdown Activities show a net </w:t>
      </w:r>
      <w:r w:rsidRPr="00613B28">
        <w:rPr>
          <w:rFonts w:ascii="Garamond" w:hAnsi="Garamond" w:cs="Arial"/>
          <w:i/>
          <w:iCs/>
          <w:szCs w:val="26"/>
        </w:rPr>
        <w:t>negative</w:t>
      </w:r>
      <w:r w:rsidRPr="00613B28">
        <w:rPr>
          <w:rFonts w:ascii="Garamond" w:hAnsi="Garamond" w:cs="Arial"/>
          <w:szCs w:val="26"/>
        </w:rPr>
        <w:t xml:space="preserve"> cost effectiveness of -$3/MCF.  Increased Leak Surveys/Intervals show a net cost-effectiveness (including benefits of Cap and Trade and Social Cost of Methane) of $4/MCF. </w:t>
      </w:r>
      <w:proofErr w:type="gramStart"/>
      <w:r w:rsidRPr="00613B28">
        <w:rPr>
          <w:rFonts w:ascii="Garamond" w:hAnsi="Garamond" w:cs="Arial"/>
          <w:szCs w:val="26"/>
        </w:rPr>
        <w:t>A number of</w:t>
      </w:r>
      <w:proofErr w:type="gramEnd"/>
      <w:r w:rsidRPr="00613B28">
        <w:rPr>
          <w:rFonts w:ascii="Garamond" w:hAnsi="Garamond" w:cs="Arial"/>
          <w:szCs w:val="26"/>
        </w:rPr>
        <w:t xml:space="preserve"> the Best Practices, such as Aerial Surveys, are too new to have estimated emissions reductions or are Best Practices necessary for the implementation of the program (such as recordkeeping, </w:t>
      </w:r>
      <w:r w:rsidRPr="00613B28">
        <w:rPr>
          <w:rFonts w:ascii="Garamond" w:hAnsi="Garamond" w:cs="Arial"/>
          <w:szCs w:val="26"/>
        </w:rPr>
        <w:lastRenderedPageBreak/>
        <w:t>information technology, training, and digitalization). In addition, new measures such as Aerial Surveys of SoCalGas’ large service territory may identify gas leaks downstream of SoCalGas facilities that might otherwise not be identified and repaired quickly. SoCalGas plans to notify responsible parties of these leaks. While SoCalGas cannot claim credit for the reduced emissions that may result from remediation of these downstream leaks in its Compliance Plan, this practice clearly supports the State of California’s overall goals to reduce methane emissions, and as more data is provided, continuation and proper crediting of the practice can be evaluated.</w:t>
      </w:r>
    </w:p>
    <w:p w:rsidRPr="00613B28" w:rsidR="00EE6F10" w:rsidP="002C0B1C" w:rsidRDefault="00EE6F10" w14:paraId="50A009F0" w14:textId="77777777">
      <w:pPr>
        <w:rPr>
          <w:rFonts w:ascii="Garamond" w:hAnsi="Garamond" w:cs="Arial"/>
          <w:szCs w:val="26"/>
        </w:rPr>
      </w:pPr>
    </w:p>
    <w:p w:rsidRPr="00613B28" w:rsidR="00BB306B" w:rsidP="00BB306B" w:rsidRDefault="00F570A7" w14:paraId="41F219B7" w14:textId="0E1D0C59">
      <w:pPr>
        <w:autoSpaceDE w:val="0"/>
        <w:autoSpaceDN w:val="0"/>
        <w:adjustRightInd w:val="0"/>
        <w:rPr>
          <w:rFonts w:ascii="Garamond" w:hAnsi="Garamond" w:cs="Arial"/>
          <w:szCs w:val="26"/>
        </w:rPr>
      </w:pPr>
      <w:bookmarkStart w:name="_Hlk54351707" w:id="8"/>
      <w:r w:rsidRPr="00613B28">
        <w:rPr>
          <w:rFonts w:ascii="Garamond" w:hAnsi="Garamond" w:cs="Arial"/>
          <w:iCs/>
          <w:szCs w:val="26"/>
        </w:rPr>
        <w:t>The 2020 Plan is forecasted to achieve substantially more methane abatement and cost less than the 2018 Plan</w:t>
      </w:r>
      <w:bookmarkEnd w:id="8"/>
      <w:r w:rsidRPr="00613B28">
        <w:rPr>
          <w:rFonts w:ascii="Garamond" w:hAnsi="Garamond" w:cs="Arial"/>
          <w:iCs/>
          <w:szCs w:val="26"/>
        </w:rPr>
        <w:t>. The funding request</w:t>
      </w:r>
      <w:r w:rsidRPr="00613B28" w:rsidR="00902C92">
        <w:rPr>
          <w:rFonts w:ascii="Garamond" w:hAnsi="Garamond" w:cs="Arial"/>
          <w:iCs/>
          <w:szCs w:val="26"/>
        </w:rPr>
        <w:t xml:space="preserve"> </w:t>
      </w:r>
      <w:r w:rsidRPr="00613B28" w:rsidR="00537230">
        <w:rPr>
          <w:rFonts w:ascii="Garamond" w:hAnsi="Garamond" w:cs="Arial"/>
          <w:iCs/>
          <w:szCs w:val="26"/>
        </w:rPr>
        <w:t>for the program throughout the useful life of the measures</w:t>
      </w:r>
      <w:r w:rsidRPr="00613B28">
        <w:rPr>
          <w:rFonts w:ascii="Garamond" w:hAnsi="Garamond" w:cs="Arial"/>
          <w:iCs/>
          <w:szCs w:val="26"/>
        </w:rPr>
        <w:t xml:space="preserve"> is for </w:t>
      </w:r>
      <w:r w:rsidRPr="00613B28" w:rsidR="006F3CFB">
        <w:rPr>
          <w:rFonts w:ascii="Garamond" w:hAnsi="Garamond" w:cs="Arial"/>
          <w:iCs/>
          <w:szCs w:val="26"/>
        </w:rPr>
        <w:t>$</w:t>
      </w:r>
      <w:r w:rsidRPr="00613B28">
        <w:rPr>
          <w:rFonts w:ascii="Garamond" w:hAnsi="Garamond" w:cs="Arial"/>
          <w:iCs/>
          <w:szCs w:val="26"/>
        </w:rPr>
        <w:t>218 million</w:t>
      </w:r>
      <w:r w:rsidRPr="00613B28">
        <w:rPr>
          <w:rStyle w:val="FootnoteReference"/>
          <w:rFonts w:ascii="Garamond" w:hAnsi="Garamond" w:cs="Arial"/>
          <w:iCs/>
          <w:szCs w:val="26"/>
        </w:rPr>
        <w:footnoteReference w:id="9"/>
      </w:r>
      <w:r w:rsidRPr="00613B28">
        <w:rPr>
          <w:rFonts w:ascii="Garamond" w:hAnsi="Garamond" w:cs="Arial"/>
          <w:iCs/>
          <w:szCs w:val="26"/>
        </w:rPr>
        <w:t xml:space="preserve"> in loaded, escalated 2020 dollars as opposed to</w:t>
      </w:r>
      <w:r w:rsidRPr="00613B28" w:rsidR="006F3CFB">
        <w:rPr>
          <w:rFonts w:ascii="Garamond" w:hAnsi="Garamond" w:cs="Arial"/>
          <w:iCs/>
          <w:szCs w:val="26"/>
        </w:rPr>
        <w:t xml:space="preserve"> the</w:t>
      </w:r>
      <w:r w:rsidRPr="00613B28">
        <w:rPr>
          <w:rFonts w:ascii="Garamond" w:hAnsi="Garamond" w:cs="Arial"/>
          <w:iCs/>
          <w:szCs w:val="26"/>
        </w:rPr>
        <w:t xml:space="preserve"> $234 million approved for the 2018 Plan. </w:t>
      </w:r>
      <w:bookmarkStart w:name="_Hlk54351781" w:id="9"/>
      <w:r w:rsidRPr="00613B28" w:rsidR="00BB306B">
        <w:rPr>
          <w:rFonts w:ascii="Garamond" w:hAnsi="Garamond" w:cs="Arial"/>
          <w:iCs/>
          <w:szCs w:val="26"/>
        </w:rPr>
        <w:t xml:space="preserve">The loaded cost estimates include </w:t>
      </w:r>
      <w:r w:rsidRPr="00613B28" w:rsidR="00BB306B">
        <w:rPr>
          <w:rFonts w:ascii="Garamond" w:hAnsi="Garamond" w:cs="Arial"/>
          <w:szCs w:val="26"/>
        </w:rPr>
        <w:t xml:space="preserve">a 10 percent contingency, which is a decrease from the 20 percent contingency factor included in the 2018 Compliance Plan. Contingency factors are typically used for implementation of new practices whose costs are difficult to estimate. The contingency was reduced in the 2020 Plan because some of the costs now have historical data on which to base forecasts. </w:t>
      </w:r>
      <w:proofErr w:type="gramStart"/>
      <w:r w:rsidRPr="00613B28" w:rsidR="00BB306B">
        <w:rPr>
          <w:rFonts w:ascii="Garamond" w:hAnsi="Garamond" w:cs="Arial"/>
          <w:szCs w:val="26"/>
        </w:rPr>
        <w:t>In the event that</w:t>
      </w:r>
      <w:proofErr w:type="gramEnd"/>
      <w:r w:rsidRPr="00613B28" w:rsidR="00BB306B">
        <w:rPr>
          <w:rFonts w:ascii="Garamond" w:hAnsi="Garamond" w:cs="Arial"/>
          <w:szCs w:val="26"/>
        </w:rPr>
        <w:t xml:space="preserve"> the 10 percent factor is too high, actual costs are being recorded in Balancing Accounts, and unspent funds will be refunded</w:t>
      </w:r>
      <w:r w:rsidRPr="00613B28" w:rsidR="00F77AB0">
        <w:rPr>
          <w:rFonts w:ascii="Garamond" w:hAnsi="Garamond" w:cs="Arial"/>
          <w:szCs w:val="26"/>
        </w:rPr>
        <w:t xml:space="preserve"> to ratepayers</w:t>
      </w:r>
      <w:r w:rsidRPr="00613B28" w:rsidR="00BB306B">
        <w:rPr>
          <w:rFonts w:ascii="Garamond" w:hAnsi="Garamond" w:cs="Arial"/>
          <w:szCs w:val="26"/>
        </w:rPr>
        <w:t xml:space="preserve">. </w:t>
      </w:r>
    </w:p>
    <w:p w:rsidRPr="00613B28" w:rsidR="00BB306B" w:rsidP="00F570A7" w:rsidRDefault="00BB306B" w14:paraId="152DE17E" w14:textId="7FD14703">
      <w:pPr>
        <w:autoSpaceDE w:val="0"/>
        <w:autoSpaceDN w:val="0"/>
        <w:adjustRightInd w:val="0"/>
        <w:rPr>
          <w:rFonts w:ascii="Garamond" w:hAnsi="Garamond" w:cs="Arial"/>
          <w:iCs/>
          <w:szCs w:val="26"/>
        </w:rPr>
      </w:pPr>
    </w:p>
    <w:p w:rsidRPr="00613B28" w:rsidR="00F570A7" w:rsidP="00F570A7" w:rsidRDefault="00F570A7" w14:paraId="324FB54C" w14:textId="1C305D91">
      <w:pPr>
        <w:autoSpaceDE w:val="0"/>
        <w:autoSpaceDN w:val="0"/>
        <w:adjustRightInd w:val="0"/>
        <w:rPr>
          <w:rFonts w:ascii="Garamond" w:hAnsi="Garamond" w:cs="Arial"/>
          <w:iCs/>
          <w:szCs w:val="26"/>
        </w:rPr>
      </w:pPr>
      <w:r w:rsidRPr="00613B28">
        <w:rPr>
          <w:rFonts w:ascii="Garamond" w:hAnsi="Garamond" w:cs="Arial"/>
          <w:iCs/>
          <w:szCs w:val="26"/>
        </w:rPr>
        <w:t xml:space="preserve">Annual emission reductions are estimated to be nearly 500,000 MCF, achieving an 18 percent reduction from SoCal Gas’ 2015 emissions by 2030. </w:t>
      </w:r>
      <w:r w:rsidRPr="00613B28" w:rsidDel="008024D0">
        <w:rPr>
          <w:rFonts w:ascii="Garamond" w:hAnsi="Garamond" w:cs="Arial"/>
          <w:iCs/>
          <w:szCs w:val="26"/>
        </w:rPr>
        <w:t xml:space="preserve"> </w:t>
      </w:r>
      <w:r w:rsidRPr="00613B28">
        <w:rPr>
          <w:rFonts w:ascii="Garamond" w:hAnsi="Garamond" w:cs="Arial"/>
          <w:iCs/>
          <w:szCs w:val="26"/>
        </w:rPr>
        <w:t xml:space="preserve">While this does not meet the program’s goal of a 20 percent reduction by 2025, nor a 40 percent emissions reduction by 2030, the 2015 baseline is expected to be adjusted in the future due to improved measuring techniques. </w:t>
      </w:r>
      <w:bookmarkEnd w:id="9"/>
      <w:r w:rsidRPr="00613B28">
        <w:rPr>
          <w:rFonts w:ascii="Garamond" w:hAnsi="Garamond" w:cs="Arial"/>
          <w:iCs/>
          <w:szCs w:val="26"/>
        </w:rPr>
        <w:t>Further, until new emission tracking methods are implemented, approximately 60 percent of SoCalGas’ emissions are estimated based on population, facility</w:t>
      </w:r>
      <w:r w:rsidRPr="00613B28" w:rsidR="006F3CFB">
        <w:rPr>
          <w:rFonts w:ascii="Garamond" w:hAnsi="Garamond" w:cs="Arial"/>
          <w:iCs/>
          <w:szCs w:val="26"/>
        </w:rPr>
        <w:t>,</w:t>
      </w:r>
      <w:r w:rsidRPr="00613B28">
        <w:rPr>
          <w:rFonts w:ascii="Garamond" w:hAnsi="Garamond" w:cs="Arial"/>
          <w:iCs/>
          <w:szCs w:val="26"/>
        </w:rPr>
        <w:t xml:space="preserve"> or component-based emission factors.  Until </w:t>
      </w:r>
      <w:r w:rsidRPr="00613B28" w:rsidR="006F3CFB">
        <w:rPr>
          <w:rFonts w:ascii="Garamond" w:hAnsi="Garamond" w:cs="Arial"/>
          <w:iCs/>
          <w:szCs w:val="26"/>
        </w:rPr>
        <w:t xml:space="preserve">emissions </w:t>
      </w:r>
      <w:r w:rsidRPr="00613B28">
        <w:rPr>
          <w:rFonts w:ascii="Garamond" w:hAnsi="Garamond" w:cs="Arial"/>
          <w:iCs/>
          <w:szCs w:val="26"/>
        </w:rPr>
        <w:t>are more accurately measured, the estimates are not verifiable. SoCalGas is also forecasting annual reductions from behind-the-meter customer activities that will not count towards the reduction in emissions because behind-the-meter reductions were not measured in the baseline.</w:t>
      </w:r>
    </w:p>
    <w:p w:rsidRPr="00613B28" w:rsidR="00F570A7" w:rsidP="00F570A7" w:rsidRDefault="00F570A7" w14:paraId="36EAE3C6" w14:textId="77777777">
      <w:pPr>
        <w:autoSpaceDE w:val="0"/>
        <w:autoSpaceDN w:val="0"/>
        <w:adjustRightInd w:val="0"/>
        <w:rPr>
          <w:rFonts w:ascii="Garamond" w:hAnsi="Garamond" w:cs="Arial"/>
          <w:iCs/>
          <w:szCs w:val="26"/>
        </w:rPr>
      </w:pPr>
    </w:p>
    <w:p w:rsidRPr="00613B28" w:rsidR="00654F94" w:rsidP="00DF28C8" w:rsidRDefault="00537230" w14:paraId="497B0671" w14:textId="171BB20F">
      <w:pPr>
        <w:pStyle w:val="NoSpacing"/>
        <w:rPr>
          <w:rFonts w:ascii="Garamond" w:hAnsi="Garamond" w:eastAsiaTheme="minorHAnsi"/>
          <w:szCs w:val="26"/>
        </w:rPr>
      </w:pPr>
      <w:bookmarkStart w:name="_Hlk54881682" w:id="10"/>
      <w:r w:rsidRPr="00613B28">
        <w:rPr>
          <w:rFonts w:ascii="Garamond" w:hAnsi="Garamond" w:eastAsiaTheme="minorHAnsi"/>
          <w:szCs w:val="26"/>
        </w:rPr>
        <w:t xml:space="preserve">The annual revenue requirement </w:t>
      </w:r>
      <w:r w:rsidRPr="00613B28" w:rsidR="00946B0A">
        <w:rPr>
          <w:rFonts w:ascii="Garamond" w:hAnsi="Garamond" w:eastAsiaTheme="minorHAnsi"/>
          <w:szCs w:val="26"/>
        </w:rPr>
        <w:t xml:space="preserve">of </w:t>
      </w:r>
      <w:r w:rsidRPr="00613B28" w:rsidR="00566BD1">
        <w:rPr>
          <w:rFonts w:ascii="Garamond" w:hAnsi="Garamond" w:eastAsiaTheme="minorHAnsi"/>
          <w:szCs w:val="26"/>
        </w:rPr>
        <w:t>$</w:t>
      </w:r>
      <w:r w:rsidRPr="00613B28">
        <w:rPr>
          <w:rFonts w:ascii="Garamond" w:hAnsi="Garamond" w:eastAsiaTheme="minorHAnsi"/>
          <w:szCs w:val="26"/>
        </w:rPr>
        <w:t>80.588 million</w:t>
      </w:r>
      <w:r w:rsidRPr="00613B28" w:rsidR="00654F94">
        <w:rPr>
          <w:rFonts w:ascii="Garamond" w:hAnsi="Garamond" w:eastAsiaTheme="minorHAnsi"/>
          <w:szCs w:val="26"/>
        </w:rPr>
        <w:t xml:space="preserve"> and $85</w:t>
      </w:r>
      <w:r w:rsidRPr="00613B28" w:rsidR="000D52CA">
        <w:rPr>
          <w:rFonts w:ascii="Garamond" w:hAnsi="Garamond" w:eastAsiaTheme="minorHAnsi"/>
          <w:szCs w:val="26"/>
        </w:rPr>
        <w:t>.026</w:t>
      </w:r>
      <w:r w:rsidRPr="00613B28" w:rsidR="00654F94">
        <w:rPr>
          <w:rFonts w:ascii="Garamond" w:hAnsi="Garamond" w:eastAsiaTheme="minorHAnsi"/>
          <w:szCs w:val="26"/>
        </w:rPr>
        <w:t xml:space="preserve"> million</w:t>
      </w:r>
      <w:r w:rsidRPr="00613B28" w:rsidR="00EE6F10">
        <w:rPr>
          <w:rFonts w:ascii="Garamond" w:hAnsi="Garamond" w:eastAsiaTheme="minorHAnsi"/>
          <w:szCs w:val="26"/>
        </w:rPr>
        <w:t xml:space="preserve"> for 2021 and 2022 respectively</w:t>
      </w:r>
      <w:r w:rsidRPr="00613B28">
        <w:rPr>
          <w:rFonts w:ascii="Garamond" w:hAnsi="Garamond" w:eastAsiaTheme="minorHAnsi"/>
          <w:szCs w:val="26"/>
        </w:rPr>
        <w:t xml:space="preserve"> results in a</w:t>
      </w:r>
      <w:r w:rsidRPr="00613B28" w:rsidR="00654F94">
        <w:rPr>
          <w:rFonts w:ascii="Garamond" w:hAnsi="Garamond" w:eastAsiaTheme="minorHAnsi"/>
          <w:szCs w:val="26"/>
        </w:rPr>
        <w:t>n overall increase of 0.4</w:t>
      </w:r>
      <w:r w:rsidRPr="00613B28" w:rsidR="0022498A">
        <w:rPr>
          <w:rFonts w:ascii="Garamond" w:hAnsi="Garamond" w:eastAsiaTheme="minorHAnsi"/>
          <w:szCs w:val="26"/>
        </w:rPr>
        <w:t xml:space="preserve"> percent</w:t>
      </w:r>
      <w:r w:rsidRPr="00613B28" w:rsidR="00654F94">
        <w:rPr>
          <w:rFonts w:ascii="Garamond" w:hAnsi="Garamond" w:eastAsiaTheme="minorHAnsi"/>
          <w:szCs w:val="26"/>
        </w:rPr>
        <w:t xml:space="preserve"> for both years</w:t>
      </w:r>
      <w:r w:rsidRPr="00613B28" w:rsidR="00C86C40">
        <w:rPr>
          <w:rFonts w:ascii="Garamond" w:hAnsi="Garamond" w:eastAsiaTheme="minorHAnsi"/>
          <w:szCs w:val="26"/>
        </w:rPr>
        <w:t xml:space="preserve"> in the overall Natural Gas Transportation Rate. </w:t>
      </w:r>
      <w:r w:rsidRPr="00613B28" w:rsidR="00654F94">
        <w:rPr>
          <w:rFonts w:ascii="Garamond" w:hAnsi="Garamond" w:eastAsiaTheme="minorHAnsi"/>
          <w:szCs w:val="26"/>
        </w:rPr>
        <w:t xml:space="preserve">This </w:t>
      </w:r>
      <w:r w:rsidRPr="00613B28" w:rsidR="00DF28C8">
        <w:rPr>
          <w:rFonts w:ascii="Garamond" w:hAnsi="Garamond" w:eastAsiaTheme="minorHAnsi"/>
          <w:szCs w:val="26"/>
        </w:rPr>
        <w:t xml:space="preserve">change </w:t>
      </w:r>
      <w:r w:rsidRPr="00613B28" w:rsidR="00654F94">
        <w:rPr>
          <w:rFonts w:ascii="Garamond" w:hAnsi="Garamond" w:eastAsiaTheme="minorHAnsi"/>
          <w:szCs w:val="26"/>
        </w:rPr>
        <w:t xml:space="preserve">will be allocated across customer classes using the Equal Percent of Authorized Margin method, which </w:t>
      </w:r>
      <w:r w:rsidRPr="00613B28" w:rsidR="00DF28C8">
        <w:rPr>
          <w:rFonts w:ascii="Garamond" w:hAnsi="Garamond" w:eastAsiaTheme="minorHAnsi"/>
          <w:szCs w:val="26"/>
        </w:rPr>
        <w:t>allocates the balance in an account across customer classes according to each customer class’ share of the total GRC base margin allocated to that customer class</w:t>
      </w:r>
      <w:r w:rsidRPr="00613B28" w:rsidR="00654F94">
        <w:rPr>
          <w:rFonts w:ascii="Garamond" w:hAnsi="Garamond" w:eastAsiaTheme="minorHAnsi"/>
          <w:szCs w:val="26"/>
        </w:rPr>
        <w:t xml:space="preserve">. The distribution of rate </w:t>
      </w:r>
      <w:r w:rsidRPr="00613B28" w:rsidR="00946B0A">
        <w:rPr>
          <w:rFonts w:ascii="Garamond" w:hAnsi="Garamond" w:eastAsiaTheme="minorHAnsi"/>
          <w:szCs w:val="26"/>
        </w:rPr>
        <w:t xml:space="preserve">increases </w:t>
      </w:r>
      <w:r w:rsidRPr="00613B28" w:rsidR="00654F94">
        <w:rPr>
          <w:rFonts w:ascii="Garamond" w:hAnsi="Garamond" w:eastAsiaTheme="minorHAnsi"/>
          <w:szCs w:val="26"/>
        </w:rPr>
        <w:t xml:space="preserve">across customer classes is shown in Attachment </w:t>
      </w:r>
      <w:r w:rsidRPr="00613B28" w:rsidR="00946B0A">
        <w:rPr>
          <w:rFonts w:ascii="Garamond" w:hAnsi="Garamond" w:eastAsiaTheme="minorHAnsi"/>
          <w:szCs w:val="26"/>
        </w:rPr>
        <w:t>A.</w:t>
      </w:r>
      <w:r w:rsidRPr="00613B28" w:rsidR="00654F94">
        <w:rPr>
          <w:rFonts w:ascii="Garamond" w:hAnsi="Garamond" w:eastAsiaTheme="minorHAnsi"/>
          <w:szCs w:val="26"/>
        </w:rPr>
        <w:t xml:space="preserve"> </w:t>
      </w:r>
      <w:r w:rsidRPr="00613B28" w:rsidR="00946B0A">
        <w:rPr>
          <w:rFonts w:ascii="Garamond" w:hAnsi="Garamond" w:eastAsiaTheme="minorHAnsi"/>
          <w:szCs w:val="26"/>
        </w:rPr>
        <w:t xml:space="preserve">If, as expected, SoCalGas files its 2020 Annual Consolidated Rate Update showing a $35 million underspend in its NGLA balancing accounts, that will offset the forecasted 0.4 percent increase leading to a decrease of -0.5 </w:t>
      </w:r>
      <w:r w:rsidRPr="00613B28" w:rsidR="00946B0A">
        <w:rPr>
          <w:rFonts w:ascii="Garamond" w:hAnsi="Garamond" w:eastAsiaTheme="minorHAnsi"/>
          <w:szCs w:val="26"/>
        </w:rPr>
        <w:lastRenderedPageBreak/>
        <w:t>percent in the Natural Gas Transportation Rate effective January 1, 2021</w:t>
      </w:r>
      <w:r w:rsidR="009C3A85">
        <w:rPr>
          <w:rFonts w:ascii="Garamond" w:hAnsi="Garamond" w:eastAsiaTheme="minorHAnsi"/>
          <w:szCs w:val="26"/>
        </w:rPr>
        <w:t xml:space="preserve"> as</w:t>
      </w:r>
      <w:r w:rsidRPr="00613B28" w:rsidR="00946B0A">
        <w:rPr>
          <w:rFonts w:ascii="Garamond" w:hAnsi="Garamond" w:eastAsiaTheme="minorHAnsi"/>
          <w:szCs w:val="26"/>
        </w:rPr>
        <w:t xml:space="preserve"> shown in </w:t>
      </w:r>
      <w:r w:rsidR="00D108A6">
        <w:rPr>
          <w:rFonts w:ascii="Garamond" w:hAnsi="Garamond" w:eastAsiaTheme="minorHAnsi"/>
          <w:szCs w:val="26"/>
        </w:rPr>
        <w:t xml:space="preserve">Attachment </w:t>
      </w:r>
      <w:r w:rsidR="00AC710F">
        <w:rPr>
          <w:rFonts w:ascii="Garamond" w:hAnsi="Garamond" w:eastAsiaTheme="minorHAnsi"/>
          <w:szCs w:val="26"/>
        </w:rPr>
        <w:t>A</w:t>
      </w:r>
      <w:r w:rsidR="00D108A6">
        <w:rPr>
          <w:rFonts w:ascii="Garamond" w:hAnsi="Garamond" w:eastAsiaTheme="minorHAnsi"/>
          <w:szCs w:val="26"/>
        </w:rPr>
        <w:t>.</w:t>
      </w:r>
    </w:p>
    <w:bookmarkEnd w:id="10"/>
    <w:p w:rsidRPr="00613B28" w:rsidR="00C05292" w:rsidP="00A078B1" w:rsidRDefault="00C05292" w14:paraId="61BCCF53" w14:textId="77777777">
      <w:pPr>
        <w:pStyle w:val="NoSpacing"/>
        <w:rPr>
          <w:rFonts w:ascii="Garamond" w:hAnsi="Garamond" w:eastAsiaTheme="minorHAnsi"/>
          <w:szCs w:val="26"/>
        </w:rPr>
      </w:pPr>
    </w:p>
    <w:p w:rsidRPr="00613B28" w:rsidR="00A078B1" w:rsidP="00A078B1" w:rsidRDefault="001737E0" w14:paraId="68593B32" w14:textId="2AB6131C">
      <w:pPr>
        <w:pStyle w:val="NoSpacing"/>
        <w:rPr>
          <w:rFonts w:ascii="Garamond" w:hAnsi="Garamond" w:cs="Book Antiqua" w:eastAsiaTheme="minorHAnsi"/>
          <w:szCs w:val="26"/>
        </w:rPr>
      </w:pPr>
      <w:bookmarkStart w:name="_Hlk54362747" w:id="11"/>
      <w:r w:rsidRPr="00613B28">
        <w:rPr>
          <w:rFonts w:ascii="Garamond" w:hAnsi="Garamond" w:cs="Book Antiqua" w:eastAsiaTheme="minorHAnsi"/>
          <w:szCs w:val="26"/>
        </w:rPr>
        <w:t>The CPUC has reviewed SoCalGas AL</w:t>
      </w:r>
      <w:r w:rsidRPr="00613B28" w:rsidR="00447CF0">
        <w:rPr>
          <w:rFonts w:ascii="Garamond" w:hAnsi="Garamond" w:cs="Book Antiqua" w:eastAsiaTheme="minorHAnsi"/>
          <w:szCs w:val="26"/>
        </w:rPr>
        <w:t>s</w:t>
      </w:r>
      <w:r w:rsidRPr="00613B28">
        <w:rPr>
          <w:rFonts w:ascii="Garamond" w:hAnsi="Garamond" w:cs="Book Antiqua" w:eastAsiaTheme="minorHAnsi"/>
          <w:szCs w:val="26"/>
        </w:rPr>
        <w:t xml:space="preserve"> 5603-G, 5603-G-A, 5603-G-B, and 5603-</w:t>
      </w:r>
      <w:r w:rsidRPr="00613B28" w:rsidR="004F2457">
        <w:rPr>
          <w:rFonts w:ascii="Garamond" w:hAnsi="Garamond" w:cs="Book Antiqua" w:eastAsiaTheme="minorHAnsi"/>
          <w:szCs w:val="26"/>
        </w:rPr>
        <w:t>G-</w:t>
      </w:r>
      <w:r w:rsidRPr="00613B28">
        <w:rPr>
          <w:rFonts w:ascii="Garamond" w:hAnsi="Garamond" w:cs="Book Antiqua" w:eastAsiaTheme="minorHAnsi"/>
          <w:szCs w:val="26"/>
        </w:rPr>
        <w:t xml:space="preserve">C and finds the proposed rate changes </w:t>
      </w:r>
      <w:r w:rsidRPr="00613B28" w:rsidR="004F2457">
        <w:rPr>
          <w:rFonts w:ascii="Garamond" w:hAnsi="Garamond" w:cs="Book Antiqua" w:eastAsiaTheme="minorHAnsi"/>
          <w:szCs w:val="26"/>
        </w:rPr>
        <w:t>for the Natural Gas Leak Abatement program in AL 5603-G-C</w:t>
      </w:r>
      <w:r w:rsidRPr="00613B28" w:rsidR="00DB3FBF">
        <w:rPr>
          <w:rFonts w:ascii="Garamond" w:hAnsi="Garamond" w:cs="Book Antiqua" w:eastAsiaTheme="minorHAnsi"/>
          <w:szCs w:val="26"/>
        </w:rPr>
        <w:t xml:space="preserve"> </w:t>
      </w:r>
      <w:r w:rsidRPr="00613B28">
        <w:rPr>
          <w:rFonts w:ascii="Garamond" w:hAnsi="Garamond" w:cs="Book Antiqua" w:eastAsiaTheme="minorHAnsi"/>
          <w:szCs w:val="26"/>
        </w:rPr>
        <w:t xml:space="preserve">to be reasonable. </w:t>
      </w:r>
      <w:bookmarkStart w:name="_Hlk53672374" w:id="12"/>
    </w:p>
    <w:p w:rsidRPr="00613B28" w:rsidR="00A078B1" w:rsidP="00A078B1" w:rsidRDefault="00A078B1" w14:paraId="4F29E8F8" w14:textId="77777777">
      <w:pPr>
        <w:pStyle w:val="NoSpacing"/>
        <w:rPr>
          <w:rFonts w:ascii="Garamond" w:hAnsi="Garamond" w:cs="Book Antiqua" w:eastAsiaTheme="minorHAnsi"/>
          <w:szCs w:val="26"/>
        </w:rPr>
      </w:pPr>
    </w:p>
    <w:bookmarkEnd w:id="11"/>
    <w:bookmarkEnd w:id="12"/>
    <w:p w:rsidR="00B8560E" w:rsidP="00D5192A" w:rsidRDefault="00EF4EE2" w14:paraId="2B39CEB6" w14:textId="7CA3699A">
      <w:pPr>
        <w:pStyle w:val="Heading1"/>
        <w:rPr>
          <w:rFonts w:ascii="Garamond" w:hAnsi="Garamond" w:eastAsiaTheme="minorHAnsi"/>
          <w:szCs w:val="26"/>
        </w:rPr>
      </w:pPr>
      <w:r w:rsidRPr="00613B28">
        <w:rPr>
          <w:rFonts w:ascii="Garamond" w:hAnsi="Garamond" w:eastAsiaTheme="minorHAnsi"/>
          <w:szCs w:val="26"/>
        </w:rPr>
        <w:t>COMMENTS</w:t>
      </w:r>
    </w:p>
    <w:p w:rsidRPr="000501F3" w:rsidR="00B8560E" w:rsidP="00B8560E" w:rsidRDefault="000501F3" w14:paraId="24172B96" w14:textId="110061F5">
      <w:pPr>
        <w:rPr>
          <w:rFonts w:ascii="Garamond" w:hAnsi="Garamond" w:eastAsiaTheme="minorHAnsi"/>
        </w:rPr>
      </w:pPr>
      <w:r w:rsidRPr="000501F3">
        <w:rPr>
          <w:rFonts w:ascii="Garamond" w:hAnsi="Garamond" w:eastAsiaTheme="minorHAnsi"/>
        </w:rPr>
        <w:t xml:space="preserve">This is an uncontested matter in which the resolution grants the relief requested. Accordingly, pursuant to Public Utilities Code 311 (g)(2), the otherwise applicable 30-day period for public review and comment is being waived. </w:t>
      </w:r>
    </w:p>
    <w:p w:rsidR="000501F3" w:rsidP="00D5192A" w:rsidRDefault="000501F3" w14:paraId="30FEE73C" w14:textId="77777777">
      <w:pPr>
        <w:pStyle w:val="Heading1"/>
        <w:rPr>
          <w:rFonts w:ascii="Garamond" w:hAnsi="Garamond"/>
          <w:b w:val="0"/>
          <w:bCs/>
          <w:caps w:val="0"/>
          <w:u w:val="none"/>
        </w:rPr>
      </w:pPr>
    </w:p>
    <w:p w:rsidRPr="00613B28" w:rsidR="000F7FB0" w:rsidP="00D5192A" w:rsidRDefault="00734CF3" w14:paraId="6508684D" w14:textId="07E9D78D">
      <w:pPr>
        <w:pStyle w:val="Heading1"/>
        <w:rPr>
          <w:rFonts w:ascii="Garamond" w:hAnsi="Garamond" w:eastAsiaTheme="minorHAnsi"/>
          <w:szCs w:val="26"/>
        </w:rPr>
      </w:pPr>
      <w:r w:rsidRPr="00613B28">
        <w:rPr>
          <w:rFonts w:ascii="Garamond" w:hAnsi="Garamond" w:eastAsiaTheme="minorHAnsi"/>
          <w:szCs w:val="26"/>
        </w:rPr>
        <w:t>FINDINGS</w:t>
      </w:r>
    </w:p>
    <w:p w:rsidRPr="00613B28" w:rsidR="00654F94" w:rsidP="00654F94" w:rsidRDefault="00654F94" w14:paraId="0973FDCC" w14:textId="4EAA3BA5">
      <w:pPr>
        <w:pStyle w:val="ListParagraph"/>
        <w:numPr>
          <w:ilvl w:val="0"/>
          <w:numId w:val="20"/>
        </w:numPr>
        <w:rPr>
          <w:rFonts w:ascii="Garamond" w:hAnsi="Garamond"/>
          <w:szCs w:val="26"/>
        </w:rPr>
      </w:pPr>
      <w:r w:rsidRPr="00613B28">
        <w:rPr>
          <w:rFonts w:ascii="Garamond" w:hAnsi="Garamond"/>
          <w:szCs w:val="26"/>
        </w:rPr>
        <w:t>On September 21, 2014, Senate Bill (SB) 1371 (Leno) was signed into law. SB 1371 authorized the California Public Utilities Commission (</w:t>
      </w:r>
      <w:r w:rsidRPr="00613B28" w:rsidR="00D93C1F">
        <w:rPr>
          <w:rFonts w:ascii="Garamond" w:hAnsi="Garamond"/>
          <w:szCs w:val="26"/>
        </w:rPr>
        <w:t>CPUC</w:t>
      </w:r>
      <w:r w:rsidRPr="00613B28">
        <w:rPr>
          <w:rFonts w:ascii="Garamond" w:hAnsi="Garamond"/>
          <w:szCs w:val="26"/>
        </w:rPr>
        <w:t>) to adopt rules and procedures to reduce emissions of natural gas from</w:t>
      </w:r>
      <w:r w:rsidRPr="00613B28" w:rsidR="00D93C1F">
        <w:rPr>
          <w:rFonts w:ascii="Garamond" w:hAnsi="Garamond"/>
          <w:szCs w:val="26"/>
        </w:rPr>
        <w:t xml:space="preserve"> CPUC</w:t>
      </w:r>
      <w:r w:rsidRPr="00613B28">
        <w:rPr>
          <w:rFonts w:ascii="Garamond" w:hAnsi="Garamond"/>
          <w:szCs w:val="26"/>
        </w:rPr>
        <w:t>-regulated gas facilities to the maximum extent feasible.</w:t>
      </w:r>
    </w:p>
    <w:p w:rsidRPr="00613B28" w:rsidR="00FF2EC2" w:rsidP="006F3CFB" w:rsidRDefault="00FF2EC2" w14:paraId="54A54268" w14:textId="77777777">
      <w:pPr>
        <w:pStyle w:val="ListParagraph"/>
        <w:rPr>
          <w:rFonts w:ascii="Garamond" w:hAnsi="Garamond"/>
          <w:szCs w:val="26"/>
        </w:rPr>
      </w:pPr>
    </w:p>
    <w:p w:rsidRPr="00613B28" w:rsidR="00FF2EC2" w:rsidP="00FF2EC2" w:rsidRDefault="00FF2EC2" w14:paraId="6E1FDAC7" w14:textId="0031CDCC">
      <w:pPr>
        <w:pStyle w:val="ListParagraph"/>
        <w:numPr>
          <w:ilvl w:val="0"/>
          <w:numId w:val="20"/>
        </w:numPr>
        <w:rPr>
          <w:rFonts w:ascii="Garamond" w:hAnsi="Garamond"/>
          <w:szCs w:val="26"/>
        </w:rPr>
      </w:pPr>
      <w:r w:rsidRPr="00613B28">
        <w:rPr>
          <w:rFonts w:ascii="Garamond" w:hAnsi="Garamond"/>
          <w:szCs w:val="26"/>
        </w:rPr>
        <w:t>On September 19, 2016, SB 1383 (Lara) was signed into law.  SB 1383 requires the California Air Resources Board, in consultation with the</w:t>
      </w:r>
      <w:r w:rsidRPr="00613B28" w:rsidR="00D93C1F">
        <w:rPr>
          <w:rFonts w:ascii="Garamond" w:hAnsi="Garamond"/>
          <w:szCs w:val="26"/>
        </w:rPr>
        <w:t xml:space="preserve"> CPUC</w:t>
      </w:r>
      <w:r w:rsidRPr="00613B28">
        <w:rPr>
          <w:rFonts w:ascii="Garamond" w:hAnsi="Garamond"/>
          <w:szCs w:val="26"/>
        </w:rPr>
        <w:t>, to approve and begin implementing a comprehensive strategy by January 1, 2018</w:t>
      </w:r>
      <w:r w:rsidRPr="00613B28" w:rsidR="00EE6F10">
        <w:rPr>
          <w:rFonts w:ascii="Garamond" w:hAnsi="Garamond"/>
          <w:szCs w:val="26"/>
        </w:rPr>
        <w:t>,</w:t>
      </w:r>
      <w:r w:rsidRPr="00613B28">
        <w:rPr>
          <w:rFonts w:ascii="Garamond" w:hAnsi="Garamond"/>
          <w:szCs w:val="26"/>
        </w:rPr>
        <w:t xml:space="preserve"> to reduce</w:t>
      </w:r>
      <w:r w:rsidRPr="00613B28" w:rsidR="00EE6F10">
        <w:rPr>
          <w:rFonts w:ascii="Garamond" w:hAnsi="Garamond"/>
          <w:szCs w:val="26"/>
        </w:rPr>
        <w:t xml:space="preserve"> methane</w:t>
      </w:r>
      <w:r w:rsidRPr="00613B28">
        <w:rPr>
          <w:rFonts w:ascii="Garamond" w:hAnsi="Garamond"/>
          <w:szCs w:val="26"/>
        </w:rPr>
        <w:t xml:space="preserve"> emissions by 40</w:t>
      </w:r>
      <w:r w:rsidRPr="00613B28" w:rsidR="001737E0">
        <w:rPr>
          <w:rFonts w:ascii="Garamond" w:hAnsi="Garamond"/>
          <w:szCs w:val="26"/>
        </w:rPr>
        <w:t xml:space="preserve"> percent</w:t>
      </w:r>
      <w:r w:rsidRPr="00613B28">
        <w:rPr>
          <w:rFonts w:ascii="Garamond" w:hAnsi="Garamond"/>
          <w:szCs w:val="26"/>
        </w:rPr>
        <w:t xml:space="preserve"> by 2030.</w:t>
      </w:r>
    </w:p>
    <w:p w:rsidRPr="00613B28" w:rsidR="00783013" w:rsidP="00783013" w:rsidRDefault="00783013" w14:paraId="652CD967" w14:textId="77777777">
      <w:pPr>
        <w:pStyle w:val="ListParagraph"/>
        <w:ind w:left="360"/>
        <w:rPr>
          <w:rFonts w:ascii="Garamond" w:hAnsi="Garamond"/>
          <w:szCs w:val="26"/>
        </w:rPr>
      </w:pPr>
    </w:p>
    <w:p w:rsidRPr="00613B28" w:rsidR="00B47D50" w:rsidP="00FF2EC2" w:rsidRDefault="00B47D50" w14:paraId="2E21C592" w14:textId="1C6C2010">
      <w:pPr>
        <w:pStyle w:val="ListParagraph"/>
        <w:numPr>
          <w:ilvl w:val="0"/>
          <w:numId w:val="20"/>
        </w:numPr>
        <w:rPr>
          <w:rFonts w:ascii="Garamond" w:hAnsi="Garamond"/>
          <w:szCs w:val="26"/>
        </w:rPr>
      </w:pPr>
      <w:r w:rsidRPr="00613B28">
        <w:rPr>
          <w:rFonts w:ascii="Garamond" w:hAnsi="Garamond"/>
          <w:szCs w:val="26"/>
        </w:rPr>
        <w:t>Decision (D.) 17-06-015 and D. 19-08-020 ordered ratemaking forecasts for the Natural Gas Leak Abatement Program</w:t>
      </w:r>
      <w:r w:rsidRPr="00613B28" w:rsidR="00FF2EC2">
        <w:rPr>
          <w:rFonts w:ascii="Garamond" w:hAnsi="Garamond"/>
          <w:szCs w:val="26"/>
        </w:rPr>
        <w:t xml:space="preserve"> to be submitted in Tier 3 Advice Letter (ALs).</w:t>
      </w:r>
    </w:p>
    <w:p w:rsidRPr="00613B28" w:rsidR="00654F94" w:rsidP="006F3CFB" w:rsidRDefault="00654F94" w14:paraId="19360791" w14:textId="300F35AD">
      <w:pPr>
        <w:pStyle w:val="ListParagraph"/>
        <w:rPr>
          <w:rFonts w:ascii="Garamond" w:hAnsi="Garamond"/>
          <w:szCs w:val="26"/>
        </w:rPr>
      </w:pPr>
    </w:p>
    <w:p w:rsidRPr="00613B28" w:rsidR="006A045A" w:rsidP="000D52CA" w:rsidRDefault="001737E0" w14:paraId="6D219F8A" w14:textId="2FEA9113">
      <w:pPr>
        <w:pStyle w:val="ListParagraph"/>
        <w:numPr>
          <w:ilvl w:val="0"/>
          <w:numId w:val="20"/>
        </w:numPr>
        <w:rPr>
          <w:rFonts w:ascii="Garamond" w:hAnsi="Garamond" w:cs="Arial"/>
          <w:szCs w:val="26"/>
        </w:rPr>
      </w:pPr>
      <w:r w:rsidRPr="00613B28">
        <w:rPr>
          <w:rFonts w:ascii="Garamond" w:hAnsi="Garamond"/>
          <w:szCs w:val="26"/>
        </w:rPr>
        <w:t>O</w:t>
      </w:r>
      <w:r w:rsidRPr="00613B28" w:rsidR="00EE6F10">
        <w:rPr>
          <w:rFonts w:ascii="Garamond" w:hAnsi="Garamond"/>
          <w:szCs w:val="26"/>
        </w:rPr>
        <w:t xml:space="preserve">rdering </w:t>
      </w:r>
      <w:r w:rsidRPr="00613B28" w:rsidR="006A045A">
        <w:rPr>
          <w:rFonts w:ascii="Garamond" w:hAnsi="Garamond" w:cs="Arial"/>
          <w:szCs w:val="26"/>
        </w:rPr>
        <w:t>P</w:t>
      </w:r>
      <w:r w:rsidRPr="00613B28" w:rsidR="00EE6F10">
        <w:rPr>
          <w:rFonts w:ascii="Garamond" w:hAnsi="Garamond" w:cs="Arial"/>
          <w:szCs w:val="26"/>
        </w:rPr>
        <w:t>aragraph</w:t>
      </w:r>
      <w:r w:rsidRPr="00613B28" w:rsidR="006A045A">
        <w:rPr>
          <w:rFonts w:ascii="Garamond" w:hAnsi="Garamond" w:cs="Arial"/>
          <w:szCs w:val="26"/>
        </w:rPr>
        <w:t xml:space="preserve"> 12</w:t>
      </w:r>
      <w:r w:rsidRPr="00613B28" w:rsidR="00B70736">
        <w:rPr>
          <w:rFonts w:ascii="Garamond" w:hAnsi="Garamond" w:cs="Arial"/>
          <w:szCs w:val="26"/>
        </w:rPr>
        <w:t xml:space="preserve"> of D.17-06-015</w:t>
      </w:r>
      <w:r w:rsidRPr="00613B28" w:rsidR="006A045A">
        <w:rPr>
          <w:rFonts w:ascii="Garamond" w:hAnsi="Garamond" w:cs="Arial"/>
          <w:szCs w:val="26"/>
        </w:rPr>
        <w:t xml:space="preserve"> states the ratemaking forecasts and caps that the</w:t>
      </w:r>
      <w:r w:rsidRPr="00613B28" w:rsidR="00D93C1F">
        <w:rPr>
          <w:rFonts w:ascii="Garamond" w:hAnsi="Garamond" w:cs="Arial"/>
          <w:szCs w:val="26"/>
        </w:rPr>
        <w:t xml:space="preserve"> CPUC</w:t>
      </w:r>
      <w:r w:rsidRPr="00613B28" w:rsidR="006A045A">
        <w:rPr>
          <w:rFonts w:ascii="Garamond" w:hAnsi="Garamond" w:cs="Arial"/>
          <w:szCs w:val="26"/>
        </w:rPr>
        <w:t xml:space="preserve"> approves in response to the Tier 3 ALs shall apply until the Natural Gas Leak Abatement Program </w:t>
      </w:r>
      <w:r w:rsidRPr="00613B28" w:rsidR="00B70736">
        <w:rPr>
          <w:rFonts w:ascii="Garamond" w:hAnsi="Garamond" w:cs="Arial"/>
          <w:szCs w:val="26"/>
        </w:rPr>
        <w:t xml:space="preserve">is incorporated </w:t>
      </w:r>
      <w:r w:rsidRPr="00613B28" w:rsidR="006A045A">
        <w:rPr>
          <w:rFonts w:ascii="Garamond" w:hAnsi="Garamond" w:cs="Arial"/>
          <w:szCs w:val="26"/>
        </w:rPr>
        <w:t>in each Utility’s next General Rate Case (GRC) or other gas ratemaking proceeding.</w:t>
      </w:r>
    </w:p>
    <w:p w:rsidRPr="00613B28" w:rsidR="00B70736" w:rsidP="009E1AB3" w:rsidRDefault="00B70736" w14:paraId="14304B36" w14:textId="77777777">
      <w:pPr>
        <w:pStyle w:val="ListParagraph"/>
        <w:autoSpaceDE w:val="0"/>
        <w:autoSpaceDN w:val="0"/>
        <w:adjustRightInd w:val="0"/>
        <w:ind w:left="360"/>
        <w:rPr>
          <w:rFonts w:ascii="Garamond" w:hAnsi="Garamond" w:cs="Arial"/>
          <w:szCs w:val="26"/>
        </w:rPr>
      </w:pPr>
    </w:p>
    <w:p w:rsidRPr="00613B28" w:rsidR="001737E0" w:rsidP="00783013" w:rsidRDefault="006A045A" w14:paraId="55A8C6A7" w14:textId="623DCB7A">
      <w:pPr>
        <w:pStyle w:val="ListParagraph"/>
        <w:numPr>
          <w:ilvl w:val="0"/>
          <w:numId w:val="20"/>
        </w:numPr>
        <w:rPr>
          <w:rFonts w:ascii="Garamond" w:hAnsi="Garamond"/>
          <w:szCs w:val="26"/>
        </w:rPr>
      </w:pPr>
      <w:r w:rsidRPr="00613B28">
        <w:rPr>
          <w:rFonts w:ascii="Garamond" w:hAnsi="Garamond"/>
          <w:szCs w:val="26"/>
        </w:rPr>
        <w:t>D.19-08-020</w:t>
      </w:r>
      <w:r w:rsidRPr="00613B28" w:rsidR="00B70736">
        <w:rPr>
          <w:rFonts w:ascii="Garamond" w:hAnsi="Garamond"/>
          <w:szCs w:val="26"/>
        </w:rPr>
        <w:t xml:space="preserve"> </w:t>
      </w:r>
      <w:r w:rsidRPr="00613B28">
        <w:rPr>
          <w:rFonts w:ascii="Garamond" w:hAnsi="Garamond"/>
          <w:szCs w:val="26"/>
        </w:rPr>
        <w:t>establish</w:t>
      </w:r>
      <w:r w:rsidRPr="00613B28" w:rsidR="00B70736">
        <w:rPr>
          <w:rFonts w:ascii="Garamond" w:hAnsi="Garamond"/>
          <w:szCs w:val="26"/>
        </w:rPr>
        <w:t>ed</w:t>
      </w:r>
      <w:r w:rsidRPr="00613B28">
        <w:rPr>
          <w:rFonts w:ascii="Garamond" w:hAnsi="Garamond"/>
          <w:szCs w:val="26"/>
        </w:rPr>
        <w:t xml:space="preserve"> additional policies, including requiring use of the utility</w:t>
      </w:r>
      <w:r w:rsidRPr="00613B28" w:rsidR="00783013">
        <w:rPr>
          <w:rFonts w:ascii="Garamond" w:hAnsi="Garamond"/>
          <w:szCs w:val="26"/>
        </w:rPr>
        <w:t>-</w:t>
      </w:r>
      <w:r w:rsidRPr="00613B28">
        <w:rPr>
          <w:rFonts w:ascii="Garamond" w:hAnsi="Garamond"/>
          <w:szCs w:val="26"/>
        </w:rPr>
        <w:t>proposed cost effectiveness methodology and two additional cost-benefit analyses</w:t>
      </w:r>
      <w:r w:rsidRPr="00613B28" w:rsidR="00B70736">
        <w:rPr>
          <w:rFonts w:ascii="Garamond" w:hAnsi="Garamond"/>
          <w:szCs w:val="26"/>
        </w:rPr>
        <w:t xml:space="preserve">: </w:t>
      </w:r>
      <w:r w:rsidRPr="00613B28">
        <w:rPr>
          <w:rFonts w:ascii="Garamond" w:hAnsi="Garamond"/>
          <w:szCs w:val="26"/>
        </w:rPr>
        <w:t xml:space="preserve">the benefit of reduced Cap and Trade compliance costs and the benefit of the avoided Social Cost of Methane. These two additional tests are to be used for information and comparison purposes. </w:t>
      </w:r>
    </w:p>
    <w:p w:rsidRPr="00613B28" w:rsidR="00FB2E9D" w:rsidP="000D52CA" w:rsidRDefault="00FB2E9D" w14:paraId="5BDCAD01" w14:textId="77777777">
      <w:pPr>
        <w:pStyle w:val="ListParagraph"/>
        <w:ind w:left="360"/>
        <w:rPr>
          <w:rFonts w:ascii="Garamond" w:hAnsi="Garamond" w:cs="Arial"/>
          <w:szCs w:val="26"/>
        </w:rPr>
      </w:pPr>
    </w:p>
    <w:p w:rsidRPr="00613B28" w:rsidR="00FB2E9D" w:rsidP="009E1AB3" w:rsidRDefault="00B70736" w14:paraId="651D4178" w14:textId="3CB41319">
      <w:pPr>
        <w:pStyle w:val="ListParagraph"/>
        <w:numPr>
          <w:ilvl w:val="0"/>
          <w:numId w:val="20"/>
        </w:numPr>
        <w:autoSpaceDE w:val="0"/>
        <w:autoSpaceDN w:val="0"/>
        <w:adjustRightInd w:val="0"/>
        <w:rPr>
          <w:rFonts w:ascii="Garamond" w:hAnsi="Garamond" w:cs="Arial"/>
          <w:szCs w:val="26"/>
        </w:rPr>
      </w:pPr>
      <w:r w:rsidRPr="00613B28">
        <w:rPr>
          <w:rFonts w:ascii="Garamond" w:hAnsi="Garamond" w:cs="Arial"/>
          <w:szCs w:val="26"/>
        </w:rPr>
        <w:t xml:space="preserve">D.19-08-020 </w:t>
      </w:r>
      <w:r w:rsidRPr="00613B28" w:rsidR="006A045A">
        <w:rPr>
          <w:rFonts w:ascii="Garamond" w:hAnsi="Garamond" w:cs="Arial"/>
          <w:szCs w:val="26"/>
        </w:rPr>
        <w:t xml:space="preserve">imposed a restriction on rate recovery for </w:t>
      </w:r>
      <w:r w:rsidRPr="00613B28" w:rsidR="00EE6F10">
        <w:rPr>
          <w:rFonts w:ascii="Garamond" w:hAnsi="Garamond" w:cs="Arial"/>
          <w:szCs w:val="26"/>
        </w:rPr>
        <w:t xml:space="preserve">Lost and Unaccounted </w:t>
      </w:r>
      <w:r w:rsidRPr="00613B28" w:rsidR="00D5192A">
        <w:rPr>
          <w:rFonts w:ascii="Garamond" w:hAnsi="Garamond" w:cs="Arial"/>
          <w:szCs w:val="26"/>
        </w:rPr>
        <w:t xml:space="preserve">For (LUAF) gas for </w:t>
      </w:r>
      <w:r w:rsidRPr="00613B28" w:rsidR="006A045A">
        <w:rPr>
          <w:rFonts w:ascii="Garamond" w:hAnsi="Garamond" w:cs="Arial"/>
          <w:szCs w:val="26"/>
        </w:rPr>
        <w:t>SoCalGas and Pacific Gas &amp; Electric beginning in 2025</w:t>
      </w:r>
      <w:r w:rsidRPr="00613B28" w:rsidR="004F2457">
        <w:rPr>
          <w:rFonts w:ascii="Garamond" w:hAnsi="Garamond" w:cs="Arial"/>
          <w:szCs w:val="26"/>
        </w:rPr>
        <w:t xml:space="preserve"> if their </w:t>
      </w:r>
      <w:r w:rsidRPr="00613B28" w:rsidR="006A045A">
        <w:rPr>
          <w:rFonts w:ascii="Garamond" w:hAnsi="Garamond" w:cs="Arial"/>
          <w:szCs w:val="26"/>
        </w:rPr>
        <w:t xml:space="preserve">methane emissions </w:t>
      </w:r>
      <w:r w:rsidRPr="00613B28" w:rsidR="004F2457">
        <w:rPr>
          <w:rFonts w:ascii="Garamond" w:hAnsi="Garamond" w:cs="Arial"/>
          <w:szCs w:val="26"/>
        </w:rPr>
        <w:t xml:space="preserve">are </w:t>
      </w:r>
      <w:r w:rsidRPr="00613B28" w:rsidR="006A045A">
        <w:rPr>
          <w:rFonts w:ascii="Garamond" w:hAnsi="Garamond" w:cs="Arial"/>
          <w:szCs w:val="26"/>
        </w:rPr>
        <w:t>greater than 20</w:t>
      </w:r>
      <w:r w:rsidRPr="00613B28" w:rsidR="002607CE">
        <w:rPr>
          <w:rFonts w:ascii="Garamond" w:hAnsi="Garamond" w:cs="Arial"/>
          <w:szCs w:val="26"/>
        </w:rPr>
        <w:t xml:space="preserve"> percent</w:t>
      </w:r>
      <w:r w:rsidRPr="00613B28" w:rsidR="006A045A">
        <w:rPr>
          <w:rFonts w:ascii="Garamond" w:hAnsi="Garamond" w:cs="Arial"/>
          <w:szCs w:val="26"/>
        </w:rPr>
        <w:t xml:space="preserve"> below the 2015 baseline levels. This performance </w:t>
      </w:r>
      <w:r w:rsidRPr="00613B28" w:rsidR="006A045A">
        <w:rPr>
          <w:rFonts w:ascii="Garamond" w:hAnsi="Garamond" w:cs="Arial"/>
          <w:szCs w:val="26"/>
        </w:rPr>
        <w:lastRenderedPageBreak/>
        <w:t>objective reflects the</w:t>
      </w:r>
      <w:r w:rsidRPr="00613B28" w:rsidR="00D93C1F">
        <w:rPr>
          <w:rFonts w:ascii="Garamond" w:hAnsi="Garamond" w:cs="Arial"/>
          <w:szCs w:val="26"/>
        </w:rPr>
        <w:t xml:space="preserve"> CPUC</w:t>
      </w:r>
      <w:r w:rsidRPr="00613B28" w:rsidR="006A045A">
        <w:rPr>
          <w:rFonts w:ascii="Garamond" w:hAnsi="Garamond" w:cs="Arial"/>
          <w:szCs w:val="26"/>
        </w:rPr>
        <w:t>’s intent that SoCalGas and PG&amp;E be at least halfway to achieving the State’s goal of a 40</w:t>
      </w:r>
      <w:r w:rsidRPr="00613B28" w:rsidR="002607CE">
        <w:rPr>
          <w:rFonts w:ascii="Garamond" w:hAnsi="Garamond" w:cs="Arial"/>
          <w:szCs w:val="26"/>
        </w:rPr>
        <w:t xml:space="preserve"> percent</w:t>
      </w:r>
      <w:r w:rsidRPr="00613B28" w:rsidR="006A045A">
        <w:rPr>
          <w:rFonts w:ascii="Garamond" w:hAnsi="Garamond" w:cs="Arial"/>
          <w:szCs w:val="26"/>
        </w:rPr>
        <w:t xml:space="preserve"> reduction in methane emissions by 2045, consistent with SB 1383 and SB 1371.</w:t>
      </w:r>
    </w:p>
    <w:p w:rsidRPr="00613B28" w:rsidR="006A045A" w:rsidP="009E1AB3" w:rsidRDefault="006A045A" w14:paraId="1A9B262A" w14:textId="79A1C491">
      <w:pPr>
        <w:autoSpaceDE w:val="0"/>
        <w:autoSpaceDN w:val="0"/>
        <w:adjustRightInd w:val="0"/>
        <w:ind w:left="360"/>
        <w:rPr>
          <w:rFonts w:ascii="Garamond" w:hAnsi="Garamond" w:cs="Arial"/>
          <w:szCs w:val="26"/>
        </w:rPr>
      </w:pPr>
    </w:p>
    <w:p w:rsidRPr="00613B28" w:rsidR="00B70736" w:rsidP="009E1AB3" w:rsidRDefault="00B70736" w14:paraId="7F4B137E" w14:textId="77777777">
      <w:pPr>
        <w:pStyle w:val="ListParagraph"/>
        <w:numPr>
          <w:ilvl w:val="0"/>
          <w:numId w:val="20"/>
        </w:numPr>
        <w:autoSpaceDE w:val="0"/>
        <w:autoSpaceDN w:val="0"/>
        <w:adjustRightInd w:val="0"/>
        <w:rPr>
          <w:rFonts w:ascii="Garamond" w:hAnsi="Garamond" w:cs="Arial"/>
          <w:szCs w:val="26"/>
        </w:rPr>
      </w:pPr>
      <w:r w:rsidRPr="00613B28">
        <w:rPr>
          <w:rFonts w:ascii="Garamond" w:hAnsi="Garamond" w:cs="Arial"/>
          <w:szCs w:val="26"/>
        </w:rPr>
        <w:t>On October 21, 2019, a Technical Working Group was established to develop guidelines for the NGLA Compliance Plans, and a public workshop was held. The guidelines allow more than one of the 26 Best Practices to be addressed by a combination of actions that may be grouped together in a chapter of the Compliance Plan.</w:t>
      </w:r>
    </w:p>
    <w:p w:rsidRPr="00613B28" w:rsidR="006A045A" w:rsidP="009E1AB3" w:rsidRDefault="006A045A" w14:paraId="104460C8" w14:textId="7CF797B2">
      <w:pPr>
        <w:autoSpaceDE w:val="0"/>
        <w:autoSpaceDN w:val="0"/>
        <w:adjustRightInd w:val="0"/>
        <w:ind w:left="360"/>
        <w:rPr>
          <w:rFonts w:ascii="Garamond" w:hAnsi="Garamond" w:cs="Arial"/>
          <w:szCs w:val="26"/>
        </w:rPr>
      </w:pPr>
    </w:p>
    <w:p w:rsidRPr="00613B28" w:rsidR="00734CF3" w:rsidP="009E1AB3" w:rsidRDefault="00B70736" w14:paraId="431EFCE9" w14:textId="53C3FD73">
      <w:pPr>
        <w:pStyle w:val="ListParagraph"/>
        <w:numPr>
          <w:ilvl w:val="0"/>
          <w:numId w:val="20"/>
        </w:numPr>
        <w:autoSpaceDE w:val="0"/>
        <w:autoSpaceDN w:val="0"/>
        <w:adjustRightInd w:val="0"/>
        <w:rPr>
          <w:rFonts w:ascii="Garamond" w:hAnsi="Garamond" w:cs="Book Antiqua" w:eastAsiaTheme="minorHAnsi"/>
          <w:color w:val="000000"/>
          <w:szCs w:val="26"/>
        </w:rPr>
      </w:pPr>
      <w:r w:rsidRPr="00613B28">
        <w:rPr>
          <w:rFonts w:ascii="Garamond" w:hAnsi="Garamond" w:cs="Book Antiqua" w:eastAsiaTheme="minorHAnsi"/>
          <w:color w:val="000000"/>
          <w:szCs w:val="26"/>
        </w:rPr>
        <w:t xml:space="preserve">Staff from Safety Policy Division’s Risk Assessment and Safety Analytics </w:t>
      </w:r>
      <w:r w:rsidRPr="00613B28" w:rsidR="000F7FB0">
        <w:rPr>
          <w:rFonts w:ascii="Garamond" w:hAnsi="Garamond" w:cs="Book Antiqua" w:eastAsiaTheme="minorHAnsi"/>
          <w:color w:val="000000"/>
          <w:szCs w:val="26"/>
        </w:rPr>
        <w:t xml:space="preserve">section </w:t>
      </w:r>
      <w:r w:rsidRPr="00613B28">
        <w:rPr>
          <w:rFonts w:ascii="Garamond" w:hAnsi="Garamond" w:cs="Book Antiqua" w:eastAsiaTheme="minorHAnsi"/>
          <w:color w:val="000000"/>
          <w:szCs w:val="26"/>
        </w:rPr>
        <w:t>(</w:t>
      </w:r>
      <w:r w:rsidRPr="00613B28" w:rsidR="00487CB2">
        <w:rPr>
          <w:rFonts w:ascii="Garamond" w:hAnsi="Garamond" w:cs="Book Antiqua" w:eastAsiaTheme="minorHAnsi"/>
          <w:color w:val="000000"/>
          <w:szCs w:val="26"/>
        </w:rPr>
        <w:t xml:space="preserve">SPD </w:t>
      </w:r>
      <w:r w:rsidRPr="00613B28">
        <w:rPr>
          <w:rFonts w:ascii="Garamond" w:hAnsi="Garamond" w:cs="Book Antiqua" w:eastAsiaTheme="minorHAnsi"/>
          <w:color w:val="000000"/>
          <w:szCs w:val="26"/>
        </w:rPr>
        <w:t xml:space="preserve">staff) </w:t>
      </w:r>
      <w:r w:rsidRPr="00613B28" w:rsidR="00734CF3">
        <w:rPr>
          <w:rFonts w:ascii="Garamond" w:hAnsi="Garamond" w:cs="Book Antiqua" w:eastAsiaTheme="minorHAnsi"/>
          <w:color w:val="000000"/>
          <w:szCs w:val="26"/>
        </w:rPr>
        <w:t xml:space="preserve">has completed evaluation reports on </w:t>
      </w:r>
      <w:r w:rsidRPr="00613B28" w:rsidR="00FF2EC2">
        <w:rPr>
          <w:rFonts w:ascii="Garamond" w:hAnsi="Garamond" w:cs="Book Antiqua" w:eastAsiaTheme="minorHAnsi"/>
          <w:color w:val="000000"/>
          <w:szCs w:val="26"/>
        </w:rPr>
        <w:t>SoCalGas’</w:t>
      </w:r>
      <w:r w:rsidRPr="00613B28" w:rsidR="00734CF3">
        <w:rPr>
          <w:rFonts w:ascii="Garamond" w:hAnsi="Garamond" w:cs="Book Antiqua" w:eastAsiaTheme="minorHAnsi"/>
          <w:color w:val="000000"/>
          <w:szCs w:val="26"/>
        </w:rPr>
        <w:t xml:space="preserve"> Compliance Plan in collaboration with </w:t>
      </w:r>
      <w:r w:rsidRPr="00613B28">
        <w:rPr>
          <w:rFonts w:ascii="Garamond" w:hAnsi="Garamond" w:cs="Book Antiqua" w:eastAsiaTheme="minorHAnsi"/>
          <w:color w:val="000000"/>
          <w:szCs w:val="26"/>
        </w:rPr>
        <w:t xml:space="preserve">the California Air Resources Board. </w:t>
      </w:r>
    </w:p>
    <w:p w:rsidRPr="00613B28" w:rsidR="00FB2E9D" w:rsidP="009E1AB3" w:rsidRDefault="00FB2E9D" w14:paraId="4B38C284" w14:textId="77777777">
      <w:pPr>
        <w:autoSpaceDE w:val="0"/>
        <w:autoSpaceDN w:val="0"/>
        <w:adjustRightInd w:val="0"/>
        <w:ind w:left="360"/>
        <w:rPr>
          <w:rFonts w:ascii="Garamond" w:hAnsi="Garamond" w:cs="Arial"/>
          <w:szCs w:val="26"/>
        </w:rPr>
      </w:pPr>
    </w:p>
    <w:p w:rsidRPr="00613B28" w:rsidR="00734CF3" w:rsidP="009E1AB3" w:rsidRDefault="00487CB2" w14:paraId="16D93FDA" w14:textId="25B846A0">
      <w:pPr>
        <w:pStyle w:val="ListParagraph"/>
        <w:numPr>
          <w:ilvl w:val="0"/>
          <w:numId w:val="20"/>
        </w:numPr>
        <w:autoSpaceDE w:val="0"/>
        <w:autoSpaceDN w:val="0"/>
        <w:adjustRightInd w:val="0"/>
        <w:rPr>
          <w:rFonts w:ascii="Garamond" w:hAnsi="Garamond" w:cs="Book Antiqua" w:eastAsiaTheme="minorHAnsi"/>
          <w:color w:val="000000"/>
          <w:szCs w:val="26"/>
        </w:rPr>
      </w:pPr>
      <w:r w:rsidRPr="00613B28">
        <w:rPr>
          <w:rFonts w:ascii="Garamond" w:hAnsi="Garamond" w:cs="Book Antiqua" w:eastAsiaTheme="minorHAnsi"/>
          <w:color w:val="000000"/>
          <w:szCs w:val="26"/>
        </w:rPr>
        <w:t xml:space="preserve">SPD </w:t>
      </w:r>
      <w:r w:rsidRPr="00613B28" w:rsidR="00B70736">
        <w:rPr>
          <w:rFonts w:ascii="Garamond" w:hAnsi="Garamond" w:cs="Book Antiqua" w:eastAsiaTheme="minorHAnsi"/>
          <w:color w:val="000000"/>
          <w:szCs w:val="26"/>
        </w:rPr>
        <w:t>staff</w:t>
      </w:r>
      <w:r w:rsidRPr="00613B28" w:rsidR="00734CF3">
        <w:rPr>
          <w:rFonts w:ascii="Garamond" w:hAnsi="Garamond" w:cs="Book Antiqua" w:eastAsiaTheme="minorHAnsi"/>
          <w:color w:val="000000"/>
          <w:szCs w:val="26"/>
        </w:rPr>
        <w:t xml:space="preserve"> may direct the utilities to discontinue any project that is determined to be no longer in the ratepayers’ interest. </w:t>
      </w:r>
    </w:p>
    <w:p w:rsidRPr="00613B28" w:rsidR="00FB2E9D" w:rsidP="009E1AB3" w:rsidRDefault="00FB2E9D" w14:paraId="024E9114" w14:textId="77777777">
      <w:pPr>
        <w:autoSpaceDE w:val="0"/>
        <w:autoSpaceDN w:val="0"/>
        <w:adjustRightInd w:val="0"/>
        <w:ind w:left="360"/>
        <w:rPr>
          <w:rFonts w:ascii="Garamond" w:hAnsi="Garamond" w:cs="Arial"/>
          <w:szCs w:val="26"/>
        </w:rPr>
      </w:pPr>
    </w:p>
    <w:p w:rsidRPr="00613B28" w:rsidR="0059067E" w:rsidP="009E1AB3" w:rsidRDefault="00487CB2" w14:paraId="5EE1B283" w14:textId="4E19E241">
      <w:pPr>
        <w:pStyle w:val="ListParagraph"/>
        <w:numPr>
          <w:ilvl w:val="0"/>
          <w:numId w:val="20"/>
        </w:numPr>
        <w:autoSpaceDE w:val="0"/>
        <w:autoSpaceDN w:val="0"/>
        <w:adjustRightInd w:val="0"/>
        <w:rPr>
          <w:rFonts w:ascii="Garamond" w:hAnsi="Garamond" w:cs="Book Antiqua" w:eastAsiaTheme="minorHAnsi"/>
          <w:color w:val="000000"/>
          <w:szCs w:val="26"/>
        </w:rPr>
      </w:pPr>
      <w:r w:rsidRPr="00613B28">
        <w:rPr>
          <w:rFonts w:ascii="Garamond" w:hAnsi="Garamond" w:cs="Book Antiqua" w:eastAsiaTheme="minorHAnsi"/>
          <w:color w:val="000000"/>
          <w:szCs w:val="26"/>
        </w:rPr>
        <w:t xml:space="preserve">SPD </w:t>
      </w:r>
      <w:r w:rsidRPr="00613B28" w:rsidR="00B70736">
        <w:rPr>
          <w:rFonts w:ascii="Garamond" w:hAnsi="Garamond" w:cs="Book Antiqua" w:eastAsiaTheme="minorHAnsi"/>
          <w:color w:val="000000"/>
          <w:szCs w:val="26"/>
        </w:rPr>
        <w:t>staff</w:t>
      </w:r>
      <w:r w:rsidRPr="00613B28" w:rsidR="0059067E">
        <w:rPr>
          <w:rFonts w:ascii="Garamond" w:hAnsi="Garamond" w:cs="Book Antiqua" w:eastAsiaTheme="minorHAnsi"/>
          <w:color w:val="000000"/>
          <w:szCs w:val="26"/>
        </w:rPr>
        <w:t xml:space="preserve">, in </w:t>
      </w:r>
      <w:r w:rsidRPr="00613B28">
        <w:rPr>
          <w:rFonts w:ascii="Garamond" w:hAnsi="Garamond" w:cs="Book Antiqua" w:eastAsiaTheme="minorHAnsi"/>
          <w:color w:val="000000"/>
          <w:szCs w:val="26"/>
        </w:rPr>
        <w:t xml:space="preserve">consultation </w:t>
      </w:r>
      <w:r w:rsidRPr="00613B28" w:rsidR="0059067E">
        <w:rPr>
          <w:rFonts w:ascii="Garamond" w:hAnsi="Garamond" w:cs="Book Antiqua" w:eastAsiaTheme="minorHAnsi"/>
          <w:color w:val="000000"/>
          <w:szCs w:val="26"/>
        </w:rPr>
        <w:t>with staff of the California Air Resources Board, approves adoption of SoCalGas</w:t>
      </w:r>
      <w:r w:rsidRPr="00613B28" w:rsidR="00762240">
        <w:rPr>
          <w:rFonts w:ascii="Garamond" w:hAnsi="Garamond" w:cs="Book Antiqua" w:eastAsiaTheme="minorHAnsi"/>
          <w:color w:val="000000"/>
          <w:szCs w:val="26"/>
        </w:rPr>
        <w:t>’</w:t>
      </w:r>
      <w:r w:rsidRPr="00613B28" w:rsidR="0059067E">
        <w:rPr>
          <w:rFonts w:ascii="Garamond" w:hAnsi="Garamond" w:cs="Book Antiqua" w:eastAsiaTheme="minorHAnsi"/>
          <w:color w:val="000000"/>
          <w:szCs w:val="26"/>
        </w:rPr>
        <w:t xml:space="preserve"> Compliance Plans.</w:t>
      </w:r>
    </w:p>
    <w:p w:rsidRPr="00613B28" w:rsidR="00FB2E9D" w:rsidP="009E1AB3" w:rsidRDefault="00FB2E9D" w14:paraId="43311745" w14:textId="77777777">
      <w:pPr>
        <w:autoSpaceDE w:val="0"/>
        <w:autoSpaceDN w:val="0"/>
        <w:adjustRightInd w:val="0"/>
        <w:ind w:left="360"/>
        <w:rPr>
          <w:rFonts w:ascii="Garamond" w:hAnsi="Garamond" w:cs="Arial"/>
          <w:szCs w:val="26"/>
        </w:rPr>
      </w:pPr>
    </w:p>
    <w:p w:rsidRPr="00613B28" w:rsidR="00671C10" w:rsidP="00671C10" w:rsidRDefault="00671C10" w14:paraId="1F0A2CE8" w14:textId="203768ED">
      <w:pPr>
        <w:pStyle w:val="ListParagraph"/>
        <w:numPr>
          <w:ilvl w:val="0"/>
          <w:numId w:val="20"/>
        </w:numPr>
        <w:autoSpaceDE w:val="0"/>
        <w:autoSpaceDN w:val="0"/>
        <w:adjustRightInd w:val="0"/>
        <w:rPr>
          <w:rFonts w:ascii="Garamond" w:hAnsi="Garamond" w:cs="Book Antiqua" w:eastAsiaTheme="minorHAnsi"/>
          <w:color w:val="000000"/>
          <w:szCs w:val="26"/>
        </w:rPr>
      </w:pPr>
      <w:r w:rsidRPr="00613B28">
        <w:rPr>
          <w:rFonts w:ascii="Garamond" w:hAnsi="Garamond" w:cs="Book Antiqua" w:eastAsiaTheme="minorHAnsi"/>
          <w:color w:val="000000"/>
          <w:szCs w:val="26"/>
        </w:rPr>
        <w:t>Energy Division has reviewed SoCalGas AL</w:t>
      </w:r>
      <w:r w:rsidRPr="00613B28" w:rsidR="00447CF0">
        <w:rPr>
          <w:rFonts w:ascii="Garamond" w:hAnsi="Garamond" w:cs="Book Antiqua" w:eastAsiaTheme="minorHAnsi"/>
          <w:color w:val="000000"/>
          <w:szCs w:val="26"/>
        </w:rPr>
        <w:t xml:space="preserve">s </w:t>
      </w:r>
      <w:r w:rsidRPr="00613B28" w:rsidR="00447CF0">
        <w:rPr>
          <w:rFonts w:ascii="Garamond" w:hAnsi="Garamond" w:cs="Book Antiqua" w:eastAsiaTheme="minorHAnsi"/>
          <w:szCs w:val="26"/>
        </w:rPr>
        <w:t>5603-G, 5603-G-A, 5603-G-B, and 5603</w:t>
      </w:r>
      <w:r w:rsidRPr="00613B28" w:rsidR="00BC08B8">
        <w:rPr>
          <w:rFonts w:ascii="Garamond" w:hAnsi="Garamond" w:cs="Book Antiqua" w:eastAsiaTheme="minorHAnsi"/>
          <w:szCs w:val="26"/>
        </w:rPr>
        <w:t>-G</w:t>
      </w:r>
      <w:r w:rsidRPr="00613B28" w:rsidR="00447CF0">
        <w:rPr>
          <w:rFonts w:ascii="Garamond" w:hAnsi="Garamond" w:cs="Book Antiqua" w:eastAsiaTheme="minorHAnsi"/>
          <w:szCs w:val="26"/>
        </w:rPr>
        <w:t>-C</w:t>
      </w:r>
      <w:r w:rsidRPr="00613B28">
        <w:rPr>
          <w:rFonts w:ascii="Garamond" w:hAnsi="Garamond" w:cs="Book Antiqua" w:eastAsiaTheme="minorHAnsi"/>
          <w:color w:val="000000"/>
          <w:szCs w:val="26"/>
        </w:rPr>
        <w:t xml:space="preserve"> as well as S</w:t>
      </w:r>
      <w:r w:rsidRPr="00613B28" w:rsidR="00D5192A">
        <w:rPr>
          <w:rFonts w:ascii="Garamond" w:hAnsi="Garamond" w:cs="Book Antiqua" w:eastAsiaTheme="minorHAnsi"/>
          <w:color w:val="000000"/>
          <w:szCs w:val="26"/>
        </w:rPr>
        <w:t>P</w:t>
      </w:r>
      <w:r w:rsidRPr="00613B28">
        <w:rPr>
          <w:rFonts w:ascii="Garamond" w:hAnsi="Garamond" w:cs="Book Antiqua" w:eastAsiaTheme="minorHAnsi"/>
          <w:color w:val="000000"/>
          <w:szCs w:val="26"/>
        </w:rPr>
        <w:t>D staff’s evaluation of SoCalGas’ 2020 Compliance Plan. Energy Division recommend</w:t>
      </w:r>
      <w:r w:rsidRPr="00613B28" w:rsidR="00D5192A">
        <w:rPr>
          <w:rFonts w:ascii="Garamond" w:hAnsi="Garamond" w:cs="Book Antiqua" w:eastAsiaTheme="minorHAnsi"/>
          <w:color w:val="000000"/>
          <w:szCs w:val="26"/>
        </w:rPr>
        <w:t>s</w:t>
      </w:r>
      <w:r w:rsidRPr="00613B28">
        <w:rPr>
          <w:rFonts w:ascii="Garamond" w:hAnsi="Garamond" w:cs="Book Antiqua" w:eastAsiaTheme="minorHAnsi"/>
          <w:color w:val="000000"/>
          <w:szCs w:val="26"/>
        </w:rPr>
        <w:t xml:space="preserve"> approval of SoCalGas’ Compliance Plan and AL 5603</w:t>
      </w:r>
      <w:r w:rsidRPr="00613B28" w:rsidR="00BC08B8">
        <w:rPr>
          <w:rFonts w:ascii="Garamond" w:hAnsi="Garamond" w:cs="Book Antiqua" w:eastAsiaTheme="minorHAnsi"/>
          <w:color w:val="000000"/>
          <w:szCs w:val="26"/>
        </w:rPr>
        <w:t>-G</w:t>
      </w:r>
      <w:r w:rsidRPr="00613B28">
        <w:rPr>
          <w:rFonts w:ascii="Garamond" w:hAnsi="Garamond" w:cs="Book Antiqua" w:eastAsiaTheme="minorHAnsi"/>
          <w:color w:val="000000"/>
          <w:szCs w:val="26"/>
        </w:rPr>
        <w:t xml:space="preserve">-C. </w:t>
      </w:r>
    </w:p>
    <w:p w:rsidRPr="00613B28" w:rsidR="009720B2" w:rsidP="006F3CFB" w:rsidRDefault="009720B2" w14:paraId="59B7BB39" w14:textId="77777777">
      <w:pPr>
        <w:pStyle w:val="ListParagraph"/>
        <w:rPr>
          <w:rFonts w:ascii="Garamond" w:hAnsi="Garamond" w:cs="Book Antiqua" w:eastAsiaTheme="minorHAnsi"/>
          <w:color w:val="000000"/>
          <w:szCs w:val="26"/>
        </w:rPr>
      </w:pPr>
    </w:p>
    <w:p w:rsidRPr="00613B28" w:rsidR="009720B2" w:rsidP="00671C10" w:rsidRDefault="00762240" w14:paraId="021AD05A" w14:textId="3AE8548C">
      <w:pPr>
        <w:pStyle w:val="ListParagraph"/>
        <w:numPr>
          <w:ilvl w:val="0"/>
          <w:numId w:val="20"/>
        </w:numPr>
        <w:autoSpaceDE w:val="0"/>
        <w:autoSpaceDN w:val="0"/>
        <w:adjustRightInd w:val="0"/>
        <w:rPr>
          <w:rFonts w:ascii="Garamond" w:hAnsi="Garamond" w:cs="Book Antiqua" w:eastAsiaTheme="minorHAnsi"/>
          <w:color w:val="000000"/>
          <w:szCs w:val="26"/>
        </w:rPr>
      </w:pPr>
      <w:r w:rsidRPr="00613B28">
        <w:rPr>
          <w:rFonts w:ascii="Garamond" w:hAnsi="Garamond" w:cs="Arial"/>
          <w:iCs/>
          <w:szCs w:val="26"/>
        </w:rPr>
        <w:t>SoCalGas’</w:t>
      </w:r>
      <w:r w:rsidRPr="00613B28" w:rsidR="009720B2">
        <w:rPr>
          <w:rFonts w:ascii="Garamond" w:hAnsi="Garamond" w:cs="Arial"/>
          <w:iCs/>
          <w:szCs w:val="26"/>
        </w:rPr>
        <w:t xml:space="preserve"> 2020 Plan is forecasted to achieve substantially more methane abatement and cost less than the 2018 Plan.</w:t>
      </w:r>
    </w:p>
    <w:p w:rsidRPr="00613B28" w:rsidR="009720B2" w:rsidP="006F3CFB" w:rsidRDefault="009720B2" w14:paraId="2616808A" w14:textId="77777777">
      <w:pPr>
        <w:pStyle w:val="ListParagraph"/>
        <w:rPr>
          <w:rFonts w:ascii="Garamond" w:hAnsi="Garamond" w:cs="Book Antiqua" w:eastAsiaTheme="minorHAnsi"/>
          <w:color w:val="000000"/>
          <w:szCs w:val="26"/>
        </w:rPr>
      </w:pPr>
    </w:p>
    <w:p w:rsidRPr="00613B28" w:rsidR="009720B2" w:rsidP="00671C10" w:rsidRDefault="009720B2" w14:paraId="05158831" w14:textId="0928680A">
      <w:pPr>
        <w:pStyle w:val="ListParagraph"/>
        <w:numPr>
          <w:ilvl w:val="0"/>
          <w:numId w:val="20"/>
        </w:numPr>
        <w:autoSpaceDE w:val="0"/>
        <w:autoSpaceDN w:val="0"/>
        <w:adjustRightInd w:val="0"/>
        <w:rPr>
          <w:rFonts w:ascii="Garamond" w:hAnsi="Garamond" w:cs="Book Antiqua" w:eastAsiaTheme="minorHAnsi"/>
          <w:color w:val="000000"/>
          <w:szCs w:val="26"/>
        </w:rPr>
      </w:pPr>
      <w:r w:rsidRPr="00613B28">
        <w:rPr>
          <w:rFonts w:ascii="Garamond" w:hAnsi="Garamond" w:cs="Arial"/>
          <w:iCs/>
          <w:szCs w:val="26"/>
        </w:rPr>
        <w:t xml:space="preserve">Annual emission reductions are estimated to be nearly 500,000 MCF, achieving an 18 percent reduction from SoCal Gas’ 2015 emissions by 2030. </w:t>
      </w:r>
      <w:r w:rsidRPr="00613B28" w:rsidDel="008024D0">
        <w:rPr>
          <w:rFonts w:ascii="Garamond" w:hAnsi="Garamond" w:cs="Arial"/>
          <w:iCs/>
          <w:szCs w:val="26"/>
        </w:rPr>
        <w:t xml:space="preserve"> </w:t>
      </w:r>
      <w:r w:rsidRPr="00613B28">
        <w:rPr>
          <w:rFonts w:ascii="Garamond" w:hAnsi="Garamond" w:cs="Arial"/>
          <w:iCs/>
          <w:szCs w:val="26"/>
        </w:rPr>
        <w:t>While this does not meet the program’s goal of a 20 percent reduction by 2025, nor a 40 percent emissions reduction by 2030, the 2015 baseline is expected to be adjusted in the future due to improved measuring techniques.</w:t>
      </w:r>
    </w:p>
    <w:p w:rsidRPr="00613B28" w:rsidR="009720B2" w:rsidP="006F3CFB" w:rsidRDefault="009720B2" w14:paraId="2841B35D" w14:textId="77777777">
      <w:pPr>
        <w:pStyle w:val="ListParagraph"/>
        <w:rPr>
          <w:rFonts w:ascii="Garamond" w:hAnsi="Garamond" w:cs="Book Antiqua" w:eastAsiaTheme="minorHAnsi"/>
          <w:color w:val="000000"/>
          <w:szCs w:val="26"/>
        </w:rPr>
      </w:pPr>
    </w:p>
    <w:p w:rsidRPr="00613B28" w:rsidR="009720B2" w:rsidP="00671C10" w:rsidRDefault="009720B2" w14:paraId="6E2BFACE" w14:textId="4BE4BA50">
      <w:pPr>
        <w:pStyle w:val="ListParagraph"/>
        <w:numPr>
          <w:ilvl w:val="0"/>
          <w:numId w:val="20"/>
        </w:numPr>
        <w:autoSpaceDE w:val="0"/>
        <w:autoSpaceDN w:val="0"/>
        <w:adjustRightInd w:val="0"/>
        <w:rPr>
          <w:rFonts w:ascii="Garamond" w:hAnsi="Garamond" w:cs="Book Antiqua" w:eastAsiaTheme="minorHAnsi"/>
          <w:color w:val="000000"/>
          <w:szCs w:val="26"/>
        </w:rPr>
      </w:pPr>
      <w:r w:rsidRPr="00613B28">
        <w:rPr>
          <w:rFonts w:ascii="Garamond" w:hAnsi="Garamond" w:eastAsiaTheme="minorHAnsi"/>
          <w:szCs w:val="26"/>
        </w:rPr>
        <w:t xml:space="preserve">The annual revenue requirement is </w:t>
      </w:r>
      <w:r w:rsidRPr="00613B28" w:rsidR="00447CF0">
        <w:rPr>
          <w:rFonts w:ascii="Garamond" w:hAnsi="Garamond" w:eastAsiaTheme="minorHAnsi"/>
          <w:szCs w:val="26"/>
        </w:rPr>
        <w:t>$</w:t>
      </w:r>
      <w:r w:rsidRPr="00613B28">
        <w:rPr>
          <w:rFonts w:ascii="Garamond" w:hAnsi="Garamond" w:eastAsiaTheme="minorHAnsi"/>
          <w:szCs w:val="26"/>
        </w:rPr>
        <w:t>80.588 million and $85</w:t>
      </w:r>
      <w:r w:rsidRPr="00613B28" w:rsidR="000D52CA">
        <w:rPr>
          <w:rFonts w:ascii="Garamond" w:hAnsi="Garamond" w:eastAsiaTheme="minorHAnsi"/>
          <w:szCs w:val="26"/>
        </w:rPr>
        <w:t>.026</w:t>
      </w:r>
      <w:r w:rsidRPr="00613B28">
        <w:rPr>
          <w:rFonts w:ascii="Garamond" w:hAnsi="Garamond" w:eastAsiaTheme="minorHAnsi"/>
          <w:szCs w:val="26"/>
        </w:rPr>
        <w:t xml:space="preserve"> million</w:t>
      </w:r>
      <w:r w:rsidRPr="00613B28" w:rsidR="00D5192A">
        <w:rPr>
          <w:rFonts w:ascii="Garamond" w:hAnsi="Garamond" w:eastAsiaTheme="minorHAnsi"/>
          <w:szCs w:val="26"/>
        </w:rPr>
        <w:t xml:space="preserve"> for 2021 and 2022 respectively</w:t>
      </w:r>
      <w:r w:rsidRPr="00613B28" w:rsidR="00447CF0">
        <w:rPr>
          <w:rFonts w:ascii="Garamond" w:hAnsi="Garamond" w:eastAsiaTheme="minorHAnsi"/>
          <w:szCs w:val="26"/>
        </w:rPr>
        <w:t>,</w:t>
      </w:r>
      <w:r w:rsidRPr="00613B28">
        <w:rPr>
          <w:rFonts w:ascii="Garamond" w:hAnsi="Garamond" w:eastAsiaTheme="minorHAnsi"/>
          <w:szCs w:val="26"/>
        </w:rPr>
        <w:t xml:space="preserve"> </w:t>
      </w:r>
      <w:r w:rsidRPr="00613B28" w:rsidR="00BC08B8">
        <w:rPr>
          <w:rFonts w:ascii="Garamond" w:hAnsi="Garamond" w:eastAsiaTheme="minorHAnsi"/>
          <w:szCs w:val="26"/>
        </w:rPr>
        <w:t>no</w:t>
      </w:r>
      <w:r w:rsidRPr="00613B28" w:rsidR="00D5192A">
        <w:rPr>
          <w:rFonts w:ascii="Garamond" w:hAnsi="Garamond" w:eastAsiaTheme="minorHAnsi"/>
          <w:szCs w:val="26"/>
        </w:rPr>
        <w:t>t</w:t>
      </w:r>
      <w:r w:rsidRPr="00613B28" w:rsidR="00BC08B8">
        <w:rPr>
          <w:rFonts w:ascii="Garamond" w:hAnsi="Garamond" w:eastAsiaTheme="minorHAnsi"/>
          <w:szCs w:val="26"/>
        </w:rPr>
        <w:t xml:space="preserve"> including Franc</w:t>
      </w:r>
      <w:r w:rsidRPr="00613B28" w:rsidR="00D5192A">
        <w:rPr>
          <w:rFonts w:ascii="Garamond" w:hAnsi="Garamond" w:eastAsiaTheme="minorHAnsi"/>
          <w:szCs w:val="26"/>
        </w:rPr>
        <w:t>h</w:t>
      </w:r>
      <w:r w:rsidRPr="00613B28" w:rsidR="00BC08B8">
        <w:rPr>
          <w:rFonts w:ascii="Garamond" w:hAnsi="Garamond" w:eastAsiaTheme="minorHAnsi"/>
          <w:szCs w:val="26"/>
        </w:rPr>
        <w:t xml:space="preserve">ise Fees and </w:t>
      </w:r>
      <w:proofErr w:type="spellStart"/>
      <w:r w:rsidRPr="00613B28" w:rsidR="00BC08B8">
        <w:rPr>
          <w:rFonts w:ascii="Garamond" w:hAnsi="Garamond" w:eastAsiaTheme="minorHAnsi"/>
          <w:szCs w:val="26"/>
        </w:rPr>
        <w:t>Uncollect</w:t>
      </w:r>
      <w:r w:rsidRPr="00613B28" w:rsidR="00D5192A">
        <w:rPr>
          <w:rFonts w:ascii="Garamond" w:hAnsi="Garamond" w:eastAsiaTheme="minorHAnsi"/>
          <w:szCs w:val="26"/>
        </w:rPr>
        <w:t>i</w:t>
      </w:r>
      <w:r w:rsidRPr="00613B28" w:rsidR="00BC08B8">
        <w:rPr>
          <w:rFonts w:ascii="Garamond" w:hAnsi="Garamond" w:eastAsiaTheme="minorHAnsi"/>
          <w:szCs w:val="26"/>
        </w:rPr>
        <w:t>bles</w:t>
      </w:r>
      <w:proofErr w:type="spellEnd"/>
      <w:r w:rsidRPr="00613B28">
        <w:rPr>
          <w:rFonts w:ascii="Garamond" w:hAnsi="Garamond" w:eastAsiaTheme="minorHAnsi"/>
          <w:szCs w:val="26"/>
        </w:rPr>
        <w:t>.</w:t>
      </w:r>
    </w:p>
    <w:p w:rsidRPr="00613B28" w:rsidR="009720B2" w:rsidP="006F3CFB" w:rsidRDefault="009720B2" w14:paraId="2CBF30D1" w14:textId="77777777">
      <w:pPr>
        <w:pStyle w:val="ListParagraph"/>
        <w:rPr>
          <w:rFonts w:ascii="Garamond" w:hAnsi="Garamond" w:cs="Book Antiqua" w:eastAsiaTheme="minorHAnsi"/>
          <w:color w:val="000000"/>
          <w:szCs w:val="26"/>
        </w:rPr>
      </w:pPr>
    </w:p>
    <w:p w:rsidRPr="00613B28" w:rsidR="009E72E6" w:rsidP="00671C10" w:rsidRDefault="009720B2" w14:paraId="52ED5564" w14:textId="65812F44">
      <w:pPr>
        <w:pStyle w:val="ListParagraph"/>
        <w:numPr>
          <w:ilvl w:val="0"/>
          <w:numId w:val="20"/>
        </w:numPr>
        <w:autoSpaceDE w:val="0"/>
        <w:autoSpaceDN w:val="0"/>
        <w:adjustRightInd w:val="0"/>
        <w:rPr>
          <w:rFonts w:ascii="Garamond" w:hAnsi="Garamond" w:cs="Book Antiqua" w:eastAsiaTheme="minorHAnsi"/>
          <w:color w:val="000000"/>
          <w:szCs w:val="26"/>
        </w:rPr>
      </w:pPr>
      <w:r w:rsidRPr="00613B28">
        <w:rPr>
          <w:rFonts w:ascii="Garamond" w:hAnsi="Garamond" w:cs="Book Antiqua" w:eastAsiaTheme="minorHAnsi"/>
          <w:szCs w:val="26"/>
        </w:rPr>
        <w:t xml:space="preserve">The total funding request </w:t>
      </w:r>
      <w:r w:rsidRPr="00613B28" w:rsidR="00BC08B8">
        <w:rPr>
          <w:rFonts w:ascii="Garamond" w:hAnsi="Garamond" w:cs="Book Antiqua" w:eastAsiaTheme="minorHAnsi"/>
          <w:szCs w:val="26"/>
        </w:rPr>
        <w:t xml:space="preserve">is </w:t>
      </w:r>
      <w:r w:rsidRPr="00613B28">
        <w:rPr>
          <w:rFonts w:ascii="Garamond" w:hAnsi="Garamond" w:cs="Book Antiqua" w:eastAsiaTheme="minorHAnsi"/>
          <w:szCs w:val="26"/>
        </w:rPr>
        <w:t xml:space="preserve">$218 million in loaded, escalated 2020 dollars </w:t>
      </w:r>
      <w:r w:rsidRPr="00613B28" w:rsidR="00783013">
        <w:rPr>
          <w:rFonts w:ascii="Garamond" w:hAnsi="Garamond" w:cs="Book Antiqua" w:eastAsiaTheme="minorHAnsi"/>
          <w:szCs w:val="26"/>
        </w:rPr>
        <w:t>with</w:t>
      </w:r>
      <w:r w:rsidRPr="00613B28">
        <w:rPr>
          <w:rFonts w:ascii="Garamond" w:hAnsi="Garamond" w:cs="Book Antiqua" w:eastAsiaTheme="minorHAnsi"/>
          <w:szCs w:val="26"/>
        </w:rPr>
        <w:t xml:space="preserve"> a total forecasted revenue requirement of $285 million over the life of the capital projects. </w:t>
      </w:r>
    </w:p>
    <w:p w:rsidR="00355036" w:rsidRDefault="00355036" w14:paraId="31AEDE91" w14:textId="14E8954B">
      <w:pPr>
        <w:spacing w:after="160" w:line="259" w:lineRule="auto"/>
        <w:rPr>
          <w:rFonts w:ascii="Garamond" w:hAnsi="Garamond" w:cs="Book Antiqua" w:eastAsiaTheme="minorHAnsi"/>
          <w:color w:val="000000"/>
          <w:szCs w:val="26"/>
        </w:rPr>
      </w:pPr>
      <w:r>
        <w:rPr>
          <w:rFonts w:ascii="Garamond" w:hAnsi="Garamond" w:cs="Book Antiqua" w:eastAsiaTheme="minorHAnsi"/>
          <w:color w:val="000000"/>
          <w:szCs w:val="26"/>
        </w:rPr>
        <w:br w:type="page"/>
      </w:r>
    </w:p>
    <w:p w:rsidRPr="00613B28" w:rsidR="00D5192A" w:rsidP="00D5192A" w:rsidRDefault="00D5192A" w14:paraId="39B41731" w14:textId="77777777">
      <w:pPr>
        <w:pStyle w:val="ListParagraph"/>
        <w:rPr>
          <w:rFonts w:ascii="Garamond" w:hAnsi="Garamond" w:cs="Book Antiqua" w:eastAsiaTheme="minorHAnsi"/>
          <w:color w:val="000000"/>
          <w:szCs w:val="26"/>
        </w:rPr>
      </w:pPr>
    </w:p>
    <w:p w:rsidRPr="00613B28" w:rsidR="00734CF3" w:rsidP="000D52CA" w:rsidRDefault="00734CF3" w14:paraId="2773536E" w14:textId="4F78C383">
      <w:pPr>
        <w:pStyle w:val="ListParagraph"/>
        <w:autoSpaceDE w:val="0"/>
        <w:autoSpaceDN w:val="0"/>
        <w:adjustRightInd w:val="0"/>
        <w:ind w:left="360"/>
        <w:rPr>
          <w:rFonts w:ascii="Garamond" w:hAnsi="Garamond" w:cs="Arial"/>
          <w:szCs w:val="26"/>
        </w:rPr>
      </w:pPr>
    </w:p>
    <w:p w:rsidRPr="00613B28" w:rsidR="00734CF3" w:rsidP="00734CF3" w:rsidRDefault="00734CF3" w14:paraId="236D1317" w14:textId="77777777">
      <w:pPr>
        <w:autoSpaceDE w:val="0"/>
        <w:autoSpaceDN w:val="0"/>
        <w:adjustRightInd w:val="0"/>
        <w:rPr>
          <w:rFonts w:ascii="Garamond" w:hAnsi="Garamond" w:cs="Arial" w:eastAsiaTheme="minorHAnsi"/>
          <w:szCs w:val="26"/>
        </w:rPr>
      </w:pPr>
      <w:proofErr w:type="gramStart"/>
      <w:r w:rsidRPr="00613B28">
        <w:rPr>
          <w:rFonts w:ascii="Garamond" w:hAnsi="Garamond" w:cs="Arial" w:eastAsiaTheme="minorHAnsi"/>
          <w:b/>
          <w:bCs/>
          <w:szCs w:val="26"/>
        </w:rPr>
        <w:t>THEREFORE</w:t>
      </w:r>
      <w:proofErr w:type="gramEnd"/>
      <w:r w:rsidRPr="00613B28">
        <w:rPr>
          <w:rFonts w:ascii="Garamond" w:hAnsi="Garamond" w:cs="Arial" w:eastAsiaTheme="minorHAnsi"/>
          <w:b/>
          <w:bCs/>
          <w:szCs w:val="26"/>
        </w:rPr>
        <w:t xml:space="preserve"> IT IS ORDERED THAT: </w:t>
      </w:r>
    </w:p>
    <w:p w:rsidRPr="00613B28" w:rsidR="000F7FB0" w:rsidP="00734CF3" w:rsidRDefault="000F7FB0" w14:paraId="791BEB76" w14:textId="77777777">
      <w:pPr>
        <w:autoSpaceDE w:val="0"/>
        <w:autoSpaceDN w:val="0"/>
        <w:adjustRightInd w:val="0"/>
        <w:spacing w:after="164"/>
        <w:rPr>
          <w:rFonts w:ascii="Garamond" w:hAnsi="Garamond" w:cs="Book Antiqua" w:eastAsiaTheme="minorHAnsi"/>
          <w:szCs w:val="26"/>
        </w:rPr>
      </w:pPr>
    </w:p>
    <w:p w:rsidRPr="00613B28" w:rsidR="009720B2" w:rsidP="00783013" w:rsidRDefault="00734CF3" w14:paraId="7B267494" w14:textId="624D721B">
      <w:pPr>
        <w:pStyle w:val="ListParagraph"/>
        <w:numPr>
          <w:ilvl w:val="0"/>
          <w:numId w:val="25"/>
        </w:numPr>
        <w:autoSpaceDE w:val="0"/>
        <w:autoSpaceDN w:val="0"/>
        <w:adjustRightInd w:val="0"/>
        <w:spacing w:after="164"/>
        <w:rPr>
          <w:rFonts w:ascii="Garamond" w:hAnsi="Garamond" w:cs="Book Antiqua" w:eastAsiaTheme="minorHAnsi"/>
          <w:szCs w:val="26"/>
        </w:rPr>
      </w:pPr>
      <w:r w:rsidRPr="00613B28">
        <w:rPr>
          <w:rFonts w:ascii="Garamond" w:hAnsi="Garamond" w:cs="Book Antiqua" w:eastAsiaTheme="minorHAnsi"/>
          <w:szCs w:val="26"/>
        </w:rPr>
        <w:t xml:space="preserve">The request of Southern California Gas Company (SoCalGas) </w:t>
      </w:r>
      <w:r w:rsidRPr="00613B28" w:rsidR="000D52CA">
        <w:rPr>
          <w:rFonts w:ascii="Garamond" w:hAnsi="Garamond" w:cs="Book Antiqua" w:eastAsiaTheme="minorHAnsi"/>
          <w:szCs w:val="26"/>
        </w:rPr>
        <w:t>regarding</w:t>
      </w:r>
      <w:r w:rsidRPr="00613B28">
        <w:rPr>
          <w:rFonts w:ascii="Garamond" w:hAnsi="Garamond" w:cs="Book Antiqua" w:eastAsiaTheme="minorHAnsi"/>
          <w:szCs w:val="26"/>
        </w:rPr>
        <w:t xml:space="preserve"> its Natural Gas Leak Abatement Program Compliance Plan and forecast as filed in Advice Letter</w:t>
      </w:r>
      <w:r w:rsidRPr="00613B28" w:rsidR="00D5192A">
        <w:rPr>
          <w:rFonts w:ascii="Garamond" w:hAnsi="Garamond" w:cs="Book Antiqua" w:eastAsiaTheme="minorHAnsi"/>
          <w:szCs w:val="26"/>
        </w:rPr>
        <w:t xml:space="preserve"> </w:t>
      </w:r>
      <w:r w:rsidRPr="00613B28" w:rsidR="00447CF0">
        <w:rPr>
          <w:rFonts w:ascii="Garamond" w:hAnsi="Garamond" w:cs="Book Antiqua" w:eastAsiaTheme="minorHAnsi"/>
          <w:szCs w:val="26"/>
        </w:rPr>
        <w:t>5603</w:t>
      </w:r>
      <w:r w:rsidRPr="00613B28" w:rsidR="00BC08B8">
        <w:rPr>
          <w:rFonts w:ascii="Garamond" w:hAnsi="Garamond" w:cs="Book Antiqua" w:eastAsiaTheme="minorHAnsi"/>
          <w:szCs w:val="26"/>
        </w:rPr>
        <w:t>-G</w:t>
      </w:r>
      <w:r w:rsidRPr="00613B28" w:rsidR="00447CF0">
        <w:rPr>
          <w:rFonts w:ascii="Garamond" w:hAnsi="Garamond" w:cs="Book Antiqua" w:eastAsiaTheme="minorHAnsi"/>
          <w:szCs w:val="26"/>
        </w:rPr>
        <w:t>-C</w:t>
      </w:r>
      <w:r w:rsidRPr="00613B28">
        <w:rPr>
          <w:rFonts w:ascii="Garamond" w:hAnsi="Garamond" w:cs="Book Antiqua" w:eastAsiaTheme="minorHAnsi"/>
          <w:szCs w:val="26"/>
        </w:rPr>
        <w:t xml:space="preserve"> is </w:t>
      </w:r>
      <w:r w:rsidRPr="00613B28" w:rsidR="000D52CA">
        <w:rPr>
          <w:rFonts w:ascii="Garamond" w:hAnsi="Garamond" w:cs="Book Antiqua" w:eastAsiaTheme="minorHAnsi"/>
          <w:szCs w:val="26"/>
        </w:rPr>
        <w:t>approved with a total forecasted revenue requirement of $285 million for the total revenue requirement over the life of the capital projects</w:t>
      </w:r>
      <w:r w:rsidRPr="00613B28" w:rsidR="000F7FB0">
        <w:rPr>
          <w:rFonts w:ascii="Garamond" w:hAnsi="Garamond" w:cs="Book Antiqua" w:eastAsiaTheme="minorHAnsi"/>
          <w:szCs w:val="26"/>
        </w:rPr>
        <w:t>.</w:t>
      </w:r>
      <w:r w:rsidRPr="00613B28" w:rsidR="00B47D50">
        <w:rPr>
          <w:rFonts w:ascii="Garamond" w:hAnsi="Garamond" w:cs="Book Antiqua" w:eastAsiaTheme="minorHAnsi"/>
          <w:szCs w:val="26"/>
        </w:rPr>
        <w:t xml:space="preserve"> </w:t>
      </w:r>
      <w:r w:rsidRPr="00613B28" w:rsidR="0094709B">
        <w:rPr>
          <w:rFonts w:ascii="Garamond" w:hAnsi="Garamond" w:cs="Book Antiqua" w:eastAsiaTheme="minorHAnsi"/>
          <w:szCs w:val="26"/>
        </w:rPr>
        <w:t xml:space="preserve">The </w:t>
      </w:r>
      <w:r w:rsidRPr="00613B28" w:rsidR="00783013">
        <w:rPr>
          <w:rFonts w:ascii="Garamond" w:hAnsi="Garamond" w:cs="Book Antiqua" w:eastAsiaTheme="minorHAnsi"/>
          <w:szCs w:val="26"/>
        </w:rPr>
        <w:t>annual</w:t>
      </w:r>
      <w:r w:rsidRPr="00613B28" w:rsidR="0094709B">
        <w:rPr>
          <w:rFonts w:ascii="Garamond" w:hAnsi="Garamond" w:cs="Book Antiqua" w:eastAsiaTheme="minorHAnsi"/>
          <w:szCs w:val="26"/>
        </w:rPr>
        <w:t xml:space="preserve"> revenue requirement is $80.588 million </w:t>
      </w:r>
      <w:r w:rsidRPr="00613B28" w:rsidR="00FE277B">
        <w:rPr>
          <w:rFonts w:ascii="Garamond" w:hAnsi="Garamond" w:cs="Book Antiqua" w:eastAsiaTheme="minorHAnsi"/>
          <w:szCs w:val="26"/>
        </w:rPr>
        <w:t>for 2021</w:t>
      </w:r>
      <w:r w:rsidRPr="00613B28" w:rsidR="0094709B">
        <w:rPr>
          <w:rFonts w:ascii="Garamond" w:hAnsi="Garamond" w:cs="Book Antiqua" w:eastAsiaTheme="minorHAnsi"/>
          <w:szCs w:val="26"/>
        </w:rPr>
        <w:t>and $85</w:t>
      </w:r>
      <w:r w:rsidRPr="00613B28" w:rsidR="000D52CA">
        <w:rPr>
          <w:rFonts w:ascii="Garamond" w:hAnsi="Garamond" w:cs="Book Antiqua" w:eastAsiaTheme="minorHAnsi"/>
          <w:szCs w:val="26"/>
        </w:rPr>
        <w:t>.026</w:t>
      </w:r>
      <w:r w:rsidRPr="00613B28" w:rsidR="0094709B">
        <w:rPr>
          <w:rFonts w:ascii="Garamond" w:hAnsi="Garamond" w:cs="Book Antiqua" w:eastAsiaTheme="minorHAnsi"/>
          <w:szCs w:val="26"/>
        </w:rPr>
        <w:t xml:space="preserve"> million</w:t>
      </w:r>
      <w:r w:rsidR="00FE277B">
        <w:rPr>
          <w:rFonts w:ascii="Garamond" w:hAnsi="Garamond" w:cs="Book Antiqua" w:eastAsiaTheme="minorHAnsi"/>
          <w:szCs w:val="26"/>
        </w:rPr>
        <w:t xml:space="preserve"> for 2022</w:t>
      </w:r>
      <w:r w:rsidRPr="00613B28" w:rsidR="0094709B">
        <w:rPr>
          <w:rFonts w:ascii="Garamond" w:hAnsi="Garamond" w:cs="Book Antiqua" w:eastAsiaTheme="minorHAnsi"/>
          <w:szCs w:val="26"/>
        </w:rPr>
        <w:t xml:space="preserve">, not including </w:t>
      </w:r>
      <w:r w:rsidRPr="00613B28" w:rsidR="009720B2">
        <w:rPr>
          <w:rFonts w:ascii="Garamond" w:hAnsi="Garamond" w:cs="Book Antiqua" w:eastAsiaTheme="minorHAnsi"/>
          <w:szCs w:val="26"/>
        </w:rPr>
        <w:t>Franchise</w:t>
      </w:r>
      <w:r w:rsidRPr="00613B28" w:rsidR="0094709B">
        <w:rPr>
          <w:rFonts w:ascii="Garamond" w:hAnsi="Garamond" w:cs="Book Antiqua" w:eastAsiaTheme="minorHAnsi"/>
          <w:szCs w:val="26"/>
        </w:rPr>
        <w:t xml:space="preserve"> Fees and </w:t>
      </w:r>
      <w:proofErr w:type="spellStart"/>
      <w:r w:rsidRPr="00613B28" w:rsidR="009720B2">
        <w:rPr>
          <w:rFonts w:ascii="Garamond" w:hAnsi="Garamond" w:cs="Book Antiqua" w:eastAsiaTheme="minorHAnsi"/>
          <w:szCs w:val="26"/>
        </w:rPr>
        <w:t>Uncollect</w:t>
      </w:r>
      <w:r w:rsidRPr="00613B28" w:rsidR="0022498A">
        <w:rPr>
          <w:rFonts w:ascii="Garamond" w:hAnsi="Garamond" w:cs="Book Antiqua" w:eastAsiaTheme="minorHAnsi"/>
          <w:szCs w:val="26"/>
        </w:rPr>
        <w:t>i</w:t>
      </w:r>
      <w:r w:rsidRPr="00613B28" w:rsidR="009720B2">
        <w:rPr>
          <w:rFonts w:ascii="Garamond" w:hAnsi="Garamond" w:cs="Book Antiqua" w:eastAsiaTheme="minorHAnsi"/>
          <w:szCs w:val="26"/>
        </w:rPr>
        <w:t>bles</w:t>
      </w:r>
      <w:proofErr w:type="spellEnd"/>
      <w:r w:rsidRPr="00613B28" w:rsidR="0094709B">
        <w:rPr>
          <w:rFonts w:ascii="Garamond" w:hAnsi="Garamond" w:cs="Book Antiqua" w:eastAsiaTheme="minorHAnsi"/>
          <w:szCs w:val="26"/>
        </w:rPr>
        <w:t xml:space="preserve">. </w:t>
      </w:r>
      <w:bookmarkStart w:name="_Hlk54347655" w:id="13"/>
    </w:p>
    <w:bookmarkEnd w:id="13"/>
    <w:p w:rsidRPr="00613B28" w:rsidR="00734CF3" w:rsidP="000D52CA" w:rsidRDefault="00734CF3" w14:paraId="4238719B" w14:textId="454486DD">
      <w:pPr>
        <w:autoSpaceDE w:val="0"/>
        <w:autoSpaceDN w:val="0"/>
        <w:adjustRightInd w:val="0"/>
        <w:spacing w:after="164"/>
        <w:rPr>
          <w:rFonts w:ascii="Garamond" w:hAnsi="Garamond" w:cs="Book Antiqua" w:eastAsiaTheme="minorHAnsi"/>
          <w:szCs w:val="26"/>
        </w:rPr>
      </w:pPr>
    </w:p>
    <w:p w:rsidR="00A0678D" w:rsidP="00A078B1" w:rsidRDefault="001F3B79" w14:paraId="17966356" w14:textId="77777777">
      <w:pPr>
        <w:autoSpaceDE w:val="0"/>
        <w:autoSpaceDN w:val="0"/>
        <w:adjustRightInd w:val="0"/>
        <w:rPr>
          <w:rFonts w:ascii="Garamond" w:hAnsi="Garamond"/>
          <w:snapToGrid w:val="0"/>
          <w:szCs w:val="26"/>
        </w:rPr>
      </w:pPr>
      <w:r w:rsidRPr="00613B28">
        <w:rPr>
          <w:rFonts w:ascii="Garamond" w:hAnsi="Garamond"/>
          <w:snapToGrid w:val="0"/>
          <w:szCs w:val="26"/>
        </w:rPr>
        <w:t xml:space="preserve">I certify that the foregoing resolution was duly introduced, </w:t>
      </w:r>
      <w:proofErr w:type="gramStart"/>
      <w:r w:rsidRPr="00613B28">
        <w:rPr>
          <w:rFonts w:ascii="Garamond" w:hAnsi="Garamond"/>
          <w:snapToGrid w:val="0"/>
          <w:szCs w:val="26"/>
        </w:rPr>
        <w:t>passed</w:t>
      </w:r>
      <w:proofErr w:type="gramEnd"/>
      <w:r w:rsidRPr="00613B28">
        <w:rPr>
          <w:rFonts w:ascii="Garamond" w:hAnsi="Garamond"/>
          <w:snapToGrid w:val="0"/>
          <w:szCs w:val="26"/>
        </w:rPr>
        <w:t xml:space="preserve"> and adopted at a conference of the Public Utilities Commission of the State of California held on </w:t>
      </w:r>
    </w:p>
    <w:p w:rsidRPr="00613B28" w:rsidR="001F3B79" w:rsidP="00A078B1" w:rsidRDefault="00D45F02" w14:paraId="2D3FC135" w14:textId="5DB22DDD">
      <w:pPr>
        <w:autoSpaceDE w:val="0"/>
        <w:autoSpaceDN w:val="0"/>
        <w:adjustRightInd w:val="0"/>
        <w:rPr>
          <w:rFonts w:ascii="Garamond" w:hAnsi="Garamond"/>
          <w:snapToGrid w:val="0"/>
          <w:szCs w:val="26"/>
        </w:rPr>
      </w:pPr>
      <w:r>
        <w:rPr>
          <w:rFonts w:ascii="Garamond" w:hAnsi="Garamond"/>
          <w:snapToGrid w:val="0"/>
          <w:szCs w:val="26"/>
        </w:rPr>
        <w:t>December 17, 2020</w:t>
      </w:r>
      <w:r w:rsidRPr="00613B28" w:rsidR="001F3B79">
        <w:rPr>
          <w:rFonts w:ascii="Garamond" w:hAnsi="Garamond"/>
          <w:snapToGrid w:val="0"/>
          <w:szCs w:val="26"/>
        </w:rPr>
        <w:t>; the following Commissioners voting favorably thereon:</w:t>
      </w:r>
    </w:p>
    <w:p w:rsidRPr="00613B28" w:rsidR="001F3B79" w:rsidP="001F3B79" w:rsidRDefault="001F3B79" w14:paraId="01E3D1C5" w14:textId="77777777">
      <w:pPr>
        <w:tabs>
          <w:tab w:val="left" w:pos="720"/>
          <w:tab w:val="left" w:pos="1152"/>
          <w:tab w:val="left" w:pos="1728"/>
          <w:tab w:val="left" w:pos="3168"/>
          <w:tab w:val="left" w:pos="5040"/>
        </w:tabs>
        <w:ind w:right="144"/>
        <w:rPr>
          <w:rFonts w:ascii="Garamond" w:hAnsi="Garamond"/>
          <w:szCs w:val="26"/>
        </w:rPr>
      </w:pPr>
    </w:p>
    <w:p w:rsidRPr="00613B28" w:rsidR="001F3B79" w:rsidP="001F3B79" w:rsidRDefault="001F3B79" w14:paraId="1BF318EF" w14:textId="77777777">
      <w:pPr>
        <w:tabs>
          <w:tab w:val="left" w:pos="720"/>
          <w:tab w:val="left" w:pos="1152"/>
          <w:tab w:val="left" w:pos="1728"/>
          <w:tab w:val="left" w:pos="3168"/>
          <w:tab w:val="left" w:pos="5040"/>
        </w:tabs>
        <w:ind w:right="144"/>
        <w:rPr>
          <w:rFonts w:ascii="Garamond" w:hAnsi="Garamond"/>
          <w:szCs w:val="26"/>
        </w:rPr>
      </w:pPr>
    </w:p>
    <w:p w:rsidRPr="00613B28" w:rsidR="001F3B79" w:rsidP="001F3B79" w:rsidRDefault="001F3B79" w14:paraId="58103C4D" w14:textId="77777777">
      <w:pPr>
        <w:tabs>
          <w:tab w:val="left" w:pos="720"/>
          <w:tab w:val="left" w:pos="1152"/>
          <w:tab w:val="left" w:pos="1728"/>
          <w:tab w:val="left" w:pos="3168"/>
          <w:tab w:val="left" w:pos="5040"/>
        </w:tabs>
        <w:ind w:right="144"/>
        <w:rPr>
          <w:rFonts w:ascii="Garamond" w:hAnsi="Garamond"/>
          <w:szCs w:val="26"/>
        </w:rPr>
      </w:pPr>
    </w:p>
    <w:p w:rsidRPr="00613B28" w:rsidR="001F3B79" w:rsidP="001F3B79" w:rsidRDefault="001F3B79" w14:paraId="01E63EA7" w14:textId="77777777">
      <w:pPr>
        <w:tabs>
          <w:tab w:val="left" w:pos="720"/>
          <w:tab w:val="left" w:pos="1152"/>
          <w:tab w:val="left" w:pos="1728"/>
          <w:tab w:val="left" w:pos="3168"/>
          <w:tab w:val="left" w:pos="5040"/>
        </w:tabs>
        <w:ind w:right="144"/>
        <w:rPr>
          <w:rFonts w:ascii="Garamond" w:hAnsi="Garamond"/>
          <w:szCs w:val="26"/>
        </w:rPr>
      </w:pPr>
    </w:p>
    <w:p w:rsidRPr="002F4AFC" w:rsidR="002F4AFC" w:rsidP="002F4AFC" w:rsidRDefault="001F3B79" w14:paraId="1162E986" w14:textId="77777777">
      <w:pPr>
        <w:ind w:left="4320" w:firstLine="720"/>
        <w:rPr>
          <w:rFonts w:ascii="Palatino Linotype" w:hAnsi="Palatino Linotype"/>
          <w:i/>
          <w:iCs/>
        </w:rPr>
      </w:pPr>
      <w:r w:rsidRPr="00613B28">
        <w:rPr>
          <w:rFonts w:ascii="Garamond" w:hAnsi="Garamond"/>
          <w:szCs w:val="26"/>
        </w:rPr>
        <w:tab/>
      </w:r>
      <w:r w:rsidRPr="00613B28">
        <w:rPr>
          <w:rFonts w:ascii="Garamond" w:hAnsi="Garamond"/>
          <w:szCs w:val="26"/>
        </w:rPr>
        <w:tab/>
      </w:r>
      <w:r w:rsidRPr="00613B28">
        <w:rPr>
          <w:rFonts w:ascii="Garamond" w:hAnsi="Garamond"/>
          <w:szCs w:val="26"/>
        </w:rPr>
        <w:tab/>
      </w:r>
      <w:r w:rsidRPr="00613B28">
        <w:rPr>
          <w:rFonts w:ascii="Garamond" w:hAnsi="Garamond"/>
          <w:szCs w:val="26"/>
        </w:rPr>
        <w:tab/>
      </w:r>
      <w:r w:rsidRPr="00613B28">
        <w:rPr>
          <w:rFonts w:ascii="Garamond" w:hAnsi="Garamond"/>
          <w:szCs w:val="26"/>
        </w:rPr>
        <w:tab/>
      </w:r>
      <w:r w:rsidRPr="00613B28">
        <w:rPr>
          <w:rFonts w:ascii="Garamond" w:hAnsi="Garamond"/>
          <w:szCs w:val="26"/>
        </w:rPr>
        <w:tab/>
      </w:r>
      <w:bookmarkStart w:name="_Hlk56765259" w:id="14"/>
      <w:bookmarkStart w:name="_Hlk56765283" w:id="15"/>
      <w:r w:rsidRPr="002F4AFC" w:rsidR="002F4AFC">
        <w:rPr>
          <w:rFonts w:ascii="Palatino Linotype" w:hAnsi="Palatino Linotype"/>
          <w:i/>
          <w:iCs/>
          <w:u w:val="single"/>
        </w:rPr>
        <w:t>/s/ Rachel Peterson</w:t>
      </w:r>
      <w:r w:rsidRPr="002F4AFC" w:rsidR="002F4AFC">
        <w:rPr>
          <w:rFonts w:ascii="Palatino Linotype" w:hAnsi="Palatino Linotype"/>
          <w:i/>
          <w:iCs/>
        </w:rPr>
        <w:t xml:space="preserve"> </w:t>
      </w:r>
    </w:p>
    <w:p w:rsidRPr="00CB2E2B" w:rsidR="002F4AFC" w:rsidP="002F4AFC" w:rsidRDefault="002F4AFC" w14:paraId="1AA57254" w14:textId="77777777">
      <w:pPr>
        <w:ind w:left="4320" w:firstLine="720"/>
        <w:rPr>
          <w:rFonts w:ascii="Palatino Linotype" w:hAnsi="Palatino Linotype"/>
        </w:rPr>
      </w:pPr>
      <w:r w:rsidRPr="00CB2E2B">
        <w:rPr>
          <w:rFonts w:ascii="Palatino Linotype" w:hAnsi="Palatino Linotype"/>
        </w:rPr>
        <w:t>RACHEL PETERSON</w:t>
      </w:r>
    </w:p>
    <w:p w:rsidR="002F4AFC" w:rsidP="002F4AFC" w:rsidRDefault="002F4AFC" w14:paraId="581FC047" w14:textId="77777777">
      <w:pPr>
        <w:ind w:left="4320" w:firstLine="720"/>
        <w:rPr>
          <w:rFonts w:ascii="Palatino Linotype" w:hAnsi="Palatino Linotype"/>
        </w:rPr>
      </w:pPr>
      <w:r w:rsidRPr="00CB2E2B">
        <w:rPr>
          <w:rFonts w:ascii="Palatino Linotype" w:hAnsi="Palatino Linotype"/>
        </w:rPr>
        <w:t>Acting Executive Director</w:t>
      </w:r>
    </w:p>
    <w:bookmarkEnd w:id="14"/>
    <w:p w:rsidR="002F4AFC" w:rsidP="002F4AFC" w:rsidRDefault="002F4AFC" w14:paraId="552053BC" w14:textId="77777777">
      <w:pPr>
        <w:ind w:left="4320" w:firstLine="720"/>
        <w:rPr>
          <w:rFonts w:ascii="Palatino Linotype" w:hAnsi="Palatino Linotype"/>
        </w:rPr>
      </w:pPr>
    </w:p>
    <w:p w:rsidR="002F4AFC" w:rsidP="002F4AFC" w:rsidRDefault="002F4AFC" w14:paraId="54393B5F" w14:textId="77777777">
      <w:pPr>
        <w:pStyle w:val="Body"/>
        <w:tabs>
          <w:tab w:val="left" w:pos="720"/>
          <w:tab w:val="left" w:pos="1152"/>
          <w:tab w:val="left" w:pos="1728"/>
          <w:tab w:val="left" w:pos="3168"/>
          <w:tab w:val="left" w:pos="5040"/>
        </w:tabs>
        <w:spacing w:after="0"/>
        <w:ind w:right="144"/>
        <w:rPr>
          <w:rFonts w:ascii="Palatino Linotype" w:hAnsi="Palatino Linotype" w:eastAsia="Palatino Linotype" w:cs="Palatino Linotype"/>
          <w:sz w:val="26"/>
          <w:szCs w:val="26"/>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bookmarkStart w:name="_Hlk513798524" w:id="16"/>
      <w:r>
        <w:rPr>
          <w:rFonts w:ascii="Palatino Linotype" w:hAnsi="Palatino Linotype" w:eastAsia="Palatino Linotype" w:cs="Palatino Linotype"/>
          <w:sz w:val="26"/>
          <w:szCs w:val="26"/>
        </w:rPr>
        <w:t>MARYBEL BATJER</w:t>
      </w:r>
    </w:p>
    <w:p w:rsidR="002F4AFC" w:rsidP="002F4AFC" w:rsidRDefault="002F4AFC" w14:paraId="32A790D1" w14:textId="77777777">
      <w:pPr>
        <w:pStyle w:val="Body"/>
        <w:tabs>
          <w:tab w:val="left" w:pos="720"/>
          <w:tab w:val="left" w:pos="1152"/>
          <w:tab w:val="left" w:pos="1728"/>
          <w:tab w:val="left" w:pos="3168"/>
          <w:tab w:val="left" w:pos="5040"/>
        </w:tabs>
        <w:spacing w:after="0"/>
        <w:ind w:right="144"/>
        <w:rPr>
          <w:rFonts w:ascii="Palatino Linotype" w:hAnsi="Palatino Linotype" w:eastAsia="Palatino Linotype" w:cs="Palatino Linotype"/>
          <w:sz w:val="26"/>
          <w:szCs w:val="26"/>
        </w:rPr>
      </w:pPr>
      <w:r>
        <w:rPr>
          <w:rFonts w:ascii="Palatino Linotype" w:hAnsi="Palatino Linotype" w:eastAsia="Palatino Linotype" w:cs="Palatino Linotype"/>
          <w:sz w:val="26"/>
          <w:szCs w:val="26"/>
        </w:rPr>
        <w:tab/>
      </w:r>
      <w:r>
        <w:rPr>
          <w:rFonts w:ascii="Palatino Linotype" w:hAnsi="Palatino Linotype" w:eastAsia="Palatino Linotype" w:cs="Palatino Linotype"/>
          <w:sz w:val="26"/>
          <w:szCs w:val="26"/>
        </w:rPr>
        <w:tab/>
      </w:r>
      <w:r>
        <w:rPr>
          <w:rFonts w:ascii="Palatino Linotype" w:hAnsi="Palatino Linotype" w:eastAsia="Palatino Linotype" w:cs="Palatino Linotype"/>
          <w:sz w:val="26"/>
          <w:szCs w:val="26"/>
        </w:rPr>
        <w:tab/>
      </w:r>
      <w:r>
        <w:rPr>
          <w:rFonts w:ascii="Palatino Linotype" w:hAnsi="Palatino Linotype" w:eastAsia="Palatino Linotype" w:cs="Palatino Linotype"/>
          <w:sz w:val="26"/>
          <w:szCs w:val="26"/>
        </w:rPr>
        <w:tab/>
      </w:r>
      <w:r>
        <w:rPr>
          <w:rFonts w:ascii="Palatino Linotype" w:hAnsi="Palatino Linotype" w:eastAsia="Palatino Linotype" w:cs="Palatino Linotype"/>
          <w:sz w:val="26"/>
          <w:szCs w:val="26"/>
        </w:rPr>
        <w:tab/>
        <w:t xml:space="preserve">      President</w:t>
      </w:r>
    </w:p>
    <w:bookmarkEnd w:id="15"/>
    <w:p w:rsidR="002F4AFC" w:rsidP="002F4AFC" w:rsidRDefault="002F4AFC" w14:paraId="616B6B94" w14:textId="77777777">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9F405F">
        <w:rPr>
          <w:rFonts w:ascii="Palatino Linotype" w:hAnsi="Palatino Linotype"/>
        </w:rPr>
        <w:t xml:space="preserve">LIANE </w:t>
      </w:r>
      <w:r>
        <w:rPr>
          <w:rFonts w:ascii="Palatino Linotype" w:hAnsi="Palatino Linotype"/>
        </w:rPr>
        <w:t xml:space="preserve">M. </w:t>
      </w:r>
      <w:r w:rsidRPr="009F405F">
        <w:rPr>
          <w:rFonts w:ascii="Palatino Linotype" w:hAnsi="Palatino Linotype"/>
        </w:rPr>
        <w:t>RANDOLPH</w:t>
      </w:r>
    </w:p>
    <w:p w:rsidRPr="00096E68" w:rsidR="002F4AFC" w:rsidP="002F4AFC" w:rsidRDefault="002F4AFC" w14:paraId="710AFBCF" w14:textId="77777777">
      <w:pPr>
        <w:pStyle w:val="Default"/>
        <w:rPr>
          <w:rFonts w:ascii="Palatino Linotype" w:hAnsi="Palatino Linotype" w:eastAsia="Times New Roman" w:cs="Palatino Linotype"/>
          <w:sz w:val="26"/>
          <w:szCs w:val="26"/>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sidRPr="00096E68">
        <w:rPr>
          <w:rFonts w:ascii="Palatino Linotype" w:hAnsi="Palatino Linotype" w:eastAsia="Times New Roman" w:cs="Palatino Linotype"/>
          <w:sz w:val="26"/>
          <w:szCs w:val="26"/>
        </w:rPr>
        <w:t xml:space="preserve">MARTHA GUZMAN ACEVES </w:t>
      </w:r>
    </w:p>
    <w:p w:rsidR="002F4AFC" w:rsidP="002F4AFC" w:rsidRDefault="002F4AFC" w14:paraId="4D6B1561" w14:textId="77777777">
      <w:pPr>
        <w:ind w:left="4320" w:firstLine="720"/>
        <w:rPr>
          <w:rFonts w:ascii="Palatino Linotype" w:hAnsi="Palatino Linotype" w:cs="Palatino Linotype"/>
          <w:color w:val="000000"/>
          <w:szCs w:val="26"/>
        </w:rPr>
      </w:pPr>
      <w:r w:rsidRPr="00096E68">
        <w:rPr>
          <w:rFonts w:ascii="Palatino Linotype" w:hAnsi="Palatino Linotype" w:cs="Palatino Linotype"/>
          <w:color w:val="000000"/>
          <w:szCs w:val="26"/>
        </w:rPr>
        <w:t>CLIFFORD RECHTSCHAFFEN</w:t>
      </w:r>
    </w:p>
    <w:p w:rsidRPr="00353238" w:rsidR="002F4AFC" w:rsidP="002F4AFC" w:rsidRDefault="002F4AFC" w14:paraId="20201AB5" w14:textId="77777777">
      <w:pPr>
        <w:ind w:left="4320" w:firstLine="720"/>
        <w:rPr>
          <w:rFonts w:ascii="Palatino Linotype" w:hAnsi="Palatino Linotype" w:cs="Palatino Linotype"/>
          <w:color w:val="000000"/>
          <w:szCs w:val="26"/>
        </w:rPr>
      </w:pPr>
      <w:r w:rsidRPr="0013208A">
        <w:rPr>
          <w:rFonts w:ascii="Palatino Linotype" w:hAnsi="Palatino Linotype"/>
        </w:rPr>
        <w:t>GENEVIEVE SHIROMA</w:t>
      </w:r>
    </w:p>
    <w:p w:rsidR="002F4AFC" w:rsidP="002F4AFC" w:rsidRDefault="002F4AFC" w14:paraId="0AAD5DE2" w14:textId="77777777">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Commissioners</w:t>
      </w:r>
    </w:p>
    <w:bookmarkEnd w:id="16"/>
    <w:p w:rsidR="00B237C0" w:rsidP="002F4AFC" w:rsidRDefault="00B237C0" w14:paraId="4131EAAA" w14:textId="37F76F8F">
      <w:pPr>
        <w:tabs>
          <w:tab w:val="left" w:pos="720"/>
          <w:tab w:val="left" w:pos="1152"/>
          <w:tab w:val="left" w:pos="1728"/>
          <w:tab w:val="left" w:pos="3168"/>
          <w:tab w:val="left" w:pos="5040"/>
        </w:tabs>
        <w:ind w:right="144"/>
        <w:rPr>
          <w:rFonts w:ascii="Garamond" w:hAnsi="Garamond"/>
          <w:szCs w:val="26"/>
        </w:rPr>
      </w:pPr>
    </w:p>
    <w:p w:rsidR="003C64EA" w:rsidRDefault="003C64EA" w14:paraId="2C14C482" w14:textId="3A96AB2F">
      <w:pPr>
        <w:rPr>
          <w:rFonts w:ascii="Garamond" w:hAnsi="Garamond"/>
          <w:szCs w:val="26"/>
        </w:rPr>
        <w:sectPr w:rsidR="003C64EA" w:rsidSect="001F3B79">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sectPr>
      </w:pPr>
    </w:p>
    <w:p w:rsidR="00B237C0" w:rsidP="00B237C0" w:rsidRDefault="00B237C0" w14:paraId="0A43EA9A" w14:textId="29F27263">
      <w:pPr>
        <w:spacing w:after="160" w:line="259" w:lineRule="auto"/>
        <w:jc w:val="center"/>
        <w:rPr>
          <w:rFonts w:ascii="Garamond" w:hAnsi="Garamond" w:eastAsiaTheme="minorHAnsi" w:cstheme="minorBidi"/>
          <w:sz w:val="28"/>
          <w:szCs w:val="28"/>
        </w:rPr>
      </w:pPr>
      <w:bookmarkStart w:name="_Hlk56679565" w:id="17"/>
      <w:r>
        <w:rPr>
          <w:rFonts w:ascii="Garamond" w:hAnsi="Garamond" w:eastAsiaTheme="minorHAnsi" w:cstheme="minorBidi"/>
          <w:sz w:val="32"/>
          <w:szCs w:val="32"/>
        </w:rPr>
        <w:lastRenderedPageBreak/>
        <w:t>ATTACHMENT A</w:t>
      </w:r>
    </w:p>
    <w:bookmarkEnd w:id="17"/>
    <w:p w:rsidR="00B237C0" w:rsidP="00B237C0" w:rsidRDefault="00B237C0" w14:paraId="6A8BCD34" w14:textId="33352BD2">
      <w:pPr>
        <w:spacing w:after="160" w:line="259" w:lineRule="auto"/>
        <w:contextualSpacing/>
        <w:jc w:val="center"/>
        <w:rPr>
          <w:rFonts w:ascii="Garamond" w:hAnsi="Garamond" w:eastAsiaTheme="minorHAnsi" w:cstheme="minorBidi"/>
          <w:sz w:val="28"/>
          <w:szCs w:val="28"/>
        </w:rPr>
      </w:pPr>
      <w:r>
        <w:rPr>
          <w:rFonts w:ascii="Garamond" w:hAnsi="Garamond" w:eastAsiaTheme="minorHAnsi" w:cstheme="minorBidi"/>
          <w:sz w:val="28"/>
          <w:szCs w:val="28"/>
        </w:rPr>
        <w:t>Proposed Changes to Natural Gas Transportation Rate Allocations across Customer Classes for 2021</w:t>
      </w:r>
      <w:r w:rsidR="003C64EA">
        <w:rPr>
          <w:rFonts w:ascii="Garamond" w:hAnsi="Garamond" w:eastAsiaTheme="minorHAnsi" w:cstheme="minorBidi"/>
          <w:sz w:val="28"/>
          <w:szCs w:val="28"/>
        </w:rPr>
        <w:t xml:space="preserve"> and</w:t>
      </w:r>
      <w:r>
        <w:rPr>
          <w:rFonts w:ascii="Garamond" w:hAnsi="Garamond" w:eastAsiaTheme="minorHAnsi" w:cstheme="minorBidi"/>
          <w:sz w:val="28"/>
          <w:szCs w:val="28"/>
        </w:rPr>
        <w:t xml:space="preserve"> 2022 with Potential Rate Decrease for 2021</w:t>
      </w:r>
    </w:p>
    <w:p w:rsidR="00A51B37" w:rsidP="003C64EA" w:rsidRDefault="00B8560E" w14:paraId="5E3AD2C3" w14:textId="07E31465">
      <w:pPr>
        <w:spacing w:after="160" w:line="259" w:lineRule="auto"/>
        <w:jc w:val="center"/>
        <w:rPr>
          <w:rFonts w:ascii="Garamond" w:hAnsi="Garamond"/>
          <w:szCs w:val="26"/>
        </w:rPr>
      </w:pPr>
      <w:r w:rsidRPr="00B8560E">
        <w:rPr>
          <w:noProof/>
        </w:rPr>
        <w:lastRenderedPageBreak/>
        <w:drawing>
          <wp:inline distT="0" distB="0" distL="0" distR="0" wp14:anchorId="235AB924" wp14:editId="70829B89">
            <wp:extent cx="675132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1320" cy="5943600"/>
                    </a:xfrm>
                    <a:prstGeom prst="rect">
                      <a:avLst/>
                    </a:prstGeom>
                    <a:noFill/>
                    <a:ln>
                      <a:noFill/>
                    </a:ln>
                  </pic:spPr>
                </pic:pic>
              </a:graphicData>
            </a:graphic>
          </wp:inline>
        </w:drawing>
      </w:r>
    </w:p>
    <w:p w:rsidR="00A51B37" w:rsidP="003C64EA" w:rsidRDefault="00B8560E" w14:paraId="73A0A737" w14:textId="55FA6B89">
      <w:pPr>
        <w:spacing w:after="160" w:line="259" w:lineRule="auto"/>
        <w:jc w:val="center"/>
        <w:rPr>
          <w:rFonts w:ascii="Garamond" w:hAnsi="Garamond"/>
          <w:szCs w:val="26"/>
        </w:rPr>
      </w:pPr>
      <w:r w:rsidRPr="00B8560E">
        <w:rPr>
          <w:noProof/>
        </w:rPr>
        <w:lastRenderedPageBreak/>
        <w:drawing>
          <wp:inline distT="0" distB="0" distL="0" distR="0" wp14:anchorId="0BE4A691" wp14:editId="54477FB0">
            <wp:extent cx="7473315"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73315" cy="5943600"/>
                    </a:xfrm>
                    <a:prstGeom prst="rect">
                      <a:avLst/>
                    </a:prstGeom>
                    <a:noFill/>
                    <a:ln>
                      <a:noFill/>
                    </a:ln>
                  </pic:spPr>
                </pic:pic>
              </a:graphicData>
            </a:graphic>
          </wp:inline>
        </w:drawing>
      </w:r>
      <w:r w:rsidR="00A51B37">
        <w:rPr>
          <w:rFonts w:ascii="Garamond" w:hAnsi="Garamond"/>
          <w:szCs w:val="26"/>
        </w:rPr>
        <w:br w:type="page"/>
      </w:r>
    </w:p>
    <w:p w:rsidR="003C64EA" w:rsidP="003C64EA" w:rsidRDefault="00B8560E" w14:paraId="00ED1B6A" w14:textId="77777777">
      <w:pPr>
        <w:spacing w:after="160" w:line="259" w:lineRule="auto"/>
        <w:jc w:val="center"/>
        <w:rPr>
          <w:rFonts w:ascii="Garamond" w:hAnsi="Garamond" w:eastAsiaTheme="minorHAnsi" w:cstheme="minorBidi"/>
          <w:sz w:val="32"/>
          <w:szCs w:val="32"/>
        </w:rPr>
      </w:pPr>
      <w:r w:rsidRPr="00B8560E">
        <w:rPr>
          <w:rFonts w:eastAsiaTheme="minorHAnsi"/>
          <w:noProof/>
        </w:rPr>
        <w:lastRenderedPageBreak/>
        <w:drawing>
          <wp:inline distT="0" distB="0" distL="0" distR="0" wp14:anchorId="685D9103" wp14:editId="2EBECC39">
            <wp:extent cx="6751320" cy="594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1320" cy="5943600"/>
                    </a:xfrm>
                    <a:prstGeom prst="rect">
                      <a:avLst/>
                    </a:prstGeom>
                    <a:noFill/>
                    <a:ln>
                      <a:noFill/>
                    </a:ln>
                  </pic:spPr>
                </pic:pic>
              </a:graphicData>
            </a:graphic>
          </wp:inline>
        </w:drawing>
      </w:r>
    </w:p>
    <w:p w:rsidR="003C64EA" w:rsidP="003C64EA" w:rsidRDefault="003C64EA" w14:paraId="5D7D7C34" w14:textId="77777777">
      <w:pPr>
        <w:spacing w:after="160" w:line="259" w:lineRule="auto"/>
        <w:jc w:val="center"/>
        <w:rPr>
          <w:rFonts w:ascii="Garamond" w:hAnsi="Garamond" w:eastAsiaTheme="minorHAnsi" w:cstheme="minorBidi"/>
          <w:sz w:val="32"/>
          <w:szCs w:val="32"/>
        </w:rPr>
        <w:sectPr w:rsidR="003C64EA" w:rsidSect="003C64EA">
          <w:headerReference w:type="default" r:id="rId15"/>
          <w:footerReference w:type="default" r:id="rId16"/>
          <w:pgSz w:w="15840" w:h="12240" w:orient="landscape"/>
          <w:pgMar w:top="1440" w:right="1440" w:bottom="1440" w:left="1440" w:header="720" w:footer="720" w:gutter="0"/>
          <w:pgNumType w:start="1"/>
          <w:cols w:space="720"/>
          <w:docGrid w:linePitch="360"/>
        </w:sectPr>
      </w:pPr>
    </w:p>
    <w:p w:rsidR="00B8560E" w:rsidP="003C64EA" w:rsidRDefault="00B8560E" w14:paraId="258ECC95" w14:textId="4DF57B06">
      <w:pPr>
        <w:spacing w:after="160" w:line="259" w:lineRule="auto"/>
        <w:jc w:val="center"/>
        <w:rPr>
          <w:rFonts w:ascii="Garamond" w:hAnsi="Garamond" w:eastAsiaTheme="minorHAnsi" w:cstheme="minorBidi"/>
          <w:sz w:val="32"/>
          <w:szCs w:val="32"/>
        </w:rPr>
      </w:pPr>
    </w:p>
    <w:p w:rsidR="00A51B37" w:rsidP="00A51B37" w:rsidRDefault="00A51B37" w14:paraId="05D03D4B" w14:textId="02FC567E">
      <w:pPr>
        <w:spacing w:after="160" w:line="259" w:lineRule="auto"/>
        <w:jc w:val="center"/>
        <w:rPr>
          <w:rFonts w:ascii="Garamond" w:hAnsi="Garamond" w:eastAsiaTheme="minorHAnsi" w:cstheme="minorBidi"/>
          <w:sz w:val="32"/>
          <w:szCs w:val="32"/>
        </w:rPr>
      </w:pPr>
      <w:r>
        <w:rPr>
          <w:rFonts w:ascii="Garamond" w:hAnsi="Garamond" w:eastAsiaTheme="minorHAnsi" w:cstheme="minorBidi"/>
          <w:sz w:val="32"/>
          <w:szCs w:val="32"/>
        </w:rPr>
        <w:t>ATTACHMENT B</w:t>
      </w:r>
    </w:p>
    <w:p w:rsidR="00A51B37" w:rsidP="00A51B37" w:rsidRDefault="00A51B37" w14:paraId="1BD04C36" w14:textId="1EF25667">
      <w:pPr>
        <w:spacing w:after="160" w:line="259" w:lineRule="auto"/>
        <w:contextualSpacing/>
        <w:jc w:val="center"/>
        <w:rPr>
          <w:rFonts w:ascii="Garamond" w:hAnsi="Garamond" w:eastAsiaTheme="minorHAnsi" w:cstheme="minorBidi"/>
          <w:sz w:val="32"/>
          <w:szCs w:val="32"/>
        </w:rPr>
      </w:pPr>
      <w:r>
        <w:rPr>
          <w:rFonts w:ascii="Garamond" w:hAnsi="Garamond" w:eastAsiaTheme="minorHAnsi" w:cstheme="minorBidi"/>
          <w:sz w:val="32"/>
          <w:szCs w:val="32"/>
        </w:rPr>
        <w:t xml:space="preserve">Safety Policy Division’s Evaluation of </w:t>
      </w:r>
      <w:r w:rsidR="00121235">
        <w:rPr>
          <w:rFonts w:ascii="Garamond" w:hAnsi="Garamond" w:eastAsiaTheme="minorHAnsi" w:cstheme="minorBidi"/>
          <w:sz w:val="32"/>
          <w:szCs w:val="32"/>
        </w:rPr>
        <w:t>Southern California Gas Company’s</w:t>
      </w:r>
      <w:r>
        <w:rPr>
          <w:rFonts w:ascii="Garamond" w:hAnsi="Garamond" w:eastAsiaTheme="minorHAnsi" w:cstheme="minorBidi"/>
          <w:sz w:val="32"/>
          <w:szCs w:val="32"/>
        </w:rPr>
        <w:t xml:space="preserve"> </w:t>
      </w:r>
    </w:p>
    <w:p w:rsidR="00A51B37" w:rsidP="00A51B37" w:rsidRDefault="00A51B37" w14:paraId="2AB641CD" w14:textId="2F81A629">
      <w:pPr>
        <w:spacing w:after="160" w:line="259" w:lineRule="auto"/>
        <w:contextualSpacing/>
        <w:jc w:val="center"/>
        <w:rPr>
          <w:rFonts w:ascii="Garamond" w:hAnsi="Garamond" w:eastAsiaTheme="minorHAnsi" w:cstheme="minorBidi"/>
          <w:sz w:val="28"/>
          <w:szCs w:val="28"/>
        </w:rPr>
      </w:pPr>
      <w:r>
        <w:rPr>
          <w:rFonts w:ascii="Garamond" w:hAnsi="Garamond" w:eastAsiaTheme="minorHAnsi" w:cstheme="minorBidi"/>
          <w:sz w:val="32"/>
          <w:szCs w:val="32"/>
        </w:rPr>
        <w:t>2020 Natural Gas Leak Abatement Compliance Plan</w:t>
      </w:r>
    </w:p>
    <w:p w:rsidR="00121235" w:rsidP="003F5B27" w:rsidRDefault="00121235" w14:paraId="0627C963" w14:textId="77777777">
      <w:pPr>
        <w:spacing w:line="259" w:lineRule="auto"/>
        <w:jc w:val="center"/>
        <w:rPr>
          <w:rFonts w:ascii="Century Gothic" w:hAnsi="Century Gothic" w:eastAsiaTheme="minorHAnsi" w:cstheme="minorBidi"/>
          <w:b/>
          <w:bCs/>
          <w:sz w:val="24"/>
          <w:szCs w:val="24"/>
        </w:rPr>
      </w:pPr>
    </w:p>
    <w:p w:rsidRPr="003F5B27" w:rsidR="003F5B27" w:rsidP="003F5B27" w:rsidRDefault="003F5B27" w14:paraId="698E3A77" w14:textId="1580B837">
      <w:pPr>
        <w:spacing w:line="259" w:lineRule="auto"/>
        <w:jc w:val="center"/>
        <w:rPr>
          <w:rFonts w:ascii="Century Gothic" w:hAnsi="Century Gothic" w:eastAsiaTheme="minorHAnsi" w:cstheme="minorBidi"/>
          <w:b/>
          <w:bCs/>
          <w:sz w:val="24"/>
          <w:szCs w:val="24"/>
        </w:rPr>
      </w:pPr>
      <w:r w:rsidRPr="003F5B27">
        <w:rPr>
          <w:rFonts w:ascii="Century Gothic" w:hAnsi="Century Gothic" w:eastAsiaTheme="minorHAnsi" w:cstheme="minorBidi"/>
          <w:b/>
          <w:bCs/>
          <w:sz w:val="24"/>
          <w:szCs w:val="24"/>
        </w:rPr>
        <w:t>Safety Policy Division</w:t>
      </w:r>
    </w:p>
    <w:p w:rsidRPr="003F5B27" w:rsidR="003F5B27" w:rsidP="003F5B27" w:rsidRDefault="003F5B27" w14:paraId="1065D23B" w14:textId="77777777">
      <w:pPr>
        <w:spacing w:line="259" w:lineRule="auto"/>
        <w:jc w:val="center"/>
        <w:rPr>
          <w:rFonts w:ascii="Century Gothic" w:hAnsi="Century Gothic" w:eastAsiaTheme="minorHAnsi" w:cstheme="minorBidi"/>
          <w:b/>
          <w:bCs/>
          <w:sz w:val="24"/>
          <w:szCs w:val="24"/>
        </w:rPr>
      </w:pPr>
      <w:r w:rsidRPr="003F5B27">
        <w:rPr>
          <w:rFonts w:ascii="Century Gothic" w:hAnsi="Century Gothic" w:eastAsiaTheme="minorHAnsi" w:cstheme="minorBidi"/>
          <w:b/>
          <w:bCs/>
          <w:sz w:val="24"/>
          <w:szCs w:val="24"/>
        </w:rPr>
        <w:t>Risk Assessment and Safety Analytics Section</w:t>
      </w:r>
    </w:p>
    <w:p w:rsidRPr="003F5B27" w:rsidR="003F5B27" w:rsidP="003F5B27" w:rsidRDefault="003F5B27" w14:paraId="2D3EE399" w14:textId="77777777">
      <w:pPr>
        <w:spacing w:line="259" w:lineRule="auto"/>
        <w:jc w:val="center"/>
        <w:rPr>
          <w:rFonts w:ascii="Century Gothic" w:hAnsi="Century Gothic" w:eastAsiaTheme="minorHAnsi" w:cstheme="minorBidi"/>
          <w:b/>
          <w:bCs/>
          <w:sz w:val="24"/>
          <w:szCs w:val="24"/>
        </w:rPr>
      </w:pPr>
      <w:r w:rsidRPr="003F5B27">
        <w:rPr>
          <w:rFonts w:ascii="Century Gothic" w:hAnsi="Century Gothic" w:eastAsiaTheme="minorHAnsi" w:cstheme="minorBidi"/>
          <w:b/>
          <w:bCs/>
          <w:sz w:val="24"/>
          <w:szCs w:val="24"/>
        </w:rPr>
        <w:t>Staff Evaluation</w:t>
      </w:r>
    </w:p>
    <w:p w:rsidRPr="003F5B27" w:rsidR="003F5B27" w:rsidP="003F5B27" w:rsidRDefault="003F5B27" w14:paraId="60AE26F8" w14:textId="77777777">
      <w:pPr>
        <w:spacing w:line="259" w:lineRule="auto"/>
        <w:jc w:val="center"/>
        <w:rPr>
          <w:rFonts w:ascii="Century Gothic" w:hAnsi="Century Gothic" w:eastAsiaTheme="minorHAnsi" w:cstheme="minorBidi"/>
          <w:b/>
          <w:bCs/>
          <w:sz w:val="24"/>
          <w:szCs w:val="24"/>
        </w:rPr>
      </w:pPr>
      <w:r w:rsidRPr="003F5B27">
        <w:rPr>
          <w:rFonts w:ascii="Century Gothic" w:hAnsi="Century Gothic" w:eastAsiaTheme="minorHAnsi" w:cstheme="minorBidi"/>
          <w:b/>
          <w:bCs/>
          <w:sz w:val="24"/>
          <w:szCs w:val="24"/>
        </w:rPr>
        <w:t>Southern California Gas Company 2020 Natural Gas Leak Abatement Compliance Plan</w:t>
      </w:r>
    </w:p>
    <w:p w:rsidRPr="003F5B27" w:rsidR="003F5B27" w:rsidP="003F5B27" w:rsidRDefault="003F5B27" w14:paraId="1419CF63" w14:textId="77777777">
      <w:pPr>
        <w:spacing w:line="259" w:lineRule="auto"/>
        <w:rPr>
          <w:rFonts w:ascii="Garamond" w:hAnsi="Garamond" w:eastAsiaTheme="minorHAnsi" w:cstheme="minorBidi"/>
          <w:sz w:val="24"/>
          <w:szCs w:val="22"/>
        </w:rPr>
      </w:pPr>
    </w:p>
    <w:p w:rsidRPr="003F5B27" w:rsidR="003F5B27" w:rsidP="003F5B27" w:rsidRDefault="003F5B27" w14:paraId="3D35D3E5" w14:textId="77777777">
      <w:pPr>
        <w:keepNext/>
        <w:keepLines/>
        <w:spacing w:before="240" w:line="259" w:lineRule="auto"/>
        <w:outlineLvl w:val="0"/>
        <w:rPr>
          <w:rFonts w:ascii="Century Gothic" w:hAnsi="Century Gothic" w:eastAsiaTheme="majorEastAsia" w:cstheme="majorBidi"/>
          <w:color w:val="2F5496" w:themeColor="accent1" w:themeShade="BF"/>
          <w:sz w:val="28"/>
          <w:szCs w:val="32"/>
        </w:rPr>
      </w:pPr>
      <w:r w:rsidRPr="003F5B27">
        <w:rPr>
          <w:rFonts w:ascii="Century Gothic" w:hAnsi="Century Gothic" w:eastAsiaTheme="majorEastAsia" w:cstheme="majorBidi"/>
          <w:color w:val="2F5496" w:themeColor="accent1" w:themeShade="BF"/>
          <w:sz w:val="28"/>
          <w:szCs w:val="32"/>
        </w:rPr>
        <w:t>EXECUTIVE SUMMARY</w:t>
      </w:r>
    </w:p>
    <w:p w:rsidRPr="003F5B27" w:rsidR="003F5B27" w:rsidP="003F5B27" w:rsidRDefault="003F5B27" w14:paraId="550EC43E" w14:textId="77777777">
      <w:pPr>
        <w:spacing w:after="160"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The Risk Assessment and Safety Analytics (RASA) Staff of the CPUC Safety Policy Division (SPD), in consultation with the California Air Resources Board (CARB), approves the proposed emissions reduction measures set forth in the Southern California Gas Company (SoCalGas) Amended 2020 Natural Gas Leak Abatement (NGLA) Compliance Plan, filed on September 4, 2020.  The Plan demonstrates how SoCalGas intends to comply with </w:t>
      </w:r>
      <w:hyperlink w:history="1" r:id="rId17">
        <w:r w:rsidRPr="003F5B27">
          <w:rPr>
            <w:rFonts w:ascii="Garamond" w:hAnsi="Garamond" w:eastAsiaTheme="minorHAnsi" w:cstheme="minorBidi"/>
            <w:color w:val="0000FF"/>
            <w:sz w:val="24"/>
            <w:szCs w:val="22"/>
            <w:u w:val="single"/>
          </w:rPr>
          <w:t>Decision (D.) 19.08-020</w:t>
        </w:r>
      </w:hyperlink>
      <w:r w:rsidRPr="003F5B27">
        <w:rPr>
          <w:rFonts w:ascii="Garamond" w:hAnsi="Garamond" w:eastAsiaTheme="minorHAnsi" w:cstheme="minorBidi"/>
          <w:sz w:val="24"/>
          <w:szCs w:val="22"/>
        </w:rPr>
        <w:t>.</w:t>
      </w:r>
    </w:p>
    <w:p w:rsidRPr="003F5B27" w:rsidR="003F5B27" w:rsidP="003F5B27" w:rsidRDefault="003F5B27" w14:paraId="328B6660"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In the 2020 Plan, emissions reduction measures approved in the 2018 Plan are proposed to continue, along with new activities based on research and pilot projects completed in the 2018-2019 period.  While the cost effectiveness of each proposed measure varies, those that have a higher cost effectiveness ratio tend to have a lower absolute cost and provide additional safety benefits. Reduced emissions also provide Cap and Trade cost savings and social cost of methane benefits, ultimately making these measures more affordable.</w:t>
      </w:r>
    </w:p>
    <w:p w:rsidRPr="003F5B27" w:rsidR="003F5B27" w:rsidP="003F5B27" w:rsidRDefault="003F5B27" w14:paraId="28E34146" w14:textId="77777777">
      <w:pPr>
        <w:spacing w:line="259" w:lineRule="auto"/>
        <w:rPr>
          <w:rFonts w:ascii="Garamond" w:hAnsi="Garamond" w:eastAsiaTheme="minorHAnsi" w:cstheme="minorBidi"/>
          <w:sz w:val="24"/>
          <w:szCs w:val="22"/>
        </w:rPr>
      </w:pPr>
    </w:p>
    <w:p w:rsidRPr="003F5B27" w:rsidR="003F5B27" w:rsidP="003F5B27" w:rsidRDefault="003F5B27" w14:paraId="314BF073"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This SoCalGas 2020 Compliance Plan projects an annual estimated emissions reduction of approximately 500,000 thousand cubic feet (MCF) by 2030, an 18 percent reduction from the original 2015 Baseline based on the current methods of estimating emissions.</w:t>
      </w:r>
      <w:r w:rsidRPr="003F5B27">
        <w:rPr>
          <w:rFonts w:ascii="Garamond" w:hAnsi="Garamond" w:eastAsiaTheme="minorHAnsi" w:cstheme="minorBidi"/>
          <w:sz w:val="24"/>
          <w:szCs w:val="22"/>
          <w:vertAlign w:val="superscript"/>
        </w:rPr>
        <w:footnoteReference w:id="10"/>
      </w:r>
      <w:r w:rsidRPr="003F5B27">
        <w:rPr>
          <w:rFonts w:ascii="Garamond" w:hAnsi="Garamond" w:eastAsiaTheme="minorHAnsi" w:cstheme="minorBidi"/>
          <w:sz w:val="24"/>
          <w:szCs w:val="22"/>
        </w:rPr>
        <w:t xml:space="preserve"> This estimate falls short of the statewide goal of 40 percent. However, recent improvements in measurement techniques and system knowledge developed </w:t>
      </w:r>
      <w:proofErr w:type="gramStart"/>
      <w:r w:rsidRPr="003F5B27">
        <w:rPr>
          <w:rFonts w:ascii="Garamond" w:hAnsi="Garamond" w:eastAsiaTheme="minorHAnsi" w:cstheme="minorBidi"/>
          <w:sz w:val="24"/>
          <w:szCs w:val="22"/>
        </w:rPr>
        <w:t>as a result of</w:t>
      </w:r>
      <w:proofErr w:type="gramEnd"/>
      <w:r w:rsidRPr="003F5B27">
        <w:rPr>
          <w:rFonts w:ascii="Garamond" w:hAnsi="Garamond" w:eastAsiaTheme="minorHAnsi" w:cstheme="minorBidi"/>
          <w:sz w:val="24"/>
          <w:szCs w:val="22"/>
        </w:rPr>
        <w:t xml:space="preserve"> research and pilot projects are expected to improve the accuracy of the original baseline and reported emission values.  These changes are expected to reduce the baseline level and allow for more accurate measurement of actual reductions achieved, so that the percentage reduction reported will increase.  </w:t>
      </w:r>
    </w:p>
    <w:p w:rsidRPr="003F5B27" w:rsidR="003F5B27" w:rsidP="003F5B27" w:rsidRDefault="003F5B27" w14:paraId="49543355" w14:textId="77777777">
      <w:pPr>
        <w:spacing w:line="259" w:lineRule="auto"/>
        <w:rPr>
          <w:rFonts w:ascii="Garamond" w:hAnsi="Garamond" w:eastAsiaTheme="minorHAnsi" w:cstheme="minorBidi"/>
          <w:sz w:val="24"/>
          <w:szCs w:val="22"/>
        </w:rPr>
      </w:pPr>
    </w:p>
    <w:p w:rsidRPr="003F5B27" w:rsidR="003F5B27" w:rsidP="003F5B27" w:rsidRDefault="003F5B27" w14:paraId="3E422FA0"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A unique feature of the 2020 Plan is the reduction of emissions downstream of SoCalGas facilities, beyond the meter.  These emissions occur on customer piping and facilities, not on SoCalGas assets, </w:t>
      </w:r>
      <w:r w:rsidRPr="003F5B27">
        <w:rPr>
          <w:rFonts w:ascii="Garamond" w:hAnsi="Garamond" w:eastAsiaTheme="minorHAnsi" w:cstheme="minorBidi"/>
          <w:sz w:val="24"/>
          <w:szCs w:val="22"/>
        </w:rPr>
        <w:lastRenderedPageBreak/>
        <w:t>yet the company proposes to identify downstream leaks for resolution by the customers, contributing to the overall greenhouse gas reduction goal.</w:t>
      </w:r>
    </w:p>
    <w:p w:rsidRPr="003F5B27" w:rsidR="003F5B27" w:rsidP="003F5B27" w:rsidRDefault="003F5B27" w14:paraId="0C29EE9C" w14:textId="77777777">
      <w:pPr>
        <w:spacing w:line="259" w:lineRule="auto"/>
        <w:rPr>
          <w:rFonts w:ascii="Garamond" w:hAnsi="Garamond" w:eastAsiaTheme="minorHAnsi" w:cstheme="minorBidi"/>
          <w:sz w:val="24"/>
          <w:szCs w:val="22"/>
        </w:rPr>
      </w:pPr>
    </w:p>
    <w:p w:rsidRPr="003F5B27" w:rsidR="003F5B27" w:rsidP="003F5B27" w:rsidRDefault="003F5B27" w14:paraId="3FB39636"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w:t>
      </w:r>
      <w:r w:rsidRPr="003F5B27">
        <w:rPr>
          <w:rFonts w:ascii="Garamond" w:hAnsi="Garamond" w:eastAsiaTheme="minorHAnsi" w:cstheme="minorBidi"/>
          <w:sz w:val="24"/>
          <w:szCs w:val="22"/>
          <w:vertAlign w:val="superscript"/>
        </w:rPr>
        <w:footnoteReference w:id="11"/>
      </w:r>
      <w:r w:rsidRPr="003F5B27">
        <w:rPr>
          <w:rFonts w:ascii="Garamond" w:hAnsi="Garamond" w:eastAsiaTheme="minorHAnsi" w:cstheme="minorBidi"/>
          <w:sz w:val="24"/>
          <w:szCs w:val="22"/>
        </w:rPr>
        <w:t xml:space="preserve"> adoption of the SoCalGas Plan as proposed.</w:t>
      </w:r>
    </w:p>
    <w:p w:rsidRPr="003F5B27" w:rsidR="003F5B27" w:rsidP="003F5B27" w:rsidRDefault="003F5B27" w14:paraId="116CAB1C" w14:textId="77777777">
      <w:pPr>
        <w:keepNext/>
        <w:keepLines/>
        <w:spacing w:before="240" w:line="259" w:lineRule="auto"/>
        <w:outlineLvl w:val="0"/>
        <w:rPr>
          <w:rFonts w:ascii="Century Gothic" w:hAnsi="Century Gothic" w:eastAsiaTheme="majorEastAsia" w:cstheme="majorBidi"/>
          <w:color w:val="2F5496" w:themeColor="accent1" w:themeShade="BF"/>
          <w:sz w:val="28"/>
          <w:szCs w:val="32"/>
        </w:rPr>
      </w:pPr>
      <w:r w:rsidRPr="003F5B27">
        <w:rPr>
          <w:rFonts w:ascii="Century Gothic" w:hAnsi="Century Gothic" w:eastAsiaTheme="majorEastAsia" w:cstheme="majorBidi"/>
          <w:color w:val="2F5496" w:themeColor="accent1" w:themeShade="BF"/>
          <w:sz w:val="28"/>
          <w:szCs w:val="32"/>
        </w:rPr>
        <w:t>BACKGROUND</w:t>
      </w:r>
      <w:r w:rsidRPr="003F5B27">
        <w:rPr>
          <w:rFonts w:ascii="Century Gothic" w:hAnsi="Century Gothic" w:eastAsiaTheme="majorEastAsia" w:cstheme="majorBidi"/>
          <w:color w:val="2F5496" w:themeColor="accent1" w:themeShade="BF"/>
          <w:sz w:val="28"/>
          <w:szCs w:val="32"/>
        </w:rPr>
        <w:tab/>
      </w:r>
    </w:p>
    <w:p w:rsidRPr="003F5B27" w:rsidR="003F5B27" w:rsidP="003F5B27" w:rsidRDefault="003F5B27" w14:paraId="10ED0EFE"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In accordance with Decision (D.) 19.08-020, which established Phase II in the CPUC’s proceeding to address Senate Bill (SB) 1371</w:t>
      </w:r>
      <w:r w:rsidRPr="003F5B27">
        <w:rPr>
          <w:rFonts w:ascii="Garamond" w:hAnsi="Garamond" w:eastAsiaTheme="minorHAnsi" w:cstheme="minorBidi"/>
          <w:sz w:val="24"/>
          <w:szCs w:val="22"/>
          <w:vertAlign w:val="superscript"/>
        </w:rPr>
        <w:footnoteReference w:id="12"/>
      </w:r>
      <w:r w:rsidRPr="003F5B27">
        <w:rPr>
          <w:rFonts w:ascii="Garamond" w:hAnsi="Garamond" w:eastAsiaTheme="minorHAnsi" w:cstheme="minorBidi"/>
          <w:sz w:val="24"/>
          <w:szCs w:val="22"/>
        </w:rPr>
        <w:t>, SoCalGas filed a Compliance Plan as required on March 15, 2020.  After initial feedback by RASA Staff, SoCalGas submitted an amended plan on June 12, 2020, which was further amended on September 4, 2020.  The purpose of the NGLA Compliance Plan is to propose how the utility will achieve emissions reductions, primarily though implementation of the Best Practices for leak abatement described in the Phase I NGLA Program Decision (D.) 17-06-015.</w:t>
      </w:r>
    </w:p>
    <w:p w:rsidRPr="003F5B27" w:rsidR="003F5B27" w:rsidP="003F5B27" w:rsidRDefault="003F5B27" w14:paraId="7164D420" w14:textId="77777777">
      <w:pPr>
        <w:spacing w:line="259" w:lineRule="auto"/>
        <w:rPr>
          <w:rFonts w:ascii="Garamond" w:hAnsi="Garamond" w:eastAsiaTheme="minorHAnsi" w:cstheme="minorBidi"/>
          <w:sz w:val="24"/>
          <w:szCs w:val="22"/>
        </w:rPr>
      </w:pPr>
    </w:p>
    <w:p w:rsidRPr="003F5B27" w:rsidR="003F5B27" w:rsidP="003F5B27" w:rsidRDefault="003F5B27" w14:paraId="442AD61F"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The Risk Assessment and Safety Analytics (RASA) Section of the Safety Policy Division, originally part of the Safety Enforcement Division (SED), has monitored and evaluated the NGLA Program since the initial plans were submitted in 2018.  Based on the RASA evaluation of those plans, the Commission voted to adopt Resolution G-3538 in October 2018 authorizing the collection of funds from ratepayers in Memorandum and Balancing Accounts to permit implementation of the 2018 Compliance Plan in 2019 and 2020.</w:t>
      </w:r>
    </w:p>
    <w:p w:rsidRPr="003F5B27" w:rsidR="003F5B27" w:rsidP="003F5B27" w:rsidRDefault="003F5B27" w14:paraId="3A653EE6" w14:textId="77777777">
      <w:pPr>
        <w:spacing w:line="259" w:lineRule="auto"/>
        <w:rPr>
          <w:rFonts w:ascii="Garamond" w:hAnsi="Garamond" w:eastAsiaTheme="minorHAnsi" w:cstheme="minorBidi"/>
          <w:sz w:val="24"/>
          <w:szCs w:val="22"/>
        </w:rPr>
      </w:pPr>
    </w:p>
    <w:p w:rsidRPr="003F5B27" w:rsidR="003F5B27" w:rsidP="003F5B27" w:rsidRDefault="003F5B27" w14:paraId="592ADD03" w14:textId="77777777">
      <w:pPr>
        <w:autoSpaceDE w:val="0"/>
        <w:autoSpaceDN w:val="0"/>
        <w:adjustRightInd w:val="0"/>
        <w:rPr>
          <w:rFonts w:ascii="Garamond" w:hAnsi="Garamond" w:eastAsiaTheme="minorHAnsi" w:cstheme="minorBidi"/>
          <w:sz w:val="24"/>
          <w:szCs w:val="22"/>
        </w:rPr>
      </w:pPr>
      <w:r w:rsidRPr="003F5B27">
        <w:rPr>
          <w:rFonts w:ascii="Garamond" w:hAnsi="Garamond" w:eastAsiaTheme="minorHAnsi" w:cstheme="minorBidi"/>
          <w:sz w:val="24"/>
          <w:szCs w:val="22"/>
        </w:rPr>
        <w:t>The Phase II Decision added requirements for the Compliance Plans, including specifications for determining the cost effectiveness for each proposed compliance measure, when emissions reduction can be attributed to the measure.  D.19.08-020 requires use of a specified cost-effectiveness methodology and two cost-benefit analyses to provide benefit information when evaluating proposed methane reduction measures and for evaluating the Biennial Methane Leaks Compliance Plans (Compliance Plans), while maintaining full discretion for the Commission to also consider qualitative factors and policy goals.  The two cost-benefit analysis are: Cap and Trade savings and avoided social cost of methane. D.19.08-020 did not specify a cost effectiveness threshold but required the proposals to be evaluated on qualitative and quantitative bases.</w:t>
      </w:r>
    </w:p>
    <w:p w:rsidRPr="003F5B27" w:rsidR="003F5B27" w:rsidP="003F5B27" w:rsidRDefault="003F5B27" w14:paraId="5C6DA5AA" w14:textId="77777777">
      <w:pPr>
        <w:autoSpaceDE w:val="0"/>
        <w:autoSpaceDN w:val="0"/>
        <w:adjustRightInd w:val="0"/>
        <w:rPr>
          <w:rFonts w:ascii="Garamond" w:hAnsi="Garamond" w:eastAsiaTheme="minorHAnsi" w:cstheme="minorHAnsi"/>
          <w:sz w:val="24"/>
          <w:szCs w:val="22"/>
        </w:rPr>
      </w:pPr>
    </w:p>
    <w:p w:rsidRPr="003F5B27" w:rsidR="003F5B27" w:rsidP="003F5B27" w:rsidRDefault="003F5B27" w14:paraId="757941F9"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Some of the best practices such as record-keeping or training do not have directly associated emissions reductions; rather these practices serve as foundational support for the overall goal.  The Phase II Decision also provides for grouping multiple Best Practices into integrated measures, with each measure described in its own Chapter.</w:t>
      </w:r>
    </w:p>
    <w:p w:rsidRPr="003F5B27" w:rsidR="003F5B27" w:rsidP="003F5B27" w:rsidRDefault="003F5B27" w14:paraId="47E4D7C8" w14:textId="77777777">
      <w:pPr>
        <w:keepNext/>
        <w:keepLines/>
        <w:spacing w:before="240" w:line="259" w:lineRule="auto"/>
        <w:outlineLvl w:val="0"/>
        <w:rPr>
          <w:rFonts w:ascii="Century Gothic" w:hAnsi="Century Gothic" w:eastAsiaTheme="majorEastAsia" w:cstheme="majorBidi"/>
          <w:color w:val="2F5496" w:themeColor="accent1" w:themeShade="BF"/>
          <w:sz w:val="28"/>
          <w:szCs w:val="32"/>
        </w:rPr>
      </w:pPr>
      <w:r w:rsidRPr="003F5B27">
        <w:rPr>
          <w:rFonts w:ascii="Century Gothic" w:hAnsi="Century Gothic" w:eastAsiaTheme="majorEastAsia" w:cstheme="majorBidi"/>
          <w:color w:val="2F5496" w:themeColor="accent1" w:themeShade="BF"/>
          <w:sz w:val="28"/>
          <w:szCs w:val="32"/>
        </w:rPr>
        <w:t>APPROVAL AUTHORITY</w:t>
      </w:r>
    </w:p>
    <w:p w:rsidRPr="003F5B27" w:rsidR="003F5B27" w:rsidP="003F5B27" w:rsidRDefault="003F5B27" w14:paraId="3136E3E8"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D.19.08-020 authorizes the CPUC’s SED to approve NGLA Compliance Plans.</w:t>
      </w:r>
      <w:r w:rsidRPr="003F5B27">
        <w:rPr>
          <w:rFonts w:ascii="Garamond" w:hAnsi="Garamond" w:eastAsiaTheme="minorHAnsi" w:cstheme="minorBidi"/>
          <w:sz w:val="24"/>
          <w:szCs w:val="22"/>
          <w:vertAlign w:val="superscript"/>
        </w:rPr>
        <w:footnoteReference w:id="13"/>
      </w:r>
      <w:r w:rsidRPr="003F5B27">
        <w:rPr>
          <w:rFonts w:ascii="Garamond" w:hAnsi="Garamond" w:eastAsiaTheme="minorHAnsi" w:cstheme="minorBidi"/>
          <w:sz w:val="24"/>
          <w:szCs w:val="22"/>
        </w:rPr>
        <w:t xml:space="preserve">  Since the Decision was issued, the SED RASA Staff who had that responsibility are now part of the Safety Policy Division and have continued that role. When funding is required outside of a General Rate Case (GRC), the utility will file a Tier 3 Advice Letter with Energy Division, which requires a Resolution to be voted on by the Commission.</w:t>
      </w:r>
    </w:p>
    <w:p w:rsidRPr="003F5B27" w:rsidR="003F5B27" w:rsidP="003F5B27" w:rsidRDefault="003F5B27" w14:paraId="21D2035D" w14:textId="77777777">
      <w:pPr>
        <w:keepNext/>
        <w:keepLines/>
        <w:spacing w:before="240" w:line="259" w:lineRule="auto"/>
        <w:outlineLvl w:val="0"/>
        <w:rPr>
          <w:rFonts w:ascii="Century Gothic" w:hAnsi="Century Gothic" w:eastAsiaTheme="majorEastAsia" w:cstheme="majorBidi"/>
          <w:color w:val="2F5496" w:themeColor="accent1" w:themeShade="BF"/>
          <w:sz w:val="28"/>
          <w:szCs w:val="32"/>
        </w:rPr>
      </w:pPr>
      <w:r w:rsidRPr="003F5B27">
        <w:rPr>
          <w:rFonts w:ascii="Century Gothic" w:hAnsi="Century Gothic" w:eastAsiaTheme="majorEastAsia" w:cstheme="majorBidi"/>
          <w:color w:val="2F5496" w:themeColor="accent1" w:themeShade="BF"/>
          <w:sz w:val="28"/>
          <w:szCs w:val="32"/>
        </w:rPr>
        <w:lastRenderedPageBreak/>
        <w:t>COMPLIANCE PLAN SUMMARY</w:t>
      </w:r>
    </w:p>
    <w:p w:rsidRPr="003F5B27" w:rsidR="003F5B27" w:rsidP="003F5B27" w:rsidRDefault="003F5B27" w14:paraId="10D7D696"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The SoCalGas Amended 2020 Compliance Plan presents a total of 28 Chapters detailing measures to address the 26 Best Practices to begin or continue in 2021. Nine Chapters provide an emissions reduction estimate with corresponding cost effectiveness </w:t>
      </w:r>
      <w:proofErr w:type="gramStart"/>
      <w:r w:rsidRPr="003F5B27">
        <w:rPr>
          <w:rFonts w:ascii="Garamond" w:hAnsi="Garamond" w:eastAsiaTheme="minorHAnsi" w:cstheme="minorBidi"/>
          <w:sz w:val="24"/>
          <w:szCs w:val="22"/>
        </w:rPr>
        <w:t>values .Overall</w:t>
      </w:r>
      <w:proofErr w:type="gramEnd"/>
      <w:r w:rsidRPr="003F5B27">
        <w:rPr>
          <w:rFonts w:ascii="Garamond" w:hAnsi="Garamond" w:eastAsiaTheme="minorHAnsi" w:cstheme="minorBidi"/>
          <w:sz w:val="24"/>
          <w:szCs w:val="22"/>
        </w:rPr>
        <w:t xml:space="preserve">, the Plan projects emissions reduction of 18 percent by 2025 from the unadjusted 2015 baseline, with no additional reduction expected by 2030. This estimate falls short of both the statewide greenhouse gas (GHG) reduction goal of 40 percent by 2030 and the interim reduction target of 20 percent by 2025 established in the Phase II Decision.  </w:t>
      </w:r>
    </w:p>
    <w:p w:rsidRPr="003F5B27" w:rsidR="003F5B27" w:rsidP="003F5B27" w:rsidRDefault="003F5B27" w14:paraId="434FFD20" w14:textId="77777777">
      <w:pPr>
        <w:spacing w:line="259" w:lineRule="auto"/>
        <w:rPr>
          <w:rFonts w:ascii="Garamond" w:hAnsi="Garamond" w:eastAsiaTheme="minorHAnsi" w:cstheme="minorBidi"/>
          <w:sz w:val="24"/>
          <w:szCs w:val="22"/>
        </w:rPr>
      </w:pPr>
    </w:p>
    <w:p w:rsidRPr="003F5B27" w:rsidR="003F5B27" w:rsidP="003F5B27" w:rsidRDefault="003F5B27" w14:paraId="6EAE9D26"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However, as noted in the Decision, approximately 60 percent of the baseline emissions level and subsequent reported emissions are estimated from population-based emission factors, which rigidly link emission volumes to the number of devices or miles of pipeline in the operator’s system rather than measurement of actual leaks. Thus, no reduction from those sources can be measured unless better quantification methods are employed. Research and pilot studies aimed at developing such quantification methods have been conducted in the last two years, which have been presented by SoCalGas and PG&amp;E at the annual NGLA winter workshops for consideration by RASA and California Air Resources Board (CARB) Staff.  </w:t>
      </w:r>
    </w:p>
    <w:p w:rsidRPr="003F5B27" w:rsidR="003F5B27" w:rsidP="003F5B27" w:rsidRDefault="003F5B27" w14:paraId="3BCFA38E" w14:textId="77777777">
      <w:pPr>
        <w:spacing w:line="259" w:lineRule="auto"/>
        <w:rPr>
          <w:rFonts w:ascii="Garamond" w:hAnsi="Garamond" w:eastAsiaTheme="minorHAnsi" w:cstheme="minorBidi"/>
          <w:sz w:val="24"/>
          <w:szCs w:val="22"/>
        </w:rPr>
      </w:pPr>
    </w:p>
    <w:p w:rsidRPr="003F5B27" w:rsidR="003F5B27" w:rsidP="003F5B27" w:rsidRDefault="003F5B27" w14:paraId="27C25607"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expects that these improved methods should provide a better measurement of the performance of SoCalGas’s initiatives and will better inform decisions about potential corrections in future Compliance Plans as may be needed to reach the 2030 goal.</w:t>
      </w:r>
    </w:p>
    <w:p w:rsidRPr="003F5B27" w:rsidR="003F5B27" w:rsidP="003F5B27" w:rsidRDefault="003F5B27" w14:paraId="656B2368" w14:textId="77777777">
      <w:pPr>
        <w:spacing w:line="259" w:lineRule="auto"/>
        <w:rPr>
          <w:rFonts w:ascii="Garamond" w:hAnsi="Garamond" w:eastAsiaTheme="minorHAnsi" w:cstheme="minorBidi"/>
          <w:sz w:val="24"/>
          <w:szCs w:val="22"/>
        </w:rPr>
      </w:pPr>
    </w:p>
    <w:p w:rsidRPr="003F5B27" w:rsidR="003F5B27" w:rsidP="003F5B27" w:rsidRDefault="003F5B27" w14:paraId="5A3A36F4"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A summary table of the chapters offering emissions reduction estimates and cost effectiveness values follows in Appendix A, Table 2.  Each of these chapters will be examined in Section A below.</w:t>
      </w:r>
    </w:p>
    <w:p w:rsidRPr="003F5B27" w:rsidR="003F5B27" w:rsidP="003F5B27" w:rsidRDefault="003F5B27" w14:paraId="065B173F" w14:textId="77777777">
      <w:pPr>
        <w:spacing w:line="259" w:lineRule="auto"/>
        <w:rPr>
          <w:rFonts w:ascii="Garamond" w:hAnsi="Garamond" w:eastAsiaTheme="minorHAnsi" w:cstheme="minorBidi"/>
          <w:sz w:val="24"/>
          <w:szCs w:val="22"/>
        </w:rPr>
      </w:pPr>
    </w:p>
    <w:p w:rsidRPr="003F5B27" w:rsidR="003F5B27" w:rsidP="003F5B27" w:rsidRDefault="003F5B27" w14:paraId="6F976EE0" w14:textId="77777777">
      <w:pPr>
        <w:keepNext/>
        <w:keepLines/>
        <w:spacing w:before="240" w:line="259" w:lineRule="auto"/>
        <w:outlineLvl w:val="0"/>
        <w:rPr>
          <w:rFonts w:ascii="Century Gothic" w:hAnsi="Century Gothic" w:eastAsiaTheme="majorEastAsia" w:cstheme="majorBidi"/>
          <w:color w:val="2F5496" w:themeColor="accent1" w:themeShade="BF"/>
          <w:sz w:val="28"/>
          <w:szCs w:val="32"/>
        </w:rPr>
      </w:pPr>
      <w:r w:rsidRPr="003F5B27">
        <w:rPr>
          <w:rFonts w:ascii="Century Gothic" w:hAnsi="Century Gothic" w:eastAsiaTheme="majorEastAsia" w:cstheme="majorBidi"/>
          <w:color w:val="2F5496" w:themeColor="accent1" w:themeShade="BF"/>
          <w:sz w:val="28"/>
          <w:szCs w:val="32"/>
        </w:rPr>
        <w:t>COST EFFECTIVENESS</w:t>
      </w:r>
    </w:p>
    <w:p w:rsidRPr="003F5B27" w:rsidR="003F5B27" w:rsidP="003F5B27" w:rsidRDefault="003F5B27" w14:paraId="1F8580E9"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D.19.08-020, the Phase II decision, defined a cost effectiveness calculation method and requires presentation of the social cost of methane and Cap and Trade benefits.</w:t>
      </w:r>
    </w:p>
    <w:p w:rsidRPr="003F5B27" w:rsidR="003F5B27" w:rsidP="003F5B27" w:rsidRDefault="003F5B27" w14:paraId="5FAF3619" w14:textId="77777777">
      <w:pPr>
        <w:spacing w:line="259" w:lineRule="auto"/>
        <w:rPr>
          <w:rFonts w:ascii="Garamond" w:hAnsi="Garamond" w:eastAsiaTheme="minorHAnsi" w:cstheme="minorBidi"/>
          <w:sz w:val="24"/>
          <w:szCs w:val="22"/>
        </w:rPr>
      </w:pPr>
    </w:p>
    <w:p w:rsidRPr="003F5B27" w:rsidR="003F5B27" w:rsidP="003F5B27" w:rsidRDefault="003F5B27" w14:paraId="5FBB338C"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STANDARD COST EFFECTIVENESS</w:t>
      </w:r>
    </w:p>
    <w:p w:rsidRPr="003F5B27" w:rsidR="003F5B27" w:rsidP="003F5B27" w:rsidRDefault="003F5B27" w14:paraId="2BB5733A"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The “standard” cost effectiveness is the total program costs divided by the total emissions reduction for the same </w:t>
      </w:r>
      <w:proofErr w:type="gramStart"/>
      <w:r w:rsidRPr="003F5B27">
        <w:rPr>
          <w:rFonts w:ascii="Garamond" w:hAnsi="Garamond" w:eastAsiaTheme="minorHAnsi" w:cstheme="minorBidi"/>
          <w:sz w:val="24"/>
          <w:szCs w:val="22"/>
        </w:rPr>
        <w:t>time period</w:t>
      </w:r>
      <w:proofErr w:type="gramEnd"/>
      <w:r w:rsidRPr="003F5B27">
        <w:rPr>
          <w:rFonts w:ascii="Garamond" w:hAnsi="Garamond" w:eastAsiaTheme="minorHAnsi" w:cstheme="minorBidi"/>
          <w:sz w:val="24"/>
          <w:szCs w:val="22"/>
        </w:rPr>
        <w:t>. Total NGLA program costs are taken as the Average Annual Revenue Requirement (AARR) times the number of years of the program. From that cost, direct cost savings such as the cost of gas saved are deducted.  This net cost is then divided by the cumulative emissions reduction.  Cost effectiveness is expressed in dollars per thousand standard cubic feet of natural gas emissions or $/MCF.</w:t>
      </w:r>
    </w:p>
    <w:p w:rsidRPr="003F5B27" w:rsidR="003F5B27" w:rsidP="003F5B27" w:rsidRDefault="003F5B27" w14:paraId="6B124B17" w14:textId="77777777">
      <w:pPr>
        <w:spacing w:line="259" w:lineRule="auto"/>
        <w:rPr>
          <w:rFonts w:ascii="Garamond" w:hAnsi="Garamond" w:eastAsiaTheme="minorHAnsi" w:cstheme="minorBidi"/>
          <w:sz w:val="24"/>
          <w:szCs w:val="22"/>
        </w:rPr>
      </w:pPr>
    </w:p>
    <w:p w:rsidRPr="003F5B27" w:rsidR="003F5B27" w:rsidP="003F5B27" w:rsidRDefault="003F5B27" w14:paraId="37D79516"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CAP AND TRADE BENEFITS</w:t>
      </w:r>
    </w:p>
    <w:p w:rsidRPr="003F5B27" w:rsidR="003F5B27" w:rsidP="003F5B27" w:rsidRDefault="003F5B27" w14:paraId="647F3DD7"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An avoided Cap and Trade cost analysis is required by D. 19-08-020, to be used for information and comparison purposes.</w:t>
      </w:r>
      <w:r w:rsidRPr="003F5B27">
        <w:rPr>
          <w:rFonts w:ascii="Garamond" w:hAnsi="Garamond" w:eastAsiaTheme="minorHAnsi" w:cstheme="minorBidi"/>
          <w:sz w:val="24"/>
          <w:szCs w:val="22"/>
          <w:vertAlign w:val="superscript"/>
        </w:rPr>
        <w:footnoteReference w:id="14"/>
      </w:r>
      <w:r w:rsidRPr="003F5B27">
        <w:rPr>
          <w:rFonts w:ascii="Garamond" w:hAnsi="Garamond" w:eastAsiaTheme="minorHAnsi" w:cstheme="minorBidi"/>
          <w:sz w:val="24"/>
          <w:szCs w:val="22"/>
        </w:rPr>
        <w:t xml:space="preserve"> For SoCalGas, an annual Advice Letter forecasts the rate impact of the Cap </w:t>
      </w:r>
      <w:r w:rsidRPr="003F5B27">
        <w:rPr>
          <w:rFonts w:ascii="Garamond" w:hAnsi="Garamond" w:eastAsiaTheme="minorHAnsi" w:cstheme="minorBidi"/>
          <w:sz w:val="24"/>
          <w:szCs w:val="22"/>
        </w:rPr>
        <w:lastRenderedPageBreak/>
        <w:t>and Trade expense.  This expense is added to rates per CPUC approval. Emissions reductions are accounted for in this Advice Letter as reduced gas throughput.  In the Compliance Plan, the utility is required to show the value of the avoided Cap and Trade cost as a benefit in $/MCF. The Decision specifies that the Cap and Trade cost benefit test shall use the same Emission Conversion Factor and Proxy Greenhouse Gas Allowance Price as is used for the gas utilities’ forecast revenue requirements pursuant to Decision 15-10-032.</w:t>
      </w:r>
      <w:r w:rsidRPr="003F5B27">
        <w:rPr>
          <w:rFonts w:ascii="Garamond" w:hAnsi="Garamond" w:eastAsiaTheme="minorHAnsi" w:cstheme="minorBidi"/>
          <w:sz w:val="24"/>
          <w:szCs w:val="22"/>
          <w:vertAlign w:val="superscript"/>
        </w:rPr>
        <w:footnoteReference w:id="15"/>
      </w:r>
      <w:r w:rsidRPr="003F5B27">
        <w:rPr>
          <w:rFonts w:ascii="Garamond" w:hAnsi="Garamond" w:eastAsiaTheme="minorHAnsi" w:cstheme="minorBidi"/>
          <w:sz w:val="24"/>
          <w:szCs w:val="22"/>
        </w:rPr>
        <w:t xml:space="preserve">  That decision values Cap and Trade costs on the basis that all gas throughput is combusted to carbon dioxide and emitted to the atmosphere as CO2.</w:t>
      </w:r>
    </w:p>
    <w:p w:rsidRPr="003F5B27" w:rsidR="003F5B27" w:rsidP="003F5B27" w:rsidRDefault="003F5B27" w14:paraId="00743A93" w14:textId="77777777">
      <w:pPr>
        <w:spacing w:line="259" w:lineRule="auto"/>
        <w:rPr>
          <w:rFonts w:ascii="Garamond" w:hAnsi="Garamond" w:eastAsiaTheme="minorHAnsi" w:cstheme="minorBidi"/>
          <w:sz w:val="24"/>
          <w:szCs w:val="22"/>
        </w:rPr>
      </w:pPr>
    </w:p>
    <w:p w:rsidRPr="003F5B27" w:rsidR="003F5B27" w:rsidP="003F5B27" w:rsidRDefault="003F5B27" w14:paraId="05F7C83D"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This is the first time these tests have been included in the Compliance Plans. RASA found an error in SoCalGas’ original Plan: the utility assumed that the benefit should represent the Global Warming Potential (GWP) of avoided methane emissions, which have a higher value than emitted CO2.  However, that approach does not comply with D.19.08-020.  Staff notes that the GWP of methane is allowed for in the social cost of methane benefit.    SoCalGas corrected the error in the Amended Plan submitted on September 4, 2020.  </w:t>
      </w:r>
    </w:p>
    <w:p w:rsidRPr="003F5B27" w:rsidR="003F5B27" w:rsidP="003F5B27" w:rsidRDefault="003F5B27" w14:paraId="0DC96D6F" w14:textId="77777777">
      <w:pPr>
        <w:spacing w:line="259" w:lineRule="auto"/>
        <w:rPr>
          <w:rFonts w:ascii="Garamond" w:hAnsi="Garamond" w:eastAsiaTheme="minorHAnsi" w:cstheme="minorBidi"/>
          <w:sz w:val="24"/>
          <w:szCs w:val="22"/>
        </w:rPr>
      </w:pPr>
    </w:p>
    <w:p w:rsidRPr="003F5B27" w:rsidR="003F5B27" w:rsidP="003F5B27" w:rsidRDefault="003F5B27" w14:paraId="0377ECD0" w14:textId="77777777">
      <w:pPr>
        <w:spacing w:after="160"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The Proxy Greenhouse Gas Allowance Price is variable based on market valuation.  To determine the Cap and Trade benefit for the Compliance Plan, SoCalGas used a December 2022 futures value based on the five-day average of trading days January 10-16, 2020 from the International Exchange: $20.82 per metric ton CO2 equivalent (MT CO2(e)).  That price combined with the Emission Conversion Factor of 54.64 MT CO2(e) per one million cubic feet of natural gas throughput gives a Cap and Trade benefit of $1.14/MCF of natural gas, significantly lower than the original SoCalGas figure of $13.61/MCF.   RASA Staff agrees with the revised SoCalGas determination.</w:t>
      </w:r>
    </w:p>
    <w:p w:rsidRPr="003F5B27" w:rsidR="003F5B27" w:rsidP="003F5B27" w:rsidRDefault="003F5B27" w14:paraId="2AC4A596" w14:textId="77777777">
      <w:pPr>
        <w:spacing w:line="259" w:lineRule="auto"/>
        <w:rPr>
          <w:rFonts w:ascii="Garamond" w:hAnsi="Garamond" w:eastAsiaTheme="minorHAnsi" w:cstheme="minorBidi"/>
          <w:sz w:val="24"/>
          <w:szCs w:val="22"/>
        </w:rPr>
      </w:pPr>
    </w:p>
    <w:p w:rsidRPr="003F5B27" w:rsidR="003F5B27" w:rsidP="003F5B27" w:rsidRDefault="003F5B27" w14:paraId="5511361A"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SOCIAL COST OF METHANE BENEFITS</w:t>
      </w:r>
    </w:p>
    <w:p w:rsidRPr="003F5B27" w:rsidR="003F5B27" w:rsidP="003F5B27" w:rsidRDefault="003F5B27" w14:paraId="105561DC"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The second cost-benefit test required by Phase II is the value for avoided social cost of methane (SCM).  While not an immediately tangible savings to the ratepayer, the future cost to society from the environmental impact of GHGs is an important component of any GHG program.  The Phase II Decision provides an SCM value of $21/MCF to use in Compliance Plans.</w:t>
      </w:r>
      <w:r w:rsidRPr="003F5B27">
        <w:rPr>
          <w:rFonts w:ascii="Garamond" w:hAnsi="Garamond" w:eastAsiaTheme="minorHAnsi" w:cstheme="minorBidi"/>
          <w:sz w:val="24"/>
          <w:szCs w:val="22"/>
          <w:vertAlign w:val="superscript"/>
        </w:rPr>
        <w:footnoteReference w:id="16"/>
      </w:r>
      <w:r w:rsidRPr="003F5B27">
        <w:rPr>
          <w:rFonts w:ascii="Garamond" w:hAnsi="Garamond" w:eastAsiaTheme="minorHAnsi" w:cstheme="minorBidi"/>
          <w:sz w:val="24"/>
          <w:szCs w:val="22"/>
        </w:rPr>
        <w:t xml:space="preserve">  SoCalGas used that value in the Plan.</w:t>
      </w:r>
    </w:p>
    <w:p w:rsidRPr="003F5B27" w:rsidR="003F5B27" w:rsidP="003F5B27" w:rsidRDefault="003F5B27" w14:paraId="3697E34E" w14:textId="77777777">
      <w:pPr>
        <w:spacing w:line="259" w:lineRule="auto"/>
        <w:rPr>
          <w:rFonts w:ascii="Garamond" w:hAnsi="Garamond" w:eastAsiaTheme="minorHAnsi" w:cstheme="minorBidi"/>
          <w:sz w:val="24"/>
          <w:szCs w:val="22"/>
        </w:rPr>
      </w:pPr>
    </w:p>
    <w:p w:rsidRPr="003F5B27" w:rsidR="003F5B27" w:rsidP="003F5B27" w:rsidRDefault="003F5B27" w14:paraId="7BF7EB84" w14:textId="77777777">
      <w:pPr>
        <w:keepNext/>
        <w:keepLines/>
        <w:spacing w:before="240" w:line="259" w:lineRule="auto"/>
        <w:outlineLvl w:val="0"/>
        <w:rPr>
          <w:rFonts w:ascii="Century Gothic" w:hAnsi="Century Gothic" w:eastAsiaTheme="majorEastAsia" w:cstheme="majorBidi"/>
          <w:color w:val="2F5496" w:themeColor="accent1" w:themeShade="BF"/>
          <w:sz w:val="28"/>
          <w:szCs w:val="32"/>
        </w:rPr>
      </w:pPr>
      <w:r w:rsidRPr="003F5B27">
        <w:rPr>
          <w:rFonts w:ascii="Century Gothic" w:hAnsi="Century Gothic" w:eastAsiaTheme="majorEastAsia" w:cstheme="majorBidi"/>
          <w:color w:val="2F5496" w:themeColor="accent1" w:themeShade="BF"/>
          <w:sz w:val="28"/>
          <w:szCs w:val="32"/>
        </w:rPr>
        <w:t>REVIEW OF PLAN CHAPTERS</w:t>
      </w:r>
    </w:p>
    <w:p w:rsidRPr="003F5B27" w:rsidR="003F5B27" w:rsidP="003F5B27" w:rsidRDefault="003F5B27" w14:paraId="71133264"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A complete list of all chapters with their Average Annual Revenue Requirement, Cost Effectiveness, and Best Practices (BPs) addressed, is provided in Table 1 below.  This report first examines the chapters that present estimated emissions reductions and cost effectiveness values in Section A and the remaining chapters in Section B.  </w:t>
      </w:r>
    </w:p>
    <w:p w:rsidRPr="003F5B27" w:rsidR="003F5B27" w:rsidP="003F5B27" w:rsidRDefault="003F5B27" w14:paraId="088127E2" w14:textId="77777777">
      <w:pPr>
        <w:spacing w:line="259" w:lineRule="auto"/>
        <w:rPr>
          <w:rFonts w:ascii="Garamond" w:hAnsi="Garamond" w:eastAsiaTheme="minorHAnsi" w:cstheme="minorBidi"/>
          <w:sz w:val="24"/>
          <w:szCs w:val="22"/>
        </w:rPr>
      </w:pPr>
    </w:p>
    <w:p w:rsidR="003F5B27" w:rsidP="003F5B27" w:rsidRDefault="003F5B27" w14:paraId="5DE3BED3" w14:textId="701AEACD">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Staff notes that BPs 1, 8, 10, and 14 were not specifically addressed in the Plan.  BP 1 is the requirement to have a Compliance Plan, which is manifestly fulfilled.  In the Plan Introduction, SoCalGas does mention that BPs 8,10, and 14 had been addressed in the 2018 Plan so do not </w:t>
      </w:r>
      <w:r w:rsidRPr="003F5B27">
        <w:rPr>
          <w:rFonts w:ascii="Garamond" w:hAnsi="Garamond" w:eastAsiaTheme="minorHAnsi" w:cstheme="minorBidi"/>
          <w:sz w:val="24"/>
          <w:szCs w:val="22"/>
        </w:rPr>
        <w:lastRenderedPageBreak/>
        <w:t>require additional discussion.  A description of all 26 Best Practices is provided in Appendix B for reference.</w:t>
      </w:r>
    </w:p>
    <w:p w:rsidRPr="003F5B27" w:rsidR="00121235" w:rsidP="003F5B27" w:rsidRDefault="00121235" w14:paraId="53AEB282" w14:textId="77777777">
      <w:pPr>
        <w:spacing w:line="259" w:lineRule="auto"/>
        <w:rPr>
          <w:rFonts w:ascii="Garamond" w:hAnsi="Garamond" w:eastAsiaTheme="minorHAnsi" w:cstheme="minorBidi"/>
          <w:sz w:val="24"/>
          <w:szCs w:val="22"/>
        </w:rPr>
      </w:pPr>
    </w:p>
    <w:p w:rsidRPr="003F5B27" w:rsidR="003F5B27" w:rsidP="003F5B27" w:rsidRDefault="003F5B27" w14:paraId="051C8790" w14:textId="77777777">
      <w:pPr>
        <w:spacing w:after="160" w:line="259" w:lineRule="auto"/>
        <w:rPr>
          <w:rFonts w:asciiTheme="minorHAnsi" w:hAnsiTheme="minorHAnsi" w:eastAsiaTheme="minorHAnsi" w:cstheme="minorBidi"/>
          <w:b/>
          <w:bCs/>
          <w:sz w:val="22"/>
          <w:szCs w:val="22"/>
        </w:rPr>
      </w:pPr>
      <w:r w:rsidRPr="003F5B27">
        <w:rPr>
          <w:rFonts w:ascii="Garamond" w:hAnsi="Garamond" w:eastAsiaTheme="minorHAnsi" w:cstheme="minorBidi"/>
          <w:b/>
          <w:bCs/>
          <w:sz w:val="24"/>
          <w:szCs w:val="22"/>
        </w:rPr>
        <w:t>TABLE 1.  COMPLIANCE PLAN SUMMARY</w:t>
      </w:r>
    </w:p>
    <w:tbl>
      <w:tblPr>
        <w:tblW w:w="9544" w:type="dxa"/>
        <w:tblLook w:val="04A0" w:firstRow="1" w:lastRow="0" w:firstColumn="1" w:lastColumn="0" w:noHBand="0" w:noVBand="1"/>
      </w:tblPr>
      <w:tblGrid>
        <w:gridCol w:w="1139"/>
        <w:gridCol w:w="3883"/>
        <w:gridCol w:w="1620"/>
        <w:gridCol w:w="1800"/>
        <w:gridCol w:w="1267"/>
      </w:tblGrid>
      <w:tr w:rsidRPr="003F5B27" w:rsidR="003F5B27" w:rsidTr="003C64EA" w14:paraId="1EA6953E" w14:textId="77777777">
        <w:trPr>
          <w:trHeight w:val="900"/>
        </w:trPr>
        <w:tc>
          <w:tcPr>
            <w:tcW w:w="1062" w:type="dxa"/>
            <w:tcBorders>
              <w:top w:val="single" w:color="auto" w:sz="4" w:space="0"/>
              <w:left w:val="single" w:color="auto" w:sz="4" w:space="0"/>
              <w:bottom w:val="single" w:color="auto" w:sz="4" w:space="0"/>
              <w:right w:val="single" w:color="auto" w:sz="4" w:space="0"/>
            </w:tcBorders>
            <w:noWrap/>
            <w:hideMark/>
          </w:tcPr>
          <w:p w:rsidRPr="003F5B27" w:rsidR="003F5B27" w:rsidP="003F5B27" w:rsidRDefault="003F5B27" w14:paraId="328949CC" w14:textId="77777777">
            <w:pPr>
              <w:jc w:val="center"/>
              <w:rPr>
                <w:rFonts w:ascii="Calibri" w:hAnsi="Calibri"/>
                <w:b/>
                <w:bCs/>
                <w:color w:val="000000"/>
                <w:sz w:val="24"/>
                <w:szCs w:val="22"/>
              </w:rPr>
            </w:pPr>
            <w:r w:rsidRPr="003F5B27">
              <w:rPr>
                <w:rFonts w:ascii="Calibri" w:hAnsi="Calibri"/>
                <w:b/>
                <w:bCs/>
                <w:color w:val="000000"/>
                <w:sz w:val="24"/>
                <w:szCs w:val="22"/>
              </w:rPr>
              <w:t>CHAPTER</w:t>
            </w:r>
          </w:p>
        </w:tc>
        <w:tc>
          <w:tcPr>
            <w:tcW w:w="3883" w:type="dxa"/>
            <w:tcBorders>
              <w:top w:val="single" w:color="auto" w:sz="4" w:space="0"/>
              <w:left w:val="nil"/>
              <w:bottom w:val="single" w:color="auto" w:sz="4" w:space="0"/>
              <w:right w:val="single" w:color="auto" w:sz="4" w:space="0"/>
            </w:tcBorders>
            <w:noWrap/>
            <w:hideMark/>
          </w:tcPr>
          <w:p w:rsidRPr="003F5B27" w:rsidR="003F5B27" w:rsidP="003F5B27" w:rsidRDefault="003F5B27" w14:paraId="57E0F093" w14:textId="77777777">
            <w:pPr>
              <w:jc w:val="center"/>
              <w:rPr>
                <w:rFonts w:ascii="Calibri" w:hAnsi="Calibri"/>
                <w:b/>
                <w:bCs/>
                <w:color w:val="000000"/>
                <w:sz w:val="24"/>
                <w:szCs w:val="22"/>
              </w:rPr>
            </w:pPr>
            <w:r w:rsidRPr="003F5B27">
              <w:rPr>
                <w:rFonts w:ascii="Calibri" w:hAnsi="Calibri"/>
                <w:b/>
                <w:bCs/>
                <w:color w:val="000000"/>
                <w:sz w:val="24"/>
                <w:szCs w:val="22"/>
              </w:rPr>
              <w:t>DESCRIPTION</w:t>
            </w:r>
          </w:p>
        </w:tc>
        <w:tc>
          <w:tcPr>
            <w:tcW w:w="1620" w:type="dxa"/>
            <w:tcBorders>
              <w:top w:val="single" w:color="auto" w:sz="4" w:space="0"/>
              <w:left w:val="nil"/>
              <w:bottom w:val="single" w:color="auto" w:sz="4" w:space="0"/>
              <w:right w:val="single" w:color="auto" w:sz="4" w:space="0"/>
            </w:tcBorders>
            <w:hideMark/>
          </w:tcPr>
          <w:p w:rsidRPr="003F5B27" w:rsidR="003F5B27" w:rsidP="003F5B27" w:rsidRDefault="003F5B27" w14:paraId="6B7A0C98" w14:textId="77777777">
            <w:pPr>
              <w:jc w:val="center"/>
              <w:rPr>
                <w:rFonts w:ascii="Calibri" w:hAnsi="Calibri"/>
                <w:b/>
                <w:bCs/>
                <w:color w:val="000000"/>
                <w:sz w:val="24"/>
                <w:szCs w:val="22"/>
              </w:rPr>
            </w:pPr>
            <w:r w:rsidRPr="003F5B27">
              <w:rPr>
                <w:rFonts w:ascii="Calibri" w:hAnsi="Calibri"/>
                <w:b/>
                <w:bCs/>
                <w:color w:val="000000"/>
                <w:sz w:val="24"/>
                <w:szCs w:val="22"/>
              </w:rPr>
              <w:t xml:space="preserve">Avg. Ann. Revenue </w:t>
            </w:r>
            <w:proofErr w:type="spellStart"/>
            <w:r w:rsidRPr="003F5B27">
              <w:rPr>
                <w:rFonts w:ascii="Calibri" w:hAnsi="Calibri"/>
                <w:b/>
                <w:bCs/>
                <w:color w:val="000000"/>
                <w:sz w:val="24"/>
                <w:szCs w:val="22"/>
              </w:rPr>
              <w:t>Reqt</w:t>
            </w:r>
            <w:proofErr w:type="spellEnd"/>
            <w:r w:rsidRPr="003F5B27">
              <w:rPr>
                <w:rFonts w:ascii="Calibri" w:hAnsi="Calibri"/>
                <w:b/>
                <w:bCs/>
                <w:color w:val="000000"/>
                <w:sz w:val="24"/>
                <w:szCs w:val="22"/>
              </w:rPr>
              <w:t>., Millions</w:t>
            </w:r>
          </w:p>
        </w:tc>
        <w:tc>
          <w:tcPr>
            <w:tcW w:w="1800" w:type="dxa"/>
            <w:tcBorders>
              <w:top w:val="single" w:color="auto" w:sz="4" w:space="0"/>
              <w:left w:val="nil"/>
              <w:bottom w:val="single" w:color="auto" w:sz="4" w:space="0"/>
              <w:right w:val="single" w:color="auto" w:sz="4" w:space="0"/>
            </w:tcBorders>
            <w:noWrap/>
            <w:hideMark/>
          </w:tcPr>
          <w:p w:rsidRPr="003F5B27" w:rsidR="003F5B27" w:rsidP="003F5B27" w:rsidRDefault="003F5B27" w14:paraId="44421137" w14:textId="77777777">
            <w:pPr>
              <w:jc w:val="center"/>
              <w:rPr>
                <w:rFonts w:ascii="Calibri" w:hAnsi="Calibri"/>
                <w:b/>
                <w:bCs/>
                <w:color w:val="000000"/>
                <w:sz w:val="24"/>
                <w:szCs w:val="22"/>
              </w:rPr>
            </w:pPr>
            <w:r w:rsidRPr="003F5B27">
              <w:rPr>
                <w:rFonts w:ascii="Calibri" w:hAnsi="Calibri"/>
                <w:b/>
                <w:bCs/>
                <w:color w:val="000000"/>
                <w:sz w:val="24"/>
                <w:szCs w:val="22"/>
              </w:rPr>
              <w:t>Cost Effectiveness, $/MCF</w:t>
            </w:r>
          </w:p>
        </w:tc>
        <w:tc>
          <w:tcPr>
            <w:tcW w:w="1179" w:type="dxa"/>
            <w:tcBorders>
              <w:top w:val="single" w:color="auto" w:sz="4" w:space="0"/>
              <w:left w:val="nil"/>
              <w:bottom w:val="single" w:color="auto" w:sz="4" w:space="0"/>
              <w:right w:val="single" w:color="auto" w:sz="4" w:space="0"/>
            </w:tcBorders>
            <w:noWrap/>
            <w:hideMark/>
          </w:tcPr>
          <w:p w:rsidRPr="003F5B27" w:rsidR="003F5B27" w:rsidP="003F5B27" w:rsidRDefault="003F5B27" w14:paraId="359B3755" w14:textId="77777777">
            <w:pPr>
              <w:jc w:val="center"/>
              <w:rPr>
                <w:rFonts w:ascii="Calibri" w:hAnsi="Calibri"/>
                <w:b/>
                <w:bCs/>
                <w:color w:val="000000"/>
                <w:sz w:val="24"/>
                <w:szCs w:val="22"/>
              </w:rPr>
            </w:pPr>
            <w:r w:rsidRPr="003F5B27">
              <w:rPr>
                <w:rFonts w:ascii="Calibri" w:hAnsi="Calibri"/>
                <w:b/>
                <w:bCs/>
                <w:color w:val="000000"/>
                <w:sz w:val="24"/>
                <w:szCs w:val="22"/>
              </w:rPr>
              <w:t>Best Practices Addressed</w:t>
            </w:r>
          </w:p>
        </w:tc>
      </w:tr>
      <w:tr w:rsidRPr="003F5B27" w:rsidR="003F5B27" w:rsidTr="003C64EA" w14:paraId="5C2A745D"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77B82B6F" w14:textId="77777777">
            <w:pPr>
              <w:jc w:val="center"/>
              <w:rPr>
                <w:rFonts w:ascii="Calibri" w:hAnsi="Calibri"/>
                <w:color w:val="000000"/>
                <w:sz w:val="24"/>
                <w:szCs w:val="22"/>
              </w:rPr>
            </w:pPr>
            <w:r w:rsidRPr="003F5B27">
              <w:rPr>
                <w:rFonts w:ascii="Calibri" w:hAnsi="Calibri"/>
                <w:color w:val="000000"/>
                <w:sz w:val="24"/>
                <w:szCs w:val="22"/>
              </w:rPr>
              <w:t>1</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6F673F34" w14:textId="77777777">
            <w:pPr>
              <w:rPr>
                <w:rFonts w:ascii="Calibri" w:hAnsi="Calibri"/>
                <w:color w:val="000000"/>
                <w:sz w:val="24"/>
                <w:szCs w:val="22"/>
              </w:rPr>
            </w:pPr>
            <w:r w:rsidRPr="003F5B27">
              <w:rPr>
                <w:rFonts w:ascii="Calibri" w:hAnsi="Calibri"/>
                <w:color w:val="000000"/>
                <w:sz w:val="24"/>
                <w:szCs w:val="22"/>
              </w:rPr>
              <w:t>Leak Inventory Reduction (Find-It, Fix-It)</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66F08DB9" w14:textId="77777777">
            <w:pPr>
              <w:jc w:val="right"/>
              <w:rPr>
                <w:rFonts w:ascii="Calibri" w:hAnsi="Calibri"/>
                <w:color w:val="000000"/>
                <w:sz w:val="24"/>
                <w:szCs w:val="22"/>
              </w:rPr>
            </w:pPr>
            <w:r w:rsidRPr="003F5B27">
              <w:rPr>
                <w:rFonts w:ascii="Calibri" w:hAnsi="Calibri"/>
                <w:color w:val="000000"/>
                <w:sz w:val="24"/>
                <w:szCs w:val="22"/>
              </w:rPr>
              <w:t>$23.80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3579D856" w14:textId="77777777">
            <w:pPr>
              <w:jc w:val="center"/>
              <w:rPr>
                <w:rFonts w:ascii="Calibri" w:hAnsi="Calibri"/>
                <w:color w:val="000000"/>
                <w:sz w:val="24"/>
                <w:szCs w:val="22"/>
              </w:rPr>
            </w:pPr>
            <w:r w:rsidRPr="003F5B27">
              <w:rPr>
                <w:rFonts w:ascii="Calibri" w:hAnsi="Calibri"/>
                <w:color w:val="000000"/>
                <w:sz w:val="24"/>
                <w:szCs w:val="22"/>
              </w:rPr>
              <w:t>$78</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1E6D24D3" w14:textId="77777777">
            <w:pPr>
              <w:jc w:val="center"/>
              <w:rPr>
                <w:rFonts w:ascii="Calibri" w:hAnsi="Calibri"/>
                <w:color w:val="000000"/>
                <w:sz w:val="24"/>
                <w:szCs w:val="22"/>
              </w:rPr>
            </w:pPr>
            <w:r w:rsidRPr="003F5B27">
              <w:rPr>
                <w:rFonts w:ascii="Calibri" w:hAnsi="Calibri"/>
                <w:color w:val="000000"/>
                <w:sz w:val="24"/>
                <w:szCs w:val="22"/>
              </w:rPr>
              <w:t>21</w:t>
            </w:r>
          </w:p>
        </w:tc>
      </w:tr>
      <w:tr w:rsidRPr="003F5B27" w:rsidR="003F5B27" w:rsidTr="003C64EA" w14:paraId="53804EAF"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63BEF916" w14:textId="77777777">
            <w:pPr>
              <w:jc w:val="center"/>
              <w:rPr>
                <w:rFonts w:ascii="Calibri" w:hAnsi="Calibri"/>
                <w:color w:val="000000"/>
                <w:sz w:val="24"/>
                <w:szCs w:val="22"/>
              </w:rPr>
            </w:pPr>
            <w:r w:rsidRPr="003F5B27">
              <w:rPr>
                <w:rFonts w:ascii="Calibri" w:hAnsi="Calibri"/>
                <w:color w:val="000000"/>
                <w:sz w:val="24"/>
                <w:szCs w:val="22"/>
              </w:rPr>
              <w:t>2</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3066B103" w14:textId="77777777">
            <w:pPr>
              <w:rPr>
                <w:rFonts w:ascii="Calibri" w:hAnsi="Calibri"/>
                <w:color w:val="000000"/>
                <w:sz w:val="24"/>
                <w:szCs w:val="22"/>
              </w:rPr>
            </w:pPr>
            <w:r w:rsidRPr="003F5B27">
              <w:rPr>
                <w:rFonts w:ascii="Calibri" w:hAnsi="Calibri"/>
                <w:color w:val="000000"/>
                <w:sz w:val="24"/>
                <w:szCs w:val="22"/>
              </w:rPr>
              <w:t>Increased Leak Survey Frequency</w:t>
            </w:r>
            <w:r w:rsidRPr="003F5B27">
              <w:rPr>
                <w:rFonts w:ascii="Calibri" w:hAnsi="Calibri"/>
                <w:color w:val="000000"/>
                <w:sz w:val="24"/>
                <w:szCs w:val="22"/>
                <w:vertAlign w:val="superscript"/>
              </w:rPr>
              <w:t>1</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6EA188C5" w14:textId="77777777">
            <w:pPr>
              <w:jc w:val="right"/>
              <w:rPr>
                <w:rFonts w:ascii="Calibri" w:hAnsi="Calibri"/>
                <w:color w:val="000000"/>
                <w:sz w:val="24"/>
                <w:szCs w:val="22"/>
              </w:rPr>
            </w:pPr>
            <w:r w:rsidRPr="003F5B27">
              <w:rPr>
                <w:rFonts w:ascii="Calibri" w:hAnsi="Calibri"/>
                <w:color w:val="000000"/>
                <w:sz w:val="24"/>
                <w:szCs w:val="22"/>
              </w:rPr>
              <w:t>$5.00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4608CEC0" w14:textId="77777777">
            <w:pPr>
              <w:jc w:val="center"/>
              <w:rPr>
                <w:rFonts w:ascii="Calibri" w:hAnsi="Calibri"/>
                <w:color w:val="000000"/>
                <w:sz w:val="24"/>
                <w:szCs w:val="22"/>
              </w:rPr>
            </w:pPr>
            <w:r w:rsidRPr="003F5B27">
              <w:rPr>
                <w:rFonts w:ascii="Calibri" w:hAnsi="Calibri"/>
                <w:color w:val="000000"/>
                <w:sz w:val="24"/>
                <w:szCs w:val="22"/>
              </w:rPr>
              <w:t>$38 ($26)</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5AF065DA" w14:textId="77777777">
            <w:pPr>
              <w:jc w:val="center"/>
              <w:rPr>
                <w:rFonts w:ascii="Calibri" w:hAnsi="Calibri"/>
                <w:color w:val="000000"/>
                <w:sz w:val="24"/>
                <w:szCs w:val="22"/>
              </w:rPr>
            </w:pPr>
            <w:r w:rsidRPr="003F5B27">
              <w:rPr>
                <w:rFonts w:ascii="Calibri" w:hAnsi="Calibri"/>
                <w:color w:val="000000"/>
                <w:sz w:val="24"/>
                <w:szCs w:val="22"/>
              </w:rPr>
              <w:t>15, 16</w:t>
            </w:r>
          </w:p>
        </w:tc>
      </w:tr>
      <w:tr w:rsidRPr="003F5B27" w:rsidR="003F5B27" w:rsidTr="003C64EA" w14:paraId="72303258"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7C577E64" w14:textId="77777777">
            <w:pPr>
              <w:jc w:val="center"/>
              <w:rPr>
                <w:rFonts w:ascii="Calibri" w:hAnsi="Calibri"/>
                <w:color w:val="000000"/>
                <w:sz w:val="24"/>
                <w:szCs w:val="22"/>
              </w:rPr>
            </w:pPr>
            <w:r w:rsidRPr="003F5B27">
              <w:rPr>
                <w:rFonts w:ascii="Calibri" w:hAnsi="Calibri"/>
                <w:color w:val="000000"/>
                <w:sz w:val="24"/>
                <w:szCs w:val="22"/>
              </w:rPr>
              <w:t>3</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4398B4F8" w14:textId="77777777">
            <w:pPr>
              <w:rPr>
                <w:rFonts w:ascii="Calibri" w:hAnsi="Calibri"/>
                <w:color w:val="000000"/>
                <w:sz w:val="24"/>
                <w:szCs w:val="22"/>
              </w:rPr>
            </w:pPr>
            <w:r w:rsidRPr="003F5B27">
              <w:rPr>
                <w:rFonts w:ascii="Calibri" w:hAnsi="Calibri"/>
                <w:color w:val="000000"/>
                <w:sz w:val="24"/>
                <w:szCs w:val="22"/>
              </w:rPr>
              <w:t>Blowdown Reduction-Pipelines</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546364A3" w14:textId="77777777">
            <w:pPr>
              <w:jc w:val="right"/>
              <w:rPr>
                <w:rFonts w:ascii="Calibri" w:hAnsi="Calibri"/>
                <w:color w:val="000000"/>
                <w:sz w:val="24"/>
                <w:szCs w:val="22"/>
              </w:rPr>
            </w:pPr>
            <w:r w:rsidRPr="003F5B27">
              <w:rPr>
                <w:rFonts w:ascii="Calibri" w:hAnsi="Calibri"/>
                <w:color w:val="000000"/>
                <w:sz w:val="24"/>
                <w:szCs w:val="22"/>
              </w:rPr>
              <w:t>$1.60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04189331" w14:textId="77777777">
            <w:pPr>
              <w:jc w:val="center"/>
              <w:rPr>
                <w:rFonts w:ascii="Calibri" w:hAnsi="Calibri"/>
                <w:color w:val="000000"/>
                <w:sz w:val="24"/>
                <w:szCs w:val="22"/>
              </w:rPr>
            </w:pPr>
            <w:r w:rsidRPr="003F5B27">
              <w:rPr>
                <w:rFonts w:ascii="Calibri" w:hAnsi="Calibri"/>
                <w:color w:val="000000"/>
                <w:sz w:val="24"/>
                <w:szCs w:val="22"/>
              </w:rPr>
              <w:t>$19</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3DD36756" w14:textId="77777777">
            <w:pPr>
              <w:jc w:val="center"/>
              <w:rPr>
                <w:rFonts w:ascii="Calibri" w:hAnsi="Calibri"/>
                <w:color w:val="000000"/>
                <w:sz w:val="24"/>
                <w:szCs w:val="22"/>
              </w:rPr>
            </w:pPr>
            <w:r w:rsidRPr="003F5B27">
              <w:rPr>
                <w:rFonts w:ascii="Calibri" w:hAnsi="Calibri"/>
                <w:color w:val="000000"/>
                <w:sz w:val="24"/>
                <w:szCs w:val="22"/>
              </w:rPr>
              <w:t>23, 3-7</w:t>
            </w:r>
          </w:p>
        </w:tc>
      </w:tr>
      <w:tr w:rsidRPr="003F5B27" w:rsidR="003F5B27" w:rsidTr="003C64EA" w14:paraId="66BF8EB2" w14:textId="77777777">
        <w:trPr>
          <w:trHeight w:val="300"/>
        </w:trPr>
        <w:tc>
          <w:tcPr>
            <w:tcW w:w="1062" w:type="dxa"/>
            <w:tcBorders>
              <w:top w:val="single" w:color="auto" w:sz="4" w:space="0"/>
              <w:left w:val="single" w:color="auto" w:sz="4" w:space="0"/>
              <w:bottom w:val="single" w:color="auto" w:sz="4" w:space="0"/>
              <w:right w:val="single" w:color="auto" w:sz="4" w:space="0"/>
            </w:tcBorders>
            <w:noWrap/>
            <w:vAlign w:val="bottom"/>
            <w:hideMark/>
          </w:tcPr>
          <w:p w:rsidRPr="003F5B27" w:rsidR="003F5B27" w:rsidP="003F5B27" w:rsidRDefault="003F5B27" w14:paraId="3E084D95" w14:textId="77777777">
            <w:pPr>
              <w:jc w:val="center"/>
              <w:rPr>
                <w:rFonts w:ascii="Calibri" w:hAnsi="Calibri"/>
                <w:color w:val="000000"/>
                <w:sz w:val="24"/>
                <w:szCs w:val="22"/>
              </w:rPr>
            </w:pPr>
            <w:r w:rsidRPr="003F5B27">
              <w:rPr>
                <w:rFonts w:ascii="Calibri" w:hAnsi="Calibri"/>
                <w:color w:val="000000"/>
                <w:sz w:val="24"/>
                <w:szCs w:val="22"/>
              </w:rPr>
              <w:t>4</w:t>
            </w:r>
          </w:p>
        </w:tc>
        <w:tc>
          <w:tcPr>
            <w:tcW w:w="3883" w:type="dxa"/>
            <w:tcBorders>
              <w:top w:val="single" w:color="auto" w:sz="4" w:space="0"/>
              <w:left w:val="nil"/>
              <w:bottom w:val="single" w:color="auto" w:sz="4" w:space="0"/>
              <w:right w:val="single" w:color="auto" w:sz="4" w:space="0"/>
            </w:tcBorders>
            <w:noWrap/>
            <w:vAlign w:val="bottom"/>
            <w:hideMark/>
          </w:tcPr>
          <w:p w:rsidRPr="003F5B27" w:rsidR="003F5B27" w:rsidP="003F5B27" w:rsidRDefault="003F5B27" w14:paraId="5F953175" w14:textId="77777777">
            <w:pPr>
              <w:rPr>
                <w:rFonts w:ascii="Calibri" w:hAnsi="Calibri"/>
                <w:color w:val="000000"/>
                <w:sz w:val="24"/>
                <w:szCs w:val="22"/>
              </w:rPr>
            </w:pPr>
            <w:r w:rsidRPr="003F5B27">
              <w:rPr>
                <w:rFonts w:ascii="Calibri" w:hAnsi="Calibri"/>
                <w:color w:val="000000"/>
                <w:sz w:val="24"/>
                <w:szCs w:val="22"/>
              </w:rPr>
              <w:t>Large Leak Prioritization</w:t>
            </w:r>
          </w:p>
        </w:tc>
        <w:tc>
          <w:tcPr>
            <w:tcW w:w="1620" w:type="dxa"/>
            <w:tcBorders>
              <w:top w:val="single" w:color="auto" w:sz="4" w:space="0"/>
              <w:left w:val="nil"/>
              <w:bottom w:val="single" w:color="auto" w:sz="4" w:space="0"/>
              <w:right w:val="single" w:color="auto" w:sz="4" w:space="0"/>
            </w:tcBorders>
            <w:noWrap/>
            <w:vAlign w:val="bottom"/>
            <w:hideMark/>
          </w:tcPr>
          <w:p w:rsidRPr="003F5B27" w:rsidR="003F5B27" w:rsidP="003F5B27" w:rsidRDefault="003F5B27" w14:paraId="799737A8" w14:textId="77777777">
            <w:pPr>
              <w:jc w:val="right"/>
              <w:rPr>
                <w:rFonts w:ascii="Calibri" w:hAnsi="Calibri"/>
                <w:color w:val="000000"/>
                <w:sz w:val="24"/>
                <w:szCs w:val="22"/>
              </w:rPr>
            </w:pPr>
            <w:r w:rsidRPr="003F5B27">
              <w:rPr>
                <w:rFonts w:ascii="Calibri" w:hAnsi="Calibri"/>
                <w:color w:val="000000"/>
                <w:sz w:val="24"/>
                <w:szCs w:val="22"/>
              </w:rPr>
              <w:t>$1.40</w:t>
            </w:r>
          </w:p>
        </w:tc>
        <w:tc>
          <w:tcPr>
            <w:tcW w:w="1800" w:type="dxa"/>
            <w:tcBorders>
              <w:top w:val="single" w:color="auto" w:sz="4" w:space="0"/>
              <w:left w:val="nil"/>
              <w:bottom w:val="single" w:color="auto" w:sz="4" w:space="0"/>
              <w:right w:val="single" w:color="auto" w:sz="4" w:space="0"/>
            </w:tcBorders>
            <w:noWrap/>
            <w:vAlign w:val="bottom"/>
            <w:hideMark/>
          </w:tcPr>
          <w:p w:rsidRPr="003F5B27" w:rsidR="003F5B27" w:rsidP="003F5B27" w:rsidRDefault="003F5B27" w14:paraId="393F2649" w14:textId="77777777">
            <w:pPr>
              <w:jc w:val="center"/>
              <w:rPr>
                <w:rFonts w:ascii="Calibri" w:hAnsi="Calibri"/>
                <w:color w:val="000000"/>
                <w:sz w:val="24"/>
                <w:szCs w:val="22"/>
              </w:rPr>
            </w:pPr>
            <w:r w:rsidRPr="003F5B27">
              <w:rPr>
                <w:rFonts w:ascii="Calibri" w:hAnsi="Calibri"/>
                <w:color w:val="000000"/>
                <w:sz w:val="24"/>
                <w:szCs w:val="22"/>
              </w:rPr>
              <w:t>$73</w:t>
            </w:r>
          </w:p>
        </w:tc>
        <w:tc>
          <w:tcPr>
            <w:tcW w:w="1179" w:type="dxa"/>
            <w:tcBorders>
              <w:top w:val="single" w:color="auto" w:sz="4" w:space="0"/>
              <w:left w:val="nil"/>
              <w:bottom w:val="single" w:color="auto" w:sz="4" w:space="0"/>
              <w:right w:val="single" w:color="auto" w:sz="4" w:space="0"/>
            </w:tcBorders>
            <w:noWrap/>
            <w:vAlign w:val="bottom"/>
            <w:hideMark/>
          </w:tcPr>
          <w:p w:rsidRPr="003F5B27" w:rsidR="003F5B27" w:rsidP="003F5B27" w:rsidRDefault="003F5B27" w14:paraId="46AC9AE8" w14:textId="77777777">
            <w:pPr>
              <w:jc w:val="center"/>
              <w:rPr>
                <w:rFonts w:ascii="Calibri" w:hAnsi="Calibri"/>
                <w:color w:val="000000"/>
                <w:sz w:val="24"/>
                <w:szCs w:val="22"/>
              </w:rPr>
            </w:pPr>
            <w:r w:rsidRPr="003F5B27">
              <w:rPr>
                <w:rFonts w:ascii="Calibri" w:hAnsi="Calibri"/>
                <w:color w:val="000000"/>
                <w:sz w:val="24"/>
                <w:szCs w:val="22"/>
              </w:rPr>
              <w:t>15, 16, 20a, 21</w:t>
            </w:r>
          </w:p>
        </w:tc>
      </w:tr>
      <w:tr w:rsidRPr="003F5B27" w:rsidR="003F5B27" w:rsidTr="003C64EA" w14:paraId="4B320856"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5DD22964" w14:textId="77777777">
            <w:pPr>
              <w:jc w:val="center"/>
              <w:rPr>
                <w:rFonts w:ascii="Calibri" w:hAnsi="Calibri"/>
                <w:color w:val="000000"/>
                <w:sz w:val="24"/>
                <w:szCs w:val="22"/>
              </w:rPr>
            </w:pPr>
            <w:r w:rsidRPr="003F5B27">
              <w:rPr>
                <w:rFonts w:ascii="Calibri" w:hAnsi="Calibri"/>
                <w:color w:val="000000"/>
                <w:sz w:val="24"/>
                <w:szCs w:val="22"/>
              </w:rPr>
              <w:t>5</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628ABC4A" w14:textId="77777777">
            <w:pPr>
              <w:rPr>
                <w:rFonts w:ascii="Calibri" w:hAnsi="Calibri"/>
                <w:color w:val="000000"/>
                <w:sz w:val="24"/>
                <w:szCs w:val="22"/>
              </w:rPr>
            </w:pPr>
            <w:r w:rsidRPr="003F5B27">
              <w:rPr>
                <w:rFonts w:ascii="Calibri" w:hAnsi="Calibri"/>
                <w:color w:val="000000"/>
                <w:sz w:val="24"/>
                <w:szCs w:val="22"/>
              </w:rPr>
              <w:t>Damage Prevention Analytics</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7F665059" w14:textId="77777777">
            <w:pPr>
              <w:jc w:val="right"/>
              <w:rPr>
                <w:rFonts w:ascii="Calibri" w:hAnsi="Calibri"/>
                <w:color w:val="000000"/>
                <w:sz w:val="24"/>
                <w:szCs w:val="22"/>
              </w:rPr>
            </w:pPr>
            <w:r w:rsidRPr="003F5B27">
              <w:rPr>
                <w:rFonts w:ascii="Calibri" w:hAnsi="Calibri"/>
                <w:color w:val="000000"/>
                <w:sz w:val="24"/>
                <w:szCs w:val="22"/>
              </w:rPr>
              <w:t>$2.20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13257500" w14:textId="77777777">
            <w:pPr>
              <w:jc w:val="center"/>
              <w:rPr>
                <w:rFonts w:ascii="Calibri" w:hAnsi="Calibri"/>
                <w:color w:val="000000"/>
                <w:sz w:val="24"/>
                <w:szCs w:val="22"/>
              </w:rPr>
            </w:pPr>
            <w:r w:rsidRPr="003F5B27">
              <w:rPr>
                <w:rFonts w:ascii="Calibri" w:hAnsi="Calibri"/>
                <w:color w:val="000000"/>
                <w:sz w:val="24"/>
                <w:szCs w:val="22"/>
              </w:rPr>
              <w:t>$233</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1F062E7C" w14:textId="77777777">
            <w:pPr>
              <w:jc w:val="center"/>
              <w:rPr>
                <w:rFonts w:ascii="Calibri" w:hAnsi="Calibri"/>
                <w:color w:val="000000"/>
                <w:sz w:val="24"/>
                <w:szCs w:val="22"/>
              </w:rPr>
            </w:pPr>
            <w:r w:rsidRPr="003F5B27">
              <w:rPr>
                <w:rFonts w:ascii="Calibri" w:hAnsi="Calibri"/>
                <w:color w:val="000000"/>
                <w:sz w:val="24"/>
                <w:szCs w:val="22"/>
              </w:rPr>
              <w:t>24, 25, 26</w:t>
            </w:r>
          </w:p>
        </w:tc>
      </w:tr>
      <w:tr w:rsidRPr="003F5B27" w:rsidR="003F5B27" w:rsidTr="003C64EA" w14:paraId="21BE1791"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5976BB69" w14:textId="77777777">
            <w:pPr>
              <w:jc w:val="center"/>
              <w:rPr>
                <w:rFonts w:ascii="Calibri" w:hAnsi="Calibri"/>
                <w:color w:val="000000"/>
                <w:sz w:val="24"/>
                <w:szCs w:val="22"/>
              </w:rPr>
            </w:pPr>
            <w:r w:rsidRPr="003F5B27">
              <w:rPr>
                <w:rFonts w:ascii="Calibri" w:hAnsi="Calibri"/>
                <w:color w:val="000000"/>
                <w:sz w:val="24"/>
                <w:szCs w:val="22"/>
              </w:rPr>
              <w:t>6</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3B0081C3" w14:textId="77777777">
            <w:pPr>
              <w:rPr>
                <w:rFonts w:ascii="Calibri" w:hAnsi="Calibri"/>
                <w:color w:val="000000"/>
                <w:sz w:val="24"/>
                <w:szCs w:val="22"/>
              </w:rPr>
            </w:pPr>
            <w:r w:rsidRPr="003F5B27">
              <w:rPr>
                <w:rFonts w:ascii="Calibri" w:hAnsi="Calibri"/>
                <w:color w:val="000000"/>
                <w:sz w:val="24"/>
                <w:szCs w:val="22"/>
              </w:rPr>
              <w:t>Advanced Meter Analytics</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1D7EEEC8" w14:textId="77777777">
            <w:pPr>
              <w:jc w:val="right"/>
              <w:rPr>
                <w:rFonts w:ascii="Calibri" w:hAnsi="Calibri"/>
                <w:color w:val="000000"/>
                <w:sz w:val="24"/>
                <w:szCs w:val="22"/>
              </w:rPr>
            </w:pPr>
            <w:r w:rsidRPr="003F5B27">
              <w:rPr>
                <w:rFonts w:ascii="Calibri" w:hAnsi="Calibri"/>
                <w:color w:val="000000"/>
                <w:sz w:val="24"/>
                <w:szCs w:val="22"/>
              </w:rPr>
              <w:t>$0.27</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299B3970" w14:textId="77777777">
            <w:pPr>
              <w:jc w:val="center"/>
              <w:rPr>
                <w:rFonts w:ascii="Calibri" w:hAnsi="Calibri"/>
                <w:color w:val="000000"/>
                <w:sz w:val="24"/>
                <w:szCs w:val="22"/>
              </w:rPr>
            </w:pPr>
            <w:r w:rsidRPr="003F5B27">
              <w:rPr>
                <w:rFonts w:ascii="Calibri" w:hAnsi="Calibri"/>
                <w:color w:val="000000"/>
                <w:sz w:val="24"/>
                <w:szCs w:val="22"/>
              </w:rPr>
              <w:t>$5</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42F73BCE" w14:textId="77777777">
            <w:pPr>
              <w:jc w:val="center"/>
              <w:rPr>
                <w:rFonts w:ascii="Calibri" w:hAnsi="Calibri"/>
                <w:color w:val="000000"/>
                <w:sz w:val="24"/>
                <w:szCs w:val="22"/>
              </w:rPr>
            </w:pPr>
            <w:r w:rsidRPr="003F5B27">
              <w:rPr>
                <w:rFonts w:ascii="Calibri" w:hAnsi="Calibri"/>
                <w:color w:val="000000"/>
                <w:sz w:val="24"/>
                <w:szCs w:val="22"/>
              </w:rPr>
              <w:t>17</w:t>
            </w:r>
          </w:p>
        </w:tc>
      </w:tr>
      <w:tr w:rsidRPr="003F5B27" w:rsidR="003F5B27" w:rsidTr="003C64EA" w14:paraId="121516EF"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149AE554" w14:textId="77777777">
            <w:pPr>
              <w:jc w:val="center"/>
              <w:rPr>
                <w:rFonts w:ascii="Calibri" w:hAnsi="Calibri"/>
                <w:color w:val="000000"/>
                <w:sz w:val="24"/>
                <w:szCs w:val="22"/>
              </w:rPr>
            </w:pPr>
            <w:r w:rsidRPr="003F5B27">
              <w:rPr>
                <w:rFonts w:ascii="Calibri" w:hAnsi="Calibri"/>
                <w:color w:val="000000"/>
                <w:sz w:val="24"/>
                <w:szCs w:val="22"/>
              </w:rPr>
              <w:t>7</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155C7E37" w14:textId="77777777">
            <w:pPr>
              <w:rPr>
                <w:rFonts w:ascii="Calibri" w:hAnsi="Calibri"/>
                <w:color w:val="000000"/>
                <w:sz w:val="24"/>
                <w:szCs w:val="22"/>
              </w:rPr>
            </w:pPr>
            <w:r w:rsidRPr="003F5B27">
              <w:rPr>
                <w:rFonts w:ascii="Calibri" w:hAnsi="Calibri"/>
                <w:color w:val="000000"/>
                <w:sz w:val="24"/>
                <w:szCs w:val="22"/>
              </w:rPr>
              <w:t>Recordkeeping IT</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1862CE63" w14:textId="77777777">
            <w:pPr>
              <w:jc w:val="right"/>
              <w:rPr>
                <w:rFonts w:ascii="Calibri" w:hAnsi="Calibri"/>
                <w:color w:val="000000"/>
                <w:sz w:val="24"/>
                <w:szCs w:val="22"/>
              </w:rPr>
            </w:pPr>
            <w:r w:rsidRPr="003F5B27">
              <w:rPr>
                <w:rFonts w:ascii="Calibri" w:hAnsi="Calibri"/>
                <w:color w:val="000000"/>
                <w:sz w:val="24"/>
                <w:szCs w:val="22"/>
              </w:rPr>
              <w:t>$11.40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21946D9B"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563D8B47" w14:textId="77777777">
            <w:pPr>
              <w:jc w:val="center"/>
              <w:rPr>
                <w:rFonts w:ascii="Calibri" w:hAnsi="Calibri"/>
                <w:color w:val="000000"/>
                <w:sz w:val="24"/>
                <w:szCs w:val="22"/>
              </w:rPr>
            </w:pPr>
            <w:r w:rsidRPr="003F5B27">
              <w:rPr>
                <w:rFonts w:ascii="Calibri" w:hAnsi="Calibri"/>
                <w:color w:val="000000"/>
                <w:sz w:val="24"/>
                <w:szCs w:val="22"/>
              </w:rPr>
              <w:t>9</w:t>
            </w:r>
          </w:p>
        </w:tc>
      </w:tr>
      <w:tr w:rsidRPr="003F5B27" w:rsidR="003F5B27" w:rsidTr="003C64EA" w14:paraId="16C68A07"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4E1D9721" w14:textId="77777777">
            <w:pPr>
              <w:jc w:val="center"/>
              <w:rPr>
                <w:rFonts w:ascii="Calibri" w:hAnsi="Calibri"/>
                <w:color w:val="000000"/>
                <w:sz w:val="24"/>
                <w:szCs w:val="22"/>
              </w:rPr>
            </w:pPr>
            <w:r w:rsidRPr="003F5B27">
              <w:rPr>
                <w:rFonts w:ascii="Calibri" w:hAnsi="Calibri"/>
                <w:color w:val="000000"/>
                <w:sz w:val="24"/>
                <w:szCs w:val="22"/>
              </w:rPr>
              <w:t>8</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603BB1B1" w14:textId="77777777">
            <w:pPr>
              <w:rPr>
                <w:rFonts w:ascii="Calibri" w:hAnsi="Calibri"/>
                <w:color w:val="000000"/>
                <w:sz w:val="24"/>
                <w:szCs w:val="22"/>
              </w:rPr>
            </w:pPr>
            <w:r w:rsidRPr="003F5B27">
              <w:rPr>
                <w:rFonts w:ascii="Calibri" w:hAnsi="Calibri"/>
                <w:color w:val="000000"/>
                <w:sz w:val="24"/>
                <w:szCs w:val="22"/>
              </w:rPr>
              <w:t>Geographic Tracking (IT Digitization)</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6D1CB1EF" w14:textId="77777777">
            <w:pPr>
              <w:jc w:val="right"/>
              <w:rPr>
                <w:rFonts w:ascii="Calibri" w:hAnsi="Calibri"/>
                <w:color w:val="000000"/>
                <w:sz w:val="24"/>
                <w:szCs w:val="22"/>
              </w:rPr>
            </w:pPr>
            <w:r w:rsidRPr="003F5B27">
              <w:rPr>
                <w:rFonts w:ascii="Calibri" w:hAnsi="Calibri"/>
                <w:color w:val="000000"/>
                <w:sz w:val="24"/>
                <w:szCs w:val="22"/>
              </w:rPr>
              <w:t>$7.90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00E3077A"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20A28B4B" w14:textId="77777777">
            <w:pPr>
              <w:jc w:val="center"/>
              <w:rPr>
                <w:rFonts w:ascii="Calibri" w:hAnsi="Calibri"/>
                <w:color w:val="000000"/>
                <w:sz w:val="24"/>
                <w:szCs w:val="22"/>
              </w:rPr>
            </w:pPr>
            <w:r w:rsidRPr="003F5B27">
              <w:rPr>
                <w:rFonts w:ascii="Calibri" w:hAnsi="Calibri"/>
                <w:color w:val="000000"/>
                <w:sz w:val="24"/>
                <w:szCs w:val="22"/>
              </w:rPr>
              <w:t>9, 20b</w:t>
            </w:r>
          </w:p>
        </w:tc>
      </w:tr>
      <w:tr w:rsidRPr="003F5B27" w:rsidR="003F5B27" w:rsidTr="003C64EA" w14:paraId="0035AD91"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59A9DBFC" w14:textId="77777777">
            <w:pPr>
              <w:jc w:val="center"/>
              <w:rPr>
                <w:rFonts w:ascii="Calibri" w:hAnsi="Calibri"/>
                <w:color w:val="000000"/>
                <w:sz w:val="24"/>
                <w:szCs w:val="22"/>
              </w:rPr>
            </w:pPr>
            <w:r w:rsidRPr="003F5B27">
              <w:rPr>
                <w:rFonts w:ascii="Calibri" w:hAnsi="Calibri"/>
                <w:color w:val="000000"/>
                <w:sz w:val="24"/>
                <w:szCs w:val="22"/>
              </w:rPr>
              <w:t>9</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646945E6" w14:textId="77777777">
            <w:pPr>
              <w:rPr>
                <w:rFonts w:ascii="Calibri" w:hAnsi="Calibri"/>
                <w:color w:val="000000"/>
                <w:sz w:val="24"/>
                <w:szCs w:val="22"/>
              </w:rPr>
            </w:pPr>
            <w:r w:rsidRPr="003F5B27">
              <w:rPr>
                <w:rFonts w:ascii="Calibri" w:hAnsi="Calibri"/>
                <w:color w:val="000000"/>
                <w:sz w:val="24"/>
                <w:szCs w:val="22"/>
              </w:rPr>
              <w:t>Training, Competency Based</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35AB6791" w14:textId="77777777">
            <w:pPr>
              <w:jc w:val="right"/>
              <w:rPr>
                <w:rFonts w:ascii="Calibri" w:hAnsi="Calibri"/>
                <w:color w:val="000000"/>
                <w:sz w:val="24"/>
                <w:szCs w:val="22"/>
              </w:rPr>
            </w:pPr>
            <w:r w:rsidRPr="003F5B27">
              <w:rPr>
                <w:rFonts w:ascii="Calibri" w:hAnsi="Calibri"/>
                <w:color w:val="000000"/>
                <w:sz w:val="24"/>
                <w:szCs w:val="22"/>
              </w:rPr>
              <w:t>$1.90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0BB0E571"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1C5EE9A2" w14:textId="77777777">
            <w:pPr>
              <w:jc w:val="center"/>
              <w:rPr>
                <w:rFonts w:ascii="Calibri" w:hAnsi="Calibri"/>
                <w:color w:val="000000"/>
                <w:sz w:val="24"/>
                <w:szCs w:val="22"/>
              </w:rPr>
            </w:pPr>
            <w:r w:rsidRPr="003F5B27">
              <w:rPr>
                <w:rFonts w:ascii="Calibri" w:hAnsi="Calibri"/>
                <w:color w:val="000000"/>
                <w:sz w:val="24"/>
                <w:szCs w:val="22"/>
              </w:rPr>
              <w:t>13</w:t>
            </w:r>
          </w:p>
        </w:tc>
      </w:tr>
      <w:tr w:rsidRPr="003F5B27" w:rsidR="003F5B27" w:rsidTr="003C64EA" w14:paraId="285A4F61"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2650529E" w14:textId="77777777">
            <w:pPr>
              <w:jc w:val="center"/>
              <w:rPr>
                <w:rFonts w:ascii="Calibri" w:hAnsi="Calibri"/>
                <w:color w:val="000000"/>
                <w:sz w:val="24"/>
                <w:szCs w:val="22"/>
              </w:rPr>
            </w:pPr>
            <w:r w:rsidRPr="003F5B27">
              <w:rPr>
                <w:rFonts w:ascii="Calibri" w:hAnsi="Calibri"/>
                <w:color w:val="000000"/>
                <w:sz w:val="24"/>
                <w:szCs w:val="22"/>
              </w:rPr>
              <w:t>10</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727E410D" w14:textId="77777777">
            <w:pPr>
              <w:rPr>
                <w:rFonts w:ascii="Calibri" w:hAnsi="Calibri"/>
                <w:color w:val="000000"/>
                <w:sz w:val="24"/>
                <w:szCs w:val="22"/>
              </w:rPr>
            </w:pPr>
            <w:r w:rsidRPr="003F5B27">
              <w:rPr>
                <w:rFonts w:ascii="Calibri" w:hAnsi="Calibri"/>
                <w:color w:val="000000"/>
                <w:sz w:val="24"/>
                <w:szCs w:val="22"/>
              </w:rPr>
              <w:t>Training, Facility Enhancement</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70928D26" w14:textId="77777777">
            <w:pPr>
              <w:jc w:val="right"/>
              <w:rPr>
                <w:rFonts w:ascii="Calibri" w:hAnsi="Calibri"/>
                <w:color w:val="000000"/>
                <w:sz w:val="24"/>
                <w:szCs w:val="22"/>
              </w:rPr>
            </w:pPr>
            <w:r w:rsidRPr="003F5B27">
              <w:rPr>
                <w:rFonts w:ascii="Calibri" w:hAnsi="Calibri"/>
                <w:color w:val="000000"/>
                <w:sz w:val="24"/>
                <w:szCs w:val="22"/>
              </w:rPr>
              <w:t>$0.14</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413DEDB4"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7FD4F8D0" w14:textId="77777777">
            <w:pPr>
              <w:jc w:val="center"/>
              <w:rPr>
                <w:rFonts w:ascii="Calibri" w:hAnsi="Calibri"/>
                <w:color w:val="000000"/>
                <w:sz w:val="24"/>
                <w:szCs w:val="22"/>
              </w:rPr>
            </w:pPr>
            <w:r w:rsidRPr="003F5B27">
              <w:rPr>
                <w:rFonts w:ascii="Calibri" w:hAnsi="Calibri"/>
                <w:color w:val="000000"/>
                <w:sz w:val="24"/>
                <w:szCs w:val="22"/>
              </w:rPr>
              <w:t>13</w:t>
            </w:r>
          </w:p>
        </w:tc>
      </w:tr>
      <w:tr w:rsidRPr="003F5B27" w:rsidR="003F5B27" w:rsidTr="003C64EA" w14:paraId="6EE3C423"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2BA413FB" w14:textId="77777777">
            <w:pPr>
              <w:jc w:val="center"/>
              <w:rPr>
                <w:rFonts w:ascii="Calibri" w:hAnsi="Calibri"/>
                <w:color w:val="000000"/>
                <w:sz w:val="24"/>
                <w:szCs w:val="22"/>
              </w:rPr>
            </w:pPr>
            <w:r w:rsidRPr="003F5B27">
              <w:rPr>
                <w:rFonts w:ascii="Calibri" w:hAnsi="Calibri"/>
                <w:color w:val="000000"/>
                <w:sz w:val="24"/>
                <w:szCs w:val="22"/>
              </w:rPr>
              <w:t>11</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509F528F" w14:textId="77777777">
            <w:pPr>
              <w:rPr>
                <w:rFonts w:ascii="Calibri" w:hAnsi="Calibri"/>
                <w:color w:val="000000"/>
                <w:sz w:val="24"/>
                <w:szCs w:val="22"/>
              </w:rPr>
            </w:pPr>
            <w:r w:rsidRPr="003F5B27">
              <w:rPr>
                <w:rFonts w:ascii="Calibri" w:hAnsi="Calibri"/>
                <w:color w:val="000000"/>
                <w:sz w:val="24"/>
                <w:szCs w:val="22"/>
              </w:rPr>
              <w:t>Blowdown Reduction at Storage Facilities</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0B2F11A4" w14:textId="77777777">
            <w:pPr>
              <w:jc w:val="right"/>
              <w:rPr>
                <w:rFonts w:ascii="Calibri" w:hAnsi="Calibri"/>
                <w:color w:val="000000"/>
                <w:sz w:val="24"/>
                <w:szCs w:val="22"/>
              </w:rPr>
            </w:pPr>
            <w:r w:rsidRPr="003F5B27">
              <w:rPr>
                <w:rFonts w:ascii="Calibri" w:hAnsi="Calibri"/>
                <w:color w:val="000000"/>
                <w:sz w:val="24"/>
                <w:szCs w:val="22"/>
              </w:rPr>
              <w:t>$1.30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27C48451" w14:textId="77777777">
            <w:pPr>
              <w:jc w:val="center"/>
              <w:rPr>
                <w:rFonts w:ascii="Calibri" w:hAnsi="Calibri"/>
                <w:color w:val="000000"/>
                <w:sz w:val="24"/>
                <w:szCs w:val="22"/>
              </w:rPr>
            </w:pPr>
            <w:r w:rsidRPr="003F5B27">
              <w:rPr>
                <w:rFonts w:ascii="Calibri" w:hAnsi="Calibri"/>
                <w:color w:val="000000"/>
                <w:sz w:val="24"/>
                <w:szCs w:val="22"/>
              </w:rPr>
              <w:t>NE</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3914D2B2" w14:textId="77777777">
            <w:pPr>
              <w:jc w:val="center"/>
              <w:rPr>
                <w:rFonts w:ascii="Calibri" w:hAnsi="Calibri"/>
                <w:color w:val="000000"/>
                <w:sz w:val="24"/>
                <w:szCs w:val="22"/>
              </w:rPr>
            </w:pPr>
            <w:r w:rsidRPr="003F5B27">
              <w:rPr>
                <w:rFonts w:ascii="Calibri" w:hAnsi="Calibri"/>
                <w:color w:val="000000"/>
                <w:sz w:val="24"/>
                <w:szCs w:val="22"/>
              </w:rPr>
              <w:t>23</w:t>
            </w:r>
          </w:p>
        </w:tc>
      </w:tr>
      <w:tr w:rsidRPr="003F5B27" w:rsidR="003F5B27" w:rsidTr="003C64EA" w14:paraId="6AC132B9"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32E86BE0" w14:textId="77777777">
            <w:pPr>
              <w:jc w:val="center"/>
              <w:rPr>
                <w:rFonts w:ascii="Calibri" w:hAnsi="Calibri"/>
                <w:color w:val="000000"/>
                <w:sz w:val="24"/>
                <w:szCs w:val="22"/>
              </w:rPr>
            </w:pPr>
            <w:r w:rsidRPr="003F5B27">
              <w:rPr>
                <w:rFonts w:ascii="Calibri" w:hAnsi="Calibri"/>
                <w:color w:val="000000"/>
                <w:sz w:val="24"/>
                <w:szCs w:val="22"/>
              </w:rPr>
              <w:t>12</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197F3F47" w14:textId="77777777">
            <w:pPr>
              <w:rPr>
                <w:rFonts w:ascii="Calibri" w:hAnsi="Calibri"/>
                <w:color w:val="000000"/>
                <w:sz w:val="24"/>
                <w:szCs w:val="22"/>
              </w:rPr>
            </w:pPr>
            <w:r w:rsidRPr="003F5B27">
              <w:rPr>
                <w:rFonts w:ascii="Calibri" w:hAnsi="Calibri"/>
                <w:color w:val="000000"/>
                <w:sz w:val="24"/>
                <w:szCs w:val="22"/>
              </w:rPr>
              <w:t>Stationary Methane Detection</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41AB4489" w14:textId="77777777">
            <w:pPr>
              <w:jc w:val="right"/>
              <w:rPr>
                <w:rFonts w:ascii="Calibri" w:hAnsi="Calibri"/>
                <w:color w:val="000000"/>
                <w:sz w:val="24"/>
                <w:szCs w:val="22"/>
              </w:rPr>
            </w:pPr>
            <w:r w:rsidRPr="003F5B27">
              <w:rPr>
                <w:rFonts w:ascii="Calibri" w:hAnsi="Calibri"/>
                <w:color w:val="000000"/>
                <w:sz w:val="24"/>
                <w:szCs w:val="22"/>
              </w:rPr>
              <w:t>$0.64</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62710905"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2573E913" w14:textId="77777777">
            <w:pPr>
              <w:jc w:val="center"/>
              <w:rPr>
                <w:rFonts w:ascii="Calibri" w:hAnsi="Calibri"/>
                <w:color w:val="000000"/>
                <w:sz w:val="24"/>
                <w:szCs w:val="22"/>
              </w:rPr>
            </w:pPr>
            <w:r w:rsidRPr="003F5B27">
              <w:rPr>
                <w:rFonts w:ascii="Calibri" w:hAnsi="Calibri"/>
                <w:color w:val="000000"/>
                <w:sz w:val="24"/>
                <w:szCs w:val="22"/>
              </w:rPr>
              <w:t>18</w:t>
            </w:r>
          </w:p>
        </w:tc>
      </w:tr>
      <w:tr w:rsidRPr="003F5B27" w:rsidR="003F5B27" w:rsidTr="003C64EA" w14:paraId="2BAA2D80"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10C3E596" w14:textId="77777777">
            <w:pPr>
              <w:jc w:val="center"/>
              <w:rPr>
                <w:rFonts w:ascii="Calibri" w:hAnsi="Calibri"/>
                <w:color w:val="000000"/>
                <w:sz w:val="24"/>
                <w:szCs w:val="22"/>
              </w:rPr>
            </w:pPr>
            <w:r w:rsidRPr="003F5B27">
              <w:rPr>
                <w:rFonts w:ascii="Calibri" w:hAnsi="Calibri"/>
                <w:color w:val="000000"/>
                <w:sz w:val="24"/>
                <w:szCs w:val="22"/>
              </w:rPr>
              <w:t>13</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464B6111" w14:textId="77777777">
            <w:pPr>
              <w:rPr>
                <w:rFonts w:ascii="Calibri" w:hAnsi="Calibri"/>
                <w:color w:val="000000"/>
                <w:sz w:val="24"/>
                <w:szCs w:val="22"/>
              </w:rPr>
            </w:pPr>
            <w:r w:rsidRPr="003F5B27">
              <w:rPr>
                <w:rFonts w:ascii="Calibri" w:hAnsi="Calibri"/>
                <w:color w:val="000000"/>
                <w:sz w:val="24"/>
                <w:szCs w:val="22"/>
              </w:rPr>
              <w:t>Electronic Leak Survey (GIS Tracking)</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54D79E25" w14:textId="77777777">
            <w:pPr>
              <w:jc w:val="right"/>
              <w:rPr>
                <w:rFonts w:ascii="Calibri" w:hAnsi="Calibri"/>
                <w:color w:val="000000"/>
                <w:sz w:val="24"/>
                <w:szCs w:val="22"/>
              </w:rPr>
            </w:pPr>
            <w:r w:rsidRPr="003F5B27">
              <w:rPr>
                <w:rFonts w:ascii="Calibri" w:hAnsi="Calibri"/>
                <w:color w:val="000000"/>
                <w:sz w:val="24"/>
                <w:szCs w:val="22"/>
              </w:rPr>
              <w:t>$2.10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6EDACA87"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5A989C1F" w14:textId="77777777">
            <w:pPr>
              <w:jc w:val="center"/>
              <w:rPr>
                <w:rFonts w:ascii="Calibri" w:hAnsi="Calibri"/>
                <w:color w:val="000000"/>
                <w:sz w:val="24"/>
                <w:szCs w:val="22"/>
              </w:rPr>
            </w:pPr>
            <w:r w:rsidRPr="003F5B27">
              <w:rPr>
                <w:rFonts w:ascii="Calibri" w:hAnsi="Calibri"/>
                <w:color w:val="000000"/>
                <w:sz w:val="24"/>
                <w:szCs w:val="22"/>
              </w:rPr>
              <w:t>20b</w:t>
            </w:r>
          </w:p>
        </w:tc>
      </w:tr>
      <w:tr w:rsidRPr="003F5B27" w:rsidR="003F5B27" w:rsidTr="003C64EA" w14:paraId="319062E1"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3AA051FB" w14:textId="77777777">
            <w:pPr>
              <w:jc w:val="center"/>
              <w:rPr>
                <w:rFonts w:ascii="Calibri" w:hAnsi="Calibri"/>
                <w:color w:val="000000"/>
                <w:sz w:val="24"/>
                <w:szCs w:val="22"/>
              </w:rPr>
            </w:pPr>
            <w:r w:rsidRPr="003F5B27">
              <w:rPr>
                <w:rFonts w:ascii="Calibri" w:hAnsi="Calibri"/>
                <w:color w:val="000000"/>
                <w:sz w:val="24"/>
                <w:szCs w:val="22"/>
              </w:rPr>
              <w:t>14</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3375D2CA" w14:textId="77777777">
            <w:pPr>
              <w:rPr>
                <w:rFonts w:ascii="Calibri" w:hAnsi="Calibri"/>
                <w:color w:val="000000"/>
                <w:sz w:val="24"/>
                <w:szCs w:val="22"/>
              </w:rPr>
            </w:pPr>
            <w:r w:rsidRPr="003F5B27">
              <w:rPr>
                <w:rFonts w:ascii="Calibri" w:hAnsi="Calibri"/>
                <w:color w:val="000000"/>
                <w:sz w:val="24"/>
                <w:szCs w:val="22"/>
              </w:rPr>
              <w:t>Aerial Monitoring</w:t>
            </w:r>
            <w:r w:rsidRPr="003F5B27">
              <w:rPr>
                <w:rFonts w:ascii="Calibri" w:hAnsi="Calibri"/>
                <w:color w:val="000000"/>
                <w:sz w:val="24"/>
                <w:szCs w:val="22"/>
                <w:vertAlign w:val="superscript"/>
              </w:rPr>
              <w:t>2</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4A246999" w14:textId="77777777">
            <w:pPr>
              <w:jc w:val="right"/>
              <w:rPr>
                <w:rFonts w:ascii="Calibri" w:hAnsi="Calibri"/>
                <w:color w:val="000000"/>
                <w:sz w:val="24"/>
                <w:szCs w:val="22"/>
              </w:rPr>
            </w:pPr>
            <w:r w:rsidRPr="003F5B27">
              <w:rPr>
                <w:rFonts w:ascii="Calibri" w:hAnsi="Calibri"/>
                <w:color w:val="000000"/>
                <w:sz w:val="24"/>
                <w:szCs w:val="22"/>
              </w:rPr>
              <w:t>$11.30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71F3E0BB" w14:textId="77777777">
            <w:pPr>
              <w:jc w:val="center"/>
              <w:rPr>
                <w:rFonts w:ascii="Calibri" w:hAnsi="Calibri"/>
                <w:color w:val="000000"/>
                <w:sz w:val="24"/>
                <w:szCs w:val="22"/>
              </w:rPr>
            </w:pPr>
            <w:r w:rsidRPr="003F5B27">
              <w:rPr>
                <w:rFonts w:ascii="Calibri" w:hAnsi="Calibri"/>
                <w:color w:val="000000"/>
                <w:sz w:val="24"/>
                <w:szCs w:val="22"/>
              </w:rPr>
              <w:t>$130</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34015115" w14:textId="77777777">
            <w:pPr>
              <w:jc w:val="center"/>
              <w:rPr>
                <w:rFonts w:ascii="Calibri" w:hAnsi="Calibri"/>
                <w:color w:val="000000"/>
                <w:sz w:val="24"/>
                <w:szCs w:val="22"/>
              </w:rPr>
            </w:pPr>
            <w:r w:rsidRPr="003F5B27">
              <w:rPr>
                <w:rFonts w:ascii="Calibri" w:hAnsi="Calibri"/>
                <w:color w:val="000000"/>
                <w:sz w:val="24"/>
                <w:szCs w:val="22"/>
              </w:rPr>
              <w:t>15, 16, 20a, 21</w:t>
            </w:r>
          </w:p>
        </w:tc>
      </w:tr>
      <w:tr w:rsidRPr="003F5B27" w:rsidR="003F5B27" w:rsidTr="003C64EA" w14:paraId="4E79288E"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0B2E19D3" w14:textId="77777777">
            <w:pPr>
              <w:jc w:val="center"/>
              <w:rPr>
                <w:rFonts w:ascii="Calibri" w:hAnsi="Calibri"/>
                <w:color w:val="000000"/>
                <w:sz w:val="24"/>
                <w:szCs w:val="22"/>
              </w:rPr>
            </w:pPr>
            <w:r w:rsidRPr="003F5B27">
              <w:rPr>
                <w:rFonts w:ascii="Calibri" w:hAnsi="Calibri"/>
                <w:color w:val="000000"/>
                <w:sz w:val="24"/>
                <w:szCs w:val="22"/>
              </w:rPr>
              <w:t>15</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02A15D17" w14:textId="77777777">
            <w:pPr>
              <w:rPr>
                <w:rFonts w:ascii="Calibri" w:hAnsi="Calibri"/>
                <w:color w:val="000000"/>
                <w:sz w:val="24"/>
                <w:szCs w:val="22"/>
              </w:rPr>
            </w:pPr>
            <w:r w:rsidRPr="003F5B27">
              <w:rPr>
                <w:rFonts w:ascii="Calibri" w:hAnsi="Calibri"/>
                <w:color w:val="000000"/>
                <w:sz w:val="24"/>
                <w:szCs w:val="22"/>
              </w:rPr>
              <w:t>Damage Prevention Public Awareness</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037CFFFE" w14:textId="77777777">
            <w:pPr>
              <w:jc w:val="right"/>
              <w:rPr>
                <w:rFonts w:ascii="Calibri" w:hAnsi="Calibri"/>
                <w:color w:val="000000"/>
                <w:sz w:val="24"/>
                <w:szCs w:val="22"/>
              </w:rPr>
            </w:pPr>
            <w:r w:rsidRPr="003F5B27">
              <w:rPr>
                <w:rFonts w:ascii="Calibri" w:hAnsi="Calibri"/>
                <w:color w:val="000000"/>
                <w:sz w:val="24"/>
                <w:szCs w:val="22"/>
              </w:rPr>
              <w:t>$1.50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6D75756F" w14:textId="77777777">
            <w:pPr>
              <w:jc w:val="center"/>
              <w:rPr>
                <w:rFonts w:ascii="Calibri" w:hAnsi="Calibri"/>
                <w:color w:val="000000"/>
                <w:sz w:val="24"/>
                <w:szCs w:val="22"/>
              </w:rPr>
            </w:pPr>
            <w:r w:rsidRPr="003F5B27">
              <w:rPr>
                <w:rFonts w:ascii="Calibri" w:hAnsi="Calibri"/>
                <w:color w:val="000000"/>
                <w:sz w:val="24"/>
                <w:szCs w:val="22"/>
              </w:rPr>
              <w:t>NE</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4E272311" w14:textId="77777777">
            <w:pPr>
              <w:jc w:val="center"/>
              <w:rPr>
                <w:rFonts w:ascii="Calibri" w:hAnsi="Calibri"/>
                <w:color w:val="000000"/>
                <w:sz w:val="24"/>
                <w:szCs w:val="22"/>
              </w:rPr>
            </w:pPr>
            <w:r w:rsidRPr="003F5B27">
              <w:rPr>
                <w:rFonts w:ascii="Calibri" w:hAnsi="Calibri"/>
                <w:color w:val="000000"/>
                <w:sz w:val="24"/>
                <w:szCs w:val="22"/>
              </w:rPr>
              <w:t>24, 25, 26</w:t>
            </w:r>
          </w:p>
        </w:tc>
      </w:tr>
      <w:tr w:rsidRPr="003F5B27" w:rsidR="003F5B27" w:rsidTr="003C64EA" w14:paraId="6756895A"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1915A036" w14:textId="77777777">
            <w:pPr>
              <w:jc w:val="center"/>
              <w:rPr>
                <w:rFonts w:ascii="Calibri" w:hAnsi="Calibri"/>
                <w:color w:val="000000"/>
                <w:sz w:val="24"/>
                <w:szCs w:val="22"/>
              </w:rPr>
            </w:pPr>
            <w:r w:rsidRPr="003F5B27">
              <w:rPr>
                <w:rFonts w:ascii="Calibri" w:hAnsi="Calibri"/>
                <w:color w:val="000000"/>
                <w:sz w:val="24"/>
                <w:szCs w:val="22"/>
              </w:rPr>
              <w:t>16</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6DAFFC2D" w14:textId="77777777">
            <w:pPr>
              <w:rPr>
                <w:rFonts w:ascii="Calibri" w:hAnsi="Calibri"/>
                <w:color w:val="000000"/>
                <w:sz w:val="24"/>
                <w:szCs w:val="22"/>
              </w:rPr>
            </w:pPr>
            <w:r w:rsidRPr="003F5B27">
              <w:rPr>
                <w:rFonts w:ascii="Calibri" w:hAnsi="Calibri"/>
                <w:color w:val="000000"/>
                <w:sz w:val="24"/>
                <w:szCs w:val="22"/>
              </w:rPr>
              <w:t>Pipe Fitting Specifications</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136A2BE8" w14:textId="77777777">
            <w:pPr>
              <w:jc w:val="right"/>
              <w:rPr>
                <w:rFonts w:ascii="Calibri" w:hAnsi="Calibri"/>
                <w:color w:val="000000"/>
                <w:sz w:val="24"/>
                <w:szCs w:val="22"/>
              </w:rPr>
            </w:pPr>
            <w:r w:rsidRPr="003F5B27">
              <w:rPr>
                <w:rFonts w:ascii="Calibri" w:hAnsi="Calibri"/>
                <w:color w:val="000000"/>
                <w:sz w:val="24"/>
                <w:szCs w:val="22"/>
              </w:rPr>
              <w:t>$1.20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6B2329F0" w14:textId="77777777">
            <w:pPr>
              <w:jc w:val="center"/>
              <w:rPr>
                <w:rFonts w:ascii="Calibri" w:hAnsi="Calibri"/>
                <w:color w:val="000000"/>
                <w:sz w:val="24"/>
                <w:szCs w:val="22"/>
              </w:rPr>
            </w:pPr>
            <w:r w:rsidRPr="003F5B27">
              <w:rPr>
                <w:rFonts w:ascii="Calibri" w:hAnsi="Calibri"/>
                <w:color w:val="000000"/>
                <w:sz w:val="24"/>
                <w:szCs w:val="22"/>
              </w:rPr>
              <w:t>NE</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3F0CC10B" w14:textId="77777777">
            <w:pPr>
              <w:jc w:val="center"/>
              <w:rPr>
                <w:rFonts w:ascii="Calibri" w:hAnsi="Calibri"/>
                <w:color w:val="000000"/>
                <w:sz w:val="24"/>
                <w:szCs w:val="22"/>
              </w:rPr>
            </w:pPr>
            <w:r w:rsidRPr="003F5B27">
              <w:rPr>
                <w:rFonts w:ascii="Calibri" w:hAnsi="Calibri"/>
                <w:color w:val="000000"/>
                <w:sz w:val="24"/>
                <w:szCs w:val="22"/>
              </w:rPr>
              <w:t>22</w:t>
            </w:r>
          </w:p>
        </w:tc>
      </w:tr>
      <w:tr w:rsidRPr="003F5B27" w:rsidR="003F5B27" w:rsidTr="003C64EA" w14:paraId="281D6131"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7DE03109" w14:textId="77777777">
            <w:pPr>
              <w:jc w:val="center"/>
              <w:rPr>
                <w:rFonts w:ascii="Calibri" w:hAnsi="Calibri"/>
                <w:color w:val="000000"/>
                <w:sz w:val="24"/>
                <w:szCs w:val="22"/>
              </w:rPr>
            </w:pPr>
            <w:r w:rsidRPr="003F5B27">
              <w:rPr>
                <w:rFonts w:ascii="Calibri" w:hAnsi="Calibri"/>
                <w:color w:val="000000"/>
                <w:sz w:val="24"/>
                <w:szCs w:val="22"/>
              </w:rPr>
              <w:t>17</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1CC62354" w14:textId="77777777">
            <w:pPr>
              <w:rPr>
                <w:rFonts w:ascii="Calibri" w:hAnsi="Calibri"/>
                <w:color w:val="000000"/>
                <w:sz w:val="24"/>
                <w:szCs w:val="22"/>
              </w:rPr>
            </w:pPr>
            <w:r w:rsidRPr="003F5B27">
              <w:rPr>
                <w:rFonts w:ascii="Calibri" w:hAnsi="Calibri"/>
                <w:color w:val="000000"/>
                <w:sz w:val="24"/>
                <w:szCs w:val="22"/>
              </w:rPr>
              <w:t>Repeat Offender Damage Prevention</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78460722" w14:textId="77777777">
            <w:pPr>
              <w:jc w:val="right"/>
              <w:rPr>
                <w:rFonts w:ascii="Calibri" w:hAnsi="Calibri"/>
                <w:color w:val="000000"/>
                <w:sz w:val="24"/>
                <w:szCs w:val="22"/>
              </w:rPr>
            </w:pPr>
            <w:r w:rsidRPr="003F5B27">
              <w:rPr>
                <w:rFonts w:ascii="Calibri" w:hAnsi="Calibri"/>
                <w:color w:val="000000"/>
                <w:sz w:val="24"/>
                <w:szCs w:val="22"/>
              </w:rPr>
              <w:t>$0.86</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318C9757" w14:textId="77777777">
            <w:pPr>
              <w:jc w:val="center"/>
              <w:rPr>
                <w:rFonts w:ascii="Calibri" w:hAnsi="Calibri"/>
                <w:color w:val="000000"/>
                <w:sz w:val="24"/>
                <w:szCs w:val="22"/>
              </w:rPr>
            </w:pPr>
            <w:r w:rsidRPr="003F5B27">
              <w:rPr>
                <w:rFonts w:ascii="Calibri" w:hAnsi="Calibri"/>
                <w:color w:val="000000"/>
                <w:sz w:val="24"/>
                <w:szCs w:val="22"/>
              </w:rPr>
              <w:t>NE</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7996C556" w14:textId="77777777">
            <w:pPr>
              <w:jc w:val="center"/>
              <w:rPr>
                <w:rFonts w:ascii="Calibri" w:hAnsi="Calibri"/>
                <w:color w:val="000000"/>
                <w:sz w:val="24"/>
                <w:szCs w:val="22"/>
              </w:rPr>
            </w:pPr>
            <w:r w:rsidRPr="003F5B27">
              <w:rPr>
                <w:rFonts w:ascii="Calibri" w:hAnsi="Calibri"/>
                <w:color w:val="000000"/>
                <w:sz w:val="24"/>
                <w:szCs w:val="22"/>
              </w:rPr>
              <w:t>26</w:t>
            </w:r>
          </w:p>
        </w:tc>
      </w:tr>
      <w:tr w:rsidRPr="003F5B27" w:rsidR="003F5B27" w:rsidTr="003C64EA" w14:paraId="4BC81AE3"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0A264C7A" w14:textId="77777777">
            <w:pPr>
              <w:jc w:val="center"/>
              <w:rPr>
                <w:rFonts w:ascii="Calibri" w:hAnsi="Calibri"/>
                <w:color w:val="000000"/>
                <w:sz w:val="24"/>
                <w:szCs w:val="22"/>
              </w:rPr>
            </w:pPr>
            <w:r w:rsidRPr="003F5B27">
              <w:rPr>
                <w:rFonts w:ascii="Calibri" w:hAnsi="Calibri"/>
                <w:color w:val="000000"/>
                <w:sz w:val="24"/>
                <w:szCs w:val="22"/>
              </w:rPr>
              <w:t>18</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7A509638" w14:textId="77777777">
            <w:pPr>
              <w:rPr>
                <w:rFonts w:ascii="Calibri" w:hAnsi="Calibri"/>
                <w:color w:val="000000"/>
                <w:sz w:val="24"/>
                <w:szCs w:val="22"/>
              </w:rPr>
            </w:pPr>
            <w:r w:rsidRPr="003F5B27">
              <w:rPr>
                <w:rFonts w:ascii="Calibri" w:hAnsi="Calibri"/>
                <w:color w:val="000000"/>
                <w:sz w:val="24"/>
                <w:szCs w:val="22"/>
              </w:rPr>
              <w:t>Meter Calibration Factor</w:t>
            </w:r>
            <w:r w:rsidRPr="003F5B27">
              <w:rPr>
                <w:rFonts w:ascii="Calibri" w:hAnsi="Calibri"/>
                <w:color w:val="000000"/>
                <w:sz w:val="24"/>
                <w:szCs w:val="22"/>
                <w:vertAlign w:val="superscript"/>
              </w:rPr>
              <w:t>3</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009FE180" w14:textId="77777777">
            <w:pPr>
              <w:jc w:val="right"/>
              <w:rPr>
                <w:rFonts w:ascii="Calibri" w:hAnsi="Calibri"/>
                <w:color w:val="000000"/>
                <w:sz w:val="24"/>
                <w:szCs w:val="22"/>
              </w:rPr>
            </w:pPr>
            <w:r w:rsidRPr="003F5B27">
              <w:rPr>
                <w:rFonts w:ascii="Calibri" w:hAnsi="Calibri"/>
                <w:color w:val="000000"/>
                <w:sz w:val="24"/>
                <w:szCs w:val="22"/>
              </w:rPr>
              <w:t>$0.02</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109AA86C" w14:textId="77777777">
            <w:pPr>
              <w:jc w:val="center"/>
              <w:rPr>
                <w:rFonts w:ascii="Calibri" w:hAnsi="Calibri"/>
                <w:color w:val="000000"/>
                <w:sz w:val="24"/>
                <w:szCs w:val="22"/>
              </w:rPr>
            </w:pPr>
            <w:r w:rsidRPr="003F5B27">
              <w:rPr>
                <w:rFonts w:ascii="Calibri" w:hAnsi="Calibri"/>
                <w:color w:val="000000"/>
                <w:sz w:val="24"/>
                <w:szCs w:val="22"/>
              </w:rPr>
              <w:t>negative</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183BDE33" w14:textId="77777777">
            <w:pPr>
              <w:jc w:val="center"/>
              <w:rPr>
                <w:rFonts w:ascii="Calibri" w:hAnsi="Calibri"/>
                <w:color w:val="000000"/>
                <w:sz w:val="24"/>
                <w:szCs w:val="22"/>
              </w:rPr>
            </w:pPr>
            <w:r w:rsidRPr="003F5B27">
              <w:rPr>
                <w:rFonts w:ascii="Calibri" w:hAnsi="Calibri"/>
                <w:color w:val="000000"/>
                <w:sz w:val="24"/>
                <w:szCs w:val="22"/>
              </w:rPr>
              <w:t>23</w:t>
            </w:r>
          </w:p>
        </w:tc>
      </w:tr>
      <w:tr w:rsidRPr="003F5B27" w:rsidR="003F5B27" w:rsidTr="003C64EA" w14:paraId="27AF9634"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56BC5C2E" w14:textId="77777777">
            <w:pPr>
              <w:jc w:val="center"/>
              <w:rPr>
                <w:rFonts w:ascii="Calibri" w:hAnsi="Calibri"/>
                <w:color w:val="000000"/>
                <w:sz w:val="24"/>
                <w:szCs w:val="22"/>
              </w:rPr>
            </w:pPr>
            <w:r w:rsidRPr="003F5B27">
              <w:rPr>
                <w:rFonts w:ascii="Calibri" w:hAnsi="Calibri"/>
                <w:color w:val="000000"/>
                <w:sz w:val="24"/>
                <w:szCs w:val="22"/>
              </w:rPr>
              <w:t>19</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13292D7A" w14:textId="77777777">
            <w:pPr>
              <w:rPr>
                <w:rFonts w:ascii="Calibri" w:hAnsi="Calibri"/>
                <w:color w:val="000000"/>
                <w:sz w:val="24"/>
                <w:szCs w:val="22"/>
              </w:rPr>
            </w:pPr>
            <w:r w:rsidRPr="003F5B27">
              <w:rPr>
                <w:rFonts w:ascii="Calibri" w:hAnsi="Calibri"/>
                <w:color w:val="000000"/>
                <w:sz w:val="24"/>
                <w:szCs w:val="22"/>
              </w:rPr>
              <w:t>Gas Speciation (Methane Detection)</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2DC24FDA" w14:textId="77777777">
            <w:pPr>
              <w:jc w:val="right"/>
              <w:rPr>
                <w:rFonts w:ascii="Calibri" w:hAnsi="Calibri"/>
                <w:color w:val="000000"/>
                <w:sz w:val="24"/>
                <w:szCs w:val="22"/>
              </w:rPr>
            </w:pPr>
            <w:r w:rsidRPr="003F5B27">
              <w:rPr>
                <w:rFonts w:ascii="Calibri" w:hAnsi="Calibri"/>
                <w:color w:val="000000"/>
                <w:sz w:val="24"/>
                <w:szCs w:val="22"/>
              </w:rPr>
              <w:t>$0.24</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127E3052" w14:textId="77777777">
            <w:pPr>
              <w:jc w:val="center"/>
              <w:rPr>
                <w:rFonts w:ascii="Calibri" w:hAnsi="Calibri"/>
                <w:color w:val="000000"/>
                <w:sz w:val="24"/>
                <w:szCs w:val="22"/>
              </w:rPr>
            </w:pPr>
            <w:r w:rsidRPr="003F5B27">
              <w:rPr>
                <w:rFonts w:ascii="Calibri" w:hAnsi="Calibri"/>
                <w:color w:val="000000"/>
                <w:sz w:val="24"/>
                <w:szCs w:val="22"/>
              </w:rPr>
              <w:t>NE</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0E107044" w14:textId="77777777">
            <w:pPr>
              <w:jc w:val="center"/>
              <w:rPr>
                <w:rFonts w:ascii="Calibri" w:hAnsi="Calibri"/>
                <w:color w:val="000000"/>
                <w:sz w:val="24"/>
                <w:szCs w:val="22"/>
              </w:rPr>
            </w:pPr>
            <w:r w:rsidRPr="003F5B27">
              <w:rPr>
                <w:rFonts w:ascii="Calibri" w:hAnsi="Calibri"/>
                <w:color w:val="000000"/>
                <w:sz w:val="24"/>
                <w:szCs w:val="22"/>
              </w:rPr>
              <w:t>17</w:t>
            </w:r>
          </w:p>
        </w:tc>
      </w:tr>
      <w:tr w:rsidRPr="003F5B27" w:rsidR="003F5B27" w:rsidTr="003C64EA" w14:paraId="5379E4A6"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162216E5" w14:textId="77777777">
            <w:pPr>
              <w:jc w:val="center"/>
              <w:rPr>
                <w:rFonts w:ascii="Calibri" w:hAnsi="Calibri"/>
                <w:color w:val="000000"/>
                <w:sz w:val="24"/>
                <w:szCs w:val="22"/>
              </w:rPr>
            </w:pPr>
            <w:r w:rsidRPr="003F5B27">
              <w:rPr>
                <w:rFonts w:ascii="Calibri" w:hAnsi="Calibri"/>
                <w:color w:val="000000"/>
                <w:sz w:val="24"/>
                <w:szCs w:val="22"/>
              </w:rPr>
              <w:t>20</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34D5060A" w14:textId="77777777">
            <w:pPr>
              <w:rPr>
                <w:rFonts w:ascii="Calibri" w:hAnsi="Calibri"/>
                <w:color w:val="000000"/>
                <w:sz w:val="24"/>
                <w:szCs w:val="22"/>
              </w:rPr>
            </w:pPr>
            <w:r w:rsidRPr="003F5B27">
              <w:rPr>
                <w:rFonts w:ascii="Calibri" w:hAnsi="Calibri"/>
                <w:color w:val="000000"/>
                <w:sz w:val="24"/>
                <w:szCs w:val="22"/>
              </w:rPr>
              <w:t>Public Leak Maps</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6B5585F9" w14:textId="77777777">
            <w:pPr>
              <w:jc w:val="right"/>
              <w:rPr>
                <w:rFonts w:ascii="Calibri" w:hAnsi="Calibri"/>
                <w:color w:val="000000"/>
                <w:sz w:val="24"/>
                <w:szCs w:val="22"/>
              </w:rPr>
            </w:pPr>
            <w:r w:rsidRPr="003F5B27">
              <w:rPr>
                <w:rFonts w:ascii="Calibri" w:hAnsi="Calibri"/>
                <w:color w:val="000000"/>
                <w:sz w:val="24"/>
                <w:szCs w:val="22"/>
              </w:rPr>
              <w:t>$0.05</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4B018137" w14:textId="77777777">
            <w:pPr>
              <w:jc w:val="center"/>
              <w:rPr>
                <w:rFonts w:ascii="Calibri" w:hAnsi="Calibri"/>
                <w:color w:val="000000"/>
                <w:sz w:val="24"/>
                <w:szCs w:val="22"/>
              </w:rPr>
            </w:pPr>
            <w:r w:rsidRPr="003F5B27">
              <w:rPr>
                <w:rFonts w:ascii="Calibri" w:hAnsi="Calibri"/>
                <w:color w:val="000000"/>
                <w:sz w:val="24"/>
                <w:szCs w:val="22"/>
              </w:rPr>
              <w:t>NE</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13C6FA38" w14:textId="77777777">
            <w:pPr>
              <w:jc w:val="center"/>
              <w:rPr>
                <w:rFonts w:ascii="Calibri" w:hAnsi="Calibri"/>
                <w:color w:val="000000"/>
                <w:sz w:val="24"/>
                <w:szCs w:val="22"/>
              </w:rPr>
            </w:pPr>
            <w:r w:rsidRPr="003F5B27">
              <w:rPr>
                <w:rFonts w:ascii="Calibri" w:hAnsi="Calibri"/>
                <w:color w:val="000000"/>
                <w:sz w:val="24"/>
                <w:szCs w:val="22"/>
              </w:rPr>
              <w:t>20b</w:t>
            </w:r>
          </w:p>
        </w:tc>
      </w:tr>
      <w:tr w:rsidRPr="003F5B27" w:rsidR="003F5B27" w:rsidTr="003C64EA" w14:paraId="0637B31A"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064597E3" w14:textId="77777777">
            <w:pPr>
              <w:jc w:val="center"/>
              <w:rPr>
                <w:rFonts w:ascii="Calibri" w:hAnsi="Calibri"/>
                <w:color w:val="000000"/>
                <w:sz w:val="24"/>
                <w:szCs w:val="22"/>
              </w:rPr>
            </w:pPr>
            <w:r w:rsidRPr="003F5B27">
              <w:rPr>
                <w:rFonts w:ascii="Calibri" w:hAnsi="Calibri"/>
                <w:color w:val="000000"/>
                <w:sz w:val="24"/>
                <w:szCs w:val="22"/>
              </w:rPr>
              <w:t>21</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36E0A24D" w14:textId="77777777">
            <w:pPr>
              <w:rPr>
                <w:rFonts w:ascii="Calibri" w:hAnsi="Calibri"/>
                <w:color w:val="000000"/>
                <w:sz w:val="24"/>
                <w:szCs w:val="22"/>
              </w:rPr>
            </w:pPr>
            <w:r w:rsidRPr="003F5B27">
              <w:rPr>
                <w:rFonts w:ascii="Calibri" w:hAnsi="Calibri"/>
                <w:color w:val="000000"/>
                <w:sz w:val="24"/>
                <w:szCs w:val="22"/>
              </w:rPr>
              <w:t>Methane GHG Policy</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62BF3EB6" w14:textId="77777777">
            <w:pPr>
              <w:jc w:val="right"/>
              <w:rPr>
                <w:rFonts w:ascii="Calibri" w:hAnsi="Calibri"/>
                <w:color w:val="000000"/>
                <w:sz w:val="24"/>
                <w:szCs w:val="22"/>
              </w:rPr>
            </w:pPr>
            <w:r w:rsidRPr="003F5B27">
              <w:rPr>
                <w:rFonts w:ascii="Calibri" w:hAnsi="Calibri"/>
                <w:color w:val="000000"/>
                <w:sz w:val="24"/>
                <w:szCs w:val="22"/>
              </w:rPr>
              <w:t>none</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5DD5A4AE"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681B9BDF" w14:textId="77777777">
            <w:pPr>
              <w:jc w:val="center"/>
              <w:rPr>
                <w:rFonts w:ascii="Calibri" w:hAnsi="Calibri"/>
                <w:color w:val="000000"/>
                <w:sz w:val="24"/>
                <w:szCs w:val="22"/>
              </w:rPr>
            </w:pPr>
            <w:r w:rsidRPr="003F5B27">
              <w:rPr>
                <w:rFonts w:ascii="Calibri" w:hAnsi="Calibri"/>
                <w:color w:val="000000"/>
                <w:sz w:val="24"/>
                <w:szCs w:val="22"/>
              </w:rPr>
              <w:t>2</w:t>
            </w:r>
          </w:p>
        </w:tc>
      </w:tr>
      <w:tr w:rsidRPr="003F5B27" w:rsidR="003F5B27" w:rsidTr="003C64EA" w14:paraId="62B702D5"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21DE8DF1" w14:textId="77777777">
            <w:pPr>
              <w:jc w:val="center"/>
              <w:rPr>
                <w:rFonts w:ascii="Calibri" w:hAnsi="Calibri"/>
                <w:color w:val="000000"/>
                <w:sz w:val="24"/>
                <w:szCs w:val="22"/>
              </w:rPr>
            </w:pPr>
            <w:r w:rsidRPr="003F5B27">
              <w:rPr>
                <w:rFonts w:ascii="Calibri" w:hAnsi="Calibri"/>
                <w:color w:val="000000"/>
                <w:sz w:val="24"/>
                <w:szCs w:val="22"/>
              </w:rPr>
              <w:t>22</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71F81171" w14:textId="77777777">
            <w:pPr>
              <w:rPr>
                <w:rFonts w:ascii="Calibri" w:hAnsi="Calibri"/>
                <w:color w:val="000000"/>
                <w:sz w:val="24"/>
                <w:szCs w:val="22"/>
              </w:rPr>
            </w:pPr>
            <w:r w:rsidRPr="003F5B27">
              <w:rPr>
                <w:rFonts w:ascii="Calibri" w:hAnsi="Calibri"/>
                <w:color w:val="000000"/>
                <w:sz w:val="24"/>
                <w:szCs w:val="22"/>
              </w:rPr>
              <w:t>Vapor Collection (Blythe Compressor)</w:t>
            </w:r>
            <w:r w:rsidRPr="003F5B27">
              <w:rPr>
                <w:rFonts w:ascii="Calibri" w:hAnsi="Calibri"/>
                <w:color w:val="000000"/>
                <w:sz w:val="24"/>
                <w:szCs w:val="22"/>
                <w:vertAlign w:val="superscript"/>
              </w:rPr>
              <w:t>4</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54C21369" w14:textId="77777777">
            <w:pPr>
              <w:jc w:val="right"/>
              <w:rPr>
                <w:rFonts w:ascii="Calibri" w:hAnsi="Calibri"/>
                <w:color w:val="000000"/>
                <w:sz w:val="24"/>
                <w:szCs w:val="22"/>
              </w:rPr>
            </w:pPr>
            <w:r w:rsidRPr="003F5B27">
              <w:rPr>
                <w:rFonts w:ascii="Calibri" w:hAnsi="Calibri"/>
                <w:color w:val="000000"/>
                <w:sz w:val="24"/>
                <w:szCs w:val="22"/>
              </w:rPr>
              <w:t>none</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346F8A9F"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3625C9AF" w14:textId="77777777">
            <w:pPr>
              <w:jc w:val="center"/>
              <w:rPr>
                <w:rFonts w:ascii="Calibri" w:hAnsi="Calibri"/>
                <w:color w:val="000000"/>
                <w:sz w:val="24"/>
                <w:szCs w:val="22"/>
              </w:rPr>
            </w:pPr>
            <w:r w:rsidRPr="003F5B27">
              <w:rPr>
                <w:rFonts w:ascii="Calibri" w:hAnsi="Calibri"/>
                <w:color w:val="000000"/>
                <w:sz w:val="24"/>
                <w:szCs w:val="22"/>
              </w:rPr>
              <w:t>23</w:t>
            </w:r>
          </w:p>
        </w:tc>
      </w:tr>
      <w:tr w:rsidRPr="003F5B27" w:rsidR="003F5B27" w:rsidTr="003C64EA" w14:paraId="43445E1D"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21F4916D" w14:textId="77777777">
            <w:pPr>
              <w:jc w:val="center"/>
              <w:rPr>
                <w:rFonts w:ascii="Calibri" w:hAnsi="Calibri"/>
                <w:color w:val="000000"/>
                <w:sz w:val="24"/>
                <w:szCs w:val="22"/>
              </w:rPr>
            </w:pPr>
            <w:r w:rsidRPr="003F5B27">
              <w:rPr>
                <w:rFonts w:ascii="Calibri" w:hAnsi="Calibri"/>
                <w:color w:val="000000"/>
                <w:sz w:val="24"/>
                <w:szCs w:val="22"/>
              </w:rPr>
              <w:t>23</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3E7BD997" w14:textId="77777777">
            <w:pPr>
              <w:rPr>
                <w:rFonts w:ascii="Calibri" w:hAnsi="Calibri"/>
                <w:color w:val="000000"/>
                <w:sz w:val="24"/>
                <w:szCs w:val="22"/>
              </w:rPr>
            </w:pPr>
            <w:r w:rsidRPr="003F5B27">
              <w:rPr>
                <w:rFonts w:ascii="Calibri" w:hAnsi="Calibri"/>
                <w:color w:val="000000"/>
                <w:sz w:val="24"/>
                <w:szCs w:val="22"/>
              </w:rPr>
              <w:t>Differential Pressure Testing</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30574B46" w14:textId="77777777">
            <w:pPr>
              <w:jc w:val="right"/>
              <w:rPr>
                <w:rFonts w:ascii="Calibri" w:hAnsi="Calibri"/>
                <w:color w:val="000000"/>
                <w:sz w:val="24"/>
                <w:szCs w:val="22"/>
              </w:rPr>
            </w:pPr>
            <w:r w:rsidRPr="003F5B27">
              <w:rPr>
                <w:rFonts w:ascii="Calibri" w:hAnsi="Calibri"/>
                <w:color w:val="000000"/>
                <w:sz w:val="24"/>
                <w:szCs w:val="22"/>
              </w:rPr>
              <w:t>none</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1FEF98F8"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45CC2215" w14:textId="77777777">
            <w:pPr>
              <w:jc w:val="center"/>
              <w:rPr>
                <w:rFonts w:ascii="Calibri" w:hAnsi="Calibri"/>
                <w:color w:val="000000"/>
                <w:sz w:val="24"/>
                <w:szCs w:val="22"/>
              </w:rPr>
            </w:pPr>
            <w:r w:rsidRPr="003F5B27">
              <w:rPr>
                <w:rFonts w:ascii="Calibri" w:hAnsi="Calibri"/>
                <w:color w:val="000000"/>
                <w:sz w:val="24"/>
                <w:szCs w:val="22"/>
              </w:rPr>
              <w:t>23</w:t>
            </w:r>
          </w:p>
        </w:tc>
      </w:tr>
      <w:tr w:rsidRPr="003F5B27" w:rsidR="003F5B27" w:rsidTr="003C64EA" w14:paraId="308FCE8B"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30DB5A40" w14:textId="77777777">
            <w:pPr>
              <w:jc w:val="center"/>
              <w:rPr>
                <w:rFonts w:ascii="Calibri" w:hAnsi="Calibri"/>
                <w:color w:val="000000"/>
                <w:sz w:val="24"/>
                <w:szCs w:val="22"/>
              </w:rPr>
            </w:pPr>
            <w:r w:rsidRPr="003F5B27">
              <w:rPr>
                <w:rFonts w:ascii="Calibri" w:hAnsi="Calibri"/>
                <w:color w:val="000000"/>
                <w:sz w:val="24"/>
                <w:szCs w:val="22"/>
              </w:rPr>
              <w:t>24</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6A220950" w14:textId="77777777">
            <w:pPr>
              <w:rPr>
                <w:rFonts w:ascii="Calibri" w:hAnsi="Calibri"/>
                <w:color w:val="000000"/>
                <w:sz w:val="24"/>
                <w:szCs w:val="22"/>
              </w:rPr>
            </w:pPr>
            <w:r w:rsidRPr="003F5B27">
              <w:rPr>
                <w:rFonts w:ascii="Calibri" w:hAnsi="Calibri"/>
                <w:color w:val="000000"/>
                <w:sz w:val="24"/>
                <w:szCs w:val="22"/>
              </w:rPr>
              <w:t>Above Ground Survey-Distribution</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36CC2784" w14:textId="77777777">
            <w:pPr>
              <w:jc w:val="right"/>
              <w:rPr>
                <w:rFonts w:ascii="Calibri" w:hAnsi="Calibri"/>
                <w:color w:val="000000"/>
                <w:sz w:val="24"/>
                <w:szCs w:val="22"/>
              </w:rPr>
            </w:pPr>
            <w:r w:rsidRPr="003F5B27">
              <w:rPr>
                <w:rFonts w:ascii="Calibri" w:hAnsi="Calibri"/>
                <w:color w:val="000000"/>
                <w:sz w:val="24"/>
                <w:szCs w:val="22"/>
              </w:rPr>
              <w:t>none</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5114CA8B"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25AB1D4D" w14:textId="77777777">
            <w:pPr>
              <w:jc w:val="center"/>
              <w:rPr>
                <w:rFonts w:ascii="Calibri" w:hAnsi="Calibri"/>
                <w:color w:val="000000"/>
                <w:sz w:val="24"/>
                <w:szCs w:val="22"/>
              </w:rPr>
            </w:pPr>
            <w:r w:rsidRPr="003F5B27">
              <w:rPr>
                <w:rFonts w:ascii="Calibri" w:hAnsi="Calibri"/>
                <w:color w:val="000000"/>
                <w:sz w:val="24"/>
                <w:szCs w:val="22"/>
              </w:rPr>
              <w:t>19</w:t>
            </w:r>
          </w:p>
        </w:tc>
      </w:tr>
      <w:tr w:rsidRPr="003F5B27" w:rsidR="003F5B27" w:rsidTr="003C64EA" w14:paraId="659DCA07"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17F36D7C" w14:textId="77777777">
            <w:pPr>
              <w:jc w:val="center"/>
              <w:rPr>
                <w:rFonts w:ascii="Calibri" w:hAnsi="Calibri"/>
                <w:color w:val="000000"/>
                <w:sz w:val="24"/>
                <w:szCs w:val="22"/>
              </w:rPr>
            </w:pPr>
            <w:r w:rsidRPr="003F5B27">
              <w:rPr>
                <w:rFonts w:ascii="Calibri" w:hAnsi="Calibri"/>
                <w:color w:val="000000"/>
                <w:sz w:val="24"/>
                <w:szCs w:val="22"/>
              </w:rPr>
              <w:t>25</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70BBF05B" w14:textId="77777777">
            <w:pPr>
              <w:rPr>
                <w:rFonts w:ascii="Calibri" w:hAnsi="Calibri"/>
                <w:color w:val="000000"/>
                <w:sz w:val="24"/>
                <w:szCs w:val="22"/>
              </w:rPr>
            </w:pPr>
            <w:r w:rsidRPr="003F5B27">
              <w:rPr>
                <w:rFonts w:ascii="Calibri" w:hAnsi="Calibri"/>
                <w:color w:val="000000"/>
                <w:sz w:val="24"/>
                <w:szCs w:val="22"/>
              </w:rPr>
              <w:t>Above Ground Survey-Storage</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7500C9BE" w14:textId="77777777">
            <w:pPr>
              <w:jc w:val="right"/>
              <w:rPr>
                <w:rFonts w:ascii="Calibri" w:hAnsi="Calibri"/>
                <w:color w:val="000000"/>
                <w:sz w:val="24"/>
                <w:szCs w:val="22"/>
              </w:rPr>
            </w:pPr>
            <w:r w:rsidRPr="003F5B27">
              <w:rPr>
                <w:rFonts w:ascii="Calibri" w:hAnsi="Calibri"/>
                <w:color w:val="000000"/>
                <w:sz w:val="24"/>
                <w:szCs w:val="22"/>
              </w:rPr>
              <w:t>$1.50</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3A487370" w14:textId="77777777">
            <w:pPr>
              <w:jc w:val="center"/>
              <w:rPr>
                <w:rFonts w:ascii="Calibri" w:hAnsi="Calibri"/>
                <w:color w:val="000000"/>
                <w:sz w:val="24"/>
                <w:szCs w:val="22"/>
              </w:rPr>
            </w:pPr>
            <w:r w:rsidRPr="003F5B27">
              <w:rPr>
                <w:rFonts w:ascii="Calibri" w:hAnsi="Calibri"/>
                <w:color w:val="000000"/>
                <w:sz w:val="24"/>
                <w:szCs w:val="22"/>
              </w:rPr>
              <w:t>NE </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08815B72" w14:textId="77777777">
            <w:pPr>
              <w:jc w:val="center"/>
              <w:rPr>
                <w:rFonts w:ascii="Calibri" w:hAnsi="Calibri"/>
                <w:color w:val="000000"/>
                <w:sz w:val="24"/>
                <w:szCs w:val="22"/>
              </w:rPr>
            </w:pPr>
            <w:r w:rsidRPr="003F5B27">
              <w:rPr>
                <w:rFonts w:ascii="Calibri" w:hAnsi="Calibri"/>
                <w:color w:val="000000"/>
                <w:sz w:val="24"/>
                <w:szCs w:val="22"/>
              </w:rPr>
              <w:t>19, 21</w:t>
            </w:r>
          </w:p>
        </w:tc>
      </w:tr>
      <w:tr w:rsidRPr="003F5B27" w:rsidR="003F5B27" w:rsidTr="003C64EA" w14:paraId="2D61EAD4"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715C4F6C" w14:textId="77777777">
            <w:pPr>
              <w:jc w:val="center"/>
              <w:rPr>
                <w:rFonts w:ascii="Calibri" w:hAnsi="Calibri"/>
                <w:color w:val="000000"/>
                <w:sz w:val="24"/>
                <w:szCs w:val="22"/>
              </w:rPr>
            </w:pPr>
            <w:r w:rsidRPr="003F5B27">
              <w:rPr>
                <w:rFonts w:ascii="Calibri" w:hAnsi="Calibri"/>
                <w:color w:val="000000"/>
                <w:sz w:val="24"/>
                <w:szCs w:val="22"/>
              </w:rPr>
              <w:t>26</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7D5FDD1D" w14:textId="77777777">
            <w:pPr>
              <w:rPr>
                <w:rFonts w:ascii="Calibri" w:hAnsi="Calibri"/>
                <w:color w:val="000000"/>
                <w:sz w:val="24"/>
                <w:szCs w:val="22"/>
              </w:rPr>
            </w:pPr>
            <w:r w:rsidRPr="003F5B27">
              <w:rPr>
                <w:rFonts w:ascii="Calibri" w:hAnsi="Calibri"/>
                <w:color w:val="000000"/>
                <w:sz w:val="24"/>
                <w:szCs w:val="22"/>
              </w:rPr>
              <w:t>Training- Methane Emissions</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61B29D8A" w14:textId="77777777">
            <w:pPr>
              <w:jc w:val="right"/>
              <w:rPr>
                <w:rFonts w:ascii="Calibri" w:hAnsi="Calibri"/>
                <w:color w:val="000000"/>
                <w:sz w:val="24"/>
                <w:szCs w:val="22"/>
              </w:rPr>
            </w:pPr>
            <w:r w:rsidRPr="003F5B27">
              <w:rPr>
                <w:rFonts w:ascii="Calibri" w:hAnsi="Calibri"/>
                <w:color w:val="000000"/>
                <w:sz w:val="24"/>
                <w:szCs w:val="22"/>
              </w:rPr>
              <w:t>none</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1C52A8A7"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2A1CC943" w14:textId="77777777">
            <w:pPr>
              <w:jc w:val="center"/>
              <w:rPr>
                <w:rFonts w:ascii="Calibri" w:hAnsi="Calibri"/>
                <w:color w:val="000000"/>
                <w:sz w:val="24"/>
                <w:szCs w:val="22"/>
              </w:rPr>
            </w:pPr>
            <w:r w:rsidRPr="003F5B27">
              <w:rPr>
                <w:rFonts w:ascii="Calibri" w:hAnsi="Calibri"/>
                <w:color w:val="000000"/>
                <w:sz w:val="24"/>
                <w:szCs w:val="22"/>
              </w:rPr>
              <w:t>11, 12</w:t>
            </w:r>
          </w:p>
        </w:tc>
      </w:tr>
      <w:tr w:rsidRPr="003F5B27" w:rsidR="003F5B27" w:rsidTr="003C64EA" w14:paraId="0886B124"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207A988A" w14:textId="77777777">
            <w:pPr>
              <w:jc w:val="center"/>
              <w:rPr>
                <w:rFonts w:ascii="Calibri" w:hAnsi="Calibri"/>
                <w:color w:val="000000"/>
                <w:sz w:val="24"/>
                <w:szCs w:val="22"/>
              </w:rPr>
            </w:pPr>
            <w:r w:rsidRPr="003F5B27">
              <w:rPr>
                <w:rFonts w:ascii="Calibri" w:hAnsi="Calibri"/>
                <w:color w:val="000000"/>
                <w:sz w:val="24"/>
                <w:szCs w:val="22"/>
              </w:rPr>
              <w:t>27</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1A3AB197" w14:textId="77777777">
            <w:pPr>
              <w:rPr>
                <w:rFonts w:ascii="Calibri" w:hAnsi="Calibri"/>
                <w:color w:val="000000"/>
                <w:sz w:val="24"/>
                <w:szCs w:val="22"/>
              </w:rPr>
            </w:pPr>
            <w:r w:rsidRPr="003F5B27">
              <w:rPr>
                <w:rFonts w:ascii="Calibri" w:hAnsi="Calibri"/>
                <w:color w:val="000000"/>
                <w:sz w:val="24"/>
                <w:szCs w:val="22"/>
              </w:rPr>
              <w:t>Leak Repair -Distribution Above Ground</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58BB9DF5" w14:textId="77777777">
            <w:pPr>
              <w:jc w:val="right"/>
              <w:rPr>
                <w:rFonts w:ascii="Calibri" w:hAnsi="Calibri"/>
                <w:color w:val="000000"/>
                <w:sz w:val="24"/>
                <w:szCs w:val="22"/>
              </w:rPr>
            </w:pPr>
            <w:r w:rsidRPr="003F5B27">
              <w:rPr>
                <w:rFonts w:ascii="Calibri" w:hAnsi="Calibri"/>
                <w:color w:val="000000"/>
                <w:sz w:val="24"/>
                <w:szCs w:val="22"/>
              </w:rPr>
              <w:t>none</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30A7B15F"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2C4C5C89" w14:textId="77777777">
            <w:pPr>
              <w:jc w:val="center"/>
              <w:rPr>
                <w:rFonts w:ascii="Calibri" w:hAnsi="Calibri"/>
                <w:color w:val="000000"/>
                <w:sz w:val="24"/>
                <w:szCs w:val="22"/>
              </w:rPr>
            </w:pPr>
            <w:r w:rsidRPr="003F5B27">
              <w:rPr>
                <w:rFonts w:ascii="Calibri" w:hAnsi="Calibri"/>
                <w:color w:val="000000"/>
                <w:sz w:val="24"/>
                <w:szCs w:val="22"/>
              </w:rPr>
              <w:t>19, 21</w:t>
            </w:r>
          </w:p>
        </w:tc>
      </w:tr>
      <w:tr w:rsidRPr="003F5B27" w:rsidR="003F5B27" w:rsidTr="003C64EA" w14:paraId="774AA1C8"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32465C7D" w14:textId="77777777">
            <w:pPr>
              <w:jc w:val="center"/>
              <w:rPr>
                <w:rFonts w:ascii="Calibri" w:hAnsi="Calibri"/>
                <w:color w:val="000000"/>
                <w:sz w:val="24"/>
                <w:szCs w:val="22"/>
              </w:rPr>
            </w:pPr>
            <w:r w:rsidRPr="003F5B27">
              <w:rPr>
                <w:rFonts w:ascii="Calibri" w:hAnsi="Calibri"/>
                <w:color w:val="000000"/>
                <w:sz w:val="24"/>
                <w:szCs w:val="22"/>
              </w:rPr>
              <w:lastRenderedPageBreak/>
              <w:t>28</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5056F9E8" w14:textId="77777777">
            <w:pPr>
              <w:rPr>
                <w:rFonts w:ascii="Calibri" w:hAnsi="Calibri"/>
                <w:color w:val="000000"/>
                <w:sz w:val="24"/>
                <w:szCs w:val="22"/>
              </w:rPr>
            </w:pPr>
            <w:r w:rsidRPr="003F5B27">
              <w:rPr>
                <w:rFonts w:ascii="Calibri" w:hAnsi="Calibri"/>
                <w:color w:val="000000"/>
                <w:sz w:val="24"/>
                <w:szCs w:val="22"/>
              </w:rPr>
              <w:t>High Bleed Device Replacement</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33BE1299" w14:textId="77777777">
            <w:pPr>
              <w:jc w:val="right"/>
              <w:rPr>
                <w:rFonts w:ascii="Calibri" w:hAnsi="Calibri"/>
                <w:color w:val="000000"/>
                <w:sz w:val="24"/>
                <w:szCs w:val="22"/>
              </w:rPr>
            </w:pPr>
            <w:r w:rsidRPr="003F5B27">
              <w:rPr>
                <w:rFonts w:ascii="Calibri" w:hAnsi="Calibri"/>
                <w:color w:val="000000"/>
                <w:sz w:val="24"/>
                <w:szCs w:val="22"/>
              </w:rPr>
              <w:t>none</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1DDC3ED7" w14:textId="77777777">
            <w:pPr>
              <w:jc w:val="center"/>
              <w:rPr>
                <w:rFonts w:ascii="Calibri" w:hAnsi="Calibri"/>
                <w:color w:val="000000"/>
                <w:sz w:val="24"/>
                <w:szCs w:val="22"/>
              </w:rPr>
            </w:pPr>
            <w:r w:rsidRPr="003F5B27">
              <w:rPr>
                <w:rFonts w:ascii="Calibri" w:hAnsi="Calibri"/>
                <w:color w:val="000000"/>
                <w:sz w:val="24"/>
                <w:szCs w:val="22"/>
              </w:rPr>
              <w:t>NA</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25638DFB" w14:textId="77777777">
            <w:pPr>
              <w:jc w:val="center"/>
              <w:rPr>
                <w:rFonts w:ascii="Calibri" w:hAnsi="Calibri"/>
                <w:color w:val="000000"/>
                <w:sz w:val="24"/>
                <w:szCs w:val="22"/>
              </w:rPr>
            </w:pPr>
            <w:r w:rsidRPr="003F5B27">
              <w:rPr>
                <w:rFonts w:ascii="Calibri" w:hAnsi="Calibri"/>
                <w:color w:val="000000"/>
                <w:sz w:val="24"/>
                <w:szCs w:val="22"/>
              </w:rPr>
              <w:t>23</w:t>
            </w:r>
          </w:p>
        </w:tc>
      </w:tr>
      <w:tr w:rsidRPr="003F5B27" w:rsidR="003F5B27" w:rsidTr="003C64EA" w14:paraId="62DD5B5B"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052D806D" w14:textId="77777777">
            <w:pPr>
              <w:jc w:val="center"/>
              <w:rPr>
                <w:rFonts w:ascii="Calibri" w:hAnsi="Calibri"/>
                <w:color w:val="000000"/>
                <w:sz w:val="24"/>
                <w:szCs w:val="22"/>
              </w:rPr>
            </w:pPr>
            <w:r w:rsidRPr="003F5B27">
              <w:rPr>
                <w:rFonts w:ascii="Calibri" w:hAnsi="Calibri"/>
                <w:color w:val="000000"/>
                <w:sz w:val="24"/>
                <w:szCs w:val="22"/>
              </w:rPr>
              <w:t> </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3DA4985C" w14:textId="77777777">
            <w:pPr>
              <w:rPr>
                <w:rFonts w:ascii="Calibri" w:hAnsi="Calibri"/>
                <w:color w:val="000000"/>
                <w:sz w:val="24"/>
                <w:szCs w:val="22"/>
              </w:rPr>
            </w:pPr>
            <w:r w:rsidRPr="003F5B27">
              <w:rPr>
                <w:rFonts w:ascii="Calibri" w:hAnsi="Calibri"/>
                <w:color w:val="000000"/>
                <w:sz w:val="24"/>
                <w:szCs w:val="22"/>
              </w:rPr>
              <w:t> </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6E75D530" w14:textId="77777777">
            <w:pPr>
              <w:jc w:val="right"/>
              <w:rPr>
                <w:rFonts w:ascii="Calibri" w:hAnsi="Calibri"/>
                <w:color w:val="000000"/>
                <w:sz w:val="24"/>
                <w:szCs w:val="22"/>
              </w:rPr>
            </w:pPr>
            <w:r w:rsidRPr="003F5B27">
              <w:rPr>
                <w:rFonts w:ascii="Calibri" w:hAnsi="Calibri"/>
                <w:color w:val="000000"/>
                <w:sz w:val="24"/>
                <w:szCs w:val="22"/>
              </w:rPr>
              <w:t> </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3980957D" w14:textId="77777777">
            <w:pPr>
              <w:jc w:val="center"/>
              <w:rPr>
                <w:rFonts w:ascii="Calibri" w:hAnsi="Calibri"/>
                <w:color w:val="000000"/>
                <w:sz w:val="24"/>
                <w:szCs w:val="22"/>
              </w:rPr>
            </w:pPr>
            <w:r w:rsidRPr="003F5B27">
              <w:rPr>
                <w:rFonts w:ascii="Calibri" w:hAnsi="Calibri"/>
                <w:color w:val="000000"/>
                <w:sz w:val="24"/>
                <w:szCs w:val="22"/>
              </w:rPr>
              <w:t> </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14F3AA6A" w14:textId="77777777">
            <w:pPr>
              <w:jc w:val="center"/>
              <w:rPr>
                <w:rFonts w:ascii="Calibri" w:hAnsi="Calibri"/>
                <w:color w:val="000000"/>
                <w:sz w:val="24"/>
                <w:szCs w:val="22"/>
              </w:rPr>
            </w:pPr>
            <w:r w:rsidRPr="003F5B27">
              <w:rPr>
                <w:rFonts w:ascii="Calibri" w:hAnsi="Calibri"/>
                <w:color w:val="000000"/>
                <w:sz w:val="24"/>
                <w:szCs w:val="22"/>
              </w:rPr>
              <w:t> </w:t>
            </w:r>
          </w:p>
        </w:tc>
      </w:tr>
      <w:tr w:rsidRPr="003F5B27" w:rsidR="003F5B27" w:rsidTr="003C64EA" w14:paraId="537F26CE" w14:textId="77777777">
        <w:trPr>
          <w:trHeight w:val="300"/>
        </w:trPr>
        <w:tc>
          <w:tcPr>
            <w:tcW w:w="1062" w:type="dxa"/>
            <w:tcBorders>
              <w:top w:val="nil"/>
              <w:left w:val="single" w:color="auto" w:sz="4" w:space="0"/>
              <w:bottom w:val="single" w:color="auto" w:sz="4" w:space="0"/>
              <w:right w:val="single" w:color="auto" w:sz="4" w:space="0"/>
            </w:tcBorders>
            <w:noWrap/>
            <w:vAlign w:val="bottom"/>
            <w:hideMark/>
          </w:tcPr>
          <w:p w:rsidRPr="003F5B27" w:rsidR="003F5B27" w:rsidP="003F5B27" w:rsidRDefault="003F5B27" w14:paraId="61068A66" w14:textId="77777777">
            <w:pPr>
              <w:jc w:val="center"/>
              <w:rPr>
                <w:rFonts w:ascii="Calibri" w:hAnsi="Calibri"/>
                <w:b/>
                <w:bCs/>
                <w:color w:val="000000"/>
                <w:sz w:val="24"/>
                <w:szCs w:val="22"/>
              </w:rPr>
            </w:pPr>
            <w:r w:rsidRPr="003F5B27">
              <w:rPr>
                <w:rFonts w:ascii="Calibri" w:hAnsi="Calibri"/>
                <w:b/>
                <w:bCs/>
                <w:color w:val="000000"/>
                <w:sz w:val="24"/>
                <w:szCs w:val="22"/>
              </w:rPr>
              <w:t>TOTAL</w:t>
            </w:r>
          </w:p>
        </w:tc>
        <w:tc>
          <w:tcPr>
            <w:tcW w:w="3883" w:type="dxa"/>
            <w:tcBorders>
              <w:top w:val="nil"/>
              <w:left w:val="nil"/>
              <w:bottom w:val="single" w:color="auto" w:sz="4" w:space="0"/>
              <w:right w:val="single" w:color="auto" w:sz="4" w:space="0"/>
            </w:tcBorders>
            <w:noWrap/>
            <w:vAlign w:val="bottom"/>
            <w:hideMark/>
          </w:tcPr>
          <w:p w:rsidRPr="003F5B27" w:rsidR="003F5B27" w:rsidP="003F5B27" w:rsidRDefault="003F5B27" w14:paraId="52F84AD0" w14:textId="77777777">
            <w:pPr>
              <w:rPr>
                <w:rFonts w:ascii="Calibri" w:hAnsi="Calibri"/>
                <w:b/>
                <w:bCs/>
                <w:color w:val="000000"/>
                <w:sz w:val="24"/>
                <w:szCs w:val="22"/>
              </w:rPr>
            </w:pPr>
            <w:r w:rsidRPr="003F5B27">
              <w:rPr>
                <w:rFonts w:ascii="Calibri" w:hAnsi="Calibri"/>
                <w:b/>
                <w:bCs/>
                <w:color w:val="000000"/>
                <w:sz w:val="24"/>
                <w:szCs w:val="22"/>
              </w:rPr>
              <w:t> </w:t>
            </w:r>
          </w:p>
        </w:tc>
        <w:tc>
          <w:tcPr>
            <w:tcW w:w="1620" w:type="dxa"/>
            <w:tcBorders>
              <w:top w:val="nil"/>
              <w:left w:val="nil"/>
              <w:bottom w:val="single" w:color="auto" w:sz="4" w:space="0"/>
              <w:right w:val="single" w:color="auto" w:sz="4" w:space="0"/>
            </w:tcBorders>
            <w:noWrap/>
            <w:vAlign w:val="bottom"/>
            <w:hideMark/>
          </w:tcPr>
          <w:p w:rsidRPr="003F5B27" w:rsidR="003F5B27" w:rsidP="003F5B27" w:rsidRDefault="003F5B27" w14:paraId="1A5AECA6" w14:textId="77777777">
            <w:pPr>
              <w:jc w:val="right"/>
              <w:rPr>
                <w:rFonts w:ascii="Calibri" w:hAnsi="Calibri"/>
                <w:b/>
                <w:bCs/>
                <w:color w:val="000000"/>
                <w:sz w:val="24"/>
                <w:szCs w:val="22"/>
              </w:rPr>
            </w:pPr>
            <w:r w:rsidRPr="003F5B27">
              <w:rPr>
                <w:rFonts w:ascii="Calibri" w:hAnsi="Calibri"/>
                <w:b/>
                <w:bCs/>
                <w:color w:val="000000"/>
                <w:sz w:val="24"/>
                <w:szCs w:val="22"/>
              </w:rPr>
              <w:t>$76.32</w:t>
            </w:r>
          </w:p>
        </w:tc>
        <w:tc>
          <w:tcPr>
            <w:tcW w:w="1800" w:type="dxa"/>
            <w:tcBorders>
              <w:top w:val="nil"/>
              <w:left w:val="nil"/>
              <w:bottom w:val="single" w:color="auto" w:sz="4" w:space="0"/>
              <w:right w:val="single" w:color="auto" w:sz="4" w:space="0"/>
            </w:tcBorders>
            <w:noWrap/>
            <w:vAlign w:val="bottom"/>
            <w:hideMark/>
          </w:tcPr>
          <w:p w:rsidRPr="003F5B27" w:rsidR="003F5B27" w:rsidP="003F5B27" w:rsidRDefault="003F5B27" w14:paraId="2D35630A" w14:textId="77777777">
            <w:pPr>
              <w:jc w:val="center"/>
              <w:rPr>
                <w:rFonts w:ascii="Calibri" w:hAnsi="Calibri"/>
                <w:color w:val="000000"/>
                <w:sz w:val="24"/>
                <w:szCs w:val="22"/>
              </w:rPr>
            </w:pPr>
            <w:r w:rsidRPr="003F5B27">
              <w:rPr>
                <w:rFonts w:ascii="Calibri" w:hAnsi="Calibri"/>
                <w:color w:val="000000"/>
                <w:sz w:val="24"/>
                <w:szCs w:val="22"/>
              </w:rPr>
              <w:t> </w:t>
            </w:r>
          </w:p>
        </w:tc>
        <w:tc>
          <w:tcPr>
            <w:tcW w:w="1179" w:type="dxa"/>
            <w:tcBorders>
              <w:top w:val="nil"/>
              <w:left w:val="nil"/>
              <w:bottom w:val="single" w:color="auto" w:sz="4" w:space="0"/>
              <w:right w:val="single" w:color="auto" w:sz="4" w:space="0"/>
            </w:tcBorders>
            <w:noWrap/>
            <w:vAlign w:val="bottom"/>
            <w:hideMark/>
          </w:tcPr>
          <w:p w:rsidRPr="003F5B27" w:rsidR="003F5B27" w:rsidP="003F5B27" w:rsidRDefault="003F5B27" w14:paraId="74253C17" w14:textId="77777777">
            <w:pPr>
              <w:jc w:val="center"/>
              <w:rPr>
                <w:rFonts w:ascii="Calibri" w:hAnsi="Calibri"/>
                <w:color w:val="000000"/>
                <w:sz w:val="24"/>
                <w:szCs w:val="22"/>
              </w:rPr>
            </w:pPr>
            <w:r w:rsidRPr="003F5B27">
              <w:rPr>
                <w:rFonts w:ascii="Calibri" w:hAnsi="Calibri"/>
                <w:color w:val="000000"/>
                <w:sz w:val="24"/>
                <w:szCs w:val="22"/>
              </w:rPr>
              <w:t> </w:t>
            </w:r>
          </w:p>
        </w:tc>
      </w:tr>
    </w:tbl>
    <w:p w:rsidRPr="003F5B27" w:rsidR="003F5B27" w:rsidP="003F5B27" w:rsidRDefault="003F5B27" w14:paraId="50008EC4" w14:textId="77777777">
      <w:pPr>
        <w:spacing w:after="160" w:line="259" w:lineRule="auto"/>
        <w:rPr>
          <w:rFonts w:asciiTheme="minorHAnsi" w:hAnsiTheme="minorHAnsi" w:eastAsiaTheme="minorHAnsi" w:cstheme="minorBidi"/>
          <w:sz w:val="22"/>
          <w:szCs w:val="22"/>
        </w:rPr>
      </w:pPr>
      <w:r w:rsidRPr="003F5B27">
        <w:rPr>
          <w:rFonts w:ascii="Garamond" w:hAnsi="Garamond" w:eastAsiaTheme="minorHAnsi" w:cstheme="minorBidi"/>
          <w:b/>
          <w:bCs/>
          <w:sz w:val="24"/>
          <w:szCs w:val="22"/>
        </w:rPr>
        <w:t xml:space="preserve">NA = </w:t>
      </w:r>
      <w:r w:rsidRPr="003F5B27">
        <w:rPr>
          <w:rFonts w:ascii="Garamond" w:hAnsi="Garamond" w:eastAsiaTheme="minorHAnsi" w:cstheme="minorBidi"/>
          <w:sz w:val="24"/>
          <w:szCs w:val="22"/>
        </w:rPr>
        <w:t xml:space="preserve">Cost Effectiveness not applicable.  </w:t>
      </w:r>
      <w:r w:rsidRPr="003F5B27">
        <w:rPr>
          <w:rFonts w:ascii="Garamond" w:hAnsi="Garamond" w:eastAsiaTheme="minorHAnsi" w:cstheme="minorBidi"/>
          <w:b/>
          <w:bCs/>
          <w:sz w:val="24"/>
          <w:szCs w:val="22"/>
        </w:rPr>
        <w:t xml:space="preserve">NE = </w:t>
      </w:r>
      <w:r w:rsidRPr="003F5B27">
        <w:rPr>
          <w:rFonts w:ascii="Garamond" w:hAnsi="Garamond" w:eastAsiaTheme="minorHAnsi" w:cstheme="minorBidi"/>
          <w:sz w:val="24"/>
          <w:szCs w:val="22"/>
        </w:rPr>
        <w:t>Emission reduction could not be estimated.</w:t>
      </w:r>
    </w:p>
    <w:p w:rsidRPr="003F5B27" w:rsidR="003F5B27" w:rsidP="003F5B27" w:rsidRDefault="003F5B27" w14:paraId="4071DE8D" w14:textId="77777777">
      <w:pPr>
        <w:spacing w:after="160" w:line="259" w:lineRule="auto"/>
        <w:rPr>
          <w:rFonts w:ascii="Garamond" w:hAnsi="Garamond" w:eastAsiaTheme="minorHAnsi" w:cstheme="minorBidi"/>
          <w:sz w:val="22"/>
          <w:szCs w:val="22"/>
        </w:rPr>
      </w:pPr>
      <w:r w:rsidRPr="003F5B27">
        <w:rPr>
          <w:rFonts w:ascii="Calibri" w:hAnsi="Calibri"/>
          <w:color w:val="000000"/>
          <w:sz w:val="28"/>
          <w:szCs w:val="24"/>
          <w:vertAlign w:val="superscript"/>
        </w:rPr>
        <w:t xml:space="preserve">1 </w:t>
      </w:r>
      <w:r w:rsidRPr="003F5B27">
        <w:rPr>
          <w:rFonts w:ascii="Garamond" w:hAnsi="Garamond" w:eastAsiaTheme="minorHAnsi" w:cstheme="minorBidi"/>
          <w:sz w:val="22"/>
          <w:szCs w:val="22"/>
        </w:rPr>
        <w:t>AARR includes a one-time charge to re-arrange, or ‘</w:t>
      </w:r>
      <w:proofErr w:type="spellStart"/>
      <w:r w:rsidRPr="003F5B27">
        <w:rPr>
          <w:rFonts w:ascii="Garamond" w:hAnsi="Garamond" w:eastAsiaTheme="minorHAnsi" w:cstheme="minorBidi"/>
          <w:sz w:val="22"/>
          <w:szCs w:val="22"/>
        </w:rPr>
        <w:t>levelize</w:t>
      </w:r>
      <w:proofErr w:type="spellEnd"/>
      <w:r w:rsidRPr="003F5B27">
        <w:rPr>
          <w:rFonts w:ascii="Garamond" w:hAnsi="Garamond" w:eastAsiaTheme="minorHAnsi" w:cstheme="minorBidi"/>
          <w:sz w:val="22"/>
          <w:szCs w:val="22"/>
        </w:rPr>
        <w:t>’ leak survey maps. The cost effectiveness without this charge is $26/MCF. With the charge it is $38/MCF.</w:t>
      </w:r>
    </w:p>
    <w:p w:rsidRPr="003F5B27" w:rsidR="003F5B27" w:rsidP="003F5B27" w:rsidRDefault="003F5B27" w14:paraId="6B73AFE5" w14:textId="77777777">
      <w:pPr>
        <w:spacing w:after="160" w:line="259" w:lineRule="auto"/>
        <w:rPr>
          <w:rFonts w:ascii="Garamond" w:hAnsi="Garamond" w:eastAsiaTheme="minorHAnsi" w:cstheme="minorBidi"/>
          <w:sz w:val="24"/>
          <w:szCs w:val="24"/>
        </w:rPr>
      </w:pPr>
      <w:r w:rsidRPr="003F5B27">
        <w:rPr>
          <w:rFonts w:ascii="Calibri" w:hAnsi="Calibri"/>
          <w:color w:val="000000"/>
          <w:sz w:val="28"/>
          <w:szCs w:val="24"/>
          <w:vertAlign w:val="superscript"/>
        </w:rPr>
        <w:t>2</w:t>
      </w:r>
      <w:r w:rsidRPr="003F5B27">
        <w:rPr>
          <w:rFonts w:ascii="Garamond" w:hAnsi="Garamond" w:eastAsiaTheme="minorHAnsi" w:cstheme="minorBidi"/>
          <w:sz w:val="28"/>
          <w:szCs w:val="24"/>
        </w:rPr>
        <w:t xml:space="preserve"> </w:t>
      </w:r>
      <w:r w:rsidRPr="003F5B27">
        <w:rPr>
          <w:rFonts w:ascii="Garamond" w:hAnsi="Garamond" w:eastAsiaTheme="minorHAnsi" w:cstheme="minorBidi"/>
          <w:sz w:val="22"/>
          <w:szCs w:val="22"/>
        </w:rPr>
        <w:t>The aerial survey costs include measurement of downstream gas facilities, and costs to employ additional personnel to investigate the downstream leak indications.</w:t>
      </w:r>
    </w:p>
    <w:p w:rsidRPr="003F5B27" w:rsidR="003F5B27" w:rsidP="003F5B27" w:rsidRDefault="003F5B27" w14:paraId="502FDAE1" w14:textId="77777777">
      <w:pPr>
        <w:spacing w:after="160" w:line="259" w:lineRule="auto"/>
        <w:rPr>
          <w:rFonts w:ascii="Garamond" w:hAnsi="Garamond" w:eastAsiaTheme="minorHAnsi" w:cstheme="minorBidi"/>
          <w:sz w:val="22"/>
          <w:szCs w:val="22"/>
        </w:rPr>
      </w:pPr>
      <w:r w:rsidRPr="003F5B27">
        <w:rPr>
          <w:rFonts w:ascii="Calibri" w:hAnsi="Calibri"/>
          <w:color w:val="000000"/>
          <w:sz w:val="28"/>
          <w:szCs w:val="24"/>
          <w:vertAlign w:val="superscript"/>
        </w:rPr>
        <w:t>3</w:t>
      </w:r>
      <w:r w:rsidRPr="003F5B27">
        <w:rPr>
          <w:rFonts w:ascii="Garamond" w:hAnsi="Garamond" w:eastAsiaTheme="minorHAnsi" w:cstheme="minorBidi"/>
          <w:sz w:val="28"/>
          <w:szCs w:val="24"/>
        </w:rPr>
        <w:t xml:space="preserve"> </w:t>
      </w:r>
      <w:r w:rsidRPr="003F5B27">
        <w:rPr>
          <w:rFonts w:ascii="Garamond" w:hAnsi="Garamond" w:eastAsiaTheme="minorHAnsi" w:cstheme="minorBidi"/>
          <w:sz w:val="22"/>
          <w:szCs w:val="22"/>
        </w:rPr>
        <w:t>There is a large cost benefit of $34 million over three years of savings from avoiding meter replacement, and a low revenue requirement to implement the measure. Thus, cost effectiveness is a large negative number, which indicates a cost savings.</w:t>
      </w:r>
    </w:p>
    <w:p w:rsidRPr="003F5B27" w:rsidR="003F5B27" w:rsidP="003F5B27" w:rsidRDefault="003F5B27" w14:paraId="56ECB8C9" w14:textId="77777777">
      <w:pPr>
        <w:spacing w:after="160" w:line="259" w:lineRule="auto"/>
        <w:rPr>
          <w:rFonts w:ascii="Garamond" w:hAnsi="Garamond" w:eastAsiaTheme="minorHAnsi" w:cstheme="minorBidi"/>
          <w:b/>
          <w:bCs/>
          <w:sz w:val="24"/>
          <w:szCs w:val="24"/>
        </w:rPr>
      </w:pPr>
      <w:r w:rsidRPr="003F5B27">
        <w:rPr>
          <w:rFonts w:ascii="Calibri" w:hAnsi="Calibri"/>
          <w:color w:val="000000"/>
          <w:sz w:val="28"/>
          <w:szCs w:val="24"/>
          <w:vertAlign w:val="superscript"/>
        </w:rPr>
        <w:t>4</w:t>
      </w:r>
      <w:r w:rsidRPr="003F5B27">
        <w:rPr>
          <w:rFonts w:ascii="Garamond" w:hAnsi="Garamond" w:eastAsiaTheme="minorHAnsi" w:cstheme="minorBidi"/>
          <w:sz w:val="28"/>
          <w:szCs w:val="24"/>
        </w:rPr>
        <w:t xml:space="preserve"> </w:t>
      </w:r>
      <w:r w:rsidRPr="003F5B27">
        <w:rPr>
          <w:rFonts w:ascii="Garamond" w:hAnsi="Garamond" w:eastAsiaTheme="minorHAnsi" w:cstheme="minorBidi"/>
          <w:sz w:val="22"/>
          <w:szCs w:val="22"/>
        </w:rPr>
        <w:t>The vapor recovery equipment at Blythe Station has been recently installed and paid for from the 2018 Compliance Plan, so there is no cost effectiveness value provided. The expected emission reduction is 12,614 MCF per year.</w:t>
      </w:r>
    </w:p>
    <w:p w:rsidRPr="003F5B27" w:rsidR="003F5B27" w:rsidP="003F5B27" w:rsidRDefault="003F5B27" w14:paraId="5279E90F" w14:textId="77777777">
      <w:pPr>
        <w:spacing w:line="259" w:lineRule="auto"/>
        <w:rPr>
          <w:rFonts w:ascii="Garamond" w:hAnsi="Garamond" w:eastAsiaTheme="minorHAnsi" w:cstheme="minorBidi"/>
          <w:b/>
          <w:bCs/>
          <w:sz w:val="24"/>
          <w:szCs w:val="22"/>
        </w:rPr>
      </w:pPr>
    </w:p>
    <w:p w:rsidRPr="003F5B27" w:rsidR="003F5B27" w:rsidP="003F5B27" w:rsidRDefault="003F5B27" w14:paraId="29EECFD3" w14:textId="77777777">
      <w:pPr>
        <w:keepNext/>
        <w:keepLines/>
        <w:spacing w:before="240" w:line="259" w:lineRule="auto"/>
        <w:outlineLvl w:val="0"/>
        <w:rPr>
          <w:rFonts w:ascii="Century Gothic" w:hAnsi="Century Gothic" w:eastAsiaTheme="majorEastAsia" w:cstheme="majorBidi"/>
          <w:color w:val="2F5496" w:themeColor="accent1" w:themeShade="BF"/>
          <w:sz w:val="28"/>
          <w:szCs w:val="32"/>
        </w:rPr>
      </w:pPr>
      <w:r w:rsidRPr="003F5B27">
        <w:rPr>
          <w:rFonts w:ascii="Century Gothic" w:hAnsi="Century Gothic" w:eastAsiaTheme="majorEastAsia" w:cstheme="majorBidi"/>
          <w:color w:val="2F5496" w:themeColor="accent1" w:themeShade="BF"/>
          <w:sz w:val="28"/>
          <w:szCs w:val="32"/>
        </w:rPr>
        <w:t>SECTION A. EVALUATION OF CHAPTERS WITH REDUCTION ESTIMATES</w:t>
      </w:r>
    </w:p>
    <w:p w:rsidRPr="003F5B27" w:rsidR="003F5B27" w:rsidP="003F5B27" w:rsidRDefault="003F5B27" w14:paraId="49A7904B"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reviewed the following chapters in order of estimated reductions, from greatest to least.  Estimated emissions reductions and Cost Effectiveness for these chapters are summarized in Table 2 in Appendix A.</w:t>
      </w:r>
    </w:p>
    <w:p w:rsidRPr="003F5B27" w:rsidR="003F5B27" w:rsidP="003F5B27" w:rsidRDefault="003F5B27" w14:paraId="3C576164" w14:textId="77777777">
      <w:pPr>
        <w:spacing w:line="259" w:lineRule="auto"/>
        <w:rPr>
          <w:rFonts w:ascii="Garamond" w:hAnsi="Garamond" w:eastAsiaTheme="minorHAnsi" w:cstheme="minorBidi"/>
          <w:sz w:val="24"/>
          <w:szCs w:val="22"/>
        </w:rPr>
      </w:pPr>
    </w:p>
    <w:p w:rsidRPr="003F5B27" w:rsidR="003F5B27" w:rsidP="003F5B27" w:rsidRDefault="003F5B27" w14:paraId="7F40127D" w14:textId="77777777">
      <w:pPr>
        <w:spacing w:line="259" w:lineRule="auto"/>
        <w:rPr>
          <w:rFonts w:ascii="Garamond" w:hAnsi="Garamond" w:eastAsiaTheme="minorHAnsi" w:cstheme="minorBidi"/>
          <w:sz w:val="24"/>
          <w:szCs w:val="22"/>
        </w:rPr>
      </w:pPr>
      <w:r w:rsidRPr="003F5B27">
        <w:rPr>
          <w:rFonts w:asciiTheme="majorHAnsi" w:hAnsiTheme="majorHAnsi" w:eastAsiaTheme="majorEastAsia" w:cstheme="majorBidi"/>
          <w:color w:val="2F5496" w:themeColor="accent1" w:themeShade="BF"/>
          <w:szCs w:val="26"/>
        </w:rPr>
        <w:t>CHAPTER 1.  LEAK INVENTORY</w:t>
      </w:r>
      <w:r w:rsidRPr="003F5B27">
        <w:rPr>
          <w:rFonts w:ascii="Garamond" w:hAnsi="Garamond" w:eastAsiaTheme="minorHAnsi" w:cstheme="minorBidi"/>
          <w:sz w:val="24"/>
          <w:szCs w:val="22"/>
        </w:rPr>
        <w:t xml:space="preserve"> </w:t>
      </w:r>
      <w:r w:rsidRPr="003F5B27">
        <w:rPr>
          <w:rFonts w:asciiTheme="majorHAnsi" w:hAnsiTheme="majorHAnsi" w:eastAsiaTheme="majorEastAsia" w:cstheme="majorBidi"/>
          <w:color w:val="2F5496" w:themeColor="accent1" w:themeShade="BF"/>
          <w:szCs w:val="26"/>
        </w:rPr>
        <w:t xml:space="preserve">REDUCTION </w:t>
      </w:r>
    </w:p>
    <w:p w:rsidRPr="003F5B27" w:rsidR="003F5B27" w:rsidP="003F5B27" w:rsidRDefault="003F5B27" w14:paraId="58124B75"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This chapter addresses one of the fundamental concerns of SB 1371 and the NGLA program: gas leaks allowed to remain open indefinitely. Prior to the NGLA program, leaks that were not defined as hazardous by safety regulations did not have to be repaired promptly; these leaks (typically referred to as Grade 3) were too low in gas concentration to support ignition. Now under the NGLA program, Best Practice 21 (“Find it, </w:t>
      </w:r>
      <w:proofErr w:type="gramStart"/>
      <w:r w:rsidRPr="003F5B27">
        <w:rPr>
          <w:rFonts w:ascii="Garamond" w:hAnsi="Garamond" w:eastAsiaTheme="minorHAnsi" w:cstheme="minorBidi"/>
          <w:sz w:val="24"/>
          <w:szCs w:val="22"/>
        </w:rPr>
        <w:t>Fix</w:t>
      </w:r>
      <w:proofErr w:type="gramEnd"/>
      <w:r w:rsidRPr="003F5B27">
        <w:rPr>
          <w:rFonts w:ascii="Garamond" w:hAnsi="Garamond" w:eastAsiaTheme="minorHAnsi" w:cstheme="minorBidi"/>
          <w:sz w:val="24"/>
          <w:szCs w:val="22"/>
        </w:rPr>
        <w:t xml:space="preserve"> it’) requires all leaks to be repaired as soon as possible but no more than three years after discovery, with some exceptions for unusually high cost repairs.</w:t>
      </w:r>
    </w:p>
    <w:p w:rsidRPr="003F5B27" w:rsidR="003F5B27" w:rsidP="003F5B27" w:rsidRDefault="003F5B27" w14:paraId="50E59FB2" w14:textId="77777777">
      <w:pPr>
        <w:spacing w:line="259" w:lineRule="auto"/>
        <w:rPr>
          <w:rFonts w:ascii="Garamond" w:hAnsi="Garamond" w:eastAsiaTheme="minorHAnsi" w:cstheme="minorBidi"/>
          <w:sz w:val="24"/>
          <w:szCs w:val="22"/>
        </w:rPr>
      </w:pPr>
    </w:p>
    <w:p w:rsidRPr="003F5B27" w:rsidR="003F5B27" w:rsidP="003F5B27" w:rsidRDefault="003F5B27" w14:paraId="142C417D"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The estimated emissions reductions for this chapter, 240,769 MCF by 2025, is the largest of all the proposed measures in the Compliance Plan and amounts to about half of the total reductions.  SoCalGas intends to reduce the leak inventory period to 18 months at first, and then to six months. The sooner a leak is repaired, the lower the resultant emissions.  Six months is considered a practical limit due to permitting and other construction limitations. The chapter incorporates the current leak inventory as well as new additional leaks to be discovered by more frequent leak surveys in accordance with Best Practice 15 (Leak Survey Interval) and 16 (Special Leak Surveys).</w:t>
      </w:r>
    </w:p>
    <w:p w:rsidRPr="003F5B27" w:rsidR="003F5B27" w:rsidP="003F5B27" w:rsidRDefault="003F5B27" w14:paraId="00D91961" w14:textId="77777777">
      <w:pPr>
        <w:spacing w:line="259" w:lineRule="auto"/>
        <w:rPr>
          <w:rFonts w:ascii="Garamond" w:hAnsi="Garamond" w:eastAsiaTheme="minorHAnsi" w:cstheme="minorBidi"/>
          <w:sz w:val="24"/>
          <w:szCs w:val="22"/>
        </w:rPr>
      </w:pPr>
    </w:p>
    <w:p w:rsidRPr="003F5B27" w:rsidR="003F5B27" w:rsidP="003F5B27" w:rsidRDefault="003F5B27" w14:paraId="23AF3DDC"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The standard Cost Effectiveness is presented as $78/MCF based on an AARR of $23.8 Million.  This value compares favorably with the 2018 Compliance Plan estimate of $138/MCF for leak </w:t>
      </w:r>
      <w:r w:rsidRPr="003F5B27">
        <w:rPr>
          <w:rFonts w:ascii="Garamond" w:hAnsi="Garamond" w:eastAsiaTheme="minorHAnsi" w:cstheme="minorBidi"/>
          <w:sz w:val="24"/>
          <w:szCs w:val="22"/>
        </w:rPr>
        <w:lastRenderedPageBreak/>
        <w:t>backlog reduction. The Cap and Trade benefit is approximately $1.14/MCF.  The social cost of methane benefit as provided in the Phase II NGLA Decision</w:t>
      </w:r>
      <w:r w:rsidRPr="003F5B27">
        <w:rPr>
          <w:rFonts w:ascii="Garamond" w:hAnsi="Garamond" w:eastAsiaTheme="minorHAnsi" w:cstheme="minorBidi"/>
          <w:sz w:val="24"/>
          <w:szCs w:val="22"/>
          <w:vertAlign w:val="superscript"/>
        </w:rPr>
        <w:footnoteReference w:id="17"/>
      </w:r>
      <w:r w:rsidRPr="003F5B27">
        <w:rPr>
          <w:rFonts w:ascii="Garamond" w:hAnsi="Garamond" w:eastAsiaTheme="minorHAnsi" w:cstheme="minorBidi"/>
          <w:sz w:val="24"/>
          <w:szCs w:val="22"/>
        </w:rPr>
        <w:t xml:space="preserve"> is $21/MCF.  The net cost effectiveness is $56/MCF.</w:t>
      </w:r>
    </w:p>
    <w:p w:rsidRPr="003F5B27" w:rsidR="003F5B27" w:rsidP="003F5B27" w:rsidRDefault="003F5B27" w14:paraId="14E4ED6E" w14:textId="77777777">
      <w:pPr>
        <w:spacing w:line="259" w:lineRule="auto"/>
        <w:rPr>
          <w:rFonts w:ascii="Garamond" w:hAnsi="Garamond" w:eastAsiaTheme="minorHAnsi" w:cstheme="minorBidi"/>
          <w:sz w:val="24"/>
          <w:szCs w:val="22"/>
        </w:rPr>
      </w:pPr>
    </w:p>
    <w:p w:rsidRPr="003F5B27" w:rsidR="003F5B27" w:rsidP="003F5B27" w:rsidRDefault="003F5B27" w14:paraId="2D753F09"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Once the outstanding inventory of leaks is eliminated by repair, there will not be a backlog.  SoCalGas projects the Chapter’s work will end by 2025.</w:t>
      </w:r>
    </w:p>
    <w:p w:rsidRPr="003F5B27" w:rsidR="003F5B27" w:rsidP="003F5B27" w:rsidRDefault="003F5B27" w14:paraId="06000298" w14:textId="77777777">
      <w:pPr>
        <w:spacing w:line="259" w:lineRule="auto"/>
        <w:rPr>
          <w:rFonts w:ascii="Garamond" w:hAnsi="Garamond" w:eastAsiaTheme="minorHAnsi" w:cstheme="minorBidi"/>
          <w:sz w:val="24"/>
          <w:szCs w:val="22"/>
        </w:rPr>
      </w:pPr>
    </w:p>
    <w:p w:rsidRPr="003F5B27" w:rsidR="003F5B27" w:rsidP="003F5B27" w:rsidRDefault="003F5B27" w14:paraId="49703388"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the Chapter 1 measures.</w:t>
      </w:r>
    </w:p>
    <w:p w:rsidRPr="003F5B27" w:rsidR="003F5B27" w:rsidP="003F5B27" w:rsidRDefault="003F5B27" w14:paraId="7075D456" w14:textId="77777777">
      <w:pPr>
        <w:spacing w:line="259" w:lineRule="auto"/>
        <w:rPr>
          <w:rFonts w:ascii="Garamond" w:hAnsi="Garamond" w:eastAsiaTheme="minorHAnsi" w:cstheme="minorBidi"/>
          <w:sz w:val="24"/>
          <w:szCs w:val="22"/>
        </w:rPr>
      </w:pPr>
    </w:p>
    <w:p w:rsidRPr="003F5B27" w:rsidR="003F5B27" w:rsidP="003F5B27" w:rsidRDefault="003F5B27" w14:paraId="735FED5C"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2.  INCREASED LEAK SURVEY FREQUENCY</w:t>
      </w:r>
    </w:p>
    <w:p w:rsidRPr="003F5B27" w:rsidR="003F5B27" w:rsidP="003F5B27" w:rsidRDefault="003F5B27" w14:paraId="4221E805"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This chapter incorporates Best Practice 15 (Leak Survey Interval) and 16 (Special Leak Surveys).  BP 15 requires a three-year leak survey period or an alternative survey period if more effective in special cases.  SoCalGas plans to continue with the alternative annual leak surveys as approved in the 2018 Plan for two types of pipe material known to be leak-prone:  unprotected steel and pre-1986 vintage </w:t>
      </w:r>
      <w:proofErr w:type="spellStart"/>
      <w:r w:rsidRPr="003F5B27">
        <w:rPr>
          <w:rFonts w:ascii="Garamond" w:hAnsi="Garamond" w:eastAsiaTheme="minorHAnsi" w:cstheme="minorBidi"/>
          <w:sz w:val="24"/>
          <w:szCs w:val="22"/>
        </w:rPr>
        <w:t>Aldyl</w:t>
      </w:r>
      <w:proofErr w:type="spellEnd"/>
      <w:r w:rsidRPr="003F5B27">
        <w:rPr>
          <w:rFonts w:ascii="Garamond" w:hAnsi="Garamond" w:eastAsiaTheme="minorHAnsi" w:cstheme="minorBidi"/>
          <w:sz w:val="24"/>
          <w:szCs w:val="22"/>
        </w:rPr>
        <w:t xml:space="preserve">-A plastic pipe.  </w:t>
      </w:r>
    </w:p>
    <w:p w:rsidRPr="003F5B27" w:rsidR="003F5B27" w:rsidP="003F5B27" w:rsidRDefault="003F5B27" w14:paraId="29CEDC90" w14:textId="77777777">
      <w:pPr>
        <w:spacing w:line="259" w:lineRule="auto"/>
        <w:rPr>
          <w:rFonts w:ascii="Garamond" w:hAnsi="Garamond" w:eastAsiaTheme="minorHAnsi" w:cstheme="minorBidi"/>
          <w:sz w:val="24"/>
          <w:szCs w:val="22"/>
        </w:rPr>
      </w:pPr>
    </w:p>
    <w:p w:rsidRPr="003F5B27" w:rsidR="003F5B27" w:rsidP="003F5B27" w:rsidRDefault="003F5B27" w14:paraId="7FF0447E"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Unprotected steel pipe means that no anti-corrosion system, such as cathodic protection, is installed on that pipe.  </w:t>
      </w:r>
      <w:proofErr w:type="spellStart"/>
      <w:r w:rsidRPr="003F5B27">
        <w:rPr>
          <w:rFonts w:ascii="Garamond" w:hAnsi="Garamond" w:eastAsiaTheme="minorHAnsi" w:cstheme="minorBidi"/>
          <w:sz w:val="24"/>
          <w:szCs w:val="22"/>
        </w:rPr>
        <w:t>Aldyl</w:t>
      </w:r>
      <w:proofErr w:type="spellEnd"/>
      <w:r w:rsidRPr="003F5B27">
        <w:rPr>
          <w:rFonts w:ascii="Garamond" w:hAnsi="Garamond" w:eastAsiaTheme="minorHAnsi" w:cstheme="minorBidi"/>
          <w:sz w:val="24"/>
          <w:szCs w:val="22"/>
        </w:rPr>
        <w:t xml:space="preserve">-A, one of the earliest forms of plastic pipe used instead of steel, has been found to develop leaks more often than other materials. The older, “vintage,” supplies of </w:t>
      </w:r>
      <w:proofErr w:type="spellStart"/>
      <w:r w:rsidRPr="003F5B27">
        <w:rPr>
          <w:rFonts w:ascii="Garamond" w:hAnsi="Garamond" w:eastAsiaTheme="minorHAnsi" w:cstheme="minorBidi"/>
          <w:sz w:val="24"/>
          <w:szCs w:val="22"/>
        </w:rPr>
        <w:t>Aldyl</w:t>
      </w:r>
      <w:proofErr w:type="spellEnd"/>
      <w:r w:rsidRPr="003F5B27">
        <w:rPr>
          <w:rFonts w:ascii="Garamond" w:hAnsi="Garamond" w:eastAsiaTheme="minorHAnsi" w:cstheme="minorBidi"/>
          <w:sz w:val="24"/>
          <w:szCs w:val="22"/>
        </w:rPr>
        <w:t>-A are particularly subject to developing leaks.</w:t>
      </w:r>
    </w:p>
    <w:p w:rsidRPr="003F5B27" w:rsidR="003F5B27" w:rsidP="003F5B27" w:rsidRDefault="003F5B27" w14:paraId="3F80A137" w14:textId="77777777">
      <w:pPr>
        <w:spacing w:line="259" w:lineRule="auto"/>
        <w:rPr>
          <w:rFonts w:ascii="Garamond" w:hAnsi="Garamond" w:eastAsiaTheme="minorHAnsi" w:cstheme="minorBidi"/>
          <w:sz w:val="24"/>
          <w:szCs w:val="22"/>
        </w:rPr>
      </w:pPr>
    </w:p>
    <w:p w:rsidRPr="003F5B27" w:rsidR="003F5B27" w:rsidP="003F5B27" w:rsidRDefault="003F5B27" w14:paraId="44B5962B" w14:textId="77777777">
      <w:pPr>
        <w:autoSpaceDE w:val="0"/>
        <w:autoSpaceDN w:val="0"/>
        <w:adjustRightInd w:val="0"/>
        <w:rPr>
          <w:rFonts w:ascii="Garamond" w:hAnsi="Garamond" w:eastAsiaTheme="minorHAnsi" w:cstheme="minorHAnsi"/>
          <w:sz w:val="20"/>
        </w:rPr>
      </w:pPr>
      <w:r w:rsidRPr="003F5B27">
        <w:rPr>
          <w:rFonts w:ascii="Garamond" w:hAnsi="Garamond" w:eastAsiaTheme="minorHAnsi" w:cstheme="minorHAnsi"/>
          <w:sz w:val="24"/>
          <w:szCs w:val="22"/>
        </w:rPr>
        <w:t xml:space="preserve">Emissions reduction achieved in 2018 after one year of annual surveys performed on pre-86 </w:t>
      </w:r>
      <w:proofErr w:type="spellStart"/>
      <w:r w:rsidRPr="003F5B27">
        <w:rPr>
          <w:rFonts w:ascii="Garamond" w:hAnsi="Garamond" w:eastAsiaTheme="minorHAnsi" w:cstheme="minorHAnsi"/>
          <w:sz w:val="24"/>
          <w:szCs w:val="22"/>
        </w:rPr>
        <w:t>Aldyl</w:t>
      </w:r>
      <w:proofErr w:type="spellEnd"/>
      <w:r w:rsidRPr="003F5B27">
        <w:rPr>
          <w:rFonts w:ascii="Garamond" w:hAnsi="Garamond" w:eastAsiaTheme="minorHAnsi" w:cstheme="minorHAnsi"/>
          <w:sz w:val="24"/>
          <w:szCs w:val="22"/>
        </w:rPr>
        <w:t xml:space="preserve">-A was 39,903 MCF, compared with the forecasted reduction of 16,749 MCF.  That practice was begun under SoCalGas’ regulatory Distribution Integrity Management Program (DIMP) and is a good example of what can be achieved with increased leak survey intervals. RASA staff note that the pre-86 </w:t>
      </w:r>
      <w:proofErr w:type="spellStart"/>
      <w:r w:rsidRPr="003F5B27">
        <w:rPr>
          <w:rFonts w:ascii="Garamond" w:hAnsi="Garamond" w:eastAsiaTheme="minorHAnsi" w:cstheme="minorHAnsi"/>
          <w:sz w:val="24"/>
          <w:szCs w:val="22"/>
        </w:rPr>
        <w:t>Aldyl</w:t>
      </w:r>
      <w:proofErr w:type="spellEnd"/>
      <w:r w:rsidRPr="003F5B27">
        <w:rPr>
          <w:rFonts w:ascii="Garamond" w:hAnsi="Garamond" w:eastAsiaTheme="minorHAnsi" w:cstheme="minorHAnsi"/>
          <w:sz w:val="24"/>
          <w:szCs w:val="22"/>
        </w:rPr>
        <w:t>-A survey is funded under the General Rate Case as a DIMP-related program.</w:t>
      </w:r>
    </w:p>
    <w:p w:rsidRPr="003F5B27" w:rsidR="003F5B27" w:rsidP="003F5B27" w:rsidRDefault="003F5B27" w14:paraId="054ECBA3" w14:textId="77777777">
      <w:pPr>
        <w:autoSpaceDE w:val="0"/>
        <w:autoSpaceDN w:val="0"/>
        <w:adjustRightInd w:val="0"/>
        <w:rPr>
          <w:rFonts w:ascii="Garamond" w:hAnsi="Garamond" w:eastAsiaTheme="minorHAnsi" w:cstheme="minorHAnsi"/>
          <w:sz w:val="24"/>
          <w:szCs w:val="22"/>
        </w:rPr>
      </w:pPr>
    </w:p>
    <w:p w:rsidRPr="003F5B27" w:rsidR="003F5B27" w:rsidP="003F5B27" w:rsidRDefault="003F5B27" w14:paraId="3AE6E1CA"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For the leak survey frequency measures in Chapter 2, the expected reduction by 2025 is 133,017 MCF, the second-largest contributor to reductions.</w:t>
      </w:r>
    </w:p>
    <w:p w:rsidRPr="003F5B27" w:rsidR="003F5B27" w:rsidP="003F5B27" w:rsidRDefault="003F5B27" w14:paraId="4670D75A" w14:textId="77777777">
      <w:pPr>
        <w:spacing w:line="259" w:lineRule="auto"/>
        <w:rPr>
          <w:rFonts w:ascii="Garamond" w:hAnsi="Garamond" w:eastAsiaTheme="minorHAnsi" w:cstheme="minorBidi"/>
          <w:sz w:val="24"/>
          <w:szCs w:val="22"/>
        </w:rPr>
      </w:pPr>
    </w:p>
    <w:p w:rsidRPr="003F5B27" w:rsidR="003F5B27" w:rsidP="003F5B27" w:rsidRDefault="003F5B27" w14:paraId="720270C8"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The standard cost effectiveness is presented as $26/MCF based on an AARR of $3.7 million.  SoCalGas excluded a one-time cost which is needed to re-configure, or “</w:t>
      </w:r>
      <w:proofErr w:type="spellStart"/>
      <w:r w:rsidRPr="003F5B27">
        <w:rPr>
          <w:rFonts w:ascii="Garamond" w:hAnsi="Garamond" w:eastAsiaTheme="minorHAnsi" w:cstheme="minorBidi"/>
          <w:sz w:val="24"/>
          <w:szCs w:val="22"/>
        </w:rPr>
        <w:t>levelize</w:t>
      </w:r>
      <w:proofErr w:type="spellEnd"/>
      <w:r w:rsidRPr="003F5B27">
        <w:rPr>
          <w:rFonts w:ascii="Garamond" w:hAnsi="Garamond" w:eastAsiaTheme="minorHAnsi" w:cstheme="minorBidi"/>
          <w:sz w:val="24"/>
          <w:szCs w:val="22"/>
        </w:rPr>
        <w:t>,” the company’s leak survey maps to support the change in survey frequency.  With this one-time charge included the AARR is $5 million, which makes the Cost Effectiveness $38/MCF. Either way, it is among the lower cost effectiveness values of all the proposed measures.  By comparison,</w:t>
      </w:r>
      <w:r w:rsidRPr="003F5B27">
        <w:rPr>
          <w:rFonts w:ascii="Garamond" w:hAnsi="Garamond" w:eastAsiaTheme="minorHAnsi" w:cstheme="minorBidi"/>
          <w:i/>
          <w:iCs/>
          <w:sz w:val="24"/>
          <w:szCs w:val="22"/>
        </w:rPr>
        <w:t xml:space="preserve"> </w:t>
      </w:r>
      <w:r w:rsidRPr="003F5B27">
        <w:rPr>
          <w:rFonts w:ascii="Garamond" w:hAnsi="Garamond" w:eastAsiaTheme="minorHAnsi" w:cstheme="minorBidi"/>
          <w:sz w:val="24"/>
          <w:szCs w:val="22"/>
        </w:rPr>
        <w:t xml:space="preserve">the 2018 Compliance Plan estimated a cost effectiveness of $34/MCF for annual surveys on unprotected steel.  </w:t>
      </w:r>
    </w:p>
    <w:p w:rsidRPr="003F5B27" w:rsidR="003F5B27" w:rsidP="003F5B27" w:rsidRDefault="003F5B27" w14:paraId="62ADA7BC" w14:textId="77777777">
      <w:pPr>
        <w:spacing w:line="259" w:lineRule="auto"/>
        <w:rPr>
          <w:rFonts w:ascii="Garamond" w:hAnsi="Garamond" w:eastAsiaTheme="minorHAnsi" w:cstheme="minorBidi"/>
          <w:sz w:val="24"/>
          <w:szCs w:val="22"/>
        </w:rPr>
      </w:pPr>
    </w:p>
    <w:p w:rsidRPr="003F5B27" w:rsidR="003F5B27" w:rsidP="003F5B27" w:rsidRDefault="003F5B27" w14:paraId="3B08B389"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This cost effectiveness calculation does not include the cost of the GRC-funded pre-86 </w:t>
      </w:r>
      <w:proofErr w:type="spellStart"/>
      <w:r w:rsidRPr="003F5B27">
        <w:rPr>
          <w:rFonts w:ascii="Garamond" w:hAnsi="Garamond" w:eastAsiaTheme="minorHAnsi" w:cstheme="minorBidi"/>
          <w:sz w:val="24"/>
          <w:szCs w:val="22"/>
        </w:rPr>
        <w:t>Aldyl</w:t>
      </w:r>
      <w:proofErr w:type="spellEnd"/>
      <w:r w:rsidRPr="003F5B27">
        <w:rPr>
          <w:rFonts w:ascii="Garamond" w:hAnsi="Garamond" w:eastAsiaTheme="minorHAnsi" w:cstheme="minorBidi"/>
          <w:sz w:val="24"/>
          <w:szCs w:val="22"/>
        </w:rPr>
        <w:t xml:space="preserve">-A surveys since that is already paid for to comply with DIMP regulations, but it does include the emissions reduction expected from the pre-86 </w:t>
      </w:r>
      <w:proofErr w:type="spellStart"/>
      <w:r w:rsidRPr="003F5B27">
        <w:rPr>
          <w:rFonts w:ascii="Garamond" w:hAnsi="Garamond" w:eastAsiaTheme="minorHAnsi" w:cstheme="minorBidi"/>
          <w:sz w:val="24"/>
          <w:szCs w:val="22"/>
        </w:rPr>
        <w:t>Aldyl</w:t>
      </w:r>
      <w:proofErr w:type="spellEnd"/>
      <w:r w:rsidRPr="003F5B27">
        <w:rPr>
          <w:rFonts w:ascii="Garamond" w:hAnsi="Garamond" w:eastAsiaTheme="minorHAnsi" w:cstheme="minorBidi"/>
          <w:sz w:val="24"/>
          <w:szCs w:val="22"/>
        </w:rPr>
        <w:t>-A surveys.</w:t>
      </w:r>
    </w:p>
    <w:p w:rsidRPr="003F5B27" w:rsidR="003F5B27" w:rsidP="003F5B27" w:rsidRDefault="003F5B27" w14:paraId="57DC593F" w14:textId="77777777">
      <w:pPr>
        <w:spacing w:line="259" w:lineRule="auto"/>
        <w:rPr>
          <w:rFonts w:ascii="Garamond" w:hAnsi="Garamond" w:eastAsiaTheme="minorHAnsi" w:cstheme="minorBidi"/>
          <w:sz w:val="24"/>
          <w:szCs w:val="22"/>
        </w:rPr>
      </w:pPr>
    </w:p>
    <w:p w:rsidRPr="003F5B27" w:rsidR="003F5B27" w:rsidP="003F5B27" w:rsidRDefault="003F5B27" w14:paraId="3B58B4DB"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lastRenderedPageBreak/>
        <w:t>Additional cost-benefit analysis was provided for Cap and Trade and social cost of methane savings.  These values are the same for all programs at $1.14 and $21 per MCF, respectively.  The net cost effectiveness with those benefits drops from $26/MCF to $4/MCF.</w:t>
      </w:r>
    </w:p>
    <w:p w:rsidRPr="003F5B27" w:rsidR="003F5B27" w:rsidP="003F5B27" w:rsidRDefault="003F5B27" w14:paraId="551F0FC5" w14:textId="77777777">
      <w:pPr>
        <w:spacing w:line="259" w:lineRule="auto"/>
        <w:rPr>
          <w:rFonts w:ascii="Garamond" w:hAnsi="Garamond" w:eastAsiaTheme="minorHAnsi" w:cstheme="minorBidi"/>
          <w:sz w:val="24"/>
          <w:szCs w:val="22"/>
        </w:rPr>
      </w:pPr>
    </w:p>
    <w:p w:rsidRPr="003F5B27" w:rsidR="003F5B27" w:rsidP="003F5B27" w:rsidRDefault="003F5B27" w14:paraId="23ACED15"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the Chapter 2 measures.</w:t>
      </w:r>
    </w:p>
    <w:p w:rsidRPr="003F5B27" w:rsidR="003F5B27" w:rsidP="003F5B27" w:rsidRDefault="003F5B27" w14:paraId="3C10036A" w14:textId="77777777">
      <w:pPr>
        <w:spacing w:line="259" w:lineRule="auto"/>
        <w:rPr>
          <w:rFonts w:ascii="Garamond" w:hAnsi="Garamond" w:eastAsiaTheme="minorHAnsi" w:cstheme="minorBidi"/>
          <w:sz w:val="24"/>
          <w:szCs w:val="22"/>
        </w:rPr>
      </w:pPr>
    </w:p>
    <w:p w:rsidRPr="003F5B27" w:rsidR="003F5B27" w:rsidP="003F5B27" w:rsidRDefault="003F5B27" w14:paraId="4D5FC99B"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3.  BLOWDOWN REDUCTION ACTIVITIES</w:t>
      </w:r>
    </w:p>
    <w:p w:rsidRPr="003F5B27" w:rsidR="003F5B27" w:rsidP="003F5B27" w:rsidRDefault="003F5B27" w14:paraId="6EC61FD0"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Another set of BPs involve reduction of intentional gas releases, usually for maintenance purposes, known as blowdowns.  This chapter implements BPs 3, 4, 5, 6, 7, and 23.  These practices include such activities as bundling of several projects, reducing pressure before the blowdown, and containing the emissions with portable compressors.</w:t>
      </w:r>
    </w:p>
    <w:p w:rsidRPr="003F5B27" w:rsidR="003F5B27" w:rsidP="003F5B27" w:rsidRDefault="003F5B27" w14:paraId="41BF6CF7" w14:textId="77777777">
      <w:pPr>
        <w:spacing w:line="259" w:lineRule="auto"/>
        <w:rPr>
          <w:rFonts w:ascii="Garamond" w:hAnsi="Garamond" w:eastAsiaTheme="minorHAnsi" w:cstheme="minorBidi"/>
          <w:sz w:val="24"/>
          <w:szCs w:val="22"/>
        </w:rPr>
      </w:pPr>
    </w:p>
    <w:p w:rsidRPr="003F5B27" w:rsidR="003F5B27" w:rsidP="003F5B27" w:rsidRDefault="003F5B27" w14:paraId="67C42A0D"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Estimated emissions reduction by 2025 is 94,317 MCF, about 20 percent of the total reductions expected.  It should be noted that the number of blowdowns can vary up or down from year to year as different maintenance activities may dictate.  Staff expects the general trend will be an emissions reduction as estimated by SoCalGas.</w:t>
      </w:r>
    </w:p>
    <w:p w:rsidRPr="003F5B27" w:rsidR="003F5B27" w:rsidP="003F5B27" w:rsidRDefault="003F5B27" w14:paraId="6B8E2B42" w14:textId="77777777">
      <w:pPr>
        <w:spacing w:line="259" w:lineRule="auto"/>
        <w:rPr>
          <w:rFonts w:ascii="Garamond" w:hAnsi="Garamond" w:eastAsiaTheme="minorHAnsi" w:cstheme="minorBidi"/>
          <w:sz w:val="24"/>
          <w:szCs w:val="22"/>
        </w:rPr>
      </w:pPr>
    </w:p>
    <w:p w:rsidRPr="003F5B27" w:rsidR="003F5B27" w:rsidP="003F5B27" w:rsidRDefault="003F5B27" w14:paraId="481E6A74"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Cost effectiveness for this chapter is given as $19/MCF based on an AARR of $1.6 million, which is a lower cost per cubic foot than the two previous chapters. When the cost benefits of Cap and Trade and social cost are included, this chapter has a net negative cost effectiveness of</w:t>
      </w:r>
    </w:p>
    <w:p w:rsidRPr="003F5B27" w:rsidR="003F5B27" w:rsidP="003F5B27" w:rsidRDefault="003F5B27" w14:paraId="51E6B822"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$19 - $22 = -$3/MCF.  In other words, it produces cost savings of $3/MCF.</w:t>
      </w:r>
    </w:p>
    <w:p w:rsidRPr="003F5B27" w:rsidR="003F5B27" w:rsidP="003F5B27" w:rsidRDefault="003F5B27" w14:paraId="1B32E1F2" w14:textId="77777777">
      <w:pPr>
        <w:spacing w:line="259" w:lineRule="auto"/>
        <w:rPr>
          <w:rFonts w:ascii="Garamond" w:hAnsi="Garamond" w:eastAsiaTheme="minorHAnsi" w:cstheme="minorBidi"/>
          <w:sz w:val="24"/>
          <w:szCs w:val="22"/>
        </w:rPr>
      </w:pPr>
    </w:p>
    <w:p w:rsidRPr="003F5B27" w:rsidR="003F5B27" w:rsidP="003F5B27" w:rsidRDefault="003F5B27" w14:paraId="0A12C27B"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the Chapter 3 measures.</w:t>
      </w:r>
    </w:p>
    <w:p w:rsidRPr="003F5B27" w:rsidR="003F5B27" w:rsidP="003F5B27" w:rsidRDefault="003F5B27" w14:paraId="0CBB99B1" w14:textId="77777777">
      <w:pPr>
        <w:spacing w:line="259" w:lineRule="auto"/>
        <w:rPr>
          <w:rFonts w:ascii="Garamond" w:hAnsi="Garamond" w:eastAsiaTheme="minorHAnsi" w:cstheme="minorBidi"/>
          <w:sz w:val="24"/>
          <w:szCs w:val="22"/>
        </w:rPr>
      </w:pPr>
    </w:p>
    <w:p w:rsidRPr="003F5B27" w:rsidR="003F5B27" w:rsidP="003F5B27" w:rsidRDefault="003F5B27" w14:paraId="1403C6D6"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14.  AERIAL SURVEY</w:t>
      </w:r>
    </w:p>
    <w:p w:rsidRPr="003F5B27" w:rsidR="003F5B27" w:rsidP="003F5B27" w:rsidRDefault="003F5B27" w14:paraId="6FEFC7AC"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This chapter presents a novel approach to both discovering and quantifying leaks.  An aerial-based methane sensing device would be flown over the approximately 18,000 miles of gas mains in service territories that are not scheduled for a standard foot survey in each year. SoCalGas reports that this Gas Mapping LiDAR (GML) technology was demonstrated successfully in a pilot program carried out in 2019.  This chapter addresses Best Practice 17 “Enhanced Methane Detection” and BPs 15, 16, 20a and 21.</w:t>
      </w:r>
    </w:p>
    <w:p w:rsidRPr="003F5B27" w:rsidR="003F5B27" w:rsidP="003F5B27" w:rsidRDefault="003F5B27" w14:paraId="5CCBF9B5" w14:textId="77777777">
      <w:pPr>
        <w:spacing w:line="259" w:lineRule="auto"/>
        <w:rPr>
          <w:rFonts w:ascii="Garamond" w:hAnsi="Garamond" w:eastAsiaTheme="minorHAnsi" w:cstheme="minorBidi"/>
          <w:sz w:val="24"/>
          <w:szCs w:val="22"/>
        </w:rPr>
      </w:pPr>
    </w:p>
    <w:p w:rsidRPr="003F5B27" w:rsidR="003F5B27" w:rsidP="003F5B27" w:rsidRDefault="003F5B27" w14:paraId="18378812"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At the start of the new Compliance Plan period in 2021, gas leak indications, and the volume of the leaks, will be measured with new technology not currently employed by SoCalGas in leak surveys.  LiDAR, an acronym for Light Detection and Ranging, is based on airborne laser light interacting with the ground surface and gases which may interfere with the light.  SoCalGas conducted a pilot study with a third-party company that has developed a way to use LiDAR to find and quantify natural gas leaks.  This method has an advantage in identifying “super-emitters,” i.e., quantifiably large leaks, which provide greater emissions reduction when identified and repaired quickly.  The GML technology has been developed through testing at the Colorado State University Methane Emissions Test and Evaluation Center (METEC) facility, which RASA staff has visited. </w:t>
      </w:r>
    </w:p>
    <w:p w:rsidRPr="003F5B27" w:rsidR="003F5B27" w:rsidP="003F5B27" w:rsidRDefault="003F5B27" w14:paraId="256BE2EC"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                                                                                            </w:t>
      </w:r>
    </w:p>
    <w:p w:rsidRPr="003F5B27" w:rsidR="003F5B27" w:rsidP="003F5B27" w:rsidRDefault="003F5B27" w14:paraId="36ED3D0B"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lastRenderedPageBreak/>
        <w:t>As an additional benefit, the aerial survey would find gas leaks downstream of SoCalGas facilities that might otherwise not be reported and repaired quickly, such as leaks at large industrial sites as well as residential house lines.  This method can reduce greenhouse gas emissions beyond those originating from gas company pipes.  To support the follow-up investigations of these downstream leak indications, SoCalGas requires 16 additional employees, whose salaries are included in the chapter costs.  Repair costs would be the responsibility of the downstream gas facility owners.</w:t>
      </w:r>
    </w:p>
    <w:p w:rsidRPr="003F5B27" w:rsidR="003F5B27" w:rsidP="003F5B27" w:rsidRDefault="003F5B27" w14:paraId="464BA982" w14:textId="77777777">
      <w:pPr>
        <w:spacing w:line="259" w:lineRule="auto"/>
        <w:rPr>
          <w:rFonts w:ascii="Garamond" w:hAnsi="Garamond" w:eastAsiaTheme="minorHAnsi" w:cstheme="minorBidi"/>
          <w:sz w:val="24"/>
          <w:szCs w:val="22"/>
        </w:rPr>
      </w:pPr>
    </w:p>
    <w:p w:rsidRPr="003F5B27" w:rsidR="003F5B27" w:rsidP="003F5B27" w:rsidRDefault="003F5B27" w14:paraId="5FB2CA40"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The expected volume of emissions reduction resulting from the aerial surveys in the first year, 2021, is approximately 85,000 MCF.  SoCalGas states they cannot estimate future year reductions based on the pilot study, but potential reductions from downstream facilities, which are not under CPUC regulation for emissions, could be significant. The greatest portion of the costs is for the aerial survey contractor, given at $6.8 million per year to cover 2,200 square miles.  </w:t>
      </w:r>
    </w:p>
    <w:p w:rsidRPr="003F5B27" w:rsidR="003F5B27" w:rsidP="003F5B27" w:rsidRDefault="003F5B27" w14:paraId="6905D3E9" w14:textId="77777777">
      <w:pPr>
        <w:spacing w:line="259" w:lineRule="auto"/>
        <w:rPr>
          <w:rFonts w:ascii="Garamond" w:hAnsi="Garamond" w:eastAsiaTheme="minorHAnsi" w:cstheme="minorBidi"/>
          <w:sz w:val="24"/>
          <w:szCs w:val="22"/>
        </w:rPr>
      </w:pPr>
    </w:p>
    <w:p w:rsidRPr="003F5B27" w:rsidR="003F5B27" w:rsidP="003F5B27" w:rsidRDefault="003F5B27" w14:paraId="1F9F899B"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expects that as more experience is gained from this approach, better data about actual emissions reduction will be developed, and continuation can be reviewed in the future Compliance Plans. The chapter addresses the overall statewide goal of methane emissions reduction, extending beyond the gas company facilities.</w:t>
      </w:r>
    </w:p>
    <w:p w:rsidRPr="003F5B27" w:rsidR="003F5B27" w:rsidP="003F5B27" w:rsidRDefault="003F5B27" w14:paraId="466ED1BB" w14:textId="77777777">
      <w:pPr>
        <w:spacing w:line="259" w:lineRule="auto"/>
        <w:rPr>
          <w:rFonts w:ascii="Garamond" w:hAnsi="Garamond" w:eastAsiaTheme="minorHAnsi" w:cstheme="minorBidi"/>
          <w:sz w:val="24"/>
          <w:szCs w:val="22"/>
        </w:rPr>
      </w:pPr>
    </w:p>
    <w:p w:rsidRPr="003F5B27" w:rsidR="003F5B27" w:rsidP="003F5B27" w:rsidRDefault="003F5B27" w14:paraId="2470C548"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The standard cost effectiveness is presented as $130/MCF.   Cap and Trade savings and social cost of methane provide approximately $22/MCF of combined benefits for a net cost effectiveness of $108/MCF.</w:t>
      </w:r>
    </w:p>
    <w:p w:rsidRPr="003F5B27" w:rsidR="003F5B27" w:rsidP="003F5B27" w:rsidRDefault="003F5B27" w14:paraId="154D2689" w14:textId="77777777">
      <w:pPr>
        <w:spacing w:line="259" w:lineRule="auto"/>
        <w:rPr>
          <w:rFonts w:ascii="Garamond" w:hAnsi="Garamond" w:eastAsiaTheme="minorHAnsi" w:cstheme="minorBidi"/>
          <w:sz w:val="24"/>
          <w:szCs w:val="22"/>
        </w:rPr>
      </w:pPr>
    </w:p>
    <w:p w:rsidRPr="003F5B27" w:rsidR="003F5B27" w:rsidP="003F5B27" w:rsidRDefault="003F5B27" w14:paraId="4BCC2545"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the Chapter 14 measure.</w:t>
      </w:r>
    </w:p>
    <w:p w:rsidRPr="003F5B27" w:rsidR="003F5B27" w:rsidP="003F5B27" w:rsidRDefault="003F5B27" w14:paraId="71BE9730" w14:textId="77777777">
      <w:pPr>
        <w:spacing w:line="259" w:lineRule="auto"/>
        <w:rPr>
          <w:rFonts w:ascii="Garamond" w:hAnsi="Garamond" w:eastAsiaTheme="minorHAnsi" w:cstheme="minorBidi"/>
          <w:sz w:val="24"/>
          <w:szCs w:val="22"/>
        </w:rPr>
      </w:pPr>
    </w:p>
    <w:p w:rsidRPr="003F5B27" w:rsidR="003F5B27" w:rsidP="003F5B27" w:rsidRDefault="003F5B27" w14:paraId="37BB0573"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6. ADVANCED METER ANALYTICS</w:t>
      </w:r>
    </w:p>
    <w:p w:rsidRPr="003F5B27" w:rsidR="003F5B27" w:rsidP="003F5B27" w:rsidRDefault="003F5B27" w14:paraId="1CCCCDBE" w14:textId="77777777">
      <w:pPr>
        <w:autoSpaceDE w:val="0"/>
        <w:autoSpaceDN w:val="0"/>
        <w:adjustRightInd w:val="0"/>
        <w:rPr>
          <w:rFonts w:ascii="Garamond" w:hAnsi="Garamond" w:eastAsiaTheme="minorHAnsi" w:cstheme="minorBidi"/>
          <w:sz w:val="24"/>
          <w:szCs w:val="22"/>
        </w:rPr>
      </w:pPr>
      <w:r w:rsidRPr="003F5B27">
        <w:rPr>
          <w:rFonts w:ascii="Garamond" w:hAnsi="Garamond" w:eastAsiaTheme="minorHAnsi" w:cstheme="minorBidi"/>
          <w:sz w:val="24"/>
          <w:szCs w:val="22"/>
        </w:rPr>
        <w:t>Chapter 6 is aimed at reducing downstream emissions occurring on customer house lines and other user facilities. The measure would apply advanced analytics to customer usage data from smart meters to determine unusually high usage, which can indicate a possible downstream gas leak. A pilot program was conducted on a daily sampling bases, which SoCalGas now proposes to increase to hourly sampling.</w:t>
      </w:r>
    </w:p>
    <w:p w:rsidRPr="003F5B27" w:rsidR="003F5B27" w:rsidP="003F5B27" w:rsidRDefault="003F5B27" w14:paraId="77FDB801" w14:textId="77777777">
      <w:pPr>
        <w:autoSpaceDE w:val="0"/>
        <w:autoSpaceDN w:val="0"/>
        <w:adjustRightInd w:val="0"/>
        <w:rPr>
          <w:rFonts w:ascii="Garamond" w:hAnsi="Garamond" w:eastAsiaTheme="minorHAnsi" w:cstheme="minorBidi"/>
          <w:sz w:val="24"/>
          <w:szCs w:val="22"/>
        </w:rPr>
      </w:pPr>
    </w:p>
    <w:p w:rsidRPr="003F5B27" w:rsidR="003F5B27" w:rsidP="003F5B27" w:rsidRDefault="003F5B27" w14:paraId="5B88F13A" w14:textId="77777777">
      <w:pPr>
        <w:autoSpaceDE w:val="0"/>
        <w:autoSpaceDN w:val="0"/>
        <w:adjustRightInd w:val="0"/>
        <w:rPr>
          <w:rFonts w:ascii="Garamond" w:hAnsi="Garamond" w:eastAsiaTheme="minorHAnsi" w:cstheme="minorHAnsi"/>
          <w:sz w:val="24"/>
          <w:szCs w:val="22"/>
        </w:rPr>
      </w:pPr>
      <w:r w:rsidRPr="003F5B27">
        <w:rPr>
          <w:rFonts w:ascii="Garamond" w:hAnsi="Garamond" w:eastAsiaTheme="minorHAnsi" w:cstheme="minorBidi"/>
          <w:sz w:val="24"/>
          <w:szCs w:val="22"/>
        </w:rPr>
        <w:t>While the Plan associates this measure with BP 17 “Enhanced Methane Detection,” it is not related to the description of that BP, which is that “</w:t>
      </w:r>
      <w:r w:rsidRPr="003F5B27">
        <w:rPr>
          <w:rFonts w:ascii="Garamond" w:hAnsi="Garamond" w:eastAsiaTheme="minorHAnsi" w:cstheme="minorHAnsi"/>
          <w:sz w:val="24"/>
          <w:szCs w:val="22"/>
        </w:rPr>
        <w:t>Utilities shall utilize enhanced methane detection practices (e.g. mobile methane detection and/or aerial leak detection) including gas speciation technologies.”  Regardless, RASA Staff recognize that this chapter offers additional emissions reduction. The Decision does not prevent utilities from adopting other practices in pursuit of the emissions reduction goal.</w:t>
      </w:r>
    </w:p>
    <w:p w:rsidRPr="003F5B27" w:rsidR="003F5B27" w:rsidP="003F5B27" w:rsidRDefault="003F5B27" w14:paraId="2F9B2972" w14:textId="77777777">
      <w:pPr>
        <w:autoSpaceDE w:val="0"/>
        <w:autoSpaceDN w:val="0"/>
        <w:adjustRightInd w:val="0"/>
        <w:rPr>
          <w:rFonts w:ascii="Garamond" w:hAnsi="Garamond" w:eastAsiaTheme="minorHAnsi" w:cstheme="minorHAnsi"/>
          <w:sz w:val="24"/>
          <w:szCs w:val="22"/>
        </w:rPr>
      </w:pPr>
    </w:p>
    <w:p w:rsidRPr="003F5B27" w:rsidR="003F5B27" w:rsidP="003F5B27" w:rsidRDefault="003F5B27" w14:paraId="6E91B90D" w14:textId="77777777">
      <w:pPr>
        <w:autoSpaceDE w:val="0"/>
        <w:autoSpaceDN w:val="0"/>
        <w:adjustRightInd w:val="0"/>
        <w:rPr>
          <w:rFonts w:ascii="Times New Roman" w:hAnsi="Times New Roman" w:eastAsiaTheme="minorHAnsi"/>
          <w:sz w:val="24"/>
          <w:szCs w:val="24"/>
        </w:rPr>
      </w:pPr>
      <w:r w:rsidRPr="003F5B27">
        <w:rPr>
          <w:rFonts w:ascii="Garamond" w:hAnsi="Garamond" w:eastAsiaTheme="minorHAnsi" w:cstheme="minorHAnsi"/>
          <w:sz w:val="24"/>
          <w:szCs w:val="22"/>
        </w:rPr>
        <w:t>The cost effectiveness is presented as $5/MCF for an expected reduction of 37,000 MCF in 2021.  SoCalGas could not forecast additional reductions in future years. The additional cost-benefits of Cap and Trade and social cost of methane add up to $22/MCF, for a net negative cost effectiveness: -$17/MCF.  In other words, there is a cost savings of $17/MCF.</w:t>
      </w:r>
    </w:p>
    <w:p w:rsidRPr="003F5B27" w:rsidR="003F5B27" w:rsidP="003F5B27" w:rsidRDefault="003F5B27" w14:paraId="6775223A" w14:textId="77777777">
      <w:pPr>
        <w:spacing w:line="259" w:lineRule="auto"/>
        <w:rPr>
          <w:rFonts w:ascii="Garamond" w:hAnsi="Garamond" w:eastAsiaTheme="minorHAnsi" w:cstheme="minorBidi"/>
          <w:sz w:val="24"/>
          <w:szCs w:val="22"/>
        </w:rPr>
      </w:pPr>
    </w:p>
    <w:p w:rsidRPr="003F5B27" w:rsidR="003F5B27" w:rsidP="003F5B27" w:rsidRDefault="003F5B27" w14:paraId="13AF0AAD"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the Chapter 6 measure.</w:t>
      </w:r>
    </w:p>
    <w:p w:rsidRPr="003F5B27" w:rsidR="003F5B27" w:rsidP="003F5B27" w:rsidRDefault="003F5B27" w14:paraId="3D394F23" w14:textId="77777777">
      <w:pPr>
        <w:spacing w:line="259" w:lineRule="auto"/>
        <w:rPr>
          <w:rFonts w:ascii="Garamond" w:hAnsi="Garamond" w:eastAsiaTheme="minorHAnsi" w:cstheme="minorBidi"/>
          <w:sz w:val="24"/>
          <w:szCs w:val="22"/>
        </w:rPr>
      </w:pPr>
    </w:p>
    <w:p w:rsidRPr="003F5B27" w:rsidR="003F5B27" w:rsidP="003F5B27" w:rsidRDefault="003F5B27" w14:paraId="5A9DC5B5"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lastRenderedPageBreak/>
        <w:t>CHAPTER 5. DAMAGE PREVENTION ALGORITHM</w:t>
      </w:r>
    </w:p>
    <w:p w:rsidRPr="003F5B27" w:rsidR="003F5B27" w:rsidP="003F5B27" w:rsidRDefault="003F5B27" w14:paraId="71B6A258"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Third-party damage to gas pipes often results in hazardous gas emissions. Damage prevention programs, such as “Call Before You Dig,” reduce the chance of many potential dig-ins by giving contractors the opportunity to dial 811, which gives utility operators notification to mark the locations of buried pipelines in the construction zone. Yet dig-ins still occur as some excavation contractors fail to participate. The chapter addresses the Dig-In Best Practices 24, 25, and 26.</w:t>
      </w:r>
    </w:p>
    <w:p w:rsidRPr="003F5B27" w:rsidR="003F5B27" w:rsidP="003F5B27" w:rsidRDefault="003F5B27" w14:paraId="067EF1E6"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Chapter 5 proposes a software-based algorithmic analysis of construction permits that are likely to include excavations in conflict with buried pipelines but do not have an accompanying 811 dig ticket.  This data analytic approach will allow SoCalGas to reach out to these contractors and make sure they are aware of buried gas pipelines in the work area before damage can occur.</w:t>
      </w:r>
    </w:p>
    <w:p w:rsidRPr="003F5B27" w:rsidR="003F5B27" w:rsidP="003F5B27" w:rsidRDefault="003F5B27" w14:paraId="4F12B5A2" w14:textId="77777777">
      <w:pPr>
        <w:spacing w:line="259" w:lineRule="auto"/>
        <w:rPr>
          <w:rFonts w:ascii="Garamond" w:hAnsi="Garamond" w:eastAsiaTheme="minorHAnsi" w:cstheme="minorBidi"/>
          <w:sz w:val="24"/>
          <w:szCs w:val="22"/>
        </w:rPr>
      </w:pPr>
    </w:p>
    <w:p w:rsidRPr="003F5B27" w:rsidR="003F5B27" w:rsidP="003F5B27" w:rsidRDefault="003F5B27" w14:paraId="1BCEE0B8"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SoCalGas conducted a pilot study in 2019 with a third-party data-analytics supplier to establish the expected emissions reduction potential.  For full implementation, SoCalGas evaluated whether they could develop the software themselves or purchase it from the vendor and found it more cost effective to develop in-house.</w:t>
      </w:r>
    </w:p>
    <w:p w:rsidRPr="003F5B27" w:rsidR="003F5B27" w:rsidP="003F5B27" w:rsidRDefault="003F5B27" w14:paraId="6A8FB6A7" w14:textId="77777777">
      <w:pPr>
        <w:spacing w:line="259" w:lineRule="auto"/>
        <w:rPr>
          <w:rFonts w:ascii="Garamond" w:hAnsi="Garamond" w:eastAsiaTheme="minorHAnsi" w:cstheme="minorBidi"/>
          <w:sz w:val="24"/>
          <w:szCs w:val="22"/>
        </w:rPr>
      </w:pPr>
    </w:p>
    <w:p w:rsidRPr="003F5B27" w:rsidR="003F5B27" w:rsidP="003F5B27" w:rsidRDefault="003F5B27" w14:paraId="265F0D45"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The emissions reduction estimate is 7,068 MCF in the first year, 2021. Beyond the first year, experience with the method will allow estimation of additional reductions. The chapter proposes nine new employees to cover a portion of the service territory: six damage prevention analysts, one data scientist, and two technical advisors. Additional personnel may be considered in future years to expand service territory coverage as experience may suggest.</w:t>
      </w:r>
    </w:p>
    <w:p w:rsidRPr="003F5B27" w:rsidR="003F5B27" w:rsidP="003F5B27" w:rsidRDefault="003F5B27" w14:paraId="278CD96C" w14:textId="77777777">
      <w:pPr>
        <w:spacing w:line="259" w:lineRule="auto"/>
        <w:rPr>
          <w:rFonts w:ascii="Garamond" w:hAnsi="Garamond" w:eastAsiaTheme="minorHAnsi" w:cstheme="minorBidi"/>
          <w:sz w:val="24"/>
          <w:szCs w:val="22"/>
        </w:rPr>
      </w:pPr>
    </w:p>
    <w:p w:rsidRPr="003F5B27" w:rsidR="003F5B27" w:rsidP="003F5B27" w:rsidRDefault="003F5B27" w14:paraId="617DD767" w14:textId="77777777">
      <w:pPr>
        <w:spacing w:after="160" w:line="259" w:lineRule="auto"/>
        <w:rPr>
          <w:rFonts w:ascii="Garamond" w:hAnsi="Garamond" w:eastAsiaTheme="minorHAnsi" w:cstheme="minorBidi"/>
          <w:sz w:val="24"/>
          <w:szCs w:val="24"/>
        </w:rPr>
      </w:pPr>
      <w:r w:rsidRPr="003F5B27">
        <w:rPr>
          <w:rFonts w:ascii="Garamond" w:hAnsi="Garamond" w:eastAsiaTheme="minorHAnsi" w:cstheme="minorBidi"/>
          <w:sz w:val="24"/>
          <w:szCs w:val="24"/>
        </w:rPr>
        <w:t>While the cost effectiveness ratio is high at $233/MCF, the average annual revenue requirement is $2.2 million, a small part of the total NGLA program cost.  The avoided repair cost of damaged pipe is expected to save $1.1 million in the first two years and is included as a cost benefit in the cost effectiveness figure.  The benefits of Cap and Trade and social cost of methane reduce the cost effectiveness to $211/</w:t>
      </w:r>
      <w:proofErr w:type="gramStart"/>
      <w:r w:rsidRPr="003F5B27">
        <w:rPr>
          <w:rFonts w:ascii="Garamond" w:hAnsi="Garamond" w:eastAsiaTheme="minorHAnsi" w:cstheme="minorBidi"/>
          <w:sz w:val="24"/>
          <w:szCs w:val="24"/>
        </w:rPr>
        <w:t>MCF..</w:t>
      </w:r>
      <w:proofErr w:type="gramEnd"/>
      <w:r w:rsidRPr="003F5B27">
        <w:rPr>
          <w:rFonts w:ascii="Garamond" w:hAnsi="Garamond" w:eastAsiaTheme="minorHAnsi" w:cstheme="minorBidi"/>
          <w:sz w:val="24"/>
          <w:szCs w:val="24"/>
        </w:rPr>
        <w:t xml:space="preserve">  </w:t>
      </w:r>
    </w:p>
    <w:p w:rsidRPr="003F5B27" w:rsidR="003F5B27" w:rsidP="003F5B27" w:rsidRDefault="003F5B27" w14:paraId="33BD7C16" w14:textId="77777777">
      <w:pPr>
        <w:spacing w:after="160" w:line="259" w:lineRule="auto"/>
        <w:rPr>
          <w:rFonts w:ascii="Garamond" w:hAnsi="Garamond" w:eastAsiaTheme="minorHAnsi" w:cstheme="minorBidi"/>
          <w:sz w:val="24"/>
          <w:szCs w:val="24"/>
        </w:rPr>
      </w:pPr>
      <w:r w:rsidRPr="003F5B27">
        <w:rPr>
          <w:rFonts w:ascii="Garamond" w:hAnsi="Garamond" w:eastAsiaTheme="minorHAnsi" w:cstheme="minorBidi"/>
          <w:sz w:val="24"/>
          <w:szCs w:val="24"/>
        </w:rPr>
        <w:t>This chapter has the additional benefit of reducing the safety risk of gas released under pressure during construction work. Ignition of gas from a broken pipe is a serious hazard to people and property in the vicinity, which can result in death and injury as well as disruption of business and traffic until the repair is made.</w:t>
      </w:r>
    </w:p>
    <w:p w:rsidRPr="003F5B27" w:rsidR="003F5B27" w:rsidP="003F5B27" w:rsidRDefault="003F5B27" w14:paraId="074E2087" w14:textId="77777777">
      <w:pPr>
        <w:spacing w:after="160" w:line="259" w:lineRule="auto"/>
        <w:rPr>
          <w:rFonts w:ascii="Garamond" w:hAnsi="Garamond" w:eastAsiaTheme="minorHAnsi" w:cstheme="minorBidi"/>
          <w:sz w:val="24"/>
          <w:szCs w:val="24"/>
        </w:rPr>
      </w:pPr>
      <w:r w:rsidRPr="003F5B27">
        <w:rPr>
          <w:rFonts w:ascii="Garamond" w:hAnsi="Garamond" w:eastAsiaTheme="minorHAnsi" w:cstheme="minorBidi"/>
          <w:sz w:val="24"/>
          <w:szCs w:val="24"/>
        </w:rPr>
        <w:t>RASA Staff approves adoption of Chapter 5.</w:t>
      </w:r>
    </w:p>
    <w:p w:rsidRPr="003F5B27" w:rsidR="003F5B27" w:rsidP="003F5B27" w:rsidRDefault="003F5B27" w14:paraId="5B4287EC" w14:textId="77777777">
      <w:pPr>
        <w:spacing w:line="259" w:lineRule="auto"/>
        <w:rPr>
          <w:rFonts w:ascii="Garamond" w:hAnsi="Garamond" w:eastAsiaTheme="minorHAnsi" w:cstheme="minorBidi"/>
          <w:sz w:val="24"/>
          <w:szCs w:val="22"/>
        </w:rPr>
      </w:pPr>
    </w:p>
    <w:p w:rsidRPr="003F5B27" w:rsidR="003F5B27" w:rsidP="003F5B27" w:rsidRDefault="003F5B27" w14:paraId="2265615F"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28. HIGH BLEED DEVICE REPLACEMENT</w:t>
      </w:r>
    </w:p>
    <w:p w:rsidRPr="003F5B27" w:rsidR="003F5B27" w:rsidP="003F5B27" w:rsidRDefault="003F5B27" w14:paraId="26553DEC"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Best Practice 23 requires the replacement of mechanical devices that are designed to “bleed” a high flow of gas to the atmosphere continuously.  These devices are usually older gas pressure control units that can be replaced by more modern low- or no-bleed designs. Replacement of these devices has been on-going and will be completed by 2021.</w:t>
      </w:r>
    </w:p>
    <w:p w:rsidRPr="003F5B27" w:rsidR="003F5B27" w:rsidP="003F5B27" w:rsidRDefault="003F5B27" w14:paraId="2F355A5B" w14:textId="77777777">
      <w:pPr>
        <w:spacing w:line="259" w:lineRule="auto"/>
        <w:rPr>
          <w:rFonts w:ascii="Garamond" w:hAnsi="Garamond" w:eastAsiaTheme="minorHAnsi" w:cstheme="minorBidi"/>
          <w:sz w:val="24"/>
          <w:szCs w:val="22"/>
        </w:rPr>
      </w:pPr>
    </w:p>
    <w:p w:rsidRPr="003F5B27" w:rsidR="003F5B27" w:rsidP="003F5B27" w:rsidRDefault="003F5B27" w14:paraId="2CD823CF"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SoCalGas estimates an emissions reduction of 1,500 MCF by 2021, when they expect that all remaining high-bleed devices will be replaced. No additional funding will be required to complete this work, so no cost effectiveness was provided for this chapter.</w:t>
      </w:r>
    </w:p>
    <w:p w:rsidRPr="003F5B27" w:rsidR="003F5B27" w:rsidP="003F5B27" w:rsidRDefault="003F5B27" w14:paraId="7AE2925D" w14:textId="77777777">
      <w:pPr>
        <w:spacing w:line="259" w:lineRule="auto"/>
        <w:rPr>
          <w:rFonts w:ascii="Garamond" w:hAnsi="Garamond" w:eastAsiaTheme="minorHAnsi" w:cstheme="minorBidi"/>
          <w:sz w:val="24"/>
          <w:szCs w:val="22"/>
        </w:rPr>
      </w:pPr>
    </w:p>
    <w:p w:rsidRPr="003F5B27" w:rsidR="003F5B27" w:rsidP="003F5B27" w:rsidRDefault="003F5B27" w14:paraId="6115F5A4"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Chapter 28.</w:t>
      </w:r>
    </w:p>
    <w:p w:rsidRPr="003F5B27" w:rsidR="003F5B27" w:rsidP="003F5B27" w:rsidRDefault="003F5B27" w14:paraId="227D7829" w14:textId="77777777">
      <w:pPr>
        <w:spacing w:line="259" w:lineRule="auto"/>
        <w:rPr>
          <w:rFonts w:ascii="Garamond" w:hAnsi="Garamond" w:eastAsiaTheme="minorHAnsi" w:cstheme="minorBidi"/>
          <w:sz w:val="24"/>
          <w:szCs w:val="22"/>
        </w:rPr>
      </w:pPr>
    </w:p>
    <w:p w:rsidRPr="003F5B27" w:rsidR="003F5B27" w:rsidP="003F5B27" w:rsidRDefault="003F5B27" w14:paraId="42777FBB"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18. METER CALIBRATION FACTOR</w:t>
      </w:r>
    </w:p>
    <w:p w:rsidRPr="003F5B27" w:rsidR="003F5B27" w:rsidP="003F5B27" w:rsidRDefault="003F5B27" w14:paraId="7D6C03AB"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This chapter addresses Best Practice 23:  Minimize </w:t>
      </w:r>
      <w:r w:rsidRPr="003F5B27">
        <w:rPr>
          <w:rFonts w:ascii="Garamond" w:hAnsi="Garamond" w:eastAsiaTheme="minorHAnsi" w:cstheme="minorHAnsi"/>
          <w:sz w:val="24"/>
          <w:szCs w:val="22"/>
        </w:rPr>
        <w:t>emissions from operations, maintenance, and other activities.</w:t>
      </w:r>
      <w:r w:rsidRPr="003F5B27">
        <w:rPr>
          <w:rFonts w:ascii="Garamond" w:hAnsi="Garamond" w:eastAsiaTheme="minorHAnsi" w:cstheme="minorBidi"/>
          <w:sz w:val="24"/>
          <w:szCs w:val="22"/>
        </w:rPr>
        <w:t xml:space="preserve"> When a customer gas meter goes out of calibration, the traditional remedy is to remove and replace the meter, which produces an estimated one cubic foot of gas emission per meter during the replacement process.  In the 2018 Plan, SoCalGas received approval to adjust the meter calibration billing factor instead of replacing the meter.</w:t>
      </w:r>
    </w:p>
    <w:p w:rsidRPr="003F5B27" w:rsidR="003F5B27" w:rsidP="003F5B27" w:rsidRDefault="003F5B27" w14:paraId="33D5B60D" w14:textId="77777777">
      <w:pPr>
        <w:spacing w:line="259" w:lineRule="auto"/>
        <w:rPr>
          <w:rFonts w:ascii="Garamond" w:hAnsi="Garamond" w:eastAsiaTheme="minorHAnsi" w:cstheme="minorBidi"/>
          <w:sz w:val="24"/>
          <w:szCs w:val="22"/>
        </w:rPr>
      </w:pPr>
    </w:p>
    <w:p w:rsidRPr="003F5B27" w:rsidR="003F5B27" w:rsidP="003F5B27" w:rsidRDefault="003F5B27" w14:paraId="28B5DF2D"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Chapter 18 proposes to continue the program of calibration adjustment for approximately 74,000 meters known to require remediation.  The cost is estimated at only a portion of one employee’s labor in 2021: an AARR of about $19,000.  There is a modest emission savings of 74 MCF but a large cost savings of $34 million through 2022 from not having to replace the meters.  SoCalGas did not provide a cost effectiveness value since it would be a large negative number, indicating cost savings. The program pays for itself many times over. The cost savings will help offset the costs of other emissions reduction measures.</w:t>
      </w:r>
    </w:p>
    <w:p w:rsidRPr="003F5B27" w:rsidR="003F5B27" w:rsidP="003F5B27" w:rsidRDefault="003F5B27" w14:paraId="643F7BA4" w14:textId="77777777">
      <w:pPr>
        <w:spacing w:line="259" w:lineRule="auto"/>
        <w:rPr>
          <w:rFonts w:ascii="Garamond" w:hAnsi="Garamond" w:eastAsiaTheme="minorHAnsi" w:cstheme="minorBidi"/>
          <w:sz w:val="24"/>
          <w:szCs w:val="22"/>
        </w:rPr>
      </w:pPr>
    </w:p>
    <w:p w:rsidRPr="003F5B27" w:rsidR="003F5B27" w:rsidP="003F5B27" w:rsidRDefault="003F5B27" w14:paraId="7277288E"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Chapter 18.</w:t>
      </w:r>
    </w:p>
    <w:p w:rsidRPr="003F5B27" w:rsidR="003F5B27" w:rsidP="003F5B27" w:rsidRDefault="003F5B27" w14:paraId="605BB197" w14:textId="77777777">
      <w:pPr>
        <w:spacing w:line="259" w:lineRule="auto"/>
        <w:rPr>
          <w:rFonts w:ascii="Garamond" w:hAnsi="Garamond" w:eastAsiaTheme="minorHAnsi" w:cstheme="minorBidi"/>
          <w:sz w:val="24"/>
          <w:szCs w:val="22"/>
        </w:rPr>
      </w:pPr>
    </w:p>
    <w:p w:rsidRPr="003F5B27" w:rsidR="003F5B27" w:rsidP="003F5B27" w:rsidRDefault="003F5B27" w14:paraId="38B8DE2C"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23.  DIFFERENTIAL PRESSURE TESTING</w:t>
      </w:r>
    </w:p>
    <w:p w:rsidRPr="003F5B27" w:rsidR="003F5B27" w:rsidP="003F5B27" w:rsidRDefault="003F5B27" w14:paraId="2730228A"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In accordance with Best Practice 23, this chapter attributes emissions reduction of five MCF per year to a customer meter test method approved in the 2018 Plan. This measure replaced a mandatory test for rotary gas meters, which opened service piping and released gas to the air. The differential pressure test does not disconnect gas piping, so no emissions are produced.</w:t>
      </w:r>
    </w:p>
    <w:p w:rsidRPr="003F5B27" w:rsidR="003F5B27" w:rsidP="003F5B27" w:rsidRDefault="003F5B27" w14:paraId="7CA9D8D4" w14:textId="77777777">
      <w:pPr>
        <w:spacing w:line="259" w:lineRule="auto"/>
        <w:rPr>
          <w:rFonts w:ascii="Garamond" w:hAnsi="Garamond" w:eastAsiaTheme="minorHAnsi" w:cstheme="minorBidi"/>
          <w:sz w:val="24"/>
          <w:szCs w:val="22"/>
        </w:rPr>
      </w:pPr>
    </w:p>
    <w:p w:rsidRPr="003F5B27" w:rsidR="003F5B27" w:rsidP="003F5B27" w:rsidRDefault="003F5B27" w14:paraId="1AF02EE9"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The measure was funded in the 2018 Plan, so no cost effectiveness value was provided.  RASA Staff notes that total one-time costs are reported as $348,999 while operational savings is about $299,000 a year.  So, the project paid for itself in just over one year. RASA approved this measure in the 2018 Plan.</w:t>
      </w:r>
    </w:p>
    <w:p w:rsidRPr="003F5B27" w:rsidR="003F5B27" w:rsidP="003F5B27" w:rsidRDefault="003F5B27" w14:paraId="0B4457B8" w14:textId="77777777">
      <w:pPr>
        <w:spacing w:line="259" w:lineRule="auto"/>
        <w:rPr>
          <w:rFonts w:ascii="Garamond" w:hAnsi="Garamond" w:eastAsiaTheme="minorHAnsi" w:cstheme="minorBidi"/>
          <w:sz w:val="24"/>
          <w:szCs w:val="22"/>
        </w:rPr>
      </w:pPr>
    </w:p>
    <w:p w:rsidRPr="003F5B27" w:rsidR="003F5B27" w:rsidP="003F5B27" w:rsidRDefault="003F5B27" w14:paraId="57E5F4BA"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4.  LARGE LEAK PRIORITIZATION</w:t>
      </w:r>
    </w:p>
    <w:p w:rsidRPr="003F5B27" w:rsidR="003F5B27" w:rsidP="003F5B27" w:rsidRDefault="003F5B27" w14:paraId="2BEA56F8"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Identification of large leaks (“super emitters”) in terms of gas volume allows prioritized repair of the larger contributors to emissions. SoCalGas has developed a method for ground-based leak survey technicians to identify leaks that have a high likelihood of being large, which then triggers a confirmatory quantification measurement and prioritization of repair. The chapter addresses Best Practice 20a, Quantification, as well as BPs 15, 16, and 21. </w:t>
      </w:r>
    </w:p>
    <w:p w:rsidRPr="003F5B27" w:rsidR="003F5B27" w:rsidP="003F5B27" w:rsidRDefault="003F5B27" w14:paraId="581721F0" w14:textId="77777777">
      <w:pPr>
        <w:spacing w:line="259" w:lineRule="auto"/>
        <w:rPr>
          <w:rFonts w:ascii="Garamond" w:hAnsi="Garamond" w:eastAsiaTheme="minorHAnsi" w:cstheme="minorBidi"/>
          <w:sz w:val="24"/>
          <w:szCs w:val="22"/>
        </w:rPr>
      </w:pPr>
    </w:p>
    <w:p w:rsidRPr="003F5B27" w:rsidR="003F5B27" w:rsidP="003F5B27" w:rsidRDefault="003F5B27" w14:paraId="0A7DD6B9"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An estimated emissions reduction of 54,546 MCF is only given through 2022 since the company expects the backlog of large leaks will have been identified and repaired by then. Future large leak reductions are expected to show up in the overall leak reduction efforts of increased survey frequency and Find-It, Fix-It practices.</w:t>
      </w:r>
    </w:p>
    <w:p w:rsidRPr="003F5B27" w:rsidR="003F5B27" w:rsidP="003F5B27" w:rsidRDefault="003F5B27" w14:paraId="18A32537" w14:textId="77777777">
      <w:pPr>
        <w:spacing w:line="259" w:lineRule="auto"/>
        <w:rPr>
          <w:rFonts w:ascii="Garamond" w:hAnsi="Garamond" w:eastAsiaTheme="minorHAnsi" w:cstheme="minorBidi"/>
          <w:sz w:val="24"/>
          <w:szCs w:val="22"/>
        </w:rPr>
      </w:pPr>
    </w:p>
    <w:p w:rsidRPr="003F5B27" w:rsidR="003F5B27" w:rsidP="003F5B27" w:rsidRDefault="003F5B27" w14:paraId="45D776B0"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lastRenderedPageBreak/>
        <w:t>Cost Effectiveness is presented as $73/MCF.  Total revenue requirement is $3.4 million.</w:t>
      </w:r>
    </w:p>
    <w:p w:rsidRPr="003F5B27" w:rsidR="003F5B27" w:rsidP="003F5B27" w:rsidRDefault="003F5B27" w14:paraId="75F11141" w14:textId="77777777">
      <w:pPr>
        <w:spacing w:line="259" w:lineRule="auto"/>
        <w:rPr>
          <w:rFonts w:ascii="Garamond" w:hAnsi="Garamond" w:eastAsiaTheme="minorHAnsi" w:cstheme="minorBidi"/>
          <w:sz w:val="24"/>
          <w:szCs w:val="22"/>
        </w:rPr>
      </w:pPr>
    </w:p>
    <w:p w:rsidRPr="003F5B27" w:rsidR="003F5B27" w:rsidP="003F5B27" w:rsidRDefault="003F5B27" w14:paraId="3C2FEA37"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Chapter 4.</w:t>
      </w:r>
    </w:p>
    <w:p w:rsidRPr="003F5B27" w:rsidR="003F5B27" w:rsidP="003F5B27" w:rsidRDefault="003F5B27" w14:paraId="153926B6" w14:textId="77777777">
      <w:pPr>
        <w:spacing w:line="259" w:lineRule="auto"/>
        <w:rPr>
          <w:rFonts w:ascii="Garamond" w:hAnsi="Garamond" w:eastAsiaTheme="minorHAnsi" w:cstheme="minorBidi"/>
          <w:sz w:val="24"/>
          <w:szCs w:val="22"/>
        </w:rPr>
      </w:pPr>
    </w:p>
    <w:p w:rsidRPr="003F5B27" w:rsidR="003F5B27" w:rsidP="003F5B27" w:rsidRDefault="003F5B27" w14:paraId="4C8EC8B7" w14:textId="77777777">
      <w:pPr>
        <w:keepNext/>
        <w:keepLines/>
        <w:spacing w:before="240" w:line="259" w:lineRule="auto"/>
        <w:outlineLvl w:val="0"/>
        <w:rPr>
          <w:rFonts w:ascii="Century Gothic" w:hAnsi="Century Gothic" w:eastAsiaTheme="majorEastAsia" w:cstheme="majorBidi"/>
          <w:color w:val="2F5496" w:themeColor="accent1" w:themeShade="BF"/>
          <w:sz w:val="28"/>
          <w:szCs w:val="32"/>
        </w:rPr>
      </w:pPr>
      <w:r w:rsidRPr="003F5B27">
        <w:rPr>
          <w:rFonts w:ascii="Century Gothic" w:hAnsi="Century Gothic" w:eastAsiaTheme="majorEastAsia" w:cstheme="majorBidi"/>
          <w:color w:val="2F5496" w:themeColor="accent1" w:themeShade="BF"/>
          <w:sz w:val="28"/>
          <w:szCs w:val="32"/>
        </w:rPr>
        <w:t>SECTION B. REVIEW OF CHAPTERS WITHOUT REDUCTION ESTIMATES</w:t>
      </w:r>
    </w:p>
    <w:p w:rsidRPr="003F5B27" w:rsidR="003F5B27" w:rsidP="003F5B27" w:rsidRDefault="003F5B27" w14:paraId="1CB701F4"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Some of the chapters address those required Best Practices to which no emissions reduction can be directly assigned. Rather, they are either foundational practices that support the reduction goal, or there was insufficient data from which to estimate an emissions reduction.  </w:t>
      </w:r>
    </w:p>
    <w:p w:rsidRPr="003F5B27" w:rsidR="003F5B27" w:rsidP="003F5B27" w:rsidRDefault="003F5B27" w14:paraId="33D2AF94" w14:textId="77777777">
      <w:pPr>
        <w:spacing w:line="259" w:lineRule="auto"/>
        <w:rPr>
          <w:rFonts w:ascii="Garamond" w:hAnsi="Garamond" w:eastAsiaTheme="minorHAnsi" w:cstheme="minorBidi"/>
          <w:sz w:val="24"/>
          <w:szCs w:val="22"/>
        </w:rPr>
      </w:pPr>
    </w:p>
    <w:p w:rsidRPr="003F5B27" w:rsidR="003F5B27" w:rsidP="003F5B27" w:rsidRDefault="003F5B27" w14:paraId="34A6949D"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reviewed all chapters for compliance with Best Practices. Those chapters that require new funding in this Compliance Plan cycle are reviewed below.</w:t>
      </w:r>
    </w:p>
    <w:p w:rsidRPr="003F5B27" w:rsidR="003F5B27" w:rsidP="003F5B27" w:rsidRDefault="003F5B27" w14:paraId="75A00853" w14:textId="77777777">
      <w:pPr>
        <w:spacing w:line="259" w:lineRule="auto"/>
        <w:rPr>
          <w:rFonts w:ascii="Garamond" w:hAnsi="Garamond" w:eastAsiaTheme="minorHAnsi" w:cstheme="minorBidi"/>
          <w:sz w:val="24"/>
          <w:szCs w:val="22"/>
        </w:rPr>
      </w:pPr>
    </w:p>
    <w:p w:rsidRPr="003F5B27" w:rsidR="003F5B27" w:rsidP="003F5B27" w:rsidRDefault="003F5B27" w14:paraId="176C4853"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7.  RECORDKEEPING IT</w:t>
      </w:r>
    </w:p>
    <w:p w:rsidRPr="003F5B27" w:rsidR="003F5B27" w:rsidP="003F5B27" w:rsidRDefault="003F5B27" w14:paraId="301F487B"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This chapter addresses Best Practice 9 and continues an Information Technology program approved in the 2018 Plan to bring all data records needed for leak management, reporting, and emissions reduction into an integrated digital system. </w:t>
      </w:r>
    </w:p>
    <w:p w:rsidRPr="003F5B27" w:rsidR="003F5B27" w:rsidP="003F5B27" w:rsidRDefault="003F5B27" w14:paraId="3B2C7698" w14:textId="77777777">
      <w:pPr>
        <w:spacing w:line="259" w:lineRule="auto"/>
        <w:rPr>
          <w:rFonts w:ascii="Garamond" w:hAnsi="Garamond" w:eastAsiaTheme="minorHAnsi" w:cstheme="minorBidi"/>
          <w:sz w:val="24"/>
          <w:szCs w:val="22"/>
        </w:rPr>
      </w:pPr>
    </w:p>
    <w:p w:rsidRPr="003F5B27" w:rsidR="003F5B27" w:rsidP="003F5B27" w:rsidRDefault="003F5B27" w14:paraId="33CE6BE1"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The chapter details five major measures, including digitization of paper forms, creating a “data lake” for digital record storage, support for engineering data analytics and performance optimization, field verification of asset data, real-time data management for leak abatement, and development of mobile, digital field forms for data capture. Total revenue requirement is $29.2 million with AARR of $11.4 million.</w:t>
      </w:r>
    </w:p>
    <w:p w:rsidRPr="003F5B27" w:rsidR="003F5B27" w:rsidP="003F5B27" w:rsidRDefault="003F5B27" w14:paraId="110D553B" w14:textId="77777777">
      <w:pPr>
        <w:spacing w:line="259" w:lineRule="auto"/>
        <w:rPr>
          <w:rFonts w:ascii="Garamond" w:hAnsi="Garamond" w:eastAsiaTheme="minorHAnsi" w:cstheme="minorBidi"/>
          <w:sz w:val="24"/>
          <w:szCs w:val="22"/>
        </w:rPr>
      </w:pPr>
    </w:p>
    <w:p w:rsidRPr="003F5B27" w:rsidR="003F5B27" w:rsidP="003F5B27" w:rsidRDefault="003F5B27" w14:paraId="478B7EA4"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This chapter presents a significant foundational initiative that supports emissions reduction.</w:t>
      </w:r>
    </w:p>
    <w:p w:rsidRPr="003F5B27" w:rsidR="003F5B27" w:rsidP="003F5B27" w:rsidRDefault="003F5B27" w14:paraId="4D863AFC" w14:textId="77777777">
      <w:pPr>
        <w:spacing w:line="259" w:lineRule="auto"/>
        <w:rPr>
          <w:rFonts w:ascii="Garamond" w:hAnsi="Garamond" w:eastAsiaTheme="minorHAnsi" w:cstheme="minorBidi"/>
          <w:sz w:val="24"/>
          <w:szCs w:val="22"/>
        </w:rPr>
      </w:pPr>
    </w:p>
    <w:p w:rsidRPr="003F5B27" w:rsidR="003F5B27" w:rsidP="003F5B27" w:rsidRDefault="003F5B27" w14:paraId="3191B47B"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Chapter 7.</w:t>
      </w:r>
    </w:p>
    <w:p w:rsidRPr="003F5B27" w:rsidR="003F5B27" w:rsidP="003F5B27" w:rsidRDefault="003F5B27" w14:paraId="3DC5B1D8" w14:textId="77777777">
      <w:pPr>
        <w:spacing w:line="259" w:lineRule="auto"/>
        <w:rPr>
          <w:rFonts w:ascii="Garamond" w:hAnsi="Garamond" w:eastAsiaTheme="minorHAnsi" w:cstheme="minorBidi"/>
          <w:sz w:val="24"/>
          <w:szCs w:val="22"/>
        </w:rPr>
      </w:pPr>
    </w:p>
    <w:p w:rsidRPr="003F5B27" w:rsidR="003F5B27" w:rsidP="003F5B27" w:rsidRDefault="003F5B27" w14:paraId="6444792B"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8.  GEOGRAPHIC TRACKING (IT DIGITIZATION)</w:t>
      </w:r>
    </w:p>
    <w:p w:rsidRPr="003F5B27" w:rsidR="003F5B27" w:rsidP="003F5B27" w:rsidRDefault="003F5B27" w14:paraId="31E94E53"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This chapter addresses geographic tracking of leaks per BP 20a and supports digital record keeping per BP 9.  The records in this case are digital forms of the numerous Piping and Instrumentation Drawings of gas lines and stations, including GIS (Geographic Information System) integration and 3-D modeling of high-pressure facilities. These activities will promote better management of gas assets and better-informed response to leak events.</w:t>
      </w:r>
    </w:p>
    <w:p w:rsidRPr="003F5B27" w:rsidR="003F5B27" w:rsidP="003F5B27" w:rsidRDefault="003F5B27" w14:paraId="5E6E889D" w14:textId="77777777">
      <w:pPr>
        <w:spacing w:line="259" w:lineRule="auto"/>
        <w:rPr>
          <w:rFonts w:ascii="Garamond" w:hAnsi="Garamond" w:eastAsiaTheme="minorHAnsi" w:cstheme="minorBidi"/>
          <w:sz w:val="24"/>
          <w:szCs w:val="22"/>
        </w:rPr>
      </w:pPr>
    </w:p>
    <w:p w:rsidRPr="003F5B27" w:rsidR="003F5B27" w:rsidP="003F5B27" w:rsidRDefault="003F5B27" w14:paraId="517BCD4B"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The chapter’s proposal is a continuation of work approved in the 2018 Compliance Plan. Total program revenue requirement is $15.8 million with AARR of $7.9 million.</w:t>
      </w:r>
    </w:p>
    <w:p w:rsidRPr="003F5B27" w:rsidR="003F5B27" w:rsidP="003F5B27" w:rsidRDefault="003F5B27" w14:paraId="157FA36B" w14:textId="77777777">
      <w:pPr>
        <w:spacing w:line="259" w:lineRule="auto"/>
        <w:rPr>
          <w:rFonts w:ascii="Garamond" w:hAnsi="Garamond" w:eastAsiaTheme="minorHAnsi" w:cstheme="minorBidi"/>
          <w:sz w:val="24"/>
          <w:szCs w:val="22"/>
        </w:rPr>
      </w:pPr>
    </w:p>
    <w:p w:rsidRPr="003F5B27" w:rsidR="003F5B27" w:rsidP="003F5B27" w:rsidRDefault="003F5B27" w14:paraId="5CAD0C4C"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Chapter 8.</w:t>
      </w:r>
    </w:p>
    <w:p w:rsidRPr="003F5B27" w:rsidR="003F5B27" w:rsidP="003F5B27" w:rsidRDefault="003F5B27" w14:paraId="75BDA3EF" w14:textId="77777777">
      <w:pPr>
        <w:spacing w:line="259" w:lineRule="auto"/>
        <w:rPr>
          <w:rFonts w:ascii="Garamond" w:hAnsi="Garamond" w:eastAsiaTheme="minorHAnsi" w:cstheme="minorBidi"/>
          <w:sz w:val="24"/>
          <w:szCs w:val="22"/>
        </w:rPr>
      </w:pPr>
    </w:p>
    <w:p w:rsidRPr="003F5B27" w:rsidR="003F5B27" w:rsidP="003F5B27" w:rsidRDefault="003F5B27" w14:paraId="07471059"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9 and 10.</w:t>
      </w:r>
    </w:p>
    <w:p w:rsidRPr="003F5B27" w:rsidR="003F5B27" w:rsidP="003F5B27" w:rsidRDefault="003F5B27" w14:paraId="4C4AD802"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These chapters address employee training Best Practice 13. AARR for both is $2 million.  </w:t>
      </w:r>
    </w:p>
    <w:p w:rsidRPr="003F5B27" w:rsidR="003F5B27" w:rsidP="003F5B27" w:rsidRDefault="003F5B27" w14:paraId="6E4DAEF9" w14:textId="77777777">
      <w:pPr>
        <w:spacing w:line="259" w:lineRule="auto"/>
        <w:rPr>
          <w:rFonts w:ascii="Garamond" w:hAnsi="Garamond" w:eastAsiaTheme="minorHAnsi" w:cstheme="minorBidi"/>
          <w:sz w:val="24"/>
          <w:szCs w:val="22"/>
        </w:rPr>
      </w:pPr>
    </w:p>
    <w:p w:rsidRPr="003F5B27" w:rsidR="003F5B27" w:rsidP="003F5B27" w:rsidRDefault="003F5B27" w14:paraId="353E7607"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lastRenderedPageBreak/>
        <w:t>RASA Staff approves adoption of Chapters 9 and 10.</w:t>
      </w:r>
    </w:p>
    <w:p w:rsidRPr="003F5B27" w:rsidR="003F5B27" w:rsidP="003F5B27" w:rsidRDefault="003F5B27" w14:paraId="3842AFDA" w14:textId="77777777">
      <w:pPr>
        <w:spacing w:line="259" w:lineRule="auto"/>
        <w:rPr>
          <w:rFonts w:ascii="Garamond" w:hAnsi="Garamond" w:eastAsiaTheme="minorHAnsi" w:cstheme="minorBidi"/>
          <w:sz w:val="24"/>
          <w:szCs w:val="22"/>
        </w:rPr>
      </w:pPr>
    </w:p>
    <w:p w:rsidRPr="003F5B27" w:rsidR="003F5B27" w:rsidP="003F5B27" w:rsidRDefault="003F5B27" w14:paraId="716118B5"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11.  BLOWDOWN REDUCTION PROJECTS AT STORAGE FACILIITES</w:t>
      </w:r>
    </w:p>
    <w:p w:rsidRPr="003F5B27" w:rsidR="003F5B27" w:rsidP="003F5B27" w:rsidRDefault="003F5B27" w14:paraId="34FDC1C7"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SoCalGas proposes to continue making improvements to gas storage sites to reduce vented emissions in accordance with Best Practice 23. Reductions for storage locations through 2018 are reported as 68,595 MCF from a Baseline of 112,076 MCF.  SoCalGas is requesting funding for a total program revenue requirement of $32.3 million, with a large capital equipment component. The AARR is $1.3 million. Eight projects are identified in the Plan, but no emissions reduction estimate could be provided.  </w:t>
      </w:r>
    </w:p>
    <w:p w:rsidRPr="003F5B27" w:rsidR="003F5B27" w:rsidP="003F5B27" w:rsidRDefault="003F5B27" w14:paraId="05FFCA09"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 xml:space="preserve"> </w:t>
      </w:r>
    </w:p>
    <w:p w:rsidRPr="003F5B27" w:rsidR="003F5B27" w:rsidP="003F5B27" w:rsidRDefault="003F5B27" w14:paraId="40F66D79"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The projects to reduce storage emissions have been very successful to date.  RASA supports continuation of these efforts.</w:t>
      </w:r>
    </w:p>
    <w:p w:rsidRPr="003F5B27" w:rsidR="003F5B27" w:rsidP="003F5B27" w:rsidRDefault="003F5B27" w14:paraId="48D28942" w14:textId="77777777">
      <w:pPr>
        <w:spacing w:line="259" w:lineRule="auto"/>
        <w:rPr>
          <w:rFonts w:ascii="Garamond" w:hAnsi="Garamond" w:eastAsiaTheme="minorHAnsi" w:cstheme="minorBidi"/>
          <w:sz w:val="24"/>
          <w:szCs w:val="22"/>
        </w:rPr>
      </w:pPr>
    </w:p>
    <w:p w:rsidRPr="003F5B27" w:rsidR="003F5B27" w:rsidP="003F5B27" w:rsidRDefault="003F5B27" w14:paraId="4FE87BB2"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Chapter 11.</w:t>
      </w:r>
    </w:p>
    <w:p w:rsidRPr="003F5B27" w:rsidR="003F5B27" w:rsidP="003F5B27" w:rsidRDefault="003F5B27" w14:paraId="24DE49E3" w14:textId="77777777">
      <w:pPr>
        <w:spacing w:line="259" w:lineRule="auto"/>
        <w:rPr>
          <w:rFonts w:ascii="Garamond" w:hAnsi="Garamond" w:eastAsiaTheme="minorHAnsi" w:cstheme="minorBidi"/>
          <w:sz w:val="24"/>
          <w:szCs w:val="22"/>
        </w:rPr>
      </w:pPr>
    </w:p>
    <w:p w:rsidRPr="003F5B27" w:rsidR="003F5B27" w:rsidP="003F5B27" w:rsidRDefault="003F5B27" w14:paraId="7EC5445B"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12. STATIONARY METHANE DETECTION</w:t>
      </w:r>
    </w:p>
    <w:p w:rsidRPr="003F5B27" w:rsidR="003F5B27" w:rsidP="003F5B27" w:rsidRDefault="003F5B27" w14:paraId="70DC4E6B" w14:textId="77777777">
      <w:pPr>
        <w:spacing w:line="259" w:lineRule="auto"/>
        <w:rPr>
          <w:rFonts w:ascii="Garamond" w:hAnsi="Garamond" w:eastAsiaTheme="minorHAnsi"/>
          <w:sz w:val="24"/>
          <w:szCs w:val="22"/>
        </w:rPr>
      </w:pPr>
      <w:r w:rsidRPr="003F5B27">
        <w:rPr>
          <w:rFonts w:ascii="Garamond" w:hAnsi="Garamond" w:eastAsiaTheme="minorHAnsi" w:cstheme="minorBidi"/>
          <w:sz w:val="24"/>
          <w:szCs w:val="22"/>
        </w:rPr>
        <w:t xml:space="preserve">Best Practice 18 requires use of stationary measurement devices to continuously monitor large gas installations such as high-pressure metering and regulating stations and compressor stations. Utilities may perform pilot studies with detection equipment candidates to find the most effective solutions for their facilities. SoCalGas is proposing a second phase pilot study at approximately 10 more locations that provide a wider variety of operating conditions. No reduction estimate is yet possible.  </w:t>
      </w:r>
      <w:r w:rsidRPr="003F5B27">
        <w:rPr>
          <w:rFonts w:ascii="Garamond" w:hAnsi="Garamond" w:eastAsiaTheme="minorHAnsi"/>
          <w:sz w:val="24"/>
          <w:szCs w:val="22"/>
        </w:rPr>
        <w:t xml:space="preserve">The total program </w:t>
      </w:r>
      <w:r w:rsidRPr="003F5B27">
        <w:rPr>
          <w:rFonts w:ascii="Garamond" w:hAnsi="Garamond" w:eastAsiaTheme="minorHAnsi" w:cstheme="minorBidi"/>
          <w:sz w:val="24"/>
          <w:szCs w:val="22"/>
        </w:rPr>
        <w:t>revenue requirement</w:t>
      </w:r>
      <w:r w:rsidRPr="003F5B27">
        <w:rPr>
          <w:rFonts w:ascii="Garamond" w:hAnsi="Garamond" w:eastAsiaTheme="minorHAnsi"/>
          <w:sz w:val="24"/>
          <w:szCs w:val="22"/>
        </w:rPr>
        <w:t xml:space="preserve"> is $10.1 million and the AARR is $640,000.</w:t>
      </w:r>
    </w:p>
    <w:p w:rsidRPr="003F5B27" w:rsidR="003F5B27" w:rsidP="003F5B27" w:rsidRDefault="003F5B27" w14:paraId="4EB94659" w14:textId="77777777">
      <w:pPr>
        <w:spacing w:line="259" w:lineRule="auto"/>
        <w:rPr>
          <w:rFonts w:ascii="Garamond" w:hAnsi="Garamond" w:eastAsiaTheme="minorHAnsi" w:cstheme="minorBidi"/>
          <w:sz w:val="24"/>
          <w:szCs w:val="22"/>
        </w:rPr>
      </w:pPr>
    </w:p>
    <w:p w:rsidRPr="003F5B27" w:rsidR="003F5B27" w:rsidP="003F5B27" w:rsidRDefault="003F5B27" w14:paraId="34CC9854"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Chapter 12.</w:t>
      </w:r>
    </w:p>
    <w:p w:rsidRPr="003F5B27" w:rsidR="003F5B27" w:rsidP="003F5B27" w:rsidRDefault="003F5B27" w14:paraId="27FC99BF" w14:textId="77777777">
      <w:pPr>
        <w:spacing w:line="259" w:lineRule="auto"/>
        <w:rPr>
          <w:rFonts w:ascii="Garamond" w:hAnsi="Garamond" w:eastAsiaTheme="minorHAnsi" w:cstheme="minorBidi"/>
          <w:sz w:val="24"/>
          <w:szCs w:val="22"/>
        </w:rPr>
      </w:pPr>
    </w:p>
    <w:p w:rsidRPr="003F5B27" w:rsidR="003F5B27" w:rsidP="003F5B27" w:rsidRDefault="003F5B27" w14:paraId="20A2F5F4"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13.  ELECTRONIC LEAK SURVEY</w:t>
      </w:r>
    </w:p>
    <w:p w:rsidRPr="003F5B27" w:rsidR="003F5B27" w:rsidP="003F5B27" w:rsidRDefault="003F5B27" w14:paraId="26C242A5" w14:textId="77777777">
      <w:pPr>
        <w:spacing w:line="259" w:lineRule="auto"/>
        <w:rPr>
          <w:rFonts w:ascii="Garamond" w:hAnsi="Garamond" w:eastAsiaTheme="minorHAnsi"/>
          <w:sz w:val="24"/>
          <w:szCs w:val="22"/>
        </w:rPr>
      </w:pPr>
      <w:r w:rsidRPr="003F5B27">
        <w:rPr>
          <w:rFonts w:ascii="Garamond" w:hAnsi="Garamond" w:eastAsiaTheme="minorHAnsi" w:cstheme="minorBidi"/>
          <w:sz w:val="24"/>
          <w:szCs w:val="22"/>
        </w:rPr>
        <w:t xml:space="preserve">Best Practice 20b, Geographic Tracking, requires leak survey data to be systematically recorded electronically by geographic location. This chapter proposes that </w:t>
      </w:r>
      <w:r w:rsidRPr="003F5B27">
        <w:rPr>
          <w:rFonts w:ascii="Garamond" w:hAnsi="Garamond" w:eastAsiaTheme="minorHAnsi"/>
          <w:sz w:val="24"/>
          <w:szCs w:val="22"/>
        </w:rPr>
        <w:t>leak</w:t>
      </w:r>
      <w:r w:rsidRPr="003F5B27">
        <w:rPr>
          <w:rFonts w:ascii="Garamond" w:hAnsi="Garamond" w:eastAsiaTheme="minorHAnsi" w:cstheme="minorBidi"/>
          <w:sz w:val="20"/>
        </w:rPr>
        <w:t xml:space="preserve"> </w:t>
      </w:r>
      <w:r w:rsidRPr="003F5B27">
        <w:rPr>
          <w:rFonts w:ascii="Garamond" w:hAnsi="Garamond" w:eastAsiaTheme="minorHAnsi"/>
          <w:sz w:val="24"/>
          <w:szCs w:val="22"/>
        </w:rPr>
        <w:t>surveyors will carry iPads loaded with a mobile application to use GIS-generated leak survey</w:t>
      </w:r>
      <w:r w:rsidRPr="003F5B27">
        <w:rPr>
          <w:rFonts w:ascii="Garamond" w:hAnsi="Garamond" w:eastAsiaTheme="minorHAnsi" w:cstheme="minorBidi"/>
          <w:sz w:val="20"/>
        </w:rPr>
        <w:t xml:space="preserve"> </w:t>
      </w:r>
      <w:r w:rsidRPr="003F5B27">
        <w:rPr>
          <w:rFonts w:ascii="Garamond" w:hAnsi="Garamond" w:eastAsiaTheme="minorHAnsi"/>
          <w:sz w:val="24"/>
          <w:szCs w:val="22"/>
        </w:rPr>
        <w:t>routes instead of paper maps. Leak survey instrumentation will be used to track leaks, and leak</w:t>
      </w:r>
      <w:r w:rsidRPr="003F5B27">
        <w:rPr>
          <w:rFonts w:ascii="Garamond" w:hAnsi="Garamond" w:eastAsiaTheme="minorHAnsi" w:cstheme="minorBidi"/>
          <w:sz w:val="24"/>
          <w:szCs w:val="22"/>
        </w:rPr>
        <w:t xml:space="preserve"> </w:t>
      </w:r>
      <w:r w:rsidRPr="003F5B27">
        <w:rPr>
          <w:rFonts w:ascii="Garamond" w:hAnsi="Garamond" w:eastAsiaTheme="minorHAnsi"/>
          <w:sz w:val="24"/>
          <w:szCs w:val="22"/>
        </w:rPr>
        <w:t>data will be electronically uploaded into GIS.</w:t>
      </w:r>
    </w:p>
    <w:p w:rsidRPr="003F5B27" w:rsidR="003F5B27" w:rsidP="003F5B27" w:rsidRDefault="003F5B27" w14:paraId="058385D8" w14:textId="77777777">
      <w:pPr>
        <w:spacing w:line="259" w:lineRule="auto"/>
        <w:rPr>
          <w:rFonts w:ascii="Garamond" w:hAnsi="Garamond" w:eastAsiaTheme="minorHAnsi"/>
          <w:sz w:val="24"/>
          <w:szCs w:val="22"/>
        </w:rPr>
      </w:pPr>
    </w:p>
    <w:p w:rsidRPr="003F5B27" w:rsidR="003F5B27" w:rsidP="003F5B27" w:rsidRDefault="003F5B27" w14:paraId="21B2510A" w14:textId="77777777">
      <w:pPr>
        <w:spacing w:line="259" w:lineRule="auto"/>
        <w:rPr>
          <w:rFonts w:ascii="Garamond" w:hAnsi="Garamond" w:eastAsiaTheme="minorHAnsi"/>
          <w:sz w:val="24"/>
          <w:szCs w:val="22"/>
        </w:rPr>
      </w:pPr>
      <w:r w:rsidRPr="003F5B27">
        <w:rPr>
          <w:rFonts w:ascii="Garamond" w:hAnsi="Garamond" w:eastAsiaTheme="minorHAnsi"/>
          <w:sz w:val="24"/>
          <w:szCs w:val="22"/>
        </w:rPr>
        <w:t xml:space="preserve">The total program </w:t>
      </w:r>
      <w:r w:rsidRPr="003F5B27">
        <w:rPr>
          <w:rFonts w:ascii="Garamond" w:hAnsi="Garamond" w:eastAsiaTheme="minorHAnsi" w:cstheme="minorBidi"/>
          <w:sz w:val="24"/>
          <w:szCs w:val="22"/>
        </w:rPr>
        <w:t>revenue requirement</w:t>
      </w:r>
      <w:r w:rsidRPr="003F5B27">
        <w:rPr>
          <w:rFonts w:ascii="Garamond" w:hAnsi="Garamond" w:eastAsiaTheme="minorHAnsi"/>
          <w:sz w:val="24"/>
          <w:szCs w:val="22"/>
        </w:rPr>
        <w:t xml:space="preserve"> is $11.7 million, and the AARR is $ 2.1 million.</w:t>
      </w:r>
    </w:p>
    <w:p w:rsidRPr="003F5B27" w:rsidR="003F5B27" w:rsidP="003F5B27" w:rsidRDefault="003F5B27" w14:paraId="50DBAE7E" w14:textId="77777777">
      <w:pPr>
        <w:spacing w:line="259" w:lineRule="auto"/>
        <w:rPr>
          <w:rFonts w:ascii="Garamond" w:hAnsi="Garamond" w:eastAsiaTheme="minorHAnsi"/>
          <w:sz w:val="24"/>
          <w:szCs w:val="22"/>
        </w:rPr>
      </w:pPr>
    </w:p>
    <w:p w:rsidRPr="003F5B27" w:rsidR="003F5B27" w:rsidP="003F5B27" w:rsidRDefault="003F5B27" w14:paraId="16C20B04"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Chapter 13.</w:t>
      </w:r>
    </w:p>
    <w:p w:rsidRPr="003F5B27" w:rsidR="003F5B27" w:rsidP="003F5B27" w:rsidRDefault="003F5B27" w14:paraId="2D2D59DE" w14:textId="77777777">
      <w:pPr>
        <w:spacing w:line="259" w:lineRule="auto"/>
        <w:rPr>
          <w:rFonts w:ascii="Garamond" w:hAnsi="Garamond" w:eastAsiaTheme="minorHAnsi" w:cstheme="minorBidi"/>
          <w:sz w:val="24"/>
          <w:szCs w:val="22"/>
        </w:rPr>
      </w:pPr>
    </w:p>
    <w:p w:rsidRPr="003F5B27" w:rsidR="003F5B27" w:rsidP="003F5B27" w:rsidRDefault="003F5B27" w14:paraId="3FDD6314"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15.  DAMAGE PREVENTION PUBLIC AWARENESS</w:t>
      </w:r>
    </w:p>
    <w:p w:rsidRPr="003F5B27" w:rsidR="003F5B27" w:rsidP="003F5B27" w:rsidRDefault="003F5B27" w14:paraId="2B2ED068"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This chapter proposes to continue development and promotion of incremental public awareness activities begun under the 2018 Plan to address Best Practices 24, 25, and 26.  Studies have shown that increased awareness does reduce the number of pipeline damage events. Damaged pipelines vent gas to the atmosphere until repaired.  Total program revenue requirement is $3 million with AARR of $1.5 million. No emissions reduction estimate could be determined.</w:t>
      </w:r>
    </w:p>
    <w:p w:rsidRPr="003F5B27" w:rsidR="003F5B27" w:rsidP="003F5B27" w:rsidRDefault="003F5B27" w14:paraId="3DFDECF7" w14:textId="77777777">
      <w:pPr>
        <w:spacing w:line="259" w:lineRule="auto"/>
        <w:rPr>
          <w:rFonts w:ascii="Garamond" w:hAnsi="Garamond" w:eastAsiaTheme="minorHAnsi" w:cstheme="minorBidi"/>
          <w:sz w:val="24"/>
          <w:szCs w:val="22"/>
        </w:rPr>
      </w:pPr>
    </w:p>
    <w:p w:rsidRPr="003F5B27" w:rsidR="003F5B27" w:rsidP="003F5B27" w:rsidRDefault="003F5B27" w14:paraId="517888A3"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lastRenderedPageBreak/>
        <w:t>Besides the GHG impact of methane emissions, excavation damage to gas pipelines is a serious safety hazard. Dig-ins can lead to combustion of gas under pressure, resulting in injuries and property damage.</w:t>
      </w:r>
    </w:p>
    <w:p w:rsidRPr="003F5B27" w:rsidR="003F5B27" w:rsidP="003F5B27" w:rsidRDefault="003F5B27" w14:paraId="181EA4F1" w14:textId="77777777">
      <w:pPr>
        <w:spacing w:line="259" w:lineRule="auto"/>
        <w:rPr>
          <w:rFonts w:ascii="Garamond" w:hAnsi="Garamond" w:eastAsiaTheme="minorHAnsi" w:cstheme="minorBidi"/>
          <w:sz w:val="24"/>
          <w:szCs w:val="22"/>
        </w:rPr>
      </w:pPr>
    </w:p>
    <w:p w:rsidRPr="003F5B27" w:rsidR="003F5B27" w:rsidP="003F5B27" w:rsidRDefault="003F5B27" w14:paraId="6AAA6F37"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Chapter 15.</w:t>
      </w:r>
    </w:p>
    <w:p w:rsidRPr="003F5B27" w:rsidR="003F5B27" w:rsidP="003F5B27" w:rsidRDefault="003F5B27" w14:paraId="27797DA1" w14:textId="77777777">
      <w:pPr>
        <w:spacing w:line="259" w:lineRule="auto"/>
        <w:rPr>
          <w:rFonts w:ascii="Garamond" w:hAnsi="Garamond" w:eastAsiaTheme="minorHAnsi" w:cstheme="minorBidi"/>
          <w:sz w:val="24"/>
          <w:szCs w:val="22"/>
        </w:rPr>
      </w:pPr>
    </w:p>
    <w:p w:rsidRPr="003F5B27" w:rsidR="003F5B27" w:rsidP="003F5B27" w:rsidRDefault="003F5B27" w14:paraId="7AD54B7F"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16.  PIPE FITTING SPECIFICATIONS</w:t>
      </w:r>
    </w:p>
    <w:p w:rsidRPr="003F5B27" w:rsidR="003F5B27" w:rsidP="003F5B27" w:rsidRDefault="003F5B27" w14:paraId="63BE4850"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Best Practice 22 requires utilities to review and revise pipe fitting specifications to ensure that pipe connections will not leak. This chapter proposes a quality control inspection process to ensure incoming threaded components meet the company specifications whose requirements can be modified as experience suggests. Total program revenue requirement is $2.4 million with AARR of $1.2 million.</w:t>
      </w:r>
    </w:p>
    <w:p w:rsidRPr="003F5B27" w:rsidR="003F5B27" w:rsidP="003F5B27" w:rsidRDefault="003F5B27" w14:paraId="15E90499" w14:textId="77777777">
      <w:pPr>
        <w:spacing w:line="259" w:lineRule="auto"/>
        <w:rPr>
          <w:rFonts w:ascii="Garamond" w:hAnsi="Garamond" w:eastAsiaTheme="minorHAnsi" w:cstheme="minorBidi"/>
          <w:sz w:val="24"/>
          <w:szCs w:val="22"/>
        </w:rPr>
      </w:pPr>
    </w:p>
    <w:p w:rsidRPr="003F5B27" w:rsidR="003F5B27" w:rsidP="003F5B27" w:rsidRDefault="003F5B27" w14:paraId="27622BC3"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approves adoption of Chapter 16.</w:t>
      </w:r>
    </w:p>
    <w:p w:rsidRPr="003F5B27" w:rsidR="003F5B27" w:rsidP="003F5B27" w:rsidRDefault="003F5B27" w14:paraId="7C35AAEF" w14:textId="77777777">
      <w:pPr>
        <w:spacing w:line="259" w:lineRule="auto"/>
        <w:rPr>
          <w:rFonts w:ascii="Garamond" w:hAnsi="Garamond" w:eastAsiaTheme="minorHAnsi" w:cstheme="minorBidi"/>
          <w:sz w:val="24"/>
          <w:szCs w:val="22"/>
        </w:rPr>
      </w:pPr>
    </w:p>
    <w:p w:rsidRPr="003F5B27" w:rsidR="003F5B27" w:rsidP="003F5B27" w:rsidRDefault="003F5B27" w14:paraId="31EB7D86"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17. REPEAT OFFENDERS IT SYSTEM</w:t>
      </w:r>
    </w:p>
    <w:p w:rsidRPr="003F5B27" w:rsidR="003F5B27" w:rsidP="003F5B27" w:rsidRDefault="003F5B27" w14:paraId="323B4A55" w14:textId="77777777">
      <w:pPr>
        <w:autoSpaceDE w:val="0"/>
        <w:autoSpaceDN w:val="0"/>
        <w:adjustRightInd w:val="0"/>
        <w:rPr>
          <w:rFonts w:ascii="Garamond" w:hAnsi="Garamond" w:eastAsiaTheme="minorHAnsi"/>
          <w:sz w:val="24"/>
          <w:szCs w:val="22"/>
        </w:rPr>
      </w:pPr>
      <w:r w:rsidRPr="003F5B27">
        <w:rPr>
          <w:rFonts w:ascii="Garamond" w:hAnsi="Garamond" w:eastAsiaTheme="minorHAnsi" w:cstheme="minorBidi"/>
          <w:sz w:val="24"/>
          <w:szCs w:val="22"/>
        </w:rPr>
        <w:t xml:space="preserve">Best Practice 26 requires a program of identifying and then communicating with excavators who repeatedly dig into gas pipelines </w:t>
      </w:r>
      <w:proofErr w:type="gramStart"/>
      <w:r w:rsidRPr="003F5B27">
        <w:rPr>
          <w:rFonts w:ascii="Garamond" w:hAnsi="Garamond" w:eastAsiaTheme="minorHAnsi" w:cstheme="minorBidi"/>
          <w:sz w:val="24"/>
          <w:szCs w:val="22"/>
        </w:rPr>
        <w:t>as a result of</w:t>
      </w:r>
      <w:proofErr w:type="gramEnd"/>
      <w:r w:rsidRPr="003F5B27">
        <w:rPr>
          <w:rFonts w:ascii="Garamond" w:hAnsi="Garamond" w:eastAsiaTheme="minorHAnsi" w:cstheme="minorBidi"/>
          <w:sz w:val="24"/>
          <w:szCs w:val="22"/>
        </w:rPr>
        <w:t xml:space="preserve"> not using the Call Before You Dig system. </w:t>
      </w:r>
      <w:r w:rsidRPr="003F5B27">
        <w:rPr>
          <w:rFonts w:ascii="Garamond" w:hAnsi="Garamond" w:eastAsiaTheme="minorHAnsi"/>
          <w:sz w:val="24"/>
          <w:szCs w:val="22"/>
        </w:rPr>
        <w:t xml:space="preserve">SoCalGas plans to complete the process of digitizing the Company Property Damage Report towards the end of 2020. Thereafter, they will transition the damage reports to mobile </w:t>
      </w:r>
      <w:proofErr w:type="gramStart"/>
      <w:r w:rsidRPr="003F5B27">
        <w:rPr>
          <w:rFonts w:ascii="Garamond" w:hAnsi="Garamond" w:eastAsiaTheme="minorHAnsi"/>
          <w:sz w:val="24"/>
          <w:szCs w:val="22"/>
        </w:rPr>
        <w:t>platforms  to</w:t>
      </w:r>
      <w:proofErr w:type="gramEnd"/>
      <w:r w:rsidRPr="003F5B27">
        <w:rPr>
          <w:rFonts w:ascii="Garamond" w:hAnsi="Garamond" w:eastAsiaTheme="minorHAnsi"/>
          <w:sz w:val="24"/>
          <w:szCs w:val="22"/>
        </w:rPr>
        <w:t xml:space="preserve"> better perform analytics and to put in place preventative measures to mitigate damages. SoCalGas plans to develop integration between enterprise systems to transmit and store new data to be captured via new mobile forms. This system will enable the utility to analyze damage history holistically and to identify repeat offenders more readily and accurately.</w:t>
      </w:r>
    </w:p>
    <w:p w:rsidRPr="003F5B27" w:rsidR="003F5B27" w:rsidP="003F5B27" w:rsidRDefault="003F5B27" w14:paraId="279F71C0" w14:textId="77777777">
      <w:pPr>
        <w:autoSpaceDE w:val="0"/>
        <w:autoSpaceDN w:val="0"/>
        <w:adjustRightInd w:val="0"/>
        <w:rPr>
          <w:rFonts w:ascii="Garamond" w:hAnsi="Garamond" w:eastAsiaTheme="minorHAnsi"/>
          <w:sz w:val="24"/>
          <w:szCs w:val="22"/>
        </w:rPr>
      </w:pPr>
    </w:p>
    <w:p w:rsidRPr="003F5B27" w:rsidR="003F5B27" w:rsidP="003F5B27" w:rsidRDefault="003F5B27" w14:paraId="2ADBA88B" w14:textId="77777777">
      <w:pPr>
        <w:autoSpaceDE w:val="0"/>
        <w:autoSpaceDN w:val="0"/>
        <w:adjustRightInd w:val="0"/>
        <w:rPr>
          <w:rFonts w:ascii="Garamond" w:hAnsi="Garamond" w:eastAsiaTheme="minorHAnsi"/>
          <w:sz w:val="24"/>
          <w:szCs w:val="22"/>
        </w:rPr>
      </w:pPr>
      <w:r w:rsidRPr="003F5B27">
        <w:rPr>
          <w:rFonts w:ascii="Garamond" w:hAnsi="Garamond" w:eastAsiaTheme="minorHAnsi"/>
          <w:sz w:val="24"/>
          <w:szCs w:val="22"/>
        </w:rPr>
        <w:t>Total program revenue requirement is $1.8 million; AARR is $0.86 million. No emissions reduction could be estimated.</w:t>
      </w:r>
    </w:p>
    <w:p w:rsidRPr="003F5B27" w:rsidR="003F5B27" w:rsidP="003F5B27" w:rsidRDefault="003F5B27" w14:paraId="47DDB583" w14:textId="77777777">
      <w:pPr>
        <w:autoSpaceDE w:val="0"/>
        <w:autoSpaceDN w:val="0"/>
        <w:adjustRightInd w:val="0"/>
        <w:rPr>
          <w:rFonts w:ascii="Garamond" w:hAnsi="Garamond" w:eastAsiaTheme="minorHAnsi"/>
          <w:sz w:val="24"/>
          <w:szCs w:val="22"/>
        </w:rPr>
      </w:pPr>
    </w:p>
    <w:p w:rsidRPr="003F5B27" w:rsidR="003F5B27" w:rsidP="003F5B27" w:rsidRDefault="003F5B27" w14:paraId="1F893457" w14:textId="77777777">
      <w:pPr>
        <w:autoSpaceDE w:val="0"/>
        <w:autoSpaceDN w:val="0"/>
        <w:adjustRightInd w:val="0"/>
        <w:rPr>
          <w:rFonts w:ascii="Garamond" w:hAnsi="Garamond" w:eastAsiaTheme="minorHAnsi"/>
          <w:sz w:val="24"/>
          <w:szCs w:val="22"/>
        </w:rPr>
      </w:pPr>
      <w:r w:rsidRPr="003F5B27">
        <w:rPr>
          <w:rFonts w:ascii="Garamond" w:hAnsi="Garamond" w:eastAsiaTheme="minorHAnsi"/>
          <w:sz w:val="24"/>
          <w:szCs w:val="22"/>
        </w:rPr>
        <w:t>RASA Staff approves adoption of Chapter 17.</w:t>
      </w:r>
    </w:p>
    <w:p w:rsidRPr="003F5B27" w:rsidR="003F5B27" w:rsidP="003F5B27" w:rsidRDefault="003F5B27" w14:paraId="6DA9A799" w14:textId="77777777">
      <w:pPr>
        <w:autoSpaceDE w:val="0"/>
        <w:autoSpaceDN w:val="0"/>
        <w:adjustRightInd w:val="0"/>
        <w:rPr>
          <w:rFonts w:ascii="Garamond" w:hAnsi="Garamond" w:eastAsiaTheme="minorHAnsi"/>
          <w:sz w:val="24"/>
          <w:szCs w:val="22"/>
        </w:rPr>
      </w:pPr>
    </w:p>
    <w:p w:rsidRPr="003F5B27" w:rsidR="003F5B27" w:rsidP="003F5B27" w:rsidRDefault="003F5B27" w14:paraId="208F890D"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19.  GAS SPECIATION (METHANE DETECTION)</w:t>
      </w:r>
    </w:p>
    <w:p w:rsidRPr="003F5B27" w:rsidR="003F5B27" w:rsidP="003F5B27" w:rsidRDefault="003F5B27" w14:paraId="3D8983ED" w14:textId="77777777">
      <w:pPr>
        <w:spacing w:line="259" w:lineRule="auto"/>
        <w:rPr>
          <w:rFonts w:ascii="Garamond" w:hAnsi="Garamond" w:eastAsiaTheme="minorHAnsi"/>
          <w:sz w:val="24"/>
          <w:szCs w:val="22"/>
        </w:rPr>
      </w:pPr>
      <w:r w:rsidRPr="003F5B27">
        <w:rPr>
          <w:rFonts w:ascii="Garamond" w:hAnsi="Garamond" w:eastAsiaTheme="minorHAnsi"/>
          <w:sz w:val="24"/>
          <w:szCs w:val="22"/>
        </w:rPr>
        <w:t xml:space="preserve">Best Practice 17 requires use of enhanced methane detection devices including speciation technologies.  Speciation is sometimes required to confirm the source of a methane leak.  SoCalGas has already purchased the necessary equipment but needs to employ a speciation technician to continue to support use of the devices.  </w:t>
      </w:r>
    </w:p>
    <w:p w:rsidRPr="003F5B27" w:rsidR="003F5B27" w:rsidP="003F5B27" w:rsidRDefault="003F5B27" w14:paraId="5F96EA85" w14:textId="77777777">
      <w:pPr>
        <w:spacing w:line="259" w:lineRule="auto"/>
        <w:rPr>
          <w:rFonts w:ascii="Garamond" w:hAnsi="Garamond" w:eastAsiaTheme="minorHAnsi"/>
          <w:sz w:val="24"/>
          <w:szCs w:val="22"/>
        </w:rPr>
      </w:pPr>
    </w:p>
    <w:p w:rsidRPr="003F5B27" w:rsidR="003F5B27" w:rsidP="003F5B27" w:rsidRDefault="003F5B27" w14:paraId="3BAFDED6" w14:textId="77777777">
      <w:pPr>
        <w:spacing w:line="259" w:lineRule="auto"/>
        <w:rPr>
          <w:rFonts w:ascii="Garamond" w:hAnsi="Garamond" w:eastAsiaTheme="minorHAnsi"/>
          <w:sz w:val="24"/>
          <w:szCs w:val="22"/>
        </w:rPr>
      </w:pPr>
      <w:r w:rsidRPr="003F5B27">
        <w:rPr>
          <w:rFonts w:ascii="Garamond" w:hAnsi="Garamond" w:eastAsiaTheme="minorHAnsi"/>
          <w:sz w:val="24"/>
          <w:szCs w:val="22"/>
        </w:rPr>
        <w:t>Total program revenue requirement is $490,000, with AARR at $245,000. No emissions reduction could be estimated for this chapter.</w:t>
      </w:r>
    </w:p>
    <w:p w:rsidRPr="003F5B27" w:rsidR="003F5B27" w:rsidP="003F5B27" w:rsidRDefault="003F5B27" w14:paraId="65048E82" w14:textId="77777777">
      <w:pPr>
        <w:spacing w:line="259" w:lineRule="auto"/>
        <w:rPr>
          <w:rFonts w:ascii="Garamond" w:hAnsi="Garamond" w:eastAsiaTheme="minorHAnsi"/>
          <w:sz w:val="24"/>
          <w:szCs w:val="22"/>
        </w:rPr>
      </w:pPr>
    </w:p>
    <w:p w:rsidRPr="003F5B27" w:rsidR="003F5B27" w:rsidP="003F5B27" w:rsidRDefault="003F5B27" w14:paraId="7ADBF81A" w14:textId="77777777">
      <w:pPr>
        <w:spacing w:line="259" w:lineRule="auto"/>
        <w:rPr>
          <w:rFonts w:ascii="Garamond" w:hAnsi="Garamond" w:eastAsiaTheme="minorHAnsi"/>
          <w:sz w:val="24"/>
          <w:szCs w:val="22"/>
        </w:rPr>
      </w:pPr>
      <w:r w:rsidRPr="003F5B27">
        <w:rPr>
          <w:rFonts w:ascii="Garamond" w:hAnsi="Garamond" w:eastAsiaTheme="minorHAnsi"/>
          <w:sz w:val="24"/>
          <w:szCs w:val="22"/>
        </w:rPr>
        <w:t>RASA Staff approves adoption of Chapter 19.</w:t>
      </w:r>
    </w:p>
    <w:p w:rsidRPr="003F5B27" w:rsidR="003F5B27" w:rsidP="003F5B27" w:rsidRDefault="003F5B27" w14:paraId="63C9E658" w14:textId="77777777">
      <w:pPr>
        <w:spacing w:line="259" w:lineRule="auto"/>
        <w:rPr>
          <w:rFonts w:ascii="Garamond" w:hAnsi="Garamond" w:eastAsiaTheme="minorHAnsi"/>
          <w:sz w:val="24"/>
          <w:szCs w:val="22"/>
        </w:rPr>
      </w:pPr>
    </w:p>
    <w:p w:rsidRPr="003F5B27" w:rsidR="003F5B27" w:rsidP="003F5B27" w:rsidRDefault="003F5B27" w14:paraId="5396A332"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lastRenderedPageBreak/>
        <w:t>CHAPTER 20.  PUBLIC LEAK MAPS</w:t>
      </w:r>
    </w:p>
    <w:p w:rsidRPr="003F5B27" w:rsidR="003F5B27" w:rsidP="003F5B27" w:rsidRDefault="003F5B27" w14:paraId="54FF9E36" w14:textId="77777777">
      <w:pPr>
        <w:spacing w:line="259" w:lineRule="auto"/>
        <w:rPr>
          <w:rFonts w:ascii="Garamond" w:hAnsi="Garamond" w:eastAsiaTheme="minorHAnsi"/>
          <w:sz w:val="24"/>
          <w:szCs w:val="22"/>
        </w:rPr>
      </w:pPr>
      <w:r w:rsidRPr="003F5B27">
        <w:rPr>
          <w:rFonts w:ascii="Garamond" w:hAnsi="Garamond" w:eastAsiaTheme="minorHAnsi"/>
          <w:sz w:val="24"/>
          <w:szCs w:val="22"/>
        </w:rPr>
        <w:t>In accordance with Best Practice 20b, RASA in collaboration with CARB worked with utilities in 2019 to develop a model for public leak maps based on annual leak volumes by zip code. SoCalGas will implement this map at a total revenue requirement of $111,300.</w:t>
      </w:r>
    </w:p>
    <w:p w:rsidRPr="003F5B27" w:rsidR="003F5B27" w:rsidP="003F5B27" w:rsidRDefault="003F5B27" w14:paraId="6D6570C8" w14:textId="77777777">
      <w:pPr>
        <w:spacing w:line="259" w:lineRule="auto"/>
        <w:rPr>
          <w:rFonts w:ascii="Garamond" w:hAnsi="Garamond" w:eastAsiaTheme="minorHAnsi"/>
          <w:sz w:val="24"/>
          <w:szCs w:val="22"/>
        </w:rPr>
      </w:pPr>
    </w:p>
    <w:p w:rsidRPr="003F5B27" w:rsidR="003F5B27" w:rsidP="003F5B27" w:rsidRDefault="003F5B27" w14:paraId="67A48976" w14:textId="77777777">
      <w:pPr>
        <w:spacing w:line="259" w:lineRule="auto"/>
        <w:rPr>
          <w:rFonts w:ascii="Garamond" w:hAnsi="Garamond" w:eastAsiaTheme="minorHAnsi"/>
          <w:sz w:val="24"/>
          <w:szCs w:val="22"/>
        </w:rPr>
      </w:pPr>
      <w:r w:rsidRPr="003F5B27">
        <w:rPr>
          <w:rFonts w:ascii="Garamond" w:hAnsi="Garamond" w:eastAsiaTheme="minorHAnsi"/>
          <w:sz w:val="24"/>
          <w:szCs w:val="22"/>
        </w:rPr>
        <w:t>RASA Staff approves adoption of Chapter 20.</w:t>
      </w:r>
    </w:p>
    <w:p w:rsidRPr="003F5B27" w:rsidR="003F5B27" w:rsidP="003F5B27" w:rsidRDefault="003F5B27" w14:paraId="2E3A67C8" w14:textId="77777777">
      <w:pPr>
        <w:spacing w:line="259" w:lineRule="auto"/>
        <w:rPr>
          <w:rFonts w:ascii="Garamond" w:hAnsi="Garamond" w:eastAsiaTheme="minorHAnsi"/>
          <w:sz w:val="24"/>
          <w:szCs w:val="22"/>
        </w:rPr>
      </w:pPr>
    </w:p>
    <w:p w:rsidRPr="003F5B27" w:rsidR="003F5B27" w:rsidP="003F5B27" w:rsidRDefault="003F5B27" w14:paraId="11AC3D6C"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22.  VAPOR COLLECTION SYSTEM</w:t>
      </w:r>
    </w:p>
    <w:p w:rsidRPr="003F5B27" w:rsidR="003F5B27" w:rsidP="003F5B27" w:rsidRDefault="003F5B27" w14:paraId="17BD22F1" w14:textId="77777777">
      <w:pPr>
        <w:spacing w:line="259" w:lineRule="auto"/>
        <w:rPr>
          <w:rFonts w:ascii="Garamond" w:hAnsi="Garamond" w:eastAsiaTheme="minorHAnsi"/>
          <w:sz w:val="24"/>
          <w:szCs w:val="22"/>
        </w:rPr>
      </w:pPr>
      <w:r w:rsidRPr="003F5B27">
        <w:rPr>
          <w:rFonts w:ascii="Garamond" w:hAnsi="Garamond" w:eastAsiaTheme="minorHAnsi"/>
          <w:sz w:val="24"/>
          <w:szCs w:val="22"/>
        </w:rPr>
        <w:t xml:space="preserve">This chapter addresses Best Practice 23.  A system to collect vented emissions from engine rod packing at the Blythe Compressor Station was funded under the 2018 Plan but construction is not completed.  No new funding is requested for this activity, so no RSE was presented.  This chapter estimates emissions reduction of 12,614 MCF/year, but that amount is not included in the Summary Table of emissions reductions.  SoCalGas clarified with RASA Staff that they need to review actual performance before including this estimate in the reduction totals.     </w:t>
      </w:r>
    </w:p>
    <w:p w:rsidRPr="003F5B27" w:rsidR="003F5B27" w:rsidP="003F5B27" w:rsidRDefault="003F5B27" w14:paraId="4DF22EB3" w14:textId="77777777">
      <w:pPr>
        <w:spacing w:line="259" w:lineRule="auto"/>
        <w:rPr>
          <w:rFonts w:ascii="Garamond" w:hAnsi="Garamond" w:eastAsiaTheme="minorHAnsi"/>
          <w:sz w:val="24"/>
          <w:szCs w:val="22"/>
        </w:rPr>
      </w:pPr>
    </w:p>
    <w:p w:rsidRPr="003F5B27" w:rsidR="003F5B27" w:rsidP="003F5B27" w:rsidRDefault="003F5B27" w14:paraId="5EF656E0" w14:textId="77777777">
      <w:pPr>
        <w:spacing w:line="259" w:lineRule="auto"/>
        <w:rPr>
          <w:rFonts w:ascii="Garamond" w:hAnsi="Garamond" w:eastAsiaTheme="minorHAnsi"/>
          <w:sz w:val="24"/>
          <w:szCs w:val="22"/>
        </w:rPr>
      </w:pPr>
      <w:r w:rsidRPr="003F5B27">
        <w:rPr>
          <w:rFonts w:ascii="Garamond" w:hAnsi="Garamond" w:eastAsiaTheme="minorHAnsi"/>
          <w:sz w:val="24"/>
          <w:szCs w:val="22"/>
        </w:rPr>
        <w:t>No additional funding is requested, so no approval is needed.</w:t>
      </w:r>
    </w:p>
    <w:p w:rsidRPr="003F5B27" w:rsidR="003F5B27" w:rsidP="003F5B27" w:rsidRDefault="003F5B27" w14:paraId="2B6FC504" w14:textId="77777777">
      <w:pPr>
        <w:spacing w:line="259" w:lineRule="auto"/>
        <w:rPr>
          <w:rFonts w:ascii="Garamond" w:hAnsi="Garamond" w:eastAsiaTheme="minorHAnsi"/>
          <w:sz w:val="24"/>
          <w:szCs w:val="22"/>
        </w:rPr>
      </w:pPr>
    </w:p>
    <w:p w:rsidRPr="003F5B27" w:rsidR="003F5B27" w:rsidP="003F5B27" w:rsidRDefault="003F5B27" w14:paraId="79E5E4AB"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CHAPTER 25.  ABOVE GROUND LEAK SURVEY – STORAGE</w:t>
      </w:r>
    </w:p>
    <w:p w:rsidRPr="003F5B27" w:rsidR="003F5B27" w:rsidP="003F5B27" w:rsidRDefault="003F5B27" w14:paraId="0382797F" w14:textId="77777777">
      <w:pPr>
        <w:spacing w:line="259" w:lineRule="auto"/>
        <w:rPr>
          <w:rFonts w:ascii="Garamond" w:hAnsi="Garamond" w:eastAsiaTheme="minorHAnsi"/>
          <w:sz w:val="24"/>
          <w:szCs w:val="22"/>
        </w:rPr>
      </w:pPr>
      <w:r w:rsidRPr="003F5B27">
        <w:rPr>
          <w:rFonts w:ascii="Garamond" w:hAnsi="Garamond" w:eastAsiaTheme="minorHAnsi"/>
          <w:sz w:val="24"/>
          <w:szCs w:val="22"/>
        </w:rPr>
        <w:t>This chapter proposes to employ additional personnel to make repairs at gas storage sites more promptly than required by CARB regulations. For example, leaks in the largest category of 50,000 parts per million (ppm) will be repaired in less than one day, instead of the two days allowed by regulations. No reduction estimate is provided since there is no history to review. Total program revenue requirement is $3.1 million with AARR of $1.5 million.</w:t>
      </w:r>
    </w:p>
    <w:p w:rsidRPr="003F5B27" w:rsidR="003F5B27" w:rsidP="003F5B27" w:rsidRDefault="003F5B27" w14:paraId="3F7BBCE7" w14:textId="77777777">
      <w:pPr>
        <w:spacing w:line="259" w:lineRule="auto"/>
        <w:rPr>
          <w:rFonts w:ascii="Garamond" w:hAnsi="Garamond" w:eastAsiaTheme="minorHAnsi"/>
          <w:sz w:val="24"/>
          <w:szCs w:val="22"/>
        </w:rPr>
      </w:pPr>
    </w:p>
    <w:p w:rsidRPr="003F5B27" w:rsidR="003F5B27" w:rsidP="003F5B27" w:rsidRDefault="003F5B27" w14:paraId="090AB380" w14:textId="77777777">
      <w:pPr>
        <w:spacing w:line="259" w:lineRule="auto"/>
        <w:rPr>
          <w:rFonts w:ascii="Garamond" w:hAnsi="Garamond" w:eastAsiaTheme="minorHAnsi"/>
          <w:sz w:val="24"/>
          <w:szCs w:val="22"/>
        </w:rPr>
      </w:pPr>
      <w:r w:rsidRPr="003F5B27">
        <w:rPr>
          <w:rFonts w:ascii="Garamond" w:hAnsi="Garamond" w:eastAsiaTheme="minorHAnsi"/>
          <w:sz w:val="24"/>
          <w:szCs w:val="22"/>
        </w:rPr>
        <w:t>SoCalGas will maintain records of the actual emission abatement achieved.  RASA Staff expect that a cost-effectiveness review before the next Compliance Plan will indicate whether the measure should be continued.</w:t>
      </w:r>
    </w:p>
    <w:p w:rsidRPr="003F5B27" w:rsidR="003F5B27" w:rsidP="003F5B27" w:rsidRDefault="003F5B27" w14:paraId="7A94F735" w14:textId="77777777">
      <w:pPr>
        <w:spacing w:line="259" w:lineRule="auto"/>
        <w:rPr>
          <w:rFonts w:ascii="Garamond" w:hAnsi="Garamond" w:eastAsiaTheme="minorHAnsi"/>
          <w:sz w:val="24"/>
          <w:szCs w:val="22"/>
        </w:rPr>
      </w:pPr>
    </w:p>
    <w:p w:rsidRPr="003F5B27" w:rsidR="003F5B27" w:rsidP="003F5B27" w:rsidRDefault="003F5B27" w14:paraId="3FDCB7EC" w14:textId="77777777">
      <w:pPr>
        <w:spacing w:line="259" w:lineRule="auto"/>
        <w:rPr>
          <w:rFonts w:ascii="Garamond" w:hAnsi="Garamond" w:eastAsiaTheme="minorHAnsi"/>
          <w:sz w:val="24"/>
          <w:szCs w:val="22"/>
        </w:rPr>
      </w:pPr>
      <w:r w:rsidRPr="003F5B27">
        <w:rPr>
          <w:rFonts w:ascii="Garamond" w:hAnsi="Garamond" w:eastAsiaTheme="minorHAnsi"/>
          <w:sz w:val="24"/>
          <w:szCs w:val="22"/>
        </w:rPr>
        <w:t>RASA Staff approves adoption of Chapter 25.</w:t>
      </w:r>
    </w:p>
    <w:p w:rsidRPr="003F5B27" w:rsidR="003F5B27" w:rsidP="003F5B27" w:rsidRDefault="003F5B27" w14:paraId="1188A264" w14:textId="77777777">
      <w:pPr>
        <w:spacing w:line="259" w:lineRule="auto"/>
        <w:rPr>
          <w:rFonts w:ascii="Garamond" w:hAnsi="Garamond" w:eastAsiaTheme="minorHAnsi"/>
          <w:sz w:val="24"/>
          <w:szCs w:val="22"/>
        </w:rPr>
      </w:pPr>
    </w:p>
    <w:p w:rsidRPr="003F5B27" w:rsidR="003F5B27" w:rsidP="003F5B27" w:rsidRDefault="003F5B27" w14:paraId="41CA9F02" w14:textId="77777777">
      <w:pPr>
        <w:keepNext/>
        <w:keepLines/>
        <w:spacing w:before="40" w:line="259" w:lineRule="auto"/>
        <w:outlineLvl w:val="1"/>
        <w:rPr>
          <w:rFonts w:asciiTheme="majorHAnsi" w:hAnsiTheme="majorHAnsi" w:eastAsiaTheme="majorEastAsia" w:cstheme="majorBidi"/>
          <w:color w:val="2F5496" w:themeColor="accent1" w:themeShade="BF"/>
          <w:szCs w:val="26"/>
        </w:rPr>
      </w:pPr>
      <w:r w:rsidRPr="003F5B27">
        <w:rPr>
          <w:rFonts w:asciiTheme="majorHAnsi" w:hAnsiTheme="majorHAnsi" w:eastAsiaTheme="majorEastAsia" w:cstheme="majorBidi"/>
          <w:color w:val="2F5496" w:themeColor="accent1" w:themeShade="BF"/>
          <w:szCs w:val="26"/>
        </w:rPr>
        <w:t>REMAINING CHAPTERS 21-24, 26-28.</w:t>
      </w:r>
    </w:p>
    <w:p w:rsidRPr="003F5B27" w:rsidR="003F5B27" w:rsidP="003F5B27" w:rsidRDefault="003F5B27" w14:paraId="1542F0E9" w14:textId="77777777">
      <w:pPr>
        <w:spacing w:line="259" w:lineRule="auto"/>
        <w:rPr>
          <w:rFonts w:ascii="Garamond" w:hAnsi="Garamond" w:eastAsiaTheme="minorHAnsi"/>
          <w:sz w:val="24"/>
          <w:szCs w:val="22"/>
        </w:rPr>
      </w:pPr>
      <w:r w:rsidRPr="003F5B27">
        <w:rPr>
          <w:rFonts w:ascii="Garamond" w:hAnsi="Garamond" w:eastAsiaTheme="minorHAnsi"/>
          <w:sz w:val="24"/>
          <w:szCs w:val="22"/>
        </w:rPr>
        <w:t>The remaining chapters do not require approval to maintain measures that are already in effect and have no funding request.</w:t>
      </w:r>
    </w:p>
    <w:p w:rsidRPr="003F5B27" w:rsidR="003F5B27" w:rsidP="003F5B27" w:rsidRDefault="003F5B27" w14:paraId="4420E4AC" w14:textId="77777777">
      <w:pPr>
        <w:spacing w:line="259" w:lineRule="auto"/>
        <w:rPr>
          <w:rFonts w:ascii="Garamond" w:hAnsi="Garamond" w:eastAsiaTheme="minorHAnsi" w:cstheme="minorBidi"/>
          <w:b/>
          <w:bCs/>
          <w:sz w:val="24"/>
          <w:szCs w:val="22"/>
        </w:rPr>
      </w:pPr>
    </w:p>
    <w:p w:rsidRPr="003F5B27" w:rsidR="003F5B27" w:rsidP="003F5B27" w:rsidRDefault="003F5B27" w14:paraId="3CF18602" w14:textId="77777777">
      <w:pPr>
        <w:keepNext/>
        <w:keepLines/>
        <w:spacing w:before="240" w:line="259" w:lineRule="auto"/>
        <w:outlineLvl w:val="0"/>
        <w:rPr>
          <w:rFonts w:ascii="Century Gothic" w:hAnsi="Century Gothic" w:eastAsiaTheme="majorEastAsia" w:cstheme="majorBidi"/>
          <w:color w:val="2F5496" w:themeColor="accent1" w:themeShade="BF"/>
          <w:sz w:val="28"/>
          <w:szCs w:val="32"/>
        </w:rPr>
      </w:pPr>
      <w:r w:rsidRPr="003F5B27">
        <w:rPr>
          <w:rFonts w:ascii="Century Gothic" w:hAnsi="Century Gothic" w:eastAsiaTheme="majorEastAsia" w:cstheme="majorBidi"/>
          <w:color w:val="2F5496" w:themeColor="accent1" w:themeShade="BF"/>
          <w:sz w:val="28"/>
          <w:szCs w:val="32"/>
        </w:rPr>
        <w:t>CONCLUSION</w:t>
      </w:r>
    </w:p>
    <w:p w:rsidRPr="003F5B27" w:rsidR="003F5B27" w:rsidP="003F5B27" w:rsidRDefault="003F5B27" w14:paraId="18AEC74E" w14:textId="77777777">
      <w:pPr>
        <w:spacing w:line="259" w:lineRule="auto"/>
        <w:rPr>
          <w:rFonts w:ascii="Garamond" w:hAnsi="Garamond" w:eastAsiaTheme="minorHAnsi" w:cstheme="minorBidi"/>
          <w:sz w:val="24"/>
          <w:szCs w:val="22"/>
        </w:rPr>
      </w:pPr>
      <w:r w:rsidRPr="003F5B27">
        <w:rPr>
          <w:rFonts w:ascii="Garamond" w:hAnsi="Garamond" w:eastAsiaTheme="minorHAnsi" w:cstheme="minorBidi"/>
          <w:sz w:val="24"/>
          <w:szCs w:val="22"/>
        </w:rPr>
        <w:t>RASA Staff have reviewed all the chapters of the 2020 Compliance Plan for consistency with the 26 Best Practices, Cost Effectiveness, and qualitative safety benefits. RASA maintained its authority to approve these plans after reorganization from the Safety Enforcement Division to the Safety Policy Division.</w:t>
      </w:r>
    </w:p>
    <w:p w:rsidRPr="003F5B27" w:rsidR="003F5B27" w:rsidP="003F5B27" w:rsidRDefault="003F5B27" w14:paraId="0420C73E" w14:textId="77777777">
      <w:pPr>
        <w:spacing w:line="259" w:lineRule="auto"/>
        <w:rPr>
          <w:rFonts w:ascii="Garamond" w:hAnsi="Garamond" w:eastAsiaTheme="minorHAnsi" w:cstheme="minorBidi"/>
          <w:sz w:val="24"/>
          <w:szCs w:val="22"/>
        </w:rPr>
      </w:pPr>
    </w:p>
    <w:p w:rsidRPr="003F5B27" w:rsidR="003F5B27" w:rsidP="003F5B27" w:rsidRDefault="003F5B27" w14:paraId="78884912" w14:textId="77777777">
      <w:pPr>
        <w:spacing w:line="259" w:lineRule="auto"/>
        <w:rPr>
          <w:rFonts w:ascii="Garamond" w:hAnsi="Garamond" w:eastAsiaTheme="minorHAnsi" w:cstheme="minorBidi"/>
          <w:sz w:val="24"/>
          <w:szCs w:val="22"/>
        </w:rPr>
        <w:sectPr w:rsidRPr="003F5B27" w:rsidR="003F5B27">
          <w:pgSz w:w="12240" w:h="15840"/>
          <w:pgMar w:top="1440" w:right="1440" w:bottom="1440" w:left="1440" w:header="720" w:footer="720" w:gutter="0"/>
          <w:cols w:space="720"/>
          <w:docGrid w:linePitch="360"/>
        </w:sectPr>
      </w:pPr>
      <w:r w:rsidRPr="003F5B27">
        <w:rPr>
          <w:rFonts w:ascii="Garamond" w:hAnsi="Garamond" w:eastAsiaTheme="minorHAnsi" w:cstheme="minorBidi"/>
          <w:sz w:val="24"/>
          <w:szCs w:val="22"/>
        </w:rPr>
        <w:t>RASA approves the SoCalGas Amended SB 1371 Natural Gas Leak Abatement Compliance Plan in full.</w:t>
      </w:r>
    </w:p>
    <w:p w:rsidRPr="003F5B27" w:rsidR="003F5B27" w:rsidP="003F5B27" w:rsidRDefault="003F5B27" w14:paraId="1F68368B" w14:textId="77777777">
      <w:pPr>
        <w:keepNext/>
        <w:keepLines/>
        <w:spacing w:before="240" w:line="259" w:lineRule="auto"/>
        <w:outlineLvl w:val="0"/>
        <w:rPr>
          <w:rFonts w:ascii="Century Gothic" w:hAnsi="Century Gothic" w:eastAsiaTheme="majorEastAsia" w:cstheme="majorBidi"/>
          <w:b/>
          <w:bCs/>
          <w:color w:val="2F5496" w:themeColor="accent1" w:themeShade="BF"/>
          <w:sz w:val="28"/>
          <w:szCs w:val="32"/>
        </w:rPr>
      </w:pPr>
      <w:r w:rsidRPr="003F5B27">
        <w:rPr>
          <w:rFonts w:ascii="Century Gothic" w:hAnsi="Century Gothic" w:eastAsiaTheme="majorEastAsia" w:cstheme="majorBidi"/>
          <w:color w:val="2F5496" w:themeColor="accent1" w:themeShade="BF"/>
          <w:sz w:val="28"/>
          <w:szCs w:val="32"/>
        </w:rPr>
        <w:lastRenderedPageBreak/>
        <w:t>Appendix A: Estimated Emissions reductions to 2025</w:t>
      </w:r>
    </w:p>
    <w:p w:rsidRPr="003F5B27" w:rsidR="003F5B27" w:rsidP="003F5B27" w:rsidRDefault="003F5B27" w14:paraId="7C0147D6" w14:textId="77777777">
      <w:pPr>
        <w:spacing w:line="360" w:lineRule="auto"/>
        <w:jc w:val="center"/>
        <w:rPr>
          <w:rFonts w:ascii="Garamond" w:hAnsi="Garamond" w:eastAsiaTheme="minorHAnsi" w:cstheme="minorBidi"/>
          <w:b/>
          <w:bCs/>
          <w:sz w:val="24"/>
          <w:szCs w:val="22"/>
          <w:vertAlign w:val="superscript"/>
        </w:rPr>
      </w:pPr>
      <w:r w:rsidRPr="003F5B27">
        <w:rPr>
          <w:rFonts w:ascii="Garamond" w:hAnsi="Garamond" w:eastAsiaTheme="minorHAnsi" w:cstheme="minorBidi"/>
          <w:b/>
          <w:bCs/>
          <w:sz w:val="24"/>
          <w:szCs w:val="22"/>
        </w:rPr>
        <w:t>TABLE 2. ESTIMATED EMISSIONS REDUCTION ESTIMATES to 2025</w:t>
      </w:r>
      <w:r w:rsidRPr="003F5B27">
        <w:rPr>
          <w:rFonts w:ascii="Garamond" w:hAnsi="Garamond" w:eastAsiaTheme="minorHAnsi" w:cstheme="minorBidi"/>
          <w:b/>
          <w:bCs/>
          <w:sz w:val="24"/>
          <w:szCs w:val="22"/>
          <w:vertAlign w:val="superscript"/>
        </w:rPr>
        <w:t>1</w:t>
      </w:r>
    </w:p>
    <w:tbl>
      <w:tblPr>
        <w:tblW w:w="13040" w:type="dxa"/>
        <w:tblLook w:val="04A0" w:firstRow="1" w:lastRow="0" w:firstColumn="1" w:lastColumn="0" w:noHBand="0" w:noVBand="1"/>
      </w:tblPr>
      <w:tblGrid>
        <w:gridCol w:w="3770"/>
        <w:gridCol w:w="1980"/>
        <w:gridCol w:w="1890"/>
        <w:gridCol w:w="1800"/>
        <w:gridCol w:w="1800"/>
        <w:gridCol w:w="1800"/>
      </w:tblGrid>
      <w:tr w:rsidRPr="003F5B27" w:rsidR="003F5B27" w:rsidTr="003C64EA" w14:paraId="4B9BE30E" w14:textId="77777777">
        <w:trPr>
          <w:trHeight w:val="870"/>
        </w:trPr>
        <w:tc>
          <w:tcPr>
            <w:tcW w:w="3770" w:type="dxa"/>
            <w:tcBorders>
              <w:top w:val="single" w:color="000000" w:sz="8" w:space="0"/>
              <w:left w:val="single" w:color="000000" w:sz="8" w:space="0"/>
              <w:bottom w:val="single" w:color="auto" w:sz="8" w:space="0"/>
              <w:right w:val="single" w:color="000000" w:sz="8" w:space="0"/>
            </w:tcBorders>
            <w:shd w:val="clear" w:color="000000" w:fill="AEAAAA"/>
            <w:vAlign w:val="center"/>
            <w:hideMark/>
          </w:tcPr>
          <w:p w:rsidRPr="003F5B27" w:rsidR="003F5B27" w:rsidP="003F5B27" w:rsidRDefault="003F5B27" w14:paraId="582DD8AC" w14:textId="77777777">
            <w:pPr>
              <w:jc w:val="center"/>
              <w:rPr>
                <w:rFonts w:ascii="Times New Roman" w:hAnsi="Times New Roman"/>
                <w:b/>
                <w:bCs/>
                <w:color w:val="000000"/>
                <w:sz w:val="24"/>
                <w:szCs w:val="22"/>
              </w:rPr>
            </w:pPr>
            <w:r w:rsidRPr="003F5B27">
              <w:rPr>
                <w:rFonts w:ascii="Times New Roman" w:hAnsi="Times New Roman"/>
                <w:b/>
                <w:bCs/>
                <w:color w:val="000000"/>
                <w:sz w:val="24"/>
                <w:szCs w:val="22"/>
              </w:rPr>
              <w:t>Chapter</w:t>
            </w:r>
          </w:p>
        </w:tc>
        <w:tc>
          <w:tcPr>
            <w:tcW w:w="1980" w:type="dxa"/>
            <w:tcBorders>
              <w:top w:val="single" w:color="000000" w:sz="8" w:space="0"/>
              <w:left w:val="nil"/>
              <w:bottom w:val="single" w:color="auto" w:sz="8" w:space="0"/>
              <w:right w:val="single" w:color="000000" w:sz="8" w:space="0"/>
            </w:tcBorders>
            <w:shd w:val="clear" w:color="000000" w:fill="AEAAAA"/>
            <w:vAlign w:val="center"/>
          </w:tcPr>
          <w:p w:rsidRPr="003F5B27" w:rsidR="003F5B27" w:rsidP="003F5B27" w:rsidRDefault="003F5B27" w14:paraId="71DE291B" w14:textId="77777777">
            <w:pPr>
              <w:jc w:val="center"/>
              <w:rPr>
                <w:rFonts w:ascii="Times New Roman" w:hAnsi="Times New Roman"/>
                <w:b/>
                <w:bCs/>
                <w:color w:val="000000"/>
                <w:sz w:val="24"/>
                <w:szCs w:val="22"/>
              </w:rPr>
            </w:pPr>
            <w:r w:rsidRPr="003F5B27">
              <w:rPr>
                <w:rFonts w:ascii="Times New Roman" w:hAnsi="Times New Roman"/>
                <w:b/>
                <w:bCs/>
                <w:color w:val="000000"/>
                <w:sz w:val="24"/>
                <w:szCs w:val="22"/>
              </w:rPr>
              <w:t xml:space="preserve">2025 Emissions Reduction, MCF </w:t>
            </w:r>
          </w:p>
        </w:tc>
        <w:tc>
          <w:tcPr>
            <w:tcW w:w="1890" w:type="dxa"/>
            <w:tcBorders>
              <w:top w:val="single" w:color="000000" w:sz="8" w:space="0"/>
              <w:left w:val="nil"/>
              <w:bottom w:val="single" w:color="auto" w:sz="8" w:space="0"/>
              <w:right w:val="single" w:color="000000" w:sz="8" w:space="0"/>
            </w:tcBorders>
            <w:shd w:val="clear" w:color="000000" w:fill="AEAAAA"/>
            <w:vAlign w:val="center"/>
          </w:tcPr>
          <w:p w:rsidRPr="003F5B27" w:rsidR="003F5B27" w:rsidP="003F5B27" w:rsidRDefault="003F5B27" w14:paraId="72DBDCDA" w14:textId="77777777">
            <w:pPr>
              <w:jc w:val="center"/>
              <w:rPr>
                <w:rFonts w:ascii="Times New Roman" w:hAnsi="Times New Roman"/>
                <w:b/>
                <w:bCs/>
                <w:color w:val="000000"/>
                <w:sz w:val="24"/>
                <w:szCs w:val="22"/>
              </w:rPr>
            </w:pPr>
            <w:r w:rsidRPr="003F5B27">
              <w:rPr>
                <w:rFonts w:ascii="Times New Roman" w:hAnsi="Times New Roman"/>
                <w:b/>
                <w:bCs/>
                <w:color w:val="000000"/>
                <w:sz w:val="24"/>
                <w:szCs w:val="22"/>
              </w:rPr>
              <w:t xml:space="preserve">Avg Annual Revenue </w:t>
            </w:r>
            <w:proofErr w:type="spellStart"/>
            <w:r w:rsidRPr="003F5B27">
              <w:rPr>
                <w:rFonts w:ascii="Times New Roman" w:hAnsi="Times New Roman"/>
                <w:b/>
                <w:bCs/>
                <w:color w:val="000000"/>
                <w:sz w:val="24"/>
                <w:szCs w:val="22"/>
              </w:rPr>
              <w:t>Rqt</w:t>
            </w:r>
            <w:proofErr w:type="spellEnd"/>
            <w:r w:rsidRPr="003F5B27">
              <w:rPr>
                <w:rFonts w:ascii="Times New Roman" w:hAnsi="Times New Roman"/>
                <w:b/>
                <w:bCs/>
                <w:color w:val="000000"/>
                <w:sz w:val="24"/>
                <w:szCs w:val="22"/>
              </w:rPr>
              <w:t>, $Million</w:t>
            </w:r>
          </w:p>
        </w:tc>
        <w:tc>
          <w:tcPr>
            <w:tcW w:w="1800" w:type="dxa"/>
            <w:tcBorders>
              <w:top w:val="single" w:color="000000" w:sz="8" w:space="0"/>
              <w:left w:val="nil"/>
              <w:bottom w:val="single" w:color="auto" w:sz="8" w:space="0"/>
              <w:right w:val="single" w:color="000000" w:sz="8" w:space="0"/>
            </w:tcBorders>
            <w:shd w:val="clear" w:color="000000" w:fill="AEAAAA"/>
            <w:vAlign w:val="center"/>
          </w:tcPr>
          <w:p w:rsidRPr="003F5B27" w:rsidR="003F5B27" w:rsidP="003F5B27" w:rsidRDefault="003F5B27" w14:paraId="77B494B2" w14:textId="77777777">
            <w:pPr>
              <w:jc w:val="center"/>
              <w:rPr>
                <w:rFonts w:ascii="Times New Roman" w:hAnsi="Times New Roman"/>
                <w:b/>
                <w:bCs/>
                <w:color w:val="000000"/>
                <w:sz w:val="24"/>
                <w:szCs w:val="22"/>
              </w:rPr>
            </w:pPr>
            <w:r w:rsidRPr="003F5B27">
              <w:rPr>
                <w:rFonts w:ascii="Times New Roman" w:hAnsi="Times New Roman"/>
                <w:b/>
                <w:bCs/>
                <w:color w:val="000000"/>
                <w:sz w:val="24"/>
                <w:szCs w:val="22"/>
              </w:rPr>
              <w:t>% Reduction from Baseline</w:t>
            </w:r>
          </w:p>
        </w:tc>
        <w:tc>
          <w:tcPr>
            <w:tcW w:w="1800" w:type="dxa"/>
            <w:tcBorders>
              <w:top w:val="single" w:color="000000" w:sz="8" w:space="0"/>
              <w:left w:val="nil"/>
              <w:bottom w:val="single" w:color="auto" w:sz="8" w:space="0"/>
              <w:right w:val="single" w:color="auto" w:sz="8" w:space="0"/>
            </w:tcBorders>
            <w:shd w:val="clear" w:color="000000" w:fill="AEAAAA"/>
            <w:vAlign w:val="center"/>
          </w:tcPr>
          <w:p w:rsidRPr="003F5B27" w:rsidR="003F5B27" w:rsidP="003F5B27" w:rsidRDefault="003F5B27" w14:paraId="65B97A75" w14:textId="77777777">
            <w:pPr>
              <w:jc w:val="center"/>
              <w:rPr>
                <w:rFonts w:ascii="Times New Roman" w:hAnsi="Times New Roman"/>
                <w:b/>
                <w:bCs/>
                <w:color w:val="000000"/>
                <w:sz w:val="24"/>
                <w:szCs w:val="22"/>
              </w:rPr>
            </w:pPr>
            <w:r w:rsidRPr="003F5B27">
              <w:rPr>
                <w:rFonts w:ascii="Times New Roman" w:hAnsi="Times New Roman"/>
                <w:b/>
                <w:bCs/>
                <w:color w:val="000000"/>
                <w:sz w:val="24"/>
                <w:szCs w:val="22"/>
              </w:rPr>
              <w:t>Standard Cost Effectiveness ($/MCF)</w:t>
            </w:r>
          </w:p>
        </w:tc>
        <w:tc>
          <w:tcPr>
            <w:tcW w:w="1800" w:type="dxa"/>
            <w:tcBorders>
              <w:top w:val="single" w:color="000000" w:sz="8" w:space="0"/>
              <w:left w:val="nil"/>
              <w:bottom w:val="single" w:color="auto" w:sz="8" w:space="0"/>
              <w:right w:val="single" w:color="auto" w:sz="8" w:space="0"/>
            </w:tcBorders>
            <w:shd w:val="clear" w:color="000000" w:fill="AEAAAA"/>
            <w:vAlign w:val="center"/>
          </w:tcPr>
          <w:p w:rsidRPr="003F5B27" w:rsidR="003F5B27" w:rsidP="003F5B27" w:rsidRDefault="003F5B27" w14:paraId="179BB5D8" w14:textId="77777777">
            <w:pPr>
              <w:jc w:val="center"/>
              <w:rPr>
                <w:rFonts w:ascii="Times New Roman" w:hAnsi="Times New Roman"/>
                <w:b/>
                <w:bCs/>
                <w:color w:val="000000"/>
                <w:sz w:val="24"/>
                <w:szCs w:val="22"/>
              </w:rPr>
            </w:pPr>
            <w:r w:rsidRPr="003F5B27">
              <w:rPr>
                <w:rFonts w:ascii="Times New Roman" w:hAnsi="Times New Roman"/>
                <w:b/>
                <w:bCs/>
                <w:color w:val="000000"/>
                <w:sz w:val="24"/>
                <w:szCs w:val="22"/>
              </w:rPr>
              <w:t>Net</w:t>
            </w:r>
            <w:r w:rsidRPr="003F5B27">
              <w:rPr>
                <w:rFonts w:ascii="Garamond" w:hAnsi="Garamond"/>
                <w:color w:val="000000"/>
                <w:sz w:val="24"/>
                <w:szCs w:val="22"/>
                <w:vertAlign w:val="superscript"/>
              </w:rPr>
              <w:t>8</w:t>
            </w:r>
            <w:r w:rsidRPr="003F5B27">
              <w:rPr>
                <w:rFonts w:ascii="Times New Roman" w:hAnsi="Times New Roman"/>
                <w:b/>
                <w:bCs/>
                <w:color w:val="000000"/>
                <w:sz w:val="24"/>
                <w:szCs w:val="22"/>
              </w:rPr>
              <w:t xml:space="preserve"> Cost Effectiveness ($/MCF)</w:t>
            </w:r>
          </w:p>
        </w:tc>
      </w:tr>
      <w:tr w:rsidRPr="003F5B27" w:rsidR="003F5B27" w:rsidTr="003C64EA" w14:paraId="6C47B400" w14:textId="77777777">
        <w:trPr>
          <w:trHeight w:val="525"/>
        </w:trPr>
        <w:tc>
          <w:tcPr>
            <w:tcW w:w="3770" w:type="dxa"/>
            <w:tcBorders>
              <w:top w:val="nil"/>
              <w:left w:val="single" w:color="auto" w:sz="8" w:space="0"/>
              <w:bottom w:val="single" w:color="auto" w:sz="8" w:space="0"/>
              <w:right w:val="single" w:color="auto" w:sz="8" w:space="0"/>
            </w:tcBorders>
            <w:shd w:val="clear" w:color="auto" w:fill="auto"/>
            <w:vAlign w:val="center"/>
            <w:hideMark/>
          </w:tcPr>
          <w:p w:rsidRPr="003F5B27" w:rsidR="003F5B27" w:rsidP="003F5B27" w:rsidRDefault="003F5B27" w14:paraId="366263C8" w14:textId="77777777">
            <w:pPr>
              <w:rPr>
                <w:rFonts w:ascii="Times New Roman" w:hAnsi="Times New Roman"/>
                <w:color w:val="000000"/>
                <w:sz w:val="20"/>
              </w:rPr>
            </w:pPr>
            <w:r w:rsidRPr="003F5B27">
              <w:rPr>
                <w:rFonts w:ascii="Times New Roman" w:hAnsi="Times New Roman"/>
                <w:color w:val="000000"/>
                <w:sz w:val="20"/>
              </w:rPr>
              <w:t>Chapter 1 - Leak Inventory Reduction</w:t>
            </w:r>
          </w:p>
        </w:tc>
        <w:tc>
          <w:tcPr>
            <w:tcW w:w="198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779AC55F" w14:textId="77777777">
            <w:pPr>
              <w:jc w:val="center"/>
              <w:rPr>
                <w:rFonts w:ascii="Times New Roman" w:hAnsi="Times New Roman"/>
                <w:color w:val="000000"/>
                <w:sz w:val="20"/>
              </w:rPr>
            </w:pPr>
            <w:r w:rsidRPr="003F5B27">
              <w:rPr>
                <w:rFonts w:ascii="Times New Roman" w:hAnsi="Times New Roman"/>
                <w:color w:val="000000"/>
                <w:sz w:val="20"/>
              </w:rPr>
              <w:t>240,769</w:t>
            </w:r>
          </w:p>
        </w:tc>
        <w:tc>
          <w:tcPr>
            <w:tcW w:w="189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0792C5ED" w14:textId="77777777">
            <w:pPr>
              <w:jc w:val="center"/>
              <w:rPr>
                <w:rFonts w:ascii="Times New Roman" w:hAnsi="Times New Roman"/>
                <w:color w:val="000000"/>
                <w:sz w:val="20"/>
              </w:rPr>
            </w:pPr>
            <w:r w:rsidRPr="003F5B27">
              <w:rPr>
                <w:rFonts w:ascii="Times New Roman" w:hAnsi="Times New Roman"/>
                <w:color w:val="000000"/>
                <w:sz w:val="20"/>
              </w:rPr>
              <w:t>23.8</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24BFC4AE" w14:textId="77777777">
            <w:pPr>
              <w:jc w:val="center"/>
              <w:rPr>
                <w:rFonts w:ascii="Times New Roman" w:hAnsi="Times New Roman"/>
                <w:color w:val="000000"/>
                <w:sz w:val="20"/>
              </w:rPr>
            </w:pPr>
            <w:r w:rsidRPr="003F5B27">
              <w:rPr>
                <w:rFonts w:ascii="Times New Roman" w:hAnsi="Times New Roman"/>
                <w:color w:val="000000"/>
                <w:sz w:val="20"/>
              </w:rPr>
              <w:t>8.685</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6BE907CC" w14:textId="77777777">
            <w:pPr>
              <w:jc w:val="center"/>
              <w:rPr>
                <w:rFonts w:ascii="Times New Roman" w:hAnsi="Times New Roman"/>
                <w:color w:val="000000"/>
                <w:sz w:val="20"/>
              </w:rPr>
            </w:pPr>
            <w:r w:rsidRPr="003F5B27">
              <w:rPr>
                <w:rFonts w:ascii="Times New Roman" w:hAnsi="Times New Roman"/>
                <w:color w:val="000000"/>
                <w:sz w:val="20"/>
              </w:rPr>
              <w:t>78</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65DD0CFA" w14:textId="77777777">
            <w:pPr>
              <w:jc w:val="center"/>
              <w:rPr>
                <w:rFonts w:ascii="Times New Roman" w:hAnsi="Times New Roman"/>
                <w:color w:val="000000"/>
                <w:sz w:val="20"/>
              </w:rPr>
            </w:pPr>
            <w:r w:rsidRPr="003F5B27">
              <w:rPr>
                <w:rFonts w:ascii="Times New Roman" w:hAnsi="Times New Roman"/>
                <w:color w:val="000000"/>
                <w:sz w:val="20"/>
              </w:rPr>
              <w:t>56</w:t>
            </w:r>
          </w:p>
        </w:tc>
      </w:tr>
      <w:tr w:rsidRPr="003F5B27" w:rsidR="003F5B27" w:rsidTr="003C64EA" w14:paraId="69E01A9F" w14:textId="77777777">
        <w:trPr>
          <w:trHeight w:val="525"/>
        </w:trPr>
        <w:tc>
          <w:tcPr>
            <w:tcW w:w="3770" w:type="dxa"/>
            <w:tcBorders>
              <w:top w:val="nil"/>
              <w:left w:val="single" w:color="auto" w:sz="8" w:space="0"/>
              <w:bottom w:val="single" w:color="auto" w:sz="8" w:space="0"/>
              <w:right w:val="single" w:color="auto" w:sz="8" w:space="0"/>
            </w:tcBorders>
            <w:shd w:val="clear" w:color="auto" w:fill="auto"/>
            <w:vAlign w:val="center"/>
            <w:hideMark/>
          </w:tcPr>
          <w:p w:rsidRPr="003F5B27" w:rsidR="003F5B27" w:rsidP="003F5B27" w:rsidRDefault="003F5B27" w14:paraId="15D15465" w14:textId="77777777">
            <w:pPr>
              <w:rPr>
                <w:rFonts w:ascii="Times New Roman" w:hAnsi="Times New Roman"/>
                <w:color w:val="000000"/>
                <w:sz w:val="20"/>
              </w:rPr>
            </w:pPr>
            <w:r w:rsidRPr="003F5B27">
              <w:rPr>
                <w:rFonts w:ascii="Times New Roman" w:hAnsi="Times New Roman"/>
                <w:color w:val="000000"/>
                <w:sz w:val="20"/>
              </w:rPr>
              <w:t>Chapter 2 - Increased Leak Survey</w:t>
            </w:r>
          </w:p>
        </w:tc>
        <w:tc>
          <w:tcPr>
            <w:tcW w:w="198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1A9F6BDA" w14:textId="77777777">
            <w:pPr>
              <w:jc w:val="center"/>
              <w:rPr>
                <w:rFonts w:ascii="Times New Roman" w:hAnsi="Times New Roman"/>
                <w:color w:val="000000"/>
                <w:sz w:val="20"/>
              </w:rPr>
            </w:pPr>
            <w:r w:rsidRPr="003F5B27">
              <w:rPr>
                <w:rFonts w:ascii="Times New Roman" w:hAnsi="Times New Roman"/>
                <w:color w:val="000000"/>
                <w:sz w:val="20"/>
              </w:rPr>
              <w:t>133,017</w:t>
            </w:r>
          </w:p>
        </w:tc>
        <w:tc>
          <w:tcPr>
            <w:tcW w:w="189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70F956C5" w14:textId="77777777">
            <w:pPr>
              <w:jc w:val="center"/>
              <w:rPr>
                <w:rFonts w:ascii="Times New Roman" w:hAnsi="Times New Roman"/>
                <w:color w:val="000000"/>
                <w:sz w:val="20"/>
              </w:rPr>
            </w:pPr>
            <w:r w:rsidRPr="003F5B27">
              <w:rPr>
                <w:rFonts w:ascii="Times New Roman" w:hAnsi="Times New Roman"/>
                <w:color w:val="000000"/>
                <w:sz w:val="20"/>
              </w:rPr>
              <w:t>5.0</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2882B5D5" w14:textId="77777777">
            <w:pPr>
              <w:jc w:val="center"/>
              <w:rPr>
                <w:rFonts w:ascii="Times New Roman" w:hAnsi="Times New Roman"/>
                <w:color w:val="000000"/>
                <w:sz w:val="20"/>
              </w:rPr>
            </w:pPr>
            <w:r w:rsidRPr="003F5B27">
              <w:rPr>
                <w:rFonts w:ascii="Times New Roman" w:hAnsi="Times New Roman"/>
                <w:color w:val="000000"/>
                <w:sz w:val="20"/>
              </w:rPr>
              <w:t>4.798</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3986865E" w14:textId="77777777">
            <w:pPr>
              <w:jc w:val="center"/>
              <w:rPr>
                <w:rFonts w:ascii="Times New Roman" w:hAnsi="Times New Roman"/>
                <w:color w:val="000000"/>
                <w:sz w:val="20"/>
              </w:rPr>
            </w:pPr>
            <w:r w:rsidRPr="003F5B27">
              <w:rPr>
                <w:rFonts w:ascii="Times New Roman" w:hAnsi="Times New Roman"/>
                <w:color w:val="000000"/>
                <w:sz w:val="20"/>
              </w:rPr>
              <w:t>26</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78DDA3C1" w14:textId="77777777">
            <w:pPr>
              <w:jc w:val="center"/>
              <w:rPr>
                <w:rFonts w:ascii="Times New Roman" w:hAnsi="Times New Roman"/>
                <w:color w:val="000000"/>
                <w:sz w:val="20"/>
              </w:rPr>
            </w:pPr>
            <w:r w:rsidRPr="003F5B27">
              <w:rPr>
                <w:rFonts w:ascii="Times New Roman" w:hAnsi="Times New Roman"/>
                <w:color w:val="000000"/>
                <w:sz w:val="20"/>
              </w:rPr>
              <w:t>4</w:t>
            </w:r>
          </w:p>
        </w:tc>
      </w:tr>
      <w:tr w:rsidRPr="003F5B27" w:rsidR="003F5B27" w:rsidTr="003C64EA" w14:paraId="4DB656FF" w14:textId="77777777">
        <w:trPr>
          <w:trHeight w:val="525"/>
        </w:trPr>
        <w:tc>
          <w:tcPr>
            <w:tcW w:w="3770" w:type="dxa"/>
            <w:tcBorders>
              <w:top w:val="nil"/>
              <w:left w:val="single" w:color="auto" w:sz="8" w:space="0"/>
              <w:bottom w:val="single" w:color="auto" w:sz="8" w:space="0"/>
              <w:right w:val="single" w:color="auto" w:sz="8" w:space="0"/>
            </w:tcBorders>
            <w:shd w:val="clear" w:color="auto" w:fill="auto"/>
            <w:vAlign w:val="center"/>
            <w:hideMark/>
          </w:tcPr>
          <w:p w:rsidRPr="003F5B27" w:rsidR="003F5B27" w:rsidP="003F5B27" w:rsidRDefault="003F5B27" w14:paraId="556A3B2C" w14:textId="77777777">
            <w:pPr>
              <w:rPr>
                <w:rFonts w:ascii="Times New Roman" w:hAnsi="Times New Roman"/>
                <w:color w:val="000000"/>
                <w:sz w:val="20"/>
              </w:rPr>
            </w:pPr>
            <w:r w:rsidRPr="003F5B27">
              <w:rPr>
                <w:rFonts w:ascii="Times New Roman" w:hAnsi="Times New Roman"/>
                <w:color w:val="000000"/>
                <w:sz w:val="20"/>
              </w:rPr>
              <w:t>Chapter 3 - Blowdown Reduction Activities</w:t>
            </w:r>
          </w:p>
        </w:tc>
        <w:tc>
          <w:tcPr>
            <w:tcW w:w="198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676CF906" w14:textId="77777777">
            <w:pPr>
              <w:jc w:val="center"/>
              <w:rPr>
                <w:rFonts w:ascii="Times New Roman" w:hAnsi="Times New Roman"/>
                <w:color w:val="000000"/>
                <w:sz w:val="20"/>
              </w:rPr>
            </w:pPr>
            <w:r w:rsidRPr="003F5B27">
              <w:rPr>
                <w:rFonts w:ascii="Times New Roman" w:hAnsi="Times New Roman"/>
                <w:color w:val="000000"/>
                <w:sz w:val="20"/>
              </w:rPr>
              <w:t>94,317</w:t>
            </w:r>
          </w:p>
        </w:tc>
        <w:tc>
          <w:tcPr>
            <w:tcW w:w="189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5A9A468D" w14:textId="77777777">
            <w:pPr>
              <w:jc w:val="center"/>
              <w:rPr>
                <w:rFonts w:ascii="Times New Roman" w:hAnsi="Times New Roman"/>
                <w:color w:val="000000"/>
                <w:sz w:val="20"/>
              </w:rPr>
            </w:pPr>
            <w:r w:rsidRPr="003F5B27">
              <w:rPr>
                <w:rFonts w:ascii="Times New Roman" w:hAnsi="Times New Roman"/>
                <w:color w:val="000000"/>
                <w:sz w:val="20"/>
              </w:rPr>
              <w:t>1.6</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6B917439" w14:textId="77777777">
            <w:pPr>
              <w:jc w:val="center"/>
              <w:rPr>
                <w:rFonts w:ascii="Times New Roman" w:hAnsi="Times New Roman"/>
                <w:color w:val="000000"/>
                <w:sz w:val="20"/>
              </w:rPr>
            </w:pPr>
            <w:r w:rsidRPr="003F5B27">
              <w:rPr>
                <w:rFonts w:ascii="Times New Roman" w:hAnsi="Times New Roman"/>
                <w:color w:val="000000"/>
                <w:sz w:val="20"/>
              </w:rPr>
              <w:t>3.402</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4624A937" w14:textId="77777777">
            <w:pPr>
              <w:jc w:val="center"/>
              <w:rPr>
                <w:rFonts w:ascii="Times New Roman" w:hAnsi="Times New Roman"/>
                <w:color w:val="000000"/>
                <w:sz w:val="20"/>
              </w:rPr>
            </w:pPr>
            <w:r w:rsidRPr="003F5B27">
              <w:rPr>
                <w:rFonts w:ascii="Times New Roman" w:hAnsi="Times New Roman"/>
                <w:color w:val="000000"/>
                <w:sz w:val="20"/>
              </w:rPr>
              <w:t>19</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077C7C39" w14:textId="77777777">
            <w:pPr>
              <w:jc w:val="center"/>
              <w:rPr>
                <w:rFonts w:ascii="Times New Roman" w:hAnsi="Times New Roman"/>
                <w:color w:val="000000"/>
                <w:sz w:val="20"/>
              </w:rPr>
            </w:pPr>
            <w:r w:rsidRPr="003F5B27">
              <w:rPr>
                <w:rFonts w:ascii="Times New Roman" w:hAnsi="Times New Roman"/>
                <w:color w:val="000000"/>
                <w:sz w:val="20"/>
              </w:rPr>
              <w:t>-3</w:t>
            </w:r>
          </w:p>
        </w:tc>
      </w:tr>
      <w:tr w:rsidRPr="003F5B27" w:rsidR="003F5B27" w:rsidTr="003C64EA" w14:paraId="3CC1461D" w14:textId="77777777">
        <w:trPr>
          <w:trHeight w:val="525"/>
        </w:trPr>
        <w:tc>
          <w:tcPr>
            <w:tcW w:w="3770" w:type="dxa"/>
            <w:tcBorders>
              <w:top w:val="nil"/>
              <w:left w:val="single" w:color="auto" w:sz="8" w:space="0"/>
              <w:bottom w:val="single" w:color="auto" w:sz="8" w:space="0"/>
              <w:right w:val="single" w:color="auto" w:sz="8" w:space="0"/>
            </w:tcBorders>
            <w:shd w:val="clear" w:color="auto" w:fill="auto"/>
            <w:vAlign w:val="center"/>
            <w:hideMark/>
          </w:tcPr>
          <w:p w:rsidRPr="003F5B27" w:rsidR="003F5B27" w:rsidP="003F5B27" w:rsidRDefault="003F5B27" w14:paraId="673448A1" w14:textId="77777777">
            <w:pPr>
              <w:rPr>
                <w:rFonts w:ascii="Times New Roman" w:hAnsi="Times New Roman"/>
                <w:color w:val="000000"/>
                <w:sz w:val="20"/>
              </w:rPr>
            </w:pPr>
            <w:r w:rsidRPr="003F5B27">
              <w:rPr>
                <w:rFonts w:ascii="Times New Roman" w:hAnsi="Times New Roman"/>
                <w:color w:val="000000"/>
                <w:sz w:val="20"/>
              </w:rPr>
              <w:t>Chapter 14a - Aerial Monitoring</w:t>
            </w:r>
            <w:r w:rsidRPr="003F5B27">
              <w:rPr>
                <w:rFonts w:ascii="Times New Roman" w:hAnsi="Times New Roman"/>
                <w:color w:val="000000"/>
                <w:sz w:val="20"/>
                <w:vertAlign w:val="superscript"/>
              </w:rPr>
              <w:t>2</w:t>
            </w:r>
            <w:r w:rsidRPr="003F5B27">
              <w:rPr>
                <w:rFonts w:ascii="Times New Roman" w:hAnsi="Times New Roman"/>
                <w:color w:val="000000"/>
                <w:sz w:val="20"/>
              </w:rPr>
              <w:t xml:space="preserve"> (Upstream)</w:t>
            </w:r>
          </w:p>
        </w:tc>
        <w:tc>
          <w:tcPr>
            <w:tcW w:w="198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5BD33A14" w14:textId="77777777">
            <w:pPr>
              <w:jc w:val="center"/>
              <w:rPr>
                <w:rFonts w:ascii="Times New Roman" w:hAnsi="Times New Roman"/>
                <w:color w:val="000000"/>
                <w:sz w:val="20"/>
              </w:rPr>
            </w:pPr>
            <w:r w:rsidRPr="003F5B27">
              <w:rPr>
                <w:rFonts w:ascii="Times New Roman" w:hAnsi="Times New Roman"/>
                <w:color w:val="000000"/>
                <w:sz w:val="20"/>
              </w:rPr>
              <w:t>22,235</w:t>
            </w:r>
          </w:p>
        </w:tc>
        <w:tc>
          <w:tcPr>
            <w:tcW w:w="189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5167F931" w14:textId="77777777">
            <w:pPr>
              <w:jc w:val="center"/>
              <w:rPr>
                <w:rFonts w:ascii="Times New Roman" w:hAnsi="Times New Roman"/>
                <w:color w:val="000000"/>
                <w:sz w:val="20"/>
              </w:rPr>
            </w:pPr>
            <w:r w:rsidRPr="003F5B27">
              <w:rPr>
                <w:rFonts w:ascii="Times New Roman" w:hAnsi="Times New Roman"/>
                <w:color w:val="000000"/>
                <w:sz w:val="20"/>
              </w:rPr>
              <w:t>11.3</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1CCFA42B" w14:textId="77777777">
            <w:pPr>
              <w:jc w:val="center"/>
              <w:rPr>
                <w:rFonts w:ascii="Times New Roman" w:hAnsi="Times New Roman"/>
                <w:color w:val="000000"/>
                <w:sz w:val="20"/>
              </w:rPr>
            </w:pPr>
            <w:r w:rsidRPr="003F5B27">
              <w:rPr>
                <w:rFonts w:ascii="Times New Roman" w:hAnsi="Times New Roman"/>
                <w:color w:val="000000"/>
                <w:sz w:val="20"/>
              </w:rPr>
              <w:t>0.802</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64D9D784" w14:textId="77777777">
            <w:pPr>
              <w:jc w:val="center"/>
              <w:rPr>
                <w:rFonts w:ascii="Times New Roman" w:hAnsi="Times New Roman"/>
                <w:color w:val="000000"/>
                <w:sz w:val="20"/>
              </w:rPr>
            </w:pPr>
            <w:r w:rsidRPr="003F5B27">
              <w:rPr>
                <w:rFonts w:ascii="Times New Roman" w:hAnsi="Times New Roman"/>
                <w:color w:val="000000"/>
                <w:sz w:val="20"/>
              </w:rPr>
              <w:t>130</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142DD140" w14:textId="77777777">
            <w:pPr>
              <w:jc w:val="center"/>
              <w:rPr>
                <w:rFonts w:ascii="Times New Roman" w:hAnsi="Times New Roman"/>
                <w:color w:val="000000"/>
                <w:sz w:val="20"/>
              </w:rPr>
            </w:pPr>
            <w:r w:rsidRPr="003F5B27">
              <w:rPr>
                <w:rFonts w:ascii="Times New Roman" w:hAnsi="Times New Roman"/>
                <w:color w:val="000000"/>
                <w:sz w:val="20"/>
              </w:rPr>
              <w:t>108</w:t>
            </w:r>
          </w:p>
        </w:tc>
      </w:tr>
      <w:tr w:rsidRPr="003F5B27" w:rsidR="003F5B27" w:rsidTr="003C64EA" w14:paraId="68BDD6E6" w14:textId="77777777">
        <w:trPr>
          <w:trHeight w:val="780"/>
        </w:trPr>
        <w:tc>
          <w:tcPr>
            <w:tcW w:w="3770" w:type="dxa"/>
            <w:tcBorders>
              <w:top w:val="nil"/>
              <w:left w:val="single" w:color="auto" w:sz="8" w:space="0"/>
              <w:bottom w:val="single" w:color="auto" w:sz="8" w:space="0"/>
              <w:right w:val="single" w:color="auto" w:sz="8" w:space="0"/>
            </w:tcBorders>
            <w:shd w:val="clear" w:color="auto" w:fill="auto"/>
            <w:vAlign w:val="center"/>
            <w:hideMark/>
          </w:tcPr>
          <w:p w:rsidRPr="003F5B27" w:rsidR="003F5B27" w:rsidP="003F5B27" w:rsidRDefault="003F5B27" w14:paraId="5DAB9369" w14:textId="77777777">
            <w:pPr>
              <w:rPr>
                <w:rFonts w:ascii="Times New Roman" w:hAnsi="Times New Roman"/>
                <w:color w:val="000000"/>
                <w:sz w:val="20"/>
              </w:rPr>
            </w:pPr>
            <w:r w:rsidRPr="003F5B27">
              <w:rPr>
                <w:rFonts w:ascii="Times New Roman" w:hAnsi="Times New Roman"/>
                <w:color w:val="000000"/>
                <w:sz w:val="20"/>
              </w:rPr>
              <w:t>Chapter 14b - Aerial Monitoring (Downstream)</w:t>
            </w:r>
          </w:p>
        </w:tc>
        <w:tc>
          <w:tcPr>
            <w:tcW w:w="198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1A430AEC" w14:textId="77777777">
            <w:pPr>
              <w:jc w:val="center"/>
              <w:rPr>
                <w:rFonts w:ascii="Times New Roman" w:hAnsi="Times New Roman"/>
                <w:color w:val="000000"/>
                <w:sz w:val="20"/>
              </w:rPr>
            </w:pPr>
            <w:r w:rsidRPr="003F5B27">
              <w:rPr>
                <w:rFonts w:ascii="Times New Roman" w:hAnsi="Times New Roman"/>
                <w:color w:val="000000"/>
                <w:sz w:val="20"/>
              </w:rPr>
              <w:t>62,737</w:t>
            </w:r>
          </w:p>
        </w:tc>
        <w:tc>
          <w:tcPr>
            <w:tcW w:w="189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1906C92B" w14:textId="77777777">
            <w:pPr>
              <w:jc w:val="center"/>
              <w:rPr>
                <w:rFonts w:ascii="Times New Roman" w:hAnsi="Times New Roman"/>
                <w:color w:val="000000"/>
                <w:sz w:val="20"/>
              </w:rPr>
            </w:pPr>
            <w:r w:rsidRPr="003F5B27">
              <w:rPr>
                <w:rFonts w:ascii="Times New Roman" w:hAnsi="Times New Roman"/>
                <w:color w:val="000000"/>
                <w:sz w:val="20"/>
              </w:rPr>
              <w:t>see line above</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34602A66" w14:textId="77777777">
            <w:pPr>
              <w:jc w:val="center"/>
              <w:rPr>
                <w:rFonts w:ascii="Times New Roman" w:hAnsi="Times New Roman"/>
                <w:color w:val="000000"/>
                <w:sz w:val="20"/>
              </w:rPr>
            </w:pPr>
            <w:r w:rsidRPr="003F5B27">
              <w:rPr>
                <w:rFonts w:ascii="Times New Roman" w:hAnsi="Times New Roman"/>
                <w:color w:val="000000"/>
                <w:sz w:val="20"/>
              </w:rPr>
              <w:t>2.263</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6847523C" w14:textId="77777777">
            <w:pPr>
              <w:jc w:val="center"/>
              <w:rPr>
                <w:rFonts w:ascii="Times New Roman" w:hAnsi="Times New Roman"/>
                <w:color w:val="000000"/>
                <w:sz w:val="20"/>
              </w:rPr>
            </w:pPr>
            <w:r w:rsidRPr="003F5B27">
              <w:rPr>
                <w:rFonts w:ascii="Times New Roman" w:hAnsi="Times New Roman"/>
                <w:color w:val="000000"/>
                <w:sz w:val="20"/>
              </w:rPr>
              <w:t>see line above</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132AB712" w14:textId="77777777">
            <w:pPr>
              <w:jc w:val="center"/>
              <w:rPr>
                <w:rFonts w:ascii="Times New Roman" w:hAnsi="Times New Roman"/>
                <w:color w:val="000000"/>
                <w:sz w:val="20"/>
              </w:rPr>
            </w:pPr>
            <w:r w:rsidRPr="003F5B27">
              <w:rPr>
                <w:rFonts w:ascii="Times New Roman" w:hAnsi="Times New Roman"/>
                <w:color w:val="000000"/>
                <w:sz w:val="20"/>
              </w:rPr>
              <w:t>see line above</w:t>
            </w:r>
          </w:p>
        </w:tc>
      </w:tr>
      <w:tr w:rsidRPr="003F5B27" w:rsidR="003F5B27" w:rsidTr="003C64EA" w14:paraId="1AAFAE1E" w14:textId="77777777">
        <w:trPr>
          <w:trHeight w:val="780"/>
        </w:trPr>
        <w:tc>
          <w:tcPr>
            <w:tcW w:w="3770" w:type="dxa"/>
            <w:tcBorders>
              <w:top w:val="nil"/>
              <w:left w:val="single" w:color="auto" w:sz="8" w:space="0"/>
              <w:bottom w:val="single" w:color="auto" w:sz="8" w:space="0"/>
              <w:right w:val="single" w:color="auto" w:sz="8" w:space="0"/>
            </w:tcBorders>
            <w:shd w:val="clear" w:color="auto" w:fill="auto"/>
            <w:vAlign w:val="center"/>
            <w:hideMark/>
          </w:tcPr>
          <w:p w:rsidRPr="003F5B27" w:rsidR="003F5B27" w:rsidP="003F5B27" w:rsidRDefault="003F5B27" w14:paraId="55EA1995" w14:textId="77777777">
            <w:pPr>
              <w:rPr>
                <w:rFonts w:ascii="Times New Roman" w:hAnsi="Times New Roman"/>
                <w:color w:val="000000"/>
                <w:sz w:val="20"/>
              </w:rPr>
            </w:pPr>
            <w:r w:rsidRPr="003F5B27">
              <w:rPr>
                <w:rFonts w:ascii="Times New Roman" w:hAnsi="Times New Roman"/>
                <w:color w:val="000000"/>
                <w:sz w:val="20"/>
              </w:rPr>
              <w:t>Chapter 6 - Advanced Meter Analytics</w:t>
            </w:r>
            <w:r w:rsidRPr="003F5B27">
              <w:rPr>
                <w:rFonts w:ascii="Times New Roman" w:hAnsi="Times New Roman"/>
                <w:color w:val="000000"/>
                <w:sz w:val="20"/>
                <w:vertAlign w:val="superscript"/>
              </w:rPr>
              <w:t>3</w:t>
            </w:r>
            <w:r w:rsidRPr="003F5B27">
              <w:rPr>
                <w:rFonts w:ascii="Times New Roman" w:hAnsi="Times New Roman"/>
                <w:color w:val="000000"/>
                <w:sz w:val="20"/>
              </w:rPr>
              <w:t xml:space="preserve"> Algorithm</w:t>
            </w:r>
          </w:p>
        </w:tc>
        <w:tc>
          <w:tcPr>
            <w:tcW w:w="198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10E455C7" w14:textId="77777777">
            <w:pPr>
              <w:jc w:val="center"/>
              <w:rPr>
                <w:rFonts w:ascii="Times New Roman" w:hAnsi="Times New Roman"/>
                <w:color w:val="000000"/>
                <w:sz w:val="20"/>
              </w:rPr>
            </w:pPr>
            <w:r w:rsidRPr="003F5B27">
              <w:rPr>
                <w:rFonts w:ascii="Times New Roman" w:hAnsi="Times New Roman"/>
                <w:color w:val="000000"/>
                <w:sz w:val="20"/>
              </w:rPr>
              <w:t>37,257</w:t>
            </w:r>
          </w:p>
        </w:tc>
        <w:tc>
          <w:tcPr>
            <w:tcW w:w="189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22BB754F" w14:textId="77777777">
            <w:pPr>
              <w:jc w:val="center"/>
              <w:rPr>
                <w:rFonts w:ascii="Times New Roman" w:hAnsi="Times New Roman"/>
                <w:color w:val="000000"/>
                <w:sz w:val="20"/>
              </w:rPr>
            </w:pPr>
            <w:r w:rsidRPr="003F5B27">
              <w:rPr>
                <w:rFonts w:ascii="Times New Roman" w:hAnsi="Times New Roman"/>
                <w:color w:val="000000"/>
                <w:sz w:val="20"/>
              </w:rPr>
              <w:t>0.3</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0C900C27" w14:textId="77777777">
            <w:pPr>
              <w:jc w:val="center"/>
              <w:rPr>
                <w:rFonts w:ascii="Times New Roman" w:hAnsi="Times New Roman"/>
                <w:color w:val="000000"/>
                <w:sz w:val="20"/>
              </w:rPr>
            </w:pPr>
            <w:r w:rsidRPr="003F5B27">
              <w:rPr>
                <w:rFonts w:ascii="Times New Roman" w:hAnsi="Times New Roman"/>
                <w:color w:val="000000"/>
                <w:sz w:val="20"/>
              </w:rPr>
              <w:t>1.344</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0D2EED57" w14:textId="77777777">
            <w:pPr>
              <w:jc w:val="center"/>
              <w:rPr>
                <w:rFonts w:ascii="Times New Roman" w:hAnsi="Times New Roman"/>
                <w:color w:val="000000"/>
                <w:sz w:val="20"/>
              </w:rPr>
            </w:pPr>
            <w:r w:rsidRPr="003F5B27">
              <w:rPr>
                <w:rFonts w:ascii="Times New Roman" w:hAnsi="Times New Roman"/>
                <w:color w:val="000000"/>
                <w:sz w:val="20"/>
              </w:rPr>
              <w:t>5</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5C53ECC8" w14:textId="77777777">
            <w:pPr>
              <w:jc w:val="center"/>
              <w:rPr>
                <w:rFonts w:ascii="Times New Roman" w:hAnsi="Times New Roman"/>
                <w:color w:val="000000"/>
                <w:sz w:val="20"/>
              </w:rPr>
            </w:pPr>
            <w:r w:rsidRPr="003F5B27">
              <w:rPr>
                <w:rFonts w:ascii="Times New Roman" w:hAnsi="Times New Roman"/>
                <w:color w:val="000000"/>
                <w:sz w:val="20"/>
              </w:rPr>
              <w:t>-17</w:t>
            </w:r>
          </w:p>
        </w:tc>
      </w:tr>
      <w:tr w:rsidRPr="003F5B27" w:rsidR="003F5B27" w:rsidTr="003C64EA" w14:paraId="10457C99" w14:textId="77777777">
        <w:trPr>
          <w:trHeight w:val="780"/>
        </w:trPr>
        <w:tc>
          <w:tcPr>
            <w:tcW w:w="3770" w:type="dxa"/>
            <w:tcBorders>
              <w:top w:val="nil"/>
              <w:left w:val="single" w:color="auto" w:sz="8" w:space="0"/>
              <w:bottom w:val="single" w:color="auto" w:sz="8" w:space="0"/>
              <w:right w:val="single" w:color="auto" w:sz="8" w:space="0"/>
            </w:tcBorders>
            <w:shd w:val="clear" w:color="auto" w:fill="auto"/>
            <w:vAlign w:val="center"/>
            <w:hideMark/>
          </w:tcPr>
          <w:p w:rsidRPr="003F5B27" w:rsidR="003F5B27" w:rsidP="003F5B27" w:rsidRDefault="003F5B27" w14:paraId="60B7793B" w14:textId="77777777">
            <w:pPr>
              <w:rPr>
                <w:rFonts w:ascii="Times New Roman" w:hAnsi="Times New Roman"/>
                <w:color w:val="000000"/>
                <w:sz w:val="20"/>
              </w:rPr>
            </w:pPr>
            <w:r w:rsidRPr="003F5B27">
              <w:rPr>
                <w:rFonts w:ascii="Times New Roman" w:hAnsi="Times New Roman"/>
                <w:color w:val="000000"/>
                <w:sz w:val="20"/>
              </w:rPr>
              <w:t xml:space="preserve">Chapter 5 Damage Prevention Algorithm </w:t>
            </w:r>
          </w:p>
        </w:tc>
        <w:tc>
          <w:tcPr>
            <w:tcW w:w="198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79B2BF72" w14:textId="77777777">
            <w:pPr>
              <w:jc w:val="center"/>
              <w:rPr>
                <w:rFonts w:ascii="Times New Roman" w:hAnsi="Times New Roman"/>
                <w:color w:val="000000"/>
                <w:sz w:val="20"/>
              </w:rPr>
            </w:pPr>
            <w:r w:rsidRPr="003F5B27">
              <w:rPr>
                <w:rFonts w:ascii="Times New Roman" w:hAnsi="Times New Roman"/>
                <w:color w:val="000000"/>
                <w:sz w:val="20"/>
              </w:rPr>
              <w:t>7,068</w:t>
            </w:r>
          </w:p>
        </w:tc>
        <w:tc>
          <w:tcPr>
            <w:tcW w:w="189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596771A6" w14:textId="77777777">
            <w:pPr>
              <w:jc w:val="center"/>
              <w:rPr>
                <w:rFonts w:ascii="Times New Roman" w:hAnsi="Times New Roman"/>
                <w:color w:val="000000"/>
                <w:sz w:val="20"/>
              </w:rPr>
            </w:pPr>
            <w:r w:rsidRPr="003F5B27">
              <w:rPr>
                <w:rFonts w:ascii="Times New Roman" w:hAnsi="Times New Roman"/>
                <w:color w:val="000000"/>
                <w:sz w:val="20"/>
              </w:rPr>
              <w:t>2.2</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707FC33F" w14:textId="77777777">
            <w:pPr>
              <w:jc w:val="center"/>
              <w:rPr>
                <w:rFonts w:ascii="Times New Roman" w:hAnsi="Times New Roman"/>
                <w:color w:val="000000"/>
                <w:sz w:val="20"/>
              </w:rPr>
            </w:pPr>
            <w:r w:rsidRPr="003F5B27">
              <w:rPr>
                <w:rFonts w:ascii="Times New Roman" w:hAnsi="Times New Roman"/>
                <w:color w:val="000000"/>
                <w:sz w:val="20"/>
              </w:rPr>
              <w:t>0.255</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70722ED6" w14:textId="77777777">
            <w:pPr>
              <w:jc w:val="center"/>
              <w:rPr>
                <w:rFonts w:ascii="Times New Roman" w:hAnsi="Times New Roman"/>
                <w:color w:val="000000"/>
                <w:sz w:val="20"/>
              </w:rPr>
            </w:pPr>
            <w:r w:rsidRPr="003F5B27">
              <w:rPr>
                <w:rFonts w:ascii="Times New Roman" w:hAnsi="Times New Roman"/>
                <w:color w:val="000000"/>
                <w:sz w:val="20"/>
              </w:rPr>
              <w:t>233</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677BB7C2" w14:textId="77777777">
            <w:pPr>
              <w:jc w:val="center"/>
              <w:rPr>
                <w:rFonts w:ascii="Times New Roman" w:hAnsi="Times New Roman"/>
                <w:color w:val="000000"/>
                <w:sz w:val="20"/>
              </w:rPr>
            </w:pPr>
            <w:r w:rsidRPr="003F5B27">
              <w:rPr>
                <w:rFonts w:ascii="Times New Roman" w:hAnsi="Times New Roman"/>
                <w:color w:val="000000"/>
                <w:sz w:val="20"/>
              </w:rPr>
              <w:t>211</w:t>
            </w:r>
          </w:p>
        </w:tc>
      </w:tr>
      <w:tr w:rsidRPr="003F5B27" w:rsidR="003F5B27" w:rsidTr="003C64EA" w14:paraId="6FADE61A" w14:textId="77777777">
        <w:trPr>
          <w:trHeight w:val="525"/>
        </w:trPr>
        <w:tc>
          <w:tcPr>
            <w:tcW w:w="3770" w:type="dxa"/>
            <w:tcBorders>
              <w:top w:val="nil"/>
              <w:left w:val="single" w:color="auto" w:sz="8" w:space="0"/>
              <w:bottom w:val="single" w:color="auto" w:sz="8" w:space="0"/>
              <w:right w:val="single" w:color="auto" w:sz="8" w:space="0"/>
            </w:tcBorders>
            <w:shd w:val="clear" w:color="auto" w:fill="auto"/>
            <w:vAlign w:val="center"/>
            <w:hideMark/>
          </w:tcPr>
          <w:p w:rsidRPr="003F5B27" w:rsidR="003F5B27" w:rsidP="003F5B27" w:rsidRDefault="003F5B27" w14:paraId="54C9BB5E" w14:textId="77777777">
            <w:pPr>
              <w:rPr>
                <w:rFonts w:ascii="Times New Roman" w:hAnsi="Times New Roman"/>
                <w:color w:val="000000"/>
                <w:sz w:val="20"/>
                <w:vertAlign w:val="superscript"/>
              </w:rPr>
            </w:pPr>
            <w:r w:rsidRPr="003F5B27">
              <w:rPr>
                <w:rFonts w:ascii="Times New Roman" w:hAnsi="Times New Roman"/>
                <w:color w:val="000000"/>
                <w:sz w:val="20"/>
              </w:rPr>
              <w:t>Chapter 28 - High Bleed Device Replacement</w:t>
            </w:r>
          </w:p>
        </w:tc>
        <w:tc>
          <w:tcPr>
            <w:tcW w:w="198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5A25F16B" w14:textId="77777777">
            <w:pPr>
              <w:jc w:val="center"/>
              <w:rPr>
                <w:rFonts w:ascii="Times New Roman" w:hAnsi="Times New Roman"/>
                <w:color w:val="000000"/>
                <w:sz w:val="20"/>
              </w:rPr>
            </w:pPr>
            <w:r w:rsidRPr="003F5B27">
              <w:rPr>
                <w:rFonts w:ascii="Times New Roman" w:hAnsi="Times New Roman"/>
                <w:color w:val="000000"/>
                <w:sz w:val="20"/>
              </w:rPr>
              <w:t>1,500</w:t>
            </w:r>
          </w:p>
        </w:tc>
        <w:tc>
          <w:tcPr>
            <w:tcW w:w="189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7CAB81C4" w14:textId="77777777">
            <w:pPr>
              <w:jc w:val="center"/>
              <w:rPr>
                <w:rFonts w:ascii="Times New Roman" w:hAnsi="Times New Roman"/>
                <w:color w:val="000000"/>
                <w:sz w:val="20"/>
              </w:rPr>
            </w:pPr>
            <w:r w:rsidRPr="003F5B27">
              <w:rPr>
                <w:rFonts w:ascii="Times New Roman" w:hAnsi="Times New Roman"/>
                <w:color w:val="000000"/>
                <w:sz w:val="20"/>
              </w:rPr>
              <w:t>-</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5A9E2B9F" w14:textId="77777777">
            <w:pPr>
              <w:jc w:val="center"/>
              <w:rPr>
                <w:rFonts w:ascii="Times New Roman" w:hAnsi="Times New Roman"/>
                <w:color w:val="000000"/>
                <w:sz w:val="20"/>
              </w:rPr>
            </w:pPr>
            <w:r w:rsidRPr="003F5B27">
              <w:rPr>
                <w:rFonts w:ascii="Times New Roman" w:hAnsi="Times New Roman"/>
                <w:color w:val="000000"/>
                <w:sz w:val="20"/>
              </w:rPr>
              <w:t>0.054</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00FC5080" w14:textId="77777777">
            <w:pPr>
              <w:jc w:val="center"/>
              <w:rPr>
                <w:rFonts w:ascii="Times New Roman" w:hAnsi="Times New Roman"/>
                <w:color w:val="000000"/>
                <w:sz w:val="20"/>
              </w:rPr>
            </w:pPr>
            <w:r w:rsidRPr="003F5B27">
              <w:rPr>
                <w:rFonts w:ascii="Times New Roman" w:hAnsi="Times New Roman"/>
                <w:color w:val="000000"/>
                <w:sz w:val="20"/>
              </w:rPr>
              <w:t>N/A</w:t>
            </w:r>
            <w:r w:rsidRPr="003F5B27">
              <w:rPr>
                <w:rFonts w:ascii="Times New Roman" w:hAnsi="Times New Roman"/>
                <w:color w:val="000000"/>
                <w:sz w:val="20"/>
                <w:vertAlign w:val="superscript"/>
              </w:rPr>
              <w:t>4</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6AA8FAE4" w14:textId="77777777">
            <w:pPr>
              <w:jc w:val="center"/>
              <w:rPr>
                <w:rFonts w:ascii="Times New Roman" w:hAnsi="Times New Roman"/>
                <w:color w:val="000000"/>
                <w:sz w:val="20"/>
              </w:rPr>
            </w:pPr>
          </w:p>
        </w:tc>
      </w:tr>
      <w:tr w:rsidRPr="003F5B27" w:rsidR="003F5B27" w:rsidTr="003C64EA" w14:paraId="25FCA680" w14:textId="77777777">
        <w:trPr>
          <w:trHeight w:val="525"/>
        </w:trPr>
        <w:tc>
          <w:tcPr>
            <w:tcW w:w="3770" w:type="dxa"/>
            <w:tcBorders>
              <w:top w:val="nil"/>
              <w:left w:val="single" w:color="auto" w:sz="8" w:space="0"/>
              <w:bottom w:val="single" w:color="auto" w:sz="8" w:space="0"/>
              <w:right w:val="single" w:color="auto" w:sz="8" w:space="0"/>
            </w:tcBorders>
            <w:shd w:val="clear" w:color="auto" w:fill="auto"/>
            <w:vAlign w:val="center"/>
            <w:hideMark/>
          </w:tcPr>
          <w:p w:rsidRPr="003F5B27" w:rsidR="003F5B27" w:rsidP="003F5B27" w:rsidRDefault="003F5B27" w14:paraId="7D61609D" w14:textId="77777777">
            <w:pPr>
              <w:rPr>
                <w:rFonts w:ascii="Times New Roman" w:hAnsi="Times New Roman"/>
                <w:color w:val="000000"/>
                <w:sz w:val="20"/>
                <w:vertAlign w:val="superscript"/>
              </w:rPr>
            </w:pPr>
            <w:r w:rsidRPr="003F5B27">
              <w:rPr>
                <w:rFonts w:ascii="Times New Roman" w:hAnsi="Times New Roman"/>
                <w:color w:val="000000"/>
                <w:sz w:val="20"/>
              </w:rPr>
              <w:t>Chapter 18 - Meter Calibration Factor</w:t>
            </w:r>
          </w:p>
        </w:tc>
        <w:tc>
          <w:tcPr>
            <w:tcW w:w="198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1BC459E7" w14:textId="77777777">
            <w:pPr>
              <w:jc w:val="center"/>
              <w:rPr>
                <w:rFonts w:ascii="Times New Roman" w:hAnsi="Times New Roman"/>
                <w:color w:val="000000"/>
                <w:sz w:val="20"/>
              </w:rPr>
            </w:pPr>
            <w:r w:rsidRPr="003F5B27">
              <w:rPr>
                <w:rFonts w:ascii="Times New Roman" w:hAnsi="Times New Roman"/>
                <w:color w:val="000000"/>
                <w:sz w:val="20"/>
              </w:rPr>
              <w:t>74</w:t>
            </w:r>
          </w:p>
        </w:tc>
        <w:tc>
          <w:tcPr>
            <w:tcW w:w="189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56B9B7ED" w14:textId="77777777">
            <w:pPr>
              <w:jc w:val="center"/>
              <w:rPr>
                <w:rFonts w:ascii="Times New Roman" w:hAnsi="Times New Roman"/>
                <w:color w:val="000000"/>
                <w:sz w:val="20"/>
              </w:rPr>
            </w:pPr>
            <w:r w:rsidRPr="003F5B27">
              <w:rPr>
                <w:rFonts w:ascii="Times New Roman" w:hAnsi="Times New Roman"/>
                <w:color w:val="000000"/>
                <w:sz w:val="20"/>
              </w:rPr>
              <w:t>0.02</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2DD1E41A" w14:textId="77777777">
            <w:pPr>
              <w:jc w:val="center"/>
              <w:rPr>
                <w:rFonts w:ascii="Times New Roman" w:hAnsi="Times New Roman"/>
                <w:color w:val="000000"/>
                <w:sz w:val="20"/>
              </w:rPr>
            </w:pPr>
            <w:r w:rsidRPr="003F5B27">
              <w:rPr>
                <w:rFonts w:ascii="Times New Roman" w:hAnsi="Times New Roman"/>
                <w:color w:val="000000"/>
                <w:sz w:val="20"/>
              </w:rPr>
              <w:t>0.003</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68288D96" w14:textId="77777777">
            <w:pPr>
              <w:jc w:val="center"/>
              <w:rPr>
                <w:rFonts w:ascii="Times New Roman" w:hAnsi="Times New Roman"/>
                <w:color w:val="000000"/>
                <w:sz w:val="20"/>
              </w:rPr>
            </w:pPr>
            <w:r w:rsidRPr="003F5B27">
              <w:rPr>
                <w:rFonts w:ascii="Times New Roman" w:hAnsi="Times New Roman"/>
                <w:color w:val="000000"/>
                <w:sz w:val="20"/>
              </w:rPr>
              <w:t>N/A</w:t>
            </w:r>
            <w:r w:rsidRPr="003F5B27">
              <w:rPr>
                <w:rFonts w:ascii="Times New Roman" w:hAnsi="Times New Roman"/>
                <w:color w:val="000000"/>
                <w:sz w:val="20"/>
                <w:vertAlign w:val="superscript"/>
              </w:rPr>
              <w:t>5</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76CCB304" w14:textId="77777777">
            <w:pPr>
              <w:jc w:val="center"/>
              <w:rPr>
                <w:rFonts w:ascii="Times New Roman" w:hAnsi="Times New Roman"/>
                <w:color w:val="000000"/>
                <w:sz w:val="20"/>
              </w:rPr>
            </w:pPr>
          </w:p>
        </w:tc>
      </w:tr>
      <w:tr w:rsidRPr="003F5B27" w:rsidR="003F5B27" w:rsidTr="003C64EA" w14:paraId="031B834B" w14:textId="77777777">
        <w:trPr>
          <w:trHeight w:val="525"/>
        </w:trPr>
        <w:tc>
          <w:tcPr>
            <w:tcW w:w="3770" w:type="dxa"/>
            <w:tcBorders>
              <w:top w:val="nil"/>
              <w:left w:val="single" w:color="auto" w:sz="8" w:space="0"/>
              <w:bottom w:val="single" w:color="auto" w:sz="8" w:space="0"/>
              <w:right w:val="single" w:color="auto" w:sz="8" w:space="0"/>
            </w:tcBorders>
            <w:shd w:val="clear" w:color="auto" w:fill="auto"/>
            <w:vAlign w:val="center"/>
            <w:hideMark/>
          </w:tcPr>
          <w:p w:rsidRPr="003F5B27" w:rsidR="003F5B27" w:rsidP="003F5B27" w:rsidRDefault="003F5B27" w14:paraId="688C54B0" w14:textId="77777777">
            <w:pPr>
              <w:rPr>
                <w:rFonts w:ascii="Times New Roman" w:hAnsi="Times New Roman"/>
                <w:color w:val="000000"/>
                <w:sz w:val="20"/>
                <w:vertAlign w:val="superscript"/>
              </w:rPr>
            </w:pPr>
            <w:r w:rsidRPr="003F5B27">
              <w:rPr>
                <w:rFonts w:ascii="Times New Roman" w:hAnsi="Times New Roman"/>
                <w:color w:val="000000"/>
                <w:sz w:val="20"/>
              </w:rPr>
              <w:t>Chapter 23 - Differential Pressure Testing</w:t>
            </w:r>
          </w:p>
        </w:tc>
        <w:tc>
          <w:tcPr>
            <w:tcW w:w="198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6A99DC1F" w14:textId="77777777">
            <w:pPr>
              <w:jc w:val="center"/>
              <w:rPr>
                <w:rFonts w:ascii="Times New Roman" w:hAnsi="Times New Roman"/>
                <w:color w:val="000000"/>
                <w:sz w:val="20"/>
              </w:rPr>
            </w:pPr>
            <w:r w:rsidRPr="003F5B27">
              <w:rPr>
                <w:rFonts w:ascii="Times New Roman" w:hAnsi="Times New Roman"/>
                <w:color w:val="000000"/>
                <w:sz w:val="20"/>
              </w:rPr>
              <w:t>5</w:t>
            </w:r>
          </w:p>
        </w:tc>
        <w:tc>
          <w:tcPr>
            <w:tcW w:w="189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2B9E7897" w14:textId="77777777">
            <w:pPr>
              <w:jc w:val="center"/>
              <w:rPr>
                <w:rFonts w:ascii="Times New Roman" w:hAnsi="Times New Roman"/>
                <w:color w:val="000000"/>
                <w:sz w:val="20"/>
              </w:rPr>
            </w:pPr>
            <w:r w:rsidRPr="003F5B27">
              <w:rPr>
                <w:rFonts w:ascii="Times New Roman" w:hAnsi="Times New Roman"/>
                <w:color w:val="000000"/>
                <w:sz w:val="20"/>
              </w:rPr>
              <w:t>-</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7984FED6" w14:textId="77777777">
            <w:pPr>
              <w:jc w:val="center"/>
              <w:rPr>
                <w:rFonts w:ascii="Times New Roman" w:hAnsi="Times New Roman"/>
                <w:color w:val="000000"/>
                <w:sz w:val="20"/>
              </w:rPr>
            </w:pPr>
            <w:r w:rsidRPr="003F5B27">
              <w:rPr>
                <w:rFonts w:ascii="Times New Roman" w:hAnsi="Times New Roman"/>
                <w:color w:val="000000"/>
                <w:sz w:val="20"/>
              </w:rPr>
              <w:t>0.000</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7E314A9B" w14:textId="77777777">
            <w:pPr>
              <w:jc w:val="center"/>
              <w:rPr>
                <w:rFonts w:ascii="Times New Roman" w:hAnsi="Times New Roman"/>
                <w:color w:val="000000"/>
                <w:sz w:val="20"/>
              </w:rPr>
            </w:pPr>
            <w:r w:rsidRPr="003F5B27">
              <w:rPr>
                <w:rFonts w:ascii="Times New Roman" w:hAnsi="Times New Roman"/>
                <w:color w:val="000000"/>
                <w:sz w:val="20"/>
              </w:rPr>
              <w:t>N/A</w:t>
            </w:r>
            <w:r w:rsidRPr="003F5B27">
              <w:rPr>
                <w:rFonts w:ascii="Times New Roman" w:hAnsi="Times New Roman"/>
                <w:color w:val="000000"/>
                <w:sz w:val="20"/>
                <w:vertAlign w:val="superscript"/>
              </w:rPr>
              <w:t>6</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440807AE" w14:textId="77777777">
            <w:pPr>
              <w:jc w:val="center"/>
              <w:rPr>
                <w:rFonts w:ascii="Times New Roman" w:hAnsi="Times New Roman"/>
                <w:color w:val="000000"/>
                <w:sz w:val="20"/>
              </w:rPr>
            </w:pPr>
          </w:p>
        </w:tc>
      </w:tr>
      <w:tr w:rsidRPr="003F5B27" w:rsidR="003F5B27" w:rsidTr="003C64EA" w14:paraId="221AF280" w14:textId="77777777">
        <w:trPr>
          <w:trHeight w:val="525"/>
        </w:trPr>
        <w:tc>
          <w:tcPr>
            <w:tcW w:w="3770" w:type="dxa"/>
            <w:tcBorders>
              <w:top w:val="nil"/>
              <w:left w:val="single" w:color="auto" w:sz="8" w:space="0"/>
              <w:bottom w:val="single" w:color="auto" w:sz="8" w:space="0"/>
              <w:right w:val="single" w:color="auto" w:sz="8" w:space="0"/>
            </w:tcBorders>
            <w:shd w:val="clear" w:color="auto" w:fill="FFFFFF" w:themeFill="background1"/>
            <w:vAlign w:val="center"/>
            <w:hideMark/>
          </w:tcPr>
          <w:p w:rsidRPr="003F5B27" w:rsidR="003F5B27" w:rsidP="003F5B27" w:rsidRDefault="003F5B27" w14:paraId="518888FF" w14:textId="77777777">
            <w:pPr>
              <w:rPr>
                <w:rFonts w:ascii="Times New Roman" w:hAnsi="Times New Roman"/>
                <w:color w:val="000000"/>
                <w:sz w:val="20"/>
              </w:rPr>
            </w:pPr>
            <w:r w:rsidRPr="003F5B27">
              <w:rPr>
                <w:rFonts w:ascii="Times New Roman" w:hAnsi="Times New Roman"/>
                <w:color w:val="000000"/>
                <w:sz w:val="20"/>
              </w:rPr>
              <w:t>Chapter 4 - Large Leak Prioritization</w:t>
            </w:r>
            <w:r w:rsidRPr="003F5B27">
              <w:rPr>
                <w:rFonts w:ascii="Times New Roman" w:hAnsi="Times New Roman"/>
                <w:color w:val="000000"/>
                <w:sz w:val="20"/>
                <w:vertAlign w:val="superscript"/>
              </w:rPr>
              <w:t>7</w:t>
            </w:r>
          </w:p>
        </w:tc>
        <w:tc>
          <w:tcPr>
            <w:tcW w:w="1980" w:type="dxa"/>
            <w:tcBorders>
              <w:top w:val="nil"/>
              <w:left w:val="nil"/>
              <w:bottom w:val="single" w:color="auto" w:sz="8" w:space="0"/>
              <w:right w:val="single" w:color="auto" w:sz="8" w:space="0"/>
            </w:tcBorders>
            <w:shd w:val="clear" w:color="auto" w:fill="FFFFFF" w:themeFill="background1"/>
            <w:noWrap/>
            <w:vAlign w:val="center"/>
          </w:tcPr>
          <w:p w:rsidRPr="003F5B27" w:rsidR="003F5B27" w:rsidP="003F5B27" w:rsidRDefault="003F5B27" w14:paraId="7DFC73AE" w14:textId="77777777">
            <w:pPr>
              <w:jc w:val="center"/>
              <w:rPr>
                <w:rFonts w:ascii="Times New Roman" w:hAnsi="Times New Roman"/>
                <w:color w:val="000000"/>
                <w:sz w:val="20"/>
              </w:rPr>
            </w:pPr>
            <w:r w:rsidRPr="003F5B27">
              <w:rPr>
                <w:rFonts w:ascii="Times New Roman" w:hAnsi="Times New Roman"/>
                <w:color w:val="000000"/>
                <w:sz w:val="20"/>
              </w:rPr>
              <w:t>0</w:t>
            </w:r>
          </w:p>
        </w:tc>
        <w:tc>
          <w:tcPr>
            <w:tcW w:w="1890" w:type="dxa"/>
            <w:tcBorders>
              <w:top w:val="nil"/>
              <w:left w:val="nil"/>
              <w:bottom w:val="single" w:color="auto" w:sz="8" w:space="0"/>
              <w:right w:val="single" w:color="auto" w:sz="8" w:space="0"/>
            </w:tcBorders>
            <w:shd w:val="clear" w:color="auto" w:fill="FFFFFF" w:themeFill="background1"/>
            <w:noWrap/>
            <w:vAlign w:val="center"/>
          </w:tcPr>
          <w:p w:rsidRPr="003F5B27" w:rsidR="003F5B27" w:rsidP="003F5B27" w:rsidRDefault="003F5B27" w14:paraId="58EED145" w14:textId="77777777">
            <w:pPr>
              <w:jc w:val="center"/>
              <w:rPr>
                <w:rFonts w:ascii="Times New Roman" w:hAnsi="Times New Roman"/>
                <w:color w:val="000000"/>
                <w:sz w:val="20"/>
              </w:rPr>
            </w:pPr>
            <w:r w:rsidRPr="003F5B27">
              <w:rPr>
                <w:rFonts w:ascii="Times New Roman" w:hAnsi="Times New Roman"/>
                <w:color w:val="000000"/>
                <w:sz w:val="20"/>
              </w:rPr>
              <w:t>1.4</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5CDF3608" w14:textId="77777777">
            <w:pPr>
              <w:jc w:val="center"/>
              <w:rPr>
                <w:rFonts w:ascii="Times New Roman" w:hAnsi="Times New Roman"/>
                <w:color w:val="000000"/>
                <w:sz w:val="20"/>
              </w:rPr>
            </w:pPr>
            <w:r w:rsidRPr="003F5B27">
              <w:rPr>
                <w:rFonts w:ascii="Times New Roman" w:hAnsi="Times New Roman"/>
                <w:color w:val="000000"/>
                <w:sz w:val="20"/>
              </w:rPr>
              <w:t>0.000</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7A28B54F" w14:textId="77777777">
            <w:pPr>
              <w:jc w:val="center"/>
              <w:rPr>
                <w:rFonts w:ascii="Times New Roman" w:hAnsi="Times New Roman"/>
                <w:color w:val="000000"/>
                <w:sz w:val="20"/>
              </w:rPr>
            </w:pPr>
            <w:r w:rsidRPr="003F5B27">
              <w:rPr>
                <w:rFonts w:ascii="Times New Roman" w:hAnsi="Times New Roman"/>
                <w:color w:val="000000"/>
                <w:sz w:val="20"/>
              </w:rPr>
              <w:t>73</w:t>
            </w:r>
          </w:p>
        </w:tc>
        <w:tc>
          <w:tcPr>
            <w:tcW w:w="1800" w:type="dxa"/>
            <w:tcBorders>
              <w:top w:val="nil"/>
              <w:left w:val="nil"/>
              <w:bottom w:val="single" w:color="auto" w:sz="8" w:space="0"/>
              <w:right w:val="single" w:color="auto" w:sz="8" w:space="0"/>
            </w:tcBorders>
            <w:shd w:val="clear" w:color="auto" w:fill="auto"/>
            <w:noWrap/>
            <w:vAlign w:val="center"/>
          </w:tcPr>
          <w:p w:rsidRPr="003F5B27" w:rsidR="003F5B27" w:rsidP="003F5B27" w:rsidRDefault="003F5B27" w14:paraId="06C080D4" w14:textId="77777777">
            <w:pPr>
              <w:jc w:val="center"/>
              <w:rPr>
                <w:rFonts w:ascii="Times New Roman" w:hAnsi="Times New Roman"/>
                <w:color w:val="000000"/>
                <w:sz w:val="20"/>
              </w:rPr>
            </w:pPr>
            <w:r w:rsidRPr="003F5B27">
              <w:rPr>
                <w:rFonts w:ascii="Times New Roman" w:hAnsi="Times New Roman"/>
                <w:color w:val="000000"/>
                <w:sz w:val="20"/>
              </w:rPr>
              <w:t>51</w:t>
            </w:r>
          </w:p>
        </w:tc>
      </w:tr>
      <w:tr w:rsidRPr="003F5B27" w:rsidR="003F5B27" w:rsidTr="003C64EA" w14:paraId="7ADC8F89" w14:textId="77777777">
        <w:trPr>
          <w:trHeight w:val="315"/>
        </w:trPr>
        <w:tc>
          <w:tcPr>
            <w:tcW w:w="3770" w:type="dxa"/>
            <w:tcBorders>
              <w:top w:val="nil"/>
              <w:left w:val="single" w:color="000000" w:sz="8" w:space="0"/>
              <w:bottom w:val="single" w:color="000000" w:sz="8" w:space="0"/>
              <w:right w:val="single" w:color="000000" w:sz="8" w:space="0"/>
            </w:tcBorders>
            <w:shd w:val="clear" w:color="auto" w:fill="auto"/>
            <w:noWrap/>
            <w:vAlign w:val="center"/>
            <w:hideMark/>
          </w:tcPr>
          <w:p w:rsidRPr="003F5B27" w:rsidR="003F5B27" w:rsidP="003F5B27" w:rsidRDefault="003F5B27" w14:paraId="7ED5D5CA" w14:textId="77777777">
            <w:pPr>
              <w:jc w:val="right"/>
              <w:rPr>
                <w:rFonts w:ascii="Times New Roman" w:hAnsi="Times New Roman"/>
                <w:b/>
                <w:bCs/>
                <w:color w:val="000000"/>
                <w:sz w:val="24"/>
                <w:szCs w:val="22"/>
              </w:rPr>
            </w:pPr>
            <w:r w:rsidRPr="003F5B27">
              <w:rPr>
                <w:rFonts w:ascii="Times New Roman" w:hAnsi="Times New Roman"/>
                <w:b/>
                <w:bCs/>
                <w:color w:val="000000"/>
                <w:sz w:val="24"/>
                <w:szCs w:val="22"/>
              </w:rPr>
              <w:t>Summary</w:t>
            </w:r>
          </w:p>
        </w:tc>
        <w:tc>
          <w:tcPr>
            <w:tcW w:w="1980" w:type="dxa"/>
            <w:tcBorders>
              <w:top w:val="nil"/>
              <w:left w:val="nil"/>
              <w:bottom w:val="single" w:color="000000" w:sz="8" w:space="0"/>
              <w:right w:val="single" w:color="000000" w:sz="8" w:space="0"/>
            </w:tcBorders>
            <w:shd w:val="clear" w:color="000000" w:fill="D0CECE"/>
            <w:noWrap/>
            <w:vAlign w:val="center"/>
          </w:tcPr>
          <w:p w:rsidRPr="003F5B27" w:rsidR="003F5B27" w:rsidP="003F5B27" w:rsidRDefault="003F5B27" w14:paraId="6C77968C" w14:textId="77777777">
            <w:pPr>
              <w:jc w:val="center"/>
              <w:rPr>
                <w:rFonts w:ascii="Times New Roman" w:hAnsi="Times New Roman"/>
                <w:b/>
                <w:bCs/>
                <w:color w:val="000000"/>
                <w:sz w:val="24"/>
                <w:szCs w:val="22"/>
              </w:rPr>
            </w:pPr>
            <w:r w:rsidRPr="003F5B27">
              <w:rPr>
                <w:rFonts w:ascii="Times New Roman" w:hAnsi="Times New Roman"/>
                <w:b/>
                <w:bCs/>
                <w:color w:val="000000"/>
                <w:sz w:val="24"/>
                <w:szCs w:val="22"/>
              </w:rPr>
              <w:t>498,985</w:t>
            </w:r>
          </w:p>
        </w:tc>
        <w:tc>
          <w:tcPr>
            <w:tcW w:w="1890" w:type="dxa"/>
            <w:tcBorders>
              <w:top w:val="nil"/>
              <w:left w:val="nil"/>
              <w:bottom w:val="single" w:color="000000" w:sz="8" w:space="0"/>
              <w:right w:val="single" w:color="000000" w:sz="8" w:space="0"/>
            </w:tcBorders>
            <w:shd w:val="clear" w:color="auto" w:fill="auto"/>
            <w:noWrap/>
            <w:vAlign w:val="center"/>
          </w:tcPr>
          <w:p w:rsidRPr="003F5B27" w:rsidR="003F5B27" w:rsidP="003F5B27" w:rsidRDefault="003F5B27" w14:paraId="42D775EA" w14:textId="77777777">
            <w:pPr>
              <w:jc w:val="center"/>
              <w:rPr>
                <w:rFonts w:ascii="Times New Roman" w:hAnsi="Times New Roman"/>
                <w:b/>
                <w:bCs/>
                <w:color w:val="000000"/>
                <w:sz w:val="24"/>
                <w:szCs w:val="22"/>
              </w:rPr>
            </w:pPr>
          </w:p>
        </w:tc>
        <w:tc>
          <w:tcPr>
            <w:tcW w:w="1800" w:type="dxa"/>
            <w:tcBorders>
              <w:top w:val="nil"/>
              <w:left w:val="nil"/>
              <w:bottom w:val="single" w:color="000000" w:sz="8" w:space="0"/>
              <w:right w:val="single" w:color="000000" w:sz="8" w:space="0"/>
            </w:tcBorders>
            <w:shd w:val="clear" w:color="auto" w:fill="auto"/>
            <w:noWrap/>
            <w:vAlign w:val="center"/>
          </w:tcPr>
          <w:p w:rsidRPr="003F5B27" w:rsidR="003F5B27" w:rsidP="003F5B27" w:rsidRDefault="003F5B27" w14:paraId="5ED371FD" w14:textId="77777777">
            <w:pPr>
              <w:jc w:val="center"/>
              <w:rPr>
                <w:rFonts w:ascii="Times New Roman" w:hAnsi="Times New Roman"/>
                <w:b/>
                <w:bCs/>
                <w:color w:val="000000"/>
                <w:sz w:val="24"/>
                <w:szCs w:val="22"/>
              </w:rPr>
            </w:pPr>
          </w:p>
        </w:tc>
        <w:tc>
          <w:tcPr>
            <w:tcW w:w="1800" w:type="dxa"/>
            <w:tcBorders>
              <w:top w:val="nil"/>
              <w:left w:val="nil"/>
              <w:bottom w:val="nil"/>
              <w:right w:val="nil"/>
            </w:tcBorders>
            <w:shd w:val="clear" w:color="auto" w:fill="auto"/>
            <w:noWrap/>
            <w:vAlign w:val="center"/>
            <w:hideMark/>
          </w:tcPr>
          <w:p w:rsidRPr="003F5B27" w:rsidR="003F5B27" w:rsidP="003F5B27" w:rsidRDefault="003F5B27" w14:paraId="70C8EAE6" w14:textId="77777777">
            <w:pPr>
              <w:jc w:val="center"/>
              <w:rPr>
                <w:rFonts w:ascii="Times New Roman" w:hAnsi="Times New Roman"/>
                <w:b/>
                <w:bCs/>
                <w:color w:val="000000"/>
                <w:sz w:val="24"/>
                <w:szCs w:val="22"/>
              </w:rPr>
            </w:pPr>
            <w:r w:rsidRPr="003F5B27">
              <w:rPr>
                <w:rFonts w:ascii="Times New Roman" w:hAnsi="Times New Roman"/>
                <w:b/>
                <w:bCs/>
                <w:color w:val="000000"/>
                <w:sz w:val="24"/>
                <w:szCs w:val="22"/>
              </w:rPr>
              <w:t> </w:t>
            </w:r>
          </w:p>
        </w:tc>
        <w:tc>
          <w:tcPr>
            <w:tcW w:w="1800" w:type="dxa"/>
            <w:tcBorders>
              <w:top w:val="nil"/>
              <w:left w:val="nil"/>
              <w:bottom w:val="nil"/>
              <w:right w:val="nil"/>
            </w:tcBorders>
            <w:shd w:val="clear" w:color="000000" w:fill="FFFFFF"/>
            <w:noWrap/>
            <w:vAlign w:val="bottom"/>
            <w:hideMark/>
          </w:tcPr>
          <w:p w:rsidRPr="003F5B27" w:rsidR="003F5B27" w:rsidP="003F5B27" w:rsidRDefault="003F5B27" w14:paraId="66E85A49" w14:textId="77777777">
            <w:pPr>
              <w:rPr>
                <w:rFonts w:ascii="Times New Roman" w:hAnsi="Times New Roman"/>
                <w:color w:val="000000"/>
                <w:sz w:val="20"/>
              </w:rPr>
            </w:pPr>
            <w:r w:rsidRPr="003F5B27">
              <w:rPr>
                <w:rFonts w:ascii="Times New Roman" w:hAnsi="Times New Roman"/>
                <w:color w:val="000000"/>
                <w:sz w:val="20"/>
              </w:rPr>
              <w:t> </w:t>
            </w:r>
          </w:p>
        </w:tc>
      </w:tr>
      <w:tr w:rsidRPr="003F5B27" w:rsidR="003F5B27" w:rsidTr="003C64EA" w14:paraId="0CD31E66" w14:textId="77777777">
        <w:trPr>
          <w:trHeight w:val="315"/>
        </w:trPr>
        <w:tc>
          <w:tcPr>
            <w:tcW w:w="3770" w:type="dxa"/>
            <w:tcBorders>
              <w:top w:val="nil"/>
              <w:left w:val="single" w:color="000000" w:sz="8" w:space="0"/>
              <w:bottom w:val="single" w:color="000000" w:sz="8" w:space="0"/>
              <w:right w:val="single" w:color="000000" w:sz="8" w:space="0"/>
            </w:tcBorders>
            <w:shd w:val="clear" w:color="auto" w:fill="auto"/>
            <w:noWrap/>
            <w:vAlign w:val="center"/>
            <w:hideMark/>
          </w:tcPr>
          <w:p w:rsidRPr="003F5B27" w:rsidR="003F5B27" w:rsidP="003F5B27" w:rsidRDefault="003F5B27" w14:paraId="7A7B85FC" w14:textId="77777777">
            <w:pPr>
              <w:jc w:val="right"/>
              <w:rPr>
                <w:rFonts w:ascii="Times New Roman" w:hAnsi="Times New Roman"/>
                <w:b/>
                <w:bCs/>
                <w:color w:val="000000"/>
                <w:sz w:val="24"/>
                <w:szCs w:val="22"/>
              </w:rPr>
            </w:pPr>
            <w:r w:rsidRPr="003F5B27">
              <w:rPr>
                <w:rFonts w:ascii="Times New Roman" w:hAnsi="Times New Roman"/>
                <w:b/>
                <w:bCs/>
                <w:color w:val="000000"/>
                <w:sz w:val="24"/>
                <w:szCs w:val="22"/>
              </w:rPr>
              <w:t>Percentage Reduction</w:t>
            </w:r>
          </w:p>
        </w:tc>
        <w:tc>
          <w:tcPr>
            <w:tcW w:w="1980" w:type="dxa"/>
            <w:tcBorders>
              <w:top w:val="nil"/>
              <w:left w:val="nil"/>
              <w:bottom w:val="single" w:color="000000" w:sz="8" w:space="0"/>
              <w:right w:val="single" w:color="000000" w:sz="8" w:space="0"/>
            </w:tcBorders>
            <w:shd w:val="clear" w:color="000000" w:fill="D0CECE"/>
            <w:noWrap/>
            <w:vAlign w:val="center"/>
          </w:tcPr>
          <w:p w:rsidRPr="003F5B27" w:rsidR="003F5B27" w:rsidP="003F5B27" w:rsidRDefault="003F5B27" w14:paraId="6FD00144" w14:textId="77777777">
            <w:pPr>
              <w:jc w:val="center"/>
              <w:rPr>
                <w:rFonts w:ascii="Times New Roman" w:hAnsi="Times New Roman"/>
                <w:b/>
                <w:bCs/>
                <w:color w:val="000000"/>
                <w:sz w:val="24"/>
                <w:szCs w:val="22"/>
              </w:rPr>
            </w:pPr>
            <w:r w:rsidRPr="003F5B27">
              <w:rPr>
                <w:rFonts w:ascii="Times New Roman" w:hAnsi="Times New Roman"/>
                <w:b/>
                <w:bCs/>
                <w:color w:val="000000"/>
                <w:sz w:val="24"/>
                <w:szCs w:val="22"/>
              </w:rPr>
              <w:t>18.00%</w:t>
            </w:r>
          </w:p>
        </w:tc>
        <w:tc>
          <w:tcPr>
            <w:tcW w:w="1890" w:type="dxa"/>
            <w:tcBorders>
              <w:top w:val="nil"/>
              <w:left w:val="nil"/>
              <w:bottom w:val="single" w:color="000000" w:sz="8" w:space="0"/>
              <w:right w:val="single" w:color="000000" w:sz="8" w:space="0"/>
            </w:tcBorders>
            <w:shd w:val="clear" w:color="auto" w:fill="auto"/>
            <w:noWrap/>
            <w:vAlign w:val="center"/>
          </w:tcPr>
          <w:p w:rsidRPr="003F5B27" w:rsidR="003F5B27" w:rsidP="003F5B27" w:rsidRDefault="003F5B27" w14:paraId="19CD7D20" w14:textId="77777777">
            <w:pPr>
              <w:jc w:val="center"/>
              <w:rPr>
                <w:rFonts w:ascii="Times New Roman" w:hAnsi="Times New Roman"/>
                <w:b/>
                <w:bCs/>
                <w:color w:val="000000"/>
                <w:sz w:val="24"/>
                <w:szCs w:val="22"/>
              </w:rPr>
            </w:pPr>
          </w:p>
        </w:tc>
        <w:tc>
          <w:tcPr>
            <w:tcW w:w="1800" w:type="dxa"/>
            <w:tcBorders>
              <w:top w:val="nil"/>
              <w:left w:val="nil"/>
              <w:bottom w:val="single" w:color="000000" w:sz="8" w:space="0"/>
              <w:right w:val="single" w:color="000000" w:sz="8" w:space="0"/>
            </w:tcBorders>
            <w:shd w:val="clear" w:color="auto" w:fill="auto"/>
            <w:noWrap/>
            <w:vAlign w:val="center"/>
          </w:tcPr>
          <w:p w:rsidRPr="003F5B27" w:rsidR="003F5B27" w:rsidP="003F5B27" w:rsidRDefault="003F5B27" w14:paraId="7B45EBFE" w14:textId="77777777">
            <w:pPr>
              <w:jc w:val="center"/>
              <w:rPr>
                <w:rFonts w:ascii="Times New Roman" w:hAnsi="Times New Roman"/>
                <w:b/>
                <w:bCs/>
                <w:color w:val="000000"/>
                <w:sz w:val="24"/>
                <w:szCs w:val="22"/>
              </w:rPr>
            </w:pPr>
          </w:p>
        </w:tc>
        <w:tc>
          <w:tcPr>
            <w:tcW w:w="1800" w:type="dxa"/>
            <w:tcBorders>
              <w:top w:val="nil"/>
              <w:left w:val="nil"/>
              <w:bottom w:val="nil"/>
              <w:right w:val="nil"/>
            </w:tcBorders>
            <w:shd w:val="clear" w:color="auto" w:fill="auto"/>
            <w:noWrap/>
            <w:vAlign w:val="center"/>
            <w:hideMark/>
          </w:tcPr>
          <w:p w:rsidRPr="003F5B27" w:rsidR="003F5B27" w:rsidP="003F5B27" w:rsidRDefault="003F5B27" w14:paraId="447B7864" w14:textId="77777777">
            <w:pPr>
              <w:jc w:val="center"/>
              <w:rPr>
                <w:rFonts w:ascii="Times New Roman" w:hAnsi="Times New Roman"/>
                <w:b/>
                <w:bCs/>
                <w:color w:val="000000"/>
                <w:sz w:val="24"/>
                <w:szCs w:val="22"/>
              </w:rPr>
            </w:pPr>
            <w:r w:rsidRPr="003F5B27">
              <w:rPr>
                <w:rFonts w:ascii="Times New Roman" w:hAnsi="Times New Roman"/>
                <w:b/>
                <w:bCs/>
                <w:color w:val="000000"/>
                <w:sz w:val="24"/>
                <w:szCs w:val="22"/>
              </w:rPr>
              <w:t> </w:t>
            </w:r>
          </w:p>
        </w:tc>
        <w:tc>
          <w:tcPr>
            <w:tcW w:w="1800" w:type="dxa"/>
            <w:tcBorders>
              <w:top w:val="nil"/>
              <w:left w:val="nil"/>
              <w:bottom w:val="nil"/>
              <w:right w:val="nil"/>
            </w:tcBorders>
            <w:shd w:val="clear" w:color="000000" w:fill="FFFFFF"/>
            <w:noWrap/>
            <w:vAlign w:val="bottom"/>
            <w:hideMark/>
          </w:tcPr>
          <w:p w:rsidRPr="003F5B27" w:rsidR="003F5B27" w:rsidP="003F5B27" w:rsidRDefault="003F5B27" w14:paraId="4FC67DC0" w14:textId="77777777">
            <w:pPr>
              <w:rPr>
                <w:rFonts w:ascii="Times New Roman" w:hAnsi="Times New Roman"/>
                <w:color w:val="000000"/>
                <w:sz w:val="20"/>
              </w:rPr>
            </w:pPr>
            <w:r w:rsidRPr="003F5B27">
              <w:rPr>
                <w:rFonts w:ascii="Times New Roman" w:hAnsi="Times New Roman"/>
                <w:color w:val="000000"/>
                <w:sz w:val="20"/>
              </w:rPr>
              <w:t> </w:t>
            </w:r>
          </w:p>
        </w:tc>
      </w:tr>
    </w:tbl>
    <w:p w:rsidRPr="003F5B27" w:rsidR="003F5B27" w:rsidP="003F5B27" w:rsidRDefault="003F5B27" w14:paraId="1A41D4E5" w14:textId="77777777">
      <w:pPr>
        <w:autoSpaceDE w:val="0"/>
        <w:autoSpaceDN w:val="0"/>
        <w:adjustRightInd w:val="0"/>
        <w:rPr>
          <w:rFonts w:ascii="Times New Roman" w:hAnsi="Times New Roman" w:eastAsiaTheme="minorHAnsi"/>
          <w:sz w:val="24"/>
          <w:szCs w:val="22"/>
        </w:rPr>
      </w:pPr>
      <w:r w:rsidRPr="003F5B27">
        <w:rPr>
          <w:rFonts w:ascii="Times New Roman" w:hAnsi="Times New Roman"/>
          <w:color w:val="000000"/>
          <w:sz w:val="20"/>
          <w:vertAlign w:val="superscript"/>
        </w:rPr>
        <w:lastRenderedPageBreak/>
        <w:t xml:space="preserve">1 </w:t>
      </w:r>
      <w:r w:rsidRPr="003F5B27">
        <w:rPr>
          <w:rFonts w:ascii="Times New Roman" w:hAnsi="Times New Roman" w:eastAsiaTheme="minorHAnsi"/>
          <w:sz w:val="24"/>
          <w:szCs w:val="22"/>
        </w:rPr>
        <w:t>No additional reductions are estimated beyond 2025.</w:t>
      </w:r>
    </w:p>
    <w:p w:rsidRPr="003F5B27" w:rsidR="003F5B27" w:rsidP="003F5B27" w:rsidRDefault="003F5B27" w14:paraId="6A91249D" w14:textId="77777777">
      <w:pPr>
        <w:autoSpaceDE w:val="0"/>
        <w:autoSpaceDN w:val="0"/>
        <w:adjustRightInd w:val="0"/>
        <w:rPr>
          <w:rFonts w:ascii="Times New Roman" w:hAnsi="Times New Roman" w:eastAsiaTheme="minorHAnsi"/>
          <w:sz w:val="24"/>
          <w:szCs w:val="22"/>
        </w:rPr>
      </w:pPr>
      <w:r w:rsidRPr="003F5B27">
        <w:rPr>
          <w:rFonts w:ascii="Times New Roman" w:hAnsi="Times New Roman"/>
          <w:color w:val="000000"/>
          <w:sz w:val="20"/>
          <w:vertAlign w:val="superscript"/>
        </w:rPr>
        <w:t xml:space="preserve">2 </w:t>
      </w:r>
      <w:r w:rsidRPr="003F5B27">
        <w:rPr>
          <w:rFonts w:ascii="Times New Roman" w:hAnsi="Times New Roman" w:eastAsiaTheme="minorHAnsi"/>
          <w:sz w:val="24"/>
          <w:szCs w:val="22"/>
        </w:rPr>
        <w:t>Cost effectiveness includes reductions from downstream facilities.</w:t>
      </w:r>
    </w:p>
    <w:p w:rsidRPr="003F5B27" w:rsidR="003F5B27" w:rsidP="003F5B27" w:rsidRDefault="003F5B27" w14:paraId="5D36898E" w14:textId="77777777">
      <w:pPr>
        <w:autoSpaceDE w:val="0"/>
        <w:autoSpaceDN w:val="0"/>
        <w:adjustRightInd w:val="0"/>
        <w:rPr>
          <w:rFonts w:ascii="Times New Roman" w:hAnsi="Times New Roman" w:eastAsiaTheme="minorHAnsi"/>
          <w:b/>
          <w:bCs/>
          <w:sz w:val="24"/>
          <w:szCs w:val="22"/>
        </w:rPr>
      </w:pPr>
      <w:r w:rsidRPr="003F5B27">
        <w:rPr>
          <w:rFonts w:ascii="Times New Roman" w:hAnsi="Times New Roman"/>
          <w:color w:val="000000"/>
          <w:sz w:val="20"/>
          <w:vertAlign w:val="superscript"/>
        </w:rPr>
        <w:t xml:space="preserve">3 </w:t>
      </w:r>
      <w:r w:rsidRPr="003F5B27">
        <w:rPr>
          <w:rFonts w:ascii="Times New Roman" w:hAnsi="Times New Roman" w:eastAsiaTheme="minorHAnsi"/>
          <w:sz w:val="24"/>
          <w:szCs w:val="22"/>
        </w:rPr>
        <w:t>Downstream emissions reductions.</w:t>
      </w:r>
    </w:p>
    <w:p w:rsidRPr="003F5B27" w:rsidR="003F5B27" w:rsidP="003F5B27" w:rsidRDefault="003F5B27" w14:paraId="1047E35B" w14:textId="77777777">
      <w:pPr>
        <w:autoSpaceDE w:val="0"/>
        <w:autoSpaceDN w:val="0"/>
        <w:adjustRightInd w:val="0"/>
        <w:rPr>
          <w:rFonts w:ascii="Times New Roman" w:hAnsi="Times New Roman" w:eastAsiaTheme="minorHAnsi"/>
          <w:sz w:val="24"/>
          <w:szCs w:val="22"/>
        </w:rPr>
      </w:pPr>
      <w:r w:rsidRPr="003F5B27">
        <w:rPr>
          <w:rFonts w:ascii="Times New Roman" w:hAnsi="Times New Roman"/>
          <w:color w:val="000000"/>
          <w:sz w:val="20"/>
          <w:vertAlign w:val="superscript"/>
        </w:rPr>
        <w:t xml:space="preserve">4 </w:t>
      </w:r>
      <w:r w:rsidRPr="003F5B27">
        <w:rPr>
          <w:rFonts w:ascii="Times New Roman" w:hAnsi="Times New Roman" w:eastAsiaTheme="minorHAnsi"/>
          <w:sz w:val="24"/>
          <w:szCs w:val="22"/>
        </w:rPr>
        <w:t>Cost Effectiveness is negative: savings are greater than costs.</w:t>
      </w:r>
    </w:p>
    <w:p w:rsidRPr="003F5B27" w:rsidR="003F5B27" w:rsidP="003F5B27" w:rsidRDefault="003F5B27" w14:paraId="30E9DA93" w14:textId="77777777">
      <w:pPr>
        <w:autoSpaceDE w:val="0"/>
        <w:autoSpaceDN w:val="0"/>
        <w:adjustRightInd w:val="0"/>
        <w:rPr>
          <w:rFonts w:ascii="Times New Roman" w:hAnsi="Times New Roman" w:eastAsiaTheme="minorHAnsi"/>
          <w:sz w:val="24"/>
          <w:szCs w:val="22"/>
        </w:rPr>
      </w:pPr>
      <w:r w:rsidRPr="003F5B27">
        <w:rPr>
          <w:rFonts w:ascii="Times New Roman" w:hAnsi="Times New Roman"/>
          <w:color w:val="000000"/>
          <w:sz w:val="20"/>
          <w:vertAlign w:val="superscript"/>
        </w:rPr>
        <w:t xml:space="preserve">5 </w:t>
      </w:r>
      <w:r w:rsidRPr="003F5B27">
        <w:rPr>
          <w:rFonts w:ascii="Times New Roman" w:hAnsi="Times New Roman" w:eastAsiaTheme="minorHAnsi"/>
          <w:sz w:val="24"/>
          <w:szCs w:val="22"/>
        </w:rPr>
        <w:t>Cost Effectiveness is negative: savings are greater than costs.</w:t>
      </w:r>
    </w:p>
    <w:p w:rsidRPr="003F5B27" w:rsidR="003F5B27" w:rsidP="003F5B27" w:rsidRDefault="003F5B27" w14:paraId="1672FBF1" w14:textId="77777777">
      <w:pPr>
        <w:autoSpaceDE w:val="0"/>
        <w:autoSpaceDN w:val="0"/>
        <w:adjustRightInd w:val="0"/>
        <w:rPr>
          <w:rFonts w:ascii="Times New Roman" w:hAnsi="Times New Roman" w:eastAsiaTheme="minorHAnsi"/>
          <w:sz w:val="24"/>
          <w:szCs w:val="22"/>
        </w:rPr>
      </w:pPr>
      <w:r w:rsidRPr="003F5B27">
        <w:rPr>
          <w:rFonts w:ascii="Times New Roman" w:hAnsi="Times New Roman"/>
          <w:color w:val="000000"/>
          <w:sz w:val="20"/>
          <w:vertAlign w:val="superscript"/>
        </w:rPr>
        <w:t xml:space="preserve">6 </w:t>
      </w:r>
      <w:r w:rsidRPr="003F5B27">
        <w:rPr>
          <w:rFonts w:ascii="Times New Roman" w:hAnsi="Times New Roman" w:eastAsiaTheme="minorHAnsi"/>
          <w:sz w:val="24"/>
          <w:szCs w:val="22"/>
        </w:rPr>
        <w:t>Cost Effectiveness is negative: savings are greater than costs.</w:t>
      </w:r>
    </w:p>
    <w:p w:rsidRPr="003F5B27" w:rsidR="003F5B27" w:rsidP="003F5B27" w:rsidRDefault="003F5B27" w14:paraId="54380B6A" w14:textId="77777777">
      <w:pPr>
        <w:autoSpaceDE w:val="0"/>
        <w:autoSpaceDN w:val="0"/>
        <w:adjustRightInd w:val="0"/>
        <w:rPr>
          <w:rFonts w:ascii="Times New Roman" w:hAnsi="Times New Roman" w:eastAsiaTheme="minorHAnsi"/>
          <w:sz w:val="24"/>
          <w:szCs w:val="22"/>
        </w:rPr>
      </w:pPr>
      <w:r w:rsidRPr="003F5B27">
        <w:rPr>
          <w:rFonts w:ascii="Times New Roman" w:hAnsi="Times New Roman"/>
          <w:color w:val="000000"/>
          <w:sz w:val="20"/>
          <w:vertAlign w:val="superscript"/>
        </w:rPr>
        <w:t xml:space="preserve">7 </w:t>
      </w:r>
      <w:r w:rsidRPr="003F5B27">
        <w:rPr>
          <w:rFonts w:ascii="Times New Roman" w:hAnsi="Times New Roman" w:eastAsiaTheme="minorHAnsi"/>
          <w:sz w:val="24"/>
          <w:szCs w:val="22"/>
        </w:rPr>
        <w:t>Emissions reduction is only attributed for 2022, after that, will be accounted for under other measures.</w:t>
      </w:r>
    </w:p>
    <w:p w:rsidRPr="003F5B27" w:rsidR="003F5B27" w:rsidP="003F5B27" w:rsidRDefault="003F5B27" w14:paraId="051ACA90" w14:textId="77777777">
      <w:pPr>
        <w:autoSpaceDE w:val="0"/>
        <w:autoSpaceDN w:val="0"/>
        <w:adjustRightInd w:val="0"/>
        <w:rPr>
          <w:rFonts w:ascii="Times New Roman" w:hAnsi="Times New Roman" w:eastAsiaTheme="minorHAnsi"/>
          <w:sz w:val="24"/>
          <w:szCs w:val="22"/>
        </w:rPr>
        <w:sectPr w:rsidRPr="003F5B27" w:rsidR="003F5B27" w:rsidSect="003C64EA">
          <w:pgSz w:w="15840" w:h="12240" w:orient="landscape"/>
          <w:pgMar w:top="1440" w:right="1440" w:bottom="1440" w:left="1440" w:header="720" w:footer="720" w:gutter="0"/>
          <w:cols w:space="720"/>
          <w:docGrid w:linePitch="360"/>
        </w:sectPr>
      </w:pPr>
      <w:r w:rsidRPr="003F5B27">
        <w:rPr>
          <w:rFonts w:ascii="Times New Roman" w:hAnsi="Times New Roman"/>
          <w:color w:val="000000"/>
          <w:sz w:val="20"/>
          <w:vertAlign w:val="superscript"/>
        </w:rPr>
        <w:t xml:space="preserve">8 </w:t>
      </w:r>
      <w:r w:rsidRPr="003F5B27">
        <w:rPr>
          <w:rFonts w:ascii="Times New Roman" w:hAnsi="Times New Roman" w:eastAsiaTheme="minorHAnsi"/>
          <w:sz w:val="24"/>
          <w:szCs w:val="22"/>
        </w:rPr>
        <w:t>Net Cost Effectiveness is Standard Cost Effectiveness, less Cap and Trade and Social Cost of Methane benefits.</w:t>
      </w:r>
    </w:p>
    <w:p w:rsidRPr="003F5B27" w:rsidR="003F5B27" w:rsidP="003F5B27" w:rsidRDefault="003F5B27" w14:paraId="6FD99CC0" w14:textId="77777777">
      <w:pPr>
        <w:keepNext/>
        <w:keepLines/>
        <w:spacing w:before="240" w:line="259" w:lineRule="auto"/>
        <w:outlineLvl w:val="0"/>
        <w:rPr>
          <w:rFonts w:ascii="Century Gothic" w:hAnsi="Century Gothic" w:eastAsiaTheme="majorEastAsia" w:cstheme="majorBidi"/>
          <w:color w:val="2F5496" w:themeColor="accent1" w:themeShade="BF"/>
          <w:sz w:val="32"/>
          <w:szCs w:val="32"/>
        </w:rPr>
      </w:pPr>
      <w:r w:rsidRPr="003F5B27">
        <w:rPr>
          <w:rFonts w:ascii="Century Gothic" w:hAnsi="Century Gothic" w:eastAsiaTheme="majorEastAsia" w:cstheme="majorBidi"/>
          <w:color w:val="2F5496" w:themeColor="accent1" w:themeShade="BF"/>
          <w:sz w:val="32"/>
          <w:szCs w:val="32"/>
        </w:rPr>
        <w:lastRenderedPageBreak/>
        <w:t>Appendix B: Best Practices for the Natural Gas Leak Abatement Program</w:t>
      </w:r>
    </w:p>
    <w:p w:rsidRPr="003F5B27" w:rsidR="003F5B27" w:rsidP="003F5B27" w:rsidRDefault="003F5B27" w14:paraId="0A5F5290" w14:textId="77777777">
      <w:pPr>
        <w:spacing w:line="259" w:lineRule="auto"/>
        <w:rPr>
          <w:rFonts w:ascii="Garamond" w:hAnsi="Garamond" w:eastAsiaTheme="minorHAnsi" w:cstheme="minorBidi"/>
          <w:sz w:val="24"/>
          <w:szCs w:val="22"/>
        </w:rPr>
      </w:pPr>
    </w:p>
    <w:tbl>
      <w:tblPr>
        <w:tblStyle w:val="TableGrid"/>
        <w:tblW w:w="10181" w:type="dxa"/>
        <w:tblInd w:w="-155" w:type="dxa"/>
        <w:tblLayout w:type="fixed"/>
        <w:tblCellMar>
          <w:left w:w="115" w:type="dxa"/>
          <w:right w:w="115" w:type="dxa"/>
        </w:tblCellMar>
        <w:tblLook w:val="04A0" w:firstRow="1" w:lastRow="0" w:firstColumn="1" w:lastColumn="0" w:noHBand="0" w:noVBand="1"/>
      </w:tblPr>
      <w:tblGrid>
        <w:gridCol w:w="869"/>
        <w:gridCol w:w="4497"/>
        <w:gridCol w:w="4815"/>
      </w:tblGrid>
      <w:tr w:rsidRPr="003F5B27" w:rsidR="003F5B27" w:rsidTr="003C64EA" w14:paraId="3E59034B" w14:textId="77777777">
        <w:trPr>
          <w:trHeight w:val="260"/>
          <w:tblHeader/>
        </w:trPr>
        <w:tc>
          <w:tcPr>
            <w:tcW w:w="869" w:type="dxa"/>
            <w:noWrap/>
            <w:hideMark/>
          </w:tcPr>
          <w:p w:rsidRPr="003F5B27" w:rsidR="003F5B27" w:rsidP="003F5B27" w:rsidRDefault="003F5B27" w14:paraId="05EF0581" w14:textId="77777777">
            <w:pPr>
              <w:rPr>
                <w:rFonts w:ascii="Garamond" w:hAnsi="Garamond"/>
                <w:bCs/>
                <w:kern w:val="32"/>
                <w:sz w:val="24"/>
                <w:szCs w:val="24"/>
              </w:rPr>
            </w:pPr>
            <w:r w:rsidRPr="003F5B27">
              <w:rPr>
                <w:rFonts w:ascii="Garamond" w:hAnsi="Garamond"/>
                <w:bCs/>
                <w:kern w:val="32"/>
                <w:sz w:val="24"/>
                <w:szCs w:val="24"/>
              </w:rPr>
              <w:t>No.</w:t>
            </w:r>
          </w:p>
        </w:tc>
        <w:tc>
          <w:tcPr>
            <w:tcW w:w="4497" w:type="dxa"/>
            <w:noWrap/>
            <w:hideMark/>
          </w:tcPr>
          <w:p w:rsidRPr="003F5B27" w:rsidR="003F5B27" w:rsidP="003F5B27" w:rsidRDefault="003F5B27" w14:paraId="3DB2D944" w14:textId="77777777">
            <w:pPr>
              <w:rPr>
                <w:rFonts w:ascii="Garamond" w:hAnsi="Garamond"/>
                <w:bCs/>
                <w:kern w:val="32"/>
                <w:sz w:val="24"/>
                <w:szCs w:val="24"/>
              </w:rPr>
            </w:pPr>
            <w:r w:rsidRPr="003F5B27">
              <w:rPr>
                <w:rFonts w:ascii="Garamond" w:hAnsi="Garamond"/>
                <w:bCs/>
                <w:kern w:val="32"/>
                <w:sz w:val="24"/>
                <w:szCs w:val="24"/>
              </w:rPr>
              <w:t>Best Practices</w:t>
            </w:r>
          </w:p>
        </w:tc>
        <w:tc>
          <w:tcPr>
            <w:tcW w:w="4815" w:type="dxa"/>
            <w:noWrap/>
            <w:hideMark/>
          </w:tcPr>
          <w:p w:rsidRPr="003F5B27" w:rsidR="003F5B27" w:rsidP="003F5B27" w:rsidRDefault="003F5B27" w14:paraId="1145D069" w14:textId="77777777">
            <w:pPr>
              <w:rPr>
                <w:rFonts w:ascii="Garamond" w:hAnsi="Garamond"/>
                <w:bCs/>
                <w:kern w:val="32"/>
                <w:sz w:val="24"/>
                <w:szCs w:val="24"/>
              </w:rPr>
            </w:pPr>
            <w:r w:rsidRPr="003F5B27">
              <w:rPr>
                <w:rFonts w:ascii="Garamond" w:hAnsi="Garamond"/>
                <w:bCs/>
                <w:kern w:val="32"/>
                <w:sz w:val="24"/>
                <w:szCs w:val="24"/>
              </w:rPr>
              <w:t>Rationale</w:t>
            </w:r>
          </w:p>
        </w:tc>
      </w:tr>
      <w:tr w:rsidRPr="003F5B27" w:rsidR="003F5B27" w:rsidTr="003C64EA" w14:paraId="4604F167" w14:textId="77777777">
        <w:trPr>
          <w:trHeight w:val="300"/>
        </w:trPr>
        <w:tc>
          <w:tcPr>
            <w:tcW w:w="869" w:type="dxa"/>
            <w:noWrap/>
            <w:hideMark/>
          </w:tcPr>
          <w:p w:rsidRPr="003F5B27" w:rsidR="003F5B27" w:rsidP="003F5B27" w:rsidRDefault="003F5B27" w14:paraId="77E02218" w14:textId="77777777">
            <w:pPr>
              <w:rPr>
                <w:rFonts w:ascii="Garamond" w:hAnsi="Garamond"/>
                <w:bCs/>
                <w:kern w:val="32"/>
                <w:sz w:val="24"/>
                <w:szCs w:val="24"/>
              </w:rPr>
            </w:pPr>
          </w:p>
        </w:tc>
        <w:tc>
          <w:tcPr>
            <w:tcW w:w="4497" w:type="dxa"/>
            <w:noWrap/>
            <w:hideMark/>
          </w:tcPr>
          <w:p w:rsidRPr="003F5B27" w:rsidR="003F5B27" w:rsidP="003F5B27" w:rsidRDefault="003F5B27" w14:paraId="6C88E85B" w14:textId="77777777">
            <w:pPr>
              <w:rPr>
                <w:rFonts w:ascii="Garamond" w:hAnsi="Garamond"/>
                <w:bCs/>
                <w:kern w:val="32"/>
                <w:sz w:val="24"/>
                <w:szCs w:val="24"/>
              </w:rPr>
            </w:pPr>
            <w:r w:rsidRPr="003F5B27">
              <w:rPr>
                <w:rFonts w:ascii="Garamond" w:hAnsi="Garamond"/>
                <w:bCs/>
                <w:kern w:val="32"/>
                <w:sz w:val="24"/>
                <w:szCs w:val="24"/>
              </w:rPr>
              <w:t>Policies and Procedures (P&amp;P)</w:t>
            </w:r>
          </w:p>
        </w:tc>
        <w:tc>
          <w:tcPr>
            <w:tcW w:w="4815" w:type="dxa"/>
            <w:noWrap/>
            <w:hideMark/>
          </w:tcPr>
          <w:p w:rsidRPr="003F5B27" w:rsidR="003F5B27" w:rsidP="003F5B27" w:rsidRDefault="003F5B27" w14:paraId="5B46CBCA" w14:textId="77777777">
            <w:pPr>
              <w:rPr>
                <w:rFonts w:ascii="Garamond" w:hAnsi="Garamond"/>
                <w:bCs/>
                <w:kern w:val="32"/>
                <w:sz w:val="24"/>
                <w:szCs w:val="24"/>
              </w:rPr>
            </w:pPr>
          </w:p>
        </w:tc>
      </w:tr>
      <w:tr w:rsidRPr="003F5B27" w:rsidR="003F5B27" w:rsidTr="003C64EA" w14:paraId="6616EB65" w14:textId="77777777">
        <w:trPr>
          <w:trHeight w:val="7649"/>
        </w:trPr>
        <w:tc>
          <w:tcPr>
            <w:tcW w:w="869" w:type="dxa"/>
            <w:noWrap/>
            <w:hideMark/>
          </w:tcPr>
          <w:p w:rsidRPr="003F5B27" w:rsidR="003F5B27" w:rsidP="003F5B27" w:rsidRDefault="003F5B27" w14:paraId="46ADE145" w14:textId="77777777">
            <w:pPr>
              <w:rPr>
                <w:rFonts w:ascii="Garamond" w:hAnsi="Garamond"/>
                <w:bCs/>
                <w:kern w:val="32"/>
                <w:sz w:val="24"/>
                <w:szCs w:val="24"/>
              </w:rPr>
            </w:pPr>
            <w:r w:rsidRPr="003F5B27">
              <w:rPr>
                <w:rFonts w:ascii="Garamond" w:hAnsi="Garamond"/>
                <w:bCs/>
                <w:kern w:val="32"/>
                <w:sz w:val="24"/>
                <w:szCs w:val="24"/>
              </w:rPr>
              <w:t>BP 1</w:t>
            </w:r>
          </w:p>
        </w:tc>
        <w:tc>
          <w:tcPr>
            <w:tcW w:w="4497" w:type="dxa"/>
            <w:hideMark/>
          </w:tcPr>
          <w:p w:rsidRPr="003F5B27" w:rsidR="003F5B27" w:rsidP="003F5B27" w:rsidRDefault="003F5B27" w14:paraId="17A800A4" w14:textId="77777777">
            <w:pPr>
              <w:rPr>
                <w:rFonts w:ascii="Garamond" w:hAnsi="Garamond"/>
                <w:bCs/>
                <w:kern w:val="32"/>
                <w:sz w:val="24"/>
                <w:szCs w:val="24"/>
                <w:u w:val="single"/>
              </w:rPr>
            </w:pPr>
            <w:r w:rsidRPr="003F5B27">
              <w:rPr>
                <w:rFonts w:ascii="Garamond" w:hAnsi="Garamond"/>
                <w:bCs/>
                <w:kern w:val="32"/>
                <w:sz w:val="24"/>
                <w:szCs w:val="24"/>
                <w:u w:val="single"/>
              </w:rPr>
              <w:t>Compliance Plan</w:t>
            </w:r>
          </w:p>
          <w:p w:rsidRPr="003F5B27" w:rsidR="003F5B27" w:rsidP="003F5B27" w:rsidRDefault="003F5B27" w14:paraId="232D4EA0" w14:textId="77777777">
            <w:pPr>
              <w:rPr>
                <w:rFonts w:ascii="Garamond" w:hAnsi="Garamond"/>
                <w:bCs/>
                <w:kern w:val="32"/>
                <w:sz w:val="24"/>
                <w:szCs w:val="24"/>
              </w:rPr>
            </w:pPr>
            <w:r w:rsidRPr="003F5B27">
              <w:rPr>
                <w:rFonts w:ascii="Garamond" w:hAnsi="Garamond"/>
                <w:bCs/>
                <w:kern w:val="32"/>
                <w:sz w:val="24"/>
                <w:szCs w:val="24"/>
              </w:rPr>
              <w:t>Written Compliance Plan identifying the policies, programs, procedures, instructions, documents, etc. used to comply with the Final Decision in this Proceeding (R.15-01-008).  Exact wording TBD by the company and approved by the CPUC, in consultation with CARB.  Compliance Plans shall be signed by company officers certifying their company’s compliance.  Compliance Plans shall include copies of all policies and procedures related to their Compliance Plans.  Compliance Plans shall be filed biennially (i.e. every other year) to evaluate best practices based on progress and effectiveness of Companies’ natural gas leakage abatement and minimization of methane emissions.</w:t>
            </w:r>
          </w:p>
          <w:p w:rsidRPr="003F5B27" w:rsidR="003F5B27" w:rsidP="003F5B27" w:rsidRDefault="003F5B27" w14:paraId="1C2E08B3" w14:textId="77777777">
            <w:pPr>
              <w:rPr>
                <w:rFonts w:ascii="Garamond" w:hAnsi="Garamond"/>
                <w:bCs/>
                <w:kern w:val="32"/>
                <w:sz w:val="24"/>
                <w:szCs w:val="24"/>
              </w:rPr>
            </w:pPr>
          </w:p>
        </w:tc>
        <w:tc>
          <w:tcPr>
            <w:tcW w:w="4815" w:type="dxa"/>
          </w:tcPr>
          <w:p w:rsidRPr="003F5B27" w:rsidR="003F5B27" w:rsidP="003F5B27" w:rsidRDefault="003F5B27" w14:paraId="2D1073D3" w14:textId="77777777">
            <w:pPr>
              <w:rPr>
                <w:rFonts w:ascii="Garamond" w:hAnsi="Garamond"/>
                <w:bCs/>
                <w:kern w:val="32"/>
                <w:sz w:val="24"/>
                <w:szCs w:val="24"/>
              </w:rPr>
            </w:pPr>
            <w:r w:rsidRPr="003F5B27">
              <w:rPr>
                <w:rFonts w:ascii="Garamond" w:hAnsi="Garamond"/>
                <w:bCs/>
                <w:kern w:val="32"/>
                <w:sz w:val="24"/>
                <w:szCs w:val="24"/>
              </w:rPr>
              <w:t xml:space="preserve">Each company is of a different size and has a different business model.  Compliance Plans will require Companies to include those Best Practices (BPs) mandated by the Commission, noting applicable exemptions and alternatives, and any additional measures proposed by each Company to abate natural gas leakage and minimize methane emissions.  However, companies must submit a Compliance Plan for approval by the CPUC, in consultation with CARB, to ensure that they are complying with the decisions of this proceeding and SB 1371.  The Compliance Plan filing also incorporates many requirements for other BPs including policies and procedures, recordkeeping, training, experienced/trained personnel.  In addition, other specific requirements in many leak detection, leak repair and leak prevention BPs are incorporated into the Compliance Plan filing.  </w:t>
            </w:r>
          </w:p>
          <w:p w:rsidRPr="003F5B27" w:rsidR="003F5B27" w:rsidP="003F5B27" w:rsidRDefault="003F5B27" w14:paraId="6B38335A" w14:textId="77777777">
            <w:pPr>
              <w:rPr>
                <w:rFonts w:ascii="Garamond" w:hAnsi="Garamond"/>
                <w:bCs/>
                <w:kern w:val="32"/>
                <w:sz w:val="24"/>
                <w:szCs w:val="24"/>
              </w:rPr>
            </w:pPr>
          </w:p>
        </w:tc>
      </w:tr>
      <w:tr w:rsidRPr="003F5B27" w:rsidR="003F5B27" w:rsidTr="003C64EA" w14:paraId="3C01976B" w14:textId="77777777">
        <w:trPr>
          <w:trHeight w:val="755"/>
        </w:trPr>
        <w:tc>
          <w:tcPr>
            <w:tcW w:w="869" w:type="dxa"/>
            <w:noWrap/>
            <w:hideMark/>
          </w:tcPr>
          <w:p w:rsidRPr="003F5B27" w:rsidR="003F5B27" w:rsidP="003F5B27" w:rsidRDefault="003F5B27" w14:paraId="18516A85" w14:textId="77777777">
            <w:pPr>
              <w:rPr>
                <w:rFonts w:ascii="Garamond" w:hAnsi="Garamond"/>
                <w:bCs/>
                <w:kern w:val="32"/>
                <w:sz w:val="24"/>
                <w:szCs w:val="24"/>
              </w:rPr>
            </w:pPr>
            <w:r w:rsidRPr="003F5B27">
              <w:rPr>
                <w:rFonts w:ascii="Garamond" w:hAnsi="Garamond"/>
                <w:bCs/>
                <w:kern w:val="32"/>
                <w:sz w:val="24"/>
                <w:szCs w:val="24"/>
              </w:rPr>
              <w:t>BP 2</w:t>
            </w:r>
          </w:p>
        </w:tc>
        <w:tc>
          <w:tcPr>
            <w:tcW w:w="4497" w:type="dxa"/>
            <w:hideMark/>
          </w:tcPr>
          <w:p w:rsidRPr="003F5B27" w:rsidR="003F5B27" w:rsidP="003F5B27" w:rsidRDefault="003F5B27" w14:paraId="06702837" w14:textId="77777777">
            <w:pPr>
              <w:rPr>
                <w:rFonts w:ascii="Garamond" w:hAnsi="Garamond"/>
                <w:bCs/>
                <w:kern w:val="32"/>
                <w:sz w:val="24"/>
                <w:szCs w:val="24"/>
                <w:u w:val="single"/>
              </w:rPr>
            </w:pPr>
            <w:r w:rsidRPr="003F5B27">
              <w:rPr>
                <w:rFonts w:ascii="Garamond" w:hAnsi="Garamond"/>
                <w:bCs/>
                <w:kern w:val="32"/>
                <w:sz w:val="24"/>
                <w:szCs w:val="24"/>
                <w:u w:val="single"/>
              </w:rPr>
              <w:t>Methane GHG Policy</w:t>
            </w:r>
          </w:p>
          <w:p w:rsidRPr="003F5B27" w:rsidR="003F5B27" w:rsidP="003F5B27" w:rsidRDefault="003F5B27" w14:paraId="17C38CCA" w14:textId="77777777">
            <w:pPr>
              <w:rPr>
                <w:rFonts w:ascii="Garamond" w:hAnsi="Garamond"/>
                <w:bCs/>
                <w:kern w:val="32"/>
                <w:sz w:val="24"/>
                <w:szCs w:val="24"/>
              </w:rPr>
            </w:pPr>
            <w:r w:rsidRPr="003F5B27">
              <w:rPr>
                <w:rFonts w:ascii="Garamond" w:hAnsi="Garamond"/>
                <w:bCs/>
                <w:kern w:val="32"/>
                <w:sz w:val="24"/>
                <w:szCs w:val="24"/>
              </w:rPr>
              <w:t>Written company policy stating that methane is a potent Green House Gas (GHG) whose emissions to the atmosphere must be minimized.  Include reference to SB 1371 and SB 1383.  Exact wording TBD by the company and approved by the CPUC, in consultation with CARB, as part of Compliance Plan filing.</w:t>
            </w:r>
          </w:p>
          <w:p w:rsidRPr="003F5B27" w:rsidR="003F5B27" w:rsidP="003F5B27" w:rsidRDefault="003F5B27" w14:paraId="43FCEDCF" w14:textId="77777777">
            <w:pPr>
              <w:rPr>
                <w:rFonts w:ascii="Garamond" w:hAnsi="Garamond"/>
                <w:bCs/>
                <w:kern w:val="32"/>
                <w:sz w:val="24"/>
                <w:szCs w:val="24"/>
              </w:rPr>
            </w:pPr>
          </w:p>
        </w:tc>
        <w:tc>
          <w:tcPr>
            <w:tcW w:w="4815" w:type="dxa"/>
            <w:hideMark/>
          </w:tcPr>
          <w:p w:rsidRPr="003F5B27" w:rsidR="003F5B27" w:rsidP="003F5B27" w:rsidRDefault="003F5B27" w14:paraId="593C0287" w14:textId="77777777">
            <w:pPr>
              <w:rPr>
                <w:rFonts w:ascii="Garamond" w:hAnsi="Garamond"/>
                <w:bCs/>
                <w:kern w:val="32"/>
                <w:sz w:val="24"/>
                <w:szCs w:val="24"/>
              </w:rPr>
            </w:pPr>
            <w:r w:rsidRPr="003F5B27">
              <w:rPr>
                <w:rFonts w:ascii="Garamond" w:hAnsi="Garamond"/>
                <w:bCs/>
                <w:kern w:val="32"/>
                <w:sz w:val="24"/>
                <w:szCs w:val="24"/>
              </w:rPr>
              <w:t>Written company policies, referencing both SB 1371 (2014, Leno) and SB 1383 (2016, Lara), are needed to guide company activities and ensure effective implementation to abate natural gas leakage and minimize methane emissions.</w:t>
            </w:r>
          </w:p>
          <w:p w:rsidRPr="003F5B27" w:rsidR="003F5B27" w:rsidP="003F5B27" w:rsidRDefault="003F5B27" w14:paraId="6E39D732" w14:textId="77777777">
            <w:pPr>
              <w:rPr>
                <w:rFonts w:ascii="Garamond" w:hAnsi="Garamond"/>
                <w:bCs/>
                <w:kern w:val="32"/>
                <w:sz w:val="24"/>
                <w:szCs w:val="24"/>
              </w:rPr>
            </w:pPr>
          </w:p>
        </w:tc>
      </w:tr>
      <w:tr w:rsidRPr="003F5B27" w:rsidR="003F5B27" w:rsidTr="003C64EA" w14:paraId="32B82151" w14:textId="77777777">
        <w:trPr>
          <w:trHeight w:val="287"/>
        </w:trPr>
        <w:tc>
          <w:tcPr>
            <w:tcW w:w="869" w:type="dxa"/>
            <w:noWrap/>
            <w:hideMark/>
          </w:tcPr>
          <w:p w:rsidRPr="003F5B27" w:rsidR="003F5B27" w:rsidP="003F5B27" w:rsidRDefault="003F5B27" w14:paraId="241AC042" w14:textId="77777777">
            <w:pPr>
              <w:rPr>
                <w:rFonts w:ascii="Garamond" w:hAnsi="Garamond"/>
                <w:bCs/>
                <w:kern w:val="32"/>
                <w:sz w:val="24"/>
                <w:szCs w:val="24"/>
              </w:rPr>
            </w:pPr>
            <w:r w:rsidRPr="003F5B27">
              <w:rPr>
                <w:rFonts w:ascii="Garamond" w:hAnsi="Garamond"/>
                <w:bCs/>
                <w:kern w:val="32"/>
                <w:sz w:val="24"/>
                <w:szCs w:val="24"/>
              </w:rPr>
              <w:t>BP 3</w:t>
            </w:r>
          </w:p>
        </w:tc>
        <w:tc>
          <w:tcPr>
            <w:tcW w:w="4497" w:type="dxa"/>
            <w:hideMark/>
          </w:tcPr>
          <w:p w:rsidRPr="003F5B27" w:rsidR="003F5B27" w:rsidP="003F5B27" w:rsidRDefault="003F5B27" w14:paraId="314E7C65" w14:textId="77777777">
            <w:pPr>
              <w:rPr>
                <w:rFonts w:ascii="Garamond" w:hAnsi="Garamond"/>
                <w:bCs/>
                <w:kern w:val="32"/>
                <w:sz w:val="24"/>
                <w:szCs w:val="24"/>
                <w:u w:val="single"/>
              </w:rPr>
            </w:pPr>
            <w:r w:rsidRPr="003F5B27">
              <w:rPr>
                <w:rFonts w:ascii="Garamond" w:hAnsi="Garamond"/>
                <w:bCs/>
                <w:kern w:val="32"/>
                <w:sz w:val="24"/>
                <w:szCs w:val="24"/>
                <w:u w:val="single"/>
              </w:rPr>
              <w:t>Pressure Reduction Policy</w:t>
            </w:r>
          </w:p>
          <w:p w:rsidRPr="003F5B27" w:rsidR="003F5B27" w:rsidP="003F5B27" w:rsidRDefault="003F5B27" w14:paraId="2B06EF0E" w14:textId="77777777">
            <w:pPr>
              <w:rPr>
                <w:rFonts w:ascii="Garamond" w:hAnsi="Garamond"/>
                <w:bCs/>
                <w:kern w:val="32"/>
                <w:sz w:val="24"/>
                <w:szCs w:val="24"/>
              </w:rPr>
            </w:pPr>
            <w:r w:rsidRPr="003F5B27">
              <w:rPr>
                <w:rFonts w:ascii="Garamond" w:hAnsi="Garamond"/>
                <w:bCs/>
                <w:kern w:val="32"/>
                <w:sz w:val="24"/>
                <w:szCs w:val="24"/>
              </w:rPr>
              <w:t xml:space="preserve">Written company policy stating that pressure reduction to the lowest operationally feasible </w:t>
            </w:r>
            <w:r w:rsidRPr="003F5B27">
              <w:rPr>
                <w:rFonts w:ascii="Garamond" w:hAnsi="Garamond"/>
                <w:bCs/>
                <w:kern w:val="32"/>
                <w:sz w:val="24"/>
                <w:szCs w:val="24"/>
              </w:rPr>
              <w:lastRenderedPageBreak/>
              <w:t xml:space="preserve">level in order to minimize methane emissions is required before non-emergency venting of high-pressure distribution (above 60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transmission and underground storage infrastructure consistent with safe operations and considering alternative potential sources of supply to reliably serve customers.  Exact wording TBD by the company and approved by the CPUC, in consultation with CARB, as part of Compliance Plan filing.  </w:t>
            </w:r>
          </w:p>
        </w:tc>
        <w:tc>
          <w:tcPr>
            <w:tcW w:w="4815" w:type="dxa"/>
            <w:hideMark/>
          </w:tcPr>
          <w:p w:rsidRPr="003F5B27" w:rsidR="003F5B27" w:rsidP="003F5B27" w:rsidRDefault="003F5B27" w14:paraId="440DC70D" w14:textId="77777777">
            <w:pPr>
              <w:rPr>
                <w:rFonts w:ascii="Garamond" w:hAnsi="Garamond"/>
                <w:bCs/>
                <w:kern w:val="32"/>
                <w:sz w:val="24"/>
                <w:szCs w:val="24"/>
              </w:rPr>
            </w:pPr>
            <w:r w:rsidRPr="003F5B27">
              <w:rPr>
                <w:rFonts w:ascii="Garamond" w:hAnsi="Garamond"/>
                <w:bCs/>
                <w:kern w:val="32"/>
                <w:sz w:val="24"/>
                <w:szCs w:val="24"/>
              </w:rPr>
              <w:lastRenderedPageBreak/>
              <w:t xml:space="preserve">Written company policies are needed to require minimization of methane emissions from company activities (e.g. blowdowns, other </w:t>
            </w:r>
            <w:r w:rsidRPr="003F5B27">
              <w:rPr>
                <w:rFonts w:ascii="Garamond" w:hAnsi="Garamond"/>
                <w:bCs/>
                <w:kern w:val="32"/>
                <w:sz w:val="24"/>
                <w:szCs w:val="24"/>
              </w:rPr>
              <w:lastRenderedPageBreak/>
              <w:t xml:space="preserve">operational emissions, etc.), and ensure effective implementation consistent with Operations &amp; Maintenance (O&amp;M) safety, system integrity and reliability requirements.  </w:t>
            </w:r>
          </w:p>
          <w:p w:rsidRPr="003F5B27" w:rsidR="003F5B27" w:rsidP="003F5B27" w:rsidRDefault="003F5B27" w14:paraId="5F9A04D4" w14:textId="77777777">
            <w:pPr>
              <w:rPr>
                <w:rFonts w:ascii="Garamond" w:hAnsi="Garamond"/>
                <w:bCs/>
                <w:kern w:val="32"/>
                <w:sz w:val="24"/>
                <w:szCs w:val="24"/>
              </w:rPr>
            </w:pPr>
          </w:p>
        </w:tc>
      </w:tr>
      <w:tr w:rsidRPr="003F5B27" w:rsidR="003F5B27" w:rsidTr="003C64EA" w14:paraId="498AAD71" w14:textId="77777777">
        <w:tblPrEx>
          <w:tblCellMar>
            <w:left w:w="108" w:type="dxa"/>
            <w:right w:w="108" w:type="dxa"/>
          </w:tblCellMar>
        </w:tblPrEx>
        <w:trPr>
          <w:trHeight w:val="458"/>
        </w:trPr>
        <w:tc>
          <w:tcPr>
            <w:tcW w:w="869" w:type="dxa"/>
            <w:noWrap/>
            <w:hideMark/>
          </w:tcPr>
          <w:p w:rsidRPr="003F5B27" w:rsidR="003F5B27" w:rsidP="003F5B27" w:rsidRDefault="003F5B27" w14:paraId="5CE2F445" w14:textId="77777777">
            <w:pPr>
              <w:rPr>
                <w:rFonts w:ascii="Garamond" w:hAnsi="Garamond"/>
                <w:bCs/>
                <w:kern w:val="32"/>
                <w:sz w:val="24"/>
                <w:szCs w:val="24"/>
              </w:rPr>
            </w:pPr>
            <w:r w:rsidRPr="003F5B27">
              <w:rPr>
                <w:rFonts w:ascii="Garamond" w:hAnsi="Garamond"/>
                <w:bCs/>
                <w:kern w:val="32"/>
                <w:sz w:val="24"/>
                <w:szCs w:val="24"/>
              </w:rPr>
              <w:lastRenderedPageBreak/>
              <w:t>BP 4</w:t>
            </w:r>
          </w:p>
        </w:tc>
        <w:tc>
          <w:tcPr>
            <w:tcW w:w="4497" w:type="dxa"/>
            <w:hideMark/>
          </w:tcPr>
          <w:p w:rsidRPr="003F5B27" w:rsidR="003F5B27" w:rsidP="003F5B27" w:rsidRDefault="003F5B27" w14:paraId="09C1DEBA" w14:textId="77777777">
            <w:pPr>
              <w:rPr>
                <w:rFonts w:ascii="Garamond" w:hAnsi="Garamond"/>
                <w:bCs/>
                <w:kern w:val="32"/>
                <w:sz w:val="24"/>
                <w:szCs w:val="24"/>
                <w:u w:val="single"/>
              </w:rPr>
            </w:pPr>
            <w:r w:rsidRPr="003F5B27">
              <w:rPr>
                <w:rFonts w:ascii="Garamond" w:hAnsi="Garamond"/>
                <w:bCs/>
                <w:kern w:val="32"/>
                <w:sz w:val="24"/>
                <w:szCs w:val="24"/>
                <w:u w:val="single"/>
              </w:rPr>
              <w:t>Project Scheduling Policy</w:t>
            </w:r>
          </w:p>
          <w:p w:rsidRPr="003F5B27" w:rsidR="003F5B27" w:rsidP="003F5B27" w:rsidRDefault="003F5B27" w14:paraId="6D8A2902" w14:textId="77777777">
            <w:pPr>
              <w:rPr>
                <w:rFonts w:ascii="Garamond" w:hAnsi="Garamond"/>
                <w:bCs/>
                <w:kern w:val="32"/>
                <w:sz w:val="24"/>
                <w:szCs w:val="24"/>
              </w:rPr>
            </w:pPr>
            <w:r w:rsidRPr="003F5B27">
              <w:rPr>
                <w:rFonts w:ascii="Garamond" w:hAnsi="Garamond"/>
                <w:bCs/>
                <w:kern w:val="32"/>
                <w:sz w:val="24"/>
                <w:szCs w:val="24"/>
              </w:rPr>
              <w:t xml:space="preserve">Written company policy stating that any high pressure distribution (above 60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transmission or underground storage infrastructure project that requires evacuating methane will build time into the project schedule to minimize methane emissions to the atmosphere consistent with safe operations and considering alternative potential sources of supply to reliably serve customers.  Projected schedules of high-pressure distribution (above 60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transmission or underground storage infrastructure work, requiring methane evacuation, shall also be submitted to facilitate audits, with line venting schedule updates TBD.  Exact wording TBD by the company and approved by the CPUC, in consultation with CARB, as part of the Compliance Plan filing.  </w:t>
            </w:r>
          </w:p>
        </w:tc>
        <w:tc>
          <w:tcPr>
            <w:tcW w:w="4815" w:type="dxa"/>
            <w:hideMark/>
          </w:tcPr>
          <w:p w:rsidRPr="003F5B27" w:rsidR="003F5B27" w:rsidP="003F5B27" w:rsidRDefault="003F5B27" w14:paraId="68542EB4" w14:textId="77777777">
            <w:pPr>
              <w:rPr>
                <w:rFonts w:ascii="Garamond" w:hAnsi="Garamond"/>
                <w:bCs/>
                <w:kern w:val="32"/>
                <w:sz w:val="24"/>
                <w:szCs w:val="24"/>
              </w:rPr>
            </w:pPr>
            <w:r w:rsidRPr="003F5B27">
              <w:rPr>
                <w:rFonts w:ascii="Garamond" w:hAnsi="Garamond"/>
                <w:bCs/>
                <w:kern w:val="32"/>
                <w:sz w:val="24"/>
                <w:szCs w:val="24"/>
              </w:rPr>
              <w:t xml:space="preserve">Written company policies to schedule projects for high pressure distribution, transmission or underground storage infrastructure projects to minimize methane emissions are needed to guide company activities and ensure effective implementation consistent with O&amp;M safety, system integrity and reliability requirements.  This scheduling projects BP applies to non-emergency venting of </w:t>
            </w:r>
            <w:proofErr w:type="gramStart"/>
            <w:r w:rsidRPr="003F5B27">
              <w:rPr>
                <w:rFonts w:ascii="Garamond" w:hAnsi="Garamond"/>
                <w:bCs/>
                <w:kern w:val="32"/>
                <w:sz w:val="24"/>
                <w:szCs w:val="24"/>
              </w:rPr>
              <w:t>high pressure</w:t>
            </w:r>
            <w:proofErr w:type="gramEnd"/>
            <w:r w:rsidRPr="003F5B27">
              <w:rPr>
                <w:rFonts w:ascii="Garamond" w:hAnsi="Garamond"/>
                <w:bCs/>
                <w:kern w:val="32"/>
                <w:sz w:val="24"/>
                <w:szCs w:val="24"/>
              </w:rPr>
              <w:t xml:space="preserve"> distribution (above 60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transmission or underground storage infrastructure requiring methane evacuation.  </w:t>
            </w:r>
          </w:p>
          <w:p w:rsidRPr="003F5B27" w:rsidR="003F5B27" w:rsidP="003F5B27" w:rsidRDefault="003F5B27" w14:paraId="0090AEB3" w14:textId="77777777">
            <w:pPr>
              <w:rPr>
                <w:rFonts w:ascii="Garamond" w:hAnsi="Garamond"/>
                <w:bCs/>
                <w:kern w:val="32"/>
                <w:sz w:val="24"/>
                <w:szCs w:val="24"/>
              </w:rPr>
            </w:pPr>
          </w:p>
        </w:tc>
      </w:tr>
      <w:tr w:rsidRPr="003F5B27" w:rsidR="003F5B27" w:rsidTr="003C64EA" w14:paraId="60131405" w14:textId="77777777">
        <w:tblPrEx>
          <w:tblCellMar>
            <w:left w:w="108" w:type="dxa"/>
            <w:right w:w="108" w:type="dxa"/>
          </w:tblCellMar>
        </w:tblPrEx>
        <w:trPr>
          <w:trHeight w:val="60"/>
        </w:trPr>
        <w:tc>
          <w:tcPr>
            <w:tcW w:w="869" w:type="dxa"/>
            <w:noWrap/>
            <w:hideMark/>
          </w:tcPr>
          <w:p w:rsidRPr="003F5B27" w:rsidR="003F5B27" w:rsidP="003F5B27" w:rsidRDefault="003F5B27" w14:paraId="682CAC87" w14:textId="77777777">
            <w:pPr>
              <w:rPr>
                <w:rFonts w:ascii="Garamond" w:hAnsi="Garamond"/>
                <w:bCs/>
                <w:kern w:val="32"/>
                <w:sz w:val="24"/>
                <w:szCs w:val="24"/>
              </w:rPr>
            </w:pPr>
            <w:r w:rsidRPr="003F5B27">
              <w:rPr>
                <w:rFonts w:ascii="Garamond" w:hAnsi="Garamond"/>
                <w:bCs/>
                <w:kern w:val="32"/>
                <w:sz w:val="24"/>
                <w:szCs w:val="24"/>
              </w:rPr>
              <w:t>BP 5</w:t>
            </w:r>
          </w:p>
        </w:tc>
        <w:tc>
          <w:tcPr>
            <w:tcW w:w="4497" w:type="dxa"/>
            <w:hideMark/>
          </w:tcPr>
          <w:p w:rsidRPr="003F5B27" w:rsidR="003F5B27" w:rsidP="003F5B27" w:rsidRDefault="003F5B27" w14:paraId="14E3B29A" w14:textId="77777777">
            <w:pPr>
              <w:rPr>
                <w:rFonts w:ascii="Garamond" w:hAnsi="Garamond"/>
                <w:bCs/>
                <w:kern w:val="32"/>
                <w:sz w:val="24"/>
                <w:szCs w:val="24"/>
                <w:u w:val="single"/>
              </w:rPr>
            </w:pPr>
            <w:r w:rsidRPr="003F5B27">
              <w:rPr>
                <w:rFonts w:ascii="Garamond" w:hAnsi="Garamond"/>
                <w:bCs/>
                <w:kern w:val="32"/>
                <w:sz w:val="24"/>
                <w:szCs w:val="24"/>
                <w:u w:val="single"/>
              </w:rPr>
              <w:t>Methane Evacuation Procedures</w:t>
            </w:r>
          </w:p>
          <w:p w:rsidRPr="003F5B27" w:rsidR="003F5B27" w:rsidP="003F5B27" w:rsidRDefault="003F5B27" w14:paraId="7E478593" w14:textId="77777777">
            <w:pPr>
              <w:rPr>
                <w:rFonts w:ascii="Garamond" w:hAnsi="Garamond"/>
                <w:bCs/>
                <w:kern w:val="32"/>
                <w:sz w:val="24"/>
                <w:szCs w:val="24"/>
              </w:rPr>
            </w:pPr>
            <w:r w:rsidRPr="003F5B27">
              <w:rPr>
                <w:rFonts w:ascii="Garamond" w:hAnsi="Garamond"/>
                <w:bCs/>
                <w:kern w:val="32"/>
                <w:sz w:val="24"/>
                <w:szCs w:val="24"/>
              </w:rPr>
              <w:t xml:space="preserve">Written company procedures implementing the BPs approved for use to evacuate methane for non-emergency venting of high pressure distribution (above 60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transmission or underground storage infrastructure and how to use them consistent with safe operations and considering alternative potential sources of supply to reliably serve customers.  Exact wording TBD by the company and approved by the CPUC, in consultation with CARB, as part of the Compliance Plan filing.  </w:t>
            </w:r>
          </w:p>
          <w:p w:rsidRPr="003F5B27" w:rsidR="003F5B27" w:rsidP="003F5B27" w:rsidRDefault="003F5B27" w14:paraId="18DC4B1F" w14:textId="77777777">
            <w:pPr>
              <w:rPr>
                <w:rFonts w:ascii="Garamond" w:hAnsi="Garamond"/>
                <w:bCs/>
                <w:kern w:val="32"/>
                <w:sz w:val="24"/>
                <w:szCs w:val="24"/>
              </w:rPr>
            </w:pPr>
          </w:p>
        </w:tc>
        <w:tc>
          <w:tcPr>
            <w:tcW w:w="4815" w:type="dxa"/>
            <w:hideMark/>
          </w:tcPr>
          <w:p w:rsidRPr="003F5B27" w:rsidR="003F5B27" w:rsidP="003F5B27" w:rsidRDefault="003F5B27" w14:paraId="563A9B55" w14:textId="77777777">
            <w:pPr>
              <w:rPr>
                <w:rFonts w:ascii="Garamond" w:hAnsi="Garamond"/>
                <w:bCs/>
                <w:kern w:val="32"/>
                <w:sz w:val="24"/>
                <w:szCs w:val="24"/>
              </w:rPr>
            </w:pPr>
            <w:r w:rsidRPr="003F5B27">
              <w:rPr>
                <w:rFonts w:ascii="Garamond" w:hAnsi="Garamond"/>
                <w:bCs/>
                <w:kern w:val="32"/>
                <w:sz w:val="24"/>
                <w:szCs w:val="24"/>
              </w:rPr>
              <w:t xml:space="preserve">Written company procedures are needed to guide company activities for methane evacuation implementation and ensure effective implementation consistent with O&amp;M safety, system integrity and reliability requirements.  This methane evacuation implementation BP applies to non-emergency venting of high-pressure distribution (above 60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transmission or underground storage infrastructure requiring methane evacuation.  </w:t>
            </w:r>
          </w:p>
          <w:p w:rsidRPr="003F5B27" w:rsidR="003F5B27" w:rsidP="003F5B27" w:rsidRDefault="003F5B27" w14:paraId="2165F920" w14:textId="77777777">
            <w:pPr>
              <w:rPr>
                <w:rFonts w:ascii="Garamond" w:hAnsi="Garamond"/>
                <w:bCs/>
                <w:kern w:val="32"/>
                <w:sz w:val="24"/>
                <w:szCs w:val="24"/>
              </w:rPr>
            </w:pPr>
          </w:p>
        </w:tc>
      </w:tr>
      <w:tr w:rsidRPr="003F5B27" w:rsidR="003F5B27" w:rsidTr="003C64EA" w14:paraId="4E0EA074" w14:textId="77777777">
        <w:tblPrEx>
          <w:tblCellMar>
            <w:left w:w="108" w:type="dxa"/>
            <w:right w:w="108" w:type="dxa"/>
          </w:tblCellMar>
        </w:tblPrEx>
        <w:trPr>
          <w:trHeight w:val="287"/>
        </w:trPr>
        <w:tc>
          <w:tcPr>
            <w:tcW w:w="869" w:type="dxa"/>
            <w:noWrap/>
            <w:hideMark/>
          </w:tcPr>
          <w:p w:rsidRPr="003F5B27" w:rsidR="003F5B27" w:rsidP="003F5B27" w:rsidRDefault="003F5B27" w14:paraId="56F3E406" w14:textId="77777777">
            <w:pPr>
              <w:rPr>
                <w:rFonts w:ascii="Garamond" w:hAnsi="Garamond"/>
                <w:bCs/>
                <w:kern w:val="32"/>
                <w:sz w:val="24"/>
                <w:szCs w:val="24"/>
              </w:rPr>
            </w:pPr>
            <w:r w:rsidRPr="003F5B27">
              <w:rPr>
                <w:rFonts w:ascii="Garamond" w:hAnsi="Garamond"/>
                <w:bCs/>
                <w:kern w:val="32"/>
                <w:sz w:val="24"/>
                <w:szCs w:val="24"/>
              </w:rPr>
              <w:t>BP 6</w:t>
            </w:r>
          </w:p>
        </w:tc>
        <w:tc>
          <w:tcPr>
            <w:tcW w:w="4497" w:type="dxa"/>
            <w:hideMark/>
          </w:tcPr>
          <w:p w:rsidRPr="003F5B27" w:rsidR="003F5B27" w:rsidP="003F5B27" w:rsidRDefault="003F5B27" w14:paraId="657F9CB5" w14:textId="77777777">
            <w:pPr>
              <w:rPr>
                <w:rFonts w:ascii="Garamond" w:hAnsi="Garamond"/>
                <w:bCs/>
                <w:kern w:val="32"/>
                <w:sz w:val="24"/>
                <w:szCs w:val="24"/>
                <w:u w:val="single"/>
              </w:rPr>
            </w:pPr>
            <w:r w:rsidRPr="003F5B27">
              <w:rPr>
                <w:rFonts w:ascii="Garamond" w:hAnsi="Garamond"/>
                <w:bCs/>
                <w:kern w:val="32"/>
                <w:sz w:val="24"/>
                <w:szCs w:val="24"/>
                <w:u w:val="single"/>
              </w:rPr>
              <w:t>Methane Evacuation Work Orders Policy</w:t>
            </w:r>
          </w:p>
          <w:p w:rsidRPr="003F5B27" w:rsidR="003F5B27" w:rsidP="003F5B27" w:rsidRDefault="003F5B27" w14:paraId="6BABC67C" w14:textId="77777777">
            <w:pPr>
              <w:rPr>
                <w:rFonts w:ascii="Garamond" w:hAnsi="Garamond"/>
                <w:bCs/>
                <w:kern w:val="32"/>
                <w:sz w:val="24"/>
                <w:szCs w:val="24"/>
              </w:rPr>
            </w:pPr>
            <w:r w:rsidRPr="003F5B27">
              <w:rPr>
                <w:rFonts w:ascii="Garamond" w:hAnsi="Garamond"/>
                <w:bCs/>
                <w:kern w:val="32"/>
                <w:sz w:val="24"/>
                <w:szCs w:val="24"/>
              </w:rPr>
              <w:t xml:space="preserve">Written company policy that requires that for any high pressure distribution (above 60 </w:t>
            </w:r>
            <w:proofErr w:type="spellStart"/>
            <w:r w:rsidRPr="003F5B27">
              <w:rPr>
                <w:rFonts w:ascii="Garamond" w:hAnsi="Garamond"/>
                <w:bCs/>
                <w:kern w:val="32"/>
                <w:sz w:val="24"/>
                <w:szCs w:val="24"/>
              </w:rPr>
              <w:lastRenderedPageBreak/>
              <w:t>psig</w:t>
            </w:r>
            <w:proofErr w:type="spellEnd"/>
            <w:r w:rsidRPr="003F5B27">
              <w:rPr>
                <w:rFonts w:ascii="Garamond" w:hAnsi="Garamond"/>
                <w:bCs/>
                <w:kern w:val="32"/>
                <w:sz w:val="24"/>
                <w:szCs w:val="24"/>
              </w:rPr>
              <w:t xml:space="preserve">), transmission or underground storage infrastructure projects requiring evacuating methane, Work Planners shall clearly delineate, in procedural documents, such as work orders used in the field, the steps required to safely and efficiently reduce the pressure in the lines, prior to lines being vented, considering alternative potential sources of supply to reliably serve customers. Exact wording TBD by the company and approved by the CPUC, in consultation with CARB, as part of the Compliance Plan filing.  </w:t>
            </w:r>
          </w:p>
        </w:tc>
        <w:tc>
          <w:tcPr>
            <w:tcW w:w="4815" w:type="dxa"/>
          </w:tcPr>
          <w:p w:rsidRPr="003F5B27" w:rsidR="003F5B27" w:rsidP="003F5B27" w:rsidRDefault="003F5B27" w14:paraId="37EA711E" w14:textId="77777777">
            <w:pPr>
              <w:rPr>
                <w:rFonts w:ascii="Garamond" w:hAnsi="Garamond"/>
                <w:bCs/>
                <w:kern w:val="32"/>
                <w:sz w:val="24"/>
                <w:szCs w:val="24"/>
              </w:rPr>
            </w:pPr>
            <w:r w:rsidRPr="003F5B27">
              <w:rPr>
                <w:rFonts w:ascii="Garamond" w:hAnsi="Garamond"/>
                <w:bCs/>
                <w:kern w:val="32"/>
                <w:sz w:val="24"/>
                <w:szCs w:val="24"/>
              </w:rPr>
              <w:lastRenderedPageBreak/>
              <w:t xml:space="preserve">Written company policies are needed for methane evacuation work orders to guide company activities and ensure effective </w:t>
            </w:r>
            <w:r w:rsidRPr="003F5B27">
              <w:rPr>
                <w:rFonts w:ascii="Garamond" w:hAnsi="Garamond"/>
                <w:bCs/>
                <w:kern w:val="32"/>
                <w:sz w:val="24"/>
                <w:szCs w:val="24"/>
              </w:rPr>
              <w:lastRenderedPageBreak/>
              <w:t xml:space="preserve">implementation consistent with O&amp;M safety, system integrity and reliability requirements.  This methane evacuation work orders BP applies to non-emergency venting of </w:t>
            </w:r>
            <w:proofErr w:type="gramStart"/>
            <w:r w:rsidRPr="003F5B27">
              <w:rPr>
                <w:rFonts w:ascii="Garamond" w:hAnsi="Garamond"/>
                <w:bCs/>
                <w:kern w:val="32"/>
                <w:sz w:val="24"/>
                <w:szCs w:val="24"/>
              </w:rPr>
              <w:t>high pressure</w:t>
            </w:r>
            <w:proofErr w:type="gramEnd"/>
            <w:r w:rsidRPr="003F5B27">
              <w:rPr>
                <w:rFonts w:ascii="Garamond" w:hAnsi="Garamond"/>
                <w:bCs/>
                <w:kern w:val="32"/>
                <w:sz w:val="24"/>
                <w:szCs w:val="24"/>
              </w:rPr>
              <w:t xml:space="preserve"> distribution (above 60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transmission or underground storage infrastructure requiring methane evacuation.  </w:t>
            </w:r>
          </w:p>
          <w:p w:rsidRPr="003F5B27" w:rsidR="003F5B27" w:rsidP="003F5B27" w:rsidRDefault="003F5B27" w14:paraId="38025F4B" w14:textId="77777777">
            <w:pPr>
              <w:rPr>
                <w:rFonts w:ascii="Garamond" w:hAnsi="Garamond"/>
                <w:bCs/>
                <w:kern w:val="32"/>
                <w:sz w:val="24"/>
                <w:szCs w:val="24"/>
              </w:rPr>
            </w:pPr>
          </w:p>
        </w:tc>
      </w:tr>
      <w:tr w:rsidRPr="003F5B27" w:rsidR="003F5B27" w:rsidTr="003C64EA" w14:paraId="1BC3C186" w14:textId="77777777">
        <w:trPr>
          <w:trHeight w:val="2618"/>
        </w:trPr>
        <w:tc>
          <w:tcPr>
            <w:tcW w:w="869" w:type="dxa"/>
            <w:noWrap/>
            <w:hideMark/>
          </w:tcPr>
          <w:p w:rsidRPr="003F5B27" w:rsidR="003F5B27" w:rsidP="003F5B27" w:rsidRDefault="003F5B27" w14:paraId="222E64AC" w14:textId="77777777">
            <w:pPr>
              <w:rPr>
                <w:rFonts w:ascii="Garamond" w:hAnsi="Garamond"/>
                <w:bCs/>
                <w:kern w:val="32"/>
                <w:sz w:val="24"/>
                <w:szCs w:val="24"/>
              </w:rPr>
            </w:pPr>
            <w:r w:rsidRPr="003F5B27">
              <w:rPr>
                <w:rFonts w:ascii="Garamond" w:hAnsi="Garamond"/>
                <w:bCs/>
                <w:kern w:val="32"/>
                <w:sz w:val="24"/>
                <w:szCs w:val="24"/>
              </w:rPr>
              <w:lastRenderedPageBreak/>
              <w:t>BP 7</w:t>
            </w:r>
          </w:p>
        </w:tc>
        <w:tc>
          <w:tcPr>
            <w:tcW w:w="4497" w:type="dxa"/>
            <w:hideMark/>
          </w:tcPr>
          <w:p w:rsidRPr="003F5B27" w:rsidR="003F5B27" w:rsidP="003F5B27" w:rsidRDefault="003F5B27" w14:paraId="68D8EEDA" w14:textId="77777777">
            <w:pPr>
              <w:rPr>
                <w:rFonts w:ascii="Garamond" w:hAnsi="Garamond"/>
                <w:bCs/>
                <w:kern w:val="32"/>
                <w:sz w:val="24"/>
                <w:szCs w:val="24"/>
                <w:u w:val="single"/>
              </w:rPr>
            </w:pPr>
            <w:r w:rsidRPr="003F5B27">
              <w:rPr>
                <w:rFonts w:ascii="Garamond" w:hAnsi="Garamond"/>
                <w:bCs/>
                <w:kern w:val="32"/>
                <w:sz w:val="24"/>
                <w:szCs w:val="24"/>
                <w:u w:val="single"/>
              </w:rPr>
              <w:t>Bundling Work Policy</w:t>
            </w:r>
          </w:p>
          <w:p w:rsidRPr="003F5B27" w:rsidR="003F5B27" w:rsidP="003F5B27" w:rsidRDefault="003F5B27" w14:paraId="65500F43" w14:textId="77777777">
            <w:pPr>
              <w:rPr>
                <w:rFonts w:ascii="Garamond" w:hAnsi="Garamond"/>
                <w:bCs/>
                <w:kern w:val="32"/>
                <w:sz w:val="24"/>
                <w:szCs w:val="24"/>
              </w:rPr>
            </w:pPr>
            <w:r w:rsidRPr="003F5B27">
              <w:rPr>
                <w:rFonts w:ascii="Garamond" w:hAnsi="Garamond"/>
                <w:bCs/>
                <w:kern w:val="32"/>
                <w:sz w:val="24"/>
                <w:szCs w:val="24"/>
              </w:rPr>
              <w:t xml:space="preserve">Written company policy requiring bundling of work, whenever practicable, to prevent multiple venting of the same piping consistent with safe operations and considering alternative potential sources of supply to reliably serve customers.  Company policy shall define situations where work bundling is not practicable.  Exact wording TBD by the company and approved by the CPUC, in consultation with CARB, as part of the Compliance Plan filing.  </w:t>
            </w:r>
          </w:p>
          <w:p w:rsidRPr="003F5B27" w:rsidR="003F5B27" w:rsidP="003F5B27" w:rsidRDefault="003F5B27" w14:paraId="4B667706" w14:textId="77777777">
            <w:pPr>
              <w:rPr>
                <w:rFonts w:ascii="Garamond" w:hAnsi="Garamond"/>
                <w:bCs/>
                <w:kern w:val="32"/>
                <w:sz w:val="24"/>
                <w:szCs w:val="24"/>
              </w:rPr>
            </w:pPr>
          </w:p>
        </w:tc>
        <w:tc>
          <w:tcPr>
            <w:tcW w:w="4815" w:type="dxa"/>
            <w:hideMark/>
          </w:tcPr>
          <w:p w:rsidRPr="003F5B27" w:rsidR="003F5B27" w:rsidP="003F5B27" w:rsidRDefault="003F5B27" w14:paraId="34F0FA6C" w14:textId="77777777">
            <w:pPr>
              <w:rPr>
                <w:rFonts w:ascii="Garamond" w:hAnsi="Garamond"/>
                <w:bCs/>
                <w:kern w:val="32"/>
                <w:sz w:val="24"/>
                <w:szCs w:val="24"/>
              </w:rPr>
            </w:pPr>
            <w:r w:rsidRPr="003F5B27">
              <w:rPr>
                <w:rFonts w:ascii="Garamond" w:hAnsi="Garamond"/>
                <w:bCs/>
                <w:kern w:val="32"/>
                <w:sz w:val="24"/>
                <w:szCs w:val="24"/>
              </w:rPr>
              <w:t xml:space="preserve">Written company policy is needed for bundling work to guide company construction and O&amp;M activities for coordination of multiple venting of lines to minimize excess methane emissions consistent with O&amp;M safety, system integrity and reliability requirements.  This bundling work BP requires companies to define situations where work bundling is not practicable.  </w:t>
            </w:r>
          </w:p>
        </w:tc>
      </w:tr>
      <w:tr w:rsidRPr="003F5B27" w:rsidR="003F5B27" w:rsidTr="003C64EA" w14:paraId="0633A840" w14:textId="77777777">
        <w:tblPrEx>
          <w:tblCellMar>
            <w:left w:w="108" w:type="dxa"/>
            <w:right w:w="108" w:type="dxa"/>
          </w:tblCellMar>
        </w:tblPrEx>
        <w:trPr>
          <w:trHeight w:val="305"/>
        </w:trPr>
        <w:tc>
          <w:tcPr>
            <w:tcW w:w="869" w:type="dxa"/>
            <w:noWrap/>
            <w:hideMark/>
          </w:tcPr>
          <w:p w:rsidRPr="003F5B27" w:rsidR="003F5B27" w:rsidP="003F5B27" w:rsidRDefault="003F5B27" w14:paraId="3FE405AD" w14:textId="77777777">
            <w:pPr>
              <w:rPr>
                <w:rFonts w:ascii="Garamond" w:hAnsi="Garamond"/>
                <w:bCs/>
                <w:kern w:val="32"/>
                <w:sz w:val="24"/>
                <w:szCs w:val="24"/>
              </w:rPr>
            </w:pPr>
            <w:r w:rsidRPr="003F5B27">
              <w:rPr>
                <w:rFonts w:ascii="Garamond" w:hAnsi="Garamond"/>
                <w:bCs/>
                <w:kern w:val="32"/>
                <w:sz w:val="24"/>
                <w:szCs w:val="24"/>
              </w:rPr>
              <w:t>BP 8</w:t>
            </w:r>
          </w:p>
        </w:tc>
        <w:tc>
          <w:tcPr>
            <w:tcW w:w="4497" w:type="dxa"/>
            <w:hideMark/>
          </w:tcPr>
          <w:p w:rsidRPr="003F5B27" w:rsidR="003F5B27" w:rsidP="003F5B27" w:rsidRDefault="003F5B27" w14:paraId="29BA8914" w14:textId="77777777">
            <w:pPr>
              <w:rPr>
                <w:rFonts w:ascii="Garamond" w:hAnsi="Garamond"/>
                <w:bCs/>
                <w:kern w:val="32"/>
                <w:sz w:val="24"/>
                <w:szCs w:val="24"/>
                <w:u w:val="single"/>
              </w:rPr>
            </w:pPr>
            <w:r w:rsidRPr="003F5B27">
              <w:rPr>
                <w:rFonts w:ascii="Garamond" w:hAnsi="Garamond"/>
                <w:bCs/>
                <w:kern w:val="32"/>
                <w:sz w:val="24"/>
                <w:szCs w:val="24"/>
                <w:u w:val="single"/>
              </w:rPr>
              <w:t>Company Emergency Procedures</w:t>
            </w:r>
          </w:p>
          <w:p w:rsidRPr="003F5B27" w:rsidR="003F5B27" w:rsidP="003F5B27" w:rsidRDefault="003F5B27" w14:paraId="742985D3" w14:textId="77777777">
            <w:pPr>
              <w:rPr>
                <w:rFonts w:ascii="Garamond" w:hAnsi="Garamond"/>
                <w:bCs/>
                <w:kern w:val="32"/>
                <w:sz w:val="24"/>
                <w:szCs w:val="24"/>
              </w:rPr>
            </w:pPr>
            <w:r w:rsidRPr="003F5B27">
              <w:rPr>
                <w:rFonts w:ascii="Garamond" w:hAnsi="Garamond"/>
                <w:bCs/>
                <w:kern w:val="32"/>
                <w:sz w:val="24"/>
                <w:szCs w:val="24"/>
              </w:rPr>
              <w:t xml:space="preserve">Written company emergency procedures which describe the actions company staff will take to prevent, minimize and/or stop the uncontrolled release of methane from the gas system or storage facility consistent with safe operations and considering alternative potential sources of supply to reliably serve customers.  Exact wording TBD by the company and approved by the CPUC, in consultation with CARB, as part of the Compliance Plan filing.  </w:t>
            </w:r>
          </w:p>
          <w:p w:rsidRPr="003F5B27" w:rsidR="003F5B27" w:rsidP="003F5B27" w:rsidRDefault="003F5B27" w14:paraId="77FFED61" w14:textId="77777777">
            <w:pPr>
              <w:rPr>
                <w:rFonts w:ascii="Garamond" w:hAnsi="Garamond"/>
                <w:bCs/>
                <w:kern w:val="32"/>
                <w:sz w:val="24"/>
                <w:szCs w:val="24"/>
              </w:rPr>
            </w:pPr>
          </w:p>
        </w:tc>
        <w:tc>
          <w:tcPr>
            <w:tcW w:w="4815" w:type="dxa"/>
            <w:hideMark/>
          </w:tcPr>
          <w:p w:rsidRPr="003F5B27" w:rsidR="003F5B27" w:rsidP="003F5B27" w:rsidRDefault="003F5B27" w14:paraId="30429AA6" w14:textId="77777777">
            <w:pPr>
              <w:rPr>
                <w:rFonts w:ascii="Garamond" w:hAnsi="Garamond"/>
                <w:bCs/>
                <w:kern w:val="32"/>
                <w:sz w:val="24"/>
                <w:szCs w:val="24"/>
              </w:rPr>
            </w:pPr>
            <w:r w:rsidRPr="003F5B27">
              <w:rPr>
                <w:rFonts w:ascii="Garamond" w:hAnsi="Garamond"/>
                <w:bCs/>
                <w:kern w:val="32"/>
                <w:sz w:val="24"/>
                <w:szCs w:val="24"/>
              </w:rPr>
              <w:t xml:space="preserve">Most natural gas companies have gas systems containing large volumes of methane.  An uncontrolled release can negate the methane reductions of other utilities and increase GHG emissions.  Written emergency company procedures are needed to guide company staff to prevent, minimize, and/or stop the uncontrolled release of methane and ensure effective implementation consistent with O&amp;M safety, system integrity and reliability requirements.  </w:t>
            </w:r>
          </w:p>
        </w:tc>
      </w:tr>
      <w:tr w:rsidRPr="003F5B27" w:rsidR="003F5B27" w:rsidTr="003C64EA" w14:paraId="313AFCB8" w14:textId="77777777">
        <w:tblPrEx>
          <w:tblCellMar>
            <w:left w:w="108" w:type="dxa"/>
            <w:right w:w="108" w:type="dxa"/>
          </w:tblCellMar>
        </w:tblPrEx>
        <w:trPr>
          <w:trHeight w:val="300"/>
        </w:trPr>
        <w:tc>
          <w:tcPr>
            <w:tcW w:w="869" w:type="dxa"/>
            <w:noWrap/>
            <w:hideMark/>
          </w:tcPr>
          <w:p w:rsidRPr="003F5B27" w:rsidR="003F5B27" w:rsidP="003F5B27" w:rsidRDefault="003F5B27" w14:paraId="06CA5FD8" w14:textId="77777777">
            <w:pPr>
              <w:keepNext/>
              <w:keepLines/>
              <w:rPr>
                <w:rFonts w:ascii="Garamond" w:hAnsi="Garamond"/>
                <w:bCs/>
                <w:kern w:val="32"/>
                <w:sz w:val="24"/>
                <w:szCs w:val="24"/>
              </w:rPr>
            </w:pPr>
          </w:p>
        </w:tc>
        <w:tc>
          <w:tcPr>
            <w:tcW w:w="4497" w:type="dxa"/>
            <w:hideMark/>
          </w:tcPr>
          <w:p w:rsidRPr="003F5B27" w:rsidR="003F5B27" w:rsidP="003F5B27" w:rsidRDefault="003F5B27" w14:paraId="1CCB849D" w14:textId="77777777">
            <w:pPr>
              <w:keepNext/>
              <w:keepLines/>
              <w:rPr>
                <w:rFonts w:ascii="Garamond" w:hAnsi="Garamond"/>
                <w:bCs/>
                <w:kern w:val="32"/>
                <w:sz w:val="24"/>
                <w:szCs w:val="24"/>
              </w:rPr>
            </w:pPr>
            <w:r w:rsidRPr="003F5B27">
              <w:rPr>
                <w:rFonts w:ascii="Garamond" w:hAnsi="Garamond"/>
                <w:bCs/>
                <w:kern w:val="32"/>
                <w:sz w:val="24"/>
                <w:szCs w:val="24"/>
              </w:rPr>
              <w:t>Recordkeeping</w:t>
            </w:r>
          </w:p>
        </w:tc>
        <w:tc>
          <w:tcPr>
            <w:tcW w:w="4815" w:type="dxa"/>
            <w:hideMark/>
          </w:tcPr>
          <w:p w:rsidRPr="003F5B27" w:rsidR="003F5B27" w:rsidP="003F5B27" w:rsidRDefault="003F5B27" w14:paraId="46AB35C7" w14:textId="77777777">
            <w:pPr>
              <w:keepNext/>
              <w:keepLines/>
              <w:rPr>
                <w:rFonts w:ascii="Garamond" w:hAnsi="Garamond"/>
                <w:bCs/>
                <w:kern w:val="32"/>
                <w:sz w:val="24"/>
                <w:szCs w:val="24"/>
              </w:rPr>
            </w:pPr>
          </w:p>
        </w:tc>
      </w:tr>
      <w:tr w:rsidRPr="003F5B27" w:rsidR="003F5B27" w:rsidTr="003C64EA" w14:paraId="26C5F0B2" w14:textId="77777777">
        <w:tblPrEx>
          <w:tblCellMar>
            <w:left w:w="108" w:type="dxa"/>
            <w:right w:w="108" w:type="dxa"/>
          </w:tblCellMar>
        </w:tblPrEx>
        <w:trPr>
          <w:trHeight w:val="1907"/>
        </w:trPr>
        <w:tc>
          <w:tcPr>
            <w:tcW w:w="869" w:type="dxa"/>
            <w:noWrap/>
            <w:hideMark/>
          </w:tcPr>
          <w:p w:rsidRPr="003F5B27" w:rsidR="003F5B27" w:rsidP="003F5B27" w:rsidRDefault="003F5B27" w14:paraId="3EFDE820" w14:textId="77777777">
            <w:pPr>
              <w:rPr>
                <w:rFonts w:ascii="Garamond" w:hAnsi="Garamond"/>
                <w:bCs/>
                <w:kern w:val="32"/>
                <w:sz w:val="24"/>
                <w:szCs w:val="24"/>
              </w:rPr>
            </w:pPr>
            <w:r w:rsidRPr="003F5B27">
              <w:rPr>
                <w:rFonts w:ascii="Garamond" w:hAnsi="Garamond"/>
                <w:bCs/>
                <w:kern w:val="32"/>
                <w:sz w:val="24"/>
                <w:szCs w:val="24"/>
              </w:rPr>
              <w:t>BP 9</w:t>
            </w:r>
          </w:p>
        </w:tc>
        <w:tc>
          <w:tcPr>
            <w:tcW w:w="4497" w:type="dxa"/>
            <w:hideMark/>
          </w:tcPr>
          <w:p w:rsidRPr="003F5B27" w:rsidR="003F5B27" w:rsidP="003F5B27" w:rsidRDefault="003F5B27" w14:paraId="2DBEDFD4" w14:textId="77777777">
            <w:pPr>
              <w:rPr>
                <w:rFonts w:ascii="Garamond" w:hAnsi="Garamond"/>
                <w:bCs/>
                <w:kern w:val="32"/>
                <w:sz w:val="24"/>
                <w:szCs w:val="24"/>
                <w:u w:val="single"/>
              </w:rPr>
            </w:pPr>
            <w:r w:rsidRPr="003F5B27">
              <w:rPr>
                <w:rFonts w:ascii="Garamond" w:hAnsi="Garamond"/>
                <w:bCs/>
                <w:kern w:val="32"/>
                <w:sz w:val="24"/>
                <w:szCs w:val="24"/>
                <w:u w:val="single"/>
              </w:rPr>
              <w:t>Recordkeeping</w:t>
            </w:r>
          </w:p>
          <w:p w:rsidRPr="003F5B27" w:rsidR="003F5B27" w:rsidP="003F5B27" w:rsidRDefault="003F5B27" w14:paraId="0E9D9771" w14:textId="77777777">
            <w:pPr>
              <w:rPr>
                <w:rFonts w:ascii="Garamond" w:hAnsi="Garamond"/>
                <w:bCs/>
                <w:kern w:val="32"/>
                <w:sz w:val="24"/>
                <w:szCs w:val="24"/>
              </w:rPr>
            </w:pPr>
            <w:r w:rsidRPr="003F5B27">
              <w:rPr>
                <w:rFonts w:ascii="Garamond" w:hAnsi="Garamond"/>
                <w:bCs/>
                <w:kern w:val="32"/>
                <w:sz w:val="24"/>
                <w:szCs w:val="24"/>
              </w:rPr>
              <w:t xml:space="preserve">Written Company Policy directing the gas business unit to maintain records of all SB 1371 Annual Emissions Inventory Report methane emissions and leaks, including the calculations, data and assumptions used to derive the volume of methane released. Records are to be maintained in accordance with G.O. 112 F and succeeding revisions, </w:t>
            </w:r>
            <w:r w:rsidRPr="003F5B27">
              <w:rPr>
                <w:rFonts w:ascii="Garamond" w:hAnsi="Garamond"/>
                <w:bCs/>
                <w:kern w:val="32"/>
                <w:sz w:val="24"/>
                <w:szCs w:val="24"/>
              </w:rPr>
              <w:lastRenderedPageBreak/>
              <w:t>and 49 CFR 192.  Currently, the record retention time in G.O. 112 F is at least 75 years for the transmission system.  49 CFR 192.1011 requires a record retention time of at least 10 years for the distribution system.  Exact wording TBD by the company and approved by the CPUC, in consultation with CARB, as part of the Compliance Plan filing.</w:t>
            </w:r>
          </w:p>
          <w:p w:rsidRPr="003F5B27" w:rsidR="003F5B27" w:rsidP="003F5B27" w:rsidRDefault="003F5B27" w14:paraId="4EC79235" w14:textId="77777777">
            <w:pPr>
              <w:rPr>
                <w:rFonts w:ascii="Garamond" w:hAnsi="Garamond"/>
                <w:bCs/>
                <w:kern w:val="32"/>
                <w:sz w:val="24"/>
                <w:szCs w:val="24"/>
              </w:rPr>
            </w:pPr>
          </w:p>
        </w:tc>
        <w:tc>
          <w:tcPr>
            <w:tcW w:w="4815" w:type="dxa"/>
            <w:hideMark/>
          </w:tcPr>
          <w:p w:rsidRPr="003F5B27" w:rsidR="003F5B27" w:rsidP="003F5B27" w:rsidRDefault="003F5B27" w14:paraId="5940D205" w14:textId="77777777">
            <w:pPr>
              <w:rPr>
                <w:rFonts w:ascii="Garamond" w:hAnsi="Garamond"/>
                <w:bCs/>
                <w:kern w:val="32"/>
                <w:sz w:val="24"/>
                <w:szCs w:val="24"/>
              </w:rPr>
            </w:pPr>
            <w:r w:rsidRPr="003F5B27">
              <w:rPr>
                <w:rFonts w:ascii="Garamond" w:hAnsi="Garamond"/>
                <w:bCs/>
                <w:kern w:val="32"/>
                <w:sz w:val="24"/>
                <w:szCs w:val="24"/>
              </w:rPr>
              <w:lastRenderedPageBreak/>
              <w:t xml:space="preserve">Accurate reporting of methane emissions and leaks, including estimation methodologies and assumptions, is critical for regulatory audits to ensure compliance.  Written company policy is needed to ensure these records are maintained for all SB 1371 relevant actual measured emissions and leaks and estimated emissions and leaks including calculations, </w:t>
            </w:r>
            <w:proofErr w:type="gramStart"/>
            <w:r w:rsidRPr="003F5B27">
              <w:rPr>
                <w:rFonts w:ascii="Garamond" w:hAnsi="Garamond"/>
                <w:bCs/>
                <w:kern w:val="32"/>
                <w:sz w:val="24"/>
                <w:szCs w:val="24"/>
              </w:rPr>
              <w:t>data</w:t>
            </w:r>
            <w:proofErr w:type="gramEnd"/>
            <w:r w:rsidRPr="003F5B27">
              <w:rPr>
                <w:rFonts w:ascii="Garamond" w:hAnsi="Garamond"/>
                <w:bCs/>
                <w:kern w:val="32"/>
                <w:sz w:val="24"/>
                <w:szCs w:val="24"/>
              </w:rPr>
              <w:t xml:space="preserve"> and </w:t>
            </w:r>
            <w:r w:rsidRPr="003F5B27">
              <w:rPr>
                <w:rFonts w:ascii="Garamond" w:hAnsi="Garamond"/>
                <w:bCs/>
                <w:kern w:val="32"/>
                <w:sz w:val="24"/>
                <w:szCs w:val="24"/>
              </w:rPr>
              <w:lastRenderedPageBreak/>
              <w:t>assumptions to derive the volume of methane released.</w:t>
            </w:r>
          </w:p>
        </w:tc>
      </w:tr>
      <w:tr w:rsidRPr="003F5B27" w:rsidR="003F5B27" w:rsidTr="003C64EA" w14:paraId="70CE2535" w14:textId="77777777">
        <w:tblPrEx>
          <w:tblCellMar>
            <w:left w:w="108" w:type="dxa"/>
            <w:right w:w="108" w:type="dxa"/>
          </w:tblCellMar>
        </w:tblPrEx>
        <w:trPr>
          <w:trHeight w:val="300"/>
        </w:trPr>
        <w:tc>
          <w:tcPr>
            <w:tcW w:w="869" w:type="dxa"/>
            <w:noWrap/>
            <w:hideMark/>
          </w:tcPr>
          <w:p w:rsidRPr="003F5B27" w:rsidR="003F5B27" w:rsidP="003F5B27" w:rsidRDefault="003F5B27" w14:paraId="12AF9F34" w14:textId="77777777">
            <w:pPr>
              <w:rPr>
                <w:rFonts w:ascii="Garamond" w:hAnsi="Garamond"/>
                <w:bCs/>
                <w:kern w:val="32"/>
                <w:sz w:val="24"/>
                <w:szCs w:val="24"/>
              </w:rPr>
            </w:pPr>
          </w:p>
        </w:tc>
        <w:tc>
          <w:tcPr>
            <w:tcW w:w="4497" w:type="dxa"/>
            <w:hideMark/>
          </w:tcPr>
          <w:p w:rsidRPr="003F5B27" w:rsidR="003F5B27" w:rsidP="003F5B27" w:rsidRDefault="003F5B27" w14:paraId="767B4CC1" w14:textId="77777777">
            <w:pPr>
              <w:rPr>
                <w:rFonts w:ascii="Garamond" w:hAnsi="Garamond"/>
                <w:bCs/>
                <w:kern w:val="32"/>
                <w:sz w:val="24"/>
                <w:szCs w:val="24"/>
              </w:rPr>
            </w:pPr>
            <w:r w:rsidRPr="003F5B27">
              <w:rPr>
                <w:rFonts w:ascii="Garamond" w:hAnsi="Garamond"/>
                <w:bCs/>
                <w:kern w:val="32"/>
                <w:sz w:val="24"/>
                <w:szCs w:val="24"/>
              </w:rPr>
              <w:t>Training</w:t>
            </w:r>
          </w:p>
        </w:tc>
        <w:tc>
          <w:tcPr>
            <w:tcW w:w="4815" w:type="dxa"/>
            <w:hideMark/>
          </w:tcPr>
          <w:p w:rsidRPr="003F5B27" w:rsidR="003F5B27" w:rsidP="003F5B27" w:rsidRDefault="003F5B27" w14:paraId="733C7129" w14:textId="77777777">
            <w:pPr>
              <w:rPr>
                <w:rFonts w:ascii="Garamond" w:hAnsi="Garamond"/>
                <w:bCs/>
                <w:kern w:val="32"/>
                <w:sz w:val="24"/>
                <w:szCs w:val="24"/>
              </w:rPr>
            </w:pPr>
          </w:p>
        </w:tc>
      </w:tr>
      <w:tr w:rsidRPr="003F5B27" w:rsidR="003F5B27" w:rsidTr="003C64EA" w14:paraId="48BD3C65" w14:textId="77777777">
        <w:trPr>
          <w:trHeight w:val="341"/>
        </w:trPr>
        <w:tc>
          <w:tcPr>
            <w:tcW w:w="869" w:type="dxa"/>
            <w:noWrap/>
            <w:hideMark/>
          </w:tcPr>
          <w:p w:rsidRPr="003F5B27" w:rsidR="003F5B27" w:rsidP="003F5B27" w:rsidRDefault="003F5B27" w14:paraId="2F765113" w14:textId="77777777">
            <w:pPr>
              <w:rPr>
                <w:rFonts w:ascii="Garamond" w:hAnsi="Garamond"/>
                <w:bCs/>
                <w:kern w:val="32"/>
                <w:sz w:val="24"/>
                <w:szCs w:val="24"/>
              </w:rPr>
            </w:pPr>
            <w:r w:rsidRPr="003F5B27">
              <w:rPr>
                <w:rFonts w:ascii="Garamond" w:hAnsi="Garamond"/>
                <w:bCs/>
                <w:kern w:val="32"/>
                <w:sz w:val="24"/>
                <w:szCs w:val="24"/>
              </w:rPr>
              <w:t>BP 10</w:t>
            </w:r>
          </w:p>
        </w:tc>
        <w:tc>
          <w:tcPr>
            <w:tcW w:w="4497" w:type="dxa"/>
            <w:hideMark/>
          </w:tcPr>
          <w:p w:rsidRPr="003F5B27" w:rsidR="003F5B27" w:rsidP="003F5B27" w:rsidRDefault="003F5B27" w14:paraId="69111241" w14:textId="77777777">
            <w:pPr>
              <w:rPr>
                <w:rFonts w:ascii="Garamond" w:hAnsi="Garamond"/>
                <w:bCs/>
                <w:kern w:val="32"/>
                <w:sz w:val="24"/>
                <w:szCs w:val="24"/>
                <w:u w:val="single"/>
              </w:rPr>
            </w:pPr>
            <w:r w:rsidRPr="003F5B27">
              <w:rPr>
                <w:rFonts w:ascii="Garamond" w:hAnsi="Garamond"/>
                <w:bCs/>
                <w:kern w:val="32"/>
                <w:sz w:val="24"/>
                <w:szCs w:val="24"/>
                <w:u w:val="single"/>
              </w:rPr>
              <w:t xml:space="preserve">Minimize Uncontrolled Natural Gas Emissions Training </w:t>
            </w:r>
          </w:p>
          <w:p w:rsidRPr="003F5B27" w:rsidR="003F5B27" w:rsidP="003F5B27" w:rsidRDefault="003F5B27" w14:paraId="4EF624F9" w14:textId="77777777">
            <w:pPr>
              <w:rPr>
                <w:rFonts w:ascii="Garamond" w:hAnsi="Garamond"/>
                <w:bCs/>
                <w:kern w:val="32"/>
                <w:sz w:val="24"/>
                <w:szCs w:val="24"/>
              </w:rPr>
            </w:pPr>
            <w:r w:rsidRPr="003F5B27">
              <w:rPr>
                <w:rFonts w:ascii="Garamond" w:hAnsi="Garamond"/>
                <w:bCs/>
                <w:kern w:val="32"/>
                <w:sz w:val="24"/>
                <w:szCs w:val="24"/>
              </w:rPr>
              <w:t xml:space="preserve">Training to ensure that personnel know how to use company emergency procedures which describe the actions staff shall take to prevent, minimize and/or stop the uncontrolled release of natural gas from the gas system or storage facility.  Training programs to be designed by the Company and approved by the CPUC, in consultation with CARB, as part of the Compliance Plan filing.  If integration of training and program development is required with the company’s General Rate Case (GRC) and/or Collective Bargaining Unit (CBC) processes, then the company shall file a draft training program and plan with a process to update the program once finalized into its Compliance Plan.  </w:t>
            </w:r>
          </w:p>
          <w:p w:rsidRPr="003F5B27" w:rsidR="003F5B27" w:rsidP="003F5B27" w:rsidRDefault="003F5B27" w14:paraId="53F54ABC" w14:textId="77777777">
            <w:pPr>
              <w:rPr>
                <w:rFonts w:ascii="Garamond" w:hAnsi="Garamond"/>
                <w:bCs/>
                <w:kern w:val="32"/>
                <w:sz w:val="24"/>
                <w:szCs w:val="24"/>
              </w:rPr>
            </w:pPr>
          </w:p>
        </w:tc>
        <w:tc>
          <w:tcPr>
            <w:tcW w:w="4815" w:type="dxa"/>
          </w:tcPr>
          <w:p w:rsidRPr="003F5B27" w:rsidR="003F5B27" w:rsidP="003F5B27" w:rsidRDefault="003F5B27" w14:paraId="0440E5D1" w14:textId="77777777">
            <w:pPr>
              <w:rPr>
                <w:rFonts w:ascii="Garamond" w:hAnsi="Garamond"/>
                <w:bCs/>
                <w:kern w:val="32"/>
                <w:sz w:val="24"/>
                <w:szCs w:val="24"/>
              </w:rPr>
            </w:pPr>
            <w:r w:rsidRPr="003F5B27">
              <w:rPr>
                <w:rFonts w:ascii="Garamond" w:hAnsi="Garamond"/>
                <w:bCs/>
                <w:kern w:val="32"/>
                <w:sz w:val="24"/>
                <w:szCs w:val="24"/>
              </w:rPr>
              <w:t xml:space="preserve">Most natural gas companies have gas systems containing large volumes of methane.  An uncontrolled release can negate the methane reductions of other utilities and increase GHG emissions.  This training BP is needed to ensure personnel know how to use emergency procedures to prevent, minimize and/or stop the uncontrolled releases of methane.  This training BP allows for companies to submit draft training programs along with a process to update the program once finalized to allow companies opportunities to integrate changes to their existing training and program development through their existing GRC and/or CBC processes.  </w:t>
            </w:r>
          </w:p>
        </w:tc>
      </w:tr>
      <w:tr w:rsidRPr="003F5B27" w:rsidR="003F5B27" w:rsidTr="003C64EA" w14:paraId="5CA576B4" w14:textId="77777777">
        <w:tblPrEx>
          <w:tblCellMar>
            <w:left w:w="108" w:type="dxa"/>
            <w:right w:w="108" w:type="dxa"/>
          </w:tblCellMar>
        </w:tblPrEx>
        <w:trPr>
          <w:trHeight w:val="341"/>
        </w:trPr>
        <w:tc>
          <w:tcPr>
            <w:tcW w:w="869" w:type="dxa"/>
            <w:noWrap/>
            <w:hideMark/>
          </w:tcPr>
          <w:p w:rsidRPr="003F5B27" w:rsidR="003F5B27" w:rsidP="003F5B27" w:rsidRDefault="003F5B27" w14:paraId="1EC2D4BF" w14:textId="77777777">
            <w:pPr>
              <w:rPr>
                <w:rFonts w:ascii="Garamond" w:hAnsi="Garamond"/>
                <w:bCs/>
                <w:kern w:val="32"/>
                <w:sz w:val="24"/>
                <w:szCs w:val="24"/>
              </w:rPr>
            </w:pPr>
            <w:r w:rsidRPr="003F5B27">
              <w:rPr>
                <w:rFonts w:ascii="Garamond" w:hAnsi="Garamond"/>
                <w:bCs/>
                <w:kern w:val="32"/>
                <w:sz w:val="24"/>
                <w:szCs w:val="24"/>
              </w:rPr>
              <w:t>BP 11</w:t>
            </w:r>
          </w:p>
        </w:tc>
        <w:tc>
          <w:tcPr>
            <w:tcW w:w="4497" w:type="dxa"/>
            <w:hideMark/>
          </w:tcPr>
          <w:p w:rsidRPr="003F5B27" w:rsidR="003F5B27" w:rsidP="003F5B27" w:rsidRDefault="003F5B27" w14:paraId="33686600" w14:textId="77777777">
            <w:pPr>
              <w:rPr>
                <w:rFonts w:ascii="Garamond" w:hAnsi="Garamond"/>
                <w:bCs/>
                <w:kern w:val="32"/>
                <w:sz w:val="24"/>
                <w:szCs w:val="24"/>
                <w:u w:val="single"/>
              </w:rPr>
            </w:pPr>
            <w:r w:rsidRPr="003F5B27">
              <w:rPr>
                <w:rFonts w:ascii="Garamond" w:hAnsi="Garamond"/>
                <w:bCs/>
                <w:kern w:val="32"/>
                <w:sz w:val="24"/>
                <w:szCs w:val="24"/>
                <w:u w:val="single"/>
              </w:rPr>
              <w:t xml:space="preserve">Methane Emissions Minimization Policies Training </w:t>
            </w:r>
          </w:p>
          <w:p w:rsidRPr="003F5B27" w:rsidR="003F5B27" w:rsidP="003F5B27" w:rsidRDefault="003F5B27" w14:paraId="471DD3D5" w14:textId="77777777">
            <w:pPr>
              <w:rPr>
                <w:rFonts w:ascii="Garamond" w:hAnsi="Garamond"/>
                <w:bCs/>
                <w:kern w:val="32"/>
                <w:sz w:val="24"/>
                <w:szCs w:val="24"/>
              </w:rPr>
            </w:pPr>
            <w:r w:rsidRPr="003F5B27">
              <w:rPr>
                <w:rFonts w:ascii="Garamond" w:hAnsi="Garamond"/>
                <w:bCs/>
                <w:kern w:val="32"/>
                <w:sz w:val="24"/>
                <w:szCs w:val="24"/>
              </w:rPr>
              <w:t xml:space="preserve">Ensure that training programs educate workers as to why it is necessary to minimize methane emissions and abate natural gas leaks.  Training programs to be designed by the Company and approved by the CPUC, in consultation with CARB, as part of the Compliance Plan filing.  If integration of training and program development is required with the company’s GRC and/or CBC processes, then the company shall file a draft training program and plan with a process to update the program once finalized into its Compliance Plan.  </w:t>
            </w:r>
          </w:p>
          <w:p w:rsidRPr="003F5B27" w:rsidR="003F5B27" w:rsidP="003F5B27" w:rsidRDefault="003F5B27" w14:paraId="5E54774E" w14:textId="77777777">
            <w:pPr>
              <w:rPr>
                <w:rFonts w:ascii="Garamond" w:hAnsi="Garamond"/>
                <w:bCs/>
                <w:kern w:val="32"/>
                <w:sz w:val="24"/>
                <w:szCs w:val="24"/>
              </w:rPr>
            </w:pPr>
          </w:p>
        </w:tc>
        <w:tc>
          <w:tcPr>
            <w:tcW w:w="4815" w:type="dxa"/>
          </w:tcPr>
          <w:p w:rsidRPr="003F5B27" w:rsidR="003F5B27" w:rsidP="003F5B27" w:rsidRDefault="003F5B27" w14:paraId="6971DEE0" w14:textId="77777777">
            <w:pPr>
              <w:rPr>
                <w:rFonts w:ascii="Garamond" w:hAnsi="Garamond"/>
                <w:bCs/>
                <w:kern w:val="32"/>
                <w:sz w:val="24"/>
                <w:szCs w:val="24"/>
              </w:rPr>
            </w:pPr>
            <w:r w:rsidRPr="003F5B27">
              <w:rPr>
                <w:rFonts w:ascii="Garamond" w:hAnsi="Garamond"/>
                <w:bCs/>
                <w:kern w:val="32"/>
                <w:sz w:val="24"/>
                <w:szCs w:val="24"/>
              </w:rPr>
              <w:t xml:space="preserve">Training programs are necessary to help employees understand why it is important to abate natural gas leaks and minimize methane emissions.  If they understand the reasoning behind the goals, they are more likely to comply with the company’s policies and procedures.  This training BP is needed to ensure workers knows methane emissions reductions policies.  This training BP allows for companies to submit draft training programs along with a process to update the program once finalized.  </w:t>
            </w:r>
          </w:p>
          <w:p w:rsidRPr="003F5B27" w:rsidR="003F5B27" w:rsidP="003F5B27" w:rsidRDefault="003F5B27" w14:paraId="508014A9" w14:textId="77777777">
            <w:pPr>
              <w:rPr>
                <w:rFonts w:ascii="Garamond" w:hAnsi="Garamond"/>
                <w:bCs/>
                <w:kern w:val="32"/>
                <w:sz w:val="24"/>
                <w:szCs w:val="24"/>
              </w:rPr>
            </w:pPr>
          </w:p>
        </w:tc>
      </w:tr>
      <w:tr w:rsidRPr="003F5B27" w:rsidR="003F5B27" w:rsidTr="003C64EA" w14:paraId="22EC4ADE" w14:textId="77777777">
        <w:tblPrEx>
          <w:tblCellMar>
            <w:left w:w="108" w:type="dxa"/>
            <w:right w:w="108" w:type="dxa"/>
          </w:tblCellMar>
        </w:tblPrEx>
        <w:trPr>
          <w:trHeight w:val="458"/>
        </w:trPr>
        <w:tc>
          <w:tcPr>
            <w:tcW w:w="869" w:type="dxa"/>
            <w:noWrap/>
            <w:hideMark/>
          </w:tcPr>
          <w:p w:rsidRPr="003F5B27" w:rsidR="003F5B27" w:rsidP="003F5B27" w:rsidRDefault="003F5B27" w14:paraId="52C7B307" w14:textId="77777777">
            <w:pPr>
              <w:rPr>
                <w:rFonts w:ascii="Garamond" w:hAnsi="Garamond"/>
                <w:bCs/>
                <w:kern w:val="32"/>
                <w:sz w:val="24"/>
                <w:szCs w:val="24"/>
              </w:rPr>
            </w:pPr>
            <w:r w:rsidRPr="003F5B27">
              <w:rPr>
                <w:rFonts w:ascii="Garamond" w:hAnsi="Garamond"/>
                <w:bCs/>
                <w:kern w:val="32"/>
                <w:sz w:val="24"/>
                <w:szCs w:val="24"/>
              </w:rPr>
              <w:t>BP 12</w:t>
            </w:r>
          </w:p>
        </w:tc>
        <w:tc>
          <w:tcPr>
            <w:tcW w:w="4497" w:type="dxa"/>
            <w:hideMark/>
          </w:tcPr>
          <w:p w:rsidRPr="003F5B27" w:rsidR="003F5B27" w:rsidP="003F5B27" w:rsidRDefault="003F5B27" w14:paraId="522BF300" w14:textId="77777777">
            <w:pPr>
              <w:rPr>
                <w:rFonts w:ascii="Garamond" w:hAnsi="Garamond"/>
                <w:bCs/>
                <w:kern w:val="32"/>
                <w:sz w:val="24"/>
                <w:szCs w:val="24"/>
                <w:u w:val="single"/>
              </w:rPr>
            </w:pPr>
            <w:r w:rsidRPr="003F5B27">
              <w:rPr>
                <w:rFonts w:ascii="Garamond" w:hAnsi="Garamond"/>
                <w:bCs/>
                <w:kern w:val="32"/>
                <w:sz w:val="24"/>
                <w:szCs w:val="24"/>
                <w:u w:val="single"/>
              </w:rPr>
              <w:t xml:space="preserve">Knowledge Continuity Training Programs </w:t>
            </w:r>
          </w:p>
          <w:p w:rsidRPr="003F5B27" w:rsidR="003F5B27" w:rsidP="003F5B27" w:rsidRDefault="003F5B27" w14:paraId="7B163092" w14:textId="77777777">
            <w:pPr>
              <w:rPr>
                <w:rFonts w:ascii="Garamond" w:hAnsi="Garamond"/>
                <w:bCs/>
                <w:kern w:val="32"/>
                <w:sz w:val="24"/>
                <w:szCs w:val="24"/>
              </w:rPr>
            </w:pPr>
            <w:r w:rsidRPr="003F5B27">
              <w:rPr>
                <w:rFonts w:ascii="Garamond" w:hAnsi="Garamond"/>
                <w:bCs/>
                <w:kern w:val="32"/>
                <w:sz w:val="24"/>
                <w:szCs w:val="24"/>
              </w:rPr>
              <w:t xml:space="preserve">Knowledge Continuity (Transfer) Training Programs to ensure knowledge continuity for </w:t>
            </w:r>
            <w:r w:rsidRPr="003F5B27">
              <w:rPr>
                <w:rFonts w:ascii="Garamond" w:hAnsi="Garamond"/>
                <w:bCs/>
                <w:kern w:val="32"/>
                <w:sz w:val="24"/>
                <w:szCs w:val="24"/>
              </w:rPr>
              <w:lastRenderedPageBreak/>
              <w:t xml:space="preserve">new methane emissions reductions best practices as workers, including contractors, leave and new workers are hired.  Knowledge continuity training programs to be designed by the Company and approved by the CPUC, in consultation with CARB, as part of the Compliance Plan filing. If integration of training and program development is required with the company’s GRC and/or CBC processes, then the company shall file a draft training program and plan with a process to update the program once finalized into its Compliance Plan.  </w:t>
            </w:r>
          </w:p>
          <w:p w:rsidRPr="003F5B27" w:rsidR="003F5B27" w:rsidP="003F5B27" w:rsidRDefault="003F5B27" w14:paraId="1D524E9F" w14:textId="77777777">
            <w:pPr>
              <w:rPr>
                <w:rFonts w:ascii="Garamond" w:hAnsi="Garamond"/>
                <w:bCs/>
                <w:kern w:val="32"/>
                <w:sz w:val="24"/>
                <w:szCs w:val="24"/>
              </w:rPr>
            </w:pPr>
          </w:p>
        </w:tc>
        <w:tc>
          <w:tcPr>
            <w:tcW w:w="4815" w:type="dxa"/>
          </w:tcPr>
          <w:p w:rsidRPr="003F5B27" w:rsidR="003F5B27" w:rsidP="003F5B27" w:rsidRDefault="003F5B27" w14:paraId="799EEDB8" w14:textId="77777777">
            <w:pPr>
              <w:rPr>
                <w:rFonts w:ascii="Garamond" w:hAnsi="Garamond"/>
                <w:bCs/>
                <w:kern w:val="32"/>
                <w:sz w:val="24"/>
                <w:szCs w:val="24"/>
              </w:rPr>
            </w:pPr>
            <w:r w:rsidRPr="003F5B27">
              <w:rPr>
                <w:rFonts w:ascii="Garamond" w:hAnsi="Garamond"/>
                <w:bCs/>
                <w:kern w:val="32"/>
                <w:sz w:val="24"/>
                <w:szCs w:val="24"/>
              </w:rPr>
              <w:lastRenderedPageBreak/>
              <w:t xml:space="preserve">New workers need to be trained in how to abate natural gas leakages and minimize methane emissions.  Knowledge continuity (transfer) </w:t>
            </w:r>
            <w:r w:rsidRPr="003F5B27">
              <w:rPr>
                <w:rFonts w:ascii="Garamond" w:hAnsi="Garamond"/>
                <w:bCs/>
                <w:kern w:val="32"/>
                <w:sz w:val="24"/>
                <w:szCs w:val="24"/>
              </w:rPr>
              <w:lastRenderedPageBreak/>
              <w:t xml:space="preserve">training programs are also needed to alleviate knowledge gaps and improve safety for new methane emissions minimization best practices.  This training BP allows for companies to submit draft training programs along with a process to update the program once finalized to allow companies opportunities to integrate changes to their existing training and program development through their existing GRC and/or CBC processes.  </w:t>
            </w:r>
          </w:p>
          <w:p w:rsidRPr="003F5B27" w:rsidR="003F5B27" w:rsidP="003F5B27" w:rsidRDefault="003F5B27" w14:paraId="6112A261" w14:textId="77777777">
            <w:pPr>
              <w:rPr>
                <w:rFonts w:ascii="Garamond" w:hAnsi="Garamond"/>
                <w:bCs/>
                <w:kern w:val="32"/>
                <w:sz w:val="24"/>
                <w:szCs w:val="24"/>
              </w:rPr>
            </w:pPr>
          </w:p>
        </w:tc>
      </w:tr>
      <w:tr w:rsidRPr="003F5B27" w:rsidR="003F5B27" w:rsidTr="003C64EA" w14:paraId="28D35BC5" w14:textId="77777777">
        <w:trPr>
          <w:trHeight w:val="998"/>
        </w:trPr>
        <w:tc>
          <w:tcPr>
            <w:tcW w:w="869" w:type="dxa"/>
            <w:noWrap/>
            <w:hideMark/>
          </w:tcPr>
          <w:p w:rsidRPr="003F5B27" w:rsidR="003F5B27" w:rsidP="003F5B27" w:rsidRDefault="003F5B27" w14:paraId="5E00E224" w14:textId="77777777">
            <w:pPr>
              <w:rPr>
                <w:rFonts w:ascii="Garamond" w:hAnsi="Garamond"/>
                <w:bCs/>
                <w:kern w:val="32"/>
                <w:sz w:val="24"/>
                <w:szCs w:val="24"/>
              </w:rPr>
            </w:pPr>
            <w:r w:rsidRPr="003F5B27">
              <w:rPr>
                <w:rFonts w:ascii="Garamond" w:hAnsi="Garamond"/>
                <w:bCs/>
                <w:kern w:val="32"/>
                <w:sz w:val="24"/>
                <w:szCs w:val="24"/>
              </w:rPr>
              <w:lastRenderedPageBreak/>
              <w:t>BP 13</w:t>
            </w:r>
          </w:p>
        </w:tc>
        <w:tc>
          <w:tcPr>
            <w:tcW w:w="4497" w:type="dxa"/>
            <w:hideMark/>
          </w:tcPr>
          <w:p w:rsidRPr="003F5B27" w:rsidR="003F5B27" w:rsidP="003F5B27" w:rsidRDefault="003F5B27" w14:paraId="62F06175" w14:textId="77777777">
            <w:pPr>
              <w:rPr>
                <w:rFonts w:ascii="Garamond" w:hAnsi="Garamond"/>
                <w:bCs/>
                <w:kern w:val="32"/>
                <w:sz w:val="24"/>
                <w:szCs w:val="24"/>
                <w:u w:val="single"/>
              </w:rPr>
            </w:pPr>
            <w:r w:rsidRPr="003F5B27">
              <w:rPr>
                <w:rFonts w:ascii="Garamond" w:hAnsi="Garamond"/>
                <w:bCs/>
                <w:kern w:val="32"/>
                <w:sz w:val="24"/>
                <w:szCs w:val="24"/>
                <w:u w:val="single"/>
              </w:rPr>
              <w:t xml:space="preserve">Performance Focused Training Programs </w:t>
            </w:r>
          </w:p>
          <w:p w:rsidRPr="003F5B27" w:rsidR="003F5B27" w:rsidP="003F5B27" w:rsidRDefault="003F5B27" w14:paraId="3AD7B24D" w14:textId="77777777">
            <w:pPr>
              <w:rPr>
                <w:rFonts w:ascii="Garamond" w:hAnsi="Garamond"/>
                <w:bCs/>
                <w:kern w:val="32"/>
                <w:sz w:val="24"/>
                <w:szCs w:val="24"/>
              </w:rPr>
            </w:pPr>
            <w:r w:rsidRPr="003F5B27">
              <w:rPr>
                <w:rFonts w:ascii="Garamond" w:hAnsi="Garamond"/>
                <w:bCs/>
                <w:kern w:val="32"/>
                <w:sz w:val="24"/>
                <w:szCs w:val="24"/>
              </w:rPr>
              <w:t xml:space="preserve">Create and implement training programs to instruct workers, including contractors, on how to perform the BPs chosen, efficiently and safely.  Training programs to be designed by the Company and approved by the CPUC, in consultation with CARB, as part of the Compliance Plan filing.  If integration of training and program development is required with the company’s GRC and/or CBC processes, then the company shall file a draft training program and plan with a process to update the program once finalized into its Compliance Plan.  </w:t>
            </w:r>
          </w:p>
          <w:p w:rsidRPr="003F5B27" w:rsidR="003F5B27" w:rsidP="003F5B27" w:rsidRDefault="003F5B27" w14:paraId="7FE003EB" w14:textId="77777777">
            <w:pPr>
              <w:rPr>
                <w:rFonts w:ascii="Garamond" w:hAnsi="Garamond"/>
                <w:bCs/>
                <w:kern w:val="32"/>
                <w:sz w:val="24"/>
                <w:szCs w:val="24"/>
              </w:rPr>
            </w:pPr>
          </w:p>
        </w:tc>
        <w:tc>
          <w:tcPr>
            <w:tcW w:w="4815" w:type="dxa"/>
          </w:tcPr>
          <w:p w:rsidRPr="003F5B27" w:rsidR="003F5B27" w:rsidP="003F5B27" w:rsidRDefault="003F5B27" w14:paraId="5003474E" w14:textId="77777777">
            <w:pPr>
              <w:rPr>
                <w:rFonts w:ascii="Garamond" w:hAnsi="Garamond"/>
                <w:bCs/>
                <w:kern w:val="32"/>
                <w:sz w:val="24"/>
                <w:szCs w:val="24"/>
              </w:rPr>
            </w:pPr>
            <w:r w:rsidRPr="003F5B27">
              <w:rPr>
                <w:rFonts w:ascii="Garamond" w:hAnsi="Garamond"/>
                <w:bCs/>
                <w:kern w:val="32"/>
                <w:sz w:val="24"/>
                <w:szCs w:val="24"/>
              </w:rPr>
              <w:t xml:space="preserve">Training programs are necessary to instruct workers, including contractors, on how to perform BPs, efficiently and safely.  This training BP is needed to ensure companies instructs workers, including contractors, on how to perform BPs, efficiently and safely.  This training BP allows for companies to submit draft training programs along with a process to update the program once finalized to allow companies opportunities to integrate changes to their existing training and program development through their existing GRC and/or CBC processes.  </w:t>
            </w:r>
          </w:p>
        </w:tc>
      </w:tr>
      <w:tr w:rsidRPr="003F5B27" w:rsidR="003F5B27" w:rsidTr="003C64EA" w14:paraId="378BFBE9" w14:textId="77777777">
        <w:tblPrEx>
          <w:tblCellMar>
            <w:left w:w="108" w:type="dxa"/>
            <w:right w:w="108" w:type="dxa"/>
          </w:tblCellMar>
        </w:tblPrEx>
        <w:trPr>
          <w:trHeight w:val="359"/>
        </w:trPr>
        <w:tc>
          <w:tcPr>
            <w:tcW w:w="869" w:type="dxa"/>
            <w:noWrap/>
          </w:tcPr>
          <w:p w:rsidRPr="003F5B27" w:rsidR="003F5B27" w:rsidP="003F5B27" w:rsidRDefault="003F5B27" w14:paraId="4F7465A3" w14:textId="77777777">
            <w:pPr>
              <w:rPr>
                <w:rFonts w:ascii="Garamond" w:hAnsi="Garamond"/>
                <w:bCs/>
                <w:kern w:val="32"/>
                <w:sz w:val="24"/>
                <w:szCs w:val="24"/>
              </w:rPr>
            </w:pPr>
          </w:p>
        </w:tc>
        <w:tc>
          <w:tcPr>
            <w:tcW w:w="4497" w:type="dxa"/>
            <w:noWrap/>
          </w:tcPr>
          <w:p w:rsidRPr="003F5B27" w:rsidR="003F5B27" w:rsidP="003F5B27" w:rsidRDefault="003F5B27" w14:paraId="3F6C0C96" w14:textId="77777777">
            <w:pPr>
              <w:rPr>
                <w:rFonts w:ascii="Garamond" w:hAnsi="Garamond"/>
                <w:bCs/>
                <w:kern w:val="32"/>
                <w:sz w:val="24"/>
                <w:szCs w:val="24"/>
                <w:u w:val="single"/>
              </w:rPr>
            </w:pPr>
            <w:r w:rsidRPr="003F5B27">
              <w:rPr>
                <w:rFonts w:ascii="Garamond" w:hAnsi="Garamond"/>
                <w:bCs/>
                <w:kern w:val="32"/>
                <w:sz w:val="24"/>
                <w:szCs w:val="24"/>
                <w:u w:val="single"/>
              </w:rPr>
              <w:t>Experienced, Trained Personnel</w:t>
            </w:r>
          </w:p>
        </w:tc>
        <w:tc>
          <w:tcPr>
            <w:tcW w:w="4815" w:type="dxa"/>
            <w:noWrap/>
          </w:tcPr>
          <w:p w:rsidRPr="003F5B27" w:rsidR="003F5B27" w:rsidP="003F5B27" w:rsidRDefault="003F5B27" w14:paraId="2F2B9F53" w14:textId="77777777">
            <w:pPr>
              <w:rPr>
                <w:rFonts w:ascii="Garamond" w:hAnsi="Garamond"/>
                <w:bCs/>
                <w:kern w:val="32"/>
                <w:sz w:val="24"/>
                <w:szCs w:val="24"/>
              </w:rPr>
            </w:pPr>
          </w:p>
        </w:tc>
      </w:tr>
      <w:tr w:rsidRPr="003F5B27" w:rsidR="003F5B27" w:rsidTr="003C64EA" w14:paraId="6C8989D5" w14:textId="77777777">
        <w:tblPrEx>
          <w:tblCellMar>
            <w:left w:w="108" w:type="dxa"/>
            <w:right w:w="108" w:type="dxa"/>
          </w:tblCellMar>
        </w:tblPrEx>
        <w:trPr>
          <w:trHeight w:val="6767"/>
        </w:trPr>
        <w:tc>
          <w:tcPr>
            <w:tcW w:w="869" w:type="dxa"/>
            <w:noWrap/>
          </w:tcPr>
          <w:p w:rsidRPr="003F5B27" w:rsidR="003F5B27" w:rsidP="003F5B27" w:rsidRDefault="003F5B27" w14:paraId="104BDB6F" w14:textId="77777777">
            <w:pPr>
              <w:rPr>
                <w:rFonts w:ascii="Garamond" w:hAnsi="Garamond"/>
                <w:bCs/>
                <w:kern w:val="32"/>
                <w:sz w:val="24"/>
                <w:szCs w:val="24"/>
              </w:rPr>
            </w:pPr>
            <w:r w:rsidRPr="003F5B27">
              <w:rPr>
                <w:rFonts w:ascii="Garamond" w:hAnsi="Garamond"/>
                <w:bCs/>
                <w:kern w:val="32"/>
                <w:sz w:val="24"/>
                <w:szCs w:val="24"/>
              </w:rPr>
              <w:lastRenderedPageBreak/>
              <w:t>BP 14</w:t>
            </w:r>
          </w:p>
        </w:tc>
        <w:tc>
          <w:tcPr>
            <w:tcW w:w="4497" w:type="dxa"/>
            <w:noWrap/>
            <w:hideMark/>
          </w:tcPr>
          <w:p w:rsidRPr="003F5B27" w:rsidR="003F5B27" w:rsidP="003F5B27" w:rsidRDefault="003F5B27" w14:paraId="492DF73B" w14:textId="77777777">
            <w:pPr>
              <w:rPr>
                <w:rFonts w:ascii="Garamond" w:hAnsi="Garamond"/>
                <w:bCs/>
                <w:kern w:val="32"/>
                <w:sz w:val="24"/>
                <w:szCs w:val="24"/>
                <w:u w:val="single"/>
              </w:rPr>
            </w:pPr>
            <w:r w:rsidRPr="003F5B27">
              <w:rPr>
                <w:rFonts w:ascii="Garamond" w:hAnsi="Garamond"/>
                <w:bCs/>
                <w:kern w:val="32"/>
                <w:sz w:val="24"/>
                <w:szCs w:val="24"/>
                <w:u w:val="single"/>
              </w:rPr>
              <w:t>Formal Job Classifications</w:t>
            </w:r>
          </w:p>
          <w:p w:rsidRPr="003F5B27" w:rsidR="003F5B27" w:rsidP="003F5B27" w:rsidRDefault="003F5B27" w14:paraId="03727E56" w14:textId="77777777">
            <w:pPr>
              <w:rPr>
                <w:rFonts w:ascii="Garamond" w:hAnsi="Garamond"/>
                <w:bCs/>
                <w:kern w:val="32"/>
                <w:sz w:val="24"/>
                <w:szCs w:val="24"/>
              </w:rPr>
            </w:pPr>
            <w:r w:rsidRPr="003F5B27">
              <w:rPr>
                <w:rFonts w:ascii="Garamond" w:hAnsi="Garamond"/>
                <w:bCs/>
                <w:kern w:val="32"/>
                <w:sz w:val="24"/>
                <w:szCs w:val="24"/>
              </w:rPr>
              <w:t xml:space="preserve">Create new formal job classifications for apprentices, journeyman, specialists, etc., where needed to address new methane emissions minimization and leak abatement best practices, and filed as part of the Compliance Plan filing, to be approved by the CPUC, in consultation with CARB.  </w:t>
            </w:r>
          </w:p>
        </w:tc>
        <w:tc>
          <w:tcPr>
            <w:tcW w:w="4815" w:type="dxa"/>
            <w:noWrap/>
          </w:tcPr>
          <w:p w:rsidRPr="003F5B27" w:rsidR="003F5B27" w:rsidP="003F5B27" w:rsidRDefault="003F5B27" w14:paraId="5A654BEF" w14:textId="77777777">
            <w:pPr>
              <w:rPr>
                <w:rFonts w:ascii="Garamond" w:hAnsi="Garamond"/>
                <w:bCs/>
                <w:kern w:val="32"/>
                <w:sz w:val="24"/>
                <w:szCs w:val="24"/>
              </w:rPr>
            </w:pPr>
            <w:r w:rsidRPr="003F5B27">
              <w:rPr>
                <w:rFonts w:ascii="Garamond" w:hAnsi="Garamond"/>
                <w:bCs/>
                <w:kern w:val="32"/>
                <w:sz w:val="24"/>
                <w:szCs w:val="24"/>
              </w:rPr>
              <w:t xml:space="preserve">According to the Unions, there is a significant need for experienced, qualified people working in the field, </w:t>
            </w:r>
            <w:proofErr w:type="gramStart"/>
            <w:r w:rsidRPr="003F5B27">
              <w:rPr>
                <w:rFonts w:ascii="Garamond" w:hAnsi="Garamond"/>
                <w:bCs/>
                <w:kern w:val="32"/>
                <w:sz w:val="24"/>
                <w:szCs w:val="24"/>
              </w:rPr>
              <w:t>and also</w:t>
            </w:r>
            <w:proofErr w:type="gramEnd"/>
            <w:r w:rsidRPr="003F5B27">
              <w:rPr>
                <w:rFonts w:ascii="Garamond" w:hAnsi="Garamond"/>
                <w:bCs/>
                <w:kern w:val="32"/>
                <w:sz w:val="24"/>
                <w:szCs w:val="24"/>
              </w:rPr>
              <w:t xml:space="preserve"> for participation in the evaluation of existing practices and development of better (best) practices.  Experienced gas system workers have first-hand knowledge of how system equipment operates, what the O&amp;M problems are and how to fix them resulting in less methane leaks.  If this is accurate, then methane leaks and emissions are not entirely infrastructure issues.  Experienced workers are critical to help train, improve procedures, </w:t>
            </w:r>
            <w:proofErr w:type="gramStart"/>
            <w:r w:rsidRPr="003F5B27">
              <w:rPr>
                <w:rFonts w:ascii="Garamond" w:hAnsi="Garamond"/>
                <w:bCs/>
                <w:kern w:val="32"/>
                <w:sz w:val="24"/>
                <w:szCs w:val="24"/>
              </w:rPr>
              <w:t>maintain</w:t>
            </w:r>
            <w:proofErr w:type="gramEnd"/>
            <w:r w:rsidRPr="003F5B27">
              <w:rPr>
                <w:rFonts w:ascii="Garamond" w:hAnsi="Garamond"/>
                <w:bCs/>
                <w:kern w:val="32"/>
                <w:sz w:val="24"/>
                <w:szCs w:val="24"/>
              </w:rPr>
              <w:t xml:space="preserve"> and operate equipment and to address new methane emissions reduction and leak abatement best practices.  </w:t>
            </w:r>
          </w:p>
          <w:p w:rsidRPr="003F5B27" w:rsidR="003F5B27" w:rsidP="003F5B27" w:rsidRDefault="003F5B27" w14:paraId="7B1EED7B" w14:textId="77777777">
            <w:pPr>
              <w:rPr>
                <w:rFonts w:ascii="Garamond" w:hAnsi="Garamond"/>
                <w:bCs/>
                <w:kern w:val="32"/>
                <w:sz w:val="24"/>
                <w:szCs w:val="24"/>
              </w:rPr>
            </w:pPr>
          </w:p>
        </w:tc>
      </w:tr>
      <w:tr w:rsidRPr="003F5B27" w:rsidR="003F5B27" w:rsidTr="003C64EA" w14:paraId="66140D94" w14:textId="77777777">
        <w:tblPrEx>
          <w:tblCellMar>
            <w:left w:w="108" w:type="dxa"/>
            <w:right w:w="108" w:type="dxa"/>
          </w:tblCellMar>
        </w:tblPrEx>
        <w:trPr>
          <w:trHeight w:val="300"/>
        </w:trPr>
        <w:tc>
          <w:tcPr>
            <w:tcW w:w="869" w:type="dxa"/>
            <w:noWrap/>
            <w:hideMark/>
          </w:tcPr>
          <w:p w:rsidRPr="003F5B27" w:rsidR="003F5B27" w:rsidP="003F5B27" w:rsidRDefault="003F5B27" w14:paraId="73799DD9" w14:textId="77777777">
            <w:pPr>
              <w:rPr>
                <w:rFonts w:ascii="Garamond" w:hAnsi="Garamond"/>
                <w:bCs/>
                <w:kern w:val="32"/>
                <w:sz w:val="24"/>
                <w:szCs w:val="24"/>
              </w:rPr>
            </w:pPr>
          </w:p>
        </w:tc>
        <w:tc>
          <w:tcPr>
            <w:tcW w:w="4497" w:type="dxa"/>
            <w:hideMark/>
          </w:tcPr>
          <w:p w:rsidRPr="003F5B27" w:rsidR="003F5B27" w:rsidP="003F5B27" w:rsidRDefault="003F5B27" w14:paraId="1BA97636" w14:textId="77777777">
            <w:pPr>
              <w:rPr>
                <w:rFonts w:ascii="Garamond" w:hAnsi="Garamond"/>
                <w:bCs/>
                <w:kern w:val="32"/>
                <w:sz w:val="24"/>
                <w:szCs w:val="24"/>
                <w:u w:val="single"/>
              </w:rPr>
            </w:pPr>
            <w:r w:rsidRPr="003F5B27">
              <w:rPr>
                <w:rFonts w:ascii="Garamond" w:hAnsi="Garamond"/>
                <w:bCs/>
                <w:kern w:val="32"/>
                <w:sz w:val="24"/>
                <w:szCs w:val="24"/>
                <w:u w:val="single"/>
              </w:rPr>
              <w:t>Leak Detection</w:t>
            </w:r>
          </w:p>
        </w:tc>
        <w:tc>
          <w:tcPr>
            <w:tcW w:w="4815" w:type="dxa"/>
            <w:hideMark/>
          </w:tcPr>
          <w:p w:rsidRPr="003F5B27" w:rsidR="003F5B27" w:rsidP="003F5B27" w:rsidRDefault="003F5B27" w14:paraId="4F28AA24" w14:textId="77777777">
            <w:pPr>
              <w:rPr>
                <w:rFonts w:ascii="Garamond" w:hAnsi="Garamond"/>
                <w:bCs/>
                <w:kern w:val="32"/>
                <w:sz w:val="24"/>
                <w:szCs w:val="24"/>
              </w:rPr>
            </w:pPr>
          </w:p>
        </w:tc>
      </w:tr>
      <w:tr w:rsidRPr="003F5B27" w:rsidR="003F5B27" w:rsidTr="003C64EA" w14:paraId="634FE95F" w14:textId="77777777">
        <w:tblPrEx>
          <w:tblCellMar>
            <w:left w:w="108" w:type="dxa"/>
            <w:right w:w="108" w:type="dxa"/>
          </w:tblCellMar>
        </w:tblPrEx>
        <w:trPr>
          <w:trHeight w:val="359"/>
        </w:trPr>
        <w:tc>
          <w:tcPr>
            <w:tcW w:w="869" w:type="dxa"/>
            <w:noWrap/>
          </w:tcPr>
          <w:p w:rsidRPr="003F5B27" w:rsidR="003F5B27" w:rsidP="003F5B27" w:rsidRDefault="003F5B27" w14:paraId="2A59D330" w14:textId="77777777">
            <w:pPr>
              <w:rPr>
                <w:rFonts w:ascii="Garamond" w:hAnsi="Garamond"/>
                <w:bCs/>
                <w:kern w:val="32"/>
                <w:sz w:val="24"/>
                <w:szCs w:val="24"/>
              </w:rPr>
            </w:pPr>
            <w:r w:rsidRPr="003F5B27">
              <w:rPr>
                <w:rFonts w:ascii="Garamond" w:hAnsi="Garamond"/>
                <w:bCs/>
                <w:kern w:val="32"/>
                <w:sz w:val="24"/>
                <w:szCs w:val="24"/>
              </w:rPr>
              <w:t>BP 15</w:t>
            </w:r>
          </w:p>
        </w:tc>
        <w:tc>
          <w:tcPr>
            <w:tcW w:w="4497" w:type="dxa"/>
            <w:noWrap/>
          </w:tcPr>
          <w:p w:rsidRPr="003F5B27" w:rsidR="003F5B27" w:rsidP="003F5B27" w:rsidRDefault="003F5B27" w14:paraId="5307ABE8" w14:textId="77777777">
            <w:pPr>
              <w:rPr>
                <w:rFonts w:ascii="Garamond" w:hAnsi="Garamond"/>
                <w:bCs/>
                <w:kern w:val="32"/>
                <w:sz w:val="24"/>
                <w:szCs w:val="24"/>
              </w:rPr>
            </w:pPr>
            <w:r w:rsidRPr="003F5B27">
              <w:rPr>
                <w:rFonts w:ascii="Garamond" w:hAnsi="Garamond"/>
                <w:bCs/>
                <w:kern w:val="32"/>
                <w:sz w:val="24"/>
                <w:szCs w:val="24"/>
                <w:u w:val="single"/>
              </w:rPr>
              <w:t>Gas Distribution Leak Surveys</w:t>
            </w:r>
          </w:p>
          <w:p w:rsidRPr="003F5B27" w:rsidR="003F5B27" w:rsidP="003F5B27" w:rsidRDefault="003F5B27" w14:paraId="685ACA75" w14:textId="77777777">
            <w:pPr>
              <w:rPr>
                <w:rFonts w:ascii="Garamond" w:hAnsi="Garamond"/>
                <w:bCs/>
                <w:kern w:val="32"/>
                <w:sz w:val="24"/>
                <w:szCs w:val="24"/>
              </w:rPr>
            </w:pPr>
            <w:r w:rsidRPr="003F5B27">
              <w:rPr>
                <w:rFonts w:ascii="Garamond" w:hAnsi="Garamond"/>
                <w:bCs/>
                <w:kern w:val="32"/>
                <w:sz w:val="24"/>
                <w:szCs w:val="24"/>
              </w:rPr>
              <w:t>Utilities should conduct leak surveys of the gas distribution system every 3 years, not to exceed 39 months, in areas where G.O. 112-F, or its successors, requires surveying every 5 years.  In lieu of a system-wide three-year leak survey cycle, utilities may propose and justify in their Compliance Plan filings, subject to Commission approval, a risk-assessment based, more cost-effective methodology for conducting gas distribution pipeline leak surveys at a less frequent interval.  However, utilities shall always meet the minimum requirements of G.O. 112-F, and its successors.</w:t>
            </w:r>
          </w:p>
          <w:p w:rsidRPr="003F5B27" w:rsidR="003F5B27" w:rsidP="003F5B27" w:rsidRDefault="003F5B27" w14:paraId="7E15C8E9" w14:textId="77777777">
            <w:pPr>
              <w:rPr>
                <w:rFonts w:ascii="Garamond" w:hAnsi="Garamond"/>
                <w:bCs/>
                <w:kern w:val="32"/>
                <w:sz w:val="24"/>
                <w:szCs w:val="24"/>
              </w:rPr>
            </w:pPr>
          </w:p>
        </w:tc>
        <w:tc>
          <w:tcPr>
            <w:tcW w:w="4815" w:type="dxa"/>
            <w:noWrap/>
          </w:tcPr>
          <w:p w:rsidRPr="003F5B27" w:rsidR="003F5B27" w:rsidP="003F5B27" w:rsidRDefault="003F5B27" w14:paraId="24C98DC1" w14:textId="77777777">
            <w:pPr>
              <w:rPr>
                <w:rFonts w:ascii="Garamond" w:hAnsi="Garamond"/>
                <w:bCs/>
                <w:kern w:val="32"/>
                <w:sz w:val="24"/>
                <w:szCs w:val="24"/>
              </w:rPr>
            </w:pPr>
            <w:r w:rsidRPr="003F5B27">
              <w:rPr>
                <w:rFonts w:ascii="Garamond" w:hAnsi="Garamond"/>
                <w:bCs/>
                <w:kern w:val="32"/>
                <w:sz w:val="24"/>
                <w:szCs w:val="24"/>
              </w:rPr>
              <w:t>This leak detection BP recommends leak survey intervals of 3 years for all distribution pipelines formerly under the five-year leak survey requirement, unless the utility proposes and gets approved more effective leak survey cycles at a less frequent interval using a risk assessment approach.  Different leak survey cycles may be appropriate for various districts or areas of a utilities’ distribution system based on risk considerations of leak history, pipe material and age, soil conditions, etc.</w:t>
            </w:r>
          </w:p>
        </w:tc>
      </w:tr>
      <w:tr w:rsidRPr="003F5B27" w:rsidR="003F5B27" w:rsidTr="003C64EA" w14:paraId="28C9761B" w14:textId="77777777">
        <w:tblPrEx>
          <w:tblCellMar>
            <w:left w:w="108" w:type="dxa"/>
            <w:right w:w="108" w:type="dxa"/>
          </w:tblCellMar>
        </w:tblPrEx>
        <w:trPr>
          <w:trHeight w:val="341"/>
        </w:trPr>
        <w:tc>
          <w:tcPr>
            <w:tcW w:w="869" w:type="dxa"/>
            <w:noWrap/>
          </w:tcPr>
          <w:p w:rsidRPr="003F5B27" w:rsidR="003F5B27" w:rsidP="003F5B27" w:rsidRDefault="003F5B27" w14:paraId="0BB8CD90" w14:textId="77777777">
            <w:pPr>
              <w:rPr>
                <w:rFonts w:ascii="Garamond" w:hAnsi="Garamond"/>
                <w:bCs/>
                <w:kern w:val="32"/>
                <w:sz w:val="24"/>
                <w:szCs w:val="24"/>
              </w:rPr>
            </w:pPr>
            <w:r w:rsidRPr="003F5B27">
              <w:rPr>
                <w:rFonts w:ascii="Garamond" w:hAnsi="Garamond"/>
                <w:bCs/>
                <w:kern w:val="32"/>
                <w:sz w:val="24"/>
                <w:szCs w:val="24"/>
              </w:rPr>
              <w:t>BP 16</w:t>
            </w:r>
          </w:p>
        </w:tc>
        <w:tc>
          <w:tcPr>
            <w:tcW w:w="4497" w:type="dxa"/>
          </w:tcPr>
          <w:p w:rsidRPr="003F5B27" w:rsidR="003F5B27" w:rsidP="003F5B27" w:rsidRDefault="003F5B27" w14:paraId="4BB2BDF1" w14:textId="77777777">
            <w:pPr>
              <w:rPr>
                <w:rFonts w:ascii="Garamond" w:hAnsi="Garamond"/>
                <w:bCs/>
                <w:kern w:val="32"/>
                <w:sz w:val="24"/>
                <w:szCs w:val="24"/>
                <w:u w:val="single"/>
              </w:rPr>
            </w:pPr>
            <w:r w:rsidRPr="003F5B27">
              <w:rPr>
                <w:rFonts w:ascii="Garamond" w:hAnsi="Garamond"/>
                <w:bCs/>
                <w:kern w:val="32"/>
                <w:sz w:val="24"/>
                <w:szCs w:val="24"/>
                <w:u w:val="single"/>
              </w:rPr>
              <w:t>Special Leak Surveys</w:t>
            </w:r>
          </w:p>
          <w:p w:rsidRPr="003F5B27" w:rsidR="003F5B27" w:rsidP="003F5B27" w:rsidRDefault="003F5B27" w14:paraId="232D9BF9" w14:textId="77777777">
            <w:pPr>
              <w:rPr>
                <w:rFonts w:ascii="Garamond" w:hAnsi="Garamond"/>
                <w:bCs/>
                <w:kern w:val="32"/>
                <w:sz w:val="24"/>
                <w:szCs w:val="24"/>
              </w:rPr>
            </w:pPr>
            <w:r w:rsidRPr="003F5B27">
              <w:rPr>
                <w:rFonts w:ascii="Garamond" w:hAnsi="Garamond"/>
                <w:bCs/>
                <w:kern w:val="32"/>
                <w:sz w:val="24"/>
                <w:szCs w:val="24"/>
              </w:rPr>
              <w:t xml:space="preserve">Utilities shall conduct special leak surveys, possibly at a more frequent interval than required by G.O. 112-F (or its successors) or </w:t>
            </w:r>
            <w:r w:rsidRPr="003F5B27">
              <w:rPr>
                <w:rFonts w:ascii="Garamond" w:hAnsi="Garamond"/>
                <w:bCs/>
                <w:kern w:val="32"/>
                <w:sz w:val="24"/>
                <w:szCs w:val="24"/>
              </w:rPr>
              <w:lastRenderedPageBreak/>
              <w:t>BP 15, for specific areas of their transmission and distribution pipeline systems with known risks for natural gas leakage.  Special leak surveys may focus on specific pipeline materials known to be susceptible to leaks or other known pipeline integrity risks, such as geological conditions.  Special leak surveys shall be coordinated with transmission and distribution integrity management programs (TIMP/DIMP) and other utility safety programs.  Utilities shall file in their Compliance Plan proposed special leak surveys for known risks and proposed methodologies for identifying additional special leak surveys based on risk assessments (including predictive and/or historical trends analysis).  As surveys are conducted over time, utilities shall report as part of their Compliance Plans, details about leakage trends.  Predictive analysis may be defined differently for differing companies based on company size and trends.</w:t>
            </w:r>
          </w:p>
          <w:p w:rsidRPr="003F5B27" w:rsidR="003F5B27" w:rsidP="003F5B27" w:rsidRDefault="003F5B27" w14:paraId="27C555A2" w14:textId="77777777">
            <w:pPr>
              <w:rPr>
                <w:rFonts w:ascii="Garamond" w:hAnsi="Garamond"/>
                <w:bCs/>
                <w:kern w:val="32"/>
                <w:sz w:val="24"/>
                <w:szCs w:val="24"/>
              </w:rPr>
            </w:pPr>
          </w:p>
        </w:tc>
        <w:tc>
          <w:tcPr>
            <w:tcW w:w="4815" w:type="dxa"/>
          </w:tcPr>
          <w:p w:rsidRPr="003F5B27" w:rsidR="003F5B27" w:rsidP="003F5B27" w:rsidRDefault="003F5B27" w14:paraId="5872E7D7" w14:textId="77777777">
            <w:pPr>
              <w:rPr>
                <w:rFonts w:ascii="Garamond" w:hAnsi="Garamond"/>
                <w:bCs/>
                <w:kern w:val="32"/>
                <w:sz w:val="24"/>
                <w:szCs w:val="24"/>
              </w:rPr>
            </w:pPr>
            <w:r w:rsidRPr="003F5B27">
              <w:rPr>
                <w:rFonts w:ascii="Garamond" w:hAnsi="Garamond"/>
                <w:bCs/>
                <w:kern w:val="32"/>
                <w:sz w:val="24"/>
                <w:szCs w:val="24"/>
              </w:rPr>
              <w:lastRenderedPageBreak/>
              <w:t xml:space="preserve">This leak detection BP requires utilities to conduct special leak surveys, possibly more frequently than G.O. 112-F or BP # 15, in coordination with their integrity management </w:t>
            </w:r>
            <w:r w:rsidRPr="003F5B27">
              <w:rPr>
                <w:rFonts w:ascii="Garamond" w:hAnsi="Garamond"/>
                <w:bCs/>
                <w:kern w:val="32"/>
                <w:sz w:val="24"/>
                <w:szCs w:val="24"/>
              </w:rPr>
              <w:lastRenderedPageBreak/>
              <w:t xml:space="preserve">and other utility safety programs.  Also, this BP states that the use of special leak surveys (for the purpose of SB 1371 compliance) shall be predicated on risk assessments, including predictive and historical trends analysis, if possible.  This BP also allows for predictive analysis to be defined differently for differing companies based on company size and trends.  </w:t>
            </w:r>
          </w:p>
          <w:p w:rsidRPr="003F5B27" w:rsidR="003F5B27" w:rsidP="003F5B27" w:rsidRDefault="003F5B27" w14:paraId="4B350197" w14:textId="77777777">
            <w:pPr>
              <w:rPr>
                <w:rFonts w:ascii="Garamond" w:hAnsi="Garamond"/>
                <w:bCs/>
                <w:kern w:val="32"/>
                <w:sz w:val="24"/>
                <w:szCs w:val="24"/>
              </w:rPr>
            </w:pPr>
          </w:p>
          <w:p w:rsidRPr="003F5B27" w:rsidR="003F5B27" w:rsidP="003F5B27" w:rsidRDefault="003F5B27" w14:paraId="4B8AD991" w14:textId="77777777">
            <w:pPr>
              <w:rPr>
                <w:rFonts w:ascii="Garamond" w:hAnsi="Garamond"/>
                <w:bCs/>
                <w:kern w:val="32"/>
                <w:sz w:val="24"/>
                <w:szCs w:val="24"/>
              </w:rPr>
            </w:pPr>
          </w:p>
        </w:tc>
      </w:tr>
      <w:tr w:rsidRPr="003F5B27" w:rsidR="003F5B27" w:rsidTr="003C64EA" w14:paraId="48237C7D" w14:textId="77777777">
        <w:tblPrEx>
          <w:tblCellMar>
            <w:left w:w="108" w:type="dxa"/>
            <w:right w:w="108" w:type="dxa"/>
          </w:tblCellMar>
        </w:tblPrEx>
        <w:trPr>
          <w:trHeight w:val="2699"/>
        </w:trPr>
        <w:tc>
          <w:tcPr>
            <w:tcW w:w="869" w:type="dxa"/>
            <w:noWrap/>
          </w:tcPr>
          <w:p w:rsidRPr="003F5B27" w:rsidR="003F5B27" w:rsidP="003F5B27" w:rsidRDefault="003F5B27" w14:paraId="53C4A8E6" w14:textId="77777777">
            <w:pPr>
              <w:rPr>
                <w:rFonts w:ascii="Garamond" w:hAnsi="Garamond"/>
                <w:bCs/>
                <w:kern w:val="32"/>
                <w:sz w:val="24"/>
                <w:szCs w:val="24"/>
              </w:rPr>
            </w:pPr>
            <w:r w:rsidRPr="003F5B27">
              <w:rPr>
                <w:rFonts w:ascii="Garamond" w:hAnsi="Garamond"/>
                <w:bCs/>
                <w:kern w:val="32"/>
                <w:sz w:val="24"/>
                <w:szCs w:val="24"/>
              </w:rPr>
              <w:lastRenderedPageBreak/>
              <w:t>BP 17</w:t>
            </w:r>
          </w:p>
        </w:tc>
        <w:tc>
          <w:tcPr>
            <w:tcW w:w="4497" w:type="dxa"/>
          </w:tcPr>
          <w:p w:rsidRPr="003F5B27" w:rsidR="003F5B27" w:rsidP="003F5B27" w:rsidRDefault="003F5B27" w14:paraId="3A905726" w14:textId="77777777">
            <w:pPr>
              <w:rPr>
                <w:rFonts w:ascii="Garamond" w:hAnsi="Garamond"/>
                <w:bCs/>
                <w:kern w:val="32"/>
                <w:sz w:val="24"/>
                <w:szCs w:val="24"/>
                <w:u w:val="single"/>
              </w:rPr>
            </w:pPr>
            <w:r w:rsidRPr="003F5B27">
              <w:rPr>
                <w:rFonts w:ascii="Garamond" w:hAnsi="Garamond"/>
                <w:bCs/>
                <w:kern w:val="32"/>
                <w:sz w:val="24"/>
                <w:szCs w:val="24"/>
                <w:u w:val="single"/>
              </w:rPr>
              <w:t>Enhanced Methane Detection</w:t>
            </w:r>
          </w:p>
          <w:p w:rsidRPr="003F5B27" w:rsidR="003F5B27" w:rsidP="003F5B27" w:rsidRDefault="003F5B27" w14:paraId="4E6C0D3E" w14:textId="77777777">
            <w:pPr>
              <w:rPr>
                <w:rFonts w:ascii="Garamond" w:hAnsi="Garamond"/>
                <w:bCs/>
                <w:kern w:val="32"/>
                <w:sz w:val="24"/>
                <w:szCs w:val="24"/>
              </w:rPr>
            </w:pPr>
            <w:r w:rsidRPr="003F5B27">
              <w:rPr>
                <w:rFonts w:ascii="Garamond" w:hAnsi="Garamond"/>
                <w:bCs/>
                <w:kern w:val="32"/>
                <w:sz w:val="24"/>
                <w:szCs w:val="24"/>
              </w:rPr>
              <w:t xml:space="preserve">Utilities shall utilize enhanced methane detection practices (e.g. mobile methane detection and/or aerial leak detection) including gas speciation technologies.  </w:t>
            </w:r>
          </w:p>
        </w:tc>
        <w:tc>
          <w:tcPr>
            <w:tcW w:w="4815" w:type="dxa"/>
          </w:tcPr>
          <w:p w:rsidRPr="003F5B27" w:rsidR="003F5B27" w:rsidP="003F5B27" w:rsidRDefault="003F5B27" w14:paraId="2244E575" w14:textId="77777777">
            <w:pPr>
              <w:rPr>
                <w:rFonts w:ascii="Garamond" w:hAnsi="Garamond"/>
                <w:bCs/>
                <w:kern w:val="32"/>
                <w:sz w:val="24"/>
                <w:szCs w:val="24"/>
              </w:rPr>
            </w:pPr>
            <w:r w:rsidRPr="003F5B27">
              <w:rPr>
                <w:rFonts w:ascii="Garamond" w:hAnsi="Garamond"/>
                <w:bCs/>
                <w:kern w:val="32"/>
                <w:sz w:val="24"/>
                <w:szCs w:val="24"/>
              </w:rPr>
              <w:t xml:space="preserve">This leak detection BP requires utilities to use enhanced methane detection practices including enhanced gas speciation technologies.  This BP allows utilities to propose specific technologies that are most suitable for their gas systems and geographical areas.  </w:t>
            </w:r>
          </w:p>
        </w:tc>
      </w:tr>
      <w:tr w:rsidRPr="003F5B27" w:rsidR="003F5B27" w:rsidTr="003C64EA" w14:paraId="2B757507" w14:textId="77777777">
        <w:tblPrEx>
          <w:tblCellMar>
            <w:left w:w="108" w:type="dxa"/>
            <w:right w:w="108" w:type="dxa"/>
          </w:tblCellMar>
        </w:tblPrEx>
        <w:trPr>
          <w:trHeight w:val="3797"/>
        </w:trPr>
        <w:tc>
          <w:tcPr>
            <w:tcW w:w="869" w:type="dxa"/>
            <w:noWrap/>
            <w:hideMark/>
          </w:tcPr>
          <w:p w:rsidRPr="003F5B27" w:rsidR="003F5B27" w:rsidP="003F5B27" w:rsidRDefault="003F5B27" w14:paraId="146BB017" w14:textId="77777777">
            <w:pPr>
              <w:rPr>
                <w:rFonts w:ascii="Garamond" w:hAnsi="Garamond"/>
                <w:bCs/>
                <w:kern w:val="32"/>
                <w:sz w:val="24"/>
                <w:szCs w:val="24"/>
              </w:rPr>
            </w:pPr>
            <w:r w:rsidRPr="003F5B27">
              <w:rPr>
                <w:rFonts w:ascii="Garamond" w:hAnsi="Garamond"/>
                <w:bCs/>
                <w:kern w:val="32"/>
                <w:sz w:val="24"/>
                <w:szCs w:val="24"/>
              </w:rPr>
              <w:lastRenderedPageBreak/>
              <w:t>BP 18</w:t>
            </w:r>
          </w:p>
        </w:tc>
        <w:tc>
          <w:tcPr>
            <w:tcW w:w="4497" w:type="dxa"/>
            <w:hideMark/>
          </w:tcPr>
          <w:p w:rsidRPr="003F5B27" w:rsidR="003F5B27" w:rsidP="003F5B27" w:rsidRDefault="003F5B27" w14:paraId="024F0C52" w14:textId="77777777">
            <w:pPr>
              <w:rPr>
                <w:rFonts w:ascii="Garamond" w:hAnsi="Garamond"/>
                <w:bCs/>
                <w:kern w:val="32"/>
                <w:sz w:val="24"/>
                <w:szCs w:val="24"/>
                <w:u w:val="single"/>
              </w:rPr>
            </w:pPr>
            <w:r w:rsidRPr="003F5B27">
              <w:rPr>
                <w:rFonts w:ascii="Garamond" w:hAnsi="Garamond"/>
                <w:bCs/>
                <w:kern w:val="32"/>
                <w:sz w:val="24"/>
                <w:szCs w:val="24"/>
                <w:u w:val="single"/>
              </w:rPr>
              <w:t>Stationary Methane Detectors</w:t>
            </w:r>
          </w:p>
          <w:p w:rsidRPr="003F5B27" w:rsidR="003F5B27" w:rsidP="003F5B27" w:rsidRDefault="003F5B27" w14:paraId="2D984E7A" w14:textId="77777777">
            <w:pPr>
              <w:rPr>
                <w:rFonts w:ascii="Garamond" w:hAnsi="Garamond"/>
                <w:bCs/>
                <w:kern w:val="32"/>
                <w:sz w:val="24"/>
                <w:szCs w:val="24"/>
              </w:rPr>
            </w:pPr>
            <w:r w:rsidRPr="003F5B27">
              <w:rPr>
                <w:rFonts w:ascii="Garamond" w:hAnsi="Garamond"/>
                <w:bCs/>
                <w:kern w:val="32"/>
                <w:sz w:val="24"/>
                <w:szCs w:val="24"/>
              </w:rPr>
              <w:t xml:space="preserve">Utilities shall utilize Stationary Methane Detectors for early detection of leaks.  Locations include:  Compressor Stations, Terminals, Gas Storage Facilities, City Gates, and Metering &amp; Regulating (M&amp;R) Stations (M&amp;R above ground and pressures above 300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only).  Methane detector technology should be capable of transferring leak data to a central database, if appropriate for location. </w:t>
            </w:r>
          </w:p>
          <w:p w:rsidRPr="003F5B27" w:rsidR="003F5B27" w:rsidP="003F5B27" w:rsidRDefault="003F5B27" w14:paraId="47076A00" w14:textId="77777777">
            <w:pPr>
              <w:rPr>
                <w:rFonts w:ascii="Garamond" w:hAnsi="Garamond"/>
                <w:bCs/>
                <w:kern w:val="32"/>
                <w:sz w:val="24"/>
                <w:szCs w:val="24"/>
                <w:u w:val="single"/>
              </w:rPr>
            </w:pPr>
          </w:p>
        </w:tc>
        <w:tc>
          <w:tcPr>
            <w:tcW w:w="4815" w:type="dxa"/>
          </w:tcPr>
          <w:p w:rsidRPr="003F5B27" w:rsidR="003F5B27" w:rsidP="003F5B27" w:rsidRDefault="003F5B27" w14:paraId="027A5E04" w14:textId="77777777">
            <w:pPr>
              <w:rPr>
                <w:rFonts w:ascii="Garamond" w:hAnsi="Garamond"/>
                <w:bCs/>
                <w:kern w:val="32"/>
                <w:sz w:val="24"/>
                <w:szCs w:val="24"/>
              </w:rPr>
            </w:pPr>
            <w:r w:rsidRPr="003F5B27">
              <w:rPr>
                <w:rFonts w:ascii="Garamond" w:hAnsi="Garamond"/>
                <w:bCs/>
                <w:kern w:val="32"/>
                <w:sz w:val="24"/>
                <w:szCs w:val="24"/>
              </w:rPr>
              <w:t xml:space="preserve">This leak detection BP requires utilities to utilize Stationary Methane Detectors for early detection of leaks.  This BP applies to locations including compressor stations, terminals, gas storage facilities, City Gates and Metering &amp; Regulating (M&amp;R) Stations (M&amp;R above ground and pressures above 300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only).  This BP recommends that methane detector technology is capable of transferring leak data to a central database, if appropriate for location. </w:t>
            </w:r>
          </w:p>
        </w:tc>
      </w:tr>
      <w:tr w:rsidRPr="003F5B27" w:rsidR="003F5B27" w:rsidTr="003C64EA" w14:paraId="1E79EC2C" w14:textId="77777777">
        <w:tblPrEx>
          <w:tblCellMar>
            <w:left w:w="108" w:type="dxa"/>
            <w:right w:w="108" w:type="dxa"/>
          </w:tblCellMar>
        </w:tblPrEx>
        <w:trPr>
          <w:trHeight w:val="251"/>
        </w:trPr>
        <w:tc>
          <w:tcPr>
            <w:tcW w:w="869" w:type="dxa"/>
            <w:noWrap/>
          </w:tcPr>
          <w:p w:rsidRPr="003F5B27" w:rsidR="003F5B27" w:rsidP="003F5B27" w:rsidRDefault="003F5B27" w14:paraId="54176283" w14:textId="77777777">
            <w:pPr>
              <w:rPr>
                <w:rFonts w:ascii="Garamond" w:hAnsi="Garamond"/>
                <w:bCs/>
                <w:kern w:val="32"/>
                <w:sz w:val="24"/>
                <w:szCs w:val="24"/>
              </w:rPr>
            </w:pPr>
            <w:r w:rsidRPr="003F5B27">
              <w:rPr>
                <w:rFonts w:ascii="Garamond" w:hAnsi="Garamond"/>
                <w:bCs/>
                <w:kern w:val="32"/>
                <w:sz w:val="24"/>
                <w:szCs w:val="24"/>
              </w:rPr>
              <w:t>BP 19</w:t>
            </w:r>
          </w:p>
        </w:tc>
        <w:tc>
          <w:tcPr>
            <w:tcW w:w="4497" w:type="dxa"/>
          </w:tcPr>
          <w:p w:rsidRPr="003F5B27" w:rsidR="003F5B27" w:rsidP="003F5B27" w:rsidRDefault="003F5B27" w14:paraId="202B2BAF" w14:textId="77777777">
            <w:pPr>
              <w:rPr>
                <w:rFonts w:ascii="Garamond" w:hAnsi="Garamond"/>
                <w:bCs/>
                <w:kern w:val="32"/>
                <w:sz w:val="24"/>
                <w:szCs w:val="24"/>
                <w:u w:val="single"/>
              </w:rPr>
            </w:pPr>
            <w:r w:rsidRPr="003F5B27">
              <w:rPr>
                <w:rFonts w:ascii="Garamond" w:hAnsi="Garamond"/>
                <w:bCs/>
                <w:kern w:val="32"/>
                <w:sz w:val="24"/>
                <w:szCs w:val="24"/>
                <w:u w:val="single"/>
              </w:rPr>
              <w:t>Above Ground Leak Surveys</w:t>
            </w:r>
          </w:p>
          <w:p w:rsidRPr="003F5B27" w:rsidR="003F5B27" w:rsidP="003F5B27" w:rsidRDefault="003F5B27" w14:paraId="3337A839" w14:textId="77777777">
            <w:pPr>
              <w:rPr>
                <w:rFonts w:ascii="Garamond" w:hAnsi="Garamond"/>
                <w:bCs/>
                <w:kern w:val="32"/>
                <w:sz w:val="24"/>
                <w:szCs w:val="24"/>
              </w:rPr>
            </w:pPr>
            <w:r w:rsidRPr="003F5B27">
              <w:rPr>
                <w:rFonts w:ascii="Garamond" w:hAnsi="Garamond"/>
                <w:bCs/>
                <w:kern w:val="32"/>
                <w:sz w:val="24"/>
                <w:szCs w:val="24"/>
              </w:rPr>
              <w:t xml:space="preserve">Utilities shall conduct frequent leak surveys and data collection at above ground transmission and high pressure distribution (above 60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facilities including Compressor Stations, Gas Storage Facilities, City Gates, and Metering &amp; Regulating (M&amp;R) Stations (M&amp;R above ground and pressures above 300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only).  At a minimum, above ground leak surveys and data collection must be conducted on an annual basis for compressor stations and gas storage facilities.</w:t>
            </w:r>
          </w:p>
          <w:p w:rsidRPr="003F5B27" w:rsidR="003F5B27" w:rsidP="003F5B27" w:rsidRDefault="003F5B27" w14:paraId="793D6FC4" w14:textId="77777777">
            <w:pPr>
              <w:rPr>
                <w:rFonts w:ascii="Garamond" w:hAnsi="Garamond"/>
                <w:bCs/>
                <w:kern w:val="32"/>
                <w:sz w:val="24"/>
                <w:szCs w:val="24"/>
              </w:rPr>
            </w:pPr>
            <w:r w:rsidRPr="003F5B27">
              <w:rPr>
                <w:rFonts w:ascii="Garamond" w:hAnsi="Garamond"/>
                <w:bCs/>
                <w:kern w:val="32"/>
                <w:sz w:val="24"/>
                <w:szCs w:val="24"/>
              </w:rPr>
              <w:t xml:space="preserve">  </w:t>
            </w:r>
          </w:p>
        </w:tc>
        <w:tc>
          <w:tcPr>
            <w:tcW w:w="4815" w:type="dxa"/>
          </w:tcPr>
          <w:p w:rsidRPr="003F5B27" w:rsidR="003F5B27" w:rsidP="003F5B27" w:rsidRDefault="003F5B27" w14:paraId="44F5A2F8" w14:textId="77777777">
            <w:pPr>
              <w:rPr>
                <w:rFonts w:ascii="Garamond" w:hAnsi="Garamond"/>
                <w:bCs/>
                <w:kern w:val="32"/>
                <w:sz w:val="24"/>
                <w:szCs w:val="24"/>
              </w:rPr>
            </w:pPr>
            <w:r w:rsidRPr="003F5B27">
              <w:rPr>
                <w:rFonts w:ascii="Garamond" w:hAnsi="Garamond"/>
                <w:bCs/>
                <w:kern w:val="32"/>
                <w:sz w:val="24"/>
                <w:szCs w:val="24"/>
              </w:rPr>
              <w:t xml:space="preserve">This leak detection BP requires utilities to conduct frequent leak surveys and data collection at above ground transmission and high pressure distribution (above 60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facilities including Compressor Stations, Gas Storage Facilities, City Gates, and Metering &amp; Regulating (M&amp;R) Stations (M&amp;R above ground and pressures above 300 </w:t>
            </w:r>
            <w:proofErr w:type="spellStart"/>
            <w:r w:rsidRPr="003F5B27">
              <w:rPr>
                <w:rFonts w:ascii="Garamond" w:hAnsi="Garamond"/>
                <w:bCs/>
                <w:kern w:val="32"/>
                <w:sz w:val="24"/>
                <w:szCs w:val="24"/>
              </w:rPr>
              <w:t>psig</w:t>
            </w:r>
            <w:proofErr w:type="spellEnd"/>
            <w:r w:rsidRPr="003F5B27">
              <w:rPr>
                <w:rFonts w:ascii="Garamond" w:hAnsi="Garamond"/>
                <w:bCs/>
                <w:kern w:val="32"/>
                <w:sz w:val="24"/>
                <w:szCs w:val="24"/>
              </w:rPr>
              <w:t xml:space="preserve"> only).  This BP also requires a minimum of annual surveys to be conducted for compressor stations and gas storage facilities.</w:t>
            </w:r>
          </w:p>
        </w:tc>
      </w:tr>
      <w:tr w:rsidRPr="003F5B27" w:rsidR="003F5B27" w:rsidTr="003C64EA" w14:paraId="449D81EF" w14:textId="77777777">
        <w:tblPrEx>
          <w:tblCellMar>
            <w:left w:w="108" w:type="dxa"/>
            <w:right w:w="108" w:type="dxa"/>
          </w:tblCellMar>
        </w:tblPrEx>
        <w:trPr>
          <w:trHeight w:val="98"/>
        </w:trPr>
        <w:tc>
          <w:tcPr>
            <w:tcW w:w="869" w:type="dxa"/>
            <w:noWrap/>
          </w:tcPr>
          <w:p w:rsidRPr="003F5B27" w:rsidR="003F5B27" w:rsidP="003F5B27" w:rsidRDefault="003F5B27" w14:paraId="466612ED" w14:textId="77777777">
            <w:pPr>
              <w:rPr>
                <w:rFonts w:ascii="Garamond" w:hAnsi="Garamond"/>
                <w:bCs/>
                <w:kern w:val="32"/>
                <w:sz w:val="24"/>
                <w:szCs w:val="24"/>
              </w:rPr>
            </w:pPr>
            <w:r w:rsidRPr="003F5B27">
              <w:rPr>
                <w:rFonts w:ascii="Garamond" w:hAnsi="Garamond"/>
                <w:bCs/>
                <w:kern w:val="32"/>
                <w:sz w:val="24"/>
                <w:szCs w:val="24"/>
              </w:rPr>
              <w:t>BP 20a</w:t>
            </w:r>
          </w:p>
        </w:tc>
        <w:tc>
          <w:tcPr>
            <w:tcW w:w="4497" w:type="dxa"/>
          </w:tcPr>
          <w:p w:rsidRPr="003F5B27" w:rsidR="003F5B27" w:rsidP="003F5B27" w:rsidRDefault="003F5B27" w14:paraId="54F0D7C0" w14:textId="77777777">
            <w:pPr>
              <w:rPr>
                <w:rFonts w:ascii="Garamond" w:hAnsi="Garamond"/>
                <w:bCs/>
                <w:kern w:val="32"/>
                <w:sz w:val="24"/>
                <w:szCs w:val="24"/>
                <w:u w:val="single"/>
              </w:rPr>
            </w:pPr>
            <w:r w:rsidRPr="003F5B27">
              <w:rPr>
                <w:rFonts w:ascii="Garamond" w:hAnsi="Garamond"/>
                <w:bCs/>
                <w:kern w:val="32"/>
                <w:sz w:val="24"/>
                <w:szCs w:val="24"/>
                <w:u w:val="single"/>
              </w:rPr>
              <w:t>Quantification &amp; Geographic Tracking</w:t>
            </w:r>
          </w:p>
          <w:p w:rsidRPr="003F5B27" w:rsidR="003F5B27" w:rsidP="003F5B27" w:rsidRDefault="003F5B27" w14:paraId="3691CFCB" w14:textId="77777777">
            <w:pPr>
              <w:rPr>
                <w:rFonts w:ascii="Garamond" w:hAnsi="Garamond"/>
                <w:bCs/>
                <w:kern w:val="32"/>
                <w:sz w:val="24"/>
                <w:szCs w:val="24"/>
              </w:rPr>
            </w:pPr>
            <w:r w:rsidRPr="003F5B27">
              <w:rPr>
                <w:rFonts w:ascii="Garamond" w:hAnsi="Garamond"/>
                <w:bCs/>
                <w:kern w:val="32"/>
                <w:sz w:val="24"/>
                <w:szCs w:val="24"/>
              </w:rPr>
              <w:t xml:space="preserve">Utilities shall develop methodologies for improved quantification and geographic evaluation and tracking of leaks from the gas systems.  Utilities shall file in their Compliance Plan how they propose to address quantification.  Utilities shall work together, with CPUC and ARB staff, to come to agreement on a similar methodology to improve emissions quantification of leaks to assist demonstration of actual emissions reductions.  </w:t>
            </w:r>
          </w:p>
          <w:p w:rsidRPr="003F5B27" w:rsidR="003F5B27" w:rsidP="003F5B27" w:rsidRDefault="003F5B27" w14:paraId="12DD7FEE" w14:textId="77777777">
            <w:pPr>
              <w:rPr>
                <w:rFonts w:ascii="Garamond" w:hAnsi="Garamond"/>
                <w:bCs/>
                <w:kern w:val="32"/>
                <w:sz w:val="24"/>
                <w:szCs w:val="24"/>
              </w:rPr>
            </w:pPr>
          </w:p>
        </w:tc>
        <w:tc>
          <w:tcPr>
            <w:tcW w:w="4815" w:type="dxa"/>
          </w:tcPr>
          <w:p w:rsidRPr="003F5B27" w:rsidR="003F5B27" w:rsidP="003F5B27" w:rsidRDefault="003F5B27" w14:paraId="5681977D" w14:textId="77777777">
            <w:pPr>
              <w:rPr>
                <w:rFonts w:ascii="Garamond" w:hAnsi="Garamond"/>
                <w:bCs/>
                <w:kern w:val="32"/>
                <w:sz w:val="24"/>
                <w:szCs w:val="24"/>
              </w:rPr>
            </w:pPr>
            <w:r w:rsidRPr="003F5B27">
              <w:rPr>
                <w:rFonts w:ascii="Garamond" w:hAnsi="Garamond"/>
                <w:bCs/>
                <w:kern w:val="32"/>
                <w:sz w:val="24"/>
                <w:szCs w:val="24"/>
              </w:rPr>
              <w:t xml:space="preserve">This leak detection BP requires utilities to develop methodologies for improved quantification of leaks.  This BP also requires utilities to work together, with CPUC and ARB staff, to come to agreement on a similar methodology to improve emissions quantification of leaks to assist demonstration of actual emissions reductions.  Improved quantification technologies are very much needed in the industry.  Quantifying the amount of natural gas emitted from a leak is dependent on equipment sensitivities and the ability to utilize equipment successfully to measure leakage.  Therefore, it is critical to improve accurate emissions inventory data as lessons learned from reviewing Annual Emissions Inventory Report data is that much of the inventory is based on estimations.  </w:t>
            </w:r>
          </w:p>
        </w:tc>
      </w:tr>
      <w:tr w:rsidRPr="003F5B27" w:rsidR="003F5B27" w:rsidTr="003C64EA" w14:paraId="22F18C83" w14:textId="77777777">
        <w:tblPrEx>
          <w:tblCellMar>
            <w:left w:w="108" w:type="dxa"/>
            <w:right w:w="108" w:type="dxa"/>
          </w:tblCellMar>
        </w:tblPrEx>
        <w:trPr>
          <w:trHeight w:val="98"/>
        </w:trPr>
        <w:tc>
          <w:tcPr>
            <w:tcW w:w="869" w:type="dxa"/>
            <w:noWrap/>
          </w:tcPr>
          <w:p w:rsidRPr="003F5B27" w:rsidR="003F5B27" w:rsidP="003F5B27" w:rsidRDefault="003F5B27" w14:paraId="698E7A66" w14:textId="77777777">
            <w:pPr>
              <w:rPr>
                <w:rFonts w:ascii="Garamond" w:hAnsi="Garamond"/>
                <w:bCs/>
                <w:kern w:val="32"/>
                <w:sz w:val="24"/>
                <w:szCs w:val="24"/>
              </w:rPr>
            </w:pPr>
            <w:r w:rsidRPr="003F5B27">
              <w:rPr>
                <w:rFonts w:ascii="Garamond" w:hAnsi="Garamond"/>
                <w:bCs/>
                <w:kern w:val="32"/>
                <w:sz w:val="24"/>
                <w:szCs w:val="24"/>
              </w:rPr>
              <w:lastRenderedPageBreak/>
              <w:t xml:space="preserve">BP </w:t>
            </w:r>
          </w:p>
          <w:p w:rsidRPr="003F5B27" w:rsidR="003F5B27" w:rsidP="003F5B27" w:rsidRDefault="003F5B27" w14:paraId="19FA8D53" w14:textId="77777777">
            <w:pPr>
              <w:rPr>
                <w:rFonts w:ascii="Garamond" w:hAnsi="Garamond"/>
                <w:bCs/>
                <w:kern w:val="32"/>
                <w:sz w:val="24"/>
                <w:szCs w:val="24"/>
              </w:rPr>
            </w:pPr>
            <w:r w:rsidRPr="003F5B27">
              <w:rPr>
                <w:rFonts w:ascii="Garamond" w:hAnsi="Garamond"/>
                <w:bCs/>
                <w:kern w:val="32"/>
                <w:sz w:val="24"/>
                <w:szCs w:val="24"/>
              </w:rPr>
              <w:t>20b</w:t>
            </w:r>
          </w:p>
        </w:tc>
        <w:tc>
          <w:tcPr>
            <w:tcW w:w="4497" w:type="dxa"/>
          </w:tcPr>
          <w:p w:rsidRPr="003F5B27" w:rsidR="003F5B27" w:rsidP="003F5B27" w:rsidRDefault="003F5B27" w14:paraId="3C0C5CB4" w14:textId="77777777">
            <w:pPr>
              <w:rPr>
                <w:rFonts w:ascii="Garamond" w:hAnsi="Garamond"/>
                <w:bCs/>
                <w:kern w:val="32"/>
                <w:sz w:val="24"/>
                <w:szCs w:val="24"/>
                <w:u w:val="single"/>
              </w:rPr>
            </w:pPr>
            <w:r w:rsidRPr="003F5B27">
              <w:rPr>
                <w:rFonts w:ascii="Garamond" w:hAnsi="Garamond"/>
                <w:bCs/>
                <w:kern w:val="32"/>
                <w:sz w:val="24"/>
                <w:szCs w:val="24"/>
                <w:u w:val="single"/>
              </w:rPr>
              <w:t>Geographic Tracking</w:t>
            </w:r>
          </w:p>
          <w:p w:rsidRPr="003F5B27" w:rsidR="003F5B27" w:rsidP="003F5B27" w:rsidRDefault="003F5B27" w14:paraId="414D3E08" w14:textId="77777777">
            <w:pPr>
              <w:rPr>
                <w:rFonts w:ascii="Garamond" w:hAnsi="Garamond"/>
                <w:bCs/>
                <w:kern w:val="32"/>
                <w:sz w:val="24"/>
                <w:szCs w:val="24"/>
                <w:u w:val="single"/>
              </w:rPr>
            </w:pPr>
            <w:r w:rsidRPr="003F5B27">
              <w:rPr>
                <w:rFonts w:ascii="Garamond" w:hAnsi="Garamond"/>
                <w:bCs/>
                <w:kern w:val="32"/>
                <w:sz w:val="24"/>
                <w:szCs w:val="24"/>
              </w:rPr>
              <w:t xml:space="preserve">Utilities shall develop methodologies for improved geographic tracking and evaluation of leaks from the gas systems.  Utilities shall work together, with CPUC and ARB staff, to come to agreement on a similar methodology to improve geographic evaluation and tracking of leaks to assist demonstrations of actual emissions reductions.  Leak detection technology should be capable of transferring leak data to a central database </w:t>
            </w:r>
            <w:proofErr w:type="gramStart"/>
            <w:r w:rsidRPr="003F5B27">
              <w:rPr>
                <w:rFonts w:ascii="Garamond" w:hAnsi="Garamond"/>
                <w:bCs/>
                <w:kern w:val="32"/>
                <w:sz w:val="24"/>
                <w:szCs w:val="24"/>
              </w:rPr>
              <w:t>in order to</w:t>
            </w:r>
            <w:proofErr w:type="gramEnd"/>
            <w:r w:rsidRPr="003F5B27">
              <w:rPr>
                <w:rFonts w:ascii="Garamond" w:hAnsi="Garamond"/>
                <w:bCs/>
                <w:kern w:val="32"/>
                <w:sz w:val="24"/>
                <w:szCs w:val="24"/>
              </w:rPr>
              <w:t xml:space="preserve"> provide data for leak maps.  Geographic leak maps shall be publicly available with leaks displayed by zip code or census tract.</w:t>
            </w:r>
          </w:p>
        </w:tc>
        <w:tc>
          <w:tcPr>
            <w:tcW w:w="4815" w:type="dxa"/>
          </w:tcPr>
          <w:p w:rsidRPr="003F5B27" w:rsidR="003F5B27" w:rsidP="003F5B27" w:rsidRDefault="003F5B27" w14:paraId="4B518E2D" w14:textId="77777777">
            <w:pPr>
              <w:rPr>
                <w:rFonts w:ascii="Garamond" w:hAnsi="Garamond"/>
                <w:bCs/>
                <w:kern w:val="32"/>
                <w:sz w:val="24"/>
                <w:szCs w:val="24"/>
              </w:rPr>
            </w:pPr>
            <w:r w:rsidRPr="003F5B27">
              <w:rPr>
                <w:rFonts w:ascii="Garamond" w:hAnsi="Garamond"/>
                <w:bCs/>
                <w:kern w:val="32"/>
                <w:sz w:val="24"/>
                <w:szCs w:val="24"/>
              </w:rPr>
              <w:t xml:space="preserve">This BP also requires utilities to work together, with CPUC and ARB staff, to come to agreement on a similar methodology to improve geographic tracking and evaluation of leaks to assist demonstrations of actual emissions reductions.  This BP also recommends that leak detector technologies are capable of transferring leak data to a central database </w:t>
            </w:r>
            <w:proofErr w:type="gramStart"/>
            <w:r w:rsidRPr="003F5B27">
              <w:rPr>
                <w:rFonts w:ascii="Garamond" w:hAnsi="Garamond"/>
                <w:bCs/>
                <w:kern w:val="32"/>
                <w:sz w:val="24"/>
                <w:szCs w:val="24"/>
              </w:rPr>
              <w:t>in order to</w:t>
            </w:r>
            <w:proofErr w:type="gramEnd"/>
            <w:r w:rsidRPr="003F5B27">
              <w:rPr>
                <w:rFonts w:ascii="Garamond" w:hAnsi="Garamond"/>
                <w:bCs/>
                <w:kern w:val="32"/>
                <w:sz w:val="24"/>
                <w:szCs w:val="24"/>
              </w:rPr>
              <w:t xml:space="preserve"> provide data for leak maps.  </w:t>
            </w:r>
          </w:p>
          <w:p w:rsidRPr="003F5B27" w:rsidR="003F5B27" w:rsidP="003F5B27" w:rsidRDefault="003F5B27" w14:paraId="12C822F3" w14:textId="77777777">
            <w:pPr>
              <w:rPr>
                <w:rFonts w:ascii="Garamond" w:hAnsi="Garamond"/>
                <w:bCs/>
                <w:kern w:val="32"/>
                <w:sz w:val="24"/>
                <w:szCs w:val="24"/>
              </w:rPr>
            </w:pPr>
          </w:p>
        </w:tc>
      </w:tr>
      <w:tr w:rsidRPr="003F5B27" w:rsidR="003F5B27" w:rsidTr="003C64EA" w14:paraId="6B4EC38C" w14:textId="77777777">
        <w:tblPrEx>
          <w:tblCellMar>
            <w:left w:w="108" w:type="dxa"/>
            <w:right w:w="108" w:type="dxa"/>
          </w:tblCellMar>
        </w:tblPrEx>
        <w:trPr>
          <w:trHeight w:val="300"/>
        </w:trPr>
        <w:tc>
          <w:tcPr>
            <w:tcW w:w="869" w:type="dxa"/>
            <w:noWrap/>
            <w:hideMark/>
          </w:tcPr>
          <w:p w:rsidRPr="003F5B27" w:rsidR="003F5B27" w:rsidP="003F5B27" w:rsidRDefault="003F5B27" w14:paraId="27A834F7" w14:textId="77777777">
            <w:pPr>
              <w:rPr>
                <w:rFonts w:ascii="Garamond" w:hAnsi="Garamond"/>
                <w:bCs/>
                <w:kern w:val="32"/>
                <w:sz w:val="24"/>
                <w:szCs w:val="24"/>
              </w:rPr>
            </w:pPr>
            <w:r w:rsidRPr="003F5B27">
              <w:rPr>
                <w:rFonts w:ascii="Garamond" w:hAnsi="Garamond"/>
                <w:bCs/>
                <w:kern w:val="32"/>
                <w:sz w:val="24"/>
                <w:szCs w:val="24"/>
              </w:rPr>
              <w:br w:type="page"/>
            </w:r>
          </w:p>
        </w:tc>
        <w:tc>
          <w:tcPr>
            <w:tcW w:w="4497" w:type="dxa"/>
            <w:hideMark/>
          </w:tcPr>
          <w:p w:rsidRPr="003F5B27" w:rsidR="003F5B27" w:rsidP="003F5B27" w:rsidRDefault="003F5B27" w14:paraId="7B04A41F" w14:textId="77777777">
            <w:pPr>
              <w:rPr>
                <w:rFonts w:ascii="Garamond" w:hAnsi="Garamond"/>
                <w:bCs/>
                <w:kern w:val="32"/>
                <w:sz w:val="24"/>
                <w:szCs w:val="24"/>
                <w:u w:val="single"/>
              </w:rPr>
            </w:pPr>
            <w:r w:rsidRPr="003F5B27">
              <w:rPr>
                <w:rFonts w:ascii="Garamond" w:hAnsi="Garamond"/>
                <w:bCs/>
                <w:kern w:val="32"/>
                <w:sz w:val="24"/>
                <w:szCs w:val="24"/>
              </w:rPr>
              <w:t>Leak Repairs</w:t>
            </w:r>
          </w:p>
        </w:tc>
        <w:tc>
          <w:tcPr>
            <w:tcW w:w="4815" w:type="dxa"/>
            <w:hideMark/>
          </w:tcPr>
          <w:p w:rsidRPr="003F5B27" w:rsidR="003F5B27" w:rsidP="003F5B27" w:rsidRDefault="003F5B27" w14:paraId="7C192288" w14:textId="77777777">
            <w:pPr>
              <w:rPr>
                <w:rFonts w:ascii="Garamond" w:hAnsi="Garamond"/>
                <w:bCs/>
                <w:kern w:val="32"/>
                <w:sz w:val="24"/>
                <w:szCs w:val="24"/>
              </w:rPr>
            </w:pPr>
          </w:p>
        </w:tc>
      </w:tr>
      <w:tr w:rsidRPr="003F5B27" w:rsidR="003F5B27" w:rsidTr="003C64EA" w14:paraId="2C9CC547" w14:textId="77777777">
        <w:tblPrEx>
          <w:tblCellMar>
            <w:left w:w="108" w:type="dxa"/>
            <w:right w:w="108" w:type="dxa"/>
          </w:tblCellMar>
        </w:tblPrEx>
        <w:trPr>
          <w:trHeight w:val="1718"/>
        </w:trPr>
        <w:tc>
          <w:tcPr>
            <w:tcW w:w="869" w:type="dxa"/>
            <w:noWrap/>
          </w:tcPr>
          <w:p w:rsidRPr="003F5B27" w:rsidR="003F5B27" w:rsidP="003F5B27" w:rsidRDefault="003F5B27" w14:paraId="47B0D3B6" w14:textId="77777777">
            <w:pPr>
              <w:rPr>
                <w:rFonts w:ascii="Garamond" w:hAnsi="Garamond"/>
                <w:bCs/>
                <w:kern w:val="32"/>
                <w:sz w:val="24"/>
                <w:szCs w:val="24"/>
              </w:rPr>
            </w:pPr>
            <w:r w:rsidRPr="003F5B27">
              <w:rPr>
                <w:rFonts w:ascii="Garamond" w:hAnsi="Garamond"/>
                <w:bCs/>
                <w:kern w:val="32"/>
                <w:sz w:val="24"/>
                <w:szCs w:val="24"/>
              </w:rPr>
              <w:t>BP 21</w:t>
            </w:r>
          </w:p>
        </w:tc>
        <w:tc>
          <w:tcPr>
            <w:tcW w:w="4497" w:type="dxa"/>
          </w:tcPr>
          <w:p w:rsidRPr="003F5B27" w:rsidR="003F5B27" w:rsidP="003F5B27" w:rsidRDefault="003F5B27" w14:paraId="65B6BEB6" w14:textId="77777777">
            <w:pPr>
              <w:rPr>
                <w:rFonts w:ascii="Garamond" w:hAnsi="Garamond"/>
                <w:bCs/>
                <w:kern w:val="32"/>
                <w:sz w:val="24"/>
                <w:szCs w:val="24"/>
                <w:u w:val="single"/>
              </w:rPr>
            </w:pPr>
            <w:r w:rsidRPr="003F5B27">
              <w:rPr>
                <w:rFonts w:ascii="Garamond" w:hAnsi="Garamond"/>
                <w:bCs/>
                <w:kern w:val="32"/>
                <w:sz w:val="24"/>
                <w:szCs w:val="24"/>
                <w:u w:val="single"/>
              </w:rPr>
              <w:t>“Find It/Fix It”</w:t>
            </w:r>
          </w:p>
          <w:p w:rsidRPr="003F5B27" w:rsidR="003F5B27" w:rsidP="003F5B27" w:rsidRDefault="003F5B27" w14:paraId="2EBF44E7" w14:textId="77777777">
            <w:pPr>
              <w:rPr>
                <w:rFonts w:ascii="Garamond" w:hAnsi="Garamond"/>
                <w:bCs/>
                <w:kern w:val="32"/>
                <w:sz w:val="24"/>
                <w:szCs w:val="24"/>
              </w:rPr>
            </w:pPr>
            <w:r w:rsidRPr="003F5B27">
              <w:rPr>
                <w:rFonts w:ascii="Garamond" w:hAnsi="Garamond"/>
                <w:bCs/>
                <w:kern w:val="32"/>
                <w:sz w:val="24"/>
                <w:szCs w:val="24"/>
              </w:rPr>
              <w:t xml:space="preserve">Utilities shall repair leaks as soon as reasonably possible after discovery, but in no event, more than three (3) years after discovery.  Utilities may make reasonable exceptions for leaks that are costly to repair relative to the estimated size of the leak. </w:t>
            </w:r>
          </w:p>
          <w:p w:rsidRPr="003F5B27" w:rsidR="003F5B27" w:rsidP="003F5B27" w:rsidRDefault="003F5B27" w14:paraId="7AC32443" w14:textId="77777777">
            <w:pPr>
              <w:rPr>
                <w:rFonts w:ascii="Garamond" w:hAnsi="Garamond"/>
                <w:bCs/>
                <w:kern w:val="32"/>
                <w:sz w:val="24"/>
                <w:szCs w:val="24"/>
              </w:rPr>
            </w:pPr>
          </w:p>
        </w:tc>
        <w:tc>
          <w:tcPr>
            <w:tcW w:w="4815" w:type="dxa"/>
          </w:tcPr>
          <w:p w:rsidRPr="003F5B27" w:rsidR="003F5B27" w:rsidP="003F5B27" w:rsidRDefault="003F5B27" w14:paraId="2B531015" w14:textId="77777777">
            <w:pPr>
              <w:rPr>
                <w:rFonts w:ascii="Garamond" w:hAnsi="Garamond"/>
                <w:bCs/>
                <w:kern w:val="32"/>
                <w:sz w:val="24"/>
                <w:szCs w:val="24"/>
              </w:rPr>
            </w:pPr>
            <w:r w:rsidRPr="003F5B27">
              <w:rPr>
                <w:rFonts w:ascii="Garamond" w:hAnsi="Garamond"/>
                <w:bCs/>
                <w:kern w:val="32"/>
                <w:sz w:val="24"/>
                <w:szCs w:val="24"/>
              </w:rPr>
              <w:t xml:space="preserve">As the only leak repair BP, this “find-it/fix-it” BP applies to all leaks.  This BP requires utilities to repair all leaks within a maximum of three years of discovery, allowing for reasonable exceptions.  In the short-term, utilities are also required separately to eliminate their backlog of leaks unless leak repairs are cost prohibitive. </w:t>
            </w:r>
          </w:p>
        </w:tc>
      </w:tr>
      <w:tr w:rsidRPr="003F5B27" w:rsidR="003F5B27" w:rsidTr="003C64EA" w14:paraId="09608D7D" w14:textId="77777777">
        <w:tblPrEx>
          <w:tblCellMar>
            <w:left w:w="108" w:type="dxa"/>
            <w:right w:w="108" w:type="dxa"/>
          </w:tblCellMar>
        </w:tblPrEx>
        <w:trPr>
          <w:trHeight w:val="287"/>
        </w:trPr>
        <w:tc>
          <w:tcPr>
            <w:tcW w:w="869" w:type="dxa"/>
            <w:noWrap/>
          </w:tcPr>
          <w:p w:rsidRPr="003F5B27" w:rsidR="003F5B27" w:rsidP="003F5B27" w:rsidRDefault="003F5B27" w14:paraId="154911DB" w14:textId="77777777">
            <w:pPr>
              <w:rPr>
                <w:rFonts w:ascii="Garamond" w:hAnsi="Garamond"/>
                <w:bCs/>
                <w:kern w:val="32"/>
                <w:sz w:val="24"/>
                <w:szCs w:val="24"/>
              </w:rPr>
            </w:pPr>
          </w:p>
        </w:tc>
        <w:tc>
          <w:tcPr>
            <w:tcW w:w="4497" w:type="dxa"/>
          </w:tcPr>
          <w:p w:rsidRPr="003F5B27" w:rsidR="003F5B27" w:rsidP="003F5B27" w:rsidRDefault="003F5B27" w14:paraId="2F3EC8F7" w14:textId="77777777">
            <w:pPr>
              <w:rPr>
                <w:rFonts w:ascii="Garamond" w:hAnsi="Garamond"/>
                <w:bCs/>
                <w:kern w:val="32"/>
                <w:sz w:val="24"/>
                <w:szCs w:val="24"/>
              </w:rPr>
            </w:pPr>
            <w:r w:rsidRPr="003F5B27">
              <w:rPr>
                <w:rFonts w:ascii="Garamond" w:hAnsi="Garamond"/>
                <w:bCs/>
                <w:kern w:val="32"/>
                <w:sz w:val="24"/>
                <w:szCs w:val="24"/>
              </w:rPr>
              <w:t>Leak Prevention</w:t>
            </w:r>
          </w:p>
        </w:tc>
        <w:tc>
          <w:tcPr>
            <w:tcW w:w="4815" w:type="dxa"/>
          </w:tcPr>
          <w:p w:rsidRPr="003F5B27" w:rsidR="003F5B27" w:rsidP="003F5B27" w:rsidRDefault="003F5B27" w14:paraId="16B06D5F" w14:textId="77777777">
            <w:pPr>
              <w:rPr>
                <w:rFonts w:ascii="Garamond" w:hAnsi="Garamond"/>
                <w:bCs/>
                <w:kern w:val="32"/>
                <w:sz w:val="24"/>
                <w:szCs w:val="24"/>
              </w:rPr>
            </w:pPr>
          </w:p>
        </w:tc>
      </w:tr>
      <w:tr w:rsidRPr="003F5B27" w:rsidR="003F5B27" w:rsidTr="003C64EA" w14:paraId="414241B0" w14:textId="77777777">
        <w:tblPrEx>
          <w:tblCellMar>
            <w:left w:w="108" w:type="dxa"/>
            <w:right w:w="108" w:type="dxa"/>
          </w:tblCellMar>
        </w:tblPrEx>
        <w:trPr>
          <w:trHeight w:val="1061"/>
        </w:trPr>
        <w:tc>
          <w:tcPr>
            <w:tcW w:w="869" w:type="dxa"/>
            <w:noWrap/>
            <w:hideMark/>
          </w:tcPr>
          <w:p w:rsidRPr="003F5B27" w:rsidR="003F5B27" w:rsidP="003F5B27" w:rsidRDefault="003F5B27" w14:paraId="58209BD2" w14:textId="77777777">
            <w:pPr>
              <w:rPr>
                <w:rFonts w:ascii="Garamond" w:hAnsi="Garamond"/>
                <w:bCs/>
                <w:kern w:val="32"/>
                <w:sz w:val="24"/>
                <w:szCs w:val="24"/>
              </w:rPr>
            </w:pPr>
            <w:r w:rsidRPr="003F5B27">
              <w:rPr>
                <w:rFonts w:ascii="Garamond" w:hAnsi="Garamond"/>
                <w:bCs/>
                <w:kern w:val="32"/>
                <w:sz w:val="24"/>
                <w:szCs w:val="24"/>
              </w:rPr>
              <w:t>BP 22</w:t>
            </w:r>
          </w:p>
        </w:tc>
        <w:tc>
          <w:tcPr>
            <w:tcW w:w="4497" w:type="dxa"/>
          </w:tcPr>
          <w:p w:rsidRPr="003F5B27" w:rsidR="003F5B27" w:rsidP="003F5B27" w:rsidRDefault="003F5B27" w14:paraId="7606B5F5" w14:textId="77777777">
            <w:pPr>
              <w:rPr>
                <w:rFonts w:ascii="Garamond" w:hAnsi="Garamond"/>
                <w:bCs/>
                <w:kern w:val="32"/>
                <w:sz w:val="24"/>
                <w:szCs w:val="24"/>
                <w:u w:val="single"/>
              </w:rPr>
            </w:pPr>
            <w:r w:rsidRPr="003F5B27">
              <w:rPr>
                <w:rFonts w:ascii="Garamond" w:hAnsi="Garamond"/>
                <w:bCs/>
                <w:kern w:val="32"/>
                <w:sz w:val="24"/>
                <w:szCs w:val="24"/>
                <w:u w:val="single"/>
              </w:rPr>
              <w:t>Pipe Fitting Specifications</w:t>
            </w:r>
          </w:p>
          <w:p w:rsidRPr="003F5B27" w:rsidR="003F5B27" w:rsidP="003F5B27" w:rsidRDefault="003F5B27" w14:paraId="7A7F5CB4" w14:textId="77777777">
            <w:pPr>
              <w:rPr>
                <w:rFonts w:ascii="Garamond" w:hAnsi="Garamond"/>
                <w:bCs/>
                <w:kern w:val="32"/>
                <w:sz w:val="24"/>
                <w:szCs w:val="24"/>
              </w:rPr>
            </w:pPr>
            <w:r w:rsidRPr="003F5B27">
              <w:rPr>
                <w:rFonts w:ascii="Garamond" w:hAnsi="Garamond"/>
                <w:bCs/>
                <w:kern w:val="32"/>
                <w:sz w:val="24"/>
                <w:szCs w:val="24"/>
              </w:rPr>
              <w:t xml:space="preserve">Companies shall review and revise pipe fitting specifications, as necessary, to ensure tighter tolerance/better quality pipe threads.  Utilities are required to review any available data on its threaded fittings, and if necessary, propose a fitting replacement program for threaded connections with significant leaks or comprehensive procedures for leak repairs and meter set assembly installations and repairs as part of their Compliance Plans.  A fitting replacement program should consider components such as pressure control fittings, service tees, and valves metrics, among other things.  </w:t>
            </w:r>
          </w:p>
        </w:tc>
        <w:tc>
          <w:tcPr>
            <w:tcW w:w="4815" w:type="dxa"/>
          </w:tcPr>
          <w:p w:rsidRPr="003F5B27" w:rsidR="003F5B27" w:rsidP="003F5B27" w:rsidRDefault="003F5B27" w14:paraId="03146A64" w14:textId="77777777">
            <w:pPr>
              <w:rPr>
                <w:rFonts w:ascii="Garamond" w:hAnsi="Garamond"/>
                <w:bCs/>
                <w:kern w:val="32"/>
                <w:sz w:val="24"/>
                <w:szCs w:val="24"/>
              </w:rPr>
            </w:pPr>
            <w:r w:rsidRPr="003F5B27">
              <w:rPr>
                <w:rFonts w:ascii="Garamond" w:hAnsi="Garamond"/>
                <w:bCs/>
                <w:kern w:val="32"/>
                <w:sz w:val="24"/>
                <w:szCs w:val="24"/>
              </w:rPr>
              <w:t xml:space="preserve">This leak prevention BP addresses the very large number of threaded fittings and their known propensity to develop leaks.  This BP requires companies to review and revise pipe fitting specifications and any available data on utilities’ threaded fittings, as necessary.  This BP requires utilities to review their own pipe fittings specifications along with available data and if necessary, propose a fitting replacement program as part of their Compliance Plan.  For example, Aeronautical National Pipe Taper (ANPT) threads (ANSI SAE AS71051) may be less leak-prone than National Pipe Taper (NPT) pipe threads (ANSI/ASME B1.20.1) since the former has 2 threads and the latter has 3 threads.  However, other types of threads or connections may prove better.  </w:t>
            </w:r>
          </w:p>
        </w:tc>
      </w:tr>
      <w:tr w:rsidRPr="003F5B27" w:rsidR="003F5B27" w:rsidTr="003C64EA" w14:paraId="2A1F1648" w14:textId="77777777">
        <w:tblPrEx>
          <w:tblCellMar>
            <w:left w:w="108" w:type="dxa"/>
            <w:right w:w="108" w:type="dxa"/>
          </w:tblCellMar>
        </w:tblPrEx>
        <w:trPr>
          <w:trHeight w:val="467"/>
        </w:trPr>
        <w:tc>
          <w:tcPr>
            <w:tcW w:w="869" w:type="dxa"/>
            <w:noWrap/>
            <w:hideMark/>
          </w:tcPr>
          <w:p w:rsidRPr="003F5B27" w:rsidR="003F5B27" w:rsidP="003F5B27" w:rsidRDefault="003F5B27" w14:paraId="25DEE218" w14:textId="77777777">
            <w:pPr>
              <w:rPr>
                <w:rFonts w:ascii="Garamond" w:hAnsi="Garamond"/>
                <w:bCs/>
                <w:kern w:val="32"/>
                <w:sz w:val="24"/>
                <w:szCs w:val="24"/>
              </w:rPr>
            </w:pPr>
            <w:r w:rsidRPr="003F5B27">
              <w:rPr>
                <w:rFonts w:ascii="Garamond" w:hAnsi="Garamond"/>
                <w:bCs/>
                <w:kern w:val="32"/>
                <w:sz w:val="24"/>
                <w:szCs w:val="24"/>
              </w:rPr>
              <w:t>BP 23</w:t>
            </w:r>
          </w:p>
        </w:tc>
        <w:tc>
          <w:tcPr>
            <w:tcW w:w="4497" w:type="dxa"/>
          </w:tcPr>
          <w:p w:rsidRPr="003F5B27" w:rsidR="003F5B27" w:rsidP="003F5B27" w:rsidRDefault="003F5B27" w14:paraId="72948570" w14:textId="77777777">
            <w:pPr>
              <w:rPr>
                <w:rFonts w:ascii="Garamond" w:hAnsi="Garamond"/>
                <w:bCs/>
                <w:kern w:val="32"/>
                <w:sz w:val="24"/>
                <w:szCs w:val="24"/>
              </w:rPr>
            </w:pPr>
            <w:r w:rsidRPr="003F5B27">
              <w:rPr>
                <w:rFonts w:ascii="Garamond" w:hAnsi="Garamond"/>
                <w:bCs/>
                <w:kern w:val="32"/>
                <w:sz w:val="24"/>
                <w:szCs w:val="24"/>
                <w:u w:val="single"/>
              </w:rPr>
              <w:t>Minimize Emissions from Operations, Maintenance and Other Activities</w:t>
            </w:r>
          </w:p>
          <w:p w:rsidRPr="003F5B27" w:rsidR="003F5B27" w:rsidP="003F5B27" w:rsidRDefault="003F5B27" w14:paraId="46D007E8" w14:textId="77777777">
            <w:pPr>
              <w:rPr>
                <w:rFonts w:ascii="Garamond" w:hAnsi="Garamond"/>
                <w:bCs/>
                <w:kern w:val="32"/>
                <w:sz w:val="24"/>
                <w:szCs w:val="24"/>
              </w:rPr>
            </w:pPr>
            <w:r w:rsidRPr="003F5B27">
              <w:rPr>
                <w:rFonts w:ascii="Garamond" w:hAnsi="Garamond"/>
                <w:bCs/>
                <w:kern w:val="32"/>
                <w:sz w:val="24"/>
                <w:szCs w:val="24"/>
              </w:rPr>
              <w:t xml:space="preserve">Utilities shall minimize emissions from operations, </w:t>
            </w:r>
            <w:proofErr w:type="gramStart"/>
            <w:r w:rsidRPr="003F5B27">
              <w:rPr>
                <w:rFonts w:ascii="Garamond" w:hAnsi="Garamond"/>
                <w:bCs/>
                <w:kern w:val="32"/>
                <w:sz w:val="24"/>
                <w:szCs w:val="24"/>
              </w:rPr>
              <w:t>maintenance</w:t>
            </w:r>
            <w:proofErr w:type="gramEnd"/>
            <w:r w:rsidRPr="003F5B27">
              <w:rPr>
                <w:rFonts w:ascii="Garamond" w:hAnsi="Garamond"/>
                <w:bCs/>
                <w:kern w:val="32"/>
                <w:sz w:val="24"/>
                <w:szCs w:val="24"/>
              </w:rPr>
              <w:t xml:space="preserve"> and other activities, such as new construction or replacement, in </w:t>
            </w:r>
            <w:r w:rsidRPr="003F5B27">
              <w:rPr>
                <w:rFonts w:ascii="Garamond" w:hAnsi="Garamond"/>
                <w:bCs/>
                <w:kern w:val="32"/>
                <w:sz w:val="24"/>
                <w:szCs w:val="24"/>
              </w:rPr>
              <w:lastRenderedPageBreak/>
              <w:t xml:space="preserve">the gas distribution and transmission systems and storage facilities.  Utilities shall replace high-bleed pneumatic devices with technology that does not vent gas (i.e. no-bleed) or vents significantly less natural gas (i.e. low-bleed) devices.  Utilities shall also reduce emissions from blowdowns, as much as operationally feasible.  </w:t>
            </w:r>
          </w:p>
        </w:tc>
        <w:tc>
          <w:tcPr>
            <w:tcW w:w="4815" w:type="dxa"/>
          </w:tcPr>
          <w:p w:rsidRPr="003F5B27" w:rsidR="003F5B27" w:rsidP="003F5B27" w:rsidRDefault="003F5B27" w14:paraId="35CC309D" w14:textId="77777777">
            <w:pPr>
              <w:rPr>
                <w:rFonts w:ascii="Garamond" w:hAnsi="Garamond"/>
                <w:bCs/>
                <w:kern w:val="32"/>
                <w:sz w:val="24"/>
                <w:szCs w:val="24"/>
              </w:rPr>
            </w:pPr>
            <w:r w:rsidRPr="003F5B27">
              <w:rPr>
                <w:rFonts w:ascii="Garamond" w:hAnsi="Garamond"/>
                <w:bCs/>
                <w:kern w:val="32"/>
                <w:sz w:val="24"/>
                <w:szCs w:val="24"/>
              </w:rPr>
              <w:lastRenderedPageBreak/>
              <w:t xml:space="preserve">Most natural gas companies have gas systems containing large volumes of methane.  Large amounts of fugitive and vented emissions from operations, </w:t>
            </w:r>
            <w:proofErr w:type="gramStart"/>
            <w:r w:rsidRPr="003F5B27">
              <w:rPr>
                <w:rFonts w:ascii="Garamond" w:hAnsi="Garamond"/>
                <w:bCs/>
                <w:kern w:val="32"/>
                <w:sz w:val="24"/>
                <w:szCs w:val="24"/>
              </w:rPr>
              <w:t>maintenance</w:t>
            </w:r>
            <w:proofErr w:type="gramEnd"/>
            <w:r w:rsidRPr="003F5B27">
              <w:rPr>
                <w:rFonts w:ascii="Garamond" w:hAnsi="Garamond"/>
                <w:bCs/>
                <w:kern w:val="32"/>
                <w:sz w:val="24"/>
                <w:szCs w:val="24"/>
              </w:rPr>
              <w:t xml:space="preserve"> and other activities, along with unforeseen catastrophic releases, can </w:t>
            </w:r>
            <w:r w:rsidRPr="003F5B27">
              <w:rPr>
                <w:rFonts w:ascii="Garamond" w:hAnsi="Garamond"/>
                <w:bCs/>
                <w:kern w:val="32"/>
                <w:sz w:val="24"/>
                <w:szCs w:val="24"/>
              </w:rPr>
              <w:lastRenderedPageBreak/>
              <w:t xml:space="preserve">negate the methane reductions by other measures and significantly increase GHG emissions.  This leak prevention BP focuses on minimizing fugitive and vented methane emissions including those from catastrophic releases, high-bleed </w:t>
            </w:r>
            <w:proofErr w:type="gramStart"/>
            <w:r w:rsidRPr="003F5B27">
              <w:rPr>
                <w:rFonts w:ascii="Garamond" w:hAnsi="Garamond"/>
                <w:bCs/>
                <w:kern w:val="32"/>
                <w:sz w:val="24"/>
                <w:szCs w:val="24"/>
              </w:rPr>
              <w:t>pneumatics</w:t>
            </w:r>
            <w:proofErr w:type="gramEnd"/>
            <w:r w:rsidRPr="003F5B27">
              <w:rPr>
                <w:rFonts w:ascii="Garamond" w:hAnsi="Garamond"/>
                <w:bCs/>
                <w:kern w:val="32"/>
                <w:sz w:val="24"/>
                <w:szCs w:val="24"/>
              </w:rPr>
              <w:t xml:space="preserve"> and blowdowns.  This BP requires replacement of high-bleed pneumatic devices </w:t>
            </w:r>
            <w:proofErr w:type="gramStart"/>
            <w:r w:rsidRPr="003F5B27">
              <w:rPr>
                <w:rFonts w:ascii="Garamond" w:hAnsi="Garamond"/>
                <w:bCs/>
                <w:kern w:val="32"/>
                <w:sz w:val="24"/>
                <w:szCs w:val="24"/>
              </w:rPr>
              <w:t>and also</w:t>
            </w:r>
            <w:proofErr w:type="gramEnd"/>
            <w:r w:rsidRPr="003F5B27">
              <w:rPr>
                <w:rFonts w:ascii="Garamond" w:hAnsi="Garamond"/>
                <w:bCs/>
                <w:kern w:val="32"/>
                <w:sz w:val="24"/>
                <w:szCs w:val="24"/>
              </w:rPr>
              <w:t xml:space="preserve"> requires reduction of blowdown emissions, as much as operationally feasible.  </w:t>
            </w:r>
          </w:p>
          <w:p w:rsidRPr="003F5B27" w:rsidR="003F5B27" w:rsidP="003F5B27" w:rsidRDefault="003F5B27" w14:paraId="7571CEFF" w14:textId="77777777">
            <w:pPr>
              <w:rPr>
                <w:rFonts w:ascii="Garamond" w:hAnsi="Garamond"/>
                <w:bCs/>
                <w:kern w:val="32"/>
                <w:sz w:val="24"/>
                <w:szCs w:val="24"/>
              </w:rPr>
            </w:pPr>
          </w:p>
        </w:tc>
      </w:tr>
      <w:tr w:rsidRPr="003F5B27" w:rsidR="003F5B27" w:rsidTr="003C64EA" w14:paraId="2AC15061" w14:textId="77777777">
        <w:tblPrEx>
          <w:tblCellMar>
            <w:left w:w="108" w:type="dxa"/>
            <w:right w:w="108" w:type="dxa"/>
          </w:tblCellMar>
        </w:tblPrEx>
        <w:trPr>
          <w:trHeight w:val="1500"/>
        </w:trPr>
        <w:tc>
          <w:tcPr>
            <w:tcW w:w="869" w:type="dxa"/>
            <w:noWrap/>
            <w:hideMark/>
          </w:tcPr>
          <w:p w:rsidRPr="003F5B27" w:rsidR="003F5B27" w:rsidP="003F5B27" w:rsidRDefault="003F5B27" w14:paraId="05A69590" w14:textId="77777777">
            <w:pPr>
              <w:rPr>
                <w:rFonts w:ascii="Garamond" w:hAnsi="Garamond"/>
                <w:bCs/>
                <w:kern w:val="32"/>
                <w:sz w:val="24"/>
                <w:szCs w:val="24"/>
              </w:rPr>
            </w:pPr>
            <w:r w:rsidRPr="003F5B27">
              <w:rPr>
                <w:rFonts w:ascii="Garamond" w:hAnsi="Garamond"/>
                <w:bCs/>
                <w:kern w:val="32"/>
                <w:sz w:val="24"/>
                <w:szCs w:val="24"/>
              </w:rPr>
              <w:lastRenderedPageBreak/>
              <w:t>BP 24</w:t>
            </w:r>
          </w:p>
        </w:tc>
        <w:tc>
          <w:tcPr>
            <w:tcW w:w="4497" w:type="dxa"/>
          </w:tcPr>
          <w:p w:rsidRPr="003F5B27" w:rsidR="003F5B27" w:rsidP="003F5B27" w:rsidRDefault="003F5B27" w14:paraId="62C45AC6" w14:textId="77777777">
            <w:pPr>
              <w:rPr>
                <w:rFonts w:ascii="Garamond" w:hAnsi="Garamond"/>
                <w:bCs/>
                <w:kern w:val="32"/>
                <w:sz w:val="24"/>
                <w:szCs w:val="24"/>
                <w:u w:val="single"/>
              </w:rPr>
            </w:pPr>
            <w:r w:rsidRPr="003F5B27">
              <w:rPr>
                <w:rFonts w:ascii="Garamond" w:hAnsi="Garamond"/>
                <w:bCs/>
                <w:kern w:val="32"/>
                <w:sz w:val="24"/>
                <w:szCs w:val="24"/>
                <w:u w:val="single"/>
              </w:rPr>
              <w:t>Dig-Ins / Public Education Program</w:t>
            </w:r>
          </w:p>
          <w:p w:rsidRPr="003F5B27" w:rsidR="003F5B27" w:rsidP="003F5B27" w:rsidRDefault="003F5B27" w14:paraId="21DB573E" w14:textId="77777777">
            <w:pPr>
              <w:rPr>
                <w:rFonts w:ascii="Garamond" w:hAnsi="Garamond"/>
                <w:bCs/>
                <w:kern w:val="32"/>
                <w:sz w:val="24"/>
                <w:szCs w:val="24"/>
              </w:rPr>
            </w:pPr>
            <w:r w:rsidRPr="003F5B27">
              <w:rPr>
                <w:rFonts w:ascii="Garamond" w:hAnsi="Garamond"/>
                <w:bCs/>
                <w:kern w:val="32"/>
                <w:sz w:val="24"/>
                <w:szCs w:val="24"/>
              </w:rPr>
              <w:t xml:space="preserve">Dig-Ins – Expand existing public education program to alert the public and third-party excavation contractors to the Call Before You Dig – 811 </w:t>
            </w:r>
            <w:proofErr w:type="gramStart"/>
            <w:r w:rsidRPr="003F5B27">
              <w:rPr>
                <w:rFonts w:ascii="Garamond" w:hAnsi="Garamond"/>
                <w:bCs/>
                <w:kern w:val="32"/>
                <w:sz w:val="24"/>
                <w:szCs w:val="24"/>
              </w:rPr>
              <w:t>program</w:t>
            </w:r>
            <w:proofErr w:type="gramEnd"/>
            <w:r w:rsidRPr="003F5B27">
              <w:rPr>
                <w:rFonts w:ascii="Garamond" w:hAnsi="Garamond"/>
                <w:bCs/>
                <w:kern w:val="32"/>
                <w:sz w:val="24"/>
                <w:szCs w:val="24"/>
              </w:rPr>
              <w:t xml:space="preserve">.  In addition, utilities must provide procedures for excavation contractors to follow when excavating to prevent damaging or rupturing a gas line.  </w:t>
            </w:r>
          </w:p>
          <w:p w:rsidRPr="003F5B27" w:rsidR="003F5B27" w:rsidP="003F5B27" w:rsidRDefault="003F5B27" w14:paraId="76AE9BEB" w14:textId="77777777">
            <w:pPr>
              <w:rPr>
                <w:rFonts w:ascii="Garamond" w:hAnsi="Garamond"/>
                <w:bCs/>
                <w:kern w:val="32"/>
                <w:sz w:val="24"/>
                <w:szCs w:val="24"/>
              </w:rPr>
            </w:pPr>
          </w:p>
        </w:tc>
        <w:tc>
          <w:tcPr>
            <w:tcW w:w="4815" w:type="dxa"/>
          </w:tcPr>
          <w:p w:rsidRPr="003F5B27" w:rsidR="003F5B27" w:rsidP="003F5B27" w:rsidRDefault="003F5B27" w14:paraId="23A081A1" w14:textId="77777777">
            <w:pPr>
              <w:rPr>
                <w:rFonts w:ascii="Garamond" w:hAnsi="Garamond"/>
                <w:bCs/>
                <w:kern w:val="32"/>
                <w:sz w:val="24"/>
                <w:szCs w:val="24"/>
              </w:rPr>
            </w:pPr>
            <w:r w:rsidRPr="003F5B27">
              <w:rPr>
                <w:rFonts w:ascii="Garamond" w:hAnsi="Garamond"/>
                <w:bCs/>
                <w:kern w:val="32"/>
                <w:sz w:val="24"/>
                <w:szCs w:val="24"/>
              </w:rPr>
              <w:t xml:space="preserve">Dig-Ins are a major cause of gas line ruptures.  The utilities are already required to implement Dig-In public awareness programs.  This leak prevention BP requires utilities to expand their existing public education programs and to provide procedures for excavation contractors to follow when excavating.  </w:t>
            </w:r>
          </w:p>
          <w:p w:rsidRPr="003F5B27" w:rsidR="003F5B27" w:rsidP="003F5B27" w:rsidRDefault="003F5B27" w14:paraId="5F99CFAF" w14:textId="77777777">
            <w:pPr>
              <w:rPr>
                <w:rFonts w:ascii="Garamond" w:hAnsi="Garamond"/>
                <w:bCs/>
                <w:kern w:val="32"/>
                <w:sz w:val="24"/>
                <w:szCs w:val="24"/>
              </w:rPr>
            </w:pPr>
          </w:p>
        </w:tc>
      </w:tr>
      <w:tr w:rsidRPr="003F5B27" w:rsidR="003F5B27" w:rsidTr="003C64EA" w14:paraId="4F094708" w14:textId="77777777">
        <w:tblPrEx>
          <w:tblCellMar>
            <w:left w:w="108" w:type="dxa"/>
            <w:right w:w="108" w:type="dxa"/>
          </w:tblCellMar>
        </w:tblPrEx>
        <w:trPr>
          <w:trHeight w:val="1358"/>
        </w:trPr>
        <w:tc>
          <w:tcPr>
            <w:tcW w:w="869" w:type="dxa"/>
            <w:noWrap/>
            <w:hideMark/>
          </w:tcPr>
          <w:p w:rsidRPr="003F5B27" w:rsidR="003F5B27" w:rsidP="003F5B27" w:rsidRDefault="003F5B27" w14:paraId="553570FA" w14:textId="77777777">
            <w:pPr>
              <w:rPr>
                <w:rFonts w:ascii="Garamond" w:hAnsi="Garamond"/>
                <w:bCs/>
                <w:kern w:val="32"/>
                <w:sz w:val="24"/>
                <w:szCs w:val="24"/>
              </w:rPr>
            </w:pPr>
            <w:r w:rsidRPr="003F5B27">
              <w:rPr>
                <w:rFonts w:ascii="Garamond" w:hAnsi="Garamond"/>
                <w:bCs/>
                <w:kern w:val="32"/>
                <w:sz w:val="24"/>
                <w:szCs w:val="24"/>
              </w:rPr>
              <w:t>BP 25</w:t>
            </w:r>
          </w:p>
        </w:tc>
        <w:tc>
          <w:tcPr>
            <w:tcW w:w="4497" w:type="dxa"/>
          </w:tcPr>
          <w:p w:rsidRPr="003F5B27" w:rsidR="003F5B27" w:rsidP="003F5B27" w:rsidRDefault="003F5B27" w14:paraId="7E3C1B8E" w14:textId="77777777">
            <w:pPr>
              <w:rPr>
                <w:rFonts w:ascii="Garamond" w:hAnsi="Garamond"/>
                <w:bCs/>
                <w:kern w:val="32"/>
                <w:sz w:val="24"/>
                <w:szCs w:val="24"/>
                <w:u w:val="single"/>
              </w:rPr>
            </w:pPr>
            <w:r w:rsidRPr="003F5B27">
              <w:rPr>
                <w:rFonts w:ascii="Garamond" w:hAnsi="Garamond"/>
                <w:bCs/>
                <w:kern w:val="32"/>
                <w:sz w:val="24"/>
                <w:szCs w:val="24"/>
                <w:u w:val="single"/>
              </w:rPr>
              <w:t xml:space="preserve">Dig-Ins / Company Standby Monitors </w:t>
            </w:r>
          </w:p>
          <w:p w:rsidRPr="003F5B27" w:rsidR="003F5B27" w:rsidP="003F5B27" w:rsidRDefault="003F5B27" w14:paraId="62FA16A3" w14:textId="77777777">
            <w:pPr>
              <w:rPr>
                <w:rFonts w:ascii="Garamond" w:hAnsi="Garamond"/>
                <w:bCs/>
                <w:kern w:val="32"/>
                <w:sz w:val="24"/>
                <w:szCs w:val="24"/>
              </w:rPr>
            </w:pPr>
            <w:r w:rsidRPr="003F5B27">
              <w:rPr>
                <w:rFonts w:ascii="Garamond" w:hAnsi="Garamond"/>
                <w:bCs/>
                <w:kern w:val="32"/>
                <w:sz w:val="24"/>
                <w:szCs w:val="24"/>
              </w:rPr>
              <w:t xml:space="preserve">Dig-Ins – Utilities must provide company monitors to witness all excavations near gas transmission lines to ensure that contractors are following utility procedures to properly excavate and backfill around transmission lines.  </w:t>
            </w:r>
          </w:p>
        </w:tc>
        <w:tc>
          <w:tcPr>
            <w:tcW w:w="4815" w:type="dxa"/>
          </w:tcPr>
          <w:p w:rsidRPr="003F5B27" w:rsidR="003F5B27" w:rsidP="003F5B27" w:rsidRDefault="003F5B27" w14:paraId="2F435564" w14:textId="77777777">
            <w:pPr>
              <w:rPr>
                <w:rFonts w:ascii="Garamond" w:hAnsi="Garamond"/>
                <w:bCs/>
                <w:kern w:val="32"/>
                <w:sz w:val="24"/>
                <w:szCs w:val="24"/>
              </w:rPr>
            </w:pPr>
            <w:r w:rsidRPr="003F5B27">
              <w:rPr>
                <w:rFonts w:ascii="Garamond" w:hAnsi="Garamond"/>
                <w:bCs/>
                <w:kern w:val="32"/>
                <w:sz w:val="24"/>
                <w:szCs w:val="24"/>
              </w:rPr>
              <w:t xml:space="preserve">Dig-Ins are a major cause of gas line ruptures.  This leak prevention BP is necessary to ensure contractors follow utility excavation and backfill procedures around transmission lines </w:t>
            </w:r>
            <w:proofErr w:type="gramStart"/>
            <w:r w:rsidRPr="003F5B27">
              <w:rPr>
                <w:rFonts w:ascii="Garamond" w:hAnsi="Garamond"/>
                <w:bCs/>
                <w:kern w:val="32"/>
                <w:sz w:val="24"/>
                <w:szCs w:val="24"/>
              </w:rPr>
              <w:t>in order to</w:t>
            </w:r>
            <w:proofErr w:type="gramEnd"/>
            <w:r w:rsidRPr="003F5B27">
              <w:rPr>
                <w:rFonts w:ascii="Garamond" w:hAnsi="Garamond"/>
                <w:bCs/>
                <w:kern w:val="32"/>
                <w:sz w:val="24"/>
                <w:szCs w:val="24"/>
              </w:rPr>
              <w:t xml:space="preserve"> try to prevent damage to a transmission line.  (It is possible to nick or damage a transmission line which can be a root cause for a rupture years later.)  </w:t>
            </w:r>
          </w:p>
          <w:p w:rsidRPr="003F5B27" w:rsidR="003F5B27" w:rsidP="003F5B27" w:rsidRDefault="003F5B27" w14:paraId="452F9F91" w14:textId="77777777">
            <w:pPr>
              <w:rPr>
                <w:rFonts w:ascii="Garamond" w:hAnsi="Garamond"/>
                <w:bCs/>
                <w:kern w:val="32"/>
                <w:sz w:val="24"/>
                <w:szCs w:val="24"/>
              </w:rPr>
            </w:pPr>
          </w:p>
        </w:tc>
      </w:tr>
      <w:tr w:rsidRPr="003F5B27" w:rsidR="003F5B27" w:rsidTr="003C64EA" w14:paraId="5C96B227" w14:textId="77777777">
        <w:tblPrEx>
          <w:tblCellMar>
            <w:left w:w="108" w:type="dxa"/>
            <w:right w:w="108" w:type="dxa"/>
          </w:tblCellMar>
        </w:tblPrEx>
        <w:trPr>
          <w:trHeight w:val="377"/>
        </w:trPr>
        <w:tc>
          <w:tcPr>
            <w:tcW w:w="869" w:type="dxa"/>
            <w:noWrap/>
            <w:hideMark/>
          </w:tcPr>
          <w:p w:rsidRPr="003F5B27" w:rsidR="003F5B27" w:rsidP="003F5B27" w:rsidRDefault="003F5B27" w14:paraId="31F6D114" w14:textId="77777777">
            <w:pPr>
              <w:rPr>
                <w:rFonts w:ascii="Garamond" w:hAnsi="Garamond"/>
                <w:bCs/>
                <w:kern w:val="32"/>
                <w:sz w:val="24"/>
                <w:szCs w:val="24"/>
              </w:rPr>
            </w:pPr>
            <w:r w:rsidRPr="003F5B27">
              <w:rPr>
                <w:rFonts w:ascii="Garamond" w:hAnsi="Garamond"/>
                <w:bCs/>
                <w:kern w:val="32"/>
                <w:sz w:val="24"/>
                <w:szCs w:val="24"/>
              </w:rPr>
              <w:t>BP 26</w:t>
            </w:r>
          </w:p>
        </w:tc>
        <w:tc>
          <w:tcPr>
            <w:tcW w:w="4497" w:type="dxa"/>
          </w:tcPr>
          <w:p w:rsidRPr="003F5B27" w:rsidR="003F5B27" w:rsidP="003F5B27" w:rsidRDefault="003F5B27" w14:paraId="64BFB791" w14:textId="77777777">
            <w:pPr>
              <w:rPr>
                <w:rFonts w:ascii="Garamond" w:hAnsi="Garamond"/>
                <w:bCs/>
                <w:kern w:val="32"/>
                <w:sz w:val="24"/>
                <w:szCs w:val="24"/>
              </w:rPr>
            </w:pPr>
            <w:r w:rsidRPr="003F5B27">
              <w:rPr>
                <w:rFonts w:ascii="Garamond" w:hAnsi="Garamond"/>
                <w:bCs/>
                <w:kern w:val="32"/>
                <w:sz w:val="24"/>
                <w:szCs w:val="24"/>
                <w:u w:val="single"/>
              </w:rPr>
              <w:t>Dig-Ins / Repeat Offenders</w:t>
            </w:r>
          </w:p>
          <w:p w:rsidRPr="003F5B27" w:rsidR="003F5B27" w:rsidP="003F5B27" w:rsidRDefault="003F5B27" w14:paraId="29F22492" w14:textId="77777777">
            <w:pPr>
              <w:rPr>
                <w:rFonts w:ascii="Garamond" w:hAnsi="Garamond"/>
                <w:bCs/>
                <w:kern w:val="32"/>
                <w:sz w:val="24"/>
                <w:szCs w:val="24"/>
              </w:rPr>
            </w:pPr>
            <w:r w:rsidRPr="003F5B27">
              <w:rPr>
                <w:rFonts w:ascii="Garamond" w:hAnsi="Garamond"/>
                <w:bCs/>
                <w:kern w:val="32"/>
                <w:sz w:val="24"/>
                <w:szCs w:val="24"/>
              </w:rPr>
              <w:t>Utilities shall document procedures to address Repeat Offenders such as providing post-damage safe excavation training and on-site spot visits. Utilities shall keep track and report multiple incidents, within a 5-year period, of dig-ins from the same party in their Annual Emissions Inventory Reports.  These incidents and leaks shall be recorded as required in the recordkeeping best practice.  In addition, the utility should report egregious offenders to appropriate enforcement agencies including the California Contractor’s State License Board.  The Board has the authority to investigate and punish dishonest or negligent contractors.  Punishment can include suspension of their contractor’s license.</w:t>
            </w:r>
          </w:p>
        </w:tc>
        <w:tc>
          <w:tcPr>
            <w:tcW w:w="4815" w:type="dxa"/>
          </w:tcPr>
          <w:p w:rsidRPr="003F5B27" w:rsidR="003F5B27" w:rsidP="003F5B27" w:rsidRDefault="003F5B27" w14:paraId="4971C849" w14:textId="77777777">
            <w:pPr>
              <w:rPr>
                <w:rFonts w:ascii="Garamond" w:hAnsi="Garamond"/>
                <w:bCs/>
                <w:kern w:val="32"/>
                <w:sz w:val="24"/>
                <w:szCs w:val="24"/>
              </w:rPr>
            </w:pPr>
            <w:r w:rsidRPr="003F5B27">
              <w:rPr>
                <w:rFonts w:ascii="Garamond" w:hAnsi="Garamond"/>
                <w:bCs/>
                <w:kern w:val="32"/>
                <w:sz w:val="24"/>
                <w:szCs w:val="24"/>
              </w:rPr>
              <w:t>This leak prevention BP requires utilities to document procedures to address Repeat Offenders and to track and report multiple incidents in their Annual Emissions Inventory Reports.  This BP recommends utilities report egregious offenders to appropriate enforcement agencies.  This BP requires these incidents and leaks to be recorded under the Recordkeeping BP.</w:t>
            </w:r>
          </w:p>
          <w:p w:rsidRPr="003F5B27" w:rsidR="003F5B27" w:rsidP="003F5B27" w:rsidRDefault="003F5B27" w14:paraId="2D1D6ACB" w14:textId="77777777">
            <w:pPr>
              <w:rPr>
                <w:rFonts w:ascii="Garamond" w:hAnsi="Garamond"/>
                <w:bCs/>
                <w:kern w:val="32"/>
                <w:sz w:val="24"/>
                <w:szCs w:val="24"/>
              </w:rPr>
            </w:pPr>
          </w:p>
        </w:tc>
      </w:tr>
    </w:tbl>
    <w:p w:rsidRPr="00613B28" w:rsidR="00017F8D" w:rsidP="003F5B27" w:rsidRDefault="00017F8D" w14:paraId="7CB481AE" w14:textId="50ECFCA7">
      <w:pPr>
        <w:spacing w:line="259" w:lineRule="auto"/>
        <w:jc w:val="center"/>
        <w:rPr>
          <w:rFonts w:ascii="Garamond" w:hAnsi="Garamond"/>
          <w:szCs w:val="26"/>
        </w:rPr>
      </w:pPr>
    </w:p>
    <w:sectPr w:rsidRPr="00613B28" w:rsidR="00017F8D" w:rsidSect="003F5B27">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5DE22" w14:textId="77777777" w:rsidR="00E409FE" w:rsidRDefault="00E409FE" w:rsidP="00EE6C51">
      <w:r>
        <w:separator/>
      </w:r>
    </w:p>
  </w:endnote>
  <w:endnote w:type="continuationSeparator" w:id="0">
    <w:p w14:paraId="01F2511C" w14:textId="77777777" w:rsidR="00E409FE" w:rsidRDefault="00E409FE" w:rsidP="00EE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24E7C" w14:textId="77777777" w:rsidR="00355036" w:rsidRDefault="0035503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FA65B" w14:textId="0C50BEC2" w:rsidR="00355036" w:rsidRDefault="00720691" w:rsidP="003812C3">
    <w:pPr>
      <w:pStyle w:val="Footer"/>
      <w:tabs>
        <w:tab w:val="clear" w:pos="4320"/>
        <w:tab w:val="center" w:pos="4680"/>
      </w:tabs>
      <w:jc w:val="left"/>
    </w:pPr>
    <w:r w:rsidRPr="00720691">
      <w:rPr>
        <w:rStyle w:val="PageNumber"/>
      </w:rPr>
      <w:t xml:space="preserve">  355728330</w:t>
    </w:r>
    <w:r w:rsidR="003812C3">
      <w:rPr>
        <w:rStyle w:val="PageNumber"/>
      </w:rP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173530"/>
      <w:docPartObj>
        <w:docPartGallery w:val="Page Numbers (Bottom of Page)"/>
        <w:docPartUnique/>
      </w:docPartObj>
    </w:sdtPr>
    <w:sdtEndPr>
      <w:rPr>
        <w:noProof/>
      </w:rPr>
    </w:sdtEndPr>
    <w:sdtContent>
      <w:p w14:paraId="2884BD01" w14:textId="77777777" w:rsidR="00355036" w:rsidRDefault="0035503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48037"/>
      <w:docPartObj>
        <w:docPartGallery w:val="Page Numbers (Bottom of Page)"/>
        <w:docPartUnique/>
      </w:docPartObj>
    </w:sdtPr>
    <w:sdtEndPr>
      <w:rPr>
        <w:noProof/>
      </w:rPr>
    </w:sdtEndPr>
    <w:sdtContent>
      <w:p w14:paraId="466EAB5B" w14:textId="77777777" w:rsidR="00355036" w:rsidRDefault="00355036">
        <w:pPr>
          <w:pStyle w:val="Footer"/>
        </w:pPr>
        <w:r>
          <w:fldChar w:fldCharType="begin"/>
        </w:r>
        <w:r>
          <w:instrText xml:space="preserve"> PAGE   \* MERGEFORMAT </w:instrText>
        </w:r>
        <w:r>
          <w:fldChar w:fldCharType="separate"/>
        </w:r>
        <w:r>
          <w:rPr>
            <w:noProof/>
          </w:rPr>
          <w:t>2</w:t>
        </w:r>
        <w:r>
          <w:rPr>
            <w:noProof/>
          </w:rPr>
          <w:fldChar w:fldCharType="end"/>
        </w:r>
      </w:p>
    </w:sdtContent>
  </w:sdt>
  <w:p w14:paraId="1EB0AABC" w14:textId="77777777" w:rsidR="00355036" w:rsidRDefault="00355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2DE38" w14:textId="77777777" w:rsidR="00E409FE" w:rsidRDefault="00E409FE" w:rsidP="00EE6C51">
      <w:r>
        <w:separator/>
      </w:r>
    </w:p>
  </w:footnote>
  <w:footnote w:type="continuationSeparator" w:id="0">
    <w:p w14:paraId="13B8AD7A" w14:textId="77777777" w:rsidR="00E409FE" w:rsidRDefault="00E409FE" w:rsidP="00EE6C51">
      <w:r>
        <w:continuationSeparator/>
      </w:r>
    </w:p>
  </w:footnote>
  <w:footnote w:id="1">
    <w:p w14:paraId="254A9A03" w14:textId="6BA0FCA8" w:rsidR="00355036" w:rsidRDefault="00355036">
      <w:pPr>
        <w:pStyle w:val="FootnoteText"/>
      </w:pPr>
      <w:r>
        <w:rPr>
          <w:rStyle w:val="FootnoteReference"/>
        </w:rPr>
        <w:footnoteRef/>
      </w:r>
      <w:r>
        <w:t xml:space="preserve"> D. 19-08-020 at 56.</w:t>
      </w:r>
    </w:p>
  </w:footnote>
  <w:footnote w:id="2">
    <w:p w14:paraId="656C6FD9" w14:textId="570EB8F8" w:rsidR="00355036" w:rsidRDefault="00355036">
      <w:pPr>
        <w:pStyle w:val="FootnoteText"/>
      </w:pPr>
      <w:r>
        <w:rPr>
          <w:rStyle w:val="FootnoteReference"/>
        </w:rPr>
        <w:footnoteRef/>
      </w:r>
      <w:r>
        <w:t xml:space="preserve"> AL 5603-G-C, at 3.</w:t>
      </w:r>
    </w:p>
  </w:footnote>
  <w:footnote w:id="3">
    <w:p w14:paraId="6405B615" w14:textId="3B0A9FA0" w:rsidR="00355036" w:rsidRDefault="00355036">
      <w:pPr>
        <w:pStyle w:val="FootnoteText"/>
      </w:pPr>
      <w:r>
        <w:rPr>
          <w:rStyle w:val="FootnoteReference"/>
        </w:rPr>
        <w:footnoteRef/>
      </w:r>
      <w:r>
        <w:t xml:space="preserve"> Ibid, p. 7 and Attachment A. </w:t>
      </w:r>
    </w:p>
  </w:footnote>
  <w:footnote w:id="4">
    <w:p w14:paraId="619C2C99" w14:textId="77777777" w:rsidR="00355036" w:rsidRDefault="00355036" w:rsidP="00F570A7">
      <w:pPr>
        <w:pStyle w:val="FootnoteText"/>
      </w:pPr>
      <w:r>
        <w:rPr>
          <w:rStyle w:val="FootnoteReference"/>
        </w:rPr>
        <w:footnoteRef/>
      </w:r>
      <w:r>
        <w:t xml:space="preserve"> D. 19-08-020 at 19.</w:t>
      </w:r>
    </w:p>
  </w:footnote>
  <w:footnote w:id="5">
    <w:p w14:paraId="12199291" w14:textId="53B9EF5C" w:rsidR="00355036" w:rsidRDefault="00355036" w:rsidP="002C0B1C">
      <w:pPr>
        <w:pStyle w:val="FootnoteText"/>
      </w:pPr>
      <w:r>
        <w:rPr>
          <w:rStyle w:val="FootnoteReference"/>
        </w:rPr>
        <w:footnoteRef/>
      </w:r>
      <w:r>
        <w:t xml:space="preserve"> 1 MCF=1,000 cubic feet. 1 MCF is equal to 1.037 million British thermal units (MMBtu). In 2019, natural gas spot prices at Henry Hub, the </w:t>
      </w:r>
      <w:r>
        <w:rPr>
          <w:lang w:val="en"/>
        </w:rPr>
        <w:t>pricing point for natural gas futures on the New York Mercantile Exchange,</w:t>
      </w:r>
      <w:r>
        <w:t xml:space="preserve"> averaged $2.57 per MMBtu or $2.67 per MCF.</w:t>
      </w:r>
    </w:p>
  </w:footnote>
  <w:footnote w:id="6">
    <w:p w14:paraId="7A187AEC" w14:textId="77777777" w:rsidR="00355036" w:rsidRDefault="00355036" w:rsidP="002C0B1C">
      <w:pPr>
        <w:pStyle w:val="FootnoteText"/>
      </w:pPr>
      <w:r>
        <w:rPr>
          <w:rStyle w:val="FootnoteReference"/>
        </w:rPr>
        <w:footnoteRef/>
      </w:r>
      <w:r>
        <w:t xml:space="preserve"> D.19-08-020 at 36.</w:t>
      </w:r>
    </w:p>
  </w:footnote>
  <w:footnote w:id="7">
    <w:p w14:paraId="18309D0F" w14:textId="77777777" w:rsidR="00355036" w:rsidRDefault="00355036" w:rsidP="002C0B1C">
      <w:pPr>
        <w:pStyle w:val="FootnoteText"/>
      </w:pPr>
      <w:r>
        <w:rPr>
          <w:rStyle w:val="FootnoteReference"/>
        </w:rPr>
        <w:footnoteRef/>
      </w:r>
      <w:r>
        <w:t xml:space="preserve"> Ibid.</w:t>
      </w:r>
    </w:p>
  </w:footnote>
  <w:footnote w:id="8">
    <w:p w14:paraId="51D45BAB" w14:textId="392DF417" w:rsidR="00355036" w:rsidRDefault="00355036">
      <w:pPr>
        <w:pStyle w:val="FootnoteText"/>
      </w:pPr>
      <w:r>
        <w:rPr>
          <w:rStyle w:val="FootnoteReference"/>
        </w:rPr>
        <w:footnoteRef/>
      </w:r>
      <w:r>
        <w:t xml:space="preserve"> Ibid, at 39.</w:t>
      </w:r>
    </w:p>
  </w:footnote>
  <w:footnote w:id="9">
    <w:p w14:paraId="063783BD" w14:textId="77777777" w:rsidR="00355036" w:rsidRDefault="00355036" w:rsidP="00F570A7">
      <w:pPr>
        <w:pStyle w:val="FootnoteText"/>
      </w:pPr>
      <w:r>
        <w:rPr>
          <w:rStyle w:val="FootnoteReference"/>
        </w:rPr>
        <w:footnoteRef/>
      </w:r>
      <w:r>
        <w:t xml:space="preserve"> </w:t>
      </w:r>
      <w:r w:rsidRPr="00247596">
        <w:rPr>
          <w:rFonts w:cs="Arial"/>
          <w:iCs/>
          <w:szCs w:val="24"/>
        </w:rPr>
        <w:t>The total forecasted revenue requirement is $285 million.</w:t>
      </w:r>
    </w:p>
  </w:footnote>
  <w:footnote w:id="10">
    <w:p w14:paraId="1C3D7C27" w14:textId="77777777" w:rsidR="00355036" w:rsidRDefault="00355036" w:rsidP="003F5B27">
      <w:pPr>
        <w:pStyle w:val="EndnoteText"/>
      </w:pPr>
      <w:r>
        <w:rPr>
          <w:rStyle w:val="FootnoteReference"/>
        </w:rPr>
        <w:footnoteRef/>
      </w:r>
      <w:r>
        <w:t xml:space="preserve"> Current methods largely rely on emissions estimation using population-based Emission Factors for gas devices such as Meter-Set Assemblies and Metering &amp; Regulating Stations.  This method cannot account for changes in actual emission volumes.  See D.19.08-020, at 50.</w:t>
      </w:r>
    </w:p>
  </w:footnote>
  <w:footnote w:id="11">
    <w:p w14:paraId="7DD0B2EA" w14:textId="77777777" w:rsidR="00355036" w:rsidRDefault="00355036" w:rsidP="003F5B27">
      <w:pPr>
        <w:pStyle w:val="FootnoteText"/>
      </w:pPr>
      <w:r>
        <w:rPr>
          <w:rStyle w:val="FootnoteReference"/>
        </w:rPr>
        <w:footnoteRef/>
      </w:r>
      <w:r>
        <w:t xml:space="preserve"> Approval authority confirmed in D.19.08-020 at 19</w:t>
      </w:r>
    </w:p>
  </w:footnote>
  <w:footnote w:id="12">
    <w:p w14:paraId="4A6CB78A" w14:textId="77777777" w:rsidR="00355036" w:rsidRDefault="00355036" w:rsidP="003F5B27">
      <w:pPr>
        <w:pStyle w:val="FootnoteText"/>
      </w:pPr>
      <w:r>
        <w:rPr>
          <w:rStyle w:val="FootnoteReference"/>
        </w:rPr>
        <w:footnoteRef/>
      </w:r>
      <w:r>
        <w:t xml:space="preserve">  Leno, chapter 525 statutes of 2014 </w:t>
      </w:r>
    </w:p>
  </w:footnote>
  <w:footnote w:id="13">
    <w:p w14:paraId="47C9FEC7" w14:textId="77777777" w:rsidR="00355036" w:rsidRDefault="00355036" w:rsidP="003F5B27">
      <w:pPr>
        <w:pStyle w:val="FootnoteText"/>
      </w:pPr>
      <w:r>
        <w:rPr>
          <w:rStyle w:val="FootnoteReference"/>
        </w:rPr>
        <w:footnoteRef/>
      </w:r>
      <w:r>
        <w:t xml:space="preserve"> </w:t>
      </w:r>
      <w:hyperlink r:id="rId1" w:history="1">
        <w:r w:rsidRPr="00E7450D">
          <w:rPr>
            <w:rStyle w:val="Hyperlink"/>
          </w:rPr>
          <w:t>D.19.08-020</w:t>
        </w:r>
      </w:hyperlink>
      <w:r>
        <w:t>, at p. 19.</w:t>
      </w:r>
    </w:p>
  </w:footnote>
  <w:footnote w:id="14">
    <w:p w14:paraId="2B3FE35F" w14:textId="77777777" w:rsidR="00355036" w:rsidRDefault="00355036" w:rsidP="003F5B27">
      <w:pPr>
        <w:pStyle w:val="FootnoteText"/>
      </w:pPr>
      <w:r>
        <w:rPr>
          <w:rStyle w:val="FootnoteReference"/>
        </w:rPr>
        <w:footnoteRef/>
      </w:r>
      <w:r>
        <w:t xml:space="preserve"> D. 19-08-020 at 36</w:t>
      </w:r>
    </w:p>
  </w:footnote>
  <w:footnote w:id="15">
    <w:p w14:paraId="4D028D80" w14:textId="77777777" w:rsidR="00355036" w:rsidRDefault="00355036" w:rsidP="003F5B27">
      <w:pPr>
        <w:pStyle w:val="FootnoteText"/>
      </w:pPr>
      <w:r>
        <w:rPr>
          <w:rStyle w:val="FootnoteReference"/>
        </w:rPr>
        <w:footnoteRef/>
      </w:r>
      <w:r>
        <w:t xml:space="preserve"> </w:t>
      </w:r>
      <w:hyperlink r:id="rId2" w:history="1">
        <w:r w:rsidRPr="00553FC1">
          <w:rPr>
            <w:rStyle w:val="Hyperlink"/>
          </w:rPr>
          <w:t>D.15-01-008</w:t>
        </w:r>
      </w:hyperlink>
      <w:r>
        <w:t>, Ordering Paragraph 3, p. 82.</w:t>
      </w:r>
    </w:p>
  </w:footnote>
  <w:footnote w:id="16">
    <w:p w14:paraId="75FB471B" w14:textId="77777777" w:rsidR="00355036" w:rsidRDefault="00355036" w:rsidP="003F5B27">
      <w:pPr>
        <w:pStyle w:val="FootnoteText"/>
      </w:pPr>
      <w:r>
        <w:rPr>
          <w:rStyle w:val="FootnoteReference"/>
        </w:rPr>
        <w:footnoteRef/>
      </w:r>
      <w:r>
        <w:t xml:space="preserve"> D. 19-08-020 at Page 16.</w:t>
      </w:r>
    </w:p>
  </w:footnote>
  <w:footnote w:id="17">
    <w:p w14:paraId="43E3CE52" w14:textId="77777777" w:rsidR="00355036" w:rsidRDefault="00355036" w:rsidP="003F5B27">
      <w:pPr>
        <w:pStyle w:val="FootnoteText"/>
      </w:pPr>
      <w:r>
        <w:rPr>
          <w:rStyle w:val="FootnoteReference"/>
        </w:rPr>
        <w:footnoteRef/>
      </w:r>
      <w:r>
        <w:t xml:space="preserve"> 19.08-020 at page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712DE" w14:textId="7A3DFCCB" w:rsidR="00355036" w:rsidRDefault="00355036">
    <w:pPr>
      <w:pStyle w:val="Header"/>
      <w:tabs>
        <w:tab w:val="clear" w:pos="4320"/>
        <w:tab w:val="clear" w:pos="8640"/>
        <w:tab w:val="center" w:pos="4680"/>
        <w:tab w:val="right" w:pos="9180"/>
      </w:tabs>
    </w:pPr>
    <w:r>
      <w:t xml:space="preserve">Resolution </w:t>
    </w:r>
    <w:r w:rsidR="00483030">
      <w:t>G-</w:t>
    </w:r>
    <w:r>
      <w:t>3576</w:t>
    </w:r>
    <w:r>
      <w:tab/>
    </w:r>
    <w:r>
      <w:tab/>
      <w:t>December 17, 2020</w:t>
    </w:r>
  </w:p>
  <w:p w14:paraId="377BB47A" w14:textId="4F5FDEC8" w:rsidR="00355036" w:rsidRDefault="00355036">
    <w:pPr>
      <w:pStyle w:val="Header"/>
      <w:tabs>
        <w:tab w:val="clear" w:pos="4320"/>
        <w:tab w:val="clear" w:pos="8640"/>
        <w:tab w:val="center" w:pos="4680"/>
        <w:tab w:val="right" w:pos="9180"/>
      </w:tabs>
    </w:pPr>
    <w:r>
      <w:t>SoCalGas</w:t>
    </w:r>
    <w:r w:rsidR="00483030">
      <w:t xml:space="preserve"> </w:t>
    </w:r>
    <w:r>
      <w:t>AL 5603-G-C/RGD</w:t>
    </w:r>
  </w:p>
  <w:p w14:paraId="1FC78064" w14:textId="77777777" w:rsidR="00355036" w:rsidRDefault="00355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28DC3" w14:textId="02EDBED9" w:rsidR="00355036" w:rsidRPr="008E6797" w:rsidRDefault="002F4AFC" w:rsidP="002F4AFC">
    <w:pPr>
      <w:pStyle w:val="Header"/>
      <w:jc w:val="right"/>
      <w:rPr>
        <w:rFonts w:ascii="Helvetica" w:hAnsi="Helvetica"/>
        <w:sz w:val="28"/>
      </w:rPr>
    </w:pPr>
    <w:r>
      <w:rPr>
        <w:rFonts w:ascii="Helvetica" w:hAnsi="Helvetica"/>
        <w:sz w:val="28"/>
      </w:rPr>
      <w:t>Date of Issuance: December 18,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D907" w14:textId="77777777" w:rsidR="00355036" w:rsidRDefault="00355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24EB7" w14:textId="77777777" w:rsidR="00355036" w:rsidRDefault="00355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B3707"/>
    <w:multiLevelType w:val="hybridMultilevel"/>
    <w:tmpl w:val="6E84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210303B"/>
    <w:multiLevelType w:val="hybridMultilevel"/>
    <w:tmpl w:val="FC6C5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E1473"/>
    <w:multiLevelType w:val="hybridMultilevel"/>
    <w:tmpl w:val="55786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16384"/>
    <w:multiLevelType w:val="hybridMultilevel"/>
    <w:tmpl w:val="21485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671A2"/>
    <w:multiLevelType w:val="hybridMultilevel"/>
    <w:tmpl w:val="29F4CDA4"/>
    <w:lvl w:ilvl="0" w:tplc="94CAA5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4C66D13"/>
    <w:multiLevelType w:val="hybridMultilevel"/>
    <w:tmpl w:val="B8A088C0"/>
    <w:lvl w:ilvl="0" w:tplc="D6F651EC">
      <w:start w:val="1"/>
      <w:numFmt w:val="decimal"/>
      <w:lvlText w:val="%1."/>
      <w:lvlJc w:val="left"/>
      <w:pPr>
        <w:ind w:left="720" w:hanging="360"/>
      </w:pPr>
      <w:rPr>
        <w:rFonts w:ascii="Palatino" w:eastAsia="Times New Roman" w:hAnsi="Palatino" w:cs="Times New Roman"/>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F6817"/>
    <w:multiLevelType w:val="hybridMultilevel"/>
    <w:tmpl w:val="70C848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D30E41"/>
    <w:multiLevelType w:val="hybridMultilevel"/>
    <w:tmpl w:val="1C80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D3C4D"/>
    <w:multiLevelType w:val="hybridMultilevel"/>
    <w:tmpl w:val="118EB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F6D03"/>
    <w:multiLevelType w:val="hybridMultilevel"/>
    <w:tmpl w:val="AB706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9A282E"/>
    <w:multiLevelType w:val="hybridMultilevel"/>
    <w:tmpl w:val="7F3C9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95915"/>
    <w:multiLevelType w:val="hybridMultilevel"/>
    <w:tmpl w:val="A04E39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9080B82"/>
    <w:multiLevelType w:val="hybridMultilevel"/>
    <w:tmpl w:val="3556A7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511E48"/>
    <w:multiLevelType w:val="hybridMultilevel"/>
    <w:tmpl w:val="3D8E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615FD"/>
    <w:multiLevelType w:val="hybridMultilevel"/>
    <w:tmpl w:val="993A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18"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F2805"/>
    <w:multiLevelType w:val="hybridMultilevel"/>
    <w:tmpl w:val="808E2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3B7721"/>
    <w:multiLevelType w:val="hybridMultilevel"/>
    <w:tmpl w:val="0C70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07E68"/>
    <w:multiLevelType w:val="hybridMultilevel"/>
    <w:tmpl w:val="D7E4E362"/>
    <w:lvl w:ilvl="0" w:tplc="716E18A4">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1F4B45"/>
    <w:multiLevelType w:val="hybridMultilevel"/>
    <w:tmpl w:val="94B094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13B3F"/>
    <w:multiLevelType w:val="hybridMultilevel"/>
    <w:tmpl w:val="3D10F2A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7"/>
  </w:num>
  <w:num w:numId="2">
    <w:abstractNumId w:val="1"/>
  </w:num>
  <w:num w:numId="3">
    <w:abstractNumId w:val="8"/>
  </w:num>
  <w:num w:numId="4">
    <w:abstractNumId w:val="20"/>
  </w:num>
  <w:num w:numId="5">
    <w:abstractNumId w:val="18"/>
  </w:num>
  <w:num w:numId="6">
    <w:abstractNumId w:val="13"/>
  </w:num>
  <w:num w:numId="7">
    <w:abstractNumId w:val="24"/>
  </w:num>
  <w:num w:numId="8">
    <w:abstractNumId w:val="23"/>
  </w:num>
  <w:num w:numId="9">
    <w:abstractNumId w:val="12"/>
  </w:num>
  <w:num w:numId="10">
    <w:abstractNumId w:val="6"/>
  </w:num>
  <w:num w:numId="11">
    <w:abstractNumId w:val="15"/>
  </w:num>
  <w:num w:numId="12">
    <w:abstractNumId w:val="3"/>
  </w:num>
  <w:num w:numId="13">
    <w:abstractNumId w:val="5"/>
  </w:num>
  <w:num w:numId="14">
    <w:abstractNumId w:val="19"/>
  </w:num>
  <w:num w:numId="15">
    <w:abstractNumId w:val="10"/>
  </w:num>
  <w:num w:numId="16">
    <w:abstractNumId w:val="0"/>
  </w:num>
  <w:num w:numId="17">
    <w:abstractNumId w:val="2"/>
  </w:num>
  <w:num w:numId="18">
    <w:abstractNumId w:val="21"/>
  </w:num>
  <w:num w:numId="19">
    <w:abstractNumId w:val="9"/>
  </w:num>
  <w:num w:numId="20">
    <w:abstractNumId w:val="22"/>
  </w:num>
  <w:num w:numId="21">
    <w:abstractNumId w:val="4"/>
  </w:num>
  <w:num w:numId="22">
    <w:abstractNumId w:val="14"/>
  </w:num>
  <w:num w:numId="23">
    <w:abstractNumId w:val="11"/>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79"/>
    <w:rsid w:val="00017F8D"/>
    <w:rsid w:val="00031006"/>
    <w:rsid w:val="000342D2"/>
    <w:rsid w:val="00045547"/>
    <w:rsid w:val="000501F3"/>
    <w:rsid w:val="00063908"/>
    <w:rsid w:val="00065FFE"/>
    <w:rsid w:val="00072C9C"/>
    <w:rsid w:val="000901CF"/>
    <w:rsid w:val="000925EA"/>
    <w:rsid w:val="0009328A"/>
    <w:rsid w:val="000B3FBE"/>
    <w:rsid w:val="000D1D1E"/>
    <w:rsid w:val="000D3492"/>
    <w:rsid w:val="000D43B5"/>
    <w:rsid w:val="000D52CA"/>
    <w:rsid w:val="000F43BE"/>
    <w:rsid w:val="000F56FF"/>
    <w:rsid w:val="000F7FB0"/>
    <w:rsid w:val="00113DBE"/>
    <w:rsid w:val="00121235"/>
    <w:rsid w:val="001233FC"/>
    <w:rsid w:val="001243FD"/>
    <w:rsid w:val="00127D38"/>
    <w:rsid w:val="001456A6"/>
    <w:rsid w:val="0014648D"/>
    <w:rsid w:val="00163E1F"/>
    <w:rsid w:val="001737E0"/>
    <w:rsid w:val="00176425"/>
    <w:rsid w:val="001774E2"/>
    <w:rsid w:val="0019787E"/>
    <w:rsid w:val="001A188A"/>
    <w:rsid w:val="001A18C9"/>
    <w:rsid w:val="001B3D35"/>
    <w:rsid w:val="001B3DF6"/>
    <w:rsid w:val="001B3F9F"/>
    <w:rsid w:val="001B781D"/>
    <w:rsid w:val="001C2365"/>
    <w:rsid w:val="001F1C5B"/>
    <w:rsid w:val="001F3B79"/>
    <w:rsid w:val="00204B54"/>
    <w:rsid w:val="0022498A"/>
    <w:rsid w:val="00247596"/>
    <w:rsid w:val="00251886"/>
    <w:rsid w:val="00253238"/>
    <w:rsid w:val="002607CE"/>
    <w:rsid w:val="002764E7"/>
    <w:rsid w:val="0028161E"/>
    <w:rsid w:val="00287273"/>
    <w:rsid w:val="00287C73"/>
    <w:rsid w:val="00294AA2"/>
    <w:rsid w:val="002A4E43"/>
    <w:rsid w:val="002C04EB"/>
    <w:rsid w:val="002C0B1C"/>
    <w:rsid w:val="002C3F8F"/>
    <w:rsid w:val="002D51CD"/>
    <w:rsid w:val="002D7545"/>
    <w:rsid w:val="002F1391"/>
    <w:rsid w:val="002F4AFC"/>
    <w:rsid w:val="003008B0"/>
    <w:rsid w:val="00302502"/>
    <w:rsid w:val="00310340"/>
    <w:rsid w:val="00332320"/>
    <w:rsid w:val="003411DC"/>
    <w:rsid w:val="00355036"/>
    <w:rsid w:val="00355215"/>
    <w:rsid w:val="003812C3"/>
    <w:rsid w:val="00386473"/>
    <w:rsid w:val="00386B6D"/>
    <w:rsid w:val="0039665E"/>
    <w:rsid w:val="00396BF3"/>
    <w:rsid w:val="003B5548"/>
    <w:rsid w:val="003C5BFC"/>
    <w:rsid w:val="003C64EA"/>
    <w:rsid w:val="003D0975"/>
    <w:rsid w:val="003D48D8"/>
    <w:rsid w:val="003D53A8"/>
    <w:rsid w:val="003D78D3"/>
    <w:rsid w:val="003F5B27"/>
    <w:rsid w:val="00405799"/>
    <w:rsid w:val="00425704"/>
    <w:rsid w:val="0043017F"/>
    <w:rsid w:val="00433883"/>
    <w:rsid w:val="00441EB1"/>
    <w:rsid w:val="00442266"/>
    <w:rsid w:val="00442E2D"/>
    <w:rsid w:val="00447855"/>
    <w:rsid w:val="00447AB3"/>
    <w:rsid w:val="00447CF0"/>
    <w:rsid w:val="0045233F"/>
    <w:rsid w:val="004535C1"/>
    <w:rsid w:val="00454EE3"/>
    <w:rsid w:val="00455F83"/>
    <w:rsid w:val="00483030"/>
    <w:rsid w:val="00485075"/>
    <w:rsid w:val="00487CB2"/>
    <w:rsid w:val="00490B16"/>
    <w:rsid w:val="00494494"/>
    <w:rsid w:val="0049639A"/>
    <w:rsid w:val="004B68C6"/>
    <w:rsid w:val="004E7A29"/>
    <w:rsid w:val="004F2457"/>
    <w:rsid w:val="004F3C14"/>
    <w:rsid w:val="004F5057"/>
    <w:rsid w:val="0050675E"/>
    <w:rsid w:val="0051487D"/>
    <w:rsid w:val="005355F9"/>
    <w:rsid w:val="00537230"/>
    <w:rsid w:val="00543BEE"/>
    <w:rsid w:val="0054758D"/>
    <w:rsid w:val="00566BD1"/>
    <w:rsid w:val="00585BD7"/>
    <w:rsid w:val="0058640E"/>
    <w:rsid w:val="0059067E"/>
    <w:rsid w:val="005A6E4C"/>
    <w:rsid w:val="005B7AB8"/>
    <w:rsid w:val="005C0577"/>
    <w:rsid w:val="005D3BB8"/>
    <w:rsid w:val="005E03B1"/>
    <w:rsid w:val="005E1667"/>
    <w:rsid w:val="005F0814"/>
    <w:rsid w:val="005F209F"/>
    <w:rsid w:val="005F569C"/>
    <w:rsid w:val="00603AAF"/>
    <w:rsid w:val="00613B28"/>
    <w:rsid w:val="006240D8"/>
    <w:rsid w:val="00631B61"/>
    <w:rsid w:val="00642673"/>
    <w:rsid w:val="00654F94"/>
    <w:rsid w:val="00655523"/>
    <w:rsid w:val="006560B3"/>
    <w:rsid w:val="00657589"/>
    <w:rsid w:val="00662616"/>
    <w:rsid w:val="00671C10"/>
    <w:rsid w:val="00673F95"/>
    <w:rsid w:val="00674754"/>
    <w:rsid w:val="00681B88"/>
    <w:rsid w:val="00686A9C"/>
    <w:rsid w:val="006939E8"/>
    <w:rsid w:val="0069470B"/>
    <w:rsid w:val="006A045A"/>
    <w:rsid w:val="006A4FFB"/>
    <w:rsid w:val="006B0609"/>
    <w:rsid w:val="006C014D"/>
    <w:rsid w:val="006C44F6"/>
    <w:rsid w:val="006C757C"/>
    <w:rsid w:val="006D0334"/>
    <w:rsid w:val="006D41EA"/>
    <w:rsid w:val="006E0509"/>
    <w:rsid w:val="006E0B69"/>
    <w:rsid w:val="006E74BC"/>
    <w:rsid w:val="006F3CFB"/>
    <w:rsid w:val="0070019F"/>
    <w:rsid w:val="00700CD1"/>
    <w:rsid w:val="00716293"/>
    <w:rsid w:val="00720691"/>
    <w:rsid w:val="00720710"/>
    <w:rsid w:val="00726076"/>
    <w:rsid w:val="00727956"/>
    <w:rsid w:val="00732C1A"/>
    <w:rsid w:val="00734CF3"/>
    <w:rsid w:val="007360AB"/>
    <w:rsid w:val="007375D6"/>
    <w:rsid w:val="007507C5"/>
    <w:rsid w:val="007535D4"/>
    <w:rsid w:val="007558DC"/>
    <w:rsid w:val="00761154"/>
    <w:rsid w:val="00762240"/>
    <w:rsid w:val="00763DD0"/>
    <w:rsid w:val="00770CA4"/>
    <w:rsid w:val="00783013"/>
    <w:rsid w:val="00783A15"/>
    <w:rsid w:val="00792477"/>
    <w:rsid w:val="00792537"/>
    <w:rsid w:val="007B0A25"/>
    <w:rsid w:val="007C045B"/>
    <w:rsid w:val="007C72F2"/>
    <w:rsid w:val="007D2E50"/>
    <w:rsid w:val="007E3608"/>
    <w:rsid w:val="007E3739"/>
    <w:rsid w:val="007F2F7D"/>
    <w:rsid w:val="007F3DBA"/>
    <w:rsid w:val="00801BDB"/>
    <w:rsid w:val="008024D0"/>
    <w:rsid w:val="00806990"/>
    <w:rsid w:val="008216C4"/>
    <w:rsid w:val="00826D57"/>
    <w:rsid w:val="00832F59"/>
    <w:rsid w:val="008340BB"/>
    <w:rsid w:val="00860E24"/>
    <w:rsid w:val="008816E0"/>
    <w:rsid w:val="008B692B"/>
    <w:rsid w:val="008B6ACA"/>
    <w:rsid w:val="008D019F"/>
    <w:rsid w:val="008D1DC0"/>
    <w:rsid w:val="008D42E3"/>
    <w:rsid w:val="008D6818"/>
    <w:rsid w:val="008E0CA2"/>
    <w:rsid w:val="008F387D"/>
    <w:rsid w:val="00900DBE"/>
    <w:rsid w:val="00902C92"/>
    <w:rsid w:val="00905389"/>
    <w:rsid w:val="00907EEB"/>
    <w:rsid w:val="00912BFD"/>
    <w:rsid w:val="00912CE0"/>
    <w:rsid w:val="00915058"/>
    <w:rsid w:val="00916771"/>
    <w:rsid w:val="00922707"/>
    <w:rsid w:val="00924935"/>
    <w:rsid w:val="00930488"/>
    <w:rsid w:val="00930B37"/>
    <w:rsid w:val="00931D21"/>
    <w:rsid w:val="00946B0A"/>
    <w:rsid w:val="0094709B"/>
    <w:rsid w:val="009566D2"/>
    <w:rsid w:val="00957A9E"/>
    <w:rsid w:val="009720B2"/>
    <w:rsid w:val="00991D41"/>
    <w:rsid w:val="009950F1"/>
    <w:rsid w:val="009A1E89"/>
    <w:rsid w:val="009A4A8A"/>
    <w:rsid w:val="009B7ADB"/>
    <w:rsid w:val="009C3A85"/>
    <w:rsid w:val="009C4BF1"/>
    <w:rsid w:val="009D1F93"/>
    <w:rsid w:val="009D469A"/>
    <w:rsid w:val="009D4C85"/>
    <w:rsid w:val="009E1AB3"/>
    <w:rsid w:val="009E5FFA"/>
    <w:rsid w:val="009E72E6"/>
    <w:rsid w:val="009F233E"/>
    <w:rsid w:val="00A0678D"/>
    <w:rsid w:val="00A078B1"/>
    <w:rsid w:val="00A12D7D"/>
    <w:rsid w:val="00A206F5"/>
    <w:rsid w:val="00A33158"/>
    <w:rsid w:val="00A51B37"/>
    <w:rsid w:val="00A5556D"/>
    <w:rsid w:val="00A61046"/>
    <w:rsid w:val="00A617C9"/>
    <w:rsid w:val="00A6484E"/>
    <w:rsid w:val="00A70346"/>
    <w:rsid w:val="00A709DF"/>
    <w:rsid w:val="00A718EA"/>
    <w:rsid w:val="00A722FB"/>
    <w:rsid w:val="00A813FB"/>
    <w:rsid w:val="00A85A3F"/>
    <w:rsid w:val="00A87C7B"/>
    <w:rsid w:val="00AA08E7"/>
    <w:rsid w:val="00AB2B95"/>
    <w:rsid w:val="00AC5E5F"/>
    <w:rsid w:val="00AC710F"/>
    <w:rsid w:val="00AE1FA3"/>
    <w:rsid w:val="00AE2113"/>
    <w:rsid w:val="00AE36B1"/>
    <w:rsid w:val="00AF1A71"/>
    <w:rsid w:val="00AF5CD5"/>
    <w:rsid w:val="00B018A7"/>
    <w:rsid w:val="00B073F8"/>
    <w:rsid w:val="00B237C0"/>
    <w:rsid w:val="00B25586"/>
    <w:rsid w:val="00B32A32"/>
    <w:rsid w:val="00B3351F"/>
    <w:rsid w:val="00B36380"/>
    <w:rsid w:val="00B457F1"/>
    <w:rsid w:val="00B47B9B"/>
    <w:rsid w:val="00B47D50"/>
    <w:rsid w:val="00B5535A"/>
    <w:rsid w:val="00B70736"/>
    <w:rsid w:val="00B8560E"/>
    <w:rsid w:val="00B92D50"/>
    <w:rsid w:val="00BA6775"/>
    <w:rsid w:val="00BB306B"/>
    <w:rsid w:val="00BC08B8"/>
    <w:rsid w:val="00BD3D8A"/>
    <w:rsid w:val="00BE15ED"/>
    <w:rsid w:val="00BE7B78"/>
    <w:rsid w:val="00BF42F5"/>
    <w:rsid w:val="00BF6C71"/>
    <w:rsid w:val="00C05292"/>
    <w:rsid w:val="00C054F3"/>
    <w:rsid w:val="00C05551"/>
    <w:rsid w:val="00C137B8"/>
    <w:rsid w:val="00C15A55"/>
    <w:rsid w:val="00C2246C"/>
    <w:rsid w:val="00C32D6E"/>
    <w:rsid w:val="00C3370F"/>
    <w:rsid w:val="00C4224C"/>
    <w:rsid w:val="00C44799"/>
    <w:rsid w:val="00C64FFB"/>
    <w:rsid w:val="00C65C4E"/>
    <w:rsid w:val="00C7153C"/>
    <w:rsid w:val="00C724F9"/>
    <w:rsid w:val="00C86C40"/>
    <w:rsid w:val="00C92DDC"/>
    <w:rsid w:val="00C94B9C"/>
    <w:rsid w:val="00CB4564"/>
    <w:rsid w:val="00CC0088"/>
    <w:rsid w:val="00CC4867"/>
    <w:rsid w:val="00CC6A5C"/>
    <w:rsid w:val="00CD686C"/>
    <w:rsid w:val="00D02437"/>
    <w:rsid w:val="00D07C8F"/>
    <w:rsid w:val="00D108A6"/>
    <w:rsid w:val="00D17CD1"/>
    <w:rsid w:val="00D210E4"/>
    <w:rsid w:val="00D3170D"/>
    <w:rsid w:val="00D323ED"/>
    <w:rsid w:val="00D34DA1"/>
    <w:rsid w:val="00D3650F"/>
    <w:rsid w:val="00D45F02"/>
    <w:rsid w:val="00D5192A"/>
    <w:rsid w:val="00D61912"/>
    <w:rsid w:val="00D66964"/>
    <w:rsid w:val="00D81B6F"/>
    <w:rsid w:val="00D8607F"/>
    <w:rsid w:val="00D865D6"/>
    <w:rsid w:val="00D91CE6"/>
    <w:rsid w:val="00D93C1F"/>
    <w:rsid w:val="00D9721F"/>
    <w:rsid w:val="00DA0FD7"/>
    <w:rsid w:val="00DB3FBF"/>
    <w:rsid w:val="00DC69D4"/>
    <w:rsid w:val="00DE1BA5"/>
    <w:rsid w:val="00DF28C8"/>
    <w:rsid w:val="00DF6B17"/>
    <w:rsid w:val="00DF73B6"/>
    <w:rsid w:val="00E175F6"/>
    <w:rsid w:val="00E20AC7"/>
    <w:rsid w:val="00E24911"/>
    <w:rsid w:val="00E266E9"/>
    <w:rsid w:val="00E27D6F"/>
    <w:rsid w:val="00E350B0"/>
    <w:rsid w:val="00E35BDA"/>
    <w:rsid w:val="00E36899"/>
    <w:rsid w:val="00E409FE"/>
    <w:rsid w:val="00E4227F"/>
    <w:rsid w:val="00E5258F"/>
    <w:rsid w:val="00E5583F"/>
    <w:rsid w:val="00E73924"/>
    <w:rsid w:val="00E73E6C"/>
    <w:rsid w:val="00E81079"/>
    <w:rsid w:val="00E87EA9"/>
    <w:rsid w:val="00E920B0"/>
    <w:rsid w:val="00ED3BC0"/>
    <w:rsid w:val="00EE4C13"/>
    <w:rsid w:val="00EE6C51"/>
    <w:rsid w:val="00EE6F10"/>
    <w:rsid w:val="00EF4EE2"/>
    <w:rsid w:val="00F00207"/>
    <w:rsid w:val="00F0249A"/>
    <w:rsid w:val="00F02FD5"/>
    <w:rsid w:val="00F0383A"/>
    <w:rsid w:val="00F14098"/>
    <w:rsid w:val="00F17116"/>
    <w:rsid w:val="00F17A8C"/>
    <w:rsid w:val="00F25925"/>
    <w:rsid w:val="00F3642C"/>
    <w:rsid w:val="00F436B6"/>
    <w:rsid w:val="00F46F36"/>
    <w:rsid w:val="00F54A5E"/>
    <w:rsid w:val="00F570A7"/>
    <w:rsid w:val="00F71173"/>
    <w:rsid w:val="00F7162A"/>
    <w:rsid w:val="00F77AB0"/>
    <w:rsid w:val="00F934F9"/>
    <w:rsid w:val="00FB2E9D"/>
    <w:rsid w:val="00FC1243"/>
    <w:rsid w:val="00FC4163"/>
    <w:rsid w:val="00FD097B"/>
    <w:rsid w:val="00FD18F8"/>
    <w:rsid w:val="00FD6871"/>
    <w:rsid w:val="00FE18C1"/>
    <w:rsid w:val="00FE277B"/>
    <w:rsid w:val="00FF2075"/>
    <w:rsid w:val="00FF2EC2"/>
    <w:rsid w:val="00FF570D"/>
    <w:rsid w:val="00FF59A7"/>
    <w:rsid w:val="00FF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5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B79"/>
    <w:pPr>
      <w:spacing w:after="0" w:line="240" w:lineRule="auto"/>
    </w:pPr>
    <w:rPr>
      <w:rFonts w:ascii="Palatino" w:eastAsia="Times New Roman" w:hAnsi="Palatino" w:cs="Times New Roman"/>
      <w:sz w:val="26"/>
      <w:szCs w:val="20"/>
    </w:rPr>
  </w:style>
  <w:style w:type="paragraph" w:styleId="Heading1">
    <w:name w:val="heading 1"/>
    <w:basedOn w:val="Normal"/>
    <w:next w:val="Normal"/>
    <w:link w:val="Heading1Char"/>
    <w:uiPriority w:val="9"/>
    <w:qFormat/>
    <w:rsid w:val="001F3B79"/>
    <w:pPr>
      <w:keepNext/>
      <w:spacing w:before="120" w:after="240"/>
      <w:outlineLvl w:val="0"/>
    </w:pPr>
    <w:rPr>
      <w:rFonts w:ascii="Helvetica" w:hAnsi="Helvetica"/>
      <w:b/>
      <w:caps/>
      <w:kern w:val="28"/>
      <w:u w:val="single"/>
    </w:rPr>
  </w:style>
  <w:style w:type="paragraph" w:styleId="Heading2">
    <w:name w:val="heading 2"/>
    <w:basedOn w:val="Normal"/>
    <w:next w:val="Normal"/>
    <w:link w:val="Heading2Char"/>
    <w:uiPriority w:val="9"/>
    <w:unhideWhenUsed/>
    <w:qFormat/>
    <w:rsid w:val="00A51B37"/>
    <w:pPr>
      <w:keepNext/>
      <w:keepLines/>
      <w:spacing w:before="40" w:line="259" w:lineRule="auto"/>
      <w:outlineLvl w:val="1"/>
    </w:pPr>
    <w:rPr>
      <w:rFonts w:asciiTheme="majorHAnsi" w:eastAsiaTheme="majorEastAsia" w:hAnsiTheme="majorHAnsi"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B79"/>
    <w:rPr>
      <w:rFonts w:ascii="Helvetica" w:eastAsia="Times New Roman" w:hAnsi="Helvetica" w:cs="Times New Roman"/>
      <w:b/>
      <w:caps/>
      <w:kern w:val="28"/>
      <w:sz w:val="26"/>
      <w:szCs w:val="20"/>
      <w:u w:val="single"/>
    </w:rPr>
  </w:style>
  <w:style w:type="paragraph" w:customStyle="1" w:styleId="Style1">
    <w:name w:val="Style1"/>
    <w:basedOn w:val="Normal"/>
    <w:rsid w:val="001F3B79"/>
    <w:pPr>
      <w:tabs>
        <w:tab w:val="left" w:pos="-720"/>
      </w:tabs>
      <w:suppressAutoHyphens/>
      <w:spacing w:after="240"/>
    </w:pPr>
  </w:style>
  <w:style w:type="paragraph" w:customStyle="1" w:styleId="mainex">
    <w:name w:val="mainex"/>
    <w:basedOn w:val="Normal"/>
    <w:rsid w:val="001F3B79"/>
    <w:pPr>
      <w:keepNext/>
      <w:jc w:val="center"/>
    </w:pPr>
    <w:rPr>
      <w:rFonts w:ascii="Helvetica" w:hAnsi="Helvetica"/>
      <w:b/>
      <w:spacing w:val="120"/>
    </w:rPr>
  </w:style>
  <w:style w:type="paragraph" w:styleId="Header">
    <w:name w:val="header"/>
    <w:basedOn w:val="Normal"/>
    <w:link w:val="HeaderChar"/>
    <w:uiPriority w:val="99"/>
    <w:rsid w:val="001F3B79"/>
    <w:pPr>
      <w:widowControl w:val="0"/>
      <w:tabs>
        <w:tab w:val="center" w:pos="4320"/>
        <w:tab w:val="right" w:pos="8640"/>
      </w:tabs>
    </w:pPr>
  </w:style>
  <w:style w:type="character" w:customStyle="1" w:styleId="HeaderChar">
    <w:name w:val="Header Char"/>
    <w:basedOn w:val="DefaultParagraphFont"/>
    <w:link w:val="Header"/>
    <w:uiPriority w:val="99"/>
    <w:rsid w:val="001F3B79"/>
    <w:rPr>
      <w:rFonts w:ascii="Palatino" w:eastAsia="Times New Roman" w:hAnsi="Palatino" w:cs="Times New Roman"/>
      <w:sz w:val="26"/>
      <w:szCs w:val="20"/>
    </w:rPr>
  </w:style>
  <w:style w:type="paragraph" w:styleId="Footer">
    <w:name w:val="footer"/>
    <w:basedOn w:val="Normal"/>
    <w:link w:val="FooterChar"/>
    <w:uiPriority w:val="99"/>
    <w:rsid w:val="001F3B79"/>
    <w:pPr>
      <w:tabs>
        <w:tab w:val="center" w:pos="4320"/>
        <w:tab w:val="right" w:pos="8640"/>
      </w:tabs>
      <w:jc w:val="center"/>
    </w:pPr>
  </w:style>
  <w:style w:type="character" w:customStyle="1" w:styleId="FooterChar">
    <w:name w:val="Footer Char"/>
    <w:basedOn w:val="DefaultParagraphFont"/>
    <w:link w:val="Footer"/>
    <w:uiPriority w:val="99"/>
    <w:rsid w:val="001F3B79"/>
    <w:rPr>
      <w:rFonts w:ascii="Palatino" w:eastAsia="Times New Roman" w:hAnsi="Palatino" w:cs="Times New Roman"/>
      <w:sz w:val="26"/>
      <w:szCs w:val="20"/>
    </w:rPr>
  </w:style>
  <w:style w:type="paragraph" w:customStyle="1" w:styleId="titlebar">
    <w:name w:val="title bar"/>
    <w:basedOn w:val="Normal"/>
    <w:rsid w:val="001F3B79"/>
    <w:pPr>
      <w:keepNext/>
      <w:suppressAutoHyphens/>
      <w:jc w:val="center"/>
    </w:pPr>
    <w:rPr>
      <w:rFonts w:ascii="Helvetica" w:hAnsi="Helvetica"/>
      <w:b/>
    </w:rPr>
  </w:style>
  <w:style w:type="character" w:styleId="PageNumber">
    <w:name w:val="page number"/>
    <w:basedOn w:val="DefaultParagraphFont"/>
    <w:rsid w:val="001F3B79"/>
  </w:style>
  <w:style w:type="paragraph" w:customStyle="1" w:styleId="Res-Caption">
    <w:name w:val="Res-Caption"/>
    <w:basedOn w:val="Normal"/>
    <w:rsid w:val="001F3B79"/>
    <w:pPr>
      <w:ind w:left="720" w:right="720"/>
    </w:pPr>
  </w:style>
  <w:style w:type="paragraph" w:styleId="ListParagraph">
    <w:name w:val="List Paragraph"/>
    <w:basedOn w:val="Normal"/>
    <w:uiPriority w:val="34"/>
    <w:qFormat/>
    <w:rsid w:val="001F3B79"/>
    <w:pPr>
      <w:ind w:left="720"/>
      <w:contextualSpacing/>
    </w:pPr>
  </w:style>
  <w:style w:type="character" w:styleId="Hyperlink">
    <w:name w:val="Hyperlink"/>
    <w:basedOn w:val="DefaultParagraphFont"/>
    <w:uiPriority w:val="99"/>
    <w:unhideWhenUsed/>
    <w:rsid w:val="001F3B79"/>
    <w:rPr>
      <w:color w:val="0563C1" w:themeColor="hyperlink"/>
      <w:u w:val="single"/>
    </w:rPr>
  </w:style>
  <w:style w:type="paragraph" w:customStyle="1" w:styleId="xres-caption">
    <w:name w:val="x_res-caption"/>
    <w:basedOn w:val="Normal"/>
    <w:rsid w:val="001F3B79"/>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rsid w:val="00EE6C51"/>
    <w:rPr>
      <w:rFonts w:ascii="Courier New" w:hAnsi="Courier New"/>
      <w:sz w:val="20"/>
    </w:rPr>
  </w:style>
  <w:style w:type="character" w:customStyle="1" w:styleId="FootnoteTextChar">
    <w:name w:val="Footnote Text Char"/>
    <w:basedOn w:val="DefaultParagraphFont"/>
    <w:link w:val="FootnoteText"/>
    <w:uiPriority w:val="99"/>
    <w:semiHidden/>
    <w:rsid w:val="00EE6C51"/>
    <w:rPr>
      <w:rFonts w:ascii="Courier New" w:eastAsia="Times New Roman" w:hAnsi="Courier New" w:cs="Times New Roman"/>
      <w:sz w:val="20"/>
      <w:szCs w:val="20"/>
    </w:rPr>
  </w:style>
  <w:style w:type="character" w:styleId="FootnoteReference">
    <w:name w:val="footnote reference"/>
    <w:uiPriority w:val="99"/>
    <w:semiHidden/>
    <w:rsid w:val="00EE6C51"/>
    <w:rPr>
      <w:vertAlign w:val="superscript"/>
    </w:rPr>
  </w:style>
  <w:style w:type="table" w:styleId="TableGrid">
    <w:name w:val="Table Grid"/>
    <w:basedOn w:val="TableNormal"/>
    <w:uiPriority w:val="59"/>
    <w:rsid w:val="00EE6C51"/>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B88"/>
    <w:pPr>
      <w:autoSpaceDE w:val="0"/>
      <w:autoSpaceDN w:val="0"/>
      <w:adjustRightInd w:val="0"/>
      <w:spacing w:after="0" w:line="240" w:lineRule="auto"/>
    </w:pPr>
    <w:rPr>
      <w:rFonts w:ascii="Book Antiqua" w:hAnsi="Book Antiqua" w:cs="Book Antiqua"/>
      <w:color w:val="000000"/>
      <w:sz w:val="24"/>
      <w:szCs w:val="24"/>
    </w:rPr>
  </w:style>
  <w:style w:type="paragraph" w:styleId="NoSpacing">
    <w:name w:val="No Spacing"/>
    <w:uiPriority w:val="1"/>
    <w:qFormat/>
    <w:rsid w:val="00734CF3"/>
    <w:pPr>
      <w:spacing w:after="0" w:line="240" w:lineRule="auto"/>
    </w:pPr>
    <w:rPr>
      <w:rFonts w:ascii="Palatino" w:eastAsia="Times New Roman" w:hAnsi="Palatino" w:cs="Times New Roman"/>
      <w:sz w:val="26"/>
      <w:szCs w:val="20"/>
    </w:rPr>
  </w:style>
  <w:style w:type="character" w:styleId="CommentReference">
    <w:name w:val="annotation reference"/>
    <w:basedOn w:val="DefaultParagraphFont"/>
    <w:uiPriority w:val="99"/>
    <w:semiHidden/>
    <w:unhideWhenUsed/>
    <w:rsid w:val="006240D8"/>
    <w:rPr>
      <w:sz w:val="16"/>
      <w:szCs w:val="16"/>
    </w:rPr>
  </w:style>
  <w:style w:type="paragraph" w:styleId="CommentText">
    <w:name w:val="annotation text"/>
    <w:basedOn w:val="Normal"/>
    <w:link w:val="CommentTextChar"/>
    <w:uiPriority w:val="99"/>
    <w:semiHidden/>
    <w:unhideWhenUsed/>
    <w:rsid w:val="006240D8"/>
    <w:rPr>
      <w:sz w:val="20"/>
    </w:rPr>
  </w:style>
  <w:style w:type="character" w:customStyle="1" w:styleId="CommentTextChar">
    <w:name w:val="Comment Text Char"/>
    <w:basedOn w:val="DefaultParagraphFont"/>
    <w:link w:val="CommentText"/>
    <w:uiPriority w:val="99"/>
    <w:semiHidden/>
    <w:rsid w:val="006240D8"/>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6240D8"/>
    <w:rPr>
      <w:b/>
      <w:bCs/>
    </w:rPr>
  </w:style>
  <w:style w:type="character" w:customStyle="1" w:styleId="CommentSubjectChar">
    <w:name w:val="Comment Subject Char"/>
    <w:basedOn w:val="CommentTextChar"/>
    <w:link w:val="CommentSubject"/>
    <w:uiPriority w:val="99"/>
    <w:semiHidden/>
    <w:rsid w:val="006240D8"/>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624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0D8"/>
    <w:rPr>
      <w:rFonts w:ascii="Segoe UI" w:eastAsia="Times New Roman" w:hAnsi="Segoe UI" w:cs="Segoe UI"/>
      <w:sz w:val="18"/>
      <w:szCs w:val="18"/>
    </w:rPr>
  </w:style>
  <w:style w:type="paragraph" w:styleId="EndnoteText">
    <w:name w:val="endnote text"/>
    <w:basedOn w:val="Normal"/>
    <w:link w:val="EndnoteTextChar"/>
    <w:uiPriority w:val="99"/>
    <w:unhideWhenUsed/>
    <w:rsid w:val="00E73E6C"/>
    <w:rPr>
      <w:sz w:val="20"/>
    </w:rPr>
  </w:style>
  <w:style w:type="character" w:customStyle="1" w:styleId="EndnoteTextChar">
    <w:name w:val="Endnote Text Char"/>
    <w:basedOn w:val="DefaultParagraphFont"/>
    <w:link w:val="EndnoteText"/>
    <w:uiPriority w:val="99"/>
    <w:rsid w:val="00E73E6C"/>
    <w:rPr>
      <w:rFonts w:ascii="Palatino" w:eastAsia="Times New Roman" w:hAnsi="Palatino" w:cs="Times New Roman"/>
      <w:sz w:val="20"/>
      <w:szCs w:val="20"/>
    </w:rPr>
  </w:style>
  <w:style w:type="character" w:styleId="EndnoteReference">
    <w:name w:val="endnote reference"/>
    <w:basedOn w:val="DefaultParagraphFont"/>
    <w:uiPriority w:val="99"/>
    <w:semiHidden/>
    <w:unhideWhenUsed/>
    <w:rsid w:val="00E73E6C"/>
    <w:rPr>
      <w:vertAlign w:val="superscript"/>
    </w:rPr>
  </w:style>
  <w:style w:type="character" w:styleId="UnresolvedMention">
    <w:name w:val="Unresolved Mention"/>
    <w:basedOn w:val="DefaultParagraphFont"/>
    <w:uiPriority w:val="99"/>
    <w:semiHidden/>
    <w:unhideWhenUsed/>
    <w:rsid w:val="0045233F"/>
    <w:rPr>
      <w:color w:val="605E5C"/>
      <w:shd w:val="clear" w:color="auto" w:fill="E1DFDD"/>
    </w:rPr>
  </w:style>
  <w:style w:type="paragraph" w:styleId="Revision">
    <w:name w:val="Revision"/>
    <w:hidden/>
    <w:uiPriority w:val="99"/>
    <w:semiHidden/>
    <w:rsid w:val="00905389"/>
    <w:pPr>
      <w:spacing w:after="0" w:line="240" w:lineRule="auto"/>
    </w:pPr>
    <w:rPr>
      <w:rFonts w:ascii="Palatino" w:eastAsia="Times New Roman" w:hAnsi="Palatino" w:cs="Times New Roman"/>
      <w:sz w:val="26"/>
      <w:szCs w:val="20"/>
    </w:rPr>
  </w:style>
  <w:style w:type="paragraph" w:customStyle="1" w:styleId="paragraph">
    <w:name w:val="paragraph"/>
    <w:basedOn w:val="Normal"/>
    <w:rsid w:val="00355215"/>
    <w:rPr>
      <w:rFonts w:ascii="Times New Roman" w:hAnsi="Times New Roman"/>
      <w:sz w:val="24"/>
      <w:szCs w:val="24"/>
    </w:rPr>
  </w:style>
  <w:style w:type="character" w:customStyle="1" w:styleId="normaltextrun1">
    <w:name w:val="normaltextrun1"/>
    <w:basedOn w:val="DefaultParagraphFont"/>
    <w:rsid w:val="00355215"/>
  </w:style>
  <w:style w:type="character" w:customStyle="1" w:styleId="eop">
    <w:name w:val="eop"/>
    <w:basedOn w:val="DefaultParagraphFont"/>
    <w:rsid w:val="00355215"/>
  </w:style>
  <w:style w:type="character" w:customStyle="1" w:styleId="Heading2Char">
    <w:name w:val="Heading 2 Char"/>
    <w:basedOn w:val="DefaultParagraphFont"/>
    <w:link w:val="Heading2"/>
    <w:uiPriority w:val="9"/>
    <w:rsid w:val="00A51B37"/>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A51B37"/>
  </w:style>
  <w:style w:type="paragraph" w:customStyle="1" w:styleId="standard">
    <w:name w:val="standard"/>
    <w:basedOn w:val="Normal"/>
    <w:link w:val="standardChar"/>
    <w:rsid w:val="00A51B37"/>
    <w:pPr>
      <w:spacing w:line="360" w:lineRule="auto"/>
      <w:ind w:firstLine="720"/>
    </w:pPr>
  </w:style>
  <w:style w:type="character" w:customStyle="1" w:styleId="standardChar">
    <w:name w:val="standard Char"/>
    <w:link w:val="standard"/>
    <w:rsid w:val="00A51B37"/>
    <w:rPr>
      <w:rFonts w:ascii="Palatino" w:eastAsia="Times New Roman" w:hAnsi="Palatino" w:cs="Times New Roman"/>
      <w:sz w:val="26"/>
      <w:szCs w:val="20"/>
    </w:rPr>
  </w:style>
  <w:style w:type="character" w:styleId="FollowedHyperlink">
    <w:name w:val="FollowedHyperlink"/>
    <w:basedOn w:val="DefaultParagraphFont"/>
    <w:uiPriority w:val="99"/>
    <w:semiHidden/>
    <w:unhideWhenUsed/>
    <w:rsid w:val="00A51B37"/>
    <w:rPr>
      <w:color w:val="954F72" w:themeColor="followedHyperlink"/>
      <w:u w:val="single"/>
    </w:rPr>
  </w:style>
  <w:style w:type="paragraph" w:customStyle="1" w:styleId="TableHead">
    <w:name w:val="TableHead"/>
    <w:basedOn w:val="Normal"/>
    <w:link w:val="TableHeadChar"/>
    <w:qFormat/>
    <w:rsid w:val="00A51B37"/>
    <w:pPr>
      <w:spacing w:line="360" w:lineRule="auto"/>
      <w:jc w:val="center"/>
    </w:pPr>
    <w:rPr>
      <w:rFonts w:ascii="Garamond" w:eastAsiaTheme="minorHAnsi" w:hAnsi="Garamond" w:cstheme="minorBidi"/>
      <w:b/>
      <w:bCs/>
      <w:sz w:val="24"/>
      <w:szCs w:val="22"/>
    </w:rPr>
  </w:style>
  <w:style w:type="character" w:customStyle="1" w:styleId="TableHeadChar">
    <w:name w:val="TableHead Char"/>
    <w:basedOn w:val="DefaultParagraphFont"/>
    <w:link w:val="TableHead"/>
    <w:rsid w:val="00A51B37"/>
    <w:rPr>
      <w:rFonts w:ascii="Garamond" w:hAnsi="Garamond"/>
      <w:b/>
      <w:bCs/>
      <w:sz w:val="24"/>
    </w:rPr>
  </w:style>
  <w:style w:type="numbering" w:customStyle="1" w:styleId="NoList2">
    <w:name w:val="No List2"/>
    <w:next w:val="NoList"/>
    <w:uiPriority w:val="99"/>
    <w:semiHidden/>
    <w:unhideWhenUsed/>
    <w:rsid w:val="003F5B27"/>
  </w:style>
  <w:style w:type="paragraph" w:customStyle="1" w:styleId="Body">
    <w:name w:val="Body"/>
    <w:rsid w:val="002F4AFC"/>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4296">
      <w:bodyDiv w:val="1"/>
      <w:marLeft w:val="0"/>
      <w:marRight w:val="0"/>
      <w:marTop w:val="0"/>
      <w:marBottom w:val="0"/>
      <w:divBdr>
        <w:top w:val="none" w:sz="0" w:space="0" w:color="auto"/>
        <w:left w:val="none" w:sz="0" w:space="0" w:color="auto"/>
        <w:bottom w:val="none" w:sz="0" w:space="0" w:color="auto"/>
        <w:right w:val="none" w:sz="0" w:space="0" w:color="auto"/>
      </w:divBdr>
    </w:div>
    <w:div w:id="231621106">
      <w:bodyDiv w:val="1"/>
      <w:marLeft w:val="0"/>
      <w:marRight w:val="0"/>
      <w:marTop w:val="0"/>
      <w:marBottom w:val="0"/>
      <w:divBdr>
        <w:top w:val="none" w:sz="0" w:space="0" w:color="auto"/>
        <w:left w:val="none" w:sz="0" w:space="0" w:color="auto"/>
        <w:bottom w:val="none" w:sz="0" w:space="0" w:color="auto"/>
        <w:right w:val="none" w:sz="0" w:space="0" w:color="auto"/>
      </w:divBdr>
    </w:div>
    <w:div w:id="476412717">
      <w:bodyDiv w:val="1"/>
      <w:marLeft w:val="0"/>
      <w:marRight w:val="0"/>
      <w:marTop w:val="0"/>
      <w:marBottom w:val="0"/>
      <w:divBdr>
        <w:top w:val="none" w:sz="0" w:space="0" w:color="auto"/>
        <w:left w:val="none" w:sz="0" w:space="0" w:color="auto"/>
        <w:bottom w:val="none" w:sz="0" w:space="0" w:color="auto"/>
        <w:right w:val="none" w:sz="0" w:space="0" w:color="auto"/>
      </w:divBdr>
    </w:div>
    <w:div w:id="965699307">
      <w:bodyDiv w:val="1"/>
      <w:marLeft w:val="0"/>
      <w:marRight w:val="0"/>
      <w:marTop w:val="0"/>
      <w:marBottom w:val="0"/>
      <w:divBdr>
        <w:top w:val="none" w:sz="0" w:space="0" w:color="auto"/>
        <w:left w:val="none" w:sz="0" w:space="0" w:color="auto"/>
        <w:bottom w:val="none" w:sz="0" w:space="0" w:color="auto"/>
        <w:right w:val="none" w:sz="0" w:space="0" w:color="auto"/>
      </w:divBdr>
    </w:div>
    <w:div w:id="1328707586">
      <w:bodyDiv w:val="1"/>
      <w:marLeft w:val="0"/>
      <w:marRight w:val="0"/>
      <w:marTop w:val="0"/>
      <w:marBottom w:val="0"/>
      <w:divBdr>
        <w:top w:val="none" w:sz="0" w:space="0" w:color="auto"/>
        <w:left w:val="none" w:sz="0" w:space="0" w:color="auto"/>
        <w:bottom w:val="none" w:sz="0" w:space="0" w:color="auto"/>
        <w:right w:val="none" w:sz="0" w:space="0" w:color="auto"/>
      </w:divBdr>
      <w:divsChild>
        <w:div w:id="803815297">
          <w:marLeft w:val="0"/>
          <w:marRight w:val="0"/>
          <w:marTop w:val="0"/>
          <w:marBottom w:val="0"/>
          <w:divBdr>
            <w:top w:val="none" w:sz="0" w:space="0" w:color="auto"/>
            <w:left w:val="none" w:sz="0" w:space="0" w:color="auto"/>
            <w:bottom w:val="none" w:sz="0" w:space="0" w:color="auto"/>
            <w:right w:val="none" w:sz="0" w:space="0" w:color="auto"/>
          </w:divBdr>
          <w:divsChild>
            <w:div w:id="2141873484">
              <w:marLeft w:val="0"/>
              <w:marRight w:val="0"/>
              <w:marTop w:val="0"/>
              <w:marBottom w:val="0"/>
              <w:divBdr>
                <w:top w:val="none" w:sz="0" w:space="0" w:color="auto"/>
                <w:left w:val="none" w:sz="0" w:space="0" w:color="auto"/>
                <w:bottom w:val="none" w:sz="0" w:space="0" w:color="auto"/>
                <w:right w:val="none" w:sz="0" w:space="0" w:color="auto"/>
              </w:divBdr>
              <w:divsChild>
                <w:div w:id="1791238480">
                  <w:marLeft w:val="0"/>
                  <w:marRight w:val="0"/>
                  <w:marTop w:val="0"/>
                  <w:marBottom w:val="0"/>
                  <w:divBdr>
                    <w:top w:val="none" w:sz="0" w:space="0" w:color="auto"/>
                    <w:left w:val="none" w:sz="0" w:space="0" w:color="auto"/>
                    <w:bottom w:val="none" w:sz="0" w:space="0" w:color="auto"/>
                    <w:right w:val="none" w:sz="0" w:space="0" w:color="auto"/>
                  </w:divBdr>
                  <w:divsChild>
                    <w:div w:id="1898777844">
                      <w:marLeft w:val="0"/>
                      <w:marRight w:val="0"/>
                      <w:marTop w:val="0"/>
                      <w:marBottom w:val="0"/>
                      <w:divBdr>
                        <w:top w:val="none" w:sz="0" w:space="0" w:color="auto"/>
                        <w:left w:val="none" w:sz="0" w:space="0" w:color="auto"/>
                        <w:bottom w:val="none" w:sz="0" w:space="0" w:color="auto"/>
                        <w:right w:val="none" w:sz="0" w:space="0" w:color="auto"/>
                      </w:divBdr>
                      <w:divsChild>
                        <w:div w:id="748696522">
                          <w:marLeft w:val="0"/>
                          <w:marRight w:val="0"/>
                          <w:marTop w:val="0"/>
                          <w:marBottom w:val="0"/>
                          <w:divBdr>
                            <w:top w:val="none" w:sz="0" w:space="0" w:color="auto"/>
                            <w:left w:val="none" w:sz="0" w:space="0" w:color="auto"/>
                            <w:bottom w:val="none" w:sz="0" w:space="0" w:color="auto"/>
                            <w:right w:val="none" w:sz="0" w:space="0" w:color="auto"/>
                          </w:divBdr>
                          <w:divsChild>
                            <w:div w:id="556358083">
                              <w:marLeft w:val="0"/>
                              <w:marRight w:val="0"/>
                              <w:marTop w:val="0"/>
                              <w:marBottom w:val="0"/>
                              <w:divBdr>
                                <w:top w:val="none" w:sz="0" w:space="0" w:color="auto"/>
                                <w:left w:val="none" w:sz="0" w:space="0" w:color="auto"/>
                                <w:bottom w:val="none" w:sz="0" w:space="0" w:color="auto"/>
                                <w:right w:val="none" w:sz="0" w:space="0" w:color="auto"/>
                              </w:divBdr>
                              <w:divsChild>
                                <w:div w:id="245574253">
                                  <w:marLeft w:val="0"/>
                                  <w:marRight w:val="0"/>
                                  <w:marTop w:val="0"/>
                                  <w:marBottom w:val="0"/>
                                  <w:divBdr>
                                    <w:top w:val="none" w:sz="0" w:space="0" w:color="auto"/>
                                    <w:left w:val="none" w:sz="0" w:space="0" w:color="auto"/>
                                    <w:bottom w:val="none" w:sz="0" w:space="0" w:color="auto"/>
                                    <w:right w:val="none" w:sz="0" w:space="0" w:color="auto"/>
                                  </w:divBdr>
                                  <w:divsChild>
                                    <w:div w:id="1904414274">
                                      <w:marLeft w:val="0"/>
                                      <w:marRight w:val="0"/>
                                      <w:marTop w:val="0"/>
                                      <w:marBottom w:val="0"/>
                                      <w:divBdr>
                                        <w:top w:val="none" w:sz="0" w:space="0" w:color="auto"/>
                                        <w:left w:val="none" w:sz="0" w:space="0" w:color="auto"/>
                                        <w:bottom w:val="none" w:sz="0" w:space="0" w:color="auto"/>
                                        <w:right w:val="none" w:sz="0" w:space="0" w:color="auto"/>
                                      </w:divBdr>
                                      <w:divsChild>
                                        <w:div w:id="566957554">
                                          <w:marLeft w:val="0"/>
                                          <w:marRight w:val="0"/>
                                          <w:marTop w:val="0"/>
                                          <w:marBottom w:val="0"/>
                                          <w:divBdr>
                                            <w:top w:val="none" w:sz="0" w:space="0" w:color="auto"/>
                                            <w:left w:val="none" w:sz="0" w:space="0" w:color="auto"/>
                                            <w:bottom w:val="none" w:sz="0" w:space="0" w:color="auto"/>
                                            <w:right w:val="none" w:sz="0" w:space="0" w:color="auto"/>
                                          </w:divBdr>
                                          <w:divsChild>
                                            <w:div w:id="374425202">
                                              <w:marLeft w:val="0"/>
                                              <w:marRight w:val="0"/>
                                              <w:marTop w:val="0"/>
                                              <w:marBottom w:val="0"/>
                                              <w:divBdr>
                                                <w:top w:val="none" w:sz="0" w:space="0" w:color="auto"/>
                                                <w:left w:val="none" w:sz="0" w:space="0" w:color="auto"/>
                                                <w:bottom w:val="none" w:sz="0" w:space="0" w:color="auto"/>
                                                <w:right w:val="none" w:sz="0" w:space="0" w:color="auto"/>
                                              </w:divBdr>
                                              <w:divsChild>
                                                <w:div w:id="1354696818">
                                                  <w:marLeft w:val="0"/>
                                                  <w:marRight w:val="0"/>
                                                  <w:marTop w:val="0"/>
                                                  <w:marBottom w:val="405"/>
                                                  <w:divBdr>
                                                    <w:top w:val="none" w:sz="0" w:space="0" w:color="auto"/>
                                                    <w:left w:val="none" w:sz="0" w:space="0" w:color="auto"/>
                                                    <w:bottom w:val="none" w:sz="0" w:space="0" w:color="auto"/>
                                                    <w:right w:val="none" w:sz="0" w:space="0" w:color="auto"/>
                                                  </w:divBdr>
                                                  <w:divsChild>
                                                    <w:div w:id="1075515485">
                                                      <w:marLeft w:val="0"/>
                                                      <w:marRight w:val="0"/>
                                                      <w:marTop w:val="0"/>
                                                      <w:marBottom w:val="0"/>
                                                      <w:divBdr>
                                                        <w:top w:val="none" w:sz="0" w:space="0" w:color="auto"/>
                                                        <w:left w:val="none" w:sz="0" w:space="0" w:color="auto"/>
                                                        <w:bottom w:val="none" w:sz="0" w:space="0" w:color="auto"/>
                                                        <w:right w:val="none" w:sz="0" w:space="0" w:color="auto"/>
                                                      </w:divBdr>
                                                      <w:divsChild>
                                                        <w:div w:id="1769081621">
                                                          <w:marLeft w:val="0"/>
                                                          <w:marRight w:val="0"/>
                                                          <w:marTop w:val="0"/>
                                                          <w:marBottom w:val="0"/>
                                                          <w:divBdr>
                                                            <w:top w:val="single" w:sz="6" w:space="0" w:color="ABABAB"/>
                                                            <w:left w:val="single" w:sz="6" w:space="0" w:color="ABABAB"/>
                                                            <w:bottom w:val="single" w:sz="6" w:space="0" w:color="ABABAB"/>
                                                            <w:right w:val="single" w:sz="6" w:space="0" w:color="ABABAB"/>
                                                          </w:divBdr>
                                                          <w:divsChild>
                                                            <w:div w:id="1324821540">
                                                              <w:marLeft w:val="0"/>
                                                              <w:marRight w:val="0"/>
                                                              <w:marTop w:val="0"/>
                                                              <w:marBottom w:val="0"/>
                                                              <w:divBdr>
                                                                <w:top w:val="none" w:sz="0" w:space="0" w:color="auto"/>
                                                                <w:left w:val="none" w:sz="0" w:space="0" w:color="auto"/>
                                                                <w:bottom w:val="none" w:sz="0" w:space="0" w:color="auto"/>
                                                                <w:right w:val="none" w:sz="0" w:space="0" w:color="auto"/>
                                                              </w:divBdr>
                                                              <w:divsChild>
                                                                <w:div w:id="498737500">
                                                                  <w:marLeft w:val="0"/>
                                                                  <w:marRight w:val="0"/>
                                                                  <w:marTop w:val="0"/>
                                                                  <w:marBottom w:val="0"/>
                                                                  <w:divBdr>
                                                                    <w:top w:val="none" w:sz="0" w:space="0" w:color="auto"/>
                                                                    <w:left w:val="none" w:sz="0" w:space="0" w:color="auto"/>
                                                                    <w:bottom w:val="none" w:sz="0" w:space="0" w:color="auto"/>
                                                                    <w:right w:val="none" w:sz="0" w:space="0" w:color="auto"/>
                                                                  </w:divBdr>
                                                                  <w:divsChild>
                                                                    <w:div w:id="1455979389">
                                                                      <w:marLeft w:val="0"/>
                                                                      <w:marRight w:val="0"/>
                                                                      <w:marTop w:val="0"/>
                                                                      <w:marBottom w:val="0"/>
                                                                      <w:divBdr>
                                                                        <w:top w:val="none" w:sz="0" w:space="0" w:color="auto"/>
                                                                        <w:left w:val="none" w:sz="0" w:space="0" w:color="auto"/>
                                                                        <w:bottom w:val="none" w:sz="0" w:space="0" w:color="auto"/>
                                                                        <w:right w:val="none" w:sz="0" w:space="0" w:color="auto"/>
                                                                      </w:divBdr>
                                                                      <w:divsChild>
                                                                        <w:div w:id="1904900607">
                                                                          <w:marLeft w:val="0"/>
                                                                          <w:marRight w:val="0"/>
                                                                          <w:marTop w:val="0"/>
                                                                          <w:marBottom w:val="0"/>
                                                                          <w:divBdr>
                                                                            <w:top w:val="none" w:sz="0" w:space="0" w:color="auto"/>
                                                                            <w:left w:val="none" w:sz="0" w:space="0" w:color="auto"/>
                                                                            <w:bottom w:val="none" w:sz="0" w:space="0" w:color="auto"/>
                                                                            <w:right w:val="none" w:sz="0" w:space="0" w:color="auto"/>
                                                                          </w:divBdr>
                                                                          <w:divsChild>
                                                                            <w:div w:id="733090253">
                                                                              <w:marLeft w:val="0"/>
                                                                              <w:marRight w:val="0"/>
                                                                              <w:marTop w:val="0"/>
                                                                              <w:marBottom w:val="0"/>
                                                                              <w:divBdr>
                                                                                <w:top w:val="none" w:sz="0" w:space="0" w:color="auto"/>
                                                                                <w:left w:val="none" w:sz="0" w:space="0" w:color="auto"/>
                                                                                <w:bottom w:val="none" w:sz="0" w:space="0" w:color="auto"/>
                                                                                <w:right w:val="none" w:sz="0" w:space="0" w:color="auto"/>
                                                                              </w:divBdr>
                                                                              <w:divsChild>
                                                                                <w:div w:id="1756784154">
                                                                                  <w:marLeft w:val="0"/>
                                                                                  <w:marRight w:val="0"/>
                                                                                  <w:marTop w:val="0"/>
                                                                                  <w:marBottom w:val="0"/>
                                                                                  <w:divBdr>
                                                                                    <w:top w:val="none" w:sz="0" w:space="0" w:color="auto"/>
                                                                                    <w:left w:val="none" w:sz="0" w:space="0" w:color="auto"/>
                                                                                    <w:bottom w:val="none" w:sz="0" w:space="0" w:color="auto"/>
                                                                                    <w:right w:val="none" w:sz="0" w:space="0" w:color="auto"/>
                                                                                  </w:divBdr>
                                                                                  <w:divsChild>
                                                                                    <w:div w:id="719476397">
                                                                                      <w:marLeft w:val="0"/>
                                                                                      <w:marRight w:val="0"/>
                                                                                      <w:marTop w:val="0"/>
                                                                                      <w:marBottom w:val="0"/>
                                                                                      <w:divBdr>
                                                                                        <w:top w:val="none" w:sz="0" w:space="0" w:color="auto"/>
                                                                                        <w:left w:val="none" w:sz="0" w:space="0" w:color="auto"/>
                                                                                        <w:bottom w:val="none" w:sz="0" w:space="0" w:color="auto"/>
                                                                                        <w:right w:val="none" w:sz="0" w:space="0" w:color="auto"/>
                                                                                      </w:divBdr>
                                                                                    </w:div>
                                                                                    <w:div w:id="13104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861630">
      <w:bodyDiv w:val="1"/>
      <w:marLeft w:val="0"/>
      <w:marRight w:val="0"/>
      <w:marTop w:val="0"/>
      <w:marBottom w:val="0"/>
      <w:divBdr>
        <w:top w:val="none" w:sz="0" w:space="0" w:color="auto"/>
        <w:left w:val="none" w:sz="0" w:space="0" w:color="auto"/>
        <w:bottom w:val="none" w:sz="0" w:space="0" w:color="auto"/>
        <w:right w:val="none" w:sz="0" w:space="0" w:color="auto"/>
      </w:divBdr>
    </w:div>
    <w:div w:id="1725059516">
      <w:bodyDiv w:val="1"/>
      <w:marLeft w:val="0"/>
      <w:marRight w:val="0"/>
      <w:marTop w:val="0"/>
      <w:marBottom w:val="0"/>
      <w:divBdr>
        <w:top w:val="none" w:sz="0" w:space="0" w:color="auto"/>
        <w:left w:val="none" w:sz="0" w:space="0" w:color="auto"/>
        <w:bottom w:val="none" w:sz="0" w:space="0" w:color="auto"/>
        <w:right w:val="none" w:sz="0" w:space="0" w:color="auto"/>
      </w:divBdr>
      <w:divsChild>
        <w:div w:id="547303537">
          <w:marLeft w:val="0"/>
          <w:marRight w:val="0"/>
          <w:marTop w:val="0"/>
          <w:marBottom w:val="0"/>
          <w:divBdr>
            <w:top w:val="none" w:sz="0" w:space="0" w:color="auto"/>
            <w:left w:val="none" w:sz="0" w:space="0" w:color="auto"/>
            <w:bottom w:val="none" w:sz="0" w:space="0" w:color="auto"/>
            <w:right w:val="none" w:sz="0" w:space="0" w:color="auto"/>
          </w:divBdr>
          <w:divsChild>
            <w:div w:id="984966966">
              <w:marLeft w:val="0"/>
              <w:marRight w:val="0"/>
              <w:marTop w:val="0"/>
              <w:marBottom w:val="0"/>
              <w:divBdr>
                <w:top w:val="none" w:sz="0" w:space="0" w:color="auto"/>
                <w:left w:val="none" w:sz="0" w:space="0" w:color="auto"/>
                <w:bottom w:val="none" w:sz="0" w:space="0" w:color="auto"/>
                <w:right w:val="none" w:sz="0" w:space="0" w:color="auto"/>
              </w:divBdr>
              <w:divsChild>
                <w:div w:id="1559128046">
                  <w:marLeft w:val="0"/>
                  <w:marRight w:val="0"/>
                  <w:marTop w:val="0"/>
                  <w:marBottom w:val="0"/>
                  <w:divBdr>
                    <w:top w:val="none" w:sz="0" w:space="0" w:color="auto"/>
                    <w:left w:val="none" w:sz="0" w:space="0" w:color="auto"/>
                    <w:bottom w:val="none" w:sz="0" w:space="0" w:color="auto"/>
                    <w:right w:val="none" w:sz="0" w:space="0" w:color="auto"/>
                  </w:divBdr>
                  <w:divsChild>
                    <w:div w:id="1371026481">
                      <w:marLeft w:val="0"/>
                      <w:marRight w:val="0"/>
                      <w:marTop w:val="0"/>
                      <w:marBottom w:val="0"/>
                      <w:divBdr>
                        <w:top w:val="none" w:sz="0" w:space="0" w:color="auto"/>
                        <w:left w:val="none" w:sz="0" w:space="0" w:color="auto"/>
                        <w:bottom w:val="none" w:sz="0" w:space="0" w:color="auto"/>
                        <w:right w:val="none" w:sz="0" w:space="0" w:color="auto"/>
                      </w:divBdr>
                      <w:divsChild>
                        <w:div w:id="409083208">
                          <w:marLeft w:val="0"/>
                          <w:marRight w:val="0"/>
                          <w:marTop w:val="0"/>
                          <w:marBottom w:val="0"/>
                          <w:divBdr>
                            <w:top w:val="none" w:sz="0" w:space="0" w:color="auto"/>
                            <w:left w:val="none" w:sz="0" w:space="0" w:color="auto"/>
                            <w:bottom w:val="none" w:sz="0" w:space="0" w:color="auto"/>
                            <w:right w:val="none" w:sz="0" w:space="0" w:color="auto"/>
                          </w:divBdr>
                          <w:divsChild>
                            <w:div w:id="589585538">
                              <w:marLeft w:val="0"/>
                              <w:marRight w:val="0"/>
                              <w:marTop w:val="0"/>
                              <w:marBottom w:val="0"/>
                              <w:divBdr>
                                <w:top w:val="none" w:sz="0" w:space="0" w:color="auto"/>
                                <w:left w:val="none" w:sz="0" w:space="0" w:color="auto"/>
                                <w:bottom w:val="none" w:sz="0" w:space="0" w:color="auto"/>
                                <w:right w:val="none" w:sz="0" w:space="0" w:color="auto"/>
                              </w:divBdr>
                              <w:divsChild>
                                <w:div w:id="1919631319">
                                  <w:marLeft w:val="0"/>
                                  <w:marRight w:val="0"/>
                                  <w:marTop w:val="0"/>
                                  <w:marBottom w:val="0"/>
                                  <w:divBdr>
                                    <w:top w:val="none" w:sz="0" w:space="0" w:color="auto"/>
                                    <w:left w:val="none" w:sz="0" w:space="0" w:color="auto"/>
                                    <w:bottom w:val="none" w:sz="0" w:space="0" w:color="auto"/>
                                    <w:right w:val="none" w:sz="0" w:space="0" w:color="auto"/>
                                  </w:divBdr>
                                  <w:divsChild>
                                    <w:div w:id="719481860">
                                      <w:marLeft w:val="0"/>
                                      <w:marRight w:val="0"/>
                                      <w:marTop w:val="0"/>
                                      <w:marBottom w:val="0"/>
                                      <w:divBdr>
                                        <w:top w:val="none" w:sz="0" w:space="0" w:color="auto"/>
                                        <w:left w:val="none" w:sz="0" w:space="0" w:color="auto"/>
                                        <w:bottom w:val="none" w:sz="0" w:space="0" w:color="auto"/>
                                        <w:right w:val="none" w:sz="0" w:space="0" w:color="auto"/>
                                      </w:divBdr>
                                      <w:divsChild>
                                        <w:div w:id="666060713">
                                          <w:marLeft w:val="0"/>
                                          <w:marRight w:val="0"/>
                                          <w:marTop w:val="0"/>
                                          <w:marBottom w:val="0"/>
                                          <w:divBdr>
                                            <w:top w:val="none" w:sz="0" w:space="0" w:color="auto"/>
                                            <w:left w:val="none" w:sz="0" w:space="0" w:color="auto"/>
                                            <w:bottom w:val="none" w:sz="0" w:space="0" w:color="auto"/>
                                            <w:right w:val="none" w:sz="0" w:space="0" w:color="auto"/>
                                          </w:divBdr>
                                          <w:divsChild>
                                            <w:div w:id="857308150">
                                              <w:marLeft w:val="0"/>
                                              <w:marRight w:val="0"/>
                                              <w:marTop w:val="0"/>
                                              <w:marBottom w:val="0"/>
                                              <w:divBdr>
                                                <w:top w:val="none" w:sz="0" w:space="0" w:color="auto"/>
                                                <w:left w:val="none" w:sz="0" w:space="0" w:color="auto"/>
                                                <w:bottom w:val="none" w:sz="0" w:space="0" w:color="auto"/>
                                                <w:right w:val="none" w:sz="0" w:space="0" w:color="auto"/>
                                              </w:divBdr>
                                              <w:divsChild>
                                                <w:div w:id="1688480442">
                                                  <w:marLeft w:val="0"/>
                                                  <w:marRight w:val="0"/>
                                                  <w:marTop w:val="0"/>
                                                  <w:marBottom w:val="405"/>
                                                  <w:divBdr>
                                                    <w:top w:val="none" w:sz="0" w:space="0" w:color="auto"/>
                                                    <w:left w:val="none" w:sz="0" w:space="0" w:color="auto"/>
                                                    <w:bottom w:val="none" w:sz="0" w:space="0" w:color="auto"/>
                                                    <w:right w:val="none" w:sz="0" w:space="0" w:color="auto"/>
                                                  </w:divBdr>
                                                  <w:divsChild>
                                                    <w:div w:id="1730375907">
                                                      <w:marLeft w:val="0"/>
                                                      <w:marRight w:val="0"/>
                                                      <w:marTop w:val="0"/>
                                                      <w:marBottom w:val="0"/>
                                                      <w:divBdr>
                                                        <w:top w:val="none" w:sz="0" w:space="0" w:color="auto"/>
                                                        <w:left w:val="none" w:sz="0" w:space="0" w:color="auto"/>
                                                        <w:bottom w:val="none" w:sz="0" w:space="0" w:color="auto"/>
                                                        <w:right w:val="none" w:sz="0" w:space="0" w:color="auto"/>
                                                      </w:divBdr>
                                                      <w:divsChild>
                                                        <w:div w:id="282855427">
                                                          <w:marLeft w:val="0"/>
                                                          <w:marRight w:val="0"/>
                                                          <w:marTop w:val="0"/>
                                                          <w:marBottom w:val="0"/>
                                                          <w:divBdr>
                                                            <w:top w:val="single" w:sz="6" w:space="0" w:color="ABABAB"/>
                                                            <w:left w:val="single" w:sz="6" w:space="0" w:color="ABABAB"/>
                                                            <w:bottom w:val="single" w:sz="6" w:space="0" w:color="ABABAB"/>
                                                            <w:right w:val="single" w:sz="6" w:space="0" w:color="ABABAB"/>
                                                          </w:divBdr>
                                                          <w:divsChild>
                                                            <w:div w:id="216011317">
                                                              <w:marLeft w:val="0"/>
                                                              <w:marRight w:val="0"/>
                                                              <w:marTop w:val="0"/>
                                                              <w:marBottom w:val="0"/>
                                                              <w:divBdr>
                                                                <w:top w:val="none" w:sz="0" w:space="0" w:color="auto"/>
                                                                <w:left w:val="none" w:sz="0" w:space="0" w:color="auto"/>
                                                                <w:bottom w:val="none" w:sz="0" w:space="0" w:color="auto"/>
                                                                <w:right w:val="none" w:sz="0" w:space="0" w:color="auto"/>
                                                              </w:divBdr>
                                                              <w:divsChild>
                                                                <w:div w:id="1059355126">
                                                                  <w:marLeft w:val="0"/>
                                                                  <w:marRight w:val="0"/>
                                                                  <w:marTop w:val="0"/>
                                                                  <w:marBottom w:val="0"/>
                                                                  <w:divBdr>
                                                                    <w:top w:val="none" w:sz="0" w:space="0" w:color="auto"/>
                                                                    <w:left w:val="none" w:sz="0" w:space="0" w:color="auto"/>
                                                                    <w:bottom w:val="none" w:sz="0" w:space="0" w:color="auto"/>
                                                                    <w:right w:val="none" w:sz="0" w:space="0" w:color="auto"/>
                                                                  </w:divBdr>
                                                                  <w:divsChild>
                                                                    <w:div w:id="1404141045">
                                                                      <w:marLeft w:val="0"/>
                                                                      <w:marRight w:val="0"/>
                                                                      <w:marTop w:val="0"/>
                                                                      <w:marBottom w:val="0"/>
                                                                      <w:divBdr>
                                                                        <w:top w:val="none" w:sz="0" w:space="0" w:color="auto"/>
                                                                        <w:left w:val="none" w:sz="0" w:space="0" w:color="auto"/>
                                                                        <w:bottom w:val="none" w:sz="0" w:space="0" w:color="auto"/>
                                                                        <w:right w:val="none" w:sz="0" w:space="0" w:color="auto"/>
                                                                      </w:divBdr>
                                                                      <w:divsChild>
                                                                        <w:div w:id="253981796">
                                                                          <w:marLeft w:val="0"/>
                                                                          <w:marRight w:val="0"/>
                                                                          <w:marTop w:val="0"/>
                                                                          <w:marBottom w:val="0"/>
                                                                          <w:divBdr>
                                                                            <w:top w:val="none" w:sz="0" w:space="0" w:color="auto"/>
                                                                            <w:left w:val="none" w:sz="0" w:space="0" w:color="auto"/>
                                                                            <w:bottom w:val="none" w:sz="0" w:space="0" w:color="auto"/>
                                                                            <w:right w:val="none" w:sz="0" w:space="0" w:color="auto"/>
                                                                          </w:divBdr>
                                                                          <w:divsChild>
                                                                            <w:div w:id="1353068718">
                                                                              <w:marLeft w:val="0"/>
                                                                              <w:marRight w:val="0"/>
                                                                              <w:marTop w:val="0"/>
                                                                              <w:marBottom w:val="0"/>
                                                                              <w:divBdr>
                                                                                <w:top w:val="none" w:sz="0" w:space="0" w:color="auto"/>
                                                                                <w:left w:val="none" w:sz="0" w:space="0" w:color="auto"/>
                                                                                <w:bottom w:val="none" w:sz="0" w:space="0" w:color="auto"/>
                                                                                <w:right w:val="none" w:sz="0" w:space="0" w:color="auto"/>
                                                                              </w:divBdr>
                                                                              <w:divsChild>
                                                                                <w:div w:id="2056349578">
                                                                                  <w:marLeft w:val="0"/>
                                                                                  <w:marRight w:val="0"/>
                                                                                  <w:marTop w:val="0"/>
                                                                                  <w:marBottom w:val="0"/>
                                                                                  <w:divBdr>
                                                                                    <w:top w:val="none" w:sz="0" w:space="0" w:color="auto"/>
                                                                                    <w:left w:val="none" w:sz="0" w:space="0" w:color="auto"/>
                                                                                    <w:bottom w:val="none" w:sz="0" w:space="0" w:color="auto"/>
                                                                                    <w:right w:val="none" w:sz="0" w:space="0" w:color="auto"/>
                                                                                  </w:divBdr>
                                                                                  <w:divsChild>
                                                                                    <w:div w:id="1067648975">
                                                                                      <w:marLeft w:val="0"/>
                                                                                      <w:marRight w:val="0"/>
                                                                                      <w:marTop w:val="0"/>
                                                                                      <w:marBottom w:val="0"/>
                                                                                      <w:divBdr>
                                                                                        <w:top w:val="none" w:sz="0" w:space="0" w:color="auto"/>
                                                                                        <w:left w:val="none" w:sz="0" w:space="0" w:color="auto"/>
                                                                                        <w:bottom w:val="none" w:sz="0" w:space="0" w:color="auto"/>
                                                                                        <w:right w:val="none" w:sz="0" w:space="0" w:color="auto"/>
                                                                                      </w:divBdr>
                                                                                    </w:div>
                                                                                    <w:div w:id="6639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017518">
      <w:bodyDiv w:val="1"/>
      <w:marLeft w:val="0"/>
      <w:marRight w:val="0"/>
      <w:marTop w:val="0"/>
      <w:marBottom w:val="0"/>
      <w:divBdr>
        <w:top w:val="none" w:sz="0" w:space="0" w:color="auto"/>
        <w:left w:val="none" w:sz="0" w:space="0" w:color="auto"/>
        <w:bottom w:val="none" w:sz="0" w:space="0" w:color="auto"/>
        <w:right w:val="none" w:sz="0" w:space="0" w:color="auto"/>
      </w:divBdr>
      <w:divsChild>
        <w:div w:id="1018703861">
          <w:marLeft w:val="0"/>
          <w:marRight w:val="0"/>
          <w:marTop w:val="0"/>
          <w:marBottom w:val="0"/>
          <w:divBdr>
            <w:top w:val="none" w:sz="0" w:space="0" w:color="auto"/>
            <w:left w:val="none" w:sz="0" w:space="0" w:color="auto"/>
            <w:bottom w:val="none" w:sz="0" w:space="0" w:color="auto"/>
            <w:right w:val="none" w:sz="0" w:space="0" w:color="auto"/>
          </w:divBdr>
          <w:divsChild>
            <w:div w:id="629551693">
              <w:marLeft w:val="0"/>
              <w:marRight w:val="0"/>
              <w:marTop w:val="0"/>
              <w:marBottom w:val="0"/>
              <w:divBdr>
                <w:top w:val="none" w:sz="0" w:space="0" w:color="auto"/>
                <w:left w:val="none" w:sz="0" w:space="0" w:color="auto"/>
                <w:bottom w:val="none" w:sz="0" w:space="0" w:color="auto"/>
                <w:right w:val="none" w:sz="0" w:space="0" w:color="auto"/>
              </w:divBdr>
              <w:divsChild>
                <w:div w:id="432751645">
                  <w:marLeft w:val="0"/>
                  <w:marRight w:val="0"/>
                  <w:marTop w:val="0"/>
                  <w:marBottom w:val="0"/>
                  <w:divBdr>
                    <w:top w:val="none" w:sz="0" w:space="0" w:color="auto"/>
                    <w:left w:val="none" w:sz="0" w:space="0" w:color="auto"/>
                    <w:bottom w:val="none" w:sz="0" w:space="0" w:color="auto"/>
                    <w:right w:val="none" w:sz="0" w:space="0" w:color="auto"/>
                  </w:divBdr>
                  <w:divsChild>
                    <w:div w:id="34742815">
                      <w:marLeft w:val="0"/>
                      <w:marRight w:val="0"/>
                      <w:marTop w:val="0"/>
                      <w:marBottom w:val="0"/>
                      <w:divBdr>
                        <w:top w:val="none" w:sz="0" w:space="0" w:color="auto"/>
                        <w:left w:val="none" w:sz="0" w:space="0" w:color="auto"/>
                        <w:bottom w:val="none" w:sz="0" w:space="0" w:color="auto"/>
                        <w:right w:val="none" w:sz="0" w:space="0" w:color="auto"/>
                      </w:divBdr>
                      <w:divsChild>
                        <w:div w:id="1074863179">
                          <w:marLeft w:val="0"/>
                          <w:marRight w:val="0"/>
                          <w:marTop w:val="0"/>
                          <w:marBottom w:val="0"/>
                          <w:divBdr>
                            <w:top w:val="none" w:sz="0" w:space="0" w:color="auto"/>
                            <w:left w:val="none" w:sz="0" w:space="0" w:color="auto"/>
                            <w:bottom w:val="none" w:sz="0" w:space="0" w:color="auto"/>
                            <w:right w:val="none" w:sz="0" w:space="0" w:color="auto"/>
                          </w:divBdr>
                          <w:divsChild>
                            <w:div w:id="1446385347">
                              <w:marLeft w:val="0"/>
                              <w:marRight w:val="0"/>
                              <w:marTop w:val="0"/>
                              <w:marBottom w:val="0"/>
                              <w:divBdr>
                                <w:top w:val="none" w:sz="0" w:space="0" w:color="auto"/>
                                <w:left w:val="none" w:sz="0" w:space="0" w:color="auto"/>
                                <w:bottom w:val="none" w:sz="0" w:space="0" w:color="auto"/>
                                <w:right w:val="none" w:sz="0" w:space="0" w:color="auto"/>
                              </w:divBdr>
                              <w:divsChild>
                                <w:div w:id="1595481049">
                                  <w:marLeft w:val="0"/>
                                  <w:marRight w:val="0"/>
                                  <w:marTop w:val="0"/>
                                  <w:marBottom w:val="0"/>
                                  <w:divBdr>
                                    <w:top w:val="none" w:sz="0" w:space="0" w:color="auto"/>
                                    <w:left w:val="none" w:sz="0" w:space="0" w:color="auto"/>
                                    <w:bottom w:val="none" w:sz="0" w:space="0" w:color="auto"/>
                                    <w:right w:val="none" w:sz="0" w:space="0" w:color="auto"/>
                                  </w:divBdr>
                                  <w:divsChild>
                                    <w:div w:id="2044937663">
                                      <w:marLeft w:val="0"/>
                                      <w:marRight w:val="0"/>
                                      <w:marTop w:val="0"/>
                                      <w:marBottom w:val="0"/>
                                      <w:divBdr>
                                        <w:top w:val="none" w:sz="0" w:space="0" w:color="auto"/>
                                        <w:left w:val="none" w:sz="0" w:space="0" w:color="auto"/>
                                        <w:bottom w:val="none" w:sz="0" w:space="0" w:color="auto"/>
                                        <w:right w:val="none" w:sz="0" w:space="0" w:color="auto"/>
                                      </w:divBdr>
                                      <w:divsChild>
                                        <w:div w:id="634456862">
                                          <w:marLeft w:val="0"/>
                                          <w:marRight w:val="0"/>
                                          <w:marTop w:val="0"/>
                                          <w:marBottom w:val="0"/>
                                          <w:divBdr>
                                            <w:top w:val="none" w:sz="0" w:space="0" w:color="auto"/>
                                            <w:left w:val="none" w:sz="0" w:space="0" w:color="auto"/>
                                            <w:bottom w:val="none" w:sz="0" w:space="0" w:color="auto"/>
                                            <w:right w:val="none" w:sz="0" w:space="0" w:color="auto"/>
                                          </w:divBdr>
                                          <w:divsChild>
                                            <w:div w:id="1481578235">
                                              <w:marLeft w:val="0"/>
                                              <w:marRight w:val="0"/>
                                              <w:marTop w:val="0"/>
                                              <w:marBottom w:val="0"/>
                                              <w:divBdr>
                                                <w:top w:val="none" w:sz="0" w:space="0" w:color="auto"/>
                                                <w:left w:val="none" w:sz="0" w:space="0" w:color="auto"/>
                                                <w:bottom w:val="none" w:sz="0" w:space="0" w:color="auto"/>
                                                <w:right w:val="none" w:sz="0" w:space="0" w:color="auto"/>
                                              </w:divBdr>
                                              <w:divsChild>
                                                <w:div w:id="129448319">
                                                  <w:marLeft w:val="0"/>
                                                  <w:marRight w:val="0"/>
                                                  <w:marTop w:val="0"/>
                                                  <w:marBottom w:val="405"/>
                                                  <w:divBdr>
                                                    <w:top w:val="none" w:sz="0" w:space="0" w:color="auto"/>
                                                    <w:left w:val="none" w:sz="0" w:space="0" w:color="auto"/>
                                                    <w:bottom w:val="none" w:sz="0" w:space="0" w:color="auto"/>
                                                    <w:right w:val="none" w:sz="0" w:space="0" w:color="auto"/>
                                                  </w:divBdr>
                                                  <w:divsChild>
                                                    <w:div w:id="484588415">
                                                      <w:marLeft w:val="0"/>
                                                      <w:marRight w:val="0"/>
                                                      <w:marTop w:val="0"/>
                                                      <w:marBottom w:val="0"/>
                                                      <w:divBdr>
                                                        <w:top w:val="none" w:sz="0" w:space="0" w:color="auto"/>
                                                        <w:left w:val="none" w:sz="0" w:space="0" w:color="auto"/>
                                                        <w:bottom w:val="none" w:sz="0" w:space="0" w:color="auto"/>
                                                        <w:right w:val="none" w:sz="0" w:space="0" w:color="auto"/>
                                                      </w:divBdr>
                                                      <w:divsChild>
                                                        <w:div w:id="930161040">
                                                          <w:marLeft w:val="0"/>
                                                          <w:marRight w:val="0"/>
                                                          <w:marTop w:val="0"/>
                                                          <w:marBottom w:val="0"/>
                                                          <w:divBdr>
                                                            <w:top w:val="single" w:sz="6" w:space="0" w:color="ABABAB"/>
                                                            <w:left w:val="single" w:sz="6" w:space="0" w:color="ABABAB"/>
                                                            <w:bottom w:val="single" w:sz="6" w:space="0" w:color="ABABAB"/>
                                                            <w:right w:val="single" w:sz="6" w:space="0" w:color="ABABAB"/>
                                                          </w:divBdr>
                                                          <w:divsChild>
                                                            <w:div w:id="1125271975">
                                                              <w:marLeft w:val="0"/>
                                                              <w:marRight w:val="0"/>
                                                              <w:marTop w:val="0"/>
                                                              <w:marBottom w:val="0"/>
                                                              <w:divBdr>
                                                                <w:top w:val="none" w:sz="0" w:space="0" w:color="auto"/>
                                                                <w:left w:val="none" w:sz="0" w:space="0" w:color="auto"/>
                                                                <w:bottom w:val="none" w:sz="0" w:space="0" w:color="auto"/>
                                                                <w:right w:val="none" w:sz="0" w:space="0" w:color="auto"/>
                                                              </w:divBdr>
                                                              <w:divsChild>
                                                                <w:div w:id="1889608264">
                                                                  <w:marLeft w:val="0"/>
                                                                  <w:marRight w:val="0"/>
                                                                  <w:marTop w:val="0"/>
                                                                  <w:marBottom w:val="0"/>
                                                                  <w:divBdr>
                                                                    <w:top w:val="none" w:sz="0" w:space="0" w:color="auto"/>
                                                                    <w:left w:val="none" w:sz="0" w:space="0" w:color="auto"/>
                                                                    <w:bottom w:val="none" w:sz="0" w:space="0" w:color="auto"/>
                                                                    <w:right w:val="none" w:sz="0" w:space="0" w:color="auto"/>
                                                                  </w:divBdr>
                                                                  <w:divsChild>
                                                                    <w:div w:id="2078279276">
                                                                      <w:marLeft w:val="0"/>
                                                                      <w:marRight w:val="0"/>
                                                                      <w:marTop w:val="0"/>
                                                                      <w:marBottom w:val="0"/>
                                                                      <w:divBdr>
                                                                        <w:top w:val="none" w:sz="0" w:space="0" w:color="auto"/>
                                                                        <w:left w:val="none" w:sz="0" w:space="0" w:color="auto"/>
                                                                        <w:bottom w:val="none" w:sz="0" w:space="0" w:color="auto"/>
                                                                        <w:right w:val="none" w:sz="0" w:space="0" w:color="auto"/>
                                                                      </w:divBdr>
                                                                      <w:divsChild>
                                                                        <w:div w:id="1698658983">
                                                                          <w:marLeft w:val="0"/>
                                                                          <w:marRight w:val="0"/>
                                                                          <w:marTop w:val="0"/>
                                                                          <w:marBottom w:val="0"/>
                                                                          <w:divBdr>
                                                                            <w:top w:val="none" w:sz="0" w:space="0" w:color="auto"/>
                                                                            <w:left w:val="none" w:sz="0" w:space="0" w:color="auto"/>
                                                                            <w:bottom w:val="none" w:sz="0" w:space="0" w:color="auto"/>
                                                                            <w:right w:val="none" w:sz="0" w:space="0" w:color="auto"/>
                                                                          </w:divBdr>
                                                                          <w:divsChild>
                                                                            <w:div w:id="767314682">
                                                                              <w:marLeft w:val="0"/>
                                                                              <w:marRight w:val="0"/>
                                                                              <w:marTop w:val="0"/>
                                                                              <w:marBottom w:val="0"/>
                                                                              <w:divBdr>
                                                                                <w:top w:val="none" w:sz="0" w:space="0" w:color="auto"/>
                                                                                <w:left w:val="none" w:sz="0" w:space="0" w:color="auto"/>
                                                                                <w:bottom w:val="none" w:sz="0" w:space="0" w:color="auto"/>
                                                                                <w:right w:val="none" w:sz="0" w:space="0" w:color="auto"/>
                                                                              </w:divBdr>
                                                                              <w:divsChild>
                                                                                <w:div w:id="1981961253">
                                                                                  <w:marLeft w:val="0"/>
                                                                                  <w:marRight w:val="0"/>
                                                                                  <w:marTop w:val="0"/>
                                                                                  <w:marBottom w:val="0"/>
                                                                                  <w:divBdr>
                                                                                    <w:top w:val="none" w:sz="0" w:space="0" w:color="auto"/>
                                                                                    <w:left w:val="none" w:sz="0" w:space="0" w:color="auto"/>
                                                                                    <w:bottom w:val="none" w:sz="0" w:space="0" w:color="auto"/>
                                                                                    <w:right w:val="none" w:sz="0" w:space="0" w:color="auto"/>
                                                                                  </w:divBdr>
                                                                                  <w:divsChild>
                                                                                    <w:div w:id="672758537">
                                                                                      <w:marLeft w:val="0"/>
                                                                                      <w:marRight w:val="0"/>
                                                                                      <w:marTop w:val="0"/>
                                                                                      <w:marBottom w:val="0"/>
                                                                                      <w:divBdr>
                                                                                        <w:top w:val="none" w:sz="0" w:space="0" w:color="auto"/>
                                                                                        <w:left w:val="none" w:sz="0" w:space="0" w:color="auto"/>
                                                                                        <w:bottom w:val="none" w:sz="0" w:space="0" w:color="auto"/>
                                                                                        <w:right w:val="none" w:sz="0" w:space="0" w:color="auto"/>
                                                                                      </w:divBdr>
                                                                                    </w:div>
                                                                                    <w:div w:id="10656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8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pucvpn213.cpuc.ca.gov/dana/home/index.cgi"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s://docs.cpuc.ca.gov/PublishedDocs/Published/G000/M144/K952/144952657.PDF" TargetMode="External"/><Relationship Id="rId1" Type="http://schemas.openxmlformats.org/officeDocument/2006/relationships/hyperlink" Target="https://docs.cpuc.ca.gov/PublishedDocs/Published/G000/M311/K449/3114496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5546C-554E-464C-8904-067F0D00007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40</ap:Pages>
  <ap:Words>12955</ap:Words>
  <ap:Characters>73844</ap:Characters>
  <ap:Application>Microsoft Office Word</ap:Application>
  <ap:DocSecurity>0</ap:DocSecurity>
  <ap:Lines>615</ap:Lines>
  <ap:Paragraphs>173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86626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2020-11-23T21:13:00Z</cp:lastPrinted>
  <dcterms:created xsi:type="dcterms:W3CDTF">2020-12-18T14:27:29Z</dcterms:created>
  <dcterms:modified xsi:type="dcterms:W3CDTF">2020-12-18T14:27:29Z</dcterms:modified>
</cp:coreProperties>
</file>