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1C8" w:rsidP="001A27C9" w:rsidRDefault="0056067B" w14:paraId="14820C6F" w14:textId="02DCBBF3">
      <w:pPr>
        <w:pStyle w:val="Heading3"/>
        <w:spacing w:before="92"/>
        <w:ind w:right="1158" w:firstLine="500"/>
      </w:pPr>
      <w:r w:rsidRPr="00290E4D">
        <w:t xml:space="preserve"> </w:t>
      </w:r>
      <w:r w:rsidRPr="00290E4D" w:rsidR="006C3CB7">
        <w:t>PUBLIC UTILITIES COMMISSION OF THE STATE OF CALIFORNIA</w:t>
      </w:r>
    </w:p>
    <w:p w:rsidRPr="00290E4D" w:rsidR="007B31C8" w:rsidP="00290E4D" w:rsidRDefault="001B6740" w14:paraId="5C23A882" w14:textId="21B83C59">
      <w:pPr>
        <w:pStyle w:val="Heading3"/>
        <w:spacing w:before="92"/>
        <w:ind w:left="0" w:right="1158"/>
      </w:pPr>
      <w:r>
        <w:tab/>
      </w:r>
      <w:r>
        <w:tab/>
      </w:r>
      <w:r>
        <w:tab/>
      </w:r>
      <w:r>
        <w:tab/>
      </w:r>
      <w:r>
        <w:tab/>
      </w:r>
      <w:r>
        <w:tab/>
      </w:r>
      <w:r>
        <w:tab/>
      </w:r>
      <w:r>
        <w:tab/>
      </w:r>
      <w:r>
        <w:tab/>
        <w:t>Item</w:t>
      </w:r>
      <w:r w:rsidR="00BE03FC">
        <w:t xml:space="preserve"> </w:t>
      </w:r>
      <w:r w:rsidR="009A7554">
        <w:t>No:</w:t>
      </w:r>
      <w:r w:rsidR="00BE03FC">
        <w:t xml:space="preserve"> </w:t>
      </w:r>
      <w:r w:rsidR="00DD5828">
        <w:t>12</w:t>
      </w:r>
      <w:r w:rsidR="00BE03FC">
        <w:t xml:space="preserve"> (Rev. 1)</w:t>
      </w:r>
    </w:p>
    <w:p w:rsidRPr="00290E4D" w:rsidR="007B31C8" w:rsidP="00BE03FC" w:rsidRDefault="006C3CB7" w14:paraId="5F04672E" w14:textId="5F820838">
      <w:pPr>
        <w:ind w:left="5760" w:firstLine="720"/>
        <w:rPr>
          <w:b/>
          <w:sz w:val="24"/>
        </w:rPr>
      </w:pPr>
      <w:r w:rsidRPr="00290E4D">
        <w:rPr>
          <w:b/>
          <w:sz w:val="24"/>
        </w:rPr>
        <w:t xml:space="preserve">Agenda ID: </w:t>
      </w:r>
      <w:r w:rsidRPr="00290E4D" w:rsidR="004354A5">
        <w:rPr>
          <w:b/>
          <w:sz w:val="24"/>
        </w:rPr>
        <w:t>18960</w:t>
      </w:r>
    </w:p>
    <w:p w:rsidRPr="00290E4D" w:rsidR="007B31C8" w:rsidRDefault="006C3CB7" w14:paraId="46F73563" w14:textId="0643697F">
      <w:pPr>
        <w:tabs>
          <w:tab w:val="left" w:pos="6701"/>
        </w:tabs>
        <w:spacing w:before="2"/>
        <w:ind w:left="220"/>
        <w:rPr>
          <w:b/>
          <w:sz w:val="24"/>
        </w:rPr>
      </w:pPr>
      <w:r w:rsidRPr="00290E4D">
        <w:rPr>
          <w:b/>
          <w:sz w:val="24"/>
        </w:rPr>
        <w:t>ENERGY</w:t>
      </w:r>
      <w:r w:rsidRPr="00290E4D">
        <w:rPr>
          <w:b/>
          <w:spacing w:val="-1"/>
          <w:sz w:val="24"/>
        </w:rPr>
        <w:t xml:space="preserve"> </w:t>
      </w:r>
      <w:r w:rsidRPr="00290E4D">
        <w:rPr>
          <w:b/>
          <w:sz w:val="24"/>
        </w:rPr>
        <w:t>DIVISION</w:t>
      </w:r>
      <w:r w:rsidR="00BE03FC">
        <w:rPr>
          <w:b/>
          <w:sz w:val="24"/>
        </w:rPr>
        <w:t xml:space="preserve">                                                                  </w:t>
      </w:r>
      <w:r w:rsidRPr="00290E4D">
        <w:rPr>
          <w:b/>
          <w:sz w:val="24"/>
        </w:rPr>
        <w:t>RESOLUTION</w:t>
      </w:r>
      <w:r w:rsidRPr="00290E4D">
        <w:rPr>
          <w:b/>
          <w:spacing w:val="1"/>
          <w:sz w:val="24"/>
        </w:rPr>
        <w:t xml:space="preserve"> </w:t>
      </w:r>
      <w:r w:rsidRPr="00290E4D">
        <w:rPr>
          <w:b/>
          <w:sz w:val="24"/>
        </w:rPr>
        <w:t>E</w:t>
      </w:r>
      <w:r w:rsidRPr="00290E4D" w:rsidR="00B64104">
        <w:rPr>
          <w:b/>
          <w:sz w:val="24"/>
        </w:rPr>
        <w:t>-5108</w:t>
      </w:r>
    </w:p>
    <w:p w:rsidRPr="00290E4D" w:rsidR="007B31C8" w:rsidP="00BE03FC" w:rsidRDefault="002F6761" w14:paraId="14C80377" w14:textId="35642D7E">
      <w:pPr>
        <w:spacing w:before="1"/>
        <w:ind w:left="5760" w:firstLine="720"/>
        <w:rPr>
          <w:b/>
          <w:sz w:val="24"/>
        </w:rPr>
      </w:pPr>
      <w:bookmarkStart w:name="_Hlk55901661" w:id="0"/>
      <w:r>
        <w:rPr>
          <w:b/>
          <w:sz w:val="24"/>
        </w:rPr>
        <w:t>January 14, 2021</w:t>
      </w:r>
    </w:p>
    <w:bookmarkEnd w:id="0"/>
    <w:p w:rsidR="007B31C8" w:rsidRDefault="007B31C8" w14:paraId="5839A04E" w14:textId="77777777">
      <w:pPr>
        <w:pStyle w:val="BodyText"/>
        <w:spacing w:before="8"/>
        <w:rPr>
          <w:rFonts w:ascii="Book Antiqua"/>
          <w:b/>
          <w:sz w:val="23"/>
        </w:rPr>
      </w:pPr>
    </w:p>
    <w:p w:rsidR="007B31C8" w:rsidRDefault="006C3CB7" w14:paraId="35C7B364" w14:textId="77777777">
      <w:pPr>
        <w:ind w:left="1140" w:right="1158"/>
        <w:jc w:val="center"/>
        <w:rPr>
          <w:rFonts w:ascii="Arial"/>
          <w:b/>
          <w:sz w:val="26"/>
        </w:rPr>
      </w:pPr>
      <w:r>
        <w:rPr>
          <w:rFonts w:ascii="Arial"/>
          <w:b/>
          <w:sz w:val="26"/>
          <w:u w:val="thick"/>
        </w:rPr>
        <w:t xml:space="preserve">R E S O L U T I O N </w:t>
      </w:r>
    </w:p>
    <w:p w:rsidR="007B31C8" w:rsidRDefault="007B31C8" w14:paraId="4939E21D" w14:textId="77777777">
      <w:pPr>
        <w:pStyle w:val="BodyText"/>
        <w:rPr>
          <w:rFonts w:ascii="Arial"/>
          <w:b/>
          <w:sz w:val="20"/>
        </w:rPr>
      </w:pPr>
    </w:p>
    <w:p w:rsidR="007B31C8" w:rsidRDefault="006C3CB7" w14:paraId="4CA443C2" w14:textId="2B31EBCD">
      <w:pPr>
        <w:pStyle w:val="BodyText"/>
        <w:spacing w:before="193"/>
        <w:ind w:left="220" w:right="412"/>
      </w:pPr>
      <w:r>
        <w:t>Resolution E-</w:t>
      </w:r>
      <w:r w:rsidR="00D02DDB">
        <w:t>5108</w:t>
      </w:r>
      <w:r>
        <w:t xml:space="preserve"> approves, with adjustments, Efficiency Savings and Performance Incentive awards for three major California investor-owned utilities for program years</w:t>
      </w:r>
      <w:r w:rsidR="00C31993">
        <w:t xml:space="preserve"> (PY)</w:t>
      </w:r>
      <w:r>
        <w:t xml:space="preserve"> </w:t>
      </w:r>
      <w:r w:rsidR="003507AD">
        <w:t>2018 and 2019</w:t>
      </w:r>
      <w:r>
        <w:t>.</w:t>
      </w:r>
    </w:p>
    <w:p w:rsidR="007B31C8" w:rsidRDefault="006C3CB7" w14:paraId="54C83F6B" w14:textId="77777777">
      <w:pPr>
        <w:pStyle w:val="Heading3"/>
        <w:spacing w:before="119"/>
        <w:ind w:left="580"/>
        <w:jc w:val="left"/>
      </w:pPr>
      <w:r>
        <w:t>PROPOSED OUTCOME:</w:t>
      </w:r>
    </w:p>
    <w:p w:rsidR="007B31C8" w:rsidRDefault="006C3CB7" w14:paraId="2135D2D3" w14:textId="0AE0A266">
      <w:pPr>
        <w:pStyle w:val="ListParagraph"/>
        <w:numPr>
          <w:ilvl w:val="0"/>
          <w:numId w:val="11"/>
        </w:numPr>
        <w:tabs>
          <w:tab w:val="left" w:pos="940"/>
          <w:tab w:val="left" w:pos="941"/>
        </w:tabs>
        <w:spacing w:before="122"/>
        <w:ind w:hanging="361"/>
        <w:jc w:val="left"/>
        <w:rPr>
          <w:sz w:val="24"/>
        </w:rPr>
      </w:pPr>
      <w:r>
        <w:rPr>
          <w:sz w:val="24"/>
        </w:rPr>
        <w:t xml:space="preserve">Approves </w:t>
      </w:r>
      <w:r w:rsidRPr="005353F3">
        <w:rPr>
          <w:sz w:val="24"/>
        </w:rPr>
        <w:t>$</w:t>
      </w:r>
      <w:r w:rsidRPr="005353F3" w:rsidR="00233EC5">
        <w:rPr>
          <w:sz w:val="24"/>
        </w:rPr>
        <w:t>28,</w:t>
      </w:r>
      <w:r w:rsidRPr="0052414B" w:rsidR="005353F3">
        <w:rPr>
          <w:sz w:val="24"/>
        </w:rPr>
        <w:t>211</w:t>
      </w:r>
      <w:r w:rsidRPr="005353F3" w:rsidR="00233EC5">
        <w:rPr>
          <w:sz w:val="24"/>
        </w:rPr>
        <w:t>,</w:t>
      </w:r>
      <w:r w:rsidRPr="005353F3" w:rsidR="005353F3">
        <w:rPr>
          <w:sz w:val="24"/>
        </w:rPr>
        <w:t>450</w:t>
      </w:r>
      <w:r w:rsidR="00233EC5">
        <w:rPr>
          <w:sz w:val="24"/>
        </w:rPr>
        <w:t xml:space="preserve"> </w:t>
      </w:r>
      <w:r>
        <w:rPr>
          <w:sz w:val="24"/>
        </w:rPr>
        <w:t>in total shareholder</w:t>
      </w:r>
      <w:r>
        <w:rPr>
          <w:spacing w:val="-2"/>
          <w:sz w:val="24"/>
        </w:rPr>
        <w:t xml:space="preserve"> </w:t>
      </w:r>
      <w:r>
        <w:rPr>
          <w:sz w:val="24"/>
        </w:rPr>
        <w:t>incentives</w:t>
      </w:r>
    </w:p>
    <w:p w:rsidR="007B31C8" w:rsidRDefault="006C3CB7" w14:paraId="28E5B229" w14:textId="32C216F3">
      <w:pPr>
        <w:pStyle w:val="ListParagraph"/>
        <w:numPr>
          <w:ilvl w:val="0"/>
          <w:numId w:val="11"/>
        </w:numPr>
        <w:tabs>
          <w:tab w:val="left" w:pos="940"/>
          <w:tab w:val="left" w:pos="941"/>
        </w:tabs>
        <w:spacing w:before="118"/>
        <w:ind w:hanging="361"/>
        <w:jc w:val="left"/>
        <w:rPr>
          <w:sz w:val="24"/>
        </w:rPr>
      </w:pPr>
      <w:r>
        <w:rPr>
          <w:sz w:val="24"/>
        </w:rPr>
        <w:t xml:space="preserve">Approves </w:t>
      </w:r>
      <w:r w:rsidRPr="00EF51D8" w:rsidR="00233EC5">
        <w:rPr>
          <w:sz w:val="24"/>
          <w:szCs w:val="24"/>
        </w:rPr>
        <w:t>$15,</w:t>
      </w:r>
      <w:r w:rsidRPr="0052414B" w:rsidR="001E05D1">
        <w:rPr>
          <w:sz w:val="24"/>
          <w:szCs w:val="24"/>
        </w:rPr>
        <w:t>299</w:t>
      </w:r>
      <w:r w:rsidRPr="00EF51D8" w:rsidR="00233EC5">
        <w:rPr>
          <w:sz w:val="24"/>
          <w:szCs w:val="24"/>
        </w:rPr>
        <w:t>,</w:t>
      </w:r>
      <w:r w:rsidRPr="00EF51D8" w:rsidR="001E05D1">
        <w:rPr>
          <w:sz w:val="24"/>
          <w:szCs w:val="24"/>
        </w:rPr>
        <w:t>119</w:t>
      </w:r>
      <w:r w:rsidRPr="0048716A" w:rsidR="00233EC5">
        <w:rPr>
          <w:sz w:val="24"/>
          <w:szCs w:val="24"/>
        </w:rPr>
        <w:t xml:space="preserve"> </w:t>
      </w:r>
      <w:r>
        <w:rPr>
          <w:sz w:val="24"/>
        </w:rPr>
        <w:t>in incentives for Pacific Gas and Electric</w:t>
      </w:r>
      <w:r>
        <w:rPr>
          <w:spacing w:val="-7"/>
          <w:sz w:val="24"/>
        </w:rPr>
        <w:t xml:space="preserve"> </w:t>
      </w:r>
      <w:r>
        <w:rPr>
          <w:sz w:val="24"/>
        </w:rPr>
        <w:t>Company</w:t>
      </w:r>
    </w:p>
    <w:p w:rsidR="007B31C8" w:rsidRDefault="006C3CB7" w14:paraId="0EF089A4" w14:textId="4266BF64">
      <w:pPr>
        <w:pStyle w:val="ListParagraph"/>
        <w:numPr>
          <w:ilvl w:val="0"/>
          <w:numId w:val="11"/>
        </w:numPr>
        <w:tabs>
          <w:tab w:val="left" w:pos="940"/>
          <w:tab w:val="left" w:pos="941"/>
        </w:tabs>
        <w:spacing w:before="120"/>
        <w:ind w:hanging="361"/>
        <w:jc w:val="left"/>
        <w:rPr>
          <w:sz w:val="24"/>
        </w:rPr>
      </w:pPr>
      <w:r>
        <w:rPr>
          <w:sz w:val="24"/>
        </w:rPr>
        <w:t xml:space="preserve">Approves </w:t>
      </w:r>
      <w:r w:rsidRPr="00590D0D" w:rsidR="00233EC5">
        <w:rPr>
          <w:sz w:val="24"/>
          <w:szCs w:val="24"/>
        </w:rPr>
        <w:t>$9,</w:t>
      </w:r>
      <w:r w:rsidRPr="00590D0D" w:rsidR="00976E8E">
        <w:rPr>
          <w:sz w:val="24"/>
          <w:szCs w:val="24"/>
        </w:rPr>
        <w:t>628,</w:t>
      </w:r>
      <w:r w:rsidRPr="00590D0D" w:rsidR="00590D0D">
        <w:rPr>
          <w:sz w:val="24"/>
          <w:szCs w:val="24"/>
        </w:rPr>
        <w:t>784</w:t>
      </w:r>
      <w:r w:rsidRPr="00316076" w:rsidR="00233EC5">
        <w:rPr>
          <w:sz w:val="24"/>
          <w:szCs w:val="24"/>
        </w:rPr>
        <w:t xml:space="preserve"> </w:t>
      </w:r>
      <w:r>
        <w:rPr>
          <w:sz w:val="24"/>
        </w:rPr>
        <w:t>in incentives for Southern California Edison</w:t>
      </w:r>
      <w:r>
        <w:rPr>
          <w:spacing w:val="-12"/>
          <w:sz w:val="24"/>
        </w:rPr>
        <w:t xml:space="preserve"> </w:t>
      </w:r>
      <w:r>
        <w:rPr>
          <w:sz w:val="24"/>
        </w:rPr>
        <w:t>Company</w:t>
      </w:r>
    </w:p>
    <w:p w:rsidR="007B31C8" w:rsidRDefault="006C3CB7" w14:paraId="3CDD1BA4" w14:textId="53535080">
      <w:pPr>
        <w:pStyle w:val="ListParagraph"/>
        <w:numPr>
          <w:ilvl w:val="0"/>
          <w:numId w:val="11"/>
        </w:numPr>
        <w:tabs>
          <w:tab w:val="left" w:pos="940"/>
          <w:tab w:val="left" w:pos="941"/>
        </w:tabs>
        <w:spacing w:before="121"/>
        <w:ind w:hanging="361"/>
        <w:jc w:val="left"/>
        <w:rPr>
          <w:sz w:val="24"/>
        </w:rPr>
      </w:pPr>
      <w:r>
        <w:rPr>
          <w:sz w:val="24"/>
        </w:rPr>
        <w:t xml:space="preserve">Approves </w:t>
      </w:r>
      <w:r w:rsidRPr="00590D0D" w:rsidR="00233EC5">
        <w:rPr>
          <w:sz w:val="24"/>
          <w:szCs w:val="24"/>
        </w:rPr>
        <w:t>$3,</w:t>
      </w:r>
      <w:r w:rsidRPr="00590D0D" w:rsidR="00590D0D">
        <w:rPr>
          <w:sz w:val="24"/>
          <w:szCs w:val="24"/>
        </w:rPr>
        <w:t>283,547</w:t>
      </w:r>
      <w:r w:rsidRPr="00316076" w:rsidR="00233EC5">
        <w:rPr>
          <w:sz w:val="24"/>
          <w:szCs w:val="24"/>
        </w:rPr>
        <w:t xml:space="preserve"> </w:t>
      </w:r>
      <w:r>
        <w:rPr>
          <w:sz w:val="24"/>
        </w:rPr>
        <w:t>in incentives for San Diego Gas &amp; Electric</w:t>
      </w:r>
      <w:r>
        <w:rPr>
          <w:spacing w:val="-9"/>
          <w:sz w:val="24"/>
        </w:rPr>
        <w:t xml:space="preserve"> </w:t>
      </w:r>
      <w:r>
        <w:rPr>
          <w:sz w:val="24"/>
        </w:rPr>
        <w:t>Company</w:t>
      </w:r>
    </w:p>
    <w:p w:rsidR="007B31C8" w:rsidRDefault="006C3CB7" w14:paraId="097A2BDD" w14:textId="77777777">
      <w:pPr>
        <w:pStyle w:val="Heading3"/>
        <w:spacing w:before="120"/>
        <w:ind w:left="580"/>
        <w:jc w:val="left"/>
      </w:pPr>
      <w:r>
        <w:t>SAFETY CONSIDERATIONS:</w:t>
      </w:r>
    </w:p>
    <w:p w:rsidR="007B31C8" w:rsidRDefault="006C3CB7" w14:paraId="2EF16320" w14:textId="77777777">
      <w:pPr>
        <w:pStyle w:val="ListParagraph"/>
        <w:numPr>
          <w:ilvl w:val="0"/>
          <w:numId w:val="11"/>
        </w:numPr>
        <w:tabs>
          <w:tab w:val="left" w:pos="940"/>
          <w:tab w:val="left" w:pos="941"/>
        </w:tabs>
        <w:spacing w:before="120"/>
        <w:ind w:hanging="361"/>
        <w:jc w:val="left"/>
        <w:rPr>
          <w:sz w:val="24"/>
        </w:rPr>
      </w:pPr>
      <w:r>
        <w:rPr>
          <w:sz w:val="24"/>
        </w:rPr>
        <w:t>This Resolution is not expected to have an impact on</w:t>
      </w:r>
      <w:r>
        <w:rPr>
          <w:spacing w:val="-1"/>
          <w:sz w:val="24"/>
        </w:rPr>
        <w:t xml:space="preserve"> </w:t>
      </w:r>
      <w:r>
        <w:rPr>
          <w:sz w:val="24"/>
        </w:rPr>
        <w:t>safety.</w:t>
      </w:r>
    </w:p>
    <w:p w:rsidR="007B31C8" w:rsidRDefault="006C3CB7" w14:paraId="7D74920C" w14:textId="68DA77F3">
      <w:pPr>
        <w:pStyle w:val="BodyText"/>
        <w:spacing w:before="238"/>
        <w:ind w:left="580" w:right="596"/>
        <w:jc w:val="both"/>
      </w:pPr>
      <w:r>
        <w:rPr>
          <w:b/>
        </w:rPr>
        <w:t xml:space="preserve">ESTIMATED COST: </w:t>
      </w:r>
      <w:r>
        <w:t xml:space="preserve">This Resolution approves </w:t>
      </w:r>
      <w:r w:rsidRPr="005353F3">
        <w:t>$</w:t>
      </w:r>
      <w:r w:rsidRPr="005353F3" w:rsidR="00E14EA1">
        <w:t>28,</w:t>
      </w:r>
      <w:r w:rsidRPr="0052414B" w:rsidR="005353F3">
        <w:t>211</w:t>
      </w:r>
      <w:r w:rsidRPr="005353F3" w:rsidR="00E14EA1">
        <w:t>,</w:t>
      </w:r>
      <w:r w:rsidRPr="005353F3" w:rsidR="005353F3">
        <w:t>450</w:t>
      </w:r>
      <w:r w:rsidR="00E14EA1">
        <w:t xml:space="preserve"> </w:t>
      </w:r>
      <w:r>
        <w:t>in incentive payments (“awards”) for implementing ratepayer-funded energy efficiency programs, to Pacific Gas and Electric Company, Southern California Edison Company, and San Diego Gas &amp; Electric Company.</w:t>
      </w:r>
    </w:p>
    <w:p w:rsidR="007B31C8" w:rsidRDefault="007B31C8" w14:paraId="7C13C4E0" w14:textId="77777777">
      <w:pPr>
        <w:pStyle w:val="BodyText"/>
        <w:rPr>
          <w:sz w:val="18"/>
        </w:rPr>
      </w:pPr>
    </w:p>
    <w:p w:rsidR="00063316" w:rsidRDefault="006C3CB7" w14:paraId="0F6482B9" w14:textId="4AF1516F">
      <w:pPr>
        <w:pStyle w:val="BodyText"/>
        <w:spacing w:before="1"/>
        <w:ind w:left="220" w:right="234"/>
        <w:jc w:val="both"/>
      </w:pPr>
      <w:r>
        <w:t>By Advice Letters (AL) Pacific Gas and Electric Company</w:t>
      </w:r>
      <w:bookmarkStart w:name="_Hlk51846211" w:id="1"/>
      <w:r w:rsidR="000722CB">
        <w:t xml:space="preserve"> </w:t>
      </w:r>
      <w:r w:rsidRPr="00DE76BD" w:rsidR="00DE76BD">
        <w:t>4304-G/5937-E</w:t>
      </w:r>
      <w:bookmarkEnd w:id="1"/>
      <w:r>
        <w:t>, Southern California Edison Company</w:t>
      </w:r>
      <w:r w:rsidR="00D42CF6">
        <w:t xml:space="preserve"> 4281 E</w:t>
      </w:r>
      <w:r>
        <w:t xml:space="preserve">, and San Diego Gas &amp; Electric </w:t>
      </w:r>
      <w:r w:rsidR="00A539F3">
        <w:t xml:space="preserve">Company </w:t>
      </w:r>
    </w:p>
    <w:p w:rsidR="007B31C8" w:rsidRDefault="00A539F3" w14:paraId="1D74C295" w14:textId="40D390BD">
      <w:pPr>
        <w:pStyle w:val="BodyText"/>
        <w:spacing w:before="1"/>
        <w:ind w:left="220" w:right="234"/>
        <w:jc w:val="both"/>
      </w:pPr>
      <w:r>
        <w:t>3598</w:t>
      </w:r>
      <w:r w:rsidR="00850854">
        <w:t xml:space="preserve"> E/</w:t>
      </w:r>
      <w:r w:rsidR="0042698E">
        <w:t>2898 G</w:t>
      </w:r>
      <w:r w:rsidR="00EF534F">
        <w:t xml:space="preserve"> </w:t>
      </w:r>
      <w:r w:rsidR="006C3CB7">
        <w:t xml:space="preserve">filed on September </w:t>
      </w:r>
      <w:r w:rsidR="00AB402B">
        <w:t>1</w:t>
      </w:r>
      <w:r w:rsidR="006C3CB7">
        <w:t xml:space="preserve">, </w:t>
      </w:r>
      <w:r w:rsidR="00AB402B">
        <w:t>2020</w:t>
      </w:r>
      <w:r w:rsidR="006C3CB7">
        <w:t>.</w:t>
      </w:r>
    </w:p>
    <w:p w:rsidR="007B31C8" w:rsidRDefault="007B31C8" w14:paraId="235995B0" w14:textId="77777777">
      <w:pPr>
        <w:pStyle w:val="BodyText"/>
        <w:spacing w:before="7"/>
        <w:rPr>
          <w:sz w:val="17"/>
        </w:rPr>
      </w:pPr>
    </w:p>
    <w:p w:rsidR="007B31C8" w:rsidRDefault="006C3CB7" w14:paraId="3ED04652" w14:textId="77777777">
      <w:pPr>
        <w:pStyle w:val="Heading1"/>
        <w:rPr>
          <w:u w:val="none"/>
        </w:rPr>
      </w:pPr>
      <w:r>
        <w:rPr>
          <w:u w:val="thick"/>
        </w:rPr>
        <w:t>SUMMARY</w:t>
      </w:r>
    </w:p>
    <w:p w:rsidR="007B31C8" w:rsidRDefault="007B31C8" w14:paraId="57269945" w14:textId="77777777">
      <w:pPr>
        <w:pStyle w:val="BodyText"/>
        <w:spacing w:before="1"/>
        <w:rPr>
          <w:rFonts w:ascii="Arial"/>
          <w:b/>
          <w:sz w:val="19"/>
        </w:rPr>
      </w:pPr>
    </w:p>
    <w:p w:rsidR="007B31C8" w:rsidRDefault="006C3CB7" w14:paraId="7ED2D1F7" w14:textId="77777777">
      <w:pPr>
        <w:pStyle w:val="BodyText"/>
        <w:spacing w:before="24"/>
        <w:ind w:left="220" w:right="233"/>
        <w:jc w:val="both"/>
      </w:pPr>
      <w:r>
        <w:t>Pacific Gas and Electric Company (PG&amp;E), Southern California Edison Company (SCE), and San Diego Gas &amp; Electric Company (SDG&amp;E) are referred to as investor-owned utilities (IOU).</w:t>
      </w:r>
    </w:p>
    <w:p w:rsidR="007B31C8" w:rsidRDefault="006C3CB7" w14:paraId="78CDF221" w14:textId="7E83DE0D">
      <w:pPr>
        <w:pStyle w:val="ListParagraph"/>
        <w:numPr>
          <w:ilvl w:val="0"/>
          <w:numId w:val="10"/>
        </w:numPr>
        <w:tabs>
          <w:tab w:val="left" w:pos="941"/>
        </w:tabs>
        <w:spacing w:before="120"/>
        <w:ind w:right="238"/>
        <w:rPr>
          <w:sz w:val="24"/>
        </w:rPr>
      </w:pPr>
      <w:r>
        <w:rPr>
          <w:sz w:val="24"/>
        </w:rPr>
        <w:t>This Resolution approves with adjustments each IOU’s program year (PY) 201</w:t>
      </w:r>
      <w:r w:rsidR="00AB402B">
        <w:rPr>
          <w:sz w:val="24"/>
        </w:rPr>
        <w:t>8</w:t>
      </w:r>
      <w:r>
        <w:rPr>
          <w:sz w:val="24"/>
        </w:rPr>
        <w:t xml:space="preserve"> and partial 201</w:t>
      </w:r>
      <w:r w:rsidR="00AB402B">
        <w:rPr>
          <w:sz w:val="24"/>
        </w:rPr>
        <w:t>9</w:t>
      </w:r>
      <w:r>
        <w:rPr>
          <w:sz w:val="24"/>
        </w:rPr>
        <w:t xml:space="preserve"> Efficiency Savings and Performance Incentive (ESPI)</w:t>
      </w:r>
      <w:r>
        <w:rPr>
          <w:spacing w:val="-11"/>
          <w:sz w:val="24"/>
        </w:rPr>
        <w:t xml:space="preserve"> </w:t>
      </w:r>
      <w:r>
        <w:rPr>
          <w:sz w:val="24"/>
        </w:rPr>
        <w:t>awards.</w:t>
      </w:r>
    </w:p>
    <w:p w:rsidR="009A7554" w:rsidRDefault="005D7D91" w14:paraId="37D214DA" w14:textId="77777777">
      <w:pPr>
        <w:pStyle w:val="ListParagraph"/>
        <w:numPr>
          <w:ilvl w:val="0"/>
          <w:numId w:val="10"/>
        </w:numPr>
        <w:tabs>
          <w:tab w:val="left" w:pos="941"/>
        </w:tabs>
        <w:spacing w:before="120"/>
        <w:ind w:right="238"/>
        <w:rPr>
          <w:sz w:val="24"/>
        </w:rPr>
        <w:sectPr w:rsidR="009A7554" w:rsidSect="00290E4D">
          <w:headerReference w:type="even" r:id="rId11"/>
          <w:headerReference w:type="default" r:id="rId12"/>
          <w:footerReference w:type="even" r:id="rId13"/>
          <w:footerReference w:type="default" r:id="rId14"/>
          <w:headerReference w:type="first" r:id="rId15"/>
          <w:footerReference w:type="first" r:id="rId16"/>
          <w:pgSz w:w="12240" w:h="15840"/>
          <w:pgMar w:top="1640" w:right="1200" w:bottom="1080" w:left="1220" w:header="926" w:footer="886" w:gutter="0"/>
          <w:cols w:space="720"/>
        </w:sectPr>
      </w:pPr>
      <w:r w:rsidRPr="005D7D91">
        <w:rPr>
          <w:sz w:val="24"/>
        </w:rPr>
        <w:t xml:space="preserve">This resolution does not </w:t>
      </w:r>
      <w:r>
        <w:rPr>
          <w:sz w:val="24"/>
        </w:rPr>
        <w:t xml:space="preserve">include </w:t>
      </w:r>
      <w:r w:rsidRPr="005D7D91">
        <w:rPr>
          <w:sz w:val="24"/>
        </w:rPr>
        <w:t>earnings for S</w:t>
      </w:r>
      <w:r w:rsidR="00742411">
        <w:rPr>
          <w:sz w:val="24"/>
        </w:rPr>
        <w:t xml:space="preserve">outhern </w:t>
      </w:r>
      <w:r w:rsidRPr="005D7D91">
        <w:rPr>
          <w:sz w:val="24"/>
        </w:rPr>
        <w:t>C</w:t>
      </w:r>
      <w:r w:rsidR="00742411">
        <w:rPr>
          <w:sz w:val="24"/>
        </w:rPr>
        <w:t xml:space="preserve">alifornia </w:t>
      </w:r>
      <w:r w:rsidRPr="005D7D91">
        <w:rPr>
          <w:sz w:val="24"/>
        </w:rPr>
        <w:t>G</w:t>
      </w:r>
      <w:r w:rsidR="00742411">
        <w:rPr>
          <w:sz w:val="24"/>
        </w:rPr>
        <w:t xml:space="preserve">as Company </w:t>
      </w:r>
    </w:p>
    <w:p w:rsidR="00EC008E" w:rsidRDefault="00742411" w14:paraId="1067809B" w14:textId="1524976E">
      <w:pPr>
        <w:pStyle w:val="ListParagraph"/>
        <w:numPr>
          <w:ilvl w:val="0"/>
          <w:numId w:val="10"/>
        </w:numPr>
        <w:tabs>
          <w:tab w:val="left" w:pos="941"/>
        </w:tabs>
        <w:spacing w:before="120"/>
        <w:ind w:right="238"/>
        <w:rPr>
          <w:sz w:val="24"/>
        </w:rPr>
      </w:pPr>
      <w:r>
        <w:rPr>
          <w:sz w:val="24"/>
        </w:rPr>
        <w:lastRenderedPageBreak/>
        <w:t>(SCG)</w:t>
      </w:r>
      <w:r w:rsidRPr="005D7D91" w:rsidR="005D7D91">
        <w:rPr>
          <w:sz w:val="24"/>
        </w:rPr>
        <w:t xml:space="preserve">, as these earnings </w:t>
      </w:r>
      <w:r w:rsidR="00F2059B">
        <w:rPr>
          <w:sz w:val="24"/>
        </w:rPr>
        <w:t>will be addressed after</w:t>
      </w:r>
      <w:r w:rsidRPr="005D7D91" w:rsidR="005D7D91">
        <w:rPr>
          <w:sz w:val="24"/>
        </w:rPr>
        <w:t xml:space="preserve"> </w:t>
      </w:r>
      <w:r w:rsidR="00585758">
        <w:rPr>
          <w:sz w:val="24"/>
        </w:rPr>
        <w:t>the Commission makes a determination on the</w:t>
      </w:r>
      <w:r w:rsidRPr="005D7D91" w:rsidR="005D7D91">
        <w:rPr>
          <w:sz w:val="24"/>
        </w:rPr>
        <w:t xml:space="preserve"> outstanding Order</w:t>
      </w:r>
      <w:r w:rsidR="00585758">
        <w:rPr>
          <w:sz w:val="24"/>
        </w:rPr>
        <w:t>s</w:t>
      </w:r>
      <w:r w:rsidRPr="005D7D91" w:rsidR="005D7D91">
        <w:rPr>
          <w:sz w:val="24"/>
        </w:rPr>
        <w:t xml:space="preserve"> to Show Cause</w:t>
      </w:r>
      <w:r w:rsidR="00947CA8">
        <w:rPr>
          <w:rStyle w:val="FootnoteReference"/>
          <w:sz w:val="24"/>
        </w:rPr>
        <w:footnoteReference w:id="2"/>
      </w:r>
      <w:r w:rsidRPr="00290E4D" w:rsidR="00E0510B">
        <w:rPr>
          <w:sz w:val="24"/>
          <w:vertAlign w:val="superscript"/>
        </w:rPr>
        <w:t>,</w:t>
      </w:r>
      <w:r w:rsidR="0092502F">
        <w:rPr>
          <w:rStyle w:val="FootnoteReference"/>
          <w:sz w:val="24"/>
        </w:rPr>
        <w:footnoteReference w:id="3"/>
      </w:r>
      <w:r w:rsidR="00A151A9">
        <w:rPr>
          <w:sz w:val="24"/>
        </w:rPr>
        <w:t>.</w:t>
      </w:r>
    </w:p>
    <w:p w:rsidR="003150CA" w:rsidP="00290E4D" w:rsidRDefault="003150CA" w14:paraId="48A0D36E" w14:textId="77777777">
      <w:pPr>
        <w:pStyle w:val="ListParagraph"/>
        <w:tabs>
          <w:tab w:val="left" w:pos="941"/>
        </w:tabs>
        <w:spacing w:before="120"/>
        <w:ind w:left="940" w:right="238" w:firstLine="0"/>
        <w:rPr>
          <w:sz w:val="24"/>
        </w:rPr>
      </w:pPr>
    </w:p>
    <w:p w:rsidR="00F26991" w:rsidP="00F26991" w:rsidRDefault="00F26991" w14:paraId="6054361C" w14:textId="7B351A36">
      <w:pPr>
        <w:pStyle w:val="BodyText"/>
        <w:numPr>
          <w:ilvl w:val="0"/>
          <w:numId w:val="10"/>
        </w:numPr>
        <w:spacing w:before="24"/>
      </w:pPr>
      <w:r>
        <w:t>The final incentives are detailed in Tables 1 and 2.</w:t>
      </w:r>
    </w:p>
    <w:p w:rsidR="007B31C8" w:rsidRDefault="007B31C8" w14:paraId="0C21A9BA" w14:textId="77777777">
      <w:pPr>
        <w:pStyle w:val="BodyText"/>
        <w:rPr>
          <w:sz w:val="20"/>
        </w:rPr>
      </w:pPr>
    </w:p>
    <w:p w:rsidR="007B31C8" w:rsidRDefault="006C3CB7" w14:paraId="663A13FA" w14:textId="24F54FEB">
      <w:pPr>
        <w:pStyle w:val="BodyText"/>
        <w:spacing w:before="24" w:after="37"/>
        <w:ind w:left="1109" w:right="1158"/>
        <w:jc w:val="center"/>
      </w:pPr>
      <w:r>
        <w:t>Table 1: Final ESPI Awards for 201</w:t>
      </w:r>
      <w:r w:rsidR="00AB402B">
        <w:t>8</w:t>
      </w:r>
      <w:r>
        <w:t xml:space="preserve"> and 201</w:t>
      </w:r>
      <w:r w:rsidR="00AB402B">
        <w:t>9</w:t>
      </w:r>
    </w:p>
    <w:tbl>
      <w:tblPr>
        <w:tblW w:w="0" w:type="auto"/>
        <w:tblInd w:w="2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40"/>
        <w:gridCol w:w="2341"/>
        <w:gridCol w:w="2341"/>
        <w:gridCol w:w="2341"/>
      </w:tblGrid>
      <w:tr w:rsidR="007B31C8" w14:paraId="65944655" w14:textId="77777777">
        <w:trPr>
          <w:trHeight w:val="323"/>
        </w:trPr>
        <w:tc>
          <w:tcPr>
            <w:tcW w:w="2340" w:type="dxa"/>
          </w:tcPr>
          <w:p w:rsidR="007B31C8" w:rsidRDefault="006C3CB7" w14:paraId="5D1D5435" w14:textId="77777777">
            <w:pPr>
              <w:pStyle w:val="TableParagraph"/>
              <w:spacing w:line="303" w:lineRule="exact"/>
              <w:ind w:left="732" w:right="716"/>
              <w:jc w:val="center"/>
              <w:rPr>
                <w:b/>
                <w:sz w:val="24"/>
              </w:rPr>
            </w:pPr>
            <w:r>
              <w:rPr>
                <w:b/>
                <w:sz w:val="24"/>
              </w:rPr>
              <w:t>IOU</w:t>
            </w:r>
          </w:p>
        </w:tc>
        <w:tc>
          <w:tcPr>
            <w:tcW w:w="2341" w:type="dxa"/>
          </w:tcPr>
          <w:p w:rsidR="007B31C8" w:rsidRDefault="006C3CB7" w14:paraId="49344ECB" w14:textId="77777777">
            <w:pPr>
              <w:pStyle w:val="TableParagraph"/>
              <w:spacing w:line="303" w:lineRule="exact"/>
              <w:ind w:left="129"/>
              <w:jc w:val="left"/>
              <w:rPr>
                <w:b/>
                <w:sz w:val="24"/>
              </w:rPr>
            </w:pPr>
            <w:r>
              <w:rPr>
                <w:b/>
                <w:sz w:val="24"/>
              </w:rPr>
              <w:t>Awards Requested</w:t>
            </w:r>
          </w:p>
        </w:tc>
        <w:tc>
          <w:tcPr>
            <w:tcW w:w="2341" w:type="dxa"/>
          </w:tcPr>
          <w:p w:rsidR="007B31C8" w:rsidRDefault="006C3CB7" w14:paraId="76BF9DE8" w14:textId="77777777">
            <w:pPr>
              <w:pStyle w:val="TableParagraph"/>
              <w:spacing w:line="303" w:lineRule="exact"/>
              <w:ind w:left="110" w:right="29"/>
              <w:jc w:val="center"/>
              <w:rPr>
                <w:b/>
                <w:sz w:val="24"/>
              </w:rPr>
            </w:pPr>
            <w:r>
              <w:rPr>
                <w:b/>
                <w:sz w:val="24"/>
              </w:rPr>
              <w:t>Adjustment</w:t>
            </w:r>
          </w:p>
        </w:tc>
        <w:tc>
          <w:tcPr>
            <w:tcW w:w="2341" w:type="dxa"/>
          </w:tcPr>
          <w:p w:rsidR="007B31C8" w:rsidRDefault="006C3CB7" w14:paraId="3019B728" w14:textId="0FA3E03A">
            <w:pPr>
              <w:pStyle w:val="TableParagraph"/>
              <w:spacing w:line="303" w:lineRule="exact"/>
              <w:ind w:left="110" w:right="151"/>
              <w:jc w:val="center"/>
              <w:rPr>
                <w:b/>
                <w:sz w:val="24"/>
              </w:rPr>
            </w:pPr>
            <w:r>
              <w:rPr>
                <w:b/>
                <w:sz w:val="24"/>
              </w:rPr>
              <w:t>Awards Approved</w:t>
            </w:r>
          </w:p>
        </w:tc>
      </w:tr>
      <w:tr w:rsidR="00233EC5" w14:paraId="68F76E3B" w14:textId="77777777">
        <w:trPr>
          <w:trHeight w:val="325"/>
        </w:trPr>
        <w:tc>
          <w:tcPr>
            <w:tcW w:w="2340" w:type="dxa"/>
          </w:tcPr>
          <w:p w:rsidR="00233EC5" w:rsidP="00233EC5" w:rsidRDefault="00233EC5" w14:paraId="045B0BB1" w14:textId="77777777">
            <w:pPr>
              <w:pStyle w:val="TableParagraph"/>
              <w:spacing w:before="2" w:line="304" w:lineRule="exact"/>
              <w:ind w:left="730" w:right="716"/>
              <w:jc w:val="center"/>
              <w:rPr>
                <w:sz w:val="24"/>
              </w:rPr>
            </w:pPr>
            <w:r>
              <w:rPr>
                <w:sz w:val="24"/>
              </w:rPr>
              <w:t>PG&amp;E</w:t>
            </w:r>
          </w:p>
        </w:tc>
        <w:tc>
          <w:tcPr>
            <w:tcW w:w="2341" w:type="dxa"/>
          </w:tcPr>
          <w:p w:rsidRPr="005975B3" w:rsidR="00233EC5" w:rsidP="00233EC5" w:rsidRDefault="00233EC5" w14:paraId="33DC2C7D" w14:textId="7207B752">
            <w:pPr>
              <w:pStyle w:val="TableParagraph"/>
              <w:spacing w:before="2" w:line="304" w:lineRule="exact"/>
              <w:ind w:left="672"/>
              <w:jc w:val="left"/>
              <w:rPr>
                <w:sz w:val="24"/>
                <w:szCs w:val="24"/>
              </w:rPr>
            </w:pPr>
            <w:r w:rsidRPr="005975B3">
              <w:rPr>
                <w:sz w:val="24"/>
                <w:szCs w:val="24"/>
              </w:rPr>
              <w:t>$15,559,989</w:t>
            </w:r>
          </w:p>
        </w:tc>
        <w:tc>
          <w:tcPr>
            <w:tcW w:w="2341" w:type="dxa"/>
          </w:tcPr>
          <w:p w:rsidRPr="0052414B" w:rsidR="00233EC5" w:rsidP="00233EC5" w:rsidRDefault="003752B8" w14:paraId="20A3912D" w14:textId="74C4543A">
            <w:pPr>
              <w:pStyle w:val="TableParagraph"/>
              <w:spacing w:before="2" w:line="304" w:lineRule="exact"/>
              <w:ind w:left="110" w:right="29"/>
              <w:jc w:val="center"/>
              <w:rPr>
                <w:sz w:val="24"/>
                <w:szCs w:val="24"/>
                <w:highlight w:val="yellow"/>
              </w:rPr>
            </w:pPr>
            <w:r w:rsidRPr="0052414B">
              <w:rPr>
                <w:color w:val="FF0000"/>
                <w:sz w:val="24"/>
                <w:szCs w:val="24"/>
              </w:rPr>
              <w:t>(</w:t>
            </w:r>
            <w:r w:rsidRPr="0052414B" w:rsidR="00233EC5">
              <w:rPr>
                <w:color w:val="FF0000"/>
                <w:sz w:val="24"/>
                <w:szCs w:val="24"/>
              </w:rPr>
              <w:t>$</w:t>
            </w:r>
            <w:r w:rsidRPr="0052414B">
              <w:rPr>
                <w:color w:val="FF0000"/>
                <w:sz w:val="24"/>
                <w:szCs w:val="24"/>
              </w:rPr>
              <w:t>260,870)</w:t>
            </w:r>
          </w:p>
        </w:tc>
        <w:tc>
          <w:tcPr>
            <w:tcW w:w="2341" w:type="dxa"/>
          </w:tcPr>
          <w:p w:rsidRPr="0052414B" w:rsidR="00233EC5" w:rsidP="00233EC5" w:rsidRDefault="00233EC5" w14:paraId="3E05360D" w14:textId="72D9593F">
            <w:pPr>
              <w:pStyle w:val="TableParagraph"/>
              <w:spacing w:before="2" w:line="304" w:lineRule="exact"/>
              <w:ind w:left="110" w:right="100"/>
              <w:jc w:val="center"/>
              <w:rPr>
                <w:sz w:val="24"/>
                <w:szCs w:val="24"/>
                <w:highlight w:val="yellow"/>
              </w:rPr>
            </w:pPr>
            <w:r w:rsidRPr="000B7D2F">
              <w:rPr>
                <w:sz w:val="24"/>
                <w:szCs w:val="24"/>
              </w:rPr>
              <w:t>$15,</w:t>
            </w:r>
            <w:r w:rsidRPr="0052414B" w:rsidR="000B7D2F">
              <w:rPr>
                <w:sz w:val="24"/>
                <w:szCs w:val="24"/>
              </w:rPr>
              <w:t>299,119</w:t>
            </w:r>
          </w:p>
        </w:tc>
      </w:tr>
      <w:tr w:rsidR="00233EC5" w14:paraId="72AAFE83" w14:textId="77777777">
        <w:trPr>
          <w:trHeight w:val="323"/>
        </w:trPr>
        <w:tc>
          <w:tcPr>
            <w:tcW w:w="2340" w:type="dxa"/>
          </w:tcPr>
          <w:p w:rsidR="00233EC5" w:rsidP="00233EC5" w:rsidRDefault="00233EC5" w14:paraId="774CC1A5" w14:textId="77777777">
            <w:pPr>
              <w:pStyle w:val="TableParagraph"/>
              <w:spacing w:line="303" w:lineRule="exact"/>
              <w:ind w:left="734" w:right="716"/>
              <w:jc w:val="center"/>
              <w:rPr>
                <w:sz w:val="24"/>
              </w:rPr>
            </w:pPr>
            <w:r>
              <w:rPr>
                <w:sz w:val="24"/>
              </w:rPr>
              <w:t>SCE</w:t>
            </w:r>
          </w:p>
        </w:tc>
        <w:tc>
          <w:tcPr>
            <w:tcW w:w="2341" w:type="dxa"/>
          </w:tcPr>
          <w:p w:rsidRPr="005975B3" w:rsidR="00233EC5" w:rsidP="00233EC5" w:rsidRDefault="00233EC5" w14:paraId="56ADCC94" w14:textId="1741AF3D">
            <w:pPr>
              <w:pStyle w:val="TableParagraph"/>
              <w:spacing w:line="303" w:lineRule="exact"/>
              <w:ind w:left="672"/>
              <w:jc w:val="left"/>
              <w:rPr>
                <w:sz w:val="24"/>
                <w:szCs w:val="24"/>
              </w:rPr>
            </w:pPr>
            <w:r w:rsidRPr="005975B3">
              <w:rPr>
                <w:sz w:val="24"/>
                <w:szCs w:val="24"/>
              </w:rPr>
              <w:t>$9,574,787</w:t>
            </w:r>
          </w:p>
        </w:tc>
        <w:tc>
          <w:tcPr>
            <w:tcW w:w="2341" w:type="dxa"/>
          </w:tcPr>
          <w:p w:rsidRPr="0052414B" w:rsidR="00233EC5" w:rsidP="00233EC5" w:rsidRDefault="00233EC5" w14:paraId="648E2A7F" w14:textId="0402A707">
            <w:pPr>
              <w:pStyle w:val="TableParagraph"/>
              <w:spacing w:line="303" w:lineRule="exact"/>
              <w:ind w:left="110" w:right="29"/>
              <w:jc w:val="center"/>
              <w:rPr>
                <w:sz w:val="24"/>
                <w:szCs w:val="24"/>
                <w:highlight w:val="yellow"/>
              </w:rPr>
            </w:pPr>
            <w:r w:rsidRPr="00FE3545">
              <w:rPr>
                <w:sz w:val="24"/>
                <w:szCs w:val="24"/>
              </w:rPr>
              <w:t>$</w:t>
            </w:r>
            <w:r w:rsidRPr="0052414B" w:rsidR="00FE3545">
              <w:rPr>
                <w:sz w:val="24"/>
                <w:szCs w:val="24"/>
              </w:rPr>
              <w:t>53,997</w:t>
            </w:r>
          </w:p>
        </w:tc>
        <w:tc>
          <w:tcPr>
            <w:tcW w:w="2341" w:type="dxa"/>
          </w:tcPr>
          <w:p w:rsidRPr="0052414B" w:rsidR="00233EC5" w:rsidP="00233EC5" w:rsidRDefault="00233EC5" w14:paraId="3D013715" w14:textId="78C73491">
            <w:pPr>
              <w:pStyle w:val="TableParagraph"/>
              <w:spacing w:line="303" w:lineRule="exact"/>
              <w:ind w:left="110" w:right="100"/>
              <w:jc w:val="center"/>
              <w:rPr>
                <w:sz w:val="24"/>
                <w:szCs w:val="24"/>
                <w:highlight w:val="yellow"/>
              </w:rPr>
            </w:pPr>
            <w:r w:rsidRPr="00CE507F">
              <w:rPr>
                <w:sz w:val="24"/>
                <w:szCs w:val="24"/>
              </w:rPr>
              <w:t>$9,</w:t>
            </w:r>
            <w:r w:rsidRPr="0052414B" w:rsidR="00CE507F">
              <w:rPr>
                <w:sz w:val="24"/>
                <w:szCs w:val="24"/>
              </w:rPr>
              <w:t>628</w:t>
            </w:r>
            <w:r w:rsidRPr="00CE507F">
              <w:rPr>
                <w:sz w:val="24"/>
                <w:szCs w:val="24"/>
              </w:rPr>
              <w:t>,</w:t>
            </w:r>
            <w:r w:rsidRPr="0052414B" w:rsidR="00CE507F">
              <w:rPr>
                <w:sz w:val="24"/>
                <w:szCs w:val="24"/>
              </w:rPr>
              <w:t>784</w:t>
            </w:r>
          </w:p>
        </w:tc>
      </w:tr>
      <w:tr w:rsidR="00233EC5" w14:paraId="10B8130D" w14:textId="77777777">
        <w:trPr>
          <w:trHeight w:val="323"/>
        </w:trPr>
        <w:tc>
          <w:tcPr>
            <w:tcW w:w="2340" w:type="dxa"/>
          </w:tcPr>
          <w:p w:rsidR="00233EC5" w:rsidP="00233EC5" w:rsidRDefault="00233EC5" w14:paraId="24F2D849" w14:textId="77777777">
            <w:pPr>
              <w:pStyle w:val="TableParagraph"/>
              <w:spacing w:line="303" w:lineRule="exact"/>
              <w:ind w:left="734" w:right="716"/>
              <w:jc w:val="center"/>
              <w:rPr>
                <w:sz w:val="24"/>
              </w:rPr>
            </w:pPr>
            <w:r>
              <w:rPr>
                <w:sz w:val="24"/>
              </w:rPr>
              <w:t>SDG&amp;E</w:t>
            </w:r>
          </w:p>
        </w:tc>
        <w:tc>
          <w:tcPr>
            <w:tcW w:w="2341" w:type="dxa"/>
          </w:tcPr>
          <w:p w:rsidRPr="005975B3" w:rsidR="00233EC5" w:rsidP="00233EC5" w:rsidRDefault="00233EC5" w14:paraId="13602331" w14:textId="0D38A733">
            <w:pPr>
              <w:pStyle w:val="TableParagraph"/>
              <w:spacing w:line="303" w:lineRule="exact"/>
              <w:ind w:left="732"/>
              <w:jc w:val="left"/>
              <w:rPr>
                <w:sz w:val="24"/>
                <w:szCs w:val="24"/>
              </w:rPr>
            </w:pPr>
            <w:r w:rsidRPr="005975B3">
              <w:rPr>
                <w:sz w:val="24"/>
                <w:szCs w:val="24"/>
              </w:rPr>
              <w:t>$3,160,139</w:t>
            </w:r>
          </w:p>
        </w:tc>
        <w:tc>
          <w:tcPr>
            <w:tcW w:w="2341" w:type="dxa"/>
          </w:tcPr>
          <w:p w:rsidRPr="0052414B" w:rsidR="00233EC5" w:rsidP="00233EC5" w:rsidRDefault="00233EC5" w14:paraId="6A32CAE4" w14:textId="3EFAF8A9">
            <w:pPr>
              <w:pStyle w:val="TableParagraph"/>
              <w:spacing w:line="303" w:lineRule="exact"/>
              <w:ind w:left="110" w:right="29"/>
              <w:jc w:val="center"/>
              <w:rPr>
                <w:color w:val="FF0000"/>
                <w:sz w:val="24"/>
                <w:szCs w:val="24"/>
                <w:highlight w:val="yellow"/>
              </w:rPr>
            </w:pPr>
            <w:r w:rsidRPr="0052414B">
              <w:rPr>
                <w:sz w:val="24"/>
                <w:szCs w:val="24"/>
              </w:rPr>
              <w:t>$</w:t>
            </w:r>
            <w:r w:rsidRPr="0052414B" w:rsidR="00740498">
              <w:rPr>
                <w:sz w:val="24"/>
                <w:szCs w:val="24"/>
              </w:rPr>
              <w:t>123</w:t>
            </w:r>
            <w:r w:rsidRPr="0052414B">
              <w:rPr>
                <w:sz w:val="24"/>
                <w:szCs w:val="24"/>
              </w:rPr>
              <w:t>,</w:t>
            </w:r>
            <w:r w:rsidRPr="0052414B" w:rsidR="00740498">
              <w:rPr>
                <w:sz w:val="24"/>
                <w:szCs w:val="24"/>
              </w:rPr>
              <w:t>408</w:t>
            </w:r>
          </w:p>
        </w:tc>
        <w:tc>
          <w:tcPr>
            <w:tcW w:w="2341" w:type="dxa"/>
          </w:tcPr>
          <w:p w:rsidRPr="0052414B" w:rsidR="00233EC5" w:rsidP="00233EC5" w:rsidRDefault="00233EC5" w14:paraId="399E8098" w14:textId="149AEF3A">
            <w:pPr>
              <w:pStyle w:val="TableParagraph"/>
              <w:spacing w:line="303" w:lineRule="exact"/>
              <w:ind w:left="110" w:right="100"/>
              <w:jc w:val="center"/>
              <w:rPr>
                <w:sz w:val="24"/>
                <w:szCs w:val="24"/>
                <w:highlight w:val="yellow"/>
              </w:rPr>
            </w:pPr>
            <w:r w:rsidRPr="00940B25">
              <w:rPr>
                <w:sz w:val="24"/>
                <w:szCs w:val="24"/>
              </w:rPr>
              <w:t>$3,</w:t>
            </w:r>
            <w:r w:rsidRPr="0052414B" w:rsidR="00940B25">
              <w:rPr>
                <w:sz w:val="24"/>
                <w:szCs w:val="24"/>
              </w:rPr>
              <w:t>283</w:t>
            </w:r>
            <w:r w:rsidRPr="00940B25">
              <w:rPr>
                <w:sz w:val="24"/>
                <w:szCs w:val="24"/>
              </w:rPr>
              <w:t>,</w:t>
            </w:r>
            <w:r w:rsidRPr="0052414B" w:rsidR="00940B25">
              <w:rPr>
                <w:sz w:val="24"/>
                <w:szCs w:val="24"/>
              </w:rPr>
              <w:t>547</w:t>
            </w:r>
          </w:p>
        </w:tc>
      </w:tr>
    </w:tbl>
    <w:p w:rsidR="007B31C8" w:rsidRDefault="007B31C8" w14:paraId="00BF864F" w14:textId="77777777">
      <w:pPr>
        <w:pStyle w:val="BodyText"/>
      </w:pPr>
    </w:p>
    <w:p w:rsidR="007B31C8" w:rsidRDefault="007B31C8" w14:paraId="4E903B19" w14:textId="77777777">
      <w:pPr>
        <w:pStyle w:val="BodyText"/>
        <w:spacing w:before="11"/>
        <w:rPr>
          <w:sz w:val="17"/>
        </w:rPr>
      </w:pPr>
    </w:p>
    <w:p w:rsidR="007B31C8" w:rsidRDefault="006C3CB7" w14:paraId="0E3802FB" w14:textId="2C0303E3">
      <w:pPr>
        <w:pStyle w:val="BodyText"/>
        <w:ind w:left="1138" w:right="1158"/>
        <w:jc w:val="center"/>
      </w:pPr>
      <w:r>
        <w:t>Table 2: Approved ESPI Awards per Component</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53"/>
        <w:gridCol w:w="1524"/>
        <w:gridCol w:w="1595"/>
        <w:gridCol w:w="1592"/>
      </w:tblGrid>
      <w:tr w:rsidR="00233EC5" w:rsidTr="00F27A0E" w14:paraId="61D3F7B3" w14:textId="77777777">
        <w:trPr>
          <w:trHeight w:val="323"/>
        </w:trPr>
        <w:tc>
          <w:tcPr>
            <w:tcW w:w="4653" w:type="dxa"/>
            <w:tcBorders>
              <w:top w:val="single" w:color="000000" w:sz="4" w:space="0"/>
              <w:left w:val="single" w:color="000000" w:sz="4" w:space="0"/>
              <w:bottom w:val="single" w:color="auto" w:sz="4" w:space="0"/>
              <w:right w:val="single" w:color="000000" w:sz="4" w:space="0"/>
            </w:tcBorders>
          </w:tcPr>
          <w:p w:rsidR="00233EC5" w:rsidP="00233EC5" w:rsidRDefault="00233EC5" w14:paraId="47F9D8A1" w14:textId="77777777">
            <w:pPr>
              <w:spacing w:line="306" w:lineRule="exact"/>
              <w:rPr>
                <w:b/>
                <w:sz w:val="24"/>
              </w:rPr>
            </w:pPr>
            <w:r>
              <w:rPr>
                <w:b/>
                <w:sz w:val="24"/>
              </w:rPr>
              <w:t>Component</w:t>
            </w:r>
          </w:p>
        </w:tc>
        <w:tc>
          <w:tcPr>
            <w:tcW w:w="1524" w:type="dxa"/>
            <w:tcBorders>
              <w:top w:val="single" w:color="000000" w:sz="4" w:space="0"/>
              <w:left w:val="single" w:color="000000" w:sz="4" w:space="0"/>
              <w:bottom w:val="single" w:color="auto" w:sz="4" w:space="0"/>
              <w:right w:val="single" w:color="000000" w:sz="4" w:space="0"/>
            </w:tcBorders>
          </w:tcPr>
          <w:p w:rsidR="00233EC5" w:rsidP="00F27A0E" w:rsidRDefault="00233EC5" w14:paraId="56F8843C" w14:textId="77777777">
            <w:pPr>
              <w:spacing w:line="306" w:lineRule="exact"/>
              <w:jc w:val="center"/>
              <w:rPr>
                <w:b/>
                <w:sz w:val="24"/>
              </w:rPr>
            </w:pPr>
            <w:r>
              <w:rPr>
                <w:b/>
                <w:sz w:val="24"/>
              </w:rPr>
              <w:t>PG&amp;E</w:t>
            </w:r>
          </w:p>
        </w:tc>
        <w:tc>
          <w:tcPr>
            <w:tcW w:w="1595" w:type="dxa"/>
            <w:tcBorders>
              <w:top w:val="single" w:color="000000" w:sz="4" w:space="0"/>
              <w:left w:val="single" w:color="000000" w:sz="4" w:space="0"/>
              <w:bottom w:val="single" w:color="auto" w:sz="4" w:space="0"/>
              <w:right w:val="single" w:color="000000" w:sz="4" w:space="0"/>
            </w:tcBorders>
          </w:tcPr>
          <w:p w:rsidR="00233EC5" w:rsidP="00F27A0E" w:rsidRDefault="00233EC5" w14:paraId="16F5D348" w14:textId="77777777">
            <w:pPr>
              <w:spacing w:line="306" w:lineRule="exact"/>
              <w:jc w:val="center"/>
              <w:rPr>
                <w:b/>
                <w:sz w:val="24"/>
              </w:rPr>
            </w:pPr>
            <w:r>
              <w:rPr>
                <w:b/>
                <w:sz w:val="24"/>
              </w:rPr>
              <w:t>SCE</w:t>
            </w:r>
          </w:p>
        </w:tc>
        <w:tc>
          <w:tcPr>
            <w:tcW w:w="1592" w:type="dxa"/>
            <w:tcBorders>
              <w:top w:val="single" w:color="000000" w:sz="4" w:space="0"/>
              <w:left w:val="single" w:color="000000" w:sz="4" w:space="0"/>
              <w:bottom w:val="single" w:color="auto" w:sz="4" w:space="0"/>
              <w:right w:val="single" w:color="000000" w:sz="4" w:space="0"/>
            </w:tcBorders>
          </w:tcPr>
          <w:p w:rsidR="00233EC5" w:rsidP="00F27A0E" w:rsidRDefault="00233EC5" w14:paraId="6FB730B1" w14:textId="77777777">
            <w:pPr>
              <w:spacing w:line="306" w:lineRule="exact"/>
              <w:jc w:val="center"/>
              <w:rPr>
                <w:b/>
                <w:sz w:val="24"/>
              </w:rPr>
            </w:pPr>
            <w:r>
              <w:rPr>
                <w:b/>
                <w:sz w:val="24"/>
              </w:rPr>
              <w:t>SDG&amp;E</w:t>
            </w:r>
          </w:p>
        </w:tc>
      </w:tr>
      <w:tr w:rsidR="00233EC5" w:rsidTr="00F27A0E" w14:paraId="7153CC2C" w14:textId="77777777">
        <w:trPr>
          <w:trHeight w:val="323"/>
        </w:trPr>
        <w:tc>
          <w:tcPr>
            <w:tcW w:w="4653" w:type="dxa"/>
            <w:tcBorders>
              <w:top w:val="single" w:color="auto" w:sz="4" w:space="0"/>
              <w:left w:val="single" w:color="000000" w:sz="4" w:space="0"/>
              <w:bottom w:val="nil"/>
              <w:right w:val="single" w:color="auto" w:sz="4" w:space="0"/>
            </w:tcBorders>
          </w:tcPr>
          <w:p w:rsidRPr="00F27A0E" w:rsidR="00233EC5" w:rsidP="00233EC5" w:rsidRDefault="00233EC5" w14:paraId="1BD2828B" w14:textId="1CDDC479">
            <w:pPr>
              <w:spacing w:line="306" w:lineRule="exact"/>
              <w:rPr>
                <w:bCs/>
                <w:sz w:val="24"/>
              </w:rPr>
            </w:pPr>
            <w:r w:rsidRPr="00F27A0E">
              <w:rPr>
                <w:bCs/>
                <w:sz w:val="24"/>
              </w:rPr>
              <w:t xml:space="preserve">2018 Ex-Post Savings </w:t>
            </w:r>
          </w:p>
        </w:tc>
        <w:tc>
          <w:tcPr>
            <w:tcW w:w="1524" w:type="dxa"/>
            <w:tcBorders>
              <w:top w:val="single" w:color="auto" w:sz="4" w:space="0"/>
              <w:left w:val="single" w:color="auto" w:sz="4" w:space="0"/>
              <w:bottom w:val="nil"/>
              <w:right w:val="single" w:color="auto" w:sz="4" w:space="0"/>
            </w:tcBorders>
          </w:tcPr>
          <w:p w:rsidRPr="0052414B" w:rsidR="00233EC5" w:rsidP="00F27A0E" w:rsidRDefault="00903E7B" w14:paraId="75E6D347" w14:textId="16D8451C">
            <w:pPr>
              <w:pStyle w:val="TableParagraph"/>
              <w:spacing w:line="288" w:lineRule="exact"/>
              <w:ind w:right="106"/>
              <w:rPr>
                <w:sz w:val="24"/>
                <w:szCs w:val="24"/>
                <w:highlight w:val="yellow"/>
              </w:rPr>
            </w:pPr>
            <w:r w:rsidRPr="0052414B">
              <w:rPr>
                <w:sz w:val="24"/>
                <w:szCs w:val="24"/>
              </w:rPr>
              <w:t>$</w:t>
            </w:r>
            <w:r w:rsidRPr="0052414B" w:rsidR="00FA78B7">
              <w:rPr>
                <w:sz w:val="24"/>
                <w:szCs w:val="24"/>
              </w:rPr>
              <w:t>6,511,764</w:t>
            </w:r>
            <w:r w:rsidRPr="00FA78B7" w:rsidR="00233EC5">
              <w:rPr>
                <w:sz w:val="24"/>
                <w:szCs w:val="24"/>
              </w:rPr>
              <w:t xml:space="preserve"> </w:t>
            </w:r>
          </w:p>
        </w:tc>
        <w:tc>
          <w:tcPr>
            <w:tcW w:w="1595" w:type="dxa"/>
            <w:tcBorders>
              <w:top w:val="single" w:color="auto" w:sz="4" w:space="0"/>
              <w:left w:val="single" w:color="auto" w:sz="4" w:space="0"/>
              <w:bottom w:val="nil"/>
              <w:right w:val="single" w:color="auto" w:sz="4" w:space="0"/>
            </w:tcBorders>
          </w:tcPr>
          <w:p w:rsidRPr="0052414B" w:rsidR="00233EC5" w:rsidP="00F27A0E" w:rsidRDefault="00233EC5" w14:paraId="33444141" w14:textId="01E01021">
            <w:pPr>
              <w:pStyle w:val="TableParagraph"/>
              <w:spacing w:line="288" w:lineRule="exact"/>
              <w:ind w:right="106"/>
              <w:rPr>
                <w:sz w:val="24"/>
                <w:szCs w:val="24"/>
                <w:highlight w:val="yellow"/>
              </w:rPr>
            </w:pPr>
            <w:r w:rsidRPr="00447107">
              <w:rPr>
                <w:sz w:val="24"/>
                <w:szCs w:val="24"/>
              </w:rPr>
              <w:t>$4,</w:t>
            </w:r>
            <w:r w:rsidRPr="0052414B" w:rsidR="00660D28">
              <w:rPr>
                <w:sz w:val="24"/>
                <w:szCs w:val="24"/>
              </w:rPr>
              <w:t>614,573</w:t>
            </w:r>
            <w:r w:rsidRPr="00447107">
              <w:rPr>
                <w:sz w:val="24"/>
                <w:szCs w:val="24"/>
              </w:rPr>
              <w:t xml:space="preserve"> </w:t>
            </w:r>
          </w:p>
        </w:tc>
        <w:tc>
          <w:tcPr>
            <w:tcW w:w="1592" w:type="dxa"/>
            <w:tcBorders>
              <w:top w:val="single" w:color="auto" w:sz="4" w:space="0"/>
              <w:left w:val="single" w:color="auto" w:sz="4" w:space="0"/>
              <w:bottom w:val="nil"/>
              <w:right w:val="single" w:color="000000" w:sz="4" w:space="0"/>
            </w:tcBorders>
          </w:tcPr>
          <w:p w:rsidRPr="00690952" w:rsidR="00233EC5" w:rsidP="00F27A0E" w:rsidRDefault="00233EC5" w14:paraId="5C883B32" w14:textId="0BD76402">
            <w:pPr>
              <w:pStyle w:val="TableParagraph"/>
              <w:spacing w:line="288" w:lineRule="exact"/>
              <w:ind w:right="106"/>
              <w:rPr>
                <w:sz w:val="24"/>
                <w:szCs w:val="24"/>
              </w:rPr>
            </w:pPr>
            <w:r w:rsidRPr="00690952">
              <w:rPr>
                <w:sz w:val="24"/>
                <w:szCs w:val="24"/>
              </w:rPr>
              <w:t>$1,</w:t>
            </w:r>
            <w:r w:rsidRPr="0052414B" w:rsidR="00690952">
              <w:rPr>
                <w:sz w:val="24"/>
                <w:szCs w:val="24"/>
              </w:rPr>
              <w:t>977,891</w:t>
            </w:r>
            <w:r w:rsidRPr="00690952">
              <w:rPr>
                <w:sz w:val="24"/>
                <w:szCs w:val="24"/>
              </w:rPr>
              <w:t xml:space="preserve"> </w:t>
            </w:r>
          </w:p>
        </w:tc>
      </w:tr>
      <w:tr w:rsidR="00233EC5" w:rsidTr="00F27A0E" w14:paraId="589A45C0" w14:textId="77777777">
        <w:trPr>
          <w:trHeight w:val="323"/>
        </w:trPr>
        <w:tc>
          <w:tcPr>
            <w:tcW w:w="4653" w:type="dxa"/>
            <w:tcBorders>
              <w:top w:val="nil"/>
              <w:left w:val="single" w:color="000000" w:sz="4" w:space="0"/>
              <w:bottom w:val="nil"/>
              <w:right w:val="single" w:color="auto" w:sz="4" w:space="0"/>
            </w:tcBorders>
          </w:tcPr>
          <w:p w:rsidRPr="00F27A0E" w:rsidR="00233EC5" w:rsidP="00233EC5" w:rsidRDefault="00233EC5" w14:paraId="36CC9A1D" w14:textId="77777777">
            <w:pPr>
              <w:spacing w:line="306" w:lineRule="exact"/>
              <w:rPr>
                <w:bCs/>
                <w:sz w:val="24"/>
              </w:rPr>
            </w:pPr>
            <w:r w:rsidRPr="00F27A0E">
              <w:rPr>
                <w:bCs/>
                <w:sz w:val="24"/>
              </w:rPr>
              <w:t xml:space="preserve">2019 Ex-Ante Savings </w:t>
            </w:r>
          </w:p>
        </w:tc>
        <w:tc>
          <w:tcPr>
            <w:tcW w:w="1524" w:type="dxa"/>
            <w:tcBorders>
              <w:top w:val="nil"/>
              <w:left w:val="single" w:color="auto" w:sz="4" w:space="0"/>
              <w:bottom w:val="nil"/>
              <w:right w:val="single" w:color="auto" w:sz="4" w:space="0"/>
            </w:tcBorders>
          </w:tcPr>
          <w:p w:rsidRPr="00F27A0E" w:rsidR="00233EC5" w:rsidP="00F27A0E" w:rsidRDefault="00233EC5" w14:paraId="62411430" w14:textId="77777777">
            <w:pPr>
              <w:pStyle w:val="TableParagraph"/>
              <w:spacing w:line="288" w:lineRule="exact"/>
              <w:ind w:right="106"/>
              <w:rPr>
                <w:sz w:val="24"/>
                <w:szCs w:val="24"/>
              </w:rPr>
            </w:pPr>
            <w:r w:rsidRPr="00F27A0E">
              <w:rPr>
                <w:sz w:val="24"/>
                <w:szCs w:val="24"/>
              </w:rPr>
              <w:t xml:space="preserve">$1,695,085 </w:t>
            </w:r>
          </w:p>
        </w:tc>
        <w:tc>
          <w:tcPr>
            <w:tcW w:w="1595" w:type="dxa"/>
            <w:tcBorders>
              <w:top w:val="nil"/>
              <w:left w:val="single" w:color="auto" w:sz="4" w:space="0"/>
              <w:bottom w:val="nil"/>
              <w:right w:val="single" w:color="auto" w:sz="4" w:space="0"/>
            </w:tcBorders>
          </w:tcPr>
          <w:p w:rsidRPr="00F27A0E" w:rsidR="00233EC5" w:rsidP="00F27A0E" w:rsidRDefault="00233EC5" w14:paraId="75B0647A" w14:textId="77777777">
            <w:pPr>
              <w:pStyle w:val="TableParagraph"/>
              <w:spacing w:line="288" w:lineRule="exact"/>
              <w:ind w:right="106"/>
              <w:rPr>
                <w:sz w:val="24"/>
                <w:szCs w:val="24"/>
              </w:rPr>
            </w:pPr>
            <w:r w:rsidRPr="00F27A0E">
              <w:rPr>
                <w:sz w:val="24"/>
                <w:szCs w:val="24"/>
              </w:rPr>
              <w:t xml:space="preserve">$713,686 </w:t>
            </w:r>
          </w:p>
        </w:tc>
        <w:tc>
          <w:tcPr>
            <w:tcW w:w="1592" w:type="dxa"/>
            <w:tcBorders>
              <w:top w:val="nil"/>
              <w:left w:val="single" w:color="auto" w:sz="4" w:space="0"/>
              <w:bottom w:val="nil"/>
              <w:right w:val="single" w:color="000000" w:sz="4" w:space="0"/>
            </w:tcBorders>
          </w:tcPr>
          <w:p w:rsidRPr="00F27A0E" w:rsidR="00233EC5" w:rsidP="00F27A0E" w:rsidRDefault="00233EC5" w14:paraId="0B0BA3DF" w14:textId="77777777">
            <w:pPr>
              <w:pStyle w:val="TableParagraph"/>
              <w:spacing w:line="288" w:lineRule="exact"/>
              <w:ind w:right="106"/>
              <w:rPr>
                <w:sz w:val="24"/>
                <w:szCs w:val="24"/>
              </w:rPr>
            </w:pPr>
            <w:r w:rsidRPr="00F27A0E">
              <w:rPr>
                <w:sz w:val="24"/>
                <w:szCs w:val="24"/>
              </w:rPr>
              <w:t xml:space="preserve">$120,634 </w:t>
            </w:r>
          </w:p>
        </w:tc>
      </w:tr>
      <w:tr w:rsidR="00233EC5" w:rsidTr="00F27A0E" w14:paraId="2F180360" w14:textId="77777777">
        <w:trPr>
          <w:trHeight w:val="323"/>
        </w:trPr>
        <w:tc>
          <w:tcPr>
            <w:tcW w:w="4653" w:type="dxa"/>
            <w:tcBorders>
              <w:top w:val="nil"/>
              <w:left w:val="single" w:color="000000" w:sz="4" w:space="0"/>
              <w:bottom w:val="nil"/>
              <w:right w:val="single" w:color="auto" w:sz="4" w:space="0"/>
            </w:tcBorders>
          </w:tcPr>
          <w:p w:rsidRPr="00F27A0E" w:rsidR="00233EC5" w:rsidP="00233EC5" w:rsidRDefault="00233EC5" w14:paraId="3172C93E" w14:textId="77777777">
            <w:pPr>
              <w:spacing w:line="306" w:lineRule="exact"/>
              <w:rPr>
                <w:bCs/>
                <w:sz w:val="24"/>
              </w:rPr>
            </w:pPr>
            <w:r w:rsidRPr="00F27A0E">
              <w:rPr>
                <w:bCs/>
                <w:sz w:val="24"/>
              </w:rPr>
              <w:t xml:space="preserve">2019 Ex-Ante Review Performance </w:t>
            </w:r>
          </w:p>
        </w:tc>
        <w:tc>
          <w:tcPr>
            <w:tcW w:w="1524" w:type="dxa"/>
            <w:tcBorders>
              <w:top w:val="nil"/>
              <w:left w:val="single" w:color="auto" w:sz="4" w:space="0"/>
              <w:bottom w:val="nil"/>
              <w:right w:val="single" w:color="auto" w:sz="4" w:space="0"/>
            </w:tcBorders>
          </w:tcPr>
          <w:p w:rsidRPr="00F27A0E" w:rsidR="00233EC5" w:rsidP="00F27A0E" w:rsidRDefault="00233EC5" w14:paraId="1B9F17FB" w14:textId="77777777">
            <w:pPr>
              <w:pStyle w:val="TableParagraph"/>
              <w:spacing w:line="288" w:lineRule="exact"/>
              <w:ind w:right="106"/>
              <w:rPr>
                <w:sz w:val="24"/>
                <w:szCs w:val="24"/>
              </w:rPr>
            </w:pPr>
            <w:r w:rsidRPr="00F27A0E">
              <w:rPr>
                <w:sz w:val="24"/>
                <w:szCs w:val="24"/>
              </w:rPr>
              <w:t xml:space="preserve">$4,271,378 </w:t>
            </w:r>
          </w:p>
        </w:tc>
        <w:tc>
          <w:tcPr>
            <w:tcW w:w="1595" w:type="dxa"/>
            <w:tcBorders>
              <w:top w:val="nil"/>
              <w:left w:val="single" w:color="auto" w:sz="4" w:space="0"/>
              <w:bottom w:val="nil"/>
              <w:right w:val="single" w:color="auto" w:sz="4" w:space="0"/>
            </w:tcBorders>
          </w:tcPr>
          <w:p w:rsidRPr="00F27A0E" w:rsidR="00233EC5" w:rsidP="00F27A0E" w:rsidRDefault="00233EC5" w14:paraId="4167C476" w14:textId="77777777">
            <w:pPr>
              <w:pStyle w:val="TableParagraph"/>
              <w:spacing w:line="288" w:lineRule="exact"/>
              <w:ind w:right="106"/>
              <w:rPr>
                <w:sz w:val="24"/>
                <w:szCs w:val="24"/>
              </w:rPr>
            </w:pPr>
            <w:r w:rsidRPr="00F27A0E">
              <w:rPr>
                <w:sz w:val="24"/>
                <w:szCs w:val="24"/>
              </w:rPr>
              <w:t xml:space="preserve">$2,914,252 </w:t>
            </w:r>
          </w:p>
        </w:tc>
        <w:tc>
          <w:tcPr>
            <w:tcW w:w="1592" w:type="dxa"/>
            <w:tcBorders>
              <w:top w:val="nil"/>
              <w:left w:val="single" w:color="auto" w:sz="4" w:space="0"/>
              <w:bottom w:val="nil"/>
              <w:right w:val="single" w:color="000000" w:sz="4" w:space="0"/>
            </w:tcBorders>
          </w:tcPr>
          <w:p w:rsidRPr="00F27A0E" w:rsidR="00233EC5" w:rsidP="00F27A0E" w:rsidRDefault="00233EC5" w14:paraId="44E8B942" w14:textId="77777777">
            <w:pPr>
              <w:pStyle w:val="TableParagraph"/>
              <w:spacing w:line="288" w:lineRule="exact"/>
              <w:ind w:right="106"/>
              <w:rPr>
                <w:sz w:val="24"/>
                <w:szCs w:val="24"/>
              </w:rPr>
            </w:pPr>
            <w:r w:rsidRPr="00F27A0E">
              <w:rPr>
                <w:sz w:val="24"/>
                <w:szCs w:val="24"/>
              </w:rPr>
              <w:t xml:space="preserve">$833,641 </w:t>
            </w:r>
          </w:p>
        </w:tc>
      </w:tr>
      <w:tr w:rsidR="00233EC5" w:rsidTr="00F27A0E" w14:paraId="2831DEB0" w14:textId="77777777">
        <w:trPr>
          <w:trHeight w:val="323"/>
        </w:trPr>
        <w:tc>
          <w:tcPr>
            <w:tcW w:w="4653" w:type="dxa"/>
            <w:tcBorders>
              <w:top w:val="nil"/>
              <w:left w:val="single" w:color="000000" w:sz="4" w:space="0"/>
              <w:bottom w:val="nil"/>
              <w:right w:val="single" w:color="auto" w:sz="4" w:space="0"/>
            </w:tcBorders>
          </w:tcPr>
          <w:p w:rsidRPr="00F27A0E" w:rsidR="00233EC5" w:rsidP="00233EC5" w:rsidRDefault="00233EC5" w14:paraId="47465104" w14:textId="77777777">
            <w:pPr>
              <w:spacing w:line="306" w:lineRule="exact"/>
              <w:rPr>
                <w:bCs/>
                <w:sz w:val="24"/>
              </w:rPr>
            </w:pPr>
            <w:r w:rsidRPr="00F27A0E">
              <w:rPr>
                <w:bCs/>
                <w:sz w:val="24"/>
              </w:rPr>
              <w:t xml:space="preserve">2019 Codes &amp; Standards </w:t>
            </w:r>
          </w:p>
        </w:tc>
        <w:tc>
          <w:tcPr>
            <w:tcW w:w="1524" w:type="dxa"/>
            <w:tcBorders>
              <w:top w:val="nil"/>
              <w:left w:val="single" w:color="auto" w:sz="4" w:space="0"/>
              <w:bottom w:val="nil"/>
              <w:right w:val="single" w:color="auto" w:sz="4" w:space="0"/>
            </w:tcBorders>
          </w:tcPr>
          <w:p w:rsidRPr="00F27A0E" w:rsidR="00233EC5" w:rsidP="00F27A0E" w:rsidRDefault="00233EC5" w14:paraId="6F9EE9CE" w14:textId="77777777">
            <w:pPr>
              <w:pStyle w:val="TableParagraph"/>
              <w:spacing w:line="288" w:lineRule="exact"/>
              <w:ind w:right="106"/>
              <w:rPr>
                <w:sz w:val="24"/>
                <w:szCs w:val="24"/>
              </w:rPr>
            </w:pPr>
            <w:r w:rsidRPr="00F27A0E">
              <w:rPr>
                <w:sz w:val="24"/>
                <w:szCs w:val="24"/>
              </w:rPr>
              <w:t xml:space="preserve">$2,402,018 </w:t>
            </w:r>
          </w:p>
        </w:tc>
        <w:tc>
          <w:tcPr>
            <w:tcW w:w="1595" w:type="dxa"/>
            <w:tcBorders>
              <w:top w:val="nil"/>
              <w:left w:val="single" w:color="auto" w:sz="4" w:space="0"/>
              <w:bottom w:val="nil"/>
              <w:right w:val="single" w:color="auto" w:sz="4" w:space="0"/>
            </w:tcBorders>
          </w:tcPr>
          <w:p w:rsidRPr="00F27A0E" w:rsidR="00233EC5" w:rsidP="00F27A0E" w:rsidRDefault="00233EC5" w14:paraId="3E7C7E7E" w14:textId="77777777">
            <w:pPr>
              <w:pStyle w:val="TableParagraph"/>
              <w:spacing w:line="288" w:lineRule="exact"/>
              <w:ind w:right="106"/>
              <w:rPr>
                <w:sz w:val="24"/>
                <w:szCs w:val="24"/>
              </w:rPr>
            </w:pPr>
            <w:r w:rsidRPr="00F27A0E">
              <w:rPr>
                <w:sz w:val="24"/>
                <w:szCs w:val="24"/>
              </w:rPr>
              <w:t xml:space="preserve">$909,214 </w:t>
            </w:r>
          </w:p>
        </w:tc>
        <w:tc>
          <w:tcPr>
            <w:tcW w:w="1592" w:type="dxa"/>
            <w:tcBorders>
              <w:top w:val="nil"/>
              <w:left w:val="single" w:color="auto" w:sz="4" w:space="0"/>
              <w:bottom w:val="nil"/>
              <w:right w:val="single" w:color="000000" w:sz="4" w:space="0"/>
            </w:tcBorders>
          </w:tcPr>
          <w:p w:rsidRPr="00F27A0E" w:rsidR="00233EC5" w:rsidP="00F27A0E" w:rsidRDefault="00233EC5" w14:paraId="490D8EF3" w14:textId="77777777">
            <w:pPr>
              <w:pStyle w:val="TableParagraph"/>
              <w:spacing w:line="288" w:lineRule="exact"/>
              <w:ind w:right="106"/>
              <w:rPr>
                <w:sz w:val="24"/>
                <w:szCs w:val="24"/>
              </w:rPr>
            </w:pPr>
            <w:r w:rsidRPr="00F27A0E">
              <w:rPr>
                <w:sz w:val="24"/>
                <w:szCs w:val="24"/>
              </w:rPr>
              <w:t xml:space="preserve">$129,905 </w:t>
            </w:r>
          </w:p>
        </w:tc>
      </w:tr>
      <w:tr w:rsidR="00233EC5" w:rsidTr="00F27A0E" w14:paraId="4E72DC12" w14:textId="77777777">
        <w:trPr>
          <w:trHeight w:val="323"/>
        </w:trPr>
        <w:tc>
          <w:tcPr>
            <w:tcW w:w="4653" w:type="dxa"/>
            <w:tcBorders>
              <w:top w:val="nil"/>
              <w:left w:val="single" w:color="000000" w:sz="4" w:space="0"/>
              <w:bottom w:val="nil"/>
              <w:right w:val="single" w:color="auto" w:sz="4" w:space="0"/>
            </w:tcBorders>
          </w:tcPr>
          <w:p w:rsidRPr="00F27A0E" w:rsidR="00233EC5" w:rsidP="00233EC5" w:rsidRDefault="00233EC5" w14:paraId="1C38DAAF" w14:textId="77777777">
            <w:pPr>
              <w:spacing w:line="306" w:lineRule="exact"/>
              <w:rPr>
                <w:bCs/>
                <w:sz w:val="24"/>
              </w:rPr>
            </w:pPr>
            <w:r w:rsidRPr="00F27A0E">
              <w:rPr>
                <w:bCs/>
                <w:sz w:val="24"/>
              </w:rPr>
              <w:t>2019 Non-Resource</w:t>
            </w:r>
          </w:p>
        </w:tc>
        <w:tc>
          <w:tcPr>
            <w:tcW w:w="1524" w:type="dxa"/>
            <w:tcBorders>
              <w:top w:val="nil"/>
              <w:left w:val="single" w:color="auto" w:sz="4" w:space="0"/>
              <w:bottom w:val="nil"/>
              <w:right w:val="single" w:color="auto" w:sz="4" w:space="0"/>
            </w:tcBorders>
          </w:tcPr>
          <w:p w:rsidRPr="00F27A0E" w:rsidR="00233EC5" w:rsidP="00F27A0E" w:rsidRDefault="00233EC5" w14:paraId="4C2A2FC2" w14:textId="77777777">
            <w:pPr>
              <w:pStyle w:val="TableParagraph"/>
              <w:spacing w:line="288" w:lineRule="exact"/>
              <w:ind w:right="106"/>
              <w:rPr>
                <w:sz w:val="24"/>
                <w:szCs w:val="24"/>
              </w:rPr>
            </w:pPr>
            <w:r w:rsidRPr="00F27A0E">
              <w:rPr>
                <w:sz w:val="24"/>
                <w:szCs w:val="24"/>
              </w:rPr>
              <w:t xml:space="preserve">$418,853 </w:t>
            </w:r>
          </w:p>
        </w:tc>
        <w:tc>
          <w:tcPr>
            <w:tcW w:w="1595" w:type="dxa"/>
            <w:tcBorders>
              <w:top w:val="nil"/>
              <w:left w:val="single" w:color="auto" w:sz="4" w:space="0"/>
              <w:bottom w:val="nil"/>
              <w:right w:val="single" w:color="auto" w:sz="4" w:space="0"/>
            </w:tcBorders>
          </w:tcPr>
          <w:p w:rsidRPr="00F27A0E" w:rsidR="00233EC5" w:rsidP="00F27A0E" w:rsidRDefault="00233EC5" w14:paraId="09770A8F" w14:textId="77777777">
            <w:pPr>
              <w:pStyle w:val="TableParagraph"/>
              <w:spacing w:line="288" w:lineRule="exact"/>
              <w:ind w:right="106"/>
              <w:rPr>
                <w:sz w:val="24"/>
                <w:szCs w:val="24"/>
              </w:rPr>
            </w:pPr>
            <w:r w:rsidRPr="00F27A0E">
              <w:rPr>
                <w:sz w:val="24"/>
                <w:szCs w:val="24"/>
              </w:rPr>
              <w:t xml:space="preserve">$477,059 </w:t>
            </w:r>
          </w:p>
        </w:tc>
        <w:tc>
          <w:tcPr>
            <w:tcW w:w="1592" w:type="dxa"/>
            <w:tcBorders>
              <w:top w:val="nil"/>
              <w:left w:val="single" w:color="auto" w:sz="4" w:space="0"/>
              <w:bottom w:val="nil"/>
              <w:right w:val="single" w:color="000000" w:sz="4" w:space="0"/>
            </w:tcBorders>
          </w:tcPr>
          <w:p w:rsidRPr="00F27A0E" w:rsidR="00233EC5" w:rsidP="00F27A0E" w:rsidRDefault="00233EC5" w14:paraId="36DCC4B3" w14:textId="77777777">
            <w:pPr>
              <w:pStyle w:val="TableParagraph"/>
              <w:spacing w:line="288" w:lineRule="exact"/>
              <w:ind w:right="106"/>
              <w:rPr>
                <w:sz w:val="24"/>
                <w:szCs w:val="24"/>
              </w:rPr>
            </w:pPr>
            <w:r w:rsidRPr="00F27A0E">
              <w:rPr>
                <w:sz w:val="24"/>
                <w:szCs w:val="24"/>
              </w:rPr>
              <w:t xml:space="preserve">$227,461 </w:t>
            </w:r>
          </w:p>
        </w:tc>
      </w:tr>
      <w:tr w:rsidR="00233EC5" w:rsidTr="00F27A0E" w14:paraId="124C9EDA" w14:textId="77777777">
        <w:trPr>
          <w:trHeight w:val="323"/>
        </w:trPr>
        <w:tc>
          <w:tcPr>
            <w:tcW w:w="4653" w:type="dxa"/>
            <w:tcBorders>
              <w:top w:val="nil"/>
              <w:left w:val="single" w:color="000000" w:sz="4" w:space="0"/>
              <w:bottom w:val="nil"/>
              <w:right w:val="single" w:color="auto" w:sz="4" w:space="0"/>
            </w:tcBorders>
          </w:tcPr>
          <w:p w:rsidRPr="00F27A0E" w:rsidR="00233EC5" w:rsidP="00233EC5" w:rsidRDefault="00233EC5" w14:paraId="5259B1C8" w14:textId="77777777">
            <w:pPr>
              <w:spacing w:line="306" w:lineRule="exact"/>
              <w:rPr>
                <w:bCs/>
                <w:sz w:val="24"/>
              </w:rPr>
            </w:pPr>
            <w:r w:rsidRPr="00F27A0E">
              <w:rPr>
                <w:bCs/>
                <w:sz w:val="24"/>
              </w:rPr>
              <w:t>2018 Ex-Ante Savings True Up</w:t>
            </w:r>
          </w:p>
        </w:tc>
        <w:tc>
          <w:tcPr>
            <w:tcW w:w="1524" w:type="dxa"/>
            <w:tcBorders>
              <w:top w:val="nil"/>
              <w:left w:val="single" w:color="auto" w:sz="4" w:space="0"/>
              <w:bottom w:val="nil"/>
              <w:right w:val="single" w:color="auto" w:sz="4" w:space="0"/>
            </w:tcBorders>
          </w:tcPr>
          <w:p w:rsidRPr="00F27A0E" w:rsidR="00233EC5" w:rsidP="00F27A0E" w:rsidRDefault="00233EC5" w14:paraId="56061EAC" w14:textId="77777777">
            <w:pPr>
              <w:pStyle w:val="TableParagraph"/>
              <w:spacing w:line="288" w:lineRule="exact"/>
              <w:ind w:right="106"/>
              <w:rPr>
                <w:sz w:val="24"/>
                <w:szCs w:val="24"/>
              </w:rPr>
            </w:pPr>
            <w:r w:rsidRPr="00F27A0E">
              <w:rPr>
                <w:sz w:val="24"/>
                <w:szCs w:val="24"/>
              </w:rPr>
              <w:t xml:space="preserve">$21 </w:t>
            </w:r>
          </w:p>
        </w:tc>
        <w:tc>
          <w:tcPr>
            <w:tcW w:w="1595" w:type="dxa"/>
            <w:tcBorders>
              <w:top w:val="nil"/>
              <w:left w:val="single" w:color="auto" w:sz="4" w:space="0"/>
              <w:bottom w:val="nil"/>
              <w:right w:val="single" w:color="auto" w:sz="4" w:space="0"/>
            </w:tcBorders>
          </w:tcPr>
          <w:p w:rsidRPr="00F27A0E" w:rsidR="00233EC5" w:rsidP="00F27A0E" w:rsidRDefault="00233EC5" w14:paraId="43D37E3B" w14:textId="77777777">
            <w:pPr>
              <w:pStyle w:val="TableParagraph"/>
              <w:spacing w:line="288" w:lineRule="exact"/>
              <w:ind w:right="106"/>
              <w:rPr>
                <w:sz w:val="24"/>
                <w:szCs w:val="24"/>
              </w:rPr>
            </w:pPr>
            <w:r w:rsidRPr="00F27A0E">
              <w:rPr>
                <w:sz w:val="24"/>
                <w:szCs w:val="24"/>
              </w:rPr>
              <w:t xml:space="preserve">$0 </w:t>
            </w:r>
          </w:p>
        </w:tc>
        <w:tc>
          <w:tcPr>
            <w:tcW w:w="1592" w:type="dxa"/>
            <w:tcBorders>
              <w:top w:val="nil"/>
              <w:left w:val="single" w:color="auto" w:sz="4" w:space="0"/>
              <w:bottom w:val="nil"/>
              <w:right w:val="single" w:color="000000" w:sz="4" w:space="0"/>
            </w:tcBorders>
          </w:tcPr>
          <w:p w:rsidRPr="00F27A0E" w:rsidR="00233EC5" w:rsidP="00F27A0E" w:rsidRDefault="00233EC5" w14:paraId="239E7DCB" w14:textId="77777777">
            <w:pPr>
              <w:pStyle w:val="TableParagraph"/>
              <w:spacing w:line="288" w:lineRule="exact"/>
              <w:ind w:right="106"/>
              <w:rPr>
                <w:color w:val="FF0000"/>
                <w:sz w:val="24"/>
                <w:szCs w:val="24"/>
              </w:rPr>
            </w:pPr>
            <w:r w:rsidRPr="00F27A0E">
              <w:rPr>
                <w:color w:val="FF0000"/>
                <w:sz w:val="24"/>
                <w:szCs w:val="24"/>
              </w:rPr>
              <w:t>($4,049)</w:t>
            </w:r>
          </w:p>
        </w:tc>
      </w:tr>
      <w:tr w:rsidR="00233EC5" w:rsidTr="00F27A0E" w14:paraId="660C9545" w14:textId="77777777">
        <w:trPr>
          <w:trHeight w:val="323"/>
        </w:trPr>
        <w:tc>
          <w:tcPr>
            <w:tcW w:w="4653" w:type="dxa"/>
            <w:tcBorders>
              <w:top w:val="nil"/>
              <w:left w:val="single" w:color="000000" w:sz="4" w:space="0"/>
              <w:bottom w:val="nil"/>
              <w:right w:val="single" w:color="auto" w:sz="4" w:space="0"/>
            </w:tcBorders>
          </w:tcPr>
          <w:p w:rsidRPr="00F27A0E" w:rsidR="00233EC5" w:rsidP="00233EC5" w:rsidRDefault="00233EC5" w14:paraId="08125476" w14:textId="77777777">
            <w:pPr>
              <w:spacing w:line="306" w:lineRule="exact"/>
              <w:rPr>
                <w:bCs/>
                <w:sz w:val="24"/>
              </w:rPr>
            </w:pPr>
            <w:r w:rsidRPr="00F27A0E">
              <w:rPr>
                <w:bCs/>
                <w:sz w:val="24"/>
              </w:rPr>
              <w:t>2018 Codes &amp; Standards True Up</w:t>
            </w:r>
          </w:p>
        </w:tc>
        <w:tc>
          <w:tcPr>
            <w:tcW w:w="1524" w:type="dxa"/>
            <w:tcBorders>
              <w:top w:val="nil"/>
              <w:left w:val="single" w:color="auto" w:sz="4" w:space="0"/>
              <w:bottom w:val="nil"/>
              <w:right w:val="single" w:color="auto" w:sz="4" w:space="0"/>
            </w:tcBorders>
          </w:tcPr>
          <w:p w:rsidRPr="00F27A0E" w:rsidR="00233EC5" w:rsidP="00F27A0E" w:rsidRDefault="00233EC5" w14:paraId="423EEFEF" w14:textId="77777777">
            <w:pPr>
              <w:pStyle w:val="TableParagraph"/>
              <w:spacing w:line="288" w:lineRule="exact"/>
              <w:ind w:right="106"/>
              <w:rPr>
                <w:sz w:val="24"/>
                <w:szCs w:val="24"/>
              </w:rPr>
            </w:pPr>
            <w:r w:rsidRPr="00F27A0E">
              <w:rPr>
                <w:sz w:val="24"/>
                <w:szCs w:val="24"/>
              </w:rPr>
              <w:t xml:space="preserve">$0 </w:t>
            </w:r>
          </w:p>
        </w:tc>
        <w:tc>
          <w:tcPr>
            <w:tcW w:w="1595" w:type="dxa"/>
            <w:tcBorders>
              <w:top w:val="nil"/>
              <w:left w:val="single" w:color="auto" w:sz="4" w:space="0"/>
              <w:bottom w:val="nil"/>
              <w:right w:val="single" w:color="auto" w:sz="4" w:space="0"/>
            </w:tcBorders>
          </w:tcPr>
          <w:p w:rsidRPr="00F27A0E" w:rsidR="00233EC5" w:rsidP="00F27A0E" w:rsidRDefault="00233EC5" w14:paraId="03877F17" w14:textId="77777777">
            <w:pPr>
              <w:pStyle w:val="TableParagraph"/>
              <w:spacing w:line="288" w:lineRule="exact"/>
              <w:ind w:right="106"/>
              <w:rPr>
                <w:sz w:val="24"/>
                <w:szCs w:val="24"/>
              </w:rPr>
            </w:pPr>
            <w:r w:rsidRPr="00F27A0E">
              <w:rPr>
                <w:sz w:val="24"/>
                <w:szCs w:val="24"/>
              </w:rPr>
              <w:t xml:space="preserve">$0 </w:t>
            </w:r>
          </w:p>
        </w:tc>
        <w:tc>
          <w:tcPr>
            <w:tcW w:w="1592" w:type="dxa"/>
            <w:tcBorders>
              <w:top w:val="nil"/>
              <w:left w:val="single" w:color="auto" w:sz="4" w:space="0"/>
              <w:bottom w:val="nil"/>
              <w:right w:val="single" w:color="000000" w:sz="4" w:space="0"/>
            </w:tcBorders>
          </w:tcPr>
          <w:p w:rsidRPr="00F27A0E" w:rsidR="00233EC5" w:rsidP="00F27A0E" w:rsidRDefault="00233EC5" w14:paraId="002351FA" w14:textId="77777777">
            <w:pPr>
              <w:pStyle w:val="TableParagraph"/>
              <w:spacing w:line="288" w:lineRule="exact"/>
              <w:ind w:right="106"/>
              <w:rPr>
                <w:color w:val="FF0000"/>
                <w:sz w:val="24"/>
                <w:szCs w:val="24"/>
              </w:rPr>
            </w:pPr>
            <w:r w:rsidRPr="00F27A0E">
              <w:rPr>
                <w:color w:val="FF0000"/>
                <w:sz w:val="24"/>
                <w:szCs w:val="24"/>
              </w:rPr>
              <w:t>($1,936)</w:t>
            </w:r>
          </w:p>
        </w:tc>
      </w:tr>
      <w:tr w:rsidR="00233EC5" w:rsidTr="00F27A0E" w14:paraId="6E9898DA" w14:textId="77777777">
        <w:trPr>
          <w:trHeight w:val="323"/>
        </w:trPr>
        <w:tc>
          <w:tcPr>
            <w:tcW w:w="4653" w:type="dxa"/>
            <w:tcBorders>
              <w:top w:val="single" w:color="000000" w:sz="4" w:space="0"/>
              <w:left w:val="single" w:color="000000" w:sz="4" w:space="0"/>
              <w:bottom w:val="single" w:color="000000" w:sz="4" w:space="0"/>
              <w:right w:val="single" w:color="000000" w:sz="4" w:space="0"/>
            </w:tcBorders>
          </w:tcPr>
          <w:p w:rsidR="00233EC5" w:rsidP="00233EC5" w:rsidRDefault="00233EC5" w14:paraId="170AFAD4" w14:textId="4C6B58C7">
            <w:pPr>
              <w:rPr>
                <w:b/>
                <w:sz w:val="24"/>
              </w:rPr>
            </w:pPr>
            <w:r>
              <w:rPr>
                <w:b/>
                <w:sz w:val="24"/>
              </w:rPr>
              <w:t>Awards for PY 201</w:t>
            </w:r>
            <w:r w:rsidR="00AD0A95">
              <w:rPr>
                <w:b/>
                <w:sz w:val="24"/>
              </w:rPr>
              <w:t>8</w:t>
            </w:r>
            <w:r>
              <w:rPr>
                <w:b/>
                <w:sz w:val="24"/>
              </w:rPr>
              <w:t xml:space="preserve"> and 201</w:t>
            </w:r>
            <w:r w:rsidR="00AD0A95">
              <w:rPr>
                <w:b/>
                <w:sz w:val="24"/>
              </w:rPr>
              <w:t>9</w:t>
            </w:r>
          </w:p>
        </w:tc>
        <w:tc>
          <w:tcPr>
            <w:tcW w:w="1524" w:type="dxa"/>
            <w:tcBorders>
              <w:top w:val="single" w:color="auto" w:sz="4" w:space="0"/>
              <w:left w:val="single" w:color="000000" w:sz="4" w:space="0"/>
              <w:bottom w:val="single" w:color="000000" w:sz="4" w:space="0"/>
              <w:right w:val="single" w:color="000000" w:sz="4" w:space="0"/>
            </w:tcBorders>
          </w:tcPr>
          <w:p w:rsidRPr="006D66E8" w:rsidR="00233EC5" w:rsidP="00F27A0E" w:rsidRDefault="00233EC5" w14:paraId="1B456565" w14:textId="36212C1F">
            <w:pPr>
              <w:pStyle w:val="TableParagraph"/>
              <w:spacing w:line="288" w:lineRule="exact"/>
              <w:ind w:right="106"/>
              <w:rPr>
                <w:b/>
                <w:bCs/>
                <w:sz w:val="24"/>
                <w:szCs w:val="24"/>
              </w:rPr>
            </w:pPr>
            <w:r w:rsidRPr="006D66E8">
              <w:rPr>
                <w:b/>
                <w:bCs/>
                <w:sz w:val="24"/>
                <w:szCs w:val="24"/>
              </w:rPr>
              <w:t>$15,</w:t>
            </w:r>
            <w:r w:rsidR="008D7B24">
              <w:rPr>
                <w:b/>
                <w:bCs/>
                <w:sz w:val="24"/>
                <w:szCs w:val="24"/>
              </w:rPr>
              <w:t>299</w:t>
            </w:r>
            <w:r w:rsidRPr="006D66E8">
              <w:rPr>
                <w:b/>
                <w:bCs/>
                <w:sz w:val="24"/>
                <w:szCs w:val="24"/>
              </w:rPr>
              <w:t>,</w:t>
            </w:r>
            <w:r w:rsidR="000B7D2F">
              <w:rPr>
                <w:b/>
                <w:bCs/>
                <w:sz w:val="24"/>
                <w:szCs w:val="24"/>
              </w:rPr>
              <w:t>119</w:t>
            </w:r>
            <w:r w:rsidRPr="006D66E8" w:rsidR="000B7D2F">
              <w:rPr>
                <w:b/>
                <w:bCs/>
                <w:sz w:val="24"/>
                <w:szCs w:val="24"/>
              </w:rPr>
              <w:t xml:space="preserve"> </w:t>
            </w:r>
          </w:p>
        </w:tc>
        <w:tc>
          <w:tcPr>
            <w:tcW w:w="1595" w:type="dxa"/>
            <w:tcBorders>
              <w:top w:val="single" w:color="auto" w:sz="4" w:space="0"/>
              <w:left w:val="single" w:color="000000" w:sz="4" w:space="0"/>
              <w:bottom w:val="single" w:color="000000" w:sz="4" w:space="0"/>
              <w:right w:val="single" w:color="000000" w:sz="4" w:space="0"/>
            </w:tcBorders>
          </w:tcPr>
          <w:p w:rsidRPr="00866805" w:rsidR="00233EC5" w:rsidP="00F27A0E" w:rsidRDefault="00233EC5" w14:paraId="504F8704" w14:textId="590FDA29">
            <w:pPr>
              <w:pStyle w:val="TableParagraph"/>
              <w:spacing w:line="288" w:lineRule="exact"/>
              <w:ind w:right="106"/>
              <w:rPr>
                <w:b/>
                <w:bCs/>
                <w:sz w:val="24"/>
                <w:szCs w:val="24"/>
              </w:rPr>
            </w:pPr>
            <w:r w:rsidRPr="001D53F7">
              <w:rPr>
                <w:b/>
                <w:bCs/>
                <w:sz w:val="24"/>
                <w:szCs w:val="24"/>
              </w:rPr>
              <w:t>$9,</w:t>
            </w:r>
            <w:r w:rsidR="00CE507F">
              <w:rPr>
                <w:b/>
                <w:bCs/>
                <w:sz w:val="24"/>
                <w:szCs w:val="24"/>
              </w:rPr>
              <w:t>628</w:t>
            </w:r>
            <w:r w:rsidRPr="001D53F7">
              <w:rPr>
                <w:b/>
                <w:bCs/>
                <w:sz w:val="24"/>
                <w:szCs w:val="24"/>
              </w:rPr>
              <w:t>,</w:t>
            </w:r>
            <w:r w:rsidR="00CE507F">
              <w:rPr>
                <w:b/>
                <w:bCs/>
                <w:sz w:val="24"/>
                <w:szCs w:val="24"/>
              </w:rPr>
              <w:t>784</w:t>
            </w:r>
            <w:r w:rsidRPr="001D53F7" w:rsidR="00CE507F">
              <w:rPr>
                <w:b/>
                <w:bCs/>
                <w:sz w:val="24"/>
                <w:szCs w:val="24"/>
              </w:rPr>
              <w:t xml:space="preserve"> </w:t>
            </w:r>
          </w:p>
        </w:tc>
        <w:tc>
          <w:tcPr>
            <w:tcW w:w="1592" w:type="dxa"/>
            <w:tcBorders>
              <w:top w:val="single" w:color="000000" w:sz="4" w:space="0"/>
              <w:left w:val="single" w:color="000000" w:sz="4" w:space="0"/>
              <w:bottom w:val="single" w:color="000000" w:sz="4" w:space="0"/>
              <w:right w:val="single" w:color="000000" w:sz="4" w:space="0"/>
            </w:tcBorders>
          </w:tcPr>
          <w:p w:rsidRPr="00DF277A" w:rsidR="00233EC5" w:rsidP="00F27A0E" w:rsidRDefault="00233EC5" w14:paraId="15FB8E8E" w14:textId="0DD363AF">
            <w:pPr>
              <w:pStyle w:val="TableParagraph"/>
              <w:spacing w:line="288" w:lineRule="exact"/>
              <w:ind w:right="106"/>
              <w:rPr>
                <w:b/>
                <w:bCs/>
                <w:sz w:val="24"/>
                <w:szCs w:val="24"/>
              </w:rPr>
            </w:pPr>
            <w:r w:rsidRPr="00DF277A">
              <w:rPr>
                <w:b/>
                <w:bCs/>
                <w:sz w:val="24"/>
                <w:szCs w:val="24"/>
              </w:rPr>
              <w:t>$3,</w:t>
            </w:r>
            <w:r w:rsidR="001323B9">
              <w:rPr>
                <w:b/>
                <w:bCs/>
                <w:sz w:val="24"/>
                <w:szCs w:val="24"/>
              </w:rPr>
              <w:t>283</w:t>
            </w:r>
            <w:r w:rsidRPr="00DF277A">
              <w:rPr>
                <w:b/>
                <w:bCs/>
                <w:sz w:val="24"/>
                <w:szCs w:val="24"/>
              </w:rPr>
              <w:t>,</w:t>
            </w:r>
            <w:r w:rsidR="00940B25">
              <w:rPr>
                <w:b/>
                <w:bCs/>
                <w:sz w:val="24"/>
                <w:szCs w:val="24"/>
              </w:rPr>
              <w:t>547</w:t>
            </w:r>
            <w:r w:rsidRPr="00DF277A" w:rsidR="00940B25">
              <w:rPr>
                <w:b/>
                <w:bCs/>
                <w:sz w:val="24"/>
                <w:szCs w:val="24"/>
              </w:rPr>
              <w:t xml:space="preserve"> </w:t>
            </w:r>
          </w:p>
        </w:tc>
      </w:tr>
    </w:tbl>
    <w:p w:rsidR="007B31C8" w:rsidRDefault="007B31C8" w14:paraId="32373D23" w14:textId="77777777">
      <w:pPr>
        <w:spacing w:line="306" w:lineRule="exact"/>
        <w:rPr>
          <w:sz w:val="24"/>
        </w:rPr>
        <w:sectPr w:rsidR="007B31C8" w:rsidSect="00290E4D">
          <w:headerReference w:type="default" r:id="rId17"/>
          <w:footerReference w:type="default" r:id="rId18"/>
          <w:pgSz w:w="12240" w:h="15840"/>
          <w:pgMar w:top="1640" w:right="1200" w:bottom="1080" w:left="1220" w:header="926" w:footer="886" w:gutter="0"/>
          <w:cols w:space="720"/>
        </w:sectPr>
      </w:pPr>
    </w:p>
    <w:p w:rsidR="007B31C8" w:rsidRDefault="006C3CB7" w14:paraId="5947EF46" w14:textId="77777777">
      <w:pPr>
        <w:pStyle w:val="Heading1"/>
        <w:spacing w:before="91"/>
        <w:rPr>
          <w:u w:val="none"/>
        </w:rPr>
      </w:pPr>
      <w:r>
        <w:rPr>
          <w:u w:val="thick"/>
        </w:rPr>
        <w:lastRenderedPageBreak/>
        <w:t>BACKGROUND</w:t>
      </w:r>
    </w:p>
    <w:p w:rsidR="007B31C8" w:rsidRDefault="007B31C8" w14:paraId="37B33176" w14:textId="77777777">
      <w:pPr>
        <w:pStyle w:val="BodyText"/>
        <w:rPr>
          <w:rFonts w:ascii="Arial"/>
          <w:b/>
          <w:sz w:val="19"/>
        </w:rPr>
      </w:pPr>
    </w:p>
    <w:p w:rsidRPr="00084AB8" w:rsidR="00092FF6" w:rsidRDefault="0051094C" w14:paraId="2B35EA77" w14:textId="53200B5E">
      <w:pPr>
        <w:pStyle w:val="BodyText"/>
        <w:spacing w:before="24"/>
        <w:ind w:left="220" w:right="233"/>
        <w:jc w:val="both"/>
        <w:rPr>
          <w:b/>
          <w:bCs/>
          <w:sz w:val="28"/>
          <w:szCs w:val="28"/>
        </w:rPr>
      </w:pPr>
      <w:r>
        <w:rPr>
          <w:b/>
          <w:bCs/>
          <w:sz w:val="28"/>
          <w:szCs w:val="28"/>
        </w:rPr>
        <w:t>Current</w:t>
      </w:r>
      <w:r w:rsidRPr="00084AB8" w:rsidR="00092FF6">
        <w:rPr>
          <w:b/>
          <w:bCs/>
          <w:sz w:val="28"/>
          <w:szCs w:val="28"/>
        </w:rPr>
        <w:t xml:space="preserve"> Efficiency Savings and Performance Incentive Mechanism</w:t>
      </w:r>
    </w:p>
    <w:p w:rsidR="007B31C8" w:rsidRDefault="006C3CB7" w14:paraId="707D5E52" w14:textId="6F91951F">
      <w:pPr>
        <w:pStyle w:val="BodyText"/>
        <w:spacing w:before="24"/>
        <w:ind w:left="220" w:right="233"/>
        <w:jc w:val="both"/>
      </w:pPr>
      <w:r>
        <w:t>The California Public Utilities Commission (CPUC) adopted the Efficiency Savings and Performance Incentive (ESPI) mechanism in 2013.</w:t>
      </w:r>
      <w:r w:rsidR="00A82D7E">
        <w:rPr>
          <w:rStyle w:val="FootnoteReference"/>
          <w:position w:val="7"/>
          <w:sz w:val="14"/>
        </w:rPr>
        <w:footnoteReference w:id="4"/>
      </w:r>
      <w:r>
        <w:rPr>
          <w:position w:val="7"/>
          <w:sz w:val="14"/>
        </w:rPr>
        <w:t xml:space="preserve"> </w:t>
      </w:r>
      <w:r>
        <w:t>The ESPI mechanism is a set of rules for calculating incentive awards intended to motivate IOUs to achieve their CPUC- authorized energy savings goals by investing in energy efficiency programs as a core business strategy. Without such incentives, IOUs might instead devote scarce resources to supply-side procurement on which they earn a return.</w:t>
      </w:r>
      <w:r w:rsidR="00A82D7E">
        <w:rPr>
          <w:rStyle w:val="FootnoteReference"/>
          <w:position w:val="7"/>
          <w:sz w:val="14"/>
        </w:rPr>
        <w:footnoteReference w:id="5"/>
      </w:r>
      <w:r>
        <w:rPr>
          <w:position w:val="7"/>
          <w:sz w:val="14"/>
        </w:rPr>
        <w:t xml:space="preserve"> </w:t>
      </w:r>
      <w:r>
        <w:t>By means of the ESPI mechanism, the IOUs are given annual monetary awards based on their portfolio performance in the areas of energy efficiency resource programs,</w:t>
      </w:r>
      <w:r w:rsidR="003F689F">
        <w:rPr>
          <w:rStyle w:val="FootnoteReference"/>
        </w:rPr>
        <w:footnoteReference w:id="6"/>
      </w:r>
      <w:r>
        <w:rPr>
          <w:position w:val="7"/>
          <w:sz w:val="14"/>
        </w:rPr>
        <w:t xml:space="preserve"> </w:t>
      </w:r>
      <w:r>
        <w:t>non-resource programs,</w:t>
      </w:r>
      <w:r w:rsidR="003F689F">
        <w:rPr>
          <w:rStyle w:val="FootnoteReference"/>
          <w:position w:val="7"/>
          <w:sz w:val="14"/>
        </w:rPr>
        <w:footnoteReference w:id="7"/>
      </w:r>
      <w:r>
        <w:rPr>
          <w:position w:val="7"/>
          <w:sz w:val="14"/>
        </w:rPr>
        <w:t xml:space="preserve"> </w:t>
      </w:r>
      <w:r>
        <w:t>and codes &amp; standards (C&amp;S) programs. These awards are separate from the IOUs’ authorized annual budgets and approved annual expenditures. They can be allocated toward capital projects or dividends.</w:t>
      </w:r>
    </w:p>
    <w:p w:rsidR="007B31C8" w:rsidRDefault="006C3CB7" w14:paraId="1498638E" w14:textId="2F442EE1">
      <w:pPr>
        <w:pStyle w:val="BodyText"/>
        <w:spacing w:before="120"/>
        <w:ind w:left="220" w:right="233"/>
        <w:jc w:val="both"/>
      </w:pPr>
      <w:r>
        <w:t>In 2015, the CPUC adopted new energy efficiency planning, budget, and review processes and updated the timelines for ESPI review accordingly. The framework of the ESPI mechanism was otherwise retained.</w:t>
      </w:r>
      <w:r w:rsidR="006D454C">
        <w:rPr>
          <w:rStyle w:val="FootnoteReference"/>
        </w:rPr>
        <w:footnoteReference w:id="8"/>
      </w:r>
      <w:r>
        <w:rPr>
          <w:position w:val="7"/>
          <w:sz w:val="14"/>
        </w:rPr>
        <w:t xml:space="preserve"> </w:t>
      </w:r>
      <w:r>
        <w:t>In 2016, the CPUC modified the calculation of the expected (or “ex ante”) savings review process performance scores. In 2018, a ruling shifted that year’s expected energy savings adjustment timeline forward.</w:t>
      </w:r>
      <w:r w:rsidR="006D454C">
        <w:rPr>
          <w:rStyle w:val="FootnoteReference"/>
        </w:rPr>
        <w:footnoteReference w:id="9"/>
      </w:r>
      <w:r>
        <w:rPr>
          <w:position w:val="7"/>
          <w:sz w:val="14"/>
        </w:rPr>
        <w:t xml:space="preserve"> </w:t>
      </w:r>
      <w:r w:rsidR="00AC2669">
        <w:t>As was done in 2019</w:t>
      </w:r>
      <w:r>
        <w:t>, CPUC Staff released draft expected savings calculations early to inform the IOUs, by email in August 20</w:t>
      </w:r>
      <w:r w:rsidR="00AC2669">
        <w:t>20</w:t>
      </w:r>
      <w:r>
        <w:t>. Each year, the CPUC approves ESPI awards consistent with D.05-09-043, D.13-09-023, and the subsequent decisions.</w:t>
      </w:r>
    </w:p>
    <w:p w:rsidR="00854599" w:rsidP="00854599" w:rsidRDefault="002913D5" w14:paraId="25C8569F" w14:textId="3218A29A">
      <w:pPr>
        <w:pStyle w:val="BodyText"/>
        <w:spacing w:before="120"/>
        <w:ind w:left="220" w:right="233"/>
        <w:jc w:val="both"/>
        <w:rPr>
          <w:b/>
          <w:sz w:val="28"/>
          <w:szCs w:val="28"/>
        </w:rPr>
      </w:pPr>
      <w:r>
        <w:rPr>
          <w:b/>
          <w:bCs/>
          <w:sz w:val="28"/>
          <w:szCs w:val="28"/>
        </w:rPr>
        <w:t xml:space="preserve">Post </w:t>
      </w:r>
      <w:r w:rsidR="00854599">
        <w:rPr>
          <w:b/>
          <w:bCs/>
          <w:sz w:val="28"/>
          <w:szCs w:val="28"/>
        </w:rPr>
        <w:t xml:space="preserve">2021 </w:t>
      </w:r>
      <w:r w:rsidR="007302D7">
        <w:rPr>
          <w:b/>
          <w:bCs/>
          <w:sz w:val="28"/>
          <w:szCs w:val="28"/>
        </w:rPr>
        <w:t>–</w:t>
      </w:r>
      <w:r w:rsidR="00854599">
        <w:rPr>
          <w:b/>
          <w:bCs/>
          <w:sz w:val="28"/>
          <w:szCs w:val="28"/>
        </w:rPr>
        <w:t xml:space="preserve">ESPI Moratorium </w:t>
      </w:r>
    </w:p>
    <w:p w:rsidR="00B64980" w:rsidP="00E14A40" w:rsidRDefault="00E14A40" w14:paraId="3F1CBD30" w14:textId="570A6F79">
      <w:pPr>
        <w:pStyle w:val="BodyText"/>
        <w:spacing w:before="120"/>
        <w:ind w:left="220" w:right="233"/>
        <w:jc w:val="both"/>
      </w:pPr>
      <w:r>
        <w:t>On November</w:t>
      </w:r>
      <w:r w:rsidR="004006AE">
        <w:t xml:space="preserve"> 6,</w:t>
      </w:r>
      <w:r>
        <w:t xml:space="preserve"> 2020, the commission adopted decision D</w:t>
      </w:r>
      <w:r w:rsidR="004006AE">
        <w:t>.</w:t>
      </w:r>
      <w:r>
        <w:t>20-11-013 impos</w:t>
      </w:r>
      <w:r w:rsidR="0020398A">
        <w:t>ing</w:t>
      </w:r>
      <w:r>
        <w:t xml:space="preserve"> a moratorium on award payments under the ESPI beginning with 2021 program year advice letter earnings claims. The moratorium shall remain in effect pending subsequent action to assess whether, how, or when a new version of ESPI or a new incentive mechanism can be devised and implemented. </w:t>
      </w:r>
    </w:p>
    <w:p w:rsidR="00B64980" w:rsidRDefault="00EB1581" w14:paraId="2154AFB2" w14:textId="767DD200">
      <w:pPr>
        <w:pStyle w:val="BodyText"/>
        <w:spacing w:before="120"/>
        <w:ind w:left="220" w:right="233"/>
        <w:jc w:val="both"/>
      </w:pPr>
      <w:r>
        <w:lastRenderedPageBreak/>
        <w:t xml:space="preserve">With regards to </w:t>
      </w:r>
      <w:r w:rsidR="00952FC0">
        <w:t xml:space="preserve">pending </w:t>
      </w:r>
      <w:r>
        <w:t>ESPI payments, t</w:t>
      </w:r>
      <w:r w:rsidR="00795C42">
        <w:t>he decision conclude</w:t>
      </w:r>
      <w:r w:rsidR="00746BC0">
        <w:t>s</w:t>
      </w:r>
      <w:r w:rsidR="00B64980">
        <w:t xml:space="preserve"> </w:t>
      </w:r>
      <w:r w:rsidR="00952FC0">
        <w:t xml:space="preserve">the IOUs </w:t>
      </w:r>
      <w:r w:rsidR="001E613E">
        <w:t xml:space="preserve">shall remain eligible for ESPI awards claimed in their </w:t>
      </w:r>
      <w:r w:rsidR="00100D79">
        <w:t xml:space="preserve">2020 </w:t>
      </w:r>
      <w:r w:rsidR="001E613E">
        <w:t xml:space="preserve">advice letter filings </w:t>
      </w:r>
      <w:r w:rsidR="00100D79">
        <w:t>for</w:t>
      </w:r>
      <w:r w:rsidR="001E613E">
        <w:t xml:space="preserve"> program year</w:t>
      </w:r>
      <w:r w:rsidR="00100D79">
        <w:t>s 2018 and 2019,</w:t>
      </w:r>
      <w:r w:rsidR="001E613E">
        <w:t xml:space="preserve"> consistent with the rules in effect prior to the decision</w:t>
      </w:r>
      <w:r w:rsidR="00952FC0">
        <w:t xml:space="preserve">. </w:t>
      </w:r>
      <w:r w:rsidR="003E2D08">
        <w:t xml:space="preserve">This includes </w:t>
      </w:r>
      <w:r w:rsidR="008F749C">
        <w:t xml:space="preserve">incentives for </w:t>
      </w:r>
      <w:r w:rsidR="003E2D08">
        <w:t xml:space="preserve">all remaining 2018 performance activity </w:t>
      </w:r>
      <w:r w:rsidR="008F749C">
        <w:t xml:space="preserve">and the </w:t>
      </w:r>
      <w:r w:rsidR="00206C7B">
        <w:t xml:space="preserve">2019 earnings claims that </w:t>
      </w:r>
      <w:r w:rsidR="001E650B">
        <w:t xml:space="preserve">are to be awarded in 2020 consistent with </w:t>
      </w:r>
      <w:r w:rsidR="00824A06">
        <w:t xml:space="preserve">the </w:t>
      </w:r>
      <w:r w:rsidR="00444C22">
        <w:t>ESPI</w:t>
      </w:r>
      <w:r w:rsidR="001E650B">
        <w:t xml:space="preserve"> rules. </w:t>
      </w:r>
      <w:r w:rsidR="00444C22">
        <w:t>Activities associated with</w:t>
      </w:r>
      <w:r w:rsidR="009004B6">
        <w:t xml:space="preserve"> 2019 activities that </w:t>
      </w:r>
      <w:r w:rsidR="00206C7B">
        <w:t xml:space="preserve">would be </w:t>
      </w:r>
      <w:r w:rsidR="009004B6">
        <w:t>included in</w:t>
      </w:r>
      <w:r w:rsidR="00206C7B">
        <w:t xml:space="preserve"> the 2021 ESPI advice letter </w:t>
      </w:r>
      <w:r w:rsidR="00CC3B6E">
        <w:t>ar</w:t>
      </w:r>
      <w:r w:rsidR="00206C7B">
        <w:t xml:space="preserve">e </w:t>
      </w:r>
      <w:r w:rsidR="00CC3B6E">
        <w:t xml:space="preserve">now </w:t>
      </w:r>
      <w:r w:rsidR="00206C7B">
        <w:t>subject to the moratorium adopted in the decision</w:t>
      </w:r>
      <w:r w:rsidR="00CC3B6E">
        <w:t>.</w:t>
      </w:r>
    </w:p>
    <w:p w:rsidR="00FB5C30" w:rsidRDefault="00FB5C30" w14:paraId="37873222" w14:textId="77777777">
      <w:pPr>
        <w:pStyle w:val="BodyText"/>
        <w:spacing w:before="120"/>
        <w:ind w:left="220" w:right="233"/>
        <w:jc w:val="both"/>
      </w:pPr>
    </w:p>
    <w:p w:rsidR="007B31C8" w:rsidRDefault="006C3CB7" w14:paraId="21B120EC" w14:textId="77777777">
      <w:pPr>
        <w:pStyle w:val="Heading3"/>
        <w:spacing w:before="24"/>
      </w:pPr>
      <w:r w:rsidRPr="004E3748">
        <w:t>Portfolio Categories for the</w:t>
      </w:r>
      <w:r>
        <w:t xml:space="preserve"> ESPI Mechanism</w:t>
      </w:r>
    </w:p>
    <w:p w:rsidR="007B31C8" w:rsidRDefault="006C3CB7" w14:paraId="2348B0FD" w14:textId="77777777">
      <w:pPr>
        <w:pStyle w:val="ListParagraph"/>
        <w:numPr>
          <w:ilvl w:val="0"/>
          <w:numId w:val="9"/>
        </w:numPr>
        <w:tabs>
          <w:tab w:val="left" w:pos="941"/>
        </w:tabs>
        <w:spacing w:before="120"/>
        <w:ind w:right="232"/>
        <w:rPr>
          <w:sz w:val="24"/>
        </w:rPr>
      </w:pPr>
      <w:r>
        <w:rPr>
          <w:b/>
          <w:sz w:val="24"/>
        </w:rPr>
        <w:t xml:space="preserve">Energy Efficiency Resource Savings: </w:t>
      </w:r>
      <w:r>
        <w:rPr>
          <w:sz w:val="24"/>
        </w:rPr>
        <w:t>This is an award for net lifecycle resource program energy savings measured in MW, GWh and MMT. This component is capped at 9% of the resource program budget, excluding funding dedicated to administrative activities; C&amp;S programs; Evaluation, Measurement, and Verification; and Community Choice Aggregators/Regional Energy</w:t>
      </w:r>
      <w:r>
        <w:rPr>
          <w:spacing w:val="-16"/>
          <w:sz w:val="24"/>
        </w:rPr>
        <w:t xml:space="preserve"> </w:t>
      </w:r>
      <w:r>
        <w:rPr>
          <w:sz w:val="24"/>
        </w:rPr>
        <w:t>Networks.</w:t>
      </w:r>
    </w:p>
    <w:p w:rsidR="007B31C8" w:rsidRDefault="006C3CB7" w14:paraId="36BA96AE" w14:textId="3BF0F6F7">
      <w:pPr>
        <w:pStyle w:val="BodyText"/>
        <w:spacing w:before="121"/>
        <w:ind w:left="940" w:right="234"/>
        <w:jc w:val="both"/>
        <w:rPr>
          <w:sz w:val="14"/>
        </w:rPr>
      </w:pPr>
      <w:r>
        <w:t>The energy savings of the portfolio are determined through a combination of expected savings (as estimated pre-implementation, or “ex ante”) and savings evaluated post-implementation (or “ex post”). Consequently, the energy efficiency resource savings award is a sum of expected and evaluated savings awards. IOUs apply for awards based on their expected savings in the year following the PY (i.e., in 20</w:t>
      </w:r>
      <w:r w:rsidR="00C94FBD">
        <w:t>20</w:t>
      </w:r>
      <w:r>
        <w:t xml:space="preserve"> for PY 201</w:t>
      </w:r>
      <w:r w:rsidR="00C94FBD">
        <w:t>9</w:t>
      </w:r>
      <w:r>
        <w:t>) and based on their evaluated savings two years following the PY (i.e., in 20</w:t>
      </w:r>
      <w:r w:rsidR="00762DB7">
        <w:t>20</w:t>
      </w:r>
      <w:r>
        <w:t xml:space="preserve"> for PY 201</w:t>
      </w:r>
      <w:r w:rsidR="00762DB7">
        <w:t>8</w:t>
      </w:r>
      <w:r>
        <w:t>).</w:t>
      </w:r>
      <w:r w:rsidR="001F3B76">
        <w:rPr>
          <w:rStyle w:val="FootnoteReference"/>
        </w:rPr>
        <w:footnoteReference w:id="10"/>
      </w:r>
    </w:p>
    <w:p w:rsidR="007B31C8" w:rsidRDefault="006C3CB7" w14:paraId="2F33509A" w14:textId="611F95C1">
      <w:pPr>
        <w:pStyle w:val="BodyText"/>
        <w:spacing w:before="122"/>
        <w:ind w:left="940" w:right="234"/>
        <w:jc w:val="both"/>
      </w:pPr>
      <w:r>
        <w:t>To determine which measures will be subject to evaluation, the CPUC annually releases the “Uncertain Measures List” prior to the start of the PY.</w:t>
      </w:r>
      <w:r w:rsidR="0066495F">
        <w:rPr>
          <w:rStyle w:val="FootnoteReference"/>
        </w:rPr>
        <w:footnoteReference w:id="11"/>
      </w:r>
      <w:r>
        <w:rPr>
          <w:position w:val="7"/>
          <w:sz w:val="14"/>
        </w:rPr>
        <w:t xml:space="preserve"> </w:t>
      </w:r>
      <w:r>
        <w:t>The list of uncertain measures for PY 201</w:t>
      </w:r>
      <w:r w:rsidR="00692869">
        <w:t>9</w:t>
      </w:r>
      <w:r>
        <w:t xml:space="preserve"> was released by CPUC Staff on October 31, 201</w:t>
      </w:r>
      <w:r w:rsidR="00AD036B">
        <w:t>8</w:t>
      </w:r>
      <w:r>
        <w:t>.</w:t>
      </w:r>
      <w:r w:rsidR="0066495F">
        <w:rPr>
          <w:rStyle w:val="FootnoteReference"/>
        </w:rPr>
        <w:footnoteReference w:id="12"/>
      </w:r>
      <w:r>
        <w:rPr>
          <w:position w:val="7"/>
          <w:sz w:val="14"/>
        </w:rPr>
        <w:t xml:space="preserve"> </w:t>
      </w:r>
      <w:r>
        <w:t>Measures that are not on the Uncertain Measures List are called “not-uncertain deemed measures,” and their expected savings estimates are used for the purposes of calculating the ESPI.</w:t>
      </w:r>
    </w:p>
    <w:p w:rsidR="007B31C8" w:rsidRDefault="006C3CB7" w14:paraId="5EA7F10C" w14:textId="77777777">
      <w:pPr>
        <w:pStyle w:val="ListParagraph"/>
        <w:numPr>
          <w:ilvl w:val="0"/>
          <w:numId w:val="9"/>
        </w:numPr>
        <w:tabs>
          <w:tab w:val="left" w:pos="941"/>
        </w:tabs>
        <w:spacing w:before="117"/>
        <w:ind w:right="236"/>
        <w:rPr>
          <w:sz w:val="24"/>
        </w:rPr>
      </w:pPr>
      <w:r>
        <w:rPr>
          <w:b/>
          <w:sz w:val="24"/>
        </w:rPr>
        <w:t>Ex Ante Review (EAR) Process Performance</w:t>
      </w:r>
      <w:r>
        <w:rPr>
          <w:sz w:val="24"/>
        </w:rPr>
        <w:t xml:space="preserve">: This is a performance award for IOUs’ conformance to EAR process standards of up to 3% of authorized resource </w:t>
      </w:r>
      <w:r>
        <w:rPr>
          <w:sz w:val="24"/>
        </w:rPr>
        <w:lastRenderedPageBreak/>
        <w:t>program expenditures, excluding administrative</w:t>
      </w:r>
      <w:r>
        <w:rPr>
          <w:spacing w:val="-2"/>
          <w:sz w:val="24"/>
        </w:rPr>
        <w:t xml:space="preserve"> </w:t>
      </w:r>
      <w:r>
        <w:rPr>
          <w:sz w:val="24"/>
        </w:rPr>
        <w:t>costs.</w:t>
      </w:r>
    </w:p>
    <w:p w:rsidR="007B31C8" w:rsidRDefault="007B31C8" w14:paraId="6BD72FAD" w14:textId="77777777">
      <w:pPr>
        <w:pStyle w:val="BodyText"/>
        <w:rPr>
          <w:sz w:val="20"/>
        </w:rPr>
      </w:pPr>
    </w:p>
    <w:p w:rsidR="007B31C8" w:rsidRDefault="006C3CB7" w14:paraId="4F568F28" w14:textId="76C0A142">
      <w:pPr>
        <w:pStyle w:val="BodyText"/>
        <w:spacing w:before="24"/>
        <w:ind w:left="940" w:right="234"/>
        <w:jc w:val="both"/>
      </w:pPr>
      <w:r>
        <w:t>The EAR performance award is the product of these expenditures and the total EAR performance score. Each IOU’s total score is based on a performance review of their respective EAR activities in accordance with the metrics in Table 3.</w:t>
      </w:r>
      <w:r w:rsidR="00414727">
        <w:rPr>
          <w:rStyle w:val="FootnoteReference"/>
        </w:rPr>
        <w:footnoteReference w:id="13"/>
      </w:r>
    </w:p>
    <w:p w:rsidR="007B31C8" w:rsidRDefault="006C3CB7" w14:paraId="46BEBF28" w14:textId="77777777">
      <w:pPr>
        <w:pStyle w:val="BodyText"/>
        <w:spacing w:before="121"/>
        <w:ind w:left="1648"/>
        <w:jc w:val="both"/>
      </w:pPr>
      <w:r>
        <w:t>Table 3: Weights Adopted for the EAR Performance Metric Categories</w:t>
      </w:r>
    </w:p>
    <w:tbl>
      <w:tblPr>
        <w:tblW w:w="0" w:type="auto"/>
        <w:tblInd w:w="10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362"/>
        <w:gridCol w:w="1279"/>
      </w:tblGrid>
      <w:tr w:rsidR="007B31C8" w14:paraId="407F5B68" w14:textId="77777777">
        <w:trPr>
          <w:trHeight w:val="323"/>
        </w:trPr>
        <w:tc>
          <w:tcPr>
            <w:tcW w:w="7362" w:type="dxa"/>
          </w:tcPr>
          <w:p w:rsidR="007B31C8" w:rsidRDefault="006C3CB7" w14:paraId="1EB84244" w14:textId="77777777">
            <w:pPr>
              <w:pStyle w:val="TableParagraph"/>
              <w:spacing w:line="304" w:lineRule="exact"/>
              <w:ind w:left="2775" w:right="2770"/>
              <w:jc w:val="center"/>
              <w:rPr>
                <w:b/>
                <w:sz w:val="24"/>
              </w:rPr>
            </w:pPr>
            <w:r>
              <w:rPr>
                <w:b/>
                <w:sz w:val="24"/>
              </w:rPr>
              <w:t>Metric Category</w:t>
            </w:r>
          </w:p>
        </w:tc>
        <w:tc>
          <w:tcPr>
            <w:tcW w:w="1279" w:type="dxa"/>
          </w:tcPr>
          <w:p w:rsidR="007B31C8" w:rsidRDefault="006C3CB7" w14:paraId="1DD2F14A" w14:textId="77777777">
            <w:pPr>
              <w:pStyle w:val="TableParagraph"/>
              <w:spacing w:line="304" w:lineRule="exact"/>
              <w:ind w:left="220" w:right="209"/>
              <w:jc w:val="center"/>
              <w:rPr>
                <w:b/>
                <w:sz w:val="24"/>
              </w:rPr>
            </w:pPr>
            <w:r>
              <w:rPr>
                <w:b/>
                <w:sz w:val="24"/>
              </w:rPr>
              <w:t>Weight</w:t>
            </w:r>
          </w:p>
        </w:tc>
      </w:tr>
      <w:tr w:rsidR="007B31C8" w14:paraId="17D6BB6D" w14:textId="77777777">
        <w:trPr>
          <w:trHeight w:val="323"/>
        </w:trPr>
        <w:tc>
          <w:tcPr>
            <w:tcW w:w="7362" w:type="dxa"/>
          </w:tcPr>
          <w:p w:rsidR="007B31C8" w:rsidRDefault="006C3CB7" w14:paraId="70E26F1C" w14:textId="77777777">
            <w:pPr>
              <w:pStyle w:val="TableParagraph"/>
              <w:spacing w:line="304" w:lineRule="exact"/>
              <w:ind w:left="107"/>
              <w:jc w:val="left"/>
              <w:rPr>
                <w:sz w:val="24"/>
              </w:rPr>
            </w:pPr>
            <w:r>
              <w:rPr>
                <w:sz w:val="24"/>
              </w:rPr>
              <w:t>1. Timing and Timeliness of Submittals</w:t>
            </w:r>
          </w:p>
        </w:tc>
        <w:tc>
          <w:tcPr>
            <w:tcW w:w="1279" w:type="dxa"/>
          </w:tcPr>
          <w:p w:rsidR="007B31C8" w:rsidRDefault="006C3CB7" w14:paraId="39CD6634" w14:textId="77777777">
            <w:pPr>
              <w:pStyle w:val="TableParagraph"/>
              <w:spacing w:line="304" w:lineRule="exact"/>
              <w:ind w:left="217" w:right="209"/>
              <w:jc w:val="center"/>
              <w:rPr>
                <w:sz w:val="24"/>
              </w:rPr>
            </w:pPr>
            <w:r>
              <w:rPr>
                <w:sz w:val="24"/>
              </w:rPr>
              <w:t>10%</w:t>
            </w:r>
          </w:p>
        </w:tc>
      </w:tr>
      <w:tr w:rsidR="007B31C8" w14:paraId="1BB628C7" w14:textId="77777777">
        <w:trPr>
          <w:trHeight w:val="323"/>
        </w:trPr>
        <w:tc>
          <w:tcPr>
            <w:tcW w:w="7362" w:type="dxa"/>
          </w:tcPr>
          <w:p w:rsidR="007B31C8" w:rsidRDefault="006C3CB7" w14:paraId="23E0F29B" w14:textId="77777777">
            <w:pPr>
              <w:pStyle w:val="TableParagraph"/>
              <w:spacing w:line="304" w:lineRule="exact"/>
              <w:ind w:left="107"/>
              <w:jc w:val="left"/>
              <w:rPr>
                <w:sz w:val="24"/>
              </w:rPr>
            </w:pPr>
            <w:r>
              <w:rPr>
                <w:sz w:val="24"/>
              </w:rPr>
              <w:t>2. Content, Completeness, and Quality of Submittals</w:t>
            </w:r>
          </w:p>
        </w:tc>
        <w:tc>
          <w:tcPr>
            <w:tcW w:w="1279" w:type="dxa"/>
          </w:tcPr>
          <w:p w:rsidR="007B31C8" w:rsidRDefault="006C3CB7" w14:paraId="07C7EC05" w14:textId="77777777">
            <w:pPr>
              <w:pStyle w:val="TableParagraph"/>
              <w:spacing w:line="304" w:lineRule="exact"/>
              <w:ind w:left="217" w:right="209"/>
              <w:jc w:val="center"/>
              <w:rPr>
                <w:sz w:val="24"/>
              </w:rPr>
            </w:pPr>
            <w:r>
              <w:rPr>
                <w:sz w:val="24"/>
              </w:rPr>
              <w:t>30%</w:t>
            </w:r>
          </w:p>
        </w:tc>
      </w:tr>
      <w:tr w:rsidR="007B31C8" w14:paraId="15907E6D" w14:textId="77777777">
        <w:trPr>
          <w:trHeight w:val="323"/>
        </w:trPr>
        <w:tc>
          <w:tcPr>
            <w:tcW w:w="7362" w:type="dxa"/>
          </w:tcPr>
          <w:p w:rsidR="007B31C8" w:rsidRDefault="006C3CB7" w14:paraId="36470D2C" w14:textId="77777777">
            <w:pPr>
              <w:pStyle w:val="TableParagraph"/>
              <w:spacing w:line="304" w:lineRule="exact"/>
              <w:ind w:left="107"/>
              <w:jc w:val="left"/>
              <w:rPr>
                <w:sz w:val="24"/>
              </w:rPr>
            </w:pPr>
            <w:r>
              <w:rPr>
                <w:sz w:val="24"/>
              </w:rPr>
              <w:t>3. Proactive Initiative of Collaboration</w:t>
            </w:r>
          </w:p>
        </w:tc>
        <w:tc>
          <w:tcPr>
            <w:tcW w:w="1279" w:type="dxa"/>
          </w:tcPr>
          <w:p w:rsidR="007B31C8" w:rsidRDefault="006C3CB7" w14:paraId="5ED11145" w14:textId="77777777">
            <w:pPr>
              <w:pStyle w:val="TableParagraph"/>
              <w:spacing w:line="304" w:lineRule="exact"/>
              <w:ind w:left="217" w:right="209"/>
              <w:jc w:val="center"/>
              <w:rPr>
                <w:sz w:val="24"/>
              </w:rPr>
            </w:pPr>
            <w:r>
              <w:rPr>
                <w:sz w:val="24"/>
              </w:rPr>
              <w:t>10%</w:t>
            </w:r>
          </w:p>
        </w:tc>
      </w:tr>
      <w:tr w:rsidR="007B31C8" w14:paraId="7EA66F3F" w14:textId="77777777">
        <w:trPr>
          <w:trHeight w:val="648"/>
        </w:trPr>
        <w:tc>
          <w:tcPr>
            <w:tcW w:w="7362" w:type="dxa"/>
          </w:tcPr>
          <w:p w:rsidR="007B31C8" w:rsidRDefault="006C3CB7" w14:paraId="634EE6D3" w14:textId="77777777">
            <w:pPr>
              <w:pStyle w:val="TableParagraph"/>
              <w:ind w:left="107"/>
              <w:jc w:val="left"/>
              <w:rPr>
                <w:sz w:val="24"/>
              </w:rPr>
            </w:pPr>
            <w:r>
              <w:rPr>
                <w:sz w:val="24"/>
              </w:rPr>
              <w:t>4. Program Administrator (PA)’s Due Diligence and QA/QC</w:t>
            </w:r>
          </w:p>
          <w:p w:rsidR="007B31C8" w:rsidRDefault="006C3CB7" w14:paraId="64FA1493" w14:textId="77777777">
            <w:pPr>
              <w:pStyle w:val="TableParagraph"/>
              <w:spacing w:line="304" w:lineRule="exact"/>
              <w:ind w:left="347"/>
              <w:jc w:val="left"/>
              <w:rPr>
                <w:sz w:val="24"/>
              </w:rPr>
            </w:pPr>
            <w:r>
              <w:rPr>
                <w:sz w:val="24"/>
              </w:rPr>
              <w:t>Effectiveness</w:t>
            </w:r>
          </w:p>
        </w:tc>
        <w:tc>
          <w:tcPr>
            <w:tcW w:w="1279" w:type="dxa"/>
          </w:tcPr>
          <w:p w:rsidR="007B31C8" w:rsidRDefault="006C3CB7" w14:paraId="68F44921" w14:textId="77777777">
            <w:pPr>
              <w:pStyle w:val="TableParagraph"/>
              <w:ind w:left="217" w:right="209"/>
              <w:jc w:val="center"/>
              <w:rPr>
                <w:sz w:val="24"/>
              </w:rPr>
            </w:pPr>
            <w:r>
              <w:rPr>
                <w:sz w:val="24"/>
              </w:rPr>
              <w:t>25%</w:t>
            </w:r>
          </w:p>
        </w:tc>
      </w:tr>
      <w:tr w:rsidR="007B31C8" w14:paraId="58372796" w14:textId="77777777">
        <w:trPr>
          <w:trHeight w:val="647"/>
        </w:trPr>
        <w:tc>
          <w:tcPr>
            <w:tcW w:w="7362" w:type="dxa"/>
          </w:tcPr>
          <w:p w:rsidR="007B31C8" w:rsidRDefault="006C3CB7" w14:paraId="5206B22E" w14:textId="77777777">
            <w:pPr>
              <w:pStyle w:val="TableParagraph"/>
              <w:ind w:left="107"/>
              <w:jc w:val="left"/>
              <w:rPr>
                <w:sz w:val="24"/>
              </w:rPr>
            </w:pPr>
            <w:r>
              <w:rPr>
                <w:sz w:val="24"/>
              </w:rPr>
              <w:t>5. PA’s Responsiveness to Needs for Process and Program</w:t>
            </w:r>
          </w:p>
          <w:p w:rsidR="007B31C8" w:rsidRDefault="006C3CB7" w14:paraId="65EE76EF" w14:textId="77777777">
            <w:pPr>
              <w:pStyle w:val="TableParagraph"/>
              <w:spacing w:line="304" w:lineRule="exact"/>
              <w:ind w:left="347"/>
              <w:jc w:val="left"/>
              <w:rPr>
                <w:sz w:val="24"/>
              </w:rPr>
            </w:pPr>
            <w:r>
              <w:rPr>
                <w:sz w:val="24"/>
              </w:rPr>
              <w:t>Improvements</w:t>
            </w:r>
          </w:p>
        </w:tc>
        <w:tc>
          <w:tcPr>
            <w:tcW w:w="1279" w:type="dxa"/>
          </w:tcPr>
          <w:p w:rsidR="007B31C8" w:rsidRDefault="006C3CB7" w14:paraId="0855A211" w14:textId="77777777">
            <w:pPr>
              <w:pStyle w:val="TableParagraph"/>
              <w:ind w:left="217" w:right="209"/>
              <w:jc w:val="center"/>
              <w:rPr>
                <w:sz w:val="24"/>
              </w:rPr>
            </w:pPr>
            <w:r>
              <w:rPr>
                <w:sz w:val="24"/>
              </w:rPr>
              <w:t>25%</w:t>
            </w:r>
          </w:p>
        </w:tc>
      </w:tr>
    </w:tbl>
    <w:p w:rsidR="007B31C8" w:rsidRDefault="006C3CB7" w14:paraId="56F69549" w14:textId="77777777">
      <w:pPr>
        <w:pStyle w:val="ListParagraph"/>
        <w:numPr>
          <w:ilvl w:val="0"/>
          <w:numId w:val="9"/>
        </w:numPr>
        <w:tabs>
          <w:tab w:val="left" w:pos="941"/>
        </w:tabs>
        <w:spacing w:before="117"/>
        <w:ind w:right="235"/>
        <w:rPr>
          <w:sz w:val="24"/>
        </w:rPr>
      </w:pPr>
      <w:r>
        <w:rPr>
          <w:b/>
          <w:sz w:val="24"/>
        </w:rPr>
        <w:t xml:space="preserve">Codes and Standards (C&amp;S) Advocacy Programs: </w:t>
      </w:r>
      <w:r>
        <w:rPr>
          <w:sz w:val="24"/>
        </w:rPr>
        <w:t>This is a management fee for the IOUs’ advocacy of C&amp;S. Calculated based on 12% of the authorized C&amp;S program expenses, excluding administrative</w:t>
      </w:r>
      <w:r>
        <w:rPr>
          <w:spacing w:val="-3"/>
          <w:sz w:val="24"/>
        </w:rPr>
        <w:t xml:space="preserve"> </w:t>
      </w:r>
      <w:r>
        <w:rPr>
          <w:sz w:val="24"/>
        </w:rPr>
        <w:t>costs.</w:t>
      </w:r>
    </w:p>
    <w:p w:rsidR="007B31C8" w:rsidRDefault="006C3CB7" w14:paraId="4CC9EBA8" w14:textId="77777777">
      <w:pPr>
        <w:pStyle w:val="ListParagraph"/>
        <w:numPr>
          <w:ilvl w:val="0"/>
          <w:numId w:val="9"/>
        </w:numPr>
        <w:tabs>
          <w:tab w:val="left" w:pos="941"/>
        </w:tabs>
        <w:spacing w:before="121"/>
        <w:ind w:right="235"/>
        <w:rPr>
          <w:sz w:val="24"/>
        </w:rPr>
      </w:pPr>
      <w:r>
        <w:rPr>
          <w:b/>
          <w:sz w:val="24"/>
        </w:rPr>
        <w:t xml:space="preserve">Non-Resource Programs: </w:t>
      </w:r>
      <w:r>
        <w:rPr>
          <w:sz w:val="24"/>
        </w:rPr>
        <w:t>This is a management fee for implementing non- resource programs equal to 3% of the authorized non-resource program expenses, excluding administrative</w:t>
      </w:r>
      <w:r>
        <w:rPr>
          <w:spacing w:val="-2"/>
          <w:sz w:val="24"/>
        </w:rPr>
        <w:t xml:space="preserve"> </w:t>
      </w:r>
      <w:r>
        <w:rPr>
          <w:sz w:val="24"/>
        </w:rPr>
        <w:t>costs.</w:t>
      </w:r>
    </w:p>
    <w:p w:rsidR="007B31C8" w:rsidRDefault="006C3CB7" w14:paraId="79627993" w14:textId="77777777">
      <w:pPr>
        <w:pStyle w:val="Heading3"/>
        <w:spacing w:before="124" w:line="237" w:lineRule="auto"/>
        <w:ind w:right="244"/>
      </w:pPr>
      <w:r>
        <w:t>For the purposes of calculating the ESPI awards, program expenditures shall not exceed authorized budgets.</w:t>
      </w:r>
    </w:p>
    <w:p w:rsidR="007B31C8" w:rsidRDefault="006C3CB7" w14:paraId="51DEEBAC" w14:textId="03337FE1">
      <w:pPr>
        <w:pStyle w:val="BodyText"/>
        <w:spacing w:before="124"/>
        <w:ind w:left="220" w:right="234"/>
        <w:jc w:val="both"/>
      </w:pPr>
      <w:r>
        <w:t>The CPUC relies on public versions of Utility</w:t>
      </w:r>
      <w:r w:rsidR="00701361">
        <w:t xml:space="preserve"> Audit</w:t>
      </w:r>
      <w:r w:rsidR="00E14EA1">
        <w:t xml:space="preserve"> </w:t>
      </w:r>
      <w:r>
        <w:t>Branch (UA</w:t>
      </w:r>
      <w:r w:rsidR="00232EF3">
        <w:t>B</w:t>
      </w:r>
      <w:r>
        <w:t>) audit reports to verify the expenditures with which to calculate the C&amp;S and non-resource program awards.</w:t>
      </w:r>
      <w:r w:rsidR="00414727">
        <w:rPr>
          <w:rStyle w:val="FootnoteReference"/>
        </w:rPr>
        <w:footnoteReference w:id="14"/>
      </w:r>
      <w:r>
        <w:rPr>
          <w:position w:val="7"/>
          <w:sz w:val="14"/>
        </w:rPr>
        <w:t xml:space="preserve"> </w:t>
      </w:r>
      <w:r>
        <w:t xml:space="preserve">Past ESPI Resolutions have also used UAB audit reports to verify resource program expenditures with which to calculate the EAR performance awards. The UAB </w:t>
      </w:r>
      <w:r w:rsidR="00003D84">
        <w:t xml:space="preserve">did not perform an audit </w:t>
      </w:r>
      <w:r w:rsidR="00333E09">
        <w:t>of the</w:t>
      </w:r>
      <w:r>
        <w:t xml:space="preserve"> PY 2018 resource program</w:t>
      </w:r>
      <w:r w:rsidR="00003D84">
        <w:t xml:space="preserve"> expenditures,</w:t>
      </w:r>
      <w:r w:rsidR="00333E09">
        <w:t xml:space="preserve"> </w:t>
      </w:r>
      <w:r w:rsidR="00003D84">
        <w:t xml:space="preserve">so there are no </w:t>
      </w:r>
      <w:r>
        <w:t>EAR performance true ups in this</w:t>
      </w:r>
      <w:r>
        <w:rPr>
          <w:spacing w:val="-3"/>
        </w:rPr>
        <w:t xml:space="preserve"> </w:t>
      </w:r>
      <w:r>
        <w:t>Resolution.</w:t>
      </w:r>
    </w:p>
    <w:p w:rsidR="007B31C8" w:rsidRDefault="007B31C8" w14:paraId="62E5B627" w14:textId="77777777">
      <w:pPr>
        <w:pStyle w:val="BodyText"/>
        <w:rPr>
          <w:sz w:val="20"/>
        </w:rPr>
      </w:pPr>
    </w:p>
    <w:p w:rsidR="007B31C8" w:rsidP="00F0640F" w:rsidRDefault="006C3CB7" w14:paraId="503716B7" w14:textId="77777777">
      <w:pPr>
        <w:pStyle w:val="Heading1"/>
        <w:spacing w:before="160"/>
        <w:ind w:left="0"/>
        <w:rPr>
          <w:u w:val="none"/>
        </w:rPr>
      </w:pPr>
      <w:r>
        <w:rPr>
          <w:u w:val="thick"/>
        </w:rPr>
        <w:t>PROTESTS</w:t>
      </w:r>
    </w:p>
    <w:p w:rsidR="007B31C8" w:rsidRDefault="007B31C8" w14:paraId="6C6F4092" w14:textId="77777777">
      <w:pPr>
        <w:pStyle w:val="BodyText"/>
        <w:spacing w:before="3"/>
        <w:rPr>
          <w:rFonts w:ascii="Arial"/>
          <w:b/>
          <w:sz w:val="19"/>
        </w:rPr>
      </w:pPr>
    </w:p>
    <w:p w:rsidR="007B31C8" w:rsidRDefault="006C3CB7" w14:paraId="030D15EE" w14:textId="77777777">
      <w:pPr>
        <w:pStyle w:val="BodyText"/>
        <w:spacing w:before="24"/>
        <w:ind w:left="220"/>
      </w:pPr>
      <w:r>
        <w:t>No protests were filed to dispute the IOU-requested incentive award amounts.</w:t>
      </w:r>
    </w:p>
    <w:p w:rsidR="007B31C8" w:rsidRDefault="007B31C8" w14:paraId="280F0CBA" w14:textId="1E240A5B">
      <w:pPr>
        <w:pStyle w:val="BodyText"/>
        <w:spacing w:before="6"/>
        <w:rPr>
          <w:sz w:val="32"/>
        </w:rPr>
      </w:pPr>
    </w:p>
    <w:p w:rsidR="00FF7153" w:rsidRDefault="00FF7153" w14:paraId="67AE17B4" w14:textId="1CD03BA5">
      <w:pPr>
        <w:pStyle w:val="BodyText"/>
        <w:spacing w:before="6"/>
        <w:rPr>
          <w:sz w:val="32"/>
        </w:rPr>
      </w:pPr>
    </w:p>
    <w:p w:rsidR="00FF7153" w:rsidRDefault="00FF7153" w14:paraId="72A4DDE0" w14:textId="77777777">
      <w:pPr>
        <w:pStyle w:val="BodyText"/>
        <w:spacing w:before="6"/>
        <w:rPr>
          <w:sz w:val="32"/>
        </w:rPr>
      </w:pPr>
    </w:p>
    <w:p w:rsidR="007B31C8" w:rsidRDefault="006C3CB7" w14:paraId="6467F710" w14:textId="77777777">
      <w:pPr>
        <w:pStyle w:val="Heading1"/>
        <w:rPr>
          <w:u w:val="none"/>
        </w:rPr>
      </w:pPr>
      <w:r>
        <w:rPr>
          <w:u w:val="thick"/>
        </w:rPr>
        <w:t>DISCUSSION</w:t>
      </w:r>
    </w:p>
    <w:p w:rsidR="007B31C8" w:rsidRDefault="007B31C8" w14:paraId="037E1A33" w14:textId="77777777">
      <w:pPr>
        <w:pStyle w:val="BodyText"/>
        <w:rPr>
          <w:rFonts w:ascii="Arial"/>
          <w:b/>
          <w:sz w:val="19"/>
        </w:rPr>
      </w:pPr>
    </w:p>
    <w:p w:rsidR="007B31C8" w:rsidRDefault="006C3CB7" w14:paraId="17BFD3E5" w14:textId="4A6D15F5">
      <w:pPr>
        <w:pStyle w:val="Heading3"/>
        <w:spacing w:before="24"/>
      </w:pPr>
      <w:r>
        <w:t>201</w:t>
      </w:r>
      <w:r w:rsidR="00B34E0B">
        <w:t>8</w:t>
      </w:r>
      <w:r>
        <w:t xml:space="preserve"> and 201</w:t>
      </w:r>
      <w:r w:rsidR="00B34E0B">
        <w:t>9</w:t>
      </w:r>
      <w:r>
        <w:t xml:space="preserve"> Earnings Coefficients</w:t>
      </w:r>
    </w:p>
    <w:p w:rsidR="007B31C8" w:rsidRDefault="006C3CB7" w14:paraId="3530C8F7" w14:textId="7DE2788A">
      <w:pPr>
        <w:spacing w:before="120"/>
        <w:ind w:left="220" w:right="234"/>
        <w:jc w:val="both"/>
        <w:rPr>
          <w:b/>
          <w:sz w:val="24"/>
        </w:rPr>
      </w:pPr>
      <w:r>
        <w:rPr>
          <w:b/>
          <w:sz w:val="24"/>
        </w:rPr>
        <w:t>This Resolution uses 201</w:t>
      </w:r>
      <w:r w:rsidR="00B34E0B">
        <w:rPr>
          <w:b/>
          <w:sz w:val="24"/>
        </w:rPr>
        <w:t>8</w:t>
      </w:r>
      <w:r>
        <w:rPr>
          <w:b/>
          <w:sz w:val="24"/>
        </w:rPr>
        <w:t xml:space="preserve"> and 201</w:t>
      </w:r>
      <w:r w:rsidR="00B34E0B">
        <w:rPr>
          <w:b/>
          <w:sz w:val="24"/>
        </w:rPr>
        <w:t>9</w:t>
      </w:r>
      <w:r>
        <w:rPr>
          <w:b/>
          <w:sz w:val="24"/>
        </w:rPr>
        <w:t xml:space="preserve"> approved earnings coefficients to calculate ESPI awards. The IOUs are now consistent in assigning original budgeted program categories for determining earnings coefficients.</w:t>
      </w:r>
    </w:p>
    <w:p w:rsidR="00F125EC" w:rsidP="00F125EC" w:rsidRDefault="006C3CB7" w14:paraId="6A7A2E29" w14:textId="6C8FE952">
      <w:pPr>
        <w:pStyle w:val="BodyText"/>
        <w:spacing w:before="121"/>
        <w:ind w:left="220" w:right="238"/>
        <w:jc w:val="both"/>
      </w:pPr>
      <w:r>
        <w:t>Earnings coefficients determine the rate at which the IOUs will be paid for each unit of energy or demand savings achieved. They are derived by dividing the IOUs’ authorized resource program budgets by their Net Lifecycle Goals.</w:t>
      </w:r>
      <w:r w:rsidR="00084F28">
        <w:rPr>
          <w:rStyle w:val="FootnoteReference"/>
        </w:rPr>
        <w:footnoteReference w:id="15"/>
      </w:r>
      <w:r>
        <w:rPr>
          <w:position w:val="7"/>
          <w:sz w:val="14"/>
        </w:rPr>
        <w:t xml:space="preserve"> </w:t>
      </w:r>
      <w:r>
        <w:t>The earnings coefficients for PY 201</w:t>
      </w:r>
      <w:r w:rsidR="00A0281A">
        <w:t>8</w:t>
      </w:r>
      <w:r>
        <w:t xml:space="preserve"> (used in this Resolution to calculate the 201</w:t>
      </w:r>
      <w:r w:rsidR="003457DA">
        <w:t>8</w:t>
      </w:r>
      <w:r>
        <w:t xml:space="preserve"> evaluated resource savings</w:t>
      </w:r>
      <w:r>
        <w:rPr>
          <w:spacing w:val="-25"/>
        </w:rPr>
        <w:t xml:space="preserve"> </w:t>
      </w:r>
      <w:r>
        <w:t>award) were finalized in 201</w:t>
      </w:r>
      <w:r w:rsidR="00E14EA1">
        <w:t>9</w:t>
      </w:r>
      <w:r>
        <w:t xml:space="preserve"> via CPUC approval of a joint Tier 1 Advice Letter filed by the California IOUs.</w:t>
      </w:r>
      <w:r w:rsidR="00084F28">
        <w:rPr>
          <w:rStyle w:val="FootnoteReference"/>
        </w:rPr>
        <w:footnoteReference w:id="16"/>
      </w:r>
      <w:r>
        <w:rPr>
          <w:position w:val="7"/>
          <w:sz w:val="14"/>
        </w:rPr>
        <w:t xml:space="preserve"> </w:t>
      </w:r>
      <w:r>
        <w:t>The earnings coefficients for PY 201</w:t>
      </w:r>
      <w:r w:rsidR="00B51CAA">
        <w:t>9</w:t>
      </w:r>
      <w:r>
        <w:t xml:space="preserve"> were finalized in</w:t>
      </w:r>
      <w:r w:rsidR="00F01DE6">
        <w:t xml:space="preserve"> the approval of the </w:t>
      </w:r>
      <w:r>
        <w:t>joint Tier 1</w:t>
      </w:r>
      <w:r w:rsidR="00F01DE6">
        <w:t xml:space="preserve">, Earnings Rates and Awards Cap </w:t>
      </w:r>
      <w:r>
        <w:t>Advice</w:t>
      </w:r>
      <w:r>
        <w:rPr>
          <w:spacing w:val="-1"/>
        </w:rPr>
        <w:t xml:space="preserve"> </w:t>
      </w:r>
      <w:r>
        <w:t>Letter</w:t>
      </w:r>
      <w:r w:rsidR="00084F28">
        <w:rPr>
          <w:rStyle w:val="FootnoteReference"/>
        </w:rPr>
        <w:footnoteReference w:id="17"/>
      </w:r>
      <w:r w:rsidR="004B7187">
        <w:t>, filed in 2020.</w:t>
      </w:r>
      <w:r w:rsidR="004421E7">
        <w:t xml:space="preserve"> </w:t>
      </w:r>
      <w:r w:rsidR="00F125EC">
        <w:t xml:space="preserve">Once savings are finalized in the </w:t>
      </w:r>
      <w:r w:rsidR="00F125EC">
        <w:rPr>
          <w:i/>
        </w:rPr>
        <w:t>Savings Performance Statement</w:t>
      </w:r>
      <w:r w:rsidR="00F125EC">
        <w:rPr>
          <w:rStyle w:val="FootnoteReference"/>
          <w:i/>
        </w:rPr>
        <w:footnoteReference w:id="18"/>
      </w:r>
      <w:r w:rsidR="00F125EC">
        <w:t>, they are multiplied by the earnings coefficients to determine the resource savings award component of the ESPI</w:t>
      </w:r>
      <w:r w:rsidR="00F125EC">
        <w:rPr>
          <w:spacing w:val="-1"/>
        </w:rPr>
        <w:t xml:space="preserve"> </w:t>
      </w:r>
      <w:r w:rsidR="00F125EC">
        <w:t>award.</w:t>
      </w:r>
    </w:p>
    <w:p w:rsidR="007B31C8" w:rsidRDefault="006C3CB7" w14:paraId="60E95062" w14:textId="50830174">
      <w:pPr>
        <w:pStyle w:val="BodyText"/>
        <w:spacing w:before="119"/>
        <w:ind w:left="220"/>
        <w:jc w:val="both"/>
      </w:pPr>
      <w:r>
        <w:t>The approved 201</w:t>
      </w:r>
      <w:r w:rsidR="00597831">
        <w:t>8</w:t>
      </w:r>
      <w:r>
        <w:t xml:space="preserve"> and 201</w:t>
      </w:r>
      <w:r w:rsidR="00597831">
        <w:t>9</w:t>
      </w:r>
      <w:r>
        <w:t xml:space="preserve"> earnings coefficients, or rates, are shown in Table 4.</w:t>
      </w:r>
    </w:p>
    <w:p w:rsidR="007B31C8" w:rsidRDefault="006C3CB7" w14:paraId="71BDAD38" w14:textId="2203EA47">
      <w:pPr>
        <w:pStyle w:val="BodyText"/>
        <w:spacing w:before="204"/>
        <w:ind w:left="1092" w:right="1158"/>
        <w:jc w:val="center"/>
      </w:pPr>
      <w:r>
        <w:t>Table 4: 201</w:t>
      </w:r>
      <w:r w:rsidR="00597831">
        <w:t>8</w:t>
      </w:r>
      <w:r>
        <w:t xml:space="preserve"> and 201</w:t>
      </w:r>
      <w:r w:rsidR="00597831">
        <w:t>9</w:t>
      </w:r>
      <w:r>
        <w:t xml:space="preserve"> Statewide Earnings Coefficients</w:t>
      </w:r>
    </w:p>
    <w:p w:rsidR="007B31C8" w:rsidRDefault="007B31C8" w14:paraId="14AB3395" w14:textId="77777777">
      <w:pPr>
        <w:pStyle w:val="BodyText"/>
        <w:rPr>
          <w:sz w:val="5"/>
        </w:rPr>
      </w:pPr>
    </w:p>
    <w:tbl>
      <w:tblPr>
        <w:tblW w:w="0" w:type="auto"/>
        <w:tblInd w:w="9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205"/>
        <w:gridCol w:w="1858"/>
        <w:gridCol w:w="1858"/>
      </w:tblGrid>
      <w:tr w:rsidR="007B31C8" w14:paraId="126D9E54" w14:textId="77777777">
        <w:trPr>
          <w:trHeight w:val="337"/>
        </w:trPr>
        <w:tc>
          <w:tcPr>
            <w:tcW w:w="4205" w:type="dxa"/>
          </w:tcPr>
          <w:p w:rsidR="007B31C8" w:rsidRDefault="006C3CB7" w14:paraId="06E6A6E3" w14:textId="77777777">
            <w:pPr>
              <w:pStyle w:val="TableParagraph"/>
              <w:spacing w:before="11" w:line="306" w:lineRule="exact"/>
              <w:ind w:left="854" w:right="834"/>
              <w:jc w:val="center"/>
              <w:rPr>
                <w:b/>
                <w:sz w:val="24"/>
              </w:rPr>
            </w:pPr>
            <w:r>
              <w:rPr>
                <w:b/>
                <w:sz w:val="24"/>
              </w:rPr>
              <w:t>Energy Savings Type</w:t>
            </w:r>
          </w:p>
        </w:tc>
        <w:tc>
          <w:tcPr>
            <w:tcW w:w="1858" w:type="dxa"/>
          </w:tcPr>
          <w:p w:rsidR="007B31C8" w:rsidRDefault="006C3CB7" w14:paraId="599CF814" w14:textId="0B3F62CA">
            <w:pPr>
              <w:pStyle w:val="TableParagraph"/>
              <w:spacing w:before="11" w:line="306" w:lineRule="exact"/>
              <w:ind w:left="472" w:right="452"/>
              <w:jc w:val="center"/>
              <w:rPr>
                <w:b/>
                <w:sz w:val="24"/>
              </w:rPr>
            </w:pPr>
            <w:r>
              <w:rPr>
                <w:b/>
                <w:sz w:val="24"/>
              </w:rPr>
              <w:t>201</w:t>
            </w:r>
            <w:r w:rsidR="00597831">
              <w:rPr>
                <w:b/>
                <w:sz w:val="24"/>
              </w:rPr>
              <w:t>8</w:t>
            </w:r>
          </w:p>
        </w:tc>
        <w:tc>
          <w:tcPr>
            <w:tcW w:w="1858" w:type="dxa"/>
          </w:tcPr>
          <w:p w:rsidR="007B31C8" w:rsidRDefault="006C3CB7" w14:paraId="75E5F825" w14:textId="19BD8D51">
            <w:pPr>
              <w:pStyle w:val="TableParagraph"/>
              <w:spacing w:before="11" w:line="306" w:lineRule="exact"/>
              <w:ind w:left="472" w:right="498"/>
              <w:jc w:val="center"/>
              <w:rPr>
                <w:b/>
                <w:sz w:val="24"/>
              </w:rPr>
            </w:pPr>
            <w:r>
              <w:rPr>
                <w:b/>
                <w:sz w:val="24"/>
              </w:rPr>
              <w:t>201</w:t>
            </w:r>
            <w:r w:rsidR="00597831">
              <w:rPr>
                <w:b/>
                <w:sz w:val="24"/>
              </w:rPr>
              <w:t>9</w:t>
            </w:r>
          </w:p>
        </w:tc>
      </w:tr>
      <w:tr w:rsidR="00597831" w14:paraId="31329048" w14:textId="77777777">
        <w:trPr>
          <w:trHeight w:val="340"/>
        </w:trPr>
        <w:tc>
          <w:tcPr>
            <w:tcW w:w="4205" w:type="dxa"/>
          </w:tcPr>
          <w:p w:rsidR="00597831" w:rsidP="00597831" w:rsidRDefault="00597831" w14:paraId="125FABCC" w14:textId="77777777">
            <w:pPr>
              <w:pStyle w:val="TableParagraph"/>
              <w:spacing w:before="16" w:line="304" w:lineRule="exact"/>
              <w:ind w:left="854" w:right="838"/>
              <w:jc w:val="center"/>
              <w:rPr>
                <w:sz w:val="24"/>
              </w:rPr>
            </w:pPr>
            <w:r>
              <w:rPr>
                <w:sz w:val="24"/>
              </w:rPr>
              <w:t>Electricity ($/GWh)</w:t>
            </w:r>
          </w:p>
        </w:tc>
        <w:tc>
          <w:tcPr>
            <w:tcW w:w="1858" w:type="dxa"/>
          </w:tcPr>
          <w:p w:rsidR="00597831" w:rsidP="00597831" w:rsidRDefault="00597831" w14:paraId="7B4E7C2F" w14:textId="17E31D2B">
            <w:pPr>
              <w:pStyle w:val="TableParagraph"/>
              <w:spacing w:before="16" w:line="304" w:lineRule="exact"/>
              <w:ind w:left="472" w:right="543"/>
              <w:jc w:val="center"/>
              <w:rPr>
                <w:sz w:val="24"/>
              </w:rPr>
            </w:pPr>
            <w:r>
              <w:rPr>
                <w:sz w:val="24"/>
              </w:rPr>
              <w:t>$2,731</w:t>
            </w:r>
          </w:p>
        </w:tc>
        <w:tc>
          <w:tcPr>
            <w:tcW w:w="1858" w:type="dxa"/>
          </w:tcPr>
          <w:p w:rsidR="00597831" w:rsidP="00597831" w:rsidRDefault="00597831" w14:paraId="0CFF176E" w14:textId="7EE2ABB2">
            <w:pPr>
              <w:pStyle w:val="TableParagraph"/>
              <w:spacing w:before="16" w:line="304" w:lineRule="exact"/>
              <w:ind w:left="471" w:right="544"/>
              <w:jc w:val="center"/>
              <w:rPr>
                <w:sz w:val="24"/>
              </w:rPr>
            </w:pPr>
            <w:r>
              <w:rPr>
                <w:sz w:val="24"/>
              </w:rPr>
              <w:t>$</w:t>
            </w:r>
            <w:r w:rsidR="0087089E">
              <w:rPr>
                <w:sz w:val="24"/>
              </w:rPr>
              <w:t>2,122</w:t>
            </w:r>
          </w:p>
        </w:tc>
      </w:tr>
      <w:tr w:rsidR="00597831" w14:paraId="2B4EE2CA" w14:textId="77777777">
        <w:trPr>
          <w:trHeight w:val="337"/>
        </w:trPr>
        <w:tc>
          <w:tcPr>
            <w:tcW w:w="4205" w:type="dxa"/>
          </w:tcPr>
          <w:p w:rsidR="00597831" w:rsidP="00597831" w:rsidRDefault="00597831" w14:paraId="7BD5F245" w14:textId="77777777">
            <w:pPr>
              <w:pStyle w:val="TableParagraph"/>
              <w:spacing w:before="14" w:line="304" w:lineRule="exact"/>
              <w:ind w:left="854" w:right="838"/>
              <w:jc w:val="center"/>
              <w:rPr>
                <w:sz w:val="24"/>
              </w:rPr>
            </w:pPr>
            <w:r>
              <w:rPr>
                <w:sz w:val="24"/>
              </w:rPr>
              <w:t>Peak Demand ($/MW)</w:t>
            </w:r>
          </w:p>
        </w:tc>
        <w:tc>
          <w:tcPr>
            <w:tcW w:w="1858" w:type="dxa"/>
          </w:tcPr>
          <w:p w:rsidR="00597831" w:rsidP="00597831" w:rsidRDefault="00597831" w14:paraId="59BC3248" w14:textId="58E1CAE4">
            <w:pPr>
              <w:pStyle w:val="TableParagraph"/>
              <w:spacing w:before="14" w:line="304" w:lineRule="exact"/>
              <w:ind w:left="472" w:right="543"/>
              <w:jc w:val="center"/>
              <w:rPr>
                <w:sz w:val="24"/>
              </w:rPr>
            </w:pPr>
            <w:r>
              <w:rPr>
                <w:sz w:val="24"/>
              </w:rPr>
              <w:t>$6,953</w:t>
            </w:r>
          </w:p>
        </w:tc>
        <w:tc>
          <w:tcPr>
            <w:tcW w:w="1858" w:type="dxa"/>
          </w:tcPr>
          <w:p w:rsidR="00597831" w:rsidP="00597831" w:rsidRDefault="00C06509" w14:paraId="23E1DFAE" w14:textId="29B4E358">
            <w:pPr>
              <w:pStyle w:val="TableParagraph"/>
              <w:spacing w:before="14" w:line="304" w:lineRule="exact"/>
              <w:ind w:left="471" w:right="544"/>
              <w:jc w:val="center"/>
              <w:rPr>
                <w:sz w:val="24"/>
              </w:rPr>
            </w:pPr>
            <w:r>
              <w:rPr>
                <w:sz w:val="24"/>
              </w:rPr>
              <w:t>$5,296</w:t>
            </w:r>
          </w:p>
        </w:tc>
      </w:tr>
      <w:tr w:rsidR="00597831" w14:paraId="69469BFF" w14:textId="77777777">
        <w:trPr>
          <w:trHeight w:val="340"/>
        </w:trPr>
        <w:tc>
          <w:tcPr>
            <w:tcW w:w="4205" w:type="dxa"/>
          </w:tcPr>
          <w:p w:rsidR="00597831" w:rsidP="00597831" w:rsidRDefault="00597831" w14:paraId="0C5F2B4A" w14:textId="77777777">
            <w:pPr>
              <w:pStyle w:val="TableParagraph"/>
              <w:spacing w:before="16" w:line="304" w:lineRule="exact"/>
              <w:ind w:left="854" w:right="840"/>
              <w:jc w:val="center"/>
              <w:rPr>
                <w:sz w:val="24"/>
              </w:rPr>
            </w:pPr>
            <w:r>
              <w:rPr>
                <w:sz w:val="24"/>
              </w:rPr>
              <w:t>Natural Gas ($/MMTh)</w:t>
            </w:r>
          </w:p>
        </w:tc>
        <w:tc>
          <w:tcPr>
            <w:tcW w:w="1858" w:type="dxa"/>
          </w:tcPr>
          <w:p w:rsidR="00597831" w:rsidP="00597831" w:rsidRDefault="00597831" w14:paraId="3A0C696F" w14:textId="1B826816">
            <w:pPr>
              <w:pStyle w:val="TableParagraph"/>
              <w:spacing w:before="16" w:line="304" w:lineRule="exact"/>
              <w:ind w:left="472" w:right="543"/>
              <w:jc w:val="center"/>
              <w:rPr>
                <w:sz w:val="24"/>
              </w:rPr>
            </w:pPr>
            <w:r>
              <w:rPr>
                <w:sz w:val="24"/>
              </w:rPr>
              <w:t>$20,231</w:t>
            </w:r>
          </w:p>
        </w:tc>
        <w:tc>
          <w:tcPr>
            <w:tcW w:w="1858" w:type="dxa"/>
          </w:tcPr>
          <w:p w:rsidR="00597831" w:rsidP="00597831" w:rsidRDefault="00C06509" w14:paraId="09359FF8" w14:textId="74DFC18C">
            <w:pPr>
              <w:pStyle w:val="TableParagraph"/>
              <w:spacing w:before="16" w:line="304" w:lineRule="exact"/>
              <w:ind w:left="471" w:right="544"/>
              <w:jc w:val="center"/>
              <w:rPr>
                <w:sz w:val="24"/>
              </w:rPr>
            </w:pPr>
            <w:r>
              <w:rPr>
                <w:sz w:val="24"/>
              </w:rPr>
              <w:t>$17,657</w:t>
            </w:r>
          </w:p>
        </w:tc>
      </w:tr>
    </w:tbl>
    <w:p w:rsidR="009A2A3D" w:rsidP="00DD2210" w:rsidRDefault="009A2A3D" w14:paraId="1F926E49" w14:textId="10E041C9">
      <w:pPr>
        <w:pStyle w:val="BodyText"/>
        <w:spacing w:before="121"/>
        <w:ind w:left="220" w:right="238"/>
        <w:jc w:val="both"/>
      </w:pPr>
    </w:p>
    <w:p w:rsidR="00312DFA" w:rsidP="0052414B" w:rsidRDefault="001058A1" w14:paraId="57E8C0C6" w14:textId="1168648E">
      <w:pPr>
        <w:pStyle w:val="BodyText"/>
        <w:spacing w:before="124"/>
        <w:ind w:left="220" w:right="240"/>
        <w:jc w:val="both"/>
      </w:pPr>
      <w:r>
        <w:t>In these advice letters, the IOUs used the program categories from their budget filings submitted with the 2019 Annual Budget Advice Letters.</w:t>
      </w:r>
      <w:r w:rsidR="00D1304A">
        <w:t xml:space="preserve"> </w:t>
      </w:r>
      <w:r w:rsidR="006C3CB7">
        <w:t>In SDG&amp;E’s case, the</w:t>
      </w:r>
      <w:r w:rsidR="00314771">
        <w:t xml:space="preserve">re was a discrepancy, </w:t>
      </w:r>
      <w:r w:rsidR="00B91DAA">
        <w:t>the program</w:t>
      </w:r>
      <w:r w:rsidR="006C3CB7">
        <w:t xml:space="preserve"> categories</w:t>
      </w:r>
      <w:r w:rsidR="00B91DAA">
        <w:t xml:space="preserve"> in the advice letter</w:t>
      </w:r>
      <w:r w:rsidR="006C3CB7">
        <w:t xml:space="preserve"> differed from those in SDG&amp;E’s budget filing</w:t>
      </w:r>
      <w:r w:rsidR="005B53D7">
        <w:t xml:space="preserve"> </w:t>
      </w:r>
      <w:r w:rsidR="006C3CB7">
        <w:t>data in the California Energy Data and Reporting System (CEDARS)</w:t>
      </w:r>
      <w:r w:rsidR="005B53D7">
        <w:rPr>
          <w:rStyle w:val="FootnoteReference"/>
        </w:rPr>
        <w:footnoteReference w:id="19"/>
      </w:r>
      <w:r w:rsidRPr="4D0631D6" w:rsidR="006C3CB7">
        <w:rPr>
          <w:position w:val="7"/>
          <w:sz w:val="14"/>
          <w:szCs w:val="14"/>
        </w:rPr>
        <w:t xml:space="preserve"> </w:t>
      </w:r>
      <w:r w:rsidRPr="00E24938" w:rsidR="00E14EA1">
        <w:t>and</w:t>
      </w:r>
      <w:r w:rsidR="00E14EA1">
        <w:t xml:space="preserve"> </w:t>
      </w:r>
      <w:r w:rsidR="003D0FA9">
        <w:t xml:space="preserve">that of </w:t>
      </w:r>
      <w:r w:rsidR="00E14EA1">
        <w:t xml:space="preserve">the program table filed in CEDARS. </w:t>
      </w:r>
      <w:r w:rsidRPr="4D0631D6" w:rsidR="00E14EA1">
        <w:rPr>
          <w:sz w:val="14"/>
          <w:szCs w:val="14"/>
        </w:rPr>
        <w:t xml:space="preserve"> </w:t>
      </w:r>
      <w:r w:rsidRPr="0052414B" w:rsidR="001346FD">
        <w:t>SDG</w:t>
      </w:r>
      <w:r w:rsidR="00120B84">
        <w:t>&amp;</w:t>
      </w:r>
      <w:r w:rsidRPr="0052414B" w:rsidR="001346FD">
        <w:t>E’s</w:t>
      </w:r>
      <w:r w:rsidR="006C3CB7">
        <w:t xml:space="preserve"> ESPI Advice Letters also included new programs that were not in the </w:t>
      </w:r>
      <w:r w:rsidR="00E14EA1">
        <w:t xml:space="preserve">2019 </w:t>
      </w:r>
      <w:r w:rsidR="006C3CB7">
        <w:t xml:space="preserve">Annual Budget Advice Letters, or CEDARS, </w:t>
      </w:r>
      <w:r w:rsidR="006C3CB7">
        <w:lastRenderedPageBreak/>
        <w:t>although these programs lacked expenditures.</w:t>
      </w:r>
      <w:r w:rsidR="00312DFA">
        <w:t xml:space="preserve"> </w:t>
      </w:r>
      <w:r w:rsidR="00507F26">
        <w:t>This discrepancy was also noted in Resolution E-5062</w:t>
      </w:r>
      <w:r w:rsidR="00F04CE3">
        <w:t>.</w:t>
      </w:r>
      <w:r w:rsidR="007823AE">
        <w:rPr>
          <w:rStyle w:val="FootnoteReference"/>
        </w:rPr>
        <w:footnoteReference w:id="20"/>
      </w:r>
      <w:r w:rsidR="00E22886">
        <w:t xml:space="preserve"> </w:t>
      </w:r>
      <w:r w:rsidR="00C40263">
        <w:t xml:space="preserve">This resolution </w:t>
      </w:r>
      <w:r w:rsidR="007922A5">
        <w:t>orders that SDG&amp;E</w:t>
      </w:r>
      <w:r w:rsidR="00C15EAA">
        <w:t xml:space="preserve"> correct this anomaly</w:t>
      </w:r>
      <w:r w:rsidR="00DD2210">
        <w:t xml:space="preserve"> so that the program categories are consistent between the Annual Budget Advice Letter, the ESPI Advice Letter, and the program table filed in CEDARS</w:t>
      </w:r>
      <w:r w:rsidR="00C15EAA">
        <w:t>.</w:t>
      </w:r>
      <w:r w:rsidR="00CE1227">
        <w:t xml:space="preserve"> </w:t>
      </w:r>
      <w:r w:rsidR="00312DFA">
        <w:t xml:space="preserve">For the purpose of </w:t>
      </w:r>
      <w:r w:rsidR="00120B84">
        <w:t>SDG&amp;E’s</w:t>
      </w:r>
      <w:r w:rsidR="00312DFA">
        <w:t xml:space="preserve"> ESPI award, the program categories used in the 2019 Annual Budget Advice Letter were used</w:t>
      </w:r>
      <w:r w:rsidR="00120B84">
        <w:t>.</w:t>
      </w:r>
    </w:p>
    <w:p w:rsidR="007B31C8" w:rsidRDefault="007B31C8" w14:paraId="2ABC2780" w14:textId="77777777">
      <w:pPr>
        <w:pStyle w:val="BodyText"/>
        <w:spacing w:before="6"/>
        <w:rPr>
          <w:sz w:val="17"/>
        </w:rPr>
      </w:pPr>
    </w:p>
    <w:p w:rsidR="007B31C8" w:rsidRDefault="006C3CB7" w14:paraId="0F441D2A" w14:textId="003D9134">
      <w:pPr>
        <w:pStyle w:val="Heading3"/>
      </w:pPr>
      <w:r>
        <w:t>201</w:t>
      </w:r>
      <w:r w:rsidR="00A410DB">
        <w:t>8</w:t>
      </w:r>
      <w:r>
        <w:t xml:space="preserve"> and 201</w:t>
      </w:r>
      <w:r w:rsidR="00A410DB">
        <w:t>9</w:t>
      </w:r>
      <w:r>
        <w:t xml:space="preserve"> Award Caps</w:t>
      </w:r>
    </w:p>
    <w:p w:rsidR="007B31C8" w:rsidRDefault="006C3CB7" w14:paraId="431F888F" w14:textId="77777777">
      <w:pPr>
        <w:spacing w:before="121"/>
        <w:ind w:left="220"/>
        <w:jc w:val="both"/>
        <w:rPr>
          <w:b/>
          <w:sz w:val="24"/>
        </w:rPr>
      </w:pPr>
      <w:r>
        <w:rPr>
          <w:b/>
          <w:sz w:val="24"/>
        </w:rPr>
        <w:t>The IOUs requested awards at or under their caps in the four incentive categories.</w:t>
      </w:r>
    </w:p>
    <w:p w:rsidR="007B31C8" w:rsidRDefault="006C3CB7" w14:paraId="2BC6A78C" w14:textId="608AA76D">
      <w:pPr>
        <w:pStyle w:val="BodyText"/>
        <w:spacing w:before="123"/>
        <w:ind w:left="220" w:right="235"/>
        <w:jc w:val="both"/>
        <w:rPr>
          <w:sz w:val="14"/>
        </w:rPr>
      </w:pPr>
      <w:r>
        <w:t>The award cap for each category is a percentage of the authorized budget for that category. If the approved expenditures are less than the previously authorized budget for a category, the expenditures are used to calculate the award (which will be less than the cap).</w:t>
      </w:r>
      <w:r w:rsidR="005B53D7">
        <w:rPr>
          <w:rStyle w:val="FootnoteReference"/>
        </w:rPr>
        <w:footnoteReference w:id="21"/>
      </w:r>
    </w:p>
    <w:p w:rsidR="007B31C8" w:rsidRDefault="006C3CB7" w14:paraId="7F167847" w14:textId="5DE147FB">
      <w:pPr>
        <w:pStyle w:val="BodyText"/>
        <w:spacing w:before="121"/>
        <w:ind w:left="220"/>
        <w:jc w:val="both"/>
      </w:pPr>
      <w:r>
        <w:t>The 201</w:t>
      </w:r>
      <w:r w:rsidR="00A410DB">
        <w:t>8</w:t>
      </w:r>
      <w:r>
        <w:t xml:space="preserve"> award caps</w:t>
      </w:r>
      <w:r>
        <w:rPr>
          <w:position w:val="7"/>
          <w:sz w:val="14"/>
        </w:rPr>
        <w:t xml:space="preserve"> </w:t>
      </w:r>
      <w:r>
        <w:t>are provided in Table 6.</w:t>
      </w:r>
    </w:p>
    <w:p w:rsidR="007B31C8" w:rsidRDefault="006C3CB7" w14:paraId="1C113481" w14:textId="26934AB7">
      <w:pPr>
        <w:pStyle w:val="BodyText"/>
        <w:spacing w:before="134"/>
        <w:ind w:left="1996"/>
        <w:jc w:val="both"/>
      </w:pPr>
      <w:r>
        <w:t>Table 6: 201</w:t>
      </w:r>
      <w:r w:rsidR="00A410DB">
        <w:t>8</w:t>
      </w:r>
      <w:r>
        <w:t xml:space="preserve"> Award Caps by Category and IOU ($)</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0"/>
        <w:gridCol w:w="2072"/>
        <w:gridCol w:w="2069"/>
        <w:gridCol w:w="2071"/>
        <w:gridCol w:w="2069"/>
      </w:tblGrid>
      <w:tr w:rsidR="007B31C8" w14:paraId="6533CB94" w14:textId="77777777">
        <w:trPr>
          <w:trHeight w:val="1310"/>
        </w:trPr>
        <w:tc>
          <w:tcPr>
            <w:tcW w:w="1080" w:type="dxa"/>
            <w:tcBorders>
              <w:left w:val="single" w:color="000000" w:sz="8" w:space="0"/>
              <w:bottom w:val="single" w:color="000000" w:sz="8" w:space="0"/>
              <w:right w:val="single" w:color="000000" w:sz="8" w:space="0"/>
            </w:tcBorders>
          </w:tcPr>
          <w:p w:rsidR="007B31C8" w:rsidRDefault="007B31C8" w14:paraId="5B180451" w14:textId="77777777">
            <w:pPr>
              <w:pStyle w:val="TableParagraph"/>
              <w:jc w:val="left"/>
              <w:rPr>
                <w:sz w:val="24"/>
              </w:rPr>
            </w:pPr>
          </w:p>
          <w:p w:rsidR="007B31C8" w:rsidRDefault="006C3CB7" w14:paraId="436A6DE5" w14:textId="77777777">
            <w:pPr>
              <w:pStyle w:val="TableParagraph"/>
              <w:spacing w:before="175"/>
              <w:ind w:left="103" w:right="84"/>
              <w:jc w:val="center"/>
              <w:rPr>
                <w:b/>
                <w:sz w:val="24"/>
              </w:rPr>
            </w:pPr>
            <w:r>
              <w:rPr>
                <w:b/>
                <w:sz w:val="24"/>
              </w:rPr>
              <w:t>IOU</w:t>
            </w:r>
          </w:p>
        </w:tc>
        <w:tc>
          <w:tcPr>
            <w:tcW w:w="2072" w:type="dxa"/>
            <w:tcBorders>
              <w:left w:val="single" w:color="000000" w:sz="8" w:space="0"/>
              <w:bottom w:val="single" w:color="000000" w:sz="8" w:space="0"/>
              <w:right w:val="single" w:color="000000" w:sz="8" w:space="0"/>
            </w:tcBorders>
          </w:tcPr>
          <w:p w:rsidR="007B31C8" w:rsidRDefault="006C3CB7" w14:paraId="6506B531" w14:textId="77777777">
            <w:pPr>
              <w:pStyle w:val="TableParagraph"/>
              <w:spacing w:before="175"/>
              <w:ind w:left="71" w:right="55"/>
              <w:jc w:val="center"/>
              <w:rPr>
                <w:sz w:val="24"/>
              </w:rPr>
            </w:pPr>
            <w:r>
              <w:rPr>
                <w:b/>
                <w:sz w:val="24"/>
              </w:rPr>
              <w:t xml:space="preserve">Resource Savings </w:t>
            </w:r>
            <w:r>
              <w:rPr>
                <w:sz w:val="24"/>
              </w:rPr>
              <w:t>(9% of resource program budget)</w:t>
            </w:r>
          </w:p>
        </w:tc>
        <w:tc>
          <w:tcPr>
            <w:tcW w:w="2069" w:type="dxa"/>
            <w:tcBorders>
              <w:left w:val="single" w:color="000000" w:sz="8" w:space="0"/>
              <w:bottom w:val="single" w:color="000000" w:sz="8" w:space="0"/>
              <w:right w:val="single" w:color="000000" w:sz="8" w:space="0"/>
            </w:tcBorders>
          </w:tcPr>
          <w:p w:rsidR="007B31C8" w:rsidRDefault="006C3CB7" w14:paraId="4D62122F" w14:textId="77777777">
            <w:pPr>
              <w:pStyle w:val="TableParagraph"/>
              <w:spacing w:before="12"/>
              <w:ind w:left="102" w:right="123"/>
              <w:jc w:val="center"/>
              <w:rPr>
                <w:b/>
                <w:sz w:val="24"/>
              </w:rPr>
            </w:pPr>
            <w:r>
              <w:rPr>
                <w:b/>
                <w:sz w:val="24"/>
              </w:rPr>
              <w:t>EAR</w:t>
            </w:r>
          </w:p>
          <w:p w:rsidR="007B31C8" w:rsidRDefault="006C3CB7" w14:paraId="466078CE" w14:textId="77777777">
            <w:pPr>
              <w:pStyle w:val="TableParagraph"/>
              <w:ind w:left="102" w:right="218"/>
              <w:jc w:val="center"/>
              <w:rPr>
                <w:b/>
                <w:sz w:val="24"/>
              </w:rPr>
            </w:pPr>
            <w:r>
              <w:rPr>
                <w:b/>
                <w:sz w:val="24"/>
              </w:rPr>
              <w:t>Performance</w:t>
            </w:r>
          </w:p>
          <w:p w:rsidR="007B31C8" w:rsidRDefault="006C3CB7" w14:paraId="7E07479B" w14:textId="77777777">
            <w:pPr>
              <w:pStyle w:val="TableParagraph"/>
              <w:spacing w:before="2" w:line="320" w:lineRule="atLeast"/>
              <w:ind w:left="54" w:right="170" w:firstLine="87"/>
              <w:jc w:val="center"/>
              <w:rPr>
                <w:sz w:val="24"/>
              </w:rPr>
            </w:pPr>
            <w:r>
              <w:rPr>
                <w:sz w:val="24"/>
              </w:rPr>
              <w:t>(3% of resource program budget)</w:t>
            </w:r>
          </w:p>
        </w:tc>
        <w:tc>
          <w:tcPr>
            <w:tcW w:w="2071" w:type="dxa"/>
            <w:tcBorders>
              <w:left w:val="single" w:color="000000" w:sz="8" w:space="0"/>
              <w:bottom w:val="single" w:color="000000" w:sz="8" w:space="0"/>
              <w:right w:val="single" w:color="000000" w:sz="8" w:space="0"/>
            </w:tcBorders>
          </w:tcPr>
          <w:p w:rsidR="007B31C8" w:rsidRDefault="006C3CB7" w14:paraId="7852FE2A" w14:textId="77777777">
            <w:pPr>
              <w:pStyle w:val="TableParagraph"/>
              <w:spacing w:before="12"/>
              <w:ind w:left="321" w:right="392" w:firstLine="2"/>
              <w:jc w:val="center"/>
              <w:rPr>
                <w:sz w:val="24"/>
              </w:rPr>
            </w:pPr>
            <w:r>
              <w:rPr>
                <w:b/>
                <w:sz w:val="24"/>
              </w:rPr>
              <w:t xml:space="preserve">Codes &amp; Standards </w:t>
            </w:r>
            <w:r>
              <w:rPr>
                <w:sz w:val="24"/>
              </w:rPr>
              <w:t>(12% of C&amp;S</w:t>
            </w:r>
          </w:p>
          <w:p w:rsidR="007B31C8" w:rsidRDefault="006C3CB7" w14:paraId="22ED9103" w14:textId="77777777">
            <w:pPr>
              <w:pStyle w:val="TableParagraph"/>
              <w:spacing w:before="3" w:line="304" w:lineRule="exact"/>
              <w:ind w:left="19" w:right="88"/>
              <w:jc w:val="center"/>
              <w:rPr>
                <w:sz w:val="24"/>
              </w:rPr>
            </w:pPr>
            <w:r>
              <w:rPr>
                <w:sz w:val="24"/>
              </w:rPr>
              <w:t>program budget)</w:t>
            </w:r>
          </w:p>
        </w:tc>
        <w:tc>
          <w:tcPr>
            <w:tcW w:w="2069" w:type="dxa"/>
            <w:tcBorders>
              <w:left w:val="single" w:color="000000" w:sz="8" w:space="0"/>
              <w:bottom w:val="single" w:color="000000" w:sz="8" w:space="0"/>
              <w:right w:val="single" w:color="000000" w:sz="8" w:space="0"/>
            </w:tcBorders>
          </w:tcPr>
          <w:p w:rsidR="007B31C8" w:rsidRDefault="006C3CB7" w14:paraId="0EE0EE65" w14:textId="77777777">
            <w:pPr>
              <w:pStyle w:val="TableParagraph"/>
              <w:spacing w:before="12"/>
              <w:ind w:left="26" w:right="141" w:hanging="3"/>
              <w:jc w:val="center"/>
              <w:rPr>
                <w:sz w:val="24"/>
              </w:rPr>
            </w:pPr>
            <w:r>
              <w:rPr>
                <w:b/>
                <w:sz w:val="24"/>
              </w:rPr>
              <w:t xml:space="preserve">Non-Resource </w:t>
            </w:r>
            <w:r>
              <w:rPr>
                <w:spacing w:val="-3"/>
                <w:sz w:val="24"/>
              </w:rPr>
              <w:t xml:space="preserve">(3% </w:t>
            </w:r>
            <w:r>
              <w:rPr>
                <w:sz w:val="24"/>
              </w:rPr>
              <w:t xml:space="preserve">of non- </w:t>
            </w:r>
            <w:r>
              <w:rPr>
                <w:spacing w:val="-3"/>
                <w:sz w:val="24"/>
              </w:rPr>
              <w:t xml:space="preserve">resource </w:t>
            </w:r>
            <w:r>
              <w:rPr>
                <w:sz w:val="24"/>
              </w:rPr>
              <w:t>program</w:t>
            </w:r>
          </w:p>
          <w:p w:rsidR="007B31C8" w:rsidRDefault="006C3CB7" w14:paraId="6626450C" w14:textId="77777777">
            <w:pPr>
              <w:pStyle w:val="TableParagraph"/>
              <w:spacing w:before="3" w:line="304" w:lineRule="exact"/>
              <w:ind w:left="102" w:right="218"/>
              <w:jc w:val="center"/>
              <w:rPr>
                <w:sz w:val="24"/>
              </w:rPr>
            </w:pPr>
            <w:r>
              <w:rPr>
                <w:sz w:val="24"/>
              </w:rPr>
              <w:t>budget)</w:t>
            </w:r>
          </w:p>
        </w:tc>
      </w:tr>
      <w:tr w:rsidR="00A32202" w14:paraId="2A44863D" w14:textId="77777777">
        <w:trPr>
          <w:trHeight w:val="340"/>
        </w:trPr>
        <w:tc>
          <w:tcPr>
            <w:tcW w:w="1080" w:type="dxa"/>
            <w:tcBorders>
              <w:top w:val="single" w:color="000000" w:sz="8" w:space="0"/>
              <w:left w:val="single" w:color="000000" w:sz="8" w:space="0"/>
              <w:bottom w:val="single" w:color="000000" w:sz="8" w:space="0"/>
              <w:right w:val="single" w:color="000000" w:sz="8" w:space="0"/>
            </w:tcBorders>
          </w:tcPr>
          <w:p w:rsidR="00A32202" w:rsidP="00A32202" w:rsidRDefault="00A32202" w14:paraId="0F15CE07" w14:textId="77777777">
            <w:pPr>
              <w:pStyle w:val="TableParagraph"/>
              <w:spacing w:before="16" w:line="304" w:lineRule="exact"/>
              <w:ind w:left="103" w:right="87"/>
              <w:jc w:val="center"/>
              <w:rPr>
                <w:sz w:val="24"/>
              </w:rPr>
            </w:pPr>
            <w:r>
              <w:rPr>
                <w:sz w:val="24"/>
              </w:rPr>
              <w:t>PG&amp;E</w:t>
            </w:r>
          </w:p>
        </w:tc>
        <w:tc>
          <w:tcPr>
            <w:tcW w:w="2072" w:type="dxa"/>
            <w:tcBorders>
              <w:top w:val="single" w:color="000000" w:sz="8" w:space="0"/>
              <w:left w:val="single" w:color="000000" w:sz="8" w:space="0"/>
              <w:bottom w:val="single" w:color="000000" w:sz="8" w:space="0"/>
              <w:right w:val="single" w:color="000000" w:sz="8" w:space="0"/>
            </w:tcBorders>
          </w:tcPr>
          <w:p w:rsidR="00A32202" w:rsidP="00A32202" w:rsidRDefault="00A32202" w14:paraId="528D8D2D" w14:textId="7BA622D9">
            <w:pPr>
              <w:pStyle w:val="TableParagraph"/>
              <w:spacing w:before="16" w:line="304" w:lineRule="exact"/>
              <w:ind w:right="80"/>
              <w:rPr>
                <w:sz w:val="24"/>
              </w:rPr>
            </w:pPr>
            <w:r>
              <w:rPr>
                <w:sz w:val="24"/>
              </w:rPr>
              <w:t>$25,313,097</w:t>
            </w:r>
          </w:p>
        </w:tc>
        <w:tc>
          <w:tcPr>
            <w:tcW w:w="2069" w:type="dxa"/>
            <w:tcBorders>
              <w:top w:val="single" w:color="000000" w:sz="8" w:space="0"/>
              <w:left w:val="single" w:color="000000" w:sz="8" w:space="0"/>
              <w:bottom w:val="single" w:color="000000" w:sz="8" w:space="0"/>
              <w:right w:val="single" w:color="000000" w:sz="8" w:space="0"/>
            </w:tcBorders>
          </w:tcPr>
          <w:p w:rsidR="00A32202" w:rsidP="00A32202" w:rsidRDefault="00A32202" w14:paraId="1B6DDEC0" w14:textId="2F93CCE7">
            <w:pPr>
              <w:pStyle w:val="TableParagraph"/>
              <w:spacing w:before="16" w:line="304" w:lineRule="exact"/>
              <w:ind w:right="77"/>
              <w:rPr>
                <w:sz w:val="24"/>
              </w:rPr>
            </w:pPr>
            <w:r>
              <w:rPr>
                <w:sz w:val="24"/>
              </w:rPr>
              <w:t>$8,437,699</w:t>
            </w:r>
          </w:p>
        </w:tc>
        <w:tc>
          <w:tcPr>
            <w:tcW w:w="2071" w:type="dxa"/>
            <w:tcBorders>
              <w:top w:val="single" w:color="000000" w:sz="8" w:space="0"/>
              <w:left w:val="single" w:color="000000" w:sz="8" w:space="0"/>
              <w:bottom w:val="single" w:color="000000" w:sz="8" w:space="0"/>
              <w:right w:val="single" w:color="000000" w:sz="8" w:space="0"/>
            </w:tcBorders>
          </w:tcPr>
          <w:p w:rsidR="00A32202" w:rsidP="00A32202" w:rsidRDefault="00A32202" w14:paraId="610738B3" w14:textId="54288D50">
            <w:pPr>
              <w:pStyle w:val="TableParagraph"/>
              <w:spacing w:before="16" w:line="304" w:lineRule="exact"/>
              <w:ind w:right="79"/>
              <w:rPr>
                <w:sz w:val="24"/>
              </w:rPr>
            </w:pPr>
            <w:r>
              <w:rPr>
                <w:sz w:val="24"/>
              </w:rPr>
              <w:t>$1,868,921</w:t>
            </w:r>
          </w:p>
        </w:tc>
        <w:tc>
          <w:tcPr>
            <w:tcW w:w="2069" w:type="dxa"/>
            <w:tcBorders>
              <w:top w:val="single" w:color="000000" w:sz="8" w:space="0"/>
              <w:left w:val="single" w:color="000000" w:sz="8" w:space="0"/>
              <w:bottom w:val="single" w:color="000000" w:sz="8" w:space="0"/>
              <w:right w:val="single" w:color="000000" w:sz="8" w:space="0"/>
            </w:tcBorders>
          </w:tcPr>
          <w:p w:rsidR="00A32202" w:rsidP="00A32202" w:rsidRDefault="00A32202" w14:paraId="6D1719C5" w14:textId="32C21646">
            <w:pPr>
              <w:pStyle w:val="TableParagraph"/>
              <w:spacing w:before="16" w:line="304" w:lineRule="exact"/>
              <w:ind w:right="95"/>
              <w:rPr>
                <w:sz w:val="24"/>
              </w:rPr>
            </w:pPr>
            <w:r>
              <w:rPr>
                <w:sz w:val="24"/>
              </w:rPr>
              <w:t>$772,894</w:t>
            </w:r>
          </w:p>
        </w:tc>
      </w:tr>
      <w:tr w:rsidR="00A32202" w14:paraId="691917D4" w14:textId="77777777">
        <w:trPr>
          <w:trHeight w:val="337"/>
        </w:trPr>
        <w:tc>
          <w:tcPr>
            <w:tcW w:w="1080" w:type="dxa"/>
            <w:tcBorders>
              <w:top w:val="single" w:color="000000" w:sz="8" w:space="0"/>
              <w:left w:val="single" w:color="000000" w:sz="8" w:space="0"/>
              <w:bottom w:val="single" w:color="000000" w:sz="8" w:space="0"/>
              <w:right w:val="single" w:color="000000" w:sz="8" w:space="0"/>
            </w:tcBorders>
          </w:tcPr>
          <w:p w:rsidR="00A32202" w:rsidP="00A32202" w:rsidRDefault="00A32202" w14:paraId="21DEACC0" w14:textId="77777777">
            <w:pPr>
              <w:pStyle w:val="TableParagraph"/>
              <w:spacing w:before="14" w:line="304" w:lineRule="exact"/>
              <w:ind w:left="103" w:right="82"/>
              <w:jc w:val="center"/>
              <w:rPr>
                <w:sz w:val="24"/>
              </w:rPr>
            </w:pPr>
            <w:r>
              <w:rPr>
                <w:sz w:val="24"/>
              </w:rPr>
              <w:t>SCE</w:t>
            </w:r>
          </w:p>
        </w:tc>
        <w:tc>
          <w:tcPr>
            <w:tcW w:w="2072" w:type="dxa"/>
            <w:tcBorders>
              <w:top w:val="single" w:color="000000" w:sz="8" w:space="0"/>
              <w:left w:val="single" w:color="000000" w:sz="8" w:space="0"/>
              <w:bottom w:val="single" w:color="000000" w:sz="8" w:space="0"/>
              <w:right w:val="single" w:color="000000" w:sz="8" w:space="0"/>
            </w:tcBorders>
          </w:tcPr>
          <w:p w:rsidR="00A32202" w:rsidP="00A32202" w:rsidRDefault="00A32202" w14:paraId="76960C60" w14:textId="5ADD3799">
            <w:pPr>
              <w:pStyle w:val="TableParagraph"/>
              <w:spacing w:before="14" w:line="304" w:lineRule="exact"/>
              <w:ind w:right="80"/>
              <w:rPr>
                <w:sz w:val="24"/>
              </w:rPr>
            </w:pPr>
            <w:r>
              <w:rPr>
                <w:sz w:val="24"/>
              </w:rPr>
              <w:t>$16,903,807</w:t>
            </w:r>
          </w:p>
        </w:tc>
        <w:tc>
          <w:tcPr>
            <w:tcW w:w="2069" w:type="dxa"/>
            <w:tcBorders>
              <w:top w:val="single" w:color="000000" w:sz="8" w:space="0"/>
              <w:left w:val="single" w:color="000000" w:sz="8" w:space="0"/>
              <w:bottom w:val="single" w:color="000000" w:sz="8" w:space="0"/>
              <w:right w:val="single" w:color="000000" w:sz="8" w:space="0"/>
            </w:tcBorders>
          </w:tcPr>
          <w:p w:rsidR="00A32202" w:rsidP="00A32202" w:rsidRDefault="00A32202" w14:paraId="7565BBC7" w14:textId="73AABCF3">
            <w:pPr>
              <w:pStyle w:val="TableParagraph"/>
              <w:spacing w:before="14" w:line="304" w:lineRule="exact"/>
              <w:ind w:right="77"/>
              <w:rPr>
                <w:sz w:val="24"/>
              </w:rPr>
            </w:pPr>
            <w:r>
              <w:rPr>
                <w:sz w:val="24"/>
              </w:rPr>
              <w:t>$5,634,602</w:t>
            </w:r>
          </w:p>
        </w:tc>
        <w:tc>
          <w:tcPr>
            <w:tcW w:w="2071" w:type="dxa"/>
            <w:tcBorders>
              <w:top w:val="single" w:color="000000" w:sz="8" w:space="0"/>
              <w:left w:val="single" w:color="000000" w:sz="8" w:space="0"/>
              <w:bottom w:val="single" w:color="000000" w:sz="8" w:space="0"/>
              <w:right w:val="single" w:color="000000" w:sz="8" w:space="0"/>
            </w:tcBorders>
          </w:tcPr>
          <w:p w:rsidR="00A32202" w:rsidP="00A32202" w:rsidRDefault="00A32202" w14:paraId="5AE1B9B4" w14:textId="781FA458">
            <w:pPr>
              <w:pStyle w:val="TableParagraph"/>
              <w:spacing w:before="14" w:line="304" w:lineRule="exact"/>
              <w:ind w:right="79"/>
              <w:rPr>
                <w:sz w:val="24"/>
              </w:rPr>
            </w:pPr>
            <w:r>
              <w:rPr>
                <w:sz w:val="24"/>
              </w:rPr>
              <w:t>$634,559</w:t>
            </w:r>
          </w:p>
        </w:tc>
        <w:tc>
          <w:tcPr>
            <w:tcW w:w="2069" w:type="dxa"/>
            <w:tcBorders>
              <w:top w:val="single" w:color="000000" w:sz="8" w:space="0"/>
              <w:left w:val="single" w:color="000000" w:sz="8" w:space="0"/>
              <w:bottom w:val="single" w:color="000000" w:sz="8" w:space="0"/>
              <w:right w:val="single" w:color="000000" w:sz="8" w:space="0"/>
            </w:tcBorders>
          </w:tcPr>
          <w:p w:rsidR="00A32202" w:rsidP="00A32202" w:rsidRDefault="00A32202" w14:paraId="209E0456" w14:textId="70F0BDB9">
            <w:pPr>
              <w:pStyle w:val="TableParagraph"/>
              <w:spacing w:before="14" w:line="304" w:lineRule="exact"/>
              <w:ind w:right="95"/>
              <w:rPr>
                <w:sz w:val="24"/>
              </w:rPr>
            </w:pPr>
            <w:r>
              <w:rPr>
                <w:sz w:val="24"/>
              </w:rPr>
              <w:t>$451,202</w:t>
            </w:r>
          </w:p>
        </w:tc>
      </w:tr>
      <w:tr w:rsidR="00A32202" w14:paraId="5B32EBAD" w14:textId="77777777">
        <w:trPr>
          <w:trHeight w:val="340"/>
        </w:trPr>
        <w:tc>
          <w:tcPr>
            <w:tcW w:w="1080" w:type="dxa"/>
            <w:tcBorders>
              <w:top w:val="single" w:color="000000" w:sz="8" w:space="0"/>
              <w:left w:val="single" w:color="000000" w:sz="8" w:space="0"/>
              <w:bottom w:val="single" w:color="000000" w:sz="8" w:space="0"/>
              <w:right w:val="single" w:color="000000" w:sz="8" w:space="0"/>
            </w:tcBorders>
          </w:tcPr>
          <w:p w:rsidR="00A32202" w:rsidP="00A32202" w:rsidRDefault="00A32202" w14:paraId="02B40FE3" w14:textId="77777777">
            <w:pPr>
              <w:pStyle w:val="TableParagraph"/>
              <w:spacing w:before="16" w:line="304" w:lineRule="exact"/>
              <w:ind w:left="103" w:right="87"/>
              <w:jc w:val="center"/>
              <w:rPr>
                <w:sz w:val="24"/>
              </w:rPr>
            </w:pPr>
            <w:r>
              <w:rPr>
                <w:sz w:val="24"/>
              </w:rPr>
              <w:t>SDG&amp;E</w:t>
            </w:r>
          </w:p>
        </w:tc>
        <w:tc>
          <w:tcPr>
            <w:tcW w:w="2072" w:type="dxa"/>
            <w:tcBorders>
              <w:top w:val="single" w:color="000000" w:sz="8" w:space="0"/>
              <w:left w:val="single" w:color="000000" w:sz="8" w:space="0"/>
              <w:bottom w:val="single" w:color="000000" w:sz="8" w:space="0"/>
              <w:right w:val="single" w:color="000000" w:sz="8" w:space="0"/>
            </w:tcBorders>
          </w:tcPr>
          <w:p w:rsidR="00A32202" w:rsidP="00A32202" w:rsidRDefault="00A32202" w14:paraId="50D23235" w14:textId="5EAB68DA">
            <w:pPr>
              <w:pStyle w:val="TableParagraph"/>
              <w:spacing w:before="16" w:line="304" w:lineRule="exact"/>
              <w:ind w:right="80"/>
              <w:rPr>
                <w:sz w:val="24"/>
              </w:rPr>
            </w:pPr>
            <w:r>
              <w:rPr>
                <w:sz w:val="24"/>
              </w:rPr>
              <w:t>$8,635,841</w:t>
            </w:r>
          </w:p>
        </w:tc>
        <w:tc>
          <w:tcPr>
            <w:tcW w:w="2069" w:type="dxa"/>
            <w:tcBorders>
              <w:top w:val="single" w:color="000000" w:sz="8" w:space="0"/>
              <w:left w:val="single" w:color="000000" w:sz="8" w:space="0"/>
              <w:bottom w:val="single" w:color="000000" w:sz="8" w:space="0"/>
              <w:right w:val="single" w:color="000000" w:sz="8" w:space="0"/>
            </w:tcBorders>
          </w:tcPr>
          <w:p w:rsidR="00A32202" w:rsidP="00A32202" w:rsidRDefault="00A32202" w14:paraId="2ADD04AF" w14:textId="70E25CC4">
            <w:pPr>
              <w:pStyle w:val="TableParagraph"/>
              <w:spacing w:before="16" w:line="304" w:lineRule="exact"/>
              <w:ind w:right="77"/>
              <w:rPr>
                <w:sz w:val="24"/>
              </w:rPr>
            </w:pPr>
            <w:r>
              <w:rPr>
                <w:sz w:val="24"/>
              </w:rPr>
              <w:t>$2,878,614</w:t>
            </w:r>
          </w:p>
        </w:tc>
        <w:tc>
          <w:tcPr>
            <w:tcW w:w="2071" w:type="dxa"/>
            <w:tcBorders>
              <w:top w:val="single" w:color="000000" w:sz="8" w:space="0"/>
              <w:left w:val="single" w:color="000000" w:sz="8" w:space="0"/>
              <w:bottom w:val="single" w:color="000000" w:sz="8" w:space="0"/>
              <w:right w:val="single" w:color="000000" w:sz="8" w:space="0"/>
            </w:tcBorders>
          </w:tcPr>
          <w:p w:rsidR="00A32202" w:rsidP="00A32202" w:rsidRDefault="00A32202" w14:paraId="7C09677E" w14:textId="370DC8C9">
            <w:pPr>
              <w:pStyle w:val="TableParagraph"/>
              <w:spacing w:before="16" w:line="304" w:lineRule="exact"/>
              <w:ind w:right="79"/>
              <w:rPr>
                <w:sz w:val="24"/>
              </w:rPr>
            </w:pPr>
            <w:r>
              <w:rPr>
                <w:sz w:val="24"/>
              </w:rPr>
              <w:t>$121,538</w:t>
            </w:r>
          </w:p>
        </w:tc>
        <w:tc>
          <w:tcPr>
            <w:tcW w:w="2069" w:type="dxa"/>
            <w:tcBorders>
              <w:top w:val="single" w:color="000000" w:sz="8" w:space="0"/>
              <w:left w:val="single" w:color="000000" w:sz="8" w:space="0"/>
              <w:bottom w:val="single" w:color="000000" w:sz="8" w:space="0"/>
              <w:right w:val="single" w:color="000000" w:sz="8" w:space="0"/>
            </w:tcBorders>
          </w:tcPr>
          <w:p w:rsidR="00A32202" w:rsidP="00A32202" w:rsidRDefault="00A32202" w14:paraId="0FD43647" w14:textId="26DC8AFB">
            <w:pPr>
              <w:pStyle w:val="TableParagraph"/>
              <w:spacing w:before="16" w:line="304" w:lineRule="exact"/>
              <w:ind w:right="95"/>
              <w:rPr>
                <w:sz w:val="24"/>
              </w:rPr>
            </w:pPr>
            <w:r>
              <w:rPr>
                <w:sz w:val="24"/>
              </w:rPr>
              <w:t>$217,708</w:t>
            </w:r>
          </w:p>
        </w:tc>
      </w:tr>
    </w:tbl>
    <w:p w:rsidR="007B31C8" w:rsidRDefault="007B31C8" w14:paraId="4B883A4B" w14:textId="77777777">
      <w:pPr>
        <w:pStyle w:val="BodyText"/>
        <w:spacing w:before="10"/>
        <w:rPr>
          <w:sz w:val="17"/>
        </w:rPr>
      </w:pPr>
    </w:p>
    <w:p w:rsidR="007B31C8" w:rsidRDefault="006C3CB7" w14:paraId="44311F0B" w14:textId="43A47D89">
      <w:pPr>
        <w:pStyle w:val="BodyText"/>
        <w:ind w:left="220"/>
        <w:jc w:val="both"/>
      </w:pPr>
      <w:r>
        <w:t>The 201</w:t>
      </w:r>
      <w:r w:rsidR="00AD2FCE">
        <w:t>9</w:t>
      </w:r>
      <w:r>
        <w:t xml:space="preserve"> award caps</w:t>
      </w:r>
      <w:r w:rsidR="00F344F6">
        <w:rPr>
          <w:rStyle w:val="FootnoteReference"/>
        </w:rPr>
        <w:footnoteReference w:id="22"/>
      </w:r>
      <w:r>
        <w:rPr>
          <w:position w:val="7"/>
          <w:sz w:val="14"/>
        </w:rPr>
        <w:t xml:space="preserve"> </w:t>
      </w:r>
      <w:r>
        <w:t>are provided in Table 7.</w:t>
      </w:r>
    </w:p>
    <w:p w:rsidR="007B31C8" w:rsidRDefault="007B31C8" w14:paraId="5FE96CB6" w14:textId="77777777">
      <w:pPr>
        <w:pStyle w:val="BodyText"/>
        <w:spacing w:before="6"/>
        <w:rPr>
          <w:sz w:val="11"/>
        </w:rPr>
      </w:pPr>
    </w:p>
    <w:p w:rsidR="007B31C8" w:rsidRDefault="006C3CB7" w14:paraId="18FC700A" w14:textId="1870C4C4">
      <w:pPr>
        <w:pStyle w:val="BodyText"/>
        <w:spacing w:before="24"/>
        <w:ind w:left="1002" w:right="1158"/>
        <w:jc w:val="center"/>
      </w:pPr>
      <w:r>
        <w:t>Table 7: 201</w:t>
      </w:r>
      <w:r w:rsidR="00AD2FCE">
        <w:t>9</w:t>
      </w:r>
      <w:r>
        <w:t xml:space="preserve"> Award Caps by Category and IOU ($)</w:t>
      </w: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0"/>
        <w:gridCol w:w="2072"/>
        <w:gridCol w:w="2069"/>
        <w:gridCol w:w="2071"/>
        <w:gridCol w:w="2069"/>
      </w:tblGrid>
      <w:tr w:rsidR="007B31C8" w14:paraId="1351B71C" w14:textId="77777777">
        <w:trPr>
          <w:trHeight w:val="1309"/>
        </w:trPr>
        <w:tc>
          <w:tcPr>
            <w:tcW w:w="1080" w:type="dxa"/>
            <w:tcBorders>
              <w:left w:val="single" w:color="000000" w:sz="8" w:space="0"/>
              <w:bottom w:val="single" w:color="000000" w:sz="8" w:space="0"/>
              <w:right w:val="single" w:color="000000" w:sz="8" w:space="0"/>
            </w:tcBorders>
          </w:tcPr>
          <w:p w:rsidR="007B31C8" w:rsidRDefault="007B31C8" w14:paraId="2762F505" w14:textId="77777777">
            <w:pPr>
              <w:pStyle w:val="TableParagraph"/>
              <w:jc w:val="left"/>
              <w:rPr>
                <w:sz w:val="24"/>
              </w:rPr>
            </w:pPr>
          </w:p>
          <w:p w:rsidR="007B31C8" w:rsidRDefault="006C3CB7" w14:paraId="1A5E7BF0" w14:textId="77777777">
            <w:pPr>
              <w:pStyle w:val="TableParagraph"/>
              <w:spacing w:before="175"/>
              <w:ind w:left="103" w:right="84"/>
              <w:jc w:val="center"/>
              <w:rPr>
                <w:b/>
                <w:sz w:val="24"/>
              </w:rPr>
            </w:pPr>
            <w:r>
              <w:rPr>
                <w:b/>
                <w:sz w:val="24"/>
              </w:rPr>
              <w:t>IOU</w:t>
            </w:r>
          </w:p>
        </w:tc>
        <w:tc>
          <w:tcPr>
            <w:tcW w:w="2072" w:type="dxa"/>
            <w:tcBorders>
              <w:left w:val="single" w:color="000000" w:sz="8" w:space="0"/>
              <w:bottom w:val="single" w:color="000000" w:sz="8" w:space="0"/>
              <w:right w:val="single" w:color="000000" w:sz="8" w:space="0"/>
            </w:tcBorders>
          </w:tcPr>
          <w:p w:rsidR="007B31C8" w:rsidRDefault="006C3CB7" w14:paraId="35C565BA" w14:textId="77777777">
            <w:pPr>
              <w:pStyle w:val="TableParagraph"/>
              <w:spacing w:before="175"/>
              <w:ind w:left="71" w:right="55"/>
              <w:jc w:val="center"/>
              <w:rPr>
                <w:sz w:val="24"/>
              </w:rPr>
            </w:pPr>
            <w:r>
              <w:rPr>
                <w:b/>
                <w:sz w:val="24"/>
              </w:rPr>
              <w:t xml:space="preserve">Resource Savings </w:t>
            </w:r>
            <w:r>
              <w:rPr>
                <w:sz w:val="24"/>
              </w:rPr>
              <w:t>(9% of resource program budget)</w:t>
            </w:r>
          </w:p>
        </w:tc>
        <w:tc>
          <w:tcPr>
            <w:tcW w:w="2069" w:type="dxa"/>
            <w:tcBorders>
              <w:left w:val="single" w:color="000000" w:sz="8" w:space="0"/>
              <w:bottom w:val="single" w:color="000000" w:sz="8" w:space="0"/>
              <w:right w:val="single" w:color="000000" w:sz="8" w:space="0"/>
            </w:tcBorders>
          </w:tcPr>
          <w:p w:rsidR="007B31C8" w:rsidRDefault="006C3CB7" w14:paraId="70DC6B9B" w14:textId="77777777">
            <w:pPr>
              <w:pStyle w:val="TableParagraph"/>
              <w:spacing w:before="175"/>
              <w:ind w:left="102" w:right="-15"/>
              <w:jc w:val="center"/>
              <w:rPr>
                <w:sz w:val="24"/>
              </w:rPr>
            </w:pPr>
            <w:r>
              <w:rPr>
                <w:b/>
                <w:sz w:val="24"/>
              </w:rPr>
              <w:t>EAR</w:t>
            </w:r>
            <w:r>
              <w:rPr>
                <w:b/>
                <w:spacing w:val="-8"/>
                <w:sz w:val="24"/>
              </w:rPr>
              <w:t xml:space="preserve"> </w:t>
            </w:r>
            <w:r>
              <w:rPr>
                <w:b/>
                <w:sz w:val="24"/>
              </w:rPr>
              <w:t xml:space="preserve">Performance </w:t>
            </w:r>
            <w:r>
              <w:rPr>
                <w:sz w:val="24"/>
              </w:rPr>
              <w:t>(3% of resource program</w:t>
            </w:r>
            <w:r>
              <w:rPr>
                <w:spacing w:val="-4"/>
                <w:sz w:val="24"/>
              </w:rPr>
              <w:t xml:space="preserve"> </w:t>
            </w:r>
            <w:r>
              <w:rPr>
                <w:sz w:val="24"/>
              </w:rPr>
              <w:t>budget)</w:t>
            </w:r>
          </w:p>
        </w:tc>
        <w:tc>
          <w:tcPr>
            <w:tcW w:w="2071" w:type="dxa"/>
            <w:tcBorders>
              <w:left w:val="single" w:color="000000" w:sz="8" w:space="0"/>
              <w:bottom w:val="single" w:color="000000" w:sz="8" w:space="0"/>
              <w:right w:val="single" w:color="000000" w:sz="8" w:space="0"/>
            </w:tcBorders>
          </w:tcPr>
          <w:p w:rsidR="007B31C8" w:rsidRDefault="006C3CB7" w14:paraId="53190DBF" w14:textId="77777777">
            <w:pPr>
              <w:pStyle w:val="TableParagraph"/>
              <w:spacing w:before="14"/>
              <w:ind w:left="364" w:right="349" w:firstLine="2"/>
              <w:jc w:val="center"/>
              <w:rPr>
                <w:sz w:val="24"/>
              </w:rPr>
            </w:pPr>
            <w:r>
              <w:rPr>
                <w:b/>
                <w:sz w:val="24"/>
              </w:rPr>
              <w:t xml:space="preserve">Codes &amp; Standards </w:t>
            </w:r>
            <w:r>
              <w:rPr>
                <w:sz w:val="24"/>
              </w:rPr>
              <w:t>(12% of C&amp;S</w:t>
            </w:r>
          </w:p>
          <w:p w:rsidR="007B31C8" w:rsidRDefault="006C3CB7" w14:paraId="03313CB8" w14:textId="77777777">
            <w:pPr>
              <w:pStyle w:val="TableParagraph"/>
              <w:spacing w:before="1" w:line="304" w:lineRule="exact"/>
              <w:ind w:left="60" w:right="47"/>
              <w:jc w:val="center"/>
              <w:rPr>
                <w:sz w:val="24"/>
              </w:rPr>
            </w:pPr>
            <w:r>
              <w:rPr>
                <w:sz w:val="24"/>
              </w:rPr>
              <w:t>program budget)</w:t>
            </w:r>
          </w:p>
        </w:tc>
        <w:tc>
          <w:tcPr>
            <w:tcW w:w="2069" w:type="dxa"/>
            <w:tcBorders>
              <w:left w:val="single" w:color="000000" w:sz="8" w:space="0"/>
              <w:bottom w:val="single" w:color="000000" w:sz="8" w:space="0"/>
              <w:right w:val="single" w:color="000000" w:sz="8" w:space="0"/>
            </w:tcBorders>
          </w:tcPr>
          <w:p w:rsidR="007B31C8" w:rsidRDefault="006C3CB7" w14:paraId="12F31AA4" w14:textId="77777777">
            <w:pPr>
              <w:pStyle w:val="TableParagraph"/>
              <w:spacing w:before="14" w:line="320" w:lineRule="atLeast"/>
              <w:ind w:left="93" w:right="58" w:hanging="4"/>
              <w:jc w:val="center"/>
              <w:rPr>
                <w:sz w:val="24"/>
              </w:rPr>
            </w:pPr>
            <w:r>
              <w:rPr>
                <w:b/>
                <w:sz w:val="24"/>
              </w:rPr>
              <w:t xml:space="preserve">Non-Resource </w:t>
            </w:r>
            <w:r>
              <w:rPr>
                <w:sz w:val="24"/>
              </w:rPr>
              <w:t>(3% of non- resource program budget)</w:t>
            </w:r>
          </w:p>
        </w:tc>
      </w:tr>
      <w:tr w:rsidR="00D31ED5" w14:paraId="023C9CC5" w14:textId="77777777">
        <w:trPr>
          <w:trHeight w:val="340"/>
        </w:trPr>
        <w:tc>
          <w:tcPr>
            <w:tcW w:w="1080" w:type="dxa"/>
            <w:tcBorders>
              <w:top w:val="single" w:color="000000" w:sz="8" w:space="0"/>
              <w:left w:val="single" w:color="000000" w:sz="8" w:space="0"/>
              <w:bottom w:val="single" w:color="000000" w:sz="8" w:space="0"/>
              <w:right w:val="single" w:color="000000" w:sz="8" w:space="0"/>
            </w:tcBorders>
          </w:tcPr>
          <w:p w:rsidR="00D31ED5" w:rsidP="00D31ED5" w:rsidRDefault="00D31ED5" w14:paraId="40EA7A20" w14:textId="77777777">
            <w:pPr>
              <w:pStyle w:val="TableParagraph"/>
              <w:spacing w:before="16" w:line="304" w:lineRule="exact"/>
              <w:ind w:left="103" w:right="87"/>
              <w:jc w:val="center"/>
              <w:rPr>
                <w:sz w:val="24"/>
              </w:rPr>
            </w:pPr>
            <w:r>
              <w:rPr>
                <w:sz w:val="24"/>
              </w:rPr>
              <w:t>PG&amp;E</w:t>
            </w:r>
          </w:p>
        </w:tc>
        <w:tc>
          <w:tcPr>
            <w:tcW w:w="2072"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7E5BE601" w14:textId="68E889E2">
            <w:pPr>
              <w:pStyle w:val="TableParagraph"/>
              <w:spacing w:before="16" w:line="304" w:lineRule="exact"/>
              <w:ind w:right="99"/>
              <w:rPr>
                <w:sz w:val="24"/>
                <w:szCs w:val="24"/>
              </w:rPr>
            </w:pPr>
            <w:r w:rsidRPr="00EF0BE7">
              <w:rPr>
                <w:sz w:val="24"/>
                <w:szCs w:val="24"/>
              </w:rPr>
              <w:t xml:space="preserve"> $20,484,049 </w:t>
            </w:r>
          </w:p>
        </w:tc>
        <w:tc>
          <w:tcPr>
            <w:tcW w:w="2069"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2693A00A" w14:textId="3BFEA0D5">
            <w:pPr>
              <w:pStyle w:val="TableParagraph"/>
              <w:spacing w:before="16" w:line="304" w:lineRule="exact"/>
              <w:ind w:right="96"/>
              <w:rPr>
                <w:sz w:val="24"/>
                <w:szCs w:val="24"/>
              </w:rPr>
            </w:pPr>
            <w:r w:rsidRPr="00EF0BE7">
              <w:rPr>
                <w:sz w:val="24"/>
                <w:szCs w:val="24"/>
              </w:rPr>
              <w:t xml:space="preserve"> $6,828,016 </w:t>
            </w:r>
          </w:p>
        </w:tc>
        <w:tc>
          <w:tcPr>
            <w:tcW w:w="2071"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086F53DD" w14:textId="1571B4BA">
            <w:pPr>
              <w:pStyle w:val="TableParagraph"/>
              <w:spacing w:before="16" w:line="304" w:lineRule="exact"/>
              <w:ind w:right="98"/>
              <w:rPr>
                <w:sz w:val="24"/>
                <w:szCs w:val="24"/>
              </w:rPr>
            </w:pPr>
            <w:r w:rsidRPr="00EF0BE7">
              <w:rPr>
                <w:sz w:val="24"/>
                <w:szCs w:val="24"/>
              </w:rPr>
              <w:t xml:space="preserve"> $2,402,</w:t>
            </w:r>
            <w:r w:rsidRPr="00EF0BE7" w:rsidR="00233EC5">
              <w:rPr>
                <w:sz w:val="24"/>
                <w:szCs w:val="24"/>
              </w:rPr>
              <w:t>018</w:t>
            </w:r>
            <w:r w:rsidRPr="00EF0BE7">
              <w:rPr>
                <w:sz w:val="24"/>
                <w:szCs w:val="24"/>
              </w:rPr>
              <w:t xml:space="preserve"> </w:t>
            </w:r>
          </w:p>
        </w:tc>
        <w:tc>
          <w:tcPr>
            <w:tcW w:w="2069"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31F0E98D" w14:textId="14F04034">
            <w:pPr>
              <w:pStyle w:val="TableParagraph"/>
              <w:spacing w:before="16" w:line="304" w:lineRule="exact"/>
              <w:ind w:right="95"/>
              <w:rPr>
                <w:sz w:val="24"/>
                <w:szCs w:val="24"/>
              </w:rPr>
            </w:pPr>
            <w:r w:rsidRPr="00EF0BE7">
              <w:rPr>
                <w:sz w:val="24"/>
                <w:szCs w:val="24"/>
              </w:rPr>
              <w:t xml:space="preserve"> $665,85</w:t>
            </w:r>
            <w:r w:rsidRPr="00EF0BE7" w:rsidR="00233EC5">
              <w:rPr>
                <w:sz w:val="24"/>
                <w:szCs w:val="24"/>
              </w:rPr>
              <w:t>3</w:t>
            </w:r>
            <w:r w:rsidRPr="00EF0BE7">
              <w:rPr>
                <w:sz w:val="24"/>
                <w:szCs w:val="24"/>
              </w:rPr>
              <w:t xml:space="preserve"> </w:t>
            </w:r>
          </w:p>
        </w:tc>
      </w:tr>
      <w:tr w:rsidR="00D31ED5" w14:paraId="5B0ED143" w14:textId="77777777">
        <w:trPr>
          <w:trHeight w:val="337"/>
        </w:trPr>
        <w:tc>
          <w:tcPr>
            <w:tcW w:w="1080" w:type="dxa"/>
            <w:tcBorders>
              <w:top w:val="single" w:color="000000" w:sz="8" w:space="0"/>
              <w:left w:val="single" w:color="000000" w:sz="8" w:space="0"/>
              <w:bottom w:val="single" w:color="000000" w:sz="8" w:space="0"/>
              <w:right w:val="single" w:color="000000" w:sz="8" w:space="0"/>
            </w:tcBorders>
          </w:tcPr>
          <w:p w:rsidR="00D31ED5" w:rsidP="00D31ED5" w:rsidRDefault="00D31ED5" w14:paraId="6A56DD2C" w14:textId="77777777">
            <w:pPr>
              <w:pStyle w:val="TableParagraph"/>
              <w:spacing w:before="14" w:line="304" w:lineRule="exact"/>
              <w:ind w:left="103" w:right="82"/>
              <w:jc w:val="center"/>
              <w:rPr>
                <w:sz w:val="24"/>
              </w:rPr>
            </w:pPr>
            <w:r>
              <w:rPr>
                <w:sz w:val="24"/>
              </w:rPr>
              <w:t>SCE</w:t>
            </w:r>
          </w:p>
        </w:tc>
        <w:tc>
          <w:tcPr>
            <w:tcW w:w="2072"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216FD640" w14:textId="0E3995C5">
            <w:pPr>
              <w:pStyle w:val="TableParagraph"/>
              <w:spacing w:before="14" w:line="304" w:lineRule="exact"/>
              <w:ind w:right="99"/>
              <w:rPr>
                <w:sz w:val="24"/>
                <w:szCs w:val="24"/>
              </w:rPr>
            </w:pPr>
            <w:r w:rsidRPr="00EF0BE7">
              <w:rPr>
                <w:sz w:val="24"/>
                <w:szCs w:val="24"/>
              </w:rPr>
              <w:t xml:space="preserve"> $16,263,698 </w:t>
            </w:r>
          </w:p>
        </w:tc>
        <w:tc>
          <w:tcPr>
            <w:tcW w:w="2069"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5A7B29FE" w14:textId="171DA927">
            <w:pPr>
              <w:pStyle w:val="TableParagraph"/>
              <w:spacing w:before="14" w:line="304" w:lineRule="exact"/>
              <w:ind w:right="96"/>
              <w:rPr>
                <w:sz w:val="24"/>
                <w:szCs w:val="24"/>
              </w:rPr>
            </w:pPr>
            <w:r w:rsidRPr="00EF0BE7">
              <w:rPr>
                <w:sz w:val="24"/>
                <w:szCs w:val="24"/>
              </w:rPr>
              <w:t xml:space="preserve"> $5,421,23</w:t>
            </w:r>
            <w:r w:rsidRPr="00EF0BE7" w:rsidR="00233EC5">
              <w:rPr>
                <w:sz w:val="24"/>
                <w:szCs w:val="24"/>
              </w:rPr>
              <w:t>3</w:t>
            </w:r>
            <w:r w:rsidRPr="00EF0BE7">
              <w:rPr>
                <w:sz w:val="24"/>
                <w:szCs w:val="24"/>
              </w:rPr>
              <w:t xml:space="preserve"> </w:t>
            </w:r>
          </w:p>
        </w:tc>
        <w:tc>
          <w:tcPr>
            <w:tcW w:w="2071"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4206DFD2" w14:textId="4EDE9C27">
            <w:pPr>
              <w:pStyle w:val="TableParagraph"/>
              <w:spacing w:before="14" w:line="304" w:lineRule="exact"/>
              <w:ind w:right="98"/>
              <w:rPr>
                <w:sz w:val="24"/>
                <w:szCs w:val="24"/>
              </w:rPr>
            </w:pPr>
            <w:r w:rsidRPr="00EF0BE7">
              <w:rPr>
                <w:sz w:val="24"/>
                <w:szCs w:val="24"/>
              </w:rPr>
              <w:t xml:space="preserve"> $1,038,534 </w:t>
            </w:r>
          </w:p>
        </w:tc>
        <w:tc>
          <w:tcPr>
            <w:tcW w:w="2069"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1CC5605F" w14:textId="6409C3F0">
            <w:pPr>
              <w:pStyle w:val="TableParagraph"/>
              <w:spacing w:before="14" w:line="304" w:lineRule="exact"/>
              <w:ind w:right="95"/>
              <w:rPr>
                <w:sz w:val="24"/>
                <w:szCs w:val="24"/>
              </w:rPr>
            </w:pPr>
            <w:r w:rsidRPr="00EF0BE7">
              <w:rPr>
                <w:sz w:val="24"/>
                <w:szCs w:val="24"/>
              </w:rPr>
              <w:t xml:space="preserve"> $630,38</w:t>
            </w:r>
            <w:r w:rsidRPr="00EF0BE7" w:rsidR="00233EC5">
              <w:rPr>
                <w:sz w:val="24"/>
                <w:szCs w:val="24"/>
              </w:rPr>
              <w:t>8</w:t>
            </w:r>
            <w:r w:rsidRPr="00EF0BE7">
              <w:rPr>
                <w:sz w:val="24"/>
                <w:szCs w:val="24"/>
              </w:rPr>
              <w:t xml:space="preserve"> </w:t>
            </w:r>
          </w:p>
        </w:tc>
      </w:tr>
      <w:tr w:rsidR="00D31ED5" w14:paraId="7014AA93" w14:textId="77777777">
        <w:trPr>
          <w:trHeight w:val="340"/>
        </w:trPr>
        <w:tc>
          <w:tcPr>
            <w:tcW w:w="1080" w:type="dxa"/>
            <w:tcBorders>
              <w:top w:val="single" w:color="000000" w:sz="8" w:space="0"/>
              <w:left w:val="single" w:color="000000" w:sz="8" w:space="0"/>
              <w:bottom w:val="single" w:color="000000" w:sz="8" w:space="0"/>
              <w:right w:val="single" w:color="000000" w:sz="8" w:space="0"/>
            </w:tcBorders>
          </w:tcPr>
          <w:p w:rsidR="00D31ED5" w:rsidP="00D31ED5" w:rsidRDefault="00D31ED5" w14:paraId="627ECC62" w14:textId="77777777">
            <w:pPr>
              <w:pStyle w:val="TableParagraph"/>
              <w:spacing w:before="16" w:line="304" w:lineRule="exact"/>
              <w:ind w:left="103" w:right="87"/>
              <w:jc w:val="center"/>
              <w:rPr>
                <w:sz w:val="24"/>
              </w:rPr>
            </w:pPr>
            <w:r>
              <w:rPr>
                <w:sz w:val="24"/>
              </w:rPr>
              <w:t>SDG&amp;E</w:t>
            </w:r>
          </w:p>
        </w:tc>
        <w:tc>
          <w:tcPr>
            <w:tcW w:w="2072"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3573ABA9" w14:textId="78964488">
            <w:pPr>
              <w:pStyle w:val="TableParagraph"/>
              <w:spacing w:before="16" w:line="304" w:lineRule="exact"/>
              <w:ind w:right="99"/>
              <w:rPr>
                <w:sz w:val="24"/>
                <w:szCs w:val="24"/>
              </w:rPr>
            </w:pPr>
            <w:r w:rsidRPr="00EF0BE7">
              <w:rPr>
                <w:sz w:val="24"/>
                <w:szCs w:val="24"/>
              </w:rPr>
              <w:t xml:space="preserve"> $7,712,915 </w:t>
            </w:r>
          </w:p>
        </w:tc>
        <w:tc>
          <w:tcPr>
            <w:tcW w:w="2069"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318D46FD" w14:textId="42810E86">
            <w:pPr>
              <w:pStyle w:val="TableParagraph"/>
              <w:spacing w:before="16" w:line="304" w:lineRule="exact"/>
              <w:ind w:right="96"/>
              <w:rPr>
                <w:sz w:val="24"/>
                <w:szCs w:val="24"/>
              </w:rPr>
            </w:pPr>
            <w:r w:rsidRPr="00EF0BE7">
              <w:rPr>
                <w:sz w:val="24"/>
                <w:szCs w:val="24"/>
              </w:rPr>
              <w:t xml:space="preserve"> $2,570,</w:t>
            </w:r>
            <w:r w:rsidRPr="00EF0BE7" w:rsidR="00233EC5">
              <w:rPr>
                <w:sz w:val="24"/>
                <w:szCs w:val="24"/>
              </w:rPr>
              <w:t>972</w:t>
            </w:r>
            <w:r w:rsidRPr="00EF0BE7">
              <w:rPr>
                <w:sz w:val="24"/>
                <w:szCs w:val="24"/>
              </w:rPr>
              <w:t xml:space="preserve"> </w:t>
            </w:r>
          </w:p>
        </w:tc>
        <w:tc>
          <w:tcPr>
            <w:tcW w:w="2071"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13E93486" w14:textId="48F2E10D">
            <w:pPr>
              <w:pStyle w:val="TableParagraph"/>
              <w:spacing w:before="16" w:line="304" w:lineRule="exact"/>
              <w:ind w:right="98"/>
              <w:rPr>
                <w:sz w:val="24"/>
                <w:szCs w:val="24"/>
              </w:rPr>
            </w:pPr>
            <w:r w:rsidRPr="00EF0BE7">
              <w:rPr>
                <w:sz w:val="24"/>
                <w:szCs w:val="24"/>
              </w:rPr>
              <w:t xml:space="preserve"> $134,283 </w:t>
            </w:r>
          </w:p>
        </w:tc>
        <w:tc>
          <w:tcPr>
            <w:tcW w:w="2069" w:type="dxa"/>
            <w:tcBorders>
              <w:top w:val="single" w:color="000000" w:sz="8" w:space="0"/>
              <w:left w:val="single" w:color="000000" w:sz="8" w:space="0"/>
              <w:bottom w:val="single" w:color="000000" w:sz="8" w:space="0"/>
              <w:right w:val="single" w:color="000000" w:sz="8" w:space="0"/>
            </w:tcBorders>
          </w:tcPr>
          <w:p w:rsidRPr="006D66E8" w:rsidR="00D31ED5" w:rsidP="00D31ED5" w:rsidRDefault="00D31ED5" w14:paraId="7490BFA2" w14:textId="16AE7598">
            <w:pPr>
              <w:pStyle w:val="TableParagraph"/>
              <w:spacing w:before="16" w:line="304" w:lineRule="exact"/>
              <w:ind w:right="95"/>
              <w:rPr>
                <w:sz w:val="24"/>
                <w:szCs w:val="24"/>
              </w:rPr>
            </w:pPr>
            <w:r w:rsidRPr="00EF0BE7">
              <w:rPr>
                <w:sz w:val="24"/>
                <w:szCs w:val="24"/>
              </w:rPr>
              <w:t xml:space="preserve"> $266,818 </w:t>
            </w:r>
          </w:p>
        </w:tc>
      </w:tr>
    </w:tbl>
    <w:p w:rsidR="007B31C8" w:rsidRDefault="007B31C8" w14:paraId="63E0CC00" w14:textId="2C27C928">
      <w:pPr>
        <w:pStyle w:val="BodyText"/>
        <w:spacing w:before="8"/>
        <w:rPr>
          <w:sz w:val="17"/>
        </w:rPr>
      </w:pPr>
    </w:p>
    <w:p w:rsidR="00F344F6" w:rsidRDefault="00F344F6" w14:paraId="0D5CC087" w14:textId="3A52A8FA">
      <w:pPr>
        <w:pStyle w:val="BodyText"/>
        <w:spacing w:before="8"/>
        <w:rPr>
          <w:sz w:val="17"/>
        </w:rPr>
      </w:pPr>
    </w:p>
    <w:p w:rsidR="00FF7153" w:rsidP="002F6761" w:rsidRDefault="00FF7153" w14:paraId="461B0AE0" w14:textId="0CAA7B71">
      <w:pPr>
        <w:pStyle w:val="Heading3"/>
        <w:spacing w:before="1"/>
        <w:ind w:left="0"/>
      </w:pPr>
    </w:p>
    <w:p w:rsidR="007B31C8" w:rsidRDefault="006C3CB7" w14:paraId="41FF0CEB" w14:textId="45075A2B">
      <w:pPr>
        <w:pStyle w:val="Heading3"/>
        <w:spacing w:before="1"/>
      </w:pPr>
      <w:r>
        <w:t>Ex Ante Review (EAR) Performance Scores</w:t>
      </w:r>
    </w:p>
    <w:p w:rsidR="007B31C8" w:rsidRDefault="006C3CB7" w14:paraId="709F62F1" w14:textId="77777777">
      <w:pPr>
        <w:spacing w:before="120"/>
        <w:ind w:left="220" w:right="233"/>
        <w:jc w:val="both"/>
        <w:rPr>
          <w:b/>
          <w:sz w:val="24"/>
        </w:rPr>
      </w:pPr>
      <w:r>
        <w:rPr>
          <w:b/>
          <w:sz w:val="24"/>
        </w:rPr>
        <w:t>The EAR Process Performance award equals the IOUs’ weighted EAR performance scores multiplied by 3% of their approved resource program expenditures (excluding administrative costs). IOUs must calculate weighted EAR performance scores using the contributions of deemed and custom projects to net lifecycle savings.</w:t>
      </w:r>
    </w:p>
    <w:p w:rsidRPr="00EF0BE7" w:rsidR="007B31C8" w:rsidP="00EF0BE7" w:rsidRDefault="006C3CB7" w14:paraId="2DA3B402" w14:textId="06C78115">
      <w:pPr>
        <w:pStyle w:val="BodyText"/>
        <w:spacing w:before="121"/>
        <w:ind w:left="220" w:right="238"/>
        <w:jc w:val="both"/>
      </w:pPr>
      <w:r>
        <w:t>Twice each year, the CPUC provides feedback to the IOUs on their EAR process performance by issuing midyear and final performance memos. The final performance memos contain EAR performance scores for deemed and custom projects. Final 201</w:t>
      </w:r>
      <w:r w:rsidR="00D91F6E">
        <w:t>9</w:t>
      </w:r>
      <w:r>
        <w:t xml:space="preserve"> performance memos were released on March </w:t>
      </w:r>
      <w:r w:rsidR="00582B1F">
        <w:t>30</w:t>
      </w:r>
      <w:r>
        <w:t xml:space="preserve">, </w:t>
      </w:r>
      <w:r w:rsidR="00582B1F">
        <w:t>2020</w:t>
      </w:r>
      <w:r>
        <w:t>.</w:t>
      </w:r>
      <w:r w:rsidR="004A2B12">
        <w:rPr>
          <w:rStyle w:val="FootnoteReference"/>
        </w:rPr>
        <w:footnoteReference w:id="23"/>
      </w:r>
      <w:r w:rsidRPr="00EF0BE7">
        <w:t xml:space="preserve"> </w:t>
      </w:r>
      <w:r w:rsidR="00707B58">
        <w:t xml:space="preserve">It </w:t>
      </w:r>
      <w:r w:rsidR="00F36E44">
        <w:t>should</w:t>
      </w:r>
      <w:r w:rsidR="00707B58">
        <w:t xml:space="preserve"> be noted that the scores for </w:t>
      </w:r>
      <w:r w:rsidR="00F36E44">
        <w:t>SC</w:t>
      </w:r>
      <w:r w:rsidR="00707B58">
        <w:t xml:space="preserve">E </w:t>
      </w:r>
      <w:r w:rsidR="000B40CF">
        <w:t>was</w:t>
      </w:r>
      <w:r w:rsidR="00707B58">
        <w:t xml:space="preserve"> revised in June 2020</w:t>
      </w:r>
      <w:r>
        <w:t>.</w:t>
      </w:r>
      <w:r w:rsidR="00C41345">
        <w:t xml:space="preserve"> </w:t>
      </w:r>
      <w:r w:rsidR="00F36E44">
        <w:t>D</w:t>
      </w:r>
      <w:r w:rsidR="2242CF69">
        <w:t>.</w:t>
      </w:r>
      <w:r>
        <w:t>16-08-019 ordered that ESPI scores be weighted based on the proportion of deemed savings measures and custom measures in each IOU’s portfolio.</w:t>
      </w:r>
      <w:r w:rsidR="00EF220B">
        <w:rPr>
          <w:rStyle w:val="FootnoteReference"/>
        </w:rPr>
        <w:footnoteReference w:id="24"/>
      </w:r>
    </w:p>
    <w:p w:rsidR="005F1F17" w:rsidP="00EF0BE7" w:rsidRDefault="006C3CB7" w14:paraId="11E36AE3" w14:textId="11C6A46F">
      <w:pPr>
        <w:pStyle w:val="BodyText"/>
        <w:spacing w:before="121"/>
        <w:ind w:left="220" w:right="238"/>
        <w:jc w:val="both"/>
      </w:pPr>
      <w:r>
        <w:t>In Resolution E-</w:t>
      </w:r>
      <w:r w:rsidR="00D15BA1">
        <w:t>5062</w:t>
      </w:r>
      <w:r>
        <w:t xml:space="preserve">, the CPUC ordered the IOUs to </w:t>
      </w:r>
      <w:r w:rsidR="00BF2744">
        <w:t>com</w:t>
      </w:r>
      <w:r w:rsidR="00E8284D">
        <w:t>ply with the</w:t>
      </w:r>
      <w:r w:rsidR="00B61F9B">
        <w:t xml:space="preserve"> requirement in</w:t>
      </w:r>
      <w:r w:rsidR="00E8284D">
        <w:t xml:space="preserve"> resolution E-5007 and calculate their own weighted EAR performance scores for their 2020 ESPI Advice Letters</w:t>
      </w:r>
      <w:r w:rsidR="00B61F9B">
        <w:t xml:space="preserve">. All </w:t>
      </w:r>
      <w:r w:rsidR="005B0B75">
        <w:t>three</w:t>
      </w:r>
      <w:r w:rsidR="00B61F9B">
        <w:t xml:space="preserve"> IOUs complied </w:t>
      </w:r>
      <w:r w:rsidR="00591B6B">
        <w:t>as directed in resolution E-5007</w:t>
      </w:r>
      <w:r w:rsidR="00520BEA">
        <w:rPr>
          <w:rStyle w:val="FootnoteReference"/>
        </w:rPr>
        <w:footnoteReference w:id="25"/>
      </w:r>
      <w:r w:rsidR="00520BEA">
        <w:t xml:space="preserve"> </w:t>
      </w:r>
      <w:r w:rsidR="00034719">
        <w:t xml:space="preserve">however, PG&amp;E and SCE did not correctly implement </w:t>
      </w:r>
      <w:r w:rsidR="00D65314">
        <w:t>the methodology</w:t>
      </w:r>
      <w:r w:rsidR="00617007">
        <w:t xml:space="preserve">. </w:t>
      </w:r>
      <w:r w:rsidR="002922BF">
        <w:t xml:space="preserve">The EAR scores derived by </w:t>
      </w:r>
      <w:r w:rsidR="0009514D">
        <w:t>CPUC</w:t>
      </w:r>
      <w:r w:rsidR="002922BF">
        <w:t xml:space="preserve"> staff were higher than</w:t>
      </w:r>
      <w:r w:rsidR="00D65314">
        <w:t xml:space="preserve"> </w:t>
      </w:r>
      <w:r w:rsidR="002922BF">
        <w:t xml:space="preserve">those submitted by the IOUs. </w:t>
      </w:r>
      <w:r w:rsidR="00617007">
        <w:t>The discrepancy is largely due to</w:t>
      </w:r>
      <w:r w:rsidR="005F1F17">
        <w:t xml:space="preserve"> </w:t>
      </w:r>
      <w:r w:rsidR="00550A9D">
        <w:t xml:space="preserve">how </w:t>
      </w:r>
      <w:r w:rsidR="005F1F17">
        <w:t xml:space="preserve">workpapers </w:t>
      </w:r>
      <w:r w:rsidR="00AC3609">
        <w:t>are categorized</w:t>
      </w:r>
      <w:r w:rsidR="005F1F17">
        <w:t xml:space="preserve"> to derive the deemed portion of the ex-ante review</w:t>
      </w:r>
      <w:r w:rsidR="00617007">
        <w:t>.</w:t>
      </w:r>
      <w:r w:rsidR="00591B6B">
        <w:t xml:space="preserve"> </w:t>
      </w:r>
      <w:r w:rsidR="00710753">
        <w:t>As in the previous resolution</w:t>
      </w:r>
      <w:r>
        <w:t>, normalized metered energy consumption (NMEC) projects were counted as custom measure savings as they accounted for less than ten</w:t>
      </w:r>
      <w:r w:rsidR="005F1F17">
        <w:t xml:space="preserve"> percent of the portfolio.</w:t>
      </w:r>
      <w:r w:rsidR="004E3748">
        <w:rPr>
          <w:rStyle w:val="FootnoteReference"/>
        </w:rPr>
        <w:footnoteReference w:id="26"/>
      </w:r>
      <w:r w:rsidRPr="00E8760F" w:rsidR="005F1F17">
        <w:t xml:space="preserve"> </w:t>
      </w:r>
      <w:r w:rsidR="005F1F17">
        <w:t xml:space="preserve"> Table 8 shows the IOUs’ 2019 deemed, custom, and total weighted</w:t>
      </w:r>
      <w:r w:rsidRPr="00E8760F" w:rsidR="005F1F17">
        <w:t xml:space="preserve"> </w:t>
      </w:r>
      <w:r w:rsidR="005F1F17">
        <w:t>scores.</w:t>
      </w:r>
    </w:p>
    <w:p w:rsidR="007B31C8" w:rsidRDefault="006C3CB7" w14:paraId="7823814D" w14:textId="55F57F24">
      <w:pPr>
        <w:pStyle w:val="BodyText"/>
        <w:spacing w:before="24"/>
        <w:ind w:left="1141" w:right="1158"/>
        <w:jc w:val="center"/>
      </w:pPr>
      <w:r>
        <w:t>Table 8: 201</w:t>
      </w:r>
      <w:r w:rsidR="00D64B31">
        <w:t>9</w:t>
      </w:r>
      <w:r>
        <w:t xml:space="preserve"> EAR Performance Scores</w:t>
      </w:r>
    </w:p>
    <w:p w:rsidR="007B31C8" w:rsidRDefault="007B31C8" w14:paraId="05246A53" w14:textId="77777777">
      <w:pPr>
        <w:pStyle w:val="BodyText"/>
        <w:spacing w:before="8"/>
        <w:rPr>
          <w:sz w:val="4"/>
        </w:rPr>
      </w:pPr>
    </w:p>
    <w:tbl>
      <w:tblPr>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0"/>
        <w:gridCol w:w="2612"/>
        <w:gridCol w:w="2609"/>
        <w:gridCol w:w="2972"/>
      </w:tblGrid>
      <w:tr w:rsidR="007B31C8" w14:paraId="306A34C7" w14:textId="77777777">
        <w:trPr>
          <w:trHeight w:val="647"/>
        </w:trPr>
        <w:tc>
          <w:tcPr>
            <w:tcW w:w="1080" w:type="dxa"/>
          </w:tcPr>
          <w:p w:rsidR="007B31C8" w:rsidRDefault="006C3CB7" w14:paraId="610FB5A9" w14:textId="77777777">
            <w:pPr>
              <w:pStyle w:val="TableParagraph"/>
              <w:spacing w:before="158"/>
              <w:ind w:left="103" w:right="94"/>
              <w:jc w:val="center"/>
              <w:rPr>
                <w:b/>
                <w:sz w:val="24"/>
              </w:rPr>
            </w:pPr>
            <w:r>
              <w:rPr>
                <w:b/>
                <w:sz w:val="24"/>
              </w:rPr>
              <w:t>IOU</w:t>
            </w:r>
          </w:p>
        </w:tc>
        <w:tc>
          <w:tcPr>
            <w:tcW w:w="2612" w:type="dxa"/>
          </w:tcPr>
          <w:p w:rsidR="007B31C8" w:rsidRDefault="006C3CB7" w14:paraId="32B9077C" w14:textId="77777777">
            <w:pPr>
              <w:pStyle w:val="TableParagraph"/>
              <w:spacing w:line="321" w:lineRule="exact"/>
              <w:ind w:left="277" w:right="272"/>
              <w:jc w:val="center"/>
              <w:rPr>
                <w:b/>
                <w:sz w:val="24"/>
              </w:rPr>
            </w:pPr>
            <w:r>
              <w:rPr>
                <w:b/>
                <w:sz w:val="24"/>
              </w:rPr>
              <w:t>Deemed Score (%)</w:t>
            </w:r>
          </w:p>
        </w:tc>
        <w:tc>
          <w:tcPr>
            <w:tcW w:w="2609" w:type="dxa"/>
          </w:tcPr>
          <w:p w:rsidR="007B31C8" w:rsidRDefault="006C3CB7" w14:paraId="7F60F9E2" w14:textId="77777777">
            <w:pPr>
              <w:pStyle w:val="TableParagraph"/>
              <w:spacing w:line="321" w:lineRule="exact"/>
              <w:ind w:left="307" w:right="304"/>
              <w:jc w:val="center"/>
              <w:rPr>
                <w:b/>
                <w:sz w:val="24"/>
              </w:rPr>
            </w:pPr>
            <w:r>
              <w:rPr>
                <w:b/>
                <w:sz w:val="24"/>
              </w:rPr>
              <w:t>Custom Score (%)</w:t>
            </w:r>
          </w:p>
        </w:tc>
        <w:tc>
          <w:tcPr>
            <w:tcW w:w="2972" w:type="dxa"/>
          </w:tcPr>
          <w:p w:rsidR="007B31C8" w:rsidRDefault="006C3CB7" w14:paraId="465F4B23" w14:textId="77777777">
            <w:pPr>
              <w:pStyle w:val="TableParagraph"/>
              <w:spacing w:line="321" w:lineRule="exact"/>
              <w:ind w:left="284" w:right="278"/>
              <w:jc w:val="center"/>
              <w:rPr>
                <w:b/>
                <w:sz w:val="24"/>
              </w:rPr>
            </w:pPr>
            <w:r>
              <w:rPr>
                <w:b/>
                <w:sz w:val="24"/>
              </w:rPr>
              <w:t>Total Weighted Score</w:t>
            </w:r>
          </w:p>
          <w:p w:rsidR="007B31C8" w:rsidRDefault="006C3CB7" w14:paraId="50D25741" w14:textId="77777777">
            <w:pPr>
              <w:pStyle w:val="TableParagraph"/>
              <w:spacing w:line="306" w:lineRule="exact"/>
              <w:ind w:left="281" w:right="278"/>
              <w:jc w:val="center"/>
              <w:rPr>
                <w:b/>
                <w:sz w:val="24"/>
              </w:rPr>
            </w:pPr>
            <w:r>
              <w:rPr>
                <w:b/>
                <w:sz w:val="24"/>
              </w:rPr>
              <w:t>(%)</w:t>
            </w:r>
          </w:p>
        </w:tc>
      </w:tr>
      <w:tr w:rsidR="00605EB3" w14:paraId="2FF3F47F" w14:textId="77777777">
        <w:trPr>
          <w:trHeight w:val="323"/>
        </w:trPr>
        <w:tc>
          <w:tcPr>
            <w:tcW w:w="1080" w:type="dxa"/>
          </w:tcPr>
          <w:p w:rsidR="00605EB3" w:rsidP="00605EB3" w:rsidRDefault="00605EB3" w14:paraId="757779CD" w14:textId="77777777">
            <w:pPr>
              <w:pStyle w:val="TableParagraph"/>
              <w:spacing w:line="304" w:lineRule="exact"/>
              <w:ind w:left="103" w:right="97"/>
              <w:jc w:val="center"/>
              <w:rPr>
                <w:sz w:val="24"/>
              </w:rPr>
            </w:pPr>
            <w:r>
              <w:rPr>
                <w:sz w:val="24"/>
              </w:rPr>
              <w:t>PG&amp;E</w:t>
            </w:r>
          </w:p>
        </w:tc>
        <w:tc>
          <w:tcPr>
            <w:tcW w:w="2612" w:type="dxa"/>
          </w:tcPr>
          <w:p w:rsidR="00605EB3" w:rsidP="00605EB3" w:rsidRDefault="00605EB3" w14:paraId="0388A091" w14:textId="461B679D">
            <w:pPr>
              <w:pStyle w:val="TableParagraph"/>
              <w:spacing w:line="304" w:lineRule="exact"/>
              <w:ind w:left="277" w:right="271"/>
              <w:jc w:val="center"/>
              <w:rPr>
                <w:sz w:val="24"/>
              </w:rPr>
            </w:pPr>
            <w:r>
              <w:rPr>
                <w:sz w:val="24"/>
              </w:rPr>
              <w:t>38.90</w:t>
            </w:r>
          </w:p>
        </w:tc>
        <w:tc>
          <w:tcPr>
            <w:tcW w:w="2609" w:type="dxa"/>
          </w:tcPr>
          <w:p w:rsidR="00605EB3" w:rsidP="00605EB3" w:rsidRDefault="00605EB3" w14:paraId="2B848E27" w14:textId="2462BC37">
            <w:pPr>
              <w:pStyle w:val="TableParagraph"/>
              <w:spacing w:line="304" w:lineRule="exact"/>
              <w:ind w:left="307" w:right="303"/>
              <w:jc w:val="center"/>
              <w:rPr>
                <w:sz w:val="24"/>
              </w:rPr>
            </w:pPr>
            <w:r>
              <w:rPr>
                <w:sz w:val="24"/>
              </w:rPr>
              <w:t>41.76</w:t>
            </w:r>
          </w:p>
        </w:tc>
        <w:tc>
          <w:tcPr>
            <w:tcW w:w="2972" w:type="dxa"/>
          </w:tcPr>
          <w:p w:rsidR="00605EB3" w:rsidP="00605EB3" w:rsidRDefault="00605EB3" w14:paraId="174E3FD8" w14:textId="7ADB5D13">
            <w:pPr>
              <w:pStyle w:val="TableParagraph"/>
              <w:spacing w:line="304" w:lineRule="exact"/>
              <w:ind w:right="1205"/>
              <w:rPr>
                <w:sz w:val="24"/>
              </w:rPr>
            </w:pPr>
            <w:r>
              <w:rPr>
                <w:sz w:val="24"/>
              </w:rPr>
              <w:t>81.15</w:t>
            </w:r>
          </w:p>
        </w:tc>
      </w:tr>
      <w:tr w:rsidR="00605EB3" w14:paraId="26339F59" w14:textId="77777777">
        <w:trPr>
          <w:trHeight w:val="323"/>
        </w:trPr>
        <w:tc>
          <w:tcPr>
            <w:tcW w:w="1080" w:type="dxa"/>
          </w:tcPr>
          <w:p w:rsidR="00605EB3" w:rsidP="00605EB3" w:rsidRDefault="00605EB3" w14:paraId="3CF77A5D" w14:textId="77777777">
            <w:pPr>
              <w:pStyle w:val="TableParagraph"/>
              <w:spacing w:line="304" w:lineRule="exact"/>
              <w:ind w:left="103" w:right="92"/>
              <w:jc w:val="center"/>
              <w:rPr>
                <w:sz w:val="24"/>
              </w:rPr>
            </w:pPr>
            <w:r>
              <w:rPr>
                <w:sz w:val="24"/>
              </w:rPr>
              <w:t>SCE</w:t>
            </w:r>
          </w:p>
        </w:tc>
        <w:tc>
          <w:tcPr>
            <w:tcW w:w="2612" w:type="dxa"/>
          </w:tcPr>
          <w:p w:rsidR="00605EB3" w:rsidP="00605EB3" w:rsidRDefault="00605EB3" w14:paraId="7D1E0D89" w14:textId="4C8E8C9A">
            <w:pPr>
              <w:pStyle w:val="TableParagraph"/>
              <w:spacing w:line="304" w:lineRule="exact"/>
              <w:ind w:left="277" w:right="271"/>
              <w:jc w:val="center"/>
              <w:rPr>
                <w:sz w:val="24"/>
              </w:rPr>
            </w:pPr>
            <w:r>
              <w:rPr>
                <w:sz w:val="24"/>
              </w:rPr>
              <w:t>43.92</w:t>
            </w:r>
          </w:p>
        </w:tc>
        <w:tc>
          <w:tcPr>
            <w:tcW w:w="2609" w:type="dxa"/>
          </w:tcPr>
          <w:p w:rsidR="00605EB3" w:rsidP="00605EB3" w:rsidRDefault="00605EB3" w14:paraId="04FA331D" w14:textId="13B4BC9A">
            <w:pPr>
              <w:pStyle w:val="TableParagraph"/>
              <w:spacing w:line="304" w:lineRule="exact"/>
              <w:ind w:left="307" w:right="303"/>
              <w:jc w:val="center"/>
              <w:rPr>
                <w:sz w:val="24"/>
              </w:rPr>
            </w:pPr>
            <w:r>
              <w:rPr>
                <w:sz w:val="24"/>
              </w:rPr>
              <w:t>47.80</w:t>
            </w:r>
          </w:p>
        </w:tc>
        <w:tc>
          <w:tcPr>
            <w:tcW w:w="2972" w:type="dxa"/>
          </w:tcPr>
          <w:p w:rsidR="00605EB3" w:rsidP="00605EB3" w:rsidRDefault="00605EB3" w14:paraId="0D879A35" w14:textId="17B40C75">
            <w:pPr>
              <w:pStyle w:val="TableParagraph"/>
              <w:spacing w:line="304" w:lineRule="exact"/>
              <w:ind w:right="1205"/>
              <w:rPr>
                <w:sz w:val="24"/>
              </w:rPr>
            </w:pPr>
            <w:r>
              <w:rPr>
                <w:sz w:val="24"/>
              </w:rPr>
              <w:t>91.99</w:t>
            </w:r>
          </w:p>
        </w:tc>
      </w:tr>
      <w:tr w:rsidR="00605EB3" w14:paraId="11D9E25F" w14:textId="77777777">
        <w:trPr>
          <w:trHeight w:val="324"/>
        </w:trPr>
        <w:tc>
          <w:tcPr>
            <w:tcW w:w="1080" w:type="dxa"/>
          </w:tcPr>
          <w:p w:rsidR="00605EB3" w:rsidP="00605EB3" w:rsidRDefault="00605EB3" w14:paraId="2574E6BC" w14:textId="77777777">
            <w:pPr>
              <w:pStyle w:val="TableParagraph"/>
              <w:spacing w:line="304" w:lineRule="exact"/>
              <w:ind w:left="103" w:right="97"/>
              <w:jc w:val="center"/>
              <w:rPr>
                <w:sz w:val="24"/>
              </w:rPr>
            </w:pPr>
            <w:r>
              <w:rPr>
                <w:sz w:val="24"/>
              </w:rPr>
              <w:t>SDG&amp;E</w:t>
            </w:r>
          </w:p>
        </w:tc>
        <w:tc>
          <w:tcPr>
            <w:tcW w:w="2612" w:type="dxa"/>
          </w:tcPr>
          <w:p w:rsidR="00605EB3" w:rsidP="00605EB3" w:rsidRDefault="00605EB3" w14:paraId="10C48621" w14:textId="714E93EE">
            <w:pPr>
              <w:pStyle w:val="TableParagraph"/>
              <w:spacing w:line="304" w:lineRule="exact"/>
              <w:ind w:left="277" w:right="271"/>
              <w:jc w:val="center"/>
              <w:rPr>
                <w:sz w:val="24"/>
              </w:rPr>
            </w:pPr>
            <w:r>
              <w:rPr>
                <w:sz w:val="24"/>
              </w:rPr>
              <w:t>33.63</w:t>
            </w:r>
          </w:p>
        </w:tc>
        <w:tc>
          <w:tcPr>
            <w:tcW w:w="2609" w:type="dxa"/>
          </w:tcPr>
          <w:p w:rsidR="00605EB3" w:rsidP="00605EB3" w:rsidRDefault="00605EB3" w14:paraId="5E5A4C92" w14:textId="6E8E10D6">
            <w:pPr>
              <w:pStyle w:val="TableParagraph"/>
              <w:spacing w:line="304" w:lineRule="exact"/>
              <w:ind w:left="307" w:right="303"/>
              <w:jc w:val="center"/>
              <w:rPr>
                <w:sz w:val="24"/>
              </w:rPr>
            </w:pPr>
            <w:r>
              <w:rPr>
                <w:sz w:val="24"/>
              </w:rPr>
              <w:t>33.77</w:t>
            </w:r>
          </w:p>
        </w:tc>
        <w:tc>
          <w:tcPr>
            <w:tcW w:w="2972" w:type="dxa"/>
          </w:tcPr>
          <w:p w:rsidR="00605EB3" w:rsidP="00605EB3" w:rsidRDefault="00605EB3" w14:paraId="493859CD" w14:textId="5B28D9DA">
            <w:pPr>
              <w:pStyle w:val="TableParagraph"/>
              <w:spacing w:line="304" w:lineRule="exact"/>
              <w:ind w:right="1205"/>
              <w:rPr>
                <w:sz w:val="24"/>
              </w:rPr>
            </w:pPr>
            <w:r>
              <w:rPr>
                <w:sz w:val="24"/>
              </w:rPr>
              <w:t>67.37</w:t>
            </w:r>
          </w:p>
        </w:tc>
      </w:tr>
    </w:tbl>
    <w:p w:rsidR="007B31C8" w:rsidRDefault="007B31C8" w14:paraId="6ECE0244" w14:textId="6FEC87DB">
      <w:pPr>
        <w:pStyle w:val="BodyText"/>
        <w:spacing w:before="1"/>
        <w:rPr>
          <w:sz w:val="30"/>
        </w:rPr>
      </w:pPr>
    </w:p>
    <w:p w:rsidR="007B31C8" w:rsidRDefault="006C3CB7" w14:paraId="7039EDE6" w14:textId="77777777">
      <w:pPr>
        <w:pStyle w:val="Heading3"/>
      </w:pPr>
      <w:r>
        <w:t>CPUC Adjustments of ESPI Awards</w:t>
      </w:r>
    </w:p>
    <w:p w:rsidR="007B31C8" w:rsidRDefault="006C3CB7" w14:paraId="796892DA" w14:textId="77777777">
      <w:pPr>
        <w:spacing w:before="121"/>
        <w:ind w:left="220" w:right="237"/>
        <w:jc w:val="both"/>
        <w:rPr>
          <w:b/>
          <w:sz w:val="24"/>
        </w:rPr>
      </w:pPr>
      <w:r>
        <w:rPr>
          <w:b/>
          <w:sz w:val="24"/>
        </w:rPr>
        <w:t xml:space="preserve">This Resolution modifies the total award requested by each IOU to reflect official </w:t>
      </w:r>
      <w:r>
        <w:rPr>
          <w:b/>
          <w:sz w:val="24"/>
        </w:rPr>
        <w:lastRenderedPageBreak/>
        <w:t>expenditure reports; CPUC energy savings, award cap, and weighted EAR performance score calculations; and CPUC audit reports.</w:t>
      </w:r>
    </w:p>
    <w:p w:rsidR="007B31C8" w:rsidRDefault="006C3CB7" w14:paraId="3BD6B09A" w14:textId="77777777">
      <w:pPr>
        <w:pStyle w:val="BodyText"/>
        <w:spacing w:before="123"/>
        <w:ind w:left="220" w:right="239"/>
        <w:jc w:val="both"/>
      </w:pPr>
      <w:r>
        <w:t>Workbooks showing the CPUC’s adjustments to IOU-submitted energy savings values and program expenditures are available on the CPUC’s ESPI web page.</w:t>
      </w:r>
    </w:p>
    <w:p w:rsidR="007B31C8" w:rsidRDefault="007B31C8" w14:paraId="3641E414" w14:textId="77777777">
      <w:pPr>
        <w:pStyle w:val="BodyText"/>
        <w:spacing w:before="6"/>
        <w:rPr>
          <w:sz w:val="17"/>
        </w:rPr>
      </w:pPr>
    </w:p>
    <w:p w:rsidR="007B31C8" w:rsidRDefault="007B31C8" w14:paraId="2870E98F" w14:textId="77777777">
      <w:pPr>
        <w:pStyle w:val="BodyText"/>
        <w:spacing w:before="9"/>
        <w:rPr>
          <w:sz w:val="17"/>
        </w:rPr>
      </w:pPr>
    </w:p>
    <w:p w:rsidR="007B31C8" w:rsidRDefault="006C3CB7" w14:paraId="0EBCE9CB" w14:textId="709A7928">
      <w:pPr>
        <w:pStyle w:val="Heading3"/>
        <w:numPr>
          <w:ilvl w:val="0"/>
          <w:numId w:val="8"/>
        </w:numPr>
        <w:tabs>
          <w:tab w:val="left" w:pos="941"/>
        </w:tabs>
        <w:ind w:hanging="361"/>
      </w:pPr>
      <w:r>
        <w:t>Adjustments to 201</w:t>
      </w:r>
      <w:r w:rsidR="00D77001">
        <w:t>8</w:t>
      </w:r>
      <w:r>
        <w:t xml:space="preserve"> </w:t>
      </w:r>
      <w:r w:rsidR="005F1F17">
        <w:t xml:space="preserve">Evaluated </w:t>
      </w:r>
      <w:r>
        <w:t>Energy Savings</w:t>
      </w:r>
      <w:r>
        <w:rPr>
          <w:spacing w:val="-3"/>
        </w:rPr>
        <w:t xml:space="preserve"> </w:t>
      </w:r>
      <w:r>
        <w:t>Data</w:t>
      </w:r>
    </w:p>
    <w:p w:rsidR="007B31C8" w:rsidRDefault="006C3CB7" w14:paraId="0061D83B" w14:textId="47704E5F">
      <w:pPr>
        <w:pStyle w:val="BodyText"/>
        <w:spacing w:before="122"/>
        <w:ind w:left="220" w:right="176"/>
      </w:pPr>
      <w:r>
        <w:t>The 201</w:t>
      </w:r>
      <w:r w:rsidR="00D77001">
        <w:t>8</w:t>
      </w:r>
      <w:r>
        <w:t xml:space="preserve"> </w:t>
      </w:r>
      <w:r w:rsidR="005F1F17">
        <w:t xml:space="preserve">evaluated </w:t>
      </w:r>
      <w:r>
        <w:t xml:space="preserve">savings adjustment is detailed in the </w:t>
      </w:r>
      <w:r>
        <w:rPr>
          <w:i/>
        </w:rPr>
        <w:t>201</w:t>
      </w:r>
      <w:r w:rsidR="00D77001">
        <w:rPr>
          <w:i/>
        </w:rPr>
        <w:t>8</w:t>
      </w:r>
      <w:r>
        <w:rPr>
          <w:i/>
        </w:rPr>
        <w:t xml:space="preserve"> Savings Performance Statement </w:t>
      </w:r>
      <w:r>
        <w:t>and corresponding workbooks.</w:t>
      </w:r>
      <w:r w:rsidR="0020129A">
        <w:rPr>
          <w:rStyle w:val="FootnoteReference"/>
        </w:rPr>
        <w:footnoteReference w:id="27"/>
      </w:r>
      <w:r>
        <w:rPr>
          <w:position w:val="7"/>
          <w:sz w:val="14"/>
        </w:rPr>
        <w:t xml:space="preserve"> </w:t>
      </w:r>
      <w:r>
        <w:t>This adjustment results from fixing ESPI category assignments and updating installation rates as a result of evaluation findings, per Section 7.3 of D.13-09-023.</w:t>
      </w:r>
      <w:r w:rsidR="003E4986">
        <w:t xml:space="preserve"> </w:t>
      </w:r>
      <w:r w:rsidR="00F14B95">
        <w:t>Furthermore, Energy</w:t>
      </w:r>
      <w:r w:rsidR="002770B8">
        <w:t xml:space="preserve"> Division staff issued a</w:t>
      </w:r>
      <w:r w:rsidR="00552E3D">
        <w:t xml:space="preserve"> memo</w:t>
      </w:r>
      <w:r w:rsidR="00FE5C17">
        <w:rPr>
          <w:rStyle w:val="FootnoteReference"/>
        </w:rPr>
        <w:footnoteReference w:id="28"/>
      </w:r>
      <w:r w:rsidR="00552E3D">
        <w:t xml:space="preserve"> </w:t>
      </w:r>
      <w:r w:rsidR="00687936">
        <w:t xml:space="preserve">that the </w:t>
      </w:r>
      <w:r w:rsidR="00DC6633">
        <w:t xml:space="preserve">2018 </w:t>
      </w:r>
      <w:r w:rsidRPr="00DC6633" w:rsidR="00DC6633">
        <w:t>Commercial, Industrial and Agricultural Custom (CIAC) Impact Evaluation</w:t>
      </w:r>
      <w:r w:rsidR="00A2561A">
        <w:t xml:space="preserve"> will not be released.  As a result, this resolution </w:t>
      </w:r>
      <w:r w:rsidR="00F14B95">
        <w:t>will use</w:t>
      </w:r>
      <w:r w:rsidRPr="00AB1176" w:rsidR="00AB1176">
        <w:t xml:space="preserve"> 2017 </w:t>
      </w:r>
      <w:r w:rsidR="00E523A3">
        <w:t>gross realization rate</w:t>
      </w:r>
      <w:r w:rsidRPr="00AB1176" w:rsidR="00AB1176">
        <w:t xml:space="preserve"> and NTG adjustments</w:t>
      </w:r>
      <w:r w:rsidR="007904BA">
        <w:rPr>
          <w:rStyle w:val="FootnoteReference"/>
        </w:rPr>
        <w:footnoteReference w:id="29"/>
      </w:r>
      <w:r w:rsidRPr="00AB1176" w:rsidR="00AB1176">
        <w:t xml:space="preserve"> to adjust 2018 </w:t>
      </w:r>
      <w:r w:rsidR="00436C68">
        <w:t>program administrators</w:t>
      </w:r>
      <w:r w:rsidRPr="00AB1176" w:rsidR="00AB1176">
        <w:t xml:space="preserve">’ </w:t>
      </w:r>
      <w:r w:rsidR="00E523A3">
        <w:t>c</w:t>
      </w:r>
      <w:r w:rsidRPr="00AB1176" w:rsidR="00AB1176">
        <w:t xml:space="preserve">ommercial, </w:t>
      </w:r>
      <w:r w:rsidR="00E523A3">
        <w:t>i</w:t>
      </w:r>
      <w:r w:rsidRPr="00AB1176" w:rsidR="00AB1176">
        <w:t xml:space="preserve">ndustrial and </w:t>
      </w:r>
      <w:r w:rsidR="00E523A3">
        <w:t>a</w:t>
      </w:r>
      <w:r w:rsidRPr="00AB1176" w:rsidR="00AB1176">
        <w:t xml:space="preserve">gricultural </w:t>
      </w:r>
      <w:r w:rsidR="005232EF">
        <w:t>c</w:t>
      </w:r>
      <w:r w:rsidRPr="00AB1176" w:rsidR="00AB1176">
        <w:t>ustom electrical and gas savings claims</w:t>
      </w:r>
      <w:r w:rsidR="00552E3D">
        <w:t>.</w:t>
      </w:r>
    </w:p>
    <w:p w:rsidR="007B31C8" w:rsidP="00A106AD" w:rsidRDefault="007B31C8" w14:paraId="576D236F" w14:textId="77777777">
      <w:pPr>
        <w:pStyle w:val="BodyText"/>
      </w:pPr>
    </w:p>
    <w:p w:rsidR="007B31C8" w:rsidRDefault="007B31C8" w14:paraId="0CFDBE67" w14:textId="77777777">
      <w:pPr>
        <w:pStyle w:val="BodyText"/>
        <w:spacing w:before="3"/>
        <w:rPr>
          <w:sz w:val="10"/>
        </w:rPr>
      </w:pPr>
    </w:p>
    <w:p w:rsidR="00F97546" w:rsidP="00F97546" w:rsidRDefault="00F97546" w14:paraId="21007B47" w14:textId="37B163D1">
      <w:pPr>
        <w:pStyle w:val="Heading3"/>
        <w:numPr>
          <w:ilvl w:val="0"/>
          <w:numId w:val="8"/>
        </w:numPr>
        <w:tabs>
          <w:tab w:val="left" w:pos="941"/>
        </w:tabs>
        <w:spacing w:before="24"/>
      </w:pPr>
      <w:r>
        <w:t>Adjustments to 2018 Expected Energy Savings Data</w:t>
      </w:r>
    </w:p>
    <w:p w:rsidRPr="0052414B" w:rsidR="00F97546" w:rsidP="0052414B" w:rsidRDefault="00F97546" w14:paraId="77E9E4A2" w14:textId="681C3DA5">
      <w:pPr>
        <w:pStyle w:val="Heading3"/>
        <w:tabs>
          <w:tab w:val="left" w:pos="941"/>
        </w:tabs>
        <w:spacing w:before="24"/>
        <w:rPr>
          <w:b w:val="0"/>
          <w:bCs w:val="0"/>
        </w:rPr>
      </w:pPr>
      <w:r w:rsidRPr="0052414B">
        <w:rPr>
          <w:b w:val="0"/>
          <w:bCs w:val="0"/>
        </w:rPr>
        <w:t>The 201</w:t>
      </w:r>
      <w:r>
        <w:rPr>
          <w:b w:val="0"/>
          <w:bCs w:val="0"/>
        </w:rPr>
        <w:t>8</w:t>
      </w:r>
      <w:r w:rsidRPr="0052414B">
        <w:rPr>
          <w:b w:val="0"/>
          <w:bCs w:val="0"/>
        </w:rPr>
        <w:t xml:space="preserve"> expected savings adjustment is detailed in the 201</w:t>
      </w:r>
      <w:r>
        <w:rPr>
          <w:b w:val="0"/>
          <w:bCs w:val="0"/>
        </w:rPr>
        <w:t>8</w:t>
      </w:r>
      <w:r w:rsidRPr="0052414B">
        <w:rPr>
          <w:b w:val="0"/>
          <w:bCs w:val="0"/>
        </w:rPr>
        <w:t xml:space="preserve"> Savings Performance Statement and corresponding workbooks</w:t>
      </w:r>
      <w:r>
        <w:rPr>
          <w:rStyle w:val="FootnoteReference"/>
          <w:b w:val="0"/>
          <w:bCs w:val="0"/>
        </w:rPr>
        <w:footnoteReference w:id="30"/>
      </w:r>
      <w:r>
        <w:rPr>
          <w:b w:val="0"/>
          <w:bCs w:val="0"/>
        </w:rPr>
        <w:t>.</w:t>
      </w:r>
      <w:r w:rsidRPr="0052414B">
        <w:rPr>
          <w:b w:val="0"/>
          <w:bCs w:val="0"/>
        </w:rPr>
        <w:t xml:space="preserve"> This adjustment results from fixing ESPI category assignments and updating installation rates as a result of evaluation findings, per Section 7.3 of D.13-09-023.</w:t>
      </w:r>
    </w:p>
    <w:p w:rsidR="00F97546" w:rsidP="0052414B" w:rsidRDefault="00F97546" w14:paraId="7188C97B" w14:textId="77777777">
      <w:pPr>
        <w:pStyle w:val="Heading3"/>
        <w:tabs>
          <w:tab w:val="left" w:pos="941"/>
        </w:tabs>
        <w:spacing w:before="24"/>
        <w:ind w:left="940"/>
      </w:pPr>
    </w:p>
    <w:p w:rsidR="007B31C8" w:rsidRDefault="006C3CB7" w14:paraId="7D7E1E53" w14:textId="7DBA9A79">
      <w:pPr>
        <w:pStyle w:val="Heading3"/>
        <w:numPr>
          <w:ilvl w:val="0"/>
          <w:numId w:val="8"/>
        </w:numPr>
        <w:tabs>
          <w:tab w:val="left" w:pos="941"/>
        </w:tabs>
        <w:spacing w:before="24"/>
        <w:ind w:hanging="361"/>
      </w:pPr>
      <w:r>
        <w:t>Adjustments to 201</w:t>
      </w:r>
      <w:r w:rsidR="00C82D40">
        <w:t>9</w:t>
      </w:r>
      <w:r>
        <w:t xml:space="preserve"> Expected Energy Savings</w:t>
      </w:r>
      <w:r>
        <w:rPr>
          <w:spacing w:val="-4"/>
        </w:rPr>
        <w:t xml:space="preserve"> </w:t>
      </w:r>
      <w:r>
        <w:t>Data</w:t>
      </w:r>
    </w:p>
    <w:p w:rsidR="007B31C8" w:rsidRDefault="006C3CB7" w14:paraId="6A5E5D19" w14:textId="30AE3319">
      <w:pPr>
        <w:pStyle w:val="BodyText"/>
        <w:spacing w:before="122"/>
        <w:ind w:left="220" w:right="574"/>
      </w:pPr>
      <w:r>
        <w:t xml:space="preserve">The </w:t>
      </w:r>
      <w:r w:rsidR="005F1F17">
        <w:t xml:space="preserve">2019 </w:t>
      </w:r>
      <w:r>
        <w:t xml:space="preserve">expected savings award is detailed in the </w:t>
      </w:r>
      <w:r w:rsidRPr="00913237">
        <w:rPr>
          <w:iCs/>
        </w:rPr>
        <w:t>201</w:t>
      </w:r>
      <w:r w:rsidRPr="00913237" w:rsidR="00C82D40">
        <w:rPr>
          <w:iCs/>
        </w:rPr>
        <w:t>9</w:t>
      </w:r>
      <w:r w:rsidRPr="00913237">
        <w:rPr>
          <w:iCs/>
        </w:rPr>
        <w:t xml:space="preserve"> Savings Adjustment </w:t>
      </w:r>
      <w:r w:rsidRPr="00913237" w:rsidR="00913237">
        <w:rPr>
          <w:iCs/>
        </w:rPr>
        <w:t>Statement, and</w:t>
      </w:r>
      <w:r w:rsidRPr="00913237">
        <w:rPr>
          <w:iCs/>
        </w:rPr>
        <w:t xml:space="preserve"> corresponding</w:t>
      </w:r>
      <w:r>
        <w:t xml:space="preserve"> workbooks.</w:t>
      </w:r>
      <w:r w:rsidR="00F30C4F">
        <w:rPr>
          <w:rStyle w:val="FootnoteReference"/>
        </w:rPr>
        <w:footnoteReference w:id="31"/>
      </w:r>
      <w:r w:rsidR="00935248">
        <w:t xml:space="preserve"> </w:t>
      </w:r>
      <w:r w:rsidR="000D42E0">
        <w:t xml:space="preserve">The main adjustment to the expected savings was </w:t>
      </w:r>
      <w:r w:rsidR="003B1471">
        <w:t xml:space="preserve">due to the </w:t>
      </w:r>
      <w:r w:rsidR="00996C51">
        <w:t xml:space="preserve">removal of claims with installation dates prior to 2019.  In addition to the removal of these claims, adjustments were made due </w:t>
      </w:r>
      <w:r w:rsidR="00913237">
        <w:t xml:space="preserve">to </w:t>
      </w:r>
      <w:r w:rsidRPr="00935248" w:rsidR="00913237">
        <w:t>the</w:t>
      </w:r>
      <w:r w:rsidRPr="00935248" w:rsidR="00935248">
        <w:t xml:space="preserve"> structural data changes required by DEER Resolution E-4952</w:t>
      </w:r>
      <w:r w:rsidR="0003300C">
        <w:rPr>
          <w:rStyle w:val="FootnoteReference"/>
        </w:rPr>
        <w:footnoteReference w:id="32"/>
      </w:r>
      <w:r w:rsidRPr="00935248" w:rsidR="00935248">
        <w:t>.</w:t>
      </w:r>
      <w:r w:rsidRPr="00B65FD4" w:rsidR="00B65FD4">
        <w:t xml:space="preserve"> </w:t>
      </w:r>
      <w:r w:rsidRPr="00935248" w:rsidR="00935248">
        <w:t>There was also as non-routine, mid-year workpaper update for smart thermostat measures which required a closer look at installation dates versus workpaper effective dates</w:t>
      </w:r>
      <w:r w:rsidR="00E508F8">
        <w:t>.</w:t>
      </w:r>
    </w:p>
    <w:p w:rsidR="007B31C8" w:rsidRDefault="007B31C8" w14:paraId="4126672B" w14:textId="30CE63F7">
      <w:pPr>
        <w:pStyle w:val="BodyText"/>
        <w:spacing w:before="9"/>
        <w:rPr>
          <w:sz w:val="17"/>
        </w:rPr>
      </w:pPr>
    </w:p>
    <w:p w:rsidR="00E56A53" w:rsidRDefault="00E56A53" w14:paraId="78DDD7B7" w14:textId="71A97147">
      <w:pPr>
        <w:pStyle w:val="BodyText"/>
        <w:spacing w:before="9"/>
        <w:rPr>
          <w:sz w:val="17"/>
        </w:rPr>
      </w:pPr>
    </w:p>
    <w:p w:rsidR="007B31C8" w:rsidRDefault="006C3CB7" w14:paraId="7950A35A" w14:textId="2508CAC5">
      <w:pPr>
        <w:pStyle w:val="Heading3"/>
        <w:numPr>
          <w:ilvl w:val="0"/>
          <w:numId w:val="8"/>
        </w:numPr>
        <w:tabs>
          <w:tab w:val="left" w:pos="941"/>
        </w:tabs>
        <w:ind w:hanging="361"/>
      </w:pPr>
      <w:r>
        <w:lastRenderedPageBreak/>
        <w:t>201</w:t>
      </w:r>
      <w:r w:rsidR="005A5165">
        <w:t>9</w:t>
      </w:r>
      <w:r>
        <w:t xml:space="preserve"> Eligible</w:t>
      </w:r>
      <w:r>
        <w:rPr>
          <w:spacing w:val="-2"/>
        </w:rPr>
        <w:t xml:space="preserve"> </w:t>
      </w:r>
      <w:r>
        <w:t>Expenditures</w:t>
      </w:r>
    </w:p>
    <w:p w:rsidR="007B31C8" w:rsidRDefault="006C3CB7" w14:paraId="25979F85" w14:textId="1F2F8508">
      <w:pPr>
        <w:pStyle w:val="BodyText"/>
        <w:spacing w:before="123"/>
        <w:ind w:left="220" w:right="235"/>
        <w:jc w:val="both"/>
        <w:rPr>
          <w:sz w:val="14"/>
        </w:rPr>
      </w:pPr>
      <w:r>
        <w:t>Expenditures that occurred in 201</w:t>
      </w:r>
      <w:r w:rsidR="00945D89">
        <w:t>9</w:t>
      </w:r>
      <w:r>
        <w:t xml:space="preserve"> are eligible for ESPI awards in this Resolution. Expenditure-related calculations and adjustments are detailed in the </w:t>
      </w:r>
      <w:r>
        <w:rPr>
          <w:i/>
        </w:rPr>
        <w:t>201</w:t>
      </w:r>
      <w:r w:rsidR="00945D89">
        <w:rPr>
          <w:i/>
        </w:rPr>
        <w:t>9</w:t>
      </w:r>
      <w:r>
        <w:rPr>
          <w:i/>
        </w:rPr>
        <w:t xml:space="preserve"> Expenditures Workbook</w:t>
      </w:r>
      <w:r>
        <w:t>.</w:t>
      </w:r>
      <w:r w:rsidR="007867CB">
        <w:rPr>
          <w:rStyle w:val="FootnoteReference"/>
        </w:rPr>
        <w:footnoteReference w:id="33"/>
      </w:r>
    </w:p>
    <w:p w:rsidR="007B31C8" w:rsidRDefault="007B31C8" w14:paraId="44CF737A" w14:textId="77777777">
      <w:pPr>
        <w:pStyle w:val="BodyText"/>
        <w:spacing w:before="9"/>
        <w:rPr>
          <w:sz w:val="17"/>
        </w:rPr>
      </w:pPr>
    </w:p>
    <w:p w:rsidR="007B31C8" w:rsidRDefault="006C3CB7" w14:paraId="658DF811" w14:textId="77777777">
      <w:pPr>
        <w:pStyle w:val="Heading3"/>
        <w:numPr>
          <w:ilvl w:val="1"/>
          <w:numId w:val="8"/>
        </w:numPr>
        <w:tabs>
          <w:tab w:val="left" w:pos="1301"/>
        </w:tabs>
        <w:ind w:hanging="361"/>
      </w:pPr>
      <w:r>
        <w:t>Reconciliation of ESPI Advice Letters and CEDARS</w:t>
      </w:r>
      <w:r>
        <w:rPr>
          <w:spacing w:val="-4"/>
        </w:rPr>
        <w:t xml:space="preserve"> </w:t>
      </w:r>
      <w:r>
        <w:t>submittals</w:t>
      </w:r>
    </w:p>
    <w:p w:rsidR="007B31C8" w:rsidRDefault="006C3CB7" w14:paraId="1272A1D5" w14:textId="77777777">
      <w:pPr>
        <w:spacing w:before="118"/>
        <w:ind w:left="220" w:right="302"/>
        <w:jc w:val="both"/>
        <w:rPr>
          <w:b/>
          <w:sz w:val="24"/>
        </w:rPr>
      </w:pPr>
      <w:r>
        <w:rPr>
          <w:b/>
          <w:sz w:val="24"/>
        </w:rPr>
        <w:t>CPUC Staff relied on the annual reports in the California Energy Data and Reporting System (CEDARS) for reviewing expenditures.</w:t>
      </w:r>
    </w:p>
    <w:p w:rsidR="007B31C8" w:rsidRDefault="006C3CB7" w14:paraId="52B7334E" w14:textId="4C0039F2">
      <w:pPr>
        <w:pStyle w:val="BodyText"/>
        <w:spacing w:before="123"/>
        <w:ind w:left="220" w:right="234"/>
        <w:jc w:val="both"/>
      </w:pPr>
      <w:r>
        <w:t xml:space="preserve">As directed by </w:t>
      </w:r>
      <w:r>
        <w:rPr>
          <w:i/>
        </w:rPr>
        <w:t xml:space="preserve">Resolution E-5007 </w:t>
      </w:r>
      <w:r>
        <w:t xml:space="preserve">and the </w:t>
      </w:r>
      <w:r>
        <w:rPr>
          <w:i/>
        </w:rPr>
        <w:t xml:space="preserve">Guidelines for the </w:t>
      </w:r>
      <w:r w:rsidR="00DA024C">
        <w:rPr>
          <w:i/>
        </w:rPr>
        <w:t xml:space="preserve">2020 </w:t>
      </w:r>
      <w:r>
        <w:rPr>
          <w:i/>
        </w:rPr>
        <w:t>AL Submission</w:t>
      </w:r>
      <w:r>
        <w:t>, the IOUs attached spreadsheets showing their annual expenditures to their ESPI Advice Letters.</w:t>
      </w:r>
      <w:r w:rsidR="00E56A53">
        <w:rPr>
          <w:rStyle w:val="FootnoteReference"/>
        </w:rPr>
        <w:footnoteReference w:id="34"/>
      </w:r>
      <w:r>
        <w:rPr>
          <w:position w:val="7"/>
          <w:sz w:val="14"/>
        </w:rPr>
        <w:t xml:space="preserve"> </w:t>
      </w:r>
      <w:r>
        <w:t>The CPUC reviewed the spreadsheets for completeness and compared the expenditures to the IOUs’ official expenditures reported in the Annual Claims submittal via CEDARS.</w:t>
      </w:r>
    </w:p>
    <w:p w:rsidR="007B31C8" w:rsidRDefault="006C3CB7" w14:paraId="593829C0" w14:textId="23E1842B">
      <w:pPr>
        <w:pStyle w:val="ListParagraph"/>
        <w:numPr>
          <w:ilvl w:val="0"/>
          <w:numId w:val="7"/>
        </w:numPr>
        <w:tabs>
          <w:tab w:val="left" w:pos="941"/>
        </w:tabs>
        <w:spacing w:before="159"/>
        <w:ind w:right="235"/>
        <w:rPr>
          <w:sz w:val="24"/>
        </w:rPr>
      </w:pPr>
      <w:r>
        <w:rPr>
          <w:sz w:val="24"/>
        </w:rPr>
        <w:t xml:space="preserve">PG&amp;E: The Advice Letter total was </w:t>
      </w:r>
      <w:r w:rsidR="0093517C">
        <w:rPr>
          <w:sz w:val="24"/>
        </w:rPr>
        <w:t>lower</w:t>
      </w:r>
      <w:r>
        <w:rPr>
          <w:sz w:val="24"/>
        </w:rPr>
        <w:t xml:space="preserve"> than the CEDARS total, but the spreadsheet total </w:t>
      </w:r>
      <w:r w:rsidR="005F1F17">
        <w:rPr>
          <w:sz w:val="24"/>
        </w:rPr>
        <w:t xml:space="preserve">almost </w:t>
      </w:r>
      <w:r>
        <w:rPr>
          <w:sz w:val="24"/>
        </w:rPr>
        <w:t>matched the CEDARS</w:t>
      </w:r>
      <w:r>
        <w:rPr>
          <w:spacing w:val="-2"/>
          <w:sz w:val="24"/>
        </w:rPr>
        <w:t xml:space="preserve"> </w:t>
      </w:r>
      <w:r>
        <w:rPr>
          <w:sz w:val="24"/>
        </w:rPr>
        <w:t>total.</w:t>
      </w:r>
    </w:p>
    <w:p w:rsidR="007B31C8" w:rsidRDefault="006C3CB7" w14:paraId="5AA69299" w14:textId="77777777">
      <w:pPr>
        <w:pStyle w:val="ListParagraph"/>
        <w:numPr>
          <w:ilvl w:val="0"/>
          <w:numId w:val="7"/>
        </w:numPr>
        <w:tabs>
          <w:tab w:val="left" w:pos="941"/>
        </w:tabs>
        <w:spacing w:before="121"/>
        <w:ind w:hanging="361"/>
        <w:rPr>
          <w:sz w:val="24"/>
        </w:rPr>
      </w:pPr>
      <w:r>
        <w:rPr>
          <w:sz w:val="24"/>
        </w:rPr>
        <w:t>SCE: The Advice Letter, spreadsheet, and CEDARS totals</w:t>
      </w:r>
      <w:r>
        <w:rPr>
          <w:spacing w:val="-4"/>
          <w:sz w:val="24"/>
        </w:rPr>
        <w:t xml:space="preserve"> </w:t>
      </w:r>
      <w:r>
        <w:rPr>
          <w:sz w:val="24"/>
        </w:rPr>
        <w:t>matched.</w:t>
      </w:r>
    </w:p>
    <w:p w:rsidR="007B31C8" w:rsidRDefault="006C3CB7" w14:paraId="4352EE58" w14:textId="78611F22">
      <w:pPr>
        <w:pStyle w:val="ListParagraph"/>
        <w:numPr>
          <w:ilvl w:val="0"/>
          <w:numId w:val="7"/>
        </w:numPr>
        <w:tabs>
          <w:tab w:val="left" w:pos="941"/>
        </w:tabs>
        <w:spacing w:before="120"/>
        <w:ind w:right="233"/>
        <w:rPr>
          <w:sz w:val="24"/>
        </w:rPr>
      </w:pPr>
      <w:r>
        <w:rPr>
          <w:sz w:val="24"/>
        </w:rPr>
        <w:t>SDG&amp;E: The Advice Letter total was lower than the CEDARS total, and the</w:t>
      </w:r>
      <w:r w:rsidR="007823AE">
        <w:rPr>
          <w:sz w:val="24"/>
        </w:rPr>
        <w:t xml:space="preserve"> </w:t>
      </w:r>
      <w:r>
        <w:rPr>
          <w:sz w:val="24"/>
        </w:rPr>
        <w:t xml:space="preserve">spreadsheet total was </w:t>
      </w:r>
      <w:r w:rsidR="008A68D9">
        <w:rPr>
          <w:sz w:val="24"/>
        </w:rPr>
        <w:t>higher</w:t>
      </w:r>
      <w:r>
        <w:rPr>
          <w:sz w:val="24"/>
        </w:rPr>
        <w:t xml:space="preserve"> than the CEDARS</w:t>
      </w:r>
      <w:r>
        <w:rPr>
          <w:spacing w:val="-5"/>
          <w:sz w:val="24"/>
        </w:rPr>
        <w:t xml:space="preserve"> </w:t>
      </w:r>
      <w:r>
        <w:rPr>
          <w:sz w:val="24"/>
        </w:rPr>
        <w:t>total.</w:t>
      </w:r>
    </w:p>
    <w:p w:rsidR="007B31C8" w:rsidRDefault="006C3CB7" w14:paraId="3E4FACB4" w14:textId="3E20FC12">
      <w:pPr>
        <w:pStyle w:val="BodyText"/>
        <w:spacing w:before="24"/>
        <w:ind w:left="220" w:right="234"/>
        <w:jc w:val="both"/>
      </w:pPr>
      <w:r>
        <w:t>The IOUs must inform the CPUC Staff at the time of submitting their ESPI Advice Letters if any information sought in the ESPI guidelines template will result in a discrepancy between their Advice Letters and their annual CEDARS submittals.</w:t>
      </w:r>
      <w:r w:rsidR="001A66C5">
        <w:t xml:space="preserve"> </w:t>
      </w:r>
      <w:r>
        <w:t>The eligible expenditures accepted by the CPUC prior to other necessary exclusions are shown in Table 9. This is followed by a discussion on the other exclusions.</w:t>
      </w:r>
    </w:p>
    <w:p w:rsidR="007B31C8" w:rsidRDefault="006C3CB7" w14:paraId="11A141AC" w14:textId="40F4514A">
      <w:pPr>
        <w:pStyle w:val="BodyText"/>
        <w:spacing w:before="121"/>
        <w:ind w:left="3043"/>
      </w:pPr>
      <w:r>
        <w:t>Table 9: 201</w:t>
      </w:r>
      <w:r w:rsidR="00605EB3">
        <w:t>9</w:t>
      </w:r>
      <w:r>
        <w:t xml:space="preserve"> Eligible Expenditures</w:t>
      </w: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45"/>
        <w:gridCol w:w="1779"/>
        <w:gridCol w:w="1779"/>
        <w:gridCol w:w="1778"/>
      </w:tblGrid>
      <w:tr w:rsidR="007B31C8" w14:paraId="4AAE54B6" w14:textId="77777777">
        <w:trPr>
          <w:trHeight w:val="323"/>
        </w:trPr>
        <w:tc>
          <w:tcPr>
            <w:tcW w:w="4045" w:type="dxa"/>
          </w:tcPr>
          <w:p w:rsidR="007B31C8" w:rsidRDefault="006C3CB7" w14:paraId="72611383" w14:textId="77777777">
            <w:pPr>
              <w:pStyle w:val="TableParagraph"/>
              <w:spacing w:line="304" w:lineRule="exact"/>
              <w:ind w:left="107"/>
              <w:jc w:val="left"/>
              <w:rPr>
                <w:b/>
                <w:sz w:val="24"/>
              </w:rPr>
            </w:pPr>
            <w:r>
              <w:rPr>
                <w:b/>
                <w:sz w:val="24"/>
              </w:rPr>
              <w:t>ESPI Program Category</w:t>
            </w:r>
          </w:p>
        </w:tc>
        <w:tc>
          <w:tcPr>
            <w:tcW w:w="1779" w:type="dxa"/>
          </w:tcPr>
          <w:p w:rsidR="007B31C8" w:rsidRDefault="006C3CB7" w14:paraId="113672FE" w14:textId="77777777">
            <w:pPr>
              <w:pStyle w:val="TableParagraph"/>
              <w:spacing w:line="304" w:lineRule="exact"/>
              <w:ind w:left="534"/>
              <w:jc w:val="left"/>
              <w:rPr>
                <w:b/>
                <w:sz w:val="24"/>
              </w:rPr>
            </w:pPr>
            <w:r>
              <w:rPr>
                <w:b/>
                <w:sz w:val="24"/>
              </w:rPr>
              <w:t>PG&amp;E</w:t>
            </w:r>
          </w:p>
        </w:tc>
        <w:tc>
          <w:tcPr>
            <w:tcW w:w="1779" w:type="dxa"/>
          </w:tcPr>
          <w:p w:rsidR="007B31C8" w:rsidRDefault="006C3CB7" w14:paraId="70E62B0D" w14:textId="77777777">
            <w:pPr>
              <w:pStyle w:val="TableParagraph"/>
              <w:spacing w:line="304" w:lineRule="exact"/>
              <w:ind w:left="577" w:right="685"/>
              <w:jc w:val="center"/>
              <w:rPr>
                <w:b/>
                <w:sz w:val="24"/>
              </w:rPr>
            </w:pPr>
            <w:r>
              <w:rPr>
                <w:b/>
                <w:sz w:val="24"/>
              </w:rPr>
              <w:t>SCE</w:t>
            </w:r>
          </w:p>
        </w:tc>
        <w:tc>
          <w:tcPr>
            <w:tcW w:w="1778" w:type="dxa"/>
          </w:tcPr>
          <w:p w:rsidR="007B31C8" w:rsidRDefault="006C3CB7" w14:paraId="490E7514" w14:textId="77777777">
            <w:pPr>
              <w:pStyle w:val="TableParagraph"/>
              <w:spacing w:line="304" w:lineRule="exact"/>
              <w:ind w:left="443"/>
              <w:jc w:val="left"/>
              <w:rPr>
                <w:b/>
                <w:sz w:val="24"/>
              </w:rPr>
            </w:pPr>
            <w:r>
              <w:rPr>
                <w:b/>
                <w:sz w:val="24"/>
              </w:rPr>
              <w:t>SDG&amp;E</w:t>
            </w:r>
          </w:p>
        </w:tc>
      </w:tr>
      <w:tr w:rsidR="00605EB3" w14:paraId="478862BD" w14:textId="77777777">
        <w:trPr>
          <w:trHeight w:val="323"/>
        </w:trPr>
        <w:tc>
          <w:tcPr>
            <w:tcW w:w="4045" w:type="dxa"/>
          </w:tcPr>
          <w:p w:rsidR="00605EB3" w:rsidP="00605EB3" w:rsidRDefault="00605EB3" w14:paraId="1CF498CB" w14:textId="77777777">
            <w:pPr>
              <w:pStyle w:val="TableParagraph"/>
              <w:spacing w:line="304" w:lineRule="exact"/>
              <w:ind w:left="115"/>
              <w:jc w:val="left"/>
              <w:rPr>
                <w:sz w:val="24"/>
              </w:rPr>
            </w:pPr>
            <w:r>
              <w:rPr>
                <w:sz w:val="24"/>
              </w:rPr>
              <w:t>Resource Programs</w:t>
            </w:r>
          </w:p>
        </w:tc>
        <w:tc>
          <w:tcPr>
            <w:tcW w:w="1779" w:type="dxa"/>
          </w:tcPr>
          <w:p w:rsidRPr="006D66E8" w:rsidR="00605EB3" w:rsidP="00605EB3" w:rsidRDefault="00605EB3" w14:paraId="6E9672F1" w14:textId="77DF5A1F">
            <w:pPr>
              <w:pStyle w:val="TableParagraph"/>
              <w:spacing w:line="304" w:lineRule="exact"/>
              <w:ind w:right="133"/>
              <w:rPr>
                <w:sz w:val="24"/>
                <w:szCs w:val="24"/>
              </w:rPr>
            </w:pPr>
            <w:r w:rsidRPr="002D6C89">
              <w:rPr>
                <w:sz w:val="24"/>
                <w:szCs w:val="24"/>
              </w:rPr>
              <w:t xml:space="preserve"> $205,304,978 </w:t>
            </w:r>
          </w:p>
        </w:tc>
        <w:tc>
          <w:tcPr>
            <w:tcW w:w="1779" w:type="dxa"/>
          </w:tcPr>
          <w:p w:rsidRPr="006D66E8" w:rsidR="00605EB3" w:rsidP="00605EB3" w:rsidRDefault="00605EB3" w14:paraId="1CC48788" w14:textId="4E915A16">
            <w:pPr>
              <w:pStyle w:val="TableParagraph"/>
              <w:spacing w:line="304" w:lineRule="exact"/>
              <w:ind w:right="133"/>
              <w:rPr>
                <w:sz w:val="24"/>
                <w:szCs w:val="24"/>
              </w:rPr>
            </w:pPr>
            <w:r w:rsidRPr="002D6C89">
              <w:rPr>
                <w:sz w:val="24"/>
                <w:szCs w:val="24"/>
              </w:rPr>
              <w:t xml:space="preserve"> $105,938,203 </w:t>
            </w:r>
          </w:p>
        </w:tc>
        <w:tc>
          <w:tcPr>
            <w:tcW w:w="1778" w:type="dxa"/>
          </w:tcPr>
          <w:p w:rsidRPr="006D66E8" w:rsidR="00605EB3" w:rsidP="00605EB3" w:rsidRDefault="00605EB3" w14:paraId="3A90292C" w14:textId="3939DD87">
            <w:pPr>
              <w:pStyle w:val="TableParagraph"/>
              <w:spacing w:line="304" w:lineRule="exact"/>
              <w:ind w:right="132"/>
              <w:rPr>
                <w:sz w:val="24"/>
                <w:szCs w:val="24"/>
              </w:rPr>
            </w:pPr>
            <w:r w:rsidRPr="002D6C89">
              <w:rPr>
                <w:sz w:val="24"/>
                <w:szCs w:val="24"/>
              </w:rPr>
              <w:t xml:space="preserve"> $49,146,782 </w:t>
            </w:r>
          </w:p>
        </w:tc>
      </w:tr>
      <w:tr w:rsidR="00605EB3" w14:paraId="4444D878" w14:textId="77777777">
        <w:trPr>
          <w:trHeight w:val="323"/>
        </w:trPr>
        <w:tc>
          <w:tcPr>
            <w:tcW w:w="4045" w:type="dxa"/>
          </w:tcPr>
          <w:p w:rsidR="00605EB3" w:rsidP="00605EB3" w:rsidRDefault="00605EB3" w14:paraId="5640B9C3" w14:textId="77777777">
            <w:pPr>
              <w:pStyle w:val="TableParagraph"/>
              <w:spacing w:line="304" w:lineRule="exact"/>
              <w:ind w:left="115"/>
              <w:jc w:val="left"/>
              <w:rPr>
                <w:sz w:val="24"/>
              </w:rPr>
            </w:pPr>
            <w:r>
              <w:rPr>
                <w:sz w:val="24"/>
              </w:rPr>
              <w:t>C&amp;S Programs</w:t>
            </w:r>
          </w:p>
        </w:tc>
        <w:tc>
          <w:tcPr>
            <w:tcW w:w="1779" w:type="dxa"/>
          </w:tcPr>
          <w:p w:rsidRPr="006D66E8" w:rsidR="00605EB3" w:rsidP="00605EB3" w:rsidRDefault="00605EB3" w14:paraId="0C234429" w14:textId="7BF44E38">
            <w:pPr>
              <w:pStyle w:val="TableParagraph"/>
              <w:spacing w:line="304" w:lineRule="exact"/>
              <w:ind w:right="133"/>
              <w:rPr>
                <w:sz w:val="24"/>
                <w:szCs w:val="24"/>
              </w:rPr>
            </w:pPr>
            <w:r w:rsidRPr="002D6C89">
              <w:rPr>
                <w:sz w:val="24"/>
                <w:szCs w:val="24"/>
              </w:rPr>
              <w:t xml:space="preserve"> $24,581,172 </w:t>
            </w:r>
          </w:p>
        </w:tc>
        <w:tc>
          <w:tcPr>
            <w:tcW w:w="1779" w:type="dxa"/>
          </w:tcPr>
          <w:p w:rsidRPr="006D66E8" w:rsidR="00605EB3" w:rsidP="00605EB3" w:rsidRDefault="00605EB3" w14:paraId="3FFA95F6" w14:textId="6669B3CD">
            <w:pPr>
              <w:pStyle w:val="TableParagraph"/>
              <w:spacing w:line="304" w:lineRule="exact"/>
              <w:ind w:right="133"/>
              <w:rPr>
                <w:sz w:val="24"/>
                <w:szCs w:val="24"/>
              </w:rPr>
            </w:pPr>
            <w:r w:rsidRPr="002D6C89">
              <w:rPr>
                <w:sz w:val="24"/>
                <w:szCs w:val="24"/>
              </w:rPr>
              <w:t xml:space="preserve"> $7,576,783 </w:t>
            </w:r>
          </w:p>
        </w:tc>
        <w:tc>
          <w:tcPr>
            <w:tcW w:w="1778" w:type="dxa"/>
          </w:tcPr>
          <w:p w:rsidRPr="006D66E8" w:rsidR="00605EB3" w:rsidP="00605EB3" w:rsidRDefault="00605EB3" w14:paraId="0B57D9A2" w14:textId="0023AA40">
            <w:pPr>
              <w:pStyle w:val="TableParagraph"/>
              <w:spacing w:line="304" w:lineRule="exact"/>
              <w:ind w:right="132"/>
              <w:rPr>
                <w:sz w:val="24"/>
                <w:szCs w:val="24"/>
              </w:rPr>
            </w:pPr>
            <w:r w:rsidRPr="002D6C89">
              <w:rPr>
                <w:sz w:val="24"/>
                <w:szCs w:val="24"/>
              </w:rPr>
              <w:t xml:space="preserve"> $1,082,545 </w:t>
            </w:r>
          </w:p>
        </w:tc>
      </w:tr>
      <w:tr w:rsidR="00605EB3" w14:paraId="5925785B" w14:textId="77777777">
        <w:trPr>
          <w:trHeight w:val="323"/>
        </w:trPr>
        <w:tc>
          <w:tcPr>
            <w:tcW w:w="4045" w:type="dxa"/>
          </w:tcPr>
          <w:p w:rsidR="00605EB3" w:rsidP="00605EB3" w:rsidRDefault="00605EB3" w14:paraId="20314B69" w14:textId="77777777">
            <w:pPr>
              <w:pStyle w:val="TableParagraph"/>
              <w:spacing w:line="304" w:lineRule="exact"/>
              <w:ind w:left="115"/>
              <w:jc w:val="left"/>
              <w:rPr>
                <w:sz w:val="24"/>
              </w:rPr>
            </w:pPr>
            <w:r>
              <w:rPr>
                <w:sz w:val="24"/>
              </w:rPr>
              <w:t>Non-Resource Programs</w:t>
            </w:r>
          </w:p>
        </w:tc>
        <w:tc>
          <w:tcPr>
            <w:tcW w:w="1779" w:type="dxa"/>
          </w:tcPr>
          <w:p w:rsidRPr="006D66E8" w:rsidR="00605EB3" w:rsidP="00605EB3" w:rsidRDefault="00605EB3" w14:paraId="1E26D07E" w14:textId="73470681">
            <w:pPr>
              <w:pStyle w:val="TableParagraph"/>
              <w:spacing w:line="304" w:lineRule="exact"/>
              <w:ind w:right="133"/>
              <w:rPr>
                <w:sz w:val="24"/>
                <w:szCs w:val="24"/>
              </w:rPr>
            </w:pPr>
            <w:r w:rsidRPr="002D6C89">
              <w:rPr>
                <w:sz w:val="24"/>
                <w:szCs w:val="24"/>
              </w:rPr>
              <w:t xml:space="preserve"> $13,961,754 </w:t>
            </w:r>
          </w:p>
        </w:tc>
        <w:tc>
          <w:tcPr>
            <w:tcW w:w="1779" w:type="dxa"/>
          </w:tcPr>
          <w:p w:rsidRPr="006D66E8" w:rsidR="00605EB3" w:rsidP="00605EB3" w:rsidRDefault="00605EB3" w14:paraId="521920FA" w14:textId="06D177FB">
            <w:pPr>
              <w:pStyle w:val="TableParagraph"/>
              <w:spacing w:line="304" w:lineRule="exact"/>
              <w:ind w:right="133"/>
              <w:rPr>
                <w:sz w:val="24"/>
                <w:szCs w:val="24"/>
              </w:rPr>
            </w:pPr>
            <w:r w:rsidRPr="002D6C89">
              <w:rPr>
                <w:sz w:val="24"/>
                <w:szCs w:val="24"/>
              </w:rPr>
              <w:t xml:space="preserve"> $15,901,979 </w:t>
            </w:r>
          </w:p>
        </w:tc>
        <w:tc>
          <w:tcPr>
            <w:tcW w:w="1778" w:type="dxa"/>
          </w:tcPr>
          <w:p w:rsidRPr="006D66E8" w:rsidR="00605EB3" w:rsidP="00605EB3" w:rsidRDefault="00605EB3" w14:paraId="2913014C" w14:textId="2CF49673">
            <w:pPr>
              <w:pStyle w:val="TableParagraph"/>
              <w:spacing w:line="304" w:lineRule="exact"/>
              <w:ind w:right="132"/>
              <w:rPr>
                <w:sz w:val="24"/>
                <w:szCs w:val="24"/>
              </w:rPr>
            </w:pPr>
            <w:r w:rsidRPr="002D6C89">
              <w:rPr>
                <w:sz w:val="24"/>
                <w:szCs w:val="24"/>
              </w:rPr>
              <w:t xml:space="preserve"> $7,582,046 </w:t>
            </w:r>
          </w:p>
        </w:tc>
      </w:tr>
    </w:tbl>
    <w:p w:rsidR="007B31C8" w:rsidRDefault="007B31C8" w14:paraId="0D871A4C" w14:textId="77777777">
      <w:pPr>
        <w:pStyle w:val="BodyText"/>
        <w:spacing w:before="8"/>
        <w:rPr>
          <w:sz w:val="17"/>
        </w:rPr>
      </w:pPr>
    </w:p>
    <w:p w:rsidR="007B31C8" w:rsidRDefault="006C3CB7" w14:paraId="130883EB" w14:textId="77777777">
      <w:pPr>
        <w:pStyle w:val="Heading3"/>
        <w:numPr>
          <w:ilvl w:val="1"/>
          <w:numId w:val="8"/>
        </w:numPr>
        <w:tabs>
          <w:tab w:val="left" w:pos="1301"/>
        </w:tabs>
        <w:ind w:right="649"/>
      </w:pPr>
      <w:r>
        <w:t>Exclusion of Statewide Marketing Education &amp; Outreach (ME&amp;O), Community Choice Aggregators/Regional Energy Networks, Evaluation Measurement and Verification, and On-Bill Financing Loan Pool expenditures</w:t>
      </w:r>
    </w:p>
    <w:p w:rsidR="007B31C8" w:rsidRDefault="006C3CB7" w14:paraId="48B98B96" w14:textId="75938AE5">
      <w:pPr>
        <w:spacing w:before="121"/>
        <w:ind w:left="220"/>
        <w:jc w:val="both"/>
        <w:rPr>
          <w:b/>
          <w:sz w:val="24"/>
        </w:rPr>
      </w:pPr>
      <w:r>
        <w:rPr>
          <w:b/>
          <w:sz w:val="24"/>
        </w:rPr>
        <w:t>No adjustments by the CPUC were necessary</w:t>
      </w:r>
      <w:r w:rsidR="00433AA3">
        <w:rPr>
          <w:b/>
          <w:sz w:val="24"/>
        </w:rPr>
        <w:t xml:space="preserve"> at this time</w:t>
      </w:r>
      <w:r>
        <w:rPr>
          <w:b/>
          <w:sz w:val="24"/>
        </w:rPr>
        <w:t>.</w:t>
      </w:r>
    </w:p>
    <w:p w:rsidRPr="002D6C89" w:rsidR="007B31C8" w:rsidRDefault="006C3CB7" w14:paraId="112CE2B2" w14:textId="34A489D2">
      <w:pPr>
        <w:pStyle w:val="BodyText"/>
        <w:spacing w:before="123"/>
        <w:ind w:left="220" w:right="240"/>
        <w:jc w:val="both"/>
        <w:rPr>
          <w:color w:val="FF0000"/>
        </w:rPr>
      </w:pPr>
      <w:r>
        <w:lastRenderedPageBreak/>
        <w:t>All IOUs properly excluded expenditures related to Statewide ME&amp;O,</w:t>
      </w:r>
      <w:r w:rsidR="00B01389">
        <w:rPr>
          <w:rStyle w:val="FootnoteReference"/>
        </w:rPr>
        <w:footnoteReference w:id="35"/>
      </w:r>
      <w:r>
        <w:rPr>
          <w:position w:val="7"/>
          <w:sz w:val="14"/>
        </w:rPr>
        <w:t xml:space="preserve"> </w:t>
      </w:r>
      <w:r>
        <w:t>Community Choice Aggregators/Regional Energy Networks, Evaluation Measurement and Verification,</w:t>
      </w:r>
      <w:r w:rsidR="00B01389">
        <w:rPr>
          <w:rStyle w:val="FootnoteReference"/>
        </w:rPr>
        <w:footnoteReference w:id="36"/>
      </w:r>
      <w:r>
        <w:rPr>
          <w:position w:val="7"/>
          <w:sz w:val="14"/>
        </w:rPr>
        <w:t xml:space="preserve"> </w:t>
      </w:r>
      <w:r>
        <w:t>and On-Bill Financing Loan Pool from their award calculations.</w:t>
      </w:r>
    </w:p>
    <w:p w:rsidR="007B31C8" w:rsidRDefault="007B31C8" w14:paraId="02017B0B" w14:textId="77777777">
      <w:pPr>
        <w:pStyle w:val="BodyText"/>
        <w:spacing w:before="6"/>
        <w:rPr>
          <w:sz w:val="17"/>
        </w:rPr>
      </w:pPr>
    </w:p>
    <w:p w:rsidR="007B31C8" w:rsidRDefault="006C3CB7" w14:paraId="0DDA0734" w14:textId="77777777">
      <w:pPr>
        <w:pStyle w:val="Heading3"/>
        <w:numPr>
          <w:ilvl w:val="1"/>
          <w:numId w:val="8"/>
        </w:numPr>
        <w:tabs>
          <w:tab w:val="left" w:pos="1301"/>
        </w:tabs>
        <w:spacing w:before="1"/>
        <w:ind w:hanging="361"/>
      </w:pPr>
      <w:r>
        <w:t>Exclusion of expenditures over CPUC-established cost</w:t>
      </w:r>
      <w:r>
        <w:rPr>
          <w:spacing w:val="-4"/>
        </w:rPr>
        <w:t xml:space="preserve"> </w:t>
      </w:r>
      <w:r>
        <w:t>targets</w:t>
      </w:r>
    </w:p>
    <w:p w:rsidR="007B31C8" w:rsidRDefault="006C3CB7" w14:paraId="0052FDD5" w14:textId="27481B1A">
      <w:pPr>
        <w:pStyle w:val="BodyText"/>
        <w:spacing w:before="122"/>
        <w:ind w:left="220" w:right="244"/>
        <w:jc w:val="both"/>
        <w:rPr>
          <w:sz w:val="14"/>
        </w:rPr>
      </w:pPr>
      <w:r>
        <w:t>The CPUC has directed the IOUs to limit their budgets for certain cost categories as follows:</w:t>
      </w:r>
      <w:r w:rsidR="00B01389">
        <w:rPr>
          <w:rStyle w:val="FootnoteReference"/>
        </w:rPr>
        <w:footnoteReference w:id="37"/>
      </w:r>
    </w:p>
    <w:p w:rsidR="007B31C8" w:rsidRDefault="006C3CB7" w14:paraId="0AE097BE" w14:textId="77777777">
      <w:pPr>
        <w:pStyle w:val="ListParagraph"/>
        <w:numPr>
          <w:ilvl w:val="0"/>
          <w:numId w:val="7"/>
        </w:numPr>
        <w:tabs>
          <w:tab w:val="left" w:pos="940"/>
          <w:tab w:val="left" w:pos="941"/>
        </w:tabs>
        <w:spacing w:before="121"/>
        <w:ind w:hanging="361"/>
        <w:jc w:val="left"/>
        <w:rPr>
          <w:sz w:val="24"/>
        </w:rPr>
      </w:pPr>
      <w:r>
        <w:rPr>
          <w:sz w:val="24"/>
        </w:rPr>
        <w:t>A cap on IOU program administrative costs at 10% of IOU program</w:t>
      </w:r>
      <w:r>
        <w:rPr>
          <w:spacing w:val="-14"/>
          <w:sz w:val="24"/>
        </w:rPr>
        <w:t xml:space="preserve"> </w:t>
      </w:r>
      <w:r>
        <w:rPr>
          <w:sz w:val="24"/>
        </w:rPr>
        <w:t>budgets,</w:t>
      </w:r>
    </w:p>
    <w:p w:rsidR="007B31C8" w:rsidRDefault="006C3CB7" w14:paraId="652A12D0" w14:textId="77777777">
      <w:pPr>
        <w:pStyle w:val="ListParagraph"/>
        <w:numPr>
          <w:ilvl w:val="0"/>
          <w:numId w:val="7"/>
        </w:numPr>
        <w:tabs>
          <w:tab w:val="left" w:pos="940"/>
          <w:tab w:val="left" w:pos="941"/>
        </w:tabs>
        <w:ind w:right="244"/>
        <w:jc w:val="left"/>
        <w:rPr>
          <w:sz w:val="24"/>
        </w:rPr>
      </w:pPr>
      <w:r>
        <w:rPr>
          <w:sz w:val="24"/>
        </w:rPr>
        <w:t>A target for third party (3P) and local government partnership (LGP) program administrative costs at 10% of 3P and LGP program direct cost budgets,</w:t>
      </w:r>
      <w:r>
        <w:rPr>
          <w:spacing w:val="-9"/>
          <w:sz w:val="24"/>
        </w:rPr>
        <w:t xml:space="preserve"> </w:t>
      </w:r>
      <w:r>
        <w:rPr>
          <w:sz w:val="24"/>
        </w:rPr>
        <w:t>and</w:t>
      </w:r>
    </w:p>
    <w:p w:rsidR="007B31C8" w:rsidRDefault="006C3CB7" w14:paraId="1A20A606" w14:textId="144477CF">
      <w:pPr>
        <w:pStyle w:val="ListParagraph"/>
        <w:numPr>
          <w:ilvl w:val="0"/>
          <w:numId w:val="7"/>
        </w:numPr>
        <w:tabs>
          <w:tab w:val="left" w:pos="940"/>
          <w:tab w:val="left" w:pos="941"/>
        </w:tabs>
        <w:spacing w:before="1"/>
        <w:ind w:right="234"/>
        <w:jc w:val="left"/>
        <w:rPr>
          <w:sz w:val="24"/>
        </w:rPr>
      </w:pPr>
      <w:r>
        <w:rPr>
          <w:sz w:val="24"/>
        </w:rPr>
        <w:t>Targets for ME&amp;O and Direct Implementation Non-Incentive (DINI)</w:t>
      </w:r>
      <w:r w:rsidR="00B01389">
        <w:rPr>
          <w:rStyle w:val="FootnoteReference"/>
          <w:sz w:val="24"/>
        </w:rPr>
        <w:footnoteReference w:id="38"/>
      </w:r>
      <w:r>
        <w:rPr>
          <w:position w:val="7"/>
          <w:sz w:val="14"/>
        </w:rPr>
        <w:t xml:space="preserve"> </w:t>
      </w:r>
      <w:r>
        <w:rPr>
          <w:sz w:val="24"/>
        </w:rPr>
        <w:t>costs at 6% and 20%, respectively, of IOU program</w:t>
      </w:r>
      <w:r>
        <w:rPr>
          <w:spacing w:val="-4"/>
          <w:sz w:val="24"/>
        </w:rPr>
        <w:t xml:space="preserve"> </w:t>
      </w:r>
      <w:r>
        <w:rPr>
          <w:sz w:val="24"/>
        </w:rPr>
        <w:t>budgets.</w:t>
      </w:r>
    </w:p>
    <w:p w:rsidR="007B31C8" w:rsidRDefault="007B31C8" w14:paraId="718DF105" w14:textId="77777777">
      <w:pPr>
        <w:pStyle w:val="BodyText"/>
        <w:rPr>
          <w:sz w:val="20"/>
        </w:rPr>
      </w:pPr>
    </w:p>
    <w:p w:rsidR="007B31C8" w:rsidRDefault="006C3CB7" w14:paraId="44A65615" w14:textId="1F6A0E33">
      <w:pPr>
        <w:spacing w:before="24"/>
        <w:ind w:left="220" w:right="236"/>
        <w:jc w:val="both"/>
        <w:rPr>
          <w:sz w:val="24"/>
        </w:rPr>
      </w:pPr>
      <w:r>
        <w:rPr>
          <w:sz w:val="24"/>
        </w:rPr>
        <w:t>These ratios are shown below in terms of expenditures to provide information on how well the IOUs are achieving the CPUC’s goal “to control costs to implement energy efficiency programs to get the most bang for the buck.”</w:t>
      </w:r>
      <w:r w:rsidR="00B01389">
        <w:rPr>
          <w:rStyle w:val="FootnoteReference"/>
          <w:sz w:val="24"/>
        </w:rPr>
        <w:footnoteReference w:id="39"/>
      </w:r>
      <w:r>
        <w:rPr>
          <w:position w:val="7"/>
          <w:sz w:val="14"/>
        </w:rPr>
        <w:t xml:space="preserve"> </w:t>
      </w:r>
      <w:r>
        <w:rPr>
          <w:b/>
          <w:sz w:val="24"/>
        </w:rPr>
        <w:t xml:space="preserve">In </w:t>
      </w:r>
      <w:r w:rsidR="008A68D9">
        <w:rPr>
          <w:b/>
          <w:sz w:val="24"/>
        </w:rPr>
        <w:t>2019</w:t>
      </w:r>
      <w:r>
        <w:rPr>
          <w:b/>
          <w:sz w:val="24"/>
        </w:rPr>
        <w:t>, PG&amp;E exceeded the administrative costs target for 3P/LGP programs, and all IOUs exceeded the DINI target.</w:t>
      </w:r>
      <w:r w:rsidR="00B01389">
        <w:rPr>
          <w:rStyle w:val="FootnoteReference"/>
          <w:b/>
          <w:sz w:val="24"/>
        </w:rPr>
        <w:footnoteReference w:id="40"/>
      </w:r>
      <w:r>
        <w:rPr>
          <w:position w:val="7"/>
          <w:sz w:val="14"/>
        </w:rPr>
        <w:t xml:space="preserve"> </w:t>
      </w:r>
      <w:r>
        <w:rPr>
          <w:sz w:val="24"/>
        </w:rPr>
        <w:t>Table 10 shows the IOUs’ expenditure percentages in these categories.</w:t>
      </w:r>
    </w:p>
    <w:p w:rsidR="007B31C8" w:rsidRDefault="006C3CB7" w14:paraId="3C41391F" w14:textId="42AF7499">
      <w:pPr>
        <w:pStyle w:val="BodyText"/>
        <w:spacing w:before="121"/>
        <w:ind w:left="2548"/>
        <w:jc w:val="both"/>
      </w:pPr>
      <w:r>
        <w:t>Table 10: 201</w:t>
      </w:r>
      <w:r w:rsidR="00605EB3">
        <w:t>9</w:t>
      </w:r>
      <w:r>
        <w:t xml:space="preserve"> IOU Expenditure Percentages</w:t>
      </w:r>
    </w:p>
    <w:p w:rsidR="007B31C8" w:rsidRDefault="007B31C8" w14:paraId="2D393DC5" w14:textId="77777777">
      <w:pPr>
        <w:pStyle w:val="BodyText"/>
        <w:spacing w:before="10"/>
        <w:rPr>
          <w:sz w:val="8"/>
        </w:rPr>
      </w:pP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0"/>
        <w:gridCol w:w="1534"/>
        <w:gridCol w:w="1534"/>
        <w:gridCol w:w="1533"/>
      </w:tblGrid>
      <w:tr w:rsidR="007B31C8" w14:paraId="3CC80002" w14:textId="77777777">
        <w:trPr>
          <w:trHeight w:val="326"/>
        </w:trPr>
        <w:tc>
          <w:tcPr>
            <w:tcW w:w="4760" w:type="dxa"/>
          </w:tcPr>
          <w:p w:rsidR="007B31C8" w:rsidRDefault="006C3CB7" w14:paraId="08036A70" w14:textId="77777777">
            <w:pPr>
              <w:pStyle w:val="TableParagraph"/>
              <w:spacing w:line="306" w:lineRule="exact"/>
              <w:ind w:left="107"/>
              <w:jc w:val="left"/>
              <w:rPr>
                <w:b/>
                <w:sz w:val="24"/>
              </w:rPr>
            </w:pPr>
            <w:r>
              <w:rPr>
                <w:b/>
                <w:sz w:val="24"/>
              </w:rPr>
              <w:t>Cap or Target (% of expenditures)</w:t>
            </w:r>
          </w:p>
        </w:tc>
        <w:tc>
          <w:tcPr>
            <w:tcW w:w="1534" w:type="dxa"/>
          </w:tcPr>
          <w:p w:rsidR="007B31C8" w:rsidRDefault="006C3CB7" w14:paraId="06170330" w14:textId="77777777">
            <w:pPr>
              <w:pStyle w:val="TableParagraph"/>
              <w:spacing w:line="306" w:lineRule="exact"/>
              <w:ind w:left="410" w:right="381"/>
              <w:jc w:val="center"/>
              <w:rPr>
                <w:b/>
                <w:sz w:val="24"/>
              </w:rPr>
            </w:pPr>
            <w:r>
              <w:rPr>
                <w:b/>
                <w:sz w:val="24"/>
              </w:rPr>
              <w:t>PG&amp;E</w:t>
            </w:r>
          </w:p>
        </w:tc>
        <w:tc>
          <w:tcPr>
            <w:tcW w:w="1534" w:type="dxa"/>
          </w:tcPr>
          <w:p w:rsidR="007B31C8" w:rsidRDefault="006C3CB7" w14:paraId="3BE1FA44" w14:textId="77777777">
            <w:pPr>
              <w:pStyle w:val="TableParagraph"/>
              <w:spacing w:line="306" w:lineRule="exact"/>
              <w:ind w:left="410" w:right="371"/>
              <w:jc w:val="center"/>
              <w:rPr>
                <w:b/>
                <w:sz w:val="24"/>
              </w:rPr>
            </w:pPr>
            <w:r>
              <w:rPr>
                <w:b/>
                <w:sz w:val="24"/>
              </w:rPr>
              <w:t>SCE</w:t>
            </w:r>
          </w:p>
        </w:tc>
        <w:tc>
          <w:tcPr>
            <w:tcW w:w="1533" w:type="dxa"/>
          </w:tcPr>
          <w:p w:rsidR="007B31C8" w:rsidRDefault="006C3CB7" w14:paraId="674AD486" w14:textId="77777777">
            <w:pPr>
              <w:pStyle w:val="TableParagraph"/>
              <w:spacing w:line="306" w:lineRule="exact"/>
              <w:ind w:left="340" w:right="250"/>
              <w:jc w:val="center"/>
              <w:rPr>
                <w:b/>
                <w:sz w:val="24"/>
              </w:rPr>
            </w:pPr>
            <w:r>
              <w:rPr>
                <w:b/>
                <w:sz w:val="24"/>
              </w:rPr>
              <w:t>SDG&amp;E</w:t>
            </w:r>
          </w:p>
        </w:tc>
      </w:tr>
      <w:tr w:rsidR="00605EB3" w14:paraId="7BDE314A" w14:textId="77777777">
        <w:trPr>
          <w:trHeight w:val="323"/>
        </w:trPr>
        <w:tc>
          <w:tcPr>
            <w:tcW w:w="4760" w:type="dxa"/>
          </w:tcPr>
          <w:p w:rsidR="00605EB3" w:rsidP="00605EB3" w:rsidRDefault="00605EB3" w14:paraId="5FB512B5" w14:textId="77777777">
            <w:pPr>
              <w:pStyle w:val="TableParagraph"/>
              <w:spacing w:line="304" w:lineRule="exact"/>
              <w:ind w:left="115"/>
              <w:jc w:val="left"/>
              <w:rPr>
                <w:sz w:val="24"/>
              </w:rPr>
            </w:pPr>
            <w:r>
              <w:rPr>
                <w:sz w:val="24"/>
              </w:rPr>
              <w:t>IOU Administrative Costs Cap (10%)</w:t>
            </w:r>
          </w:p>
        </w:tc>
        <w:tc>
          <w:tcPr>
            <w:tcW w:w="1534" w:type="dxa"/>
          </w:tcPr>
          <w:p w:rsidR="00605EB3" w:rsidP="00605EB3" w:rsidRDefault="00605EB3" w14:paraId="409B9C9F" w14:textId="6018E2A7">
            <w:pPr>
              <w:pStyle w:val="TableParagraph"/>
              <w:spacing w:line="304" w:lineRule="exact"/>
              <w:ind w:left="383" w:right="381"/>
              <w:jc w:val="center"/>
              <w:rPr>
                <w:sz w:val="24"/>
              </w:rPr>
            </w:pPr>
            <w:r>
              <w:rPr>
                <w:sz w:val="24"/>
              </w:rPr>
              <w:t>9%</w:t>
            </w:r>
          </w:p>
        </w:tc>
        <w:tc>
          <w:tcPr>
            <w:tcW w:w="1534" w:type="dxa"/>
          </w:tcPr>
          <w:p w:rsidR="00605EB3" w:rsidP="00605EB3" w:rsidRDefault="00605EB3" w14:paraId="2CD444B2" w14:textId="35BC0F0A">
            <w:pPr>
              <w:pStyle w:val="TableParagraph"/>
              <w:spacing w:line="304" w:lineRule="exact"/>
              <w:ind w:left="392" w:right="381"/>
              <w:jc w:val="center"/>
              <w:rPr>
                <w:sz w:val="24"/>
              </w:rPr>
            </w:pPr>
            <w:r>
              <w:rPr>
                <w:sz w:val="24"/>
              </w:rPr>
              <w:t>5%</w:t>
            </w:r>
          </w:p>
        </w:tc>
        <w:tc>
          <w:tcPr>
            <w:tcW w:w="1533" w:type="dxa"/>
          </w:tcPr>
          <w:p w:rsidR="00605EB3" w:rsidP="00605EB3" w:rsidRDefault="00605EB3" w14:paraId="665C3EB2" w14:textId="0A99BB77">
            <w:pPr>
              <w:pStyle w:val="TableParagraph"/>
              <w:spacing w:line="304" w:lineRule="exact"/>
              <w:ind w:left="315" w:right="250"/>
              <w:jc w:val="center"/>
              <w:rPr>
                <w:sz w:val="24"/>
              </w:rPr>
            </w:pPr>
            <w:r>
              <w:rPr>
                <w:sz w:val="24"/>
              </w:rPr>
              <w:t>8%</w:t>
            </w:r>
          </w:p>
        </w:tc>
      </w:tr>
      <w:tr w:rsidR="00605EB3" w14:paraId="3B38E7B2" w14:textId="77777777">
        <w:trPr>
          <w:trHeight w:val="323"/>
        </w:trPr>
        <w:tc>
          <w:tcPr>
            <w:tcW w:w="4760" w:type="dxa"/>
          </w:tcPr>
          <w:p w:rsidR="00605EB3" w:rsidP="00605EB3" w:rsidRDefault="00605EB3" w14:paraId="1615E30A" w14:textId="77777777">
            <w:pPr>
              <w:pStyle w:val="TableParagraph"/>
              <w:spacing w:line="304" w:lineRule="exact"/>
              <w:ind w:left="115"/>
              <w:jc w:val="left"/>
              <w:rPr>
                <w:sz w:val="24"/>
              </w:rPr>
            </w:pPr>
            <w:r>
              <w:rPr>
                <w:sz w:val="24"/>
              </w:rPr>
              <w:t>3P/LGP Administrative Costs Target (10%)</w:t>
            </w:r>
          </w:p>
        </w:tc>
        <w:tc>
          <w:tcPr>
            <w:tcW w:w="1534" w:type="dxa"/>
          </w:tcPr>
          <w:p w:rsidR="00605EB3" w:rsidP="00605EB3" w:rsidRDefault="00605EB3" w14:paraId="60B3B38C" w14:textId="46B98CFC">
            <w:pPr>
              <w:pStyle w:val="TableParagraph"/>
              <w:spacing w:line="304" w:lineRule="exact"/>
              <w:ind w:left="383" w:right="381"/>
              <w:jc w:val="center"/>
              <w:rPr>
                <w:sz w:val="24"/>
              </w:rPr>
            </w:pPr>
            <w:r>
              <w:rPr>
                <w:sz w:val="24"/>
              </w:rPr>
              <w:t>14%</w:t>
            </w:r>
          </w:p>
        </w:tc>
        <w:tc>
          <w:tcPr>
            <w:tcW w:w="1534" w:type="dxa"/>
          </w:tcPr>
          <w:p w:rsidR="00605EB3" w:rsidP="00605EB3" w:rsidRDefault="00605EB3" w14:paraId="68FBF58C" w14:textId="576287B2">
            <w:pPr>
              <w:pStyle w:val="TableParagraph"/>
              <w:spacing w:line="304" w:lineRule="exact"/>
              <w:ind w:left="392" w:right="381"/>
              <w:jc w:val="center"/>
              <w:rPr>
                <w:sz w:val="24"/>
              </w:rPr>
            </w:pPr>
            <w:r>
              <w:rPr>
                <w:sz w:val="24"/>
              </w:rPr>
              <w:t>10%</w:t>
            </w:r>
          </w:p>
        </w:tc>
        <w:tc>
          <w:tcPr>
            <w:tcW w:w="1533" w:type="dxa"/>
          </w:tcPr>
          <w:p w:rsidR="00605EB3" w:rsidP="00605EB3" w:rsidRDefault="00605EB3" w14:paraId="2507E715" w14:textId="79FCA3EF">
            <w:pPr>
              <w:pStyle w:val="TableParagraph"/>
              <w:spacing w:line="304" w:lineRule="exact"/>
              <w:ind w:left="315" w:right="250"/>
              <w:jc w:val="center"/>
              <w:rPr>
                <w:sz w:val="24"/>
              </w:rPr>
            </w:pPr>
            <w:r>
              <w:rPr>
                <w:sz w:val="24"/>
              </w:rPr>
              <w:t>8%</w:t>
            </w:r>
          </w:p>
        </w:tc>
      </w:tr>
      <w:tr w:rsidR="00605EB3" w14:paraId="5C057A8F" w14:textId="77777777">
        <w:trPr>
          <w:trHeight w:val="324"/>
        </w:trPr>
        <w:tc>
          <w:tcPr>
            <w:tcW w:w="4760" w:type="dxa"/>
          </w:tcPr>
          <w:p w:rsidR="00605EB3" w:rsidP="00605EB3" w:rsidRDefault="00605EB3" w14:paraId="111D740E" w14:textId="77777777">
            <w:pPr>
              <w:pStyle w:val="TableParagraph"/>
              <w:spacing w:line="304" w:lineRule="exact"/>
              <w:ind w:left="115"/>
              <w:jc w:val="left"/>
              <w:rPr>
                <w:sz w:val="24"/>
              </w:rPr>
            </w:pPr>
            <w:r>
              <w:rPr>
                <w:sz w:val="24"/>
              </w:rPr>
              <w:t>ME&amp;O Target (6%)</w:t>
            </w:r>
          </w:p>
        </w:tc>
        <w:tc>
          <w:tcPr>
            <w:tcW w:w="1534" w:type="dxa"/>
          </w:tcPr>
          <w:p w:rsidR="00605EB3" w:rsidP="00605EB3" w:rsidRDefault="00605EB3" w14:paraId="31F9EF24" w14:textId="6C29F3B8">
            <w:pPr>
              <w:pStyle w:val="TableParagraph"/>
              <w:spacing w:line="304" w:lineRule="exact"/>
              <w:ind w:left="383" w:right="381"/>
              <w:jc w:val="center"/>
              <w:rPr>
                <w:sz w:val="24"/>
              </w:rPr>
            </w:pPr>
            <w:r>
              <w:rPr>
                <w:sz w:val="24"/>
              </w:rPr>
              <w:t>4%</w:t>
            </w:r>
          </w:p>
        </w:tc>
        <w:tc>
          <w:tcPr>
            <w:tcW w:w="1534" w:type="dxa"/>
          </w:tcPr>
          <w:p w:rsidR="00605EB3" w:rsidP="00605EB3" w:rsidRDefault="00605EB3" w14:paraId="5C57F871" w14:textId="2077C944">
            <w:pPr>
              <w:pStyle w:val="TableParagraph"/>
              <w:spacing w:line="304" w:lineRule="exact"/>
              <w:ind w:left="392" w:right="381"/>
              <w:jc w:val="center"/>
              <w:rPr>
                <w:sz w:val="24"/>
              </w:rPr>
            </w:pPr>
            <w:r>
              <w:rPr>
                <w:sz w:val="24"/>
              </w:rPr>
              <w:t>1%</w:t>
            </w:r>
          </w:p>
        </w:tc>
        <w:tc>
          <w:tcPr>
            <w:tcW w:w="1533" w:type="dxa"/>
          </w:tcPr>
          <w:p w:rsidR="00605EB3" w:rsidP="00605EB3" w:rsidRDefault="00605EB3" w14:paraId="35E2E204" w14:textId="2E70ED14">
            <w:pPr>
              <w:pStyle w:val="TableParagraph"/>
              <w:spacing w:line="304" w:lineRule="exact"/>
              <w:ind w:left="315" w:right="250"/>
              <w:jc w:val="center"/>
              <w:rPr>
                <w:sz w:val="24"/>
              </w:rPr>
            </w:pPr>
            <w:r>
              <w:rPr>
                <w:sz w:val="24"/>
              </w:rPr>
              <w:t>3%</w:t>
            </w:r>
          </w:p>
        </w:tc>
      </w:tr>
      <w:tr w:rsidR="00605EB3" w14:paraId="025F80D5" w14:textId="77777777">
        <w:trPr>
          <w:trHeight w:val="323"/>
        </w:trPr>
        <w:tc>
          <w:tcPr>
            <w:tcW w:w="4760" w:type="dxa"/>
          </w:tcPr>
          <w:p w:rsidR="00605EB3" w:rsidP="00605EB3" w:rsidRDefault="00605EB3" w14:paraId="593BA840" w14:textId="77777777">
            <w:pPr>
              <w:pStyle w:val="TableParagraph"/>
              <w:spacing w:line="304" w:lineRule="exact"/>
              <w:ind w:left="115"/>
              <w:jc w:val="left"/>
              <w:rPr>
                <w:sz w:val="24"/>
              </w:rPr>
            </w:pPr>
            <w:r>
              <w:rPr>
                <w:sz w:val="24"/>
              </w:rPr>
              <w:t>DINI Target (20%)</w:t>
            </w:r>
          </w:p>
        </w:tc>
        <w:tc>
          <w:tcPr>
            <w:tcW w:w="1534" w:type="dxa"/>
          </w:tcPr>
          <w:p w:rsidR="00605EB3" w:rsidP="00605EB3" w:rsidRDefault="00605EB3" w14:paraId="60B27318" w14:textId="3D43D4A9">
            <w:pPr>
              <w:pStyle w:val="TableParagraph"/>
              <w:spacing w:line="304" w:lineRule="exact"/>
              <w:ind w:left="383" w:right="381"/>
              <w:jc w:val="center"/>
              <w:rPr>
                <w:sz w:val="24"/>
              </w:rPr>
            </w:pPr>
            <w:r>
              <w:rPr>
                <w:sz w:val="24"/>
              </w:rPr>
              <w:t>30%</w:t>
            </w:r>
          </w:p>
        </w:tc>
        <w:tc>
          <w:tcPr>
            <w:tcW w:w="1534" w:type="dxa"/>
          </w:tcPr>
          <w:p w:rsidR="00605EB3" w:rsidP="00605EB3" w:rsidRDefault="00605EB3" w14:paraId="38F64360" w14:textId="6E421A4E">
            <w:pPr>
              <w:pStyle w:val="TableParagraph"/>
              <w:spacing w:line="304" w:lineRule="exact"/>
              <w:ind w:left="392" w:right="381"/>
              <w:jc w:val="center"/>
              <w:rPr>
                <w:sz w:val="24"/>
              </w:rPr>
            </w:pPr>
            <w:r>
              <w:rPr>
                <w:sz w:val="24"/>
              </w:rPr>
              <w:t>20%</w:t>
            </w:r>
          </w:p>
        </w:tc>
        <w:tc>
          <w:tcPr>
            <w:tcW w:w="1533" w:type="dxa"/>
          </w:tcPr>
          <w:p w:rsidR="00605EB3" w:rsidP="00605EB3" w:rsidRDefault="00605EB3" w14:paraId="5A8383AE" w14:textId="78F8040A">
            <w:pPr>
              <w:pStyle w:val="TableParagraph"/>
              <w:spacing w:line="304" w:lineRule="exact"/>
              <w:ind w:left="315" w:right="250"/>
              <w:jc w:val="center"/>
              <w:rPr>
                <w:sz w:val="24"/>
              </w:rPr>
            </w:pPr>
            <w:r>
              <w:rPr>
                <w:sz w:val="24"/>
              </w:rPr>
              <w:t>32%</w:t>
            </w:r>
          </w:p>
        </w:tc>
      </w:tr>
    </w:tbl>
    <w:p w:rsidR="007B31C8" w:rsidRDefault="007B31C8" w14:paraId="24DE1DF5" w14:textId="77777777">
      <w:pPr>
        <w:pStyle w:val="BodyText"/>
        <w:spacing w:before="10"/>
        <w:rPr>
          <w:sz w:val="17"/>
        </w:rPr>
      </w:pPr>
    </w:p>
    <w:p w:rsidR="007B31C8" w:rsidRDefault="006C3CB7" w14:paraId="78300AC8" w14:textId="5DBFEE70">
      <w:pPr>
        <w:pStyle w:val="BodyText"/>
        <w:ind w:left="220" w:right="235"/>
        <w:jc w:val="both"/>
      </w:pPr>
      <w:r>
        <w:t>Since the ESPI mechanism does not incentivize administrative costs, PG&amp;E’s excessive administrative costs do not affect the ESPI awards given via this Resolution. Throughout prior budget cycles, the CPUC has addressed overspending on ME&amp;O and DINI expenditures and has required the utilities to minimize their non-incentive expenditures to achieve the cost targets.</w:t>
      </w:r>
      <w:r w:rsidR="00B01389">
        <w:rPr>
          <w:rStyle w:val="FootnoteReference"/>
        </w:rPr>
        <w:footnoteReference w:id="41"/>
      </w:r>
      <w:r>
        <w:rPr>
          <w:position w:val="7"/>
          <w:sz w:val="14"/>
        </w:rPr>
        <w:t xml:space="preserve"> </w:t>
      </w:r>
      <w:r>
        <w:t xml:space="preserve">While the CPUC has allowed over- expenditures in these two </w:t>
      </w:r>
      <w:r>
        <w:lastRenderedPageBreak/>
        <w:t>categories, it does not intend to reward the IOUs based on these excess</w:t>
      </w:r>
      <w:r>
        <w:rPr>
          <w:spacing w:val="-3"/>
        </w:rPr>
        <w:t xml:space="preserve"> </w:t>
      </w:r>
      <w:r>
        <w:t>expenditures.</w:t>
      </w:r>
    </w:p>
    <w:p w:rsidR="007B31C8" w:rsidRDefault="007B31C8" w14:paraId="661A9623" w14:textId="77777777">
      <w:pPr>
        <w:pStyle w:val="BodyText"/>
        <w:spacing w:before="8"/>
        <w:rPr>
          <w:sz w:val="17"/>
        </w:rPr>
      </w:pPr>
    </w:p>
    <w:p w:rsidR="007B31C8" w:rsidRDefault="006C3CB7" w14:paraId="24FEA3BE" w14:textId="77777777">
      <w:pPr>
        <w:ind w:left="220" w:right="677"/>
        <w:rPr>
          <w:sz w:val="24"/>
        </w:rPr>
      </w:pPr>
      <w:r>
        <w:rPr>
          <w:b/>
          <w:sz w:val="24"/>
        </w:rPr>
        <w:t xml:space="preserve">Expenditures in excess of the DINI target were excluded from award calculations. </w:t>
      </w:r>
      <w:r>
        <w:rPr>
          <w:sz w:val="24"/>
        </w:rPr>
        <w:t>Table 11 shows the final expenditure amounts approved and used in the award calculations.</w:t>
      </w:r>
    </w:p>
    <w:p w:rsidR="007B31C8" w:rsidRDefault="007B31C8" w14:paraId="57DC807F" w14:textId="77777777">
      <w:pPr>
        <w:pStyle w:val="BodyText"/>
        <w:rPr>
          <w:sz w:val="18"/>
        </w:rPr>
      </w:pPr>
    </w:p>
    <w:p w:rsidR="00256648" w:rsidRDefault="00256648" w14:paraId="63FBDE5F" w14:textId="77777777">
      <w:pPr>
        <w:pStyle w:val="BodyText"/>
        <w:ind w:left="1137" w:right="1158"/>
        <w:jc w:val="center"/>
      </w:pPr>
    </w:p>
    <w:p w:rsidR="00256648" w:rsidRDefault="00256648" w14:paraId="100A6CCB" w14:textId="77777777">
      <w:pPr>
        <w:pStyle w:val="BodyText"/>
        <w:ind w:left="1137" w:right="1158"/>
        <w:jc w:val="center"/>
      </w:pPr>
    </w:p>
    <w:p w:rsidR="007B31C8" w:rsidRDefault="006C3CB7" w14:paraId="413A651F" w14:textId="508EC438">
      <w:pPr>
        <w:pStyle w:val="BodyText"/>
        <w:ind w:left="1137" w:right="1158"/>
        <w:jc w:val="center"/>
      </w:pPr>
      <w:r>
        <w:t>Table 11: 201</w:t>
      </w:r>
      <w:r w:rsidR="00605EB3">
        <w:t>9</w:t>
      </w:r>
      <w:r>
        <w:t xml:space="preserve"> Authorized Expenditures Used for Award Calculation</w:t>
      </w:r>
    </w:p>
    <w:p w:rsidR="007B31C8" w:rsidRDefault="007B31C8" w14:paraId="7846400F" w14:textId="77777777">
      <w:pPr>
        <w:pStyle w:val="BodyText"/>
        <w:spacing w:before="12" w:after="1"/>
        <w:rPr>
          <w:sz w:val="8"/>
        </w:rPr>
      </w:pPr>
    </w:p>
    <w:tbl>
      <w:tblPr>
        <w:tblW w:w="0" w:type="auto"/>
        <w:tblInd w:w="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91"/>
        <w:gridCol w:w="1601"/>
        <w:gridCol w:w="1514"/>
        <w:gridCol w:w="1515"/>
      </w:tblGrid>
      <w:tr w:rsidR="007B31C8" w14:paraId="4DB79059" w14:textId="77777777">
        <w:trPr>
          <w:trHeight w:val="323"/>
        </w:trPr>
        <w:tc>
          <w:tcPr>
            <w:tcW w:w="3291" w:type="dxa"/>
          </w:tcPr>
          <w:p w:rsidR="007B31C8" w:rsidRDefault="006C3CB7" w14:paraId="3A146B92" w14:textId="77777777">
            <w:pPr>
              <w:pStyle w:val="TableParagraph"/>
              <w:spacing w:line="304" w:lineRule="exact"/>
              <w:ind w:left="107"/>
              <w:jc w:val="left"/>
              <w:rPr>
                <w:b/>
                <w:sz w:val="24"/>
              </w:rPr>
            </w:pPr>
            <w:r>
              <w:rPr>
                <w:b/>
                <w:sz w:val="24"/>
              </w:rPr>
              <w:t>ESPI Program Category</w:t>
            </w:r>
          </w:p>
        </w:tc>
        <w:tc>
          <w:tcPr>
            <w:tcW w:w="1601" w:type="dxa"/>
          </w:tcPr>
          <w:p w:rsidR="007B31C8" w:rsidRDefault="006C3CB7" w14:paraId="3C6F9E13" w14:textId="77777777">
            <w:pPr>
              <w:pStyle w:val="TableParagraph"/>
              <w:spacing w:line="304" w:lineRule="exact"/>
              <w:ind w:left="119" w:right="51"/>
              <w:jc w:val="center"/>
              <w:rPr>
                <w:b/>
                <w:sz w:val="24"/>
              </w:rPr>
            </w:pPr>
            <w:r>
              <w:rPr>
                <w:b/>
                <w:sz w:val="24"/>
              </w:rPr>
              <w:t>PG&amp;E</w:t>
            </w:r>
          </w:p>
        </w:tc>
        <w:tc>
          <w:tcPr>
            <w:tcW w:w="1514" w:type="dxa"/>
          </w:tcPr>
          <w:p w:rsidR="007B31C8" w:rsidRDefault="006C3CB7" w14:paraId="2110172C" w14:textId="77777777">
            <w:pPr>
              <w:pStyle w:val="TableParagraph"/>
              <w:spacing w:line="304" w:lineRule="exact"/>
              <w:ind w:left="554"/>
              <w:jc w:val="left"/>
              <w:rPr>
                <w:b/>
                <w:sz w:val="24"/>
              </w:rPr>
            </w:pPr>
            <w:r>
              <w:rPr>
                <w:b/>
                <w:sz w:val="24"/>
              </w:rPr>
              <w:t>SCE</w:t>
            </w:r>
          </w:p>
        </w:tc>
        <w:tc>
          <w:tcPr>
            <w:tcW w:w="1515" w:type="dxa"/>
          </w:tcPr>
          <w:p w:rsidR="007B31C8" w:rsidRDefault="006C3CB7" w14:paraId="0155A56A" w14:textId="77777777">
            <w:pPr>
              <w:pStyle w:val="TableParagraph"/>
              <w:spacing w:line="304" w:lineRule="exact"/>
              <w:ind w:left="123" w:right="114"/>
              <w:jc w:val="center"/>
              <w:rPr>
                <w:b/>
                <w:sz w:val="24"/>
              </w:rPr>
            </w:pPr>
            <w:r>
              <w:rPr>
                <w:b/>
                <w:sz w:val="24"/>
              </w:rPr>
              <w:t>SDG&amp;E</w:t>
            </w:r>
          </w:p>
        </w:tc>
      </w:tr>
      <w:tr w:rsidR="00605EB3" w14:paraId="253796B5" w14:textId="77777777">
        <w:trPr>
          <w:trHeight w:val="323"/>
        </w:trPr>
        <w:tc>
          <w:tcPr>
            <w:tcW w:w="3291" w:type="dxa"/>
          </w:tcPr>
          <w:p w:rsidR="00605EB3" w:rsidP="00605EB3" w:rsidRDefault="00605EB3" w14:paraId="1629930F" w14:textId="77777777">
            <w:pPr>
              <w:pStyle w:val="TableParagraph"/>
              <w:spacing w:line="304" w:lineRule="exact"/>
              <w:ind w:left="115"/>
              <w:jc w:val="left"/>
              <w:rPr>
                <w:sz w:val="24"/>
              </w:rPr>
            </w:pPr>
            <w:r>
              <w:rPr>
                <w:sz w:val="24"/>
              </w:rPr>
              <w:t>Resource Programs</w:t>
            </w:r>
          </w:p>
        </w:tc>
        <w:tc>
          <w:tcPr>
            <w:tcW w:w="1601" w:type="dxa"/>
          </w:tcPr>
          <w:p w:rsidRPr="006D66E8" w:rsidR="00605EB3" w:rsidP="00605EB3" w:rsidRDefault="00605EB3" w14:paraId="53FB5487" w14:textId="3F6F15A4">
            <w:pPr>
              <w:pStyle w:val="TableParagraph"/>
              <w:spacing w:line="304" w:lineRule="exact"/>
              <w:ind w:left="119" w:right="112"/>
              <w:jc w:val="center"/>
              <w:rPr>
                <w:sz w:val="24"/>
                <w:szCs w:val="24"/>
              </w:rPr>
            </w:pPr>
            <w:r w:rsidRPr="009E3C25">
              <w:rPr>
                <w:sz w:val="24"/>
                <w:szCs w:val="24"/>
              </w:rPr>
              <w:t>$175,442,906</w:t>
            </w:r>
          </w:p>
        </w:tc>
        <w:tc>
          <w:tcPr>
            <w:tcW w:w="1514" w:type="dxa"/>
          </w:tcPr>
          <w:p w:rsidRPr="006D66E8" w:rsidR="00605EB3" w:rsidP="00605EB3" w:rsidRDefault="00605EB3" w14:paraId="6BE6B414" w14:textId="239E0A13">
            <w:pPr>
              <w:pStyle w:val="TableParagraph"/>
              <w:spacing w:line="304" w:lineRule="exact"/>
              <w:ind w:right="131"/>
              <w:rPr>
                <w:sz w:val="24"/>
                <w:szCs w:val="24"/>
              </w:rPr>
            </w:pPr>
            <w:r w:rsidRPr="009E3C25">
              <w:rPr>
                <w:sz w:val="24"/>
                <w:szCs w:val="24"/>
              </w:rPr>
              <w:t>$105,602,031</w:t>
            </w:r>
          </w:p>
        </w:tc>
        <w:tc>
          <w:tcPr>
            <w:tcW w:w="1515" w:type="dxa"/>
          </w:tcPr>
          <w:p w:rsidRPr="006D66E8" w:rsidR="00605EB3" w:rsidP="00605EB3" w:rsidRDefault="00605EB3" w14:paraId="0C9758D5" w14:textId="00F5380C">
            <w:pPr>
              <w:pStyle w:val="TableParagraph"/>
              <w:spacing w:line="304" w:lineRule="exact"/>
              <w:ind w:left="150" w:right="114"/>
              <w:jc w:val="center"/>
              <w:rPr>
                <w:sz w:val="24"/>
                <w:szCs w:val="24"/>
              </w:rPr>
            </w:pPr>
            <w:r w:rsidRPr="009E3C25">
              <w:rPr>
                <w:sz w:val="24"/>
                <w:szCs w:val="24"/>
              </w:rPr>
              <w:t>$41,246,293</w:t>
            </w:r>
          </w:p>
        </w:tc>
      </w:tr>
      <w:tr w:rsidR="00605EB3" w14:paraId="37A8EBF0" w14:textId="77777777">
        <w:trPr>
          <w:trHeight w:val="323"/>
        </w:trPr>
        <w:tc>
          <w:tcPr>
            <w:tcW w:w="3291" w:type="dxa"/>
          </w:tcPr>
          <w:p w:rsidR="00605EB3" w:rsidP="00605EB3" w:rsidRDefault="00605EB3" w14:paraId="609D617D" w14:textId="77777777">
            <w:pPr>
              <w:pStyle w:val="TableParagraph"/>
              <w:spacing w:line="304" w:lineRule="exact"/>
              <w:ind w:left="115"/>
              <w:jc w:val="left"/>
              <w:rPr>
                <w:sz w:val="24"/>
              </w:rPr>
            </w:pPr>
            <w:r>
              <w:rPr>
                <w:sz w:val="24"/>
              </w:rPr>
              <w:t>C&amp;S Programs</w:t>
            </w:r>
          </w:p>
        </w:tc>
        <w:tc>
          <w:tcPr>
            <w:tcW w:w="1601" w:type="dxa"/>
          </w:tcPr>
          <w:p w:rsidRPr="006D66E8" w:rsidR="00605EB3" w:rsidP="00605EB3" w:rsidRDefault="00605EB3" w14:paraId="10B1DA0C" w14:textId="5A73E03A">
            <w:pPr>
              <w:pStyle w:val="TableParagraph"/>
              <w:spacing w:line="304" w:lineRule="exact"/>
              <w:ind w:left="239" w:right="112"/>
              <w:jc w:val="center"/>
              <w:rPr>
                <w:sz w:val="24"/>
                <w:szCs w:val="24"/>
              </w:rPr>
            </w:pPr>
            <w:r w:rsidRPr="009E3C25">
              <w:rPr>
                <w:sz w:val="24"/>
                <w:szCs w:val="24"/>
              </w:rPr>
              <w:t>$24,581,172</w:t>
            </w:r>
          </w:p>
        </w:tc>
        <w:tc>
          <w:tcPr>
            <w:tcW w:w="1514" w:type="dxa"/>
          </w:tcPr>
          <w:p w:rsidRPr="001D53F7" w:rsidR="00605EB3" w:rsidP="00605EB3" w:rsidRDefault="00605EB3" w14:paraId="1206A57A" w14:textId="2A6DEFEF">
            <w:pPr>
              <w:pStyle w:val="TableParagraph"/>
              <w:spacing w:line="304" w:lineRule="exact"/>
              <w:ind w:right="131"/>
              <w:rPr>
                <w:sz w:val="24"/>
                <w:szCs w:val="24"/>
              </w:rPr>
            </w:pPr>
            <w:r w:rsidRPr="009E3C25">
              <w:rPr>
                <w:sz w:val="24"/>
                <w:szCs w:val="24"/>
              </w:rPr>
              <w:t>$7,576,783</w:t>
            </w:r>
          </w:p>
        </w:tc>
        <w:tc>
          <w:tcPr>
            <w:tcW w:w="1515" w:type="dxa"/>
          </w:tcPr>
          <w:p w:rsidRPr="006D66E8" w:rsidR="00605EB3" w:rsidP="00605EB3" w:rsidRDefault="00605EB3" w14:paraId="2406E5C1" w14:textId="569A611D">
            <w:pPr>
              <w:pStyle w:val="TableParagraph"/>
              <w:spacing w:line="304" w:lineRule="exact"/>
              <w:ind w:left="270" w:right="114"/>
              <w:jc w:val="center"/>
              <w:rPr>
                <w:sz w:val="24"/>
                <w:szCs w:val="24"/>
              </w:rPr>
            </w:pPr>
            <w:r w:rsidRPr="009E3C25">
              <w:rPr>
                <w:sz w:val="24"/>
                <w:szCs w:val="24"/>
              </w:rPr>
              <w:t>$1,082,545</w:t>
            </w:r>
          </w:p>
        </w:tc>
      </w:tr>
      <w:tr w:rsidR="00605EB3" w14:paraId="35463985" w14:textId="77777777">
        <w:trPr>
          <w:trHeight w:val="325"/>
        </w:trPr>
        <w:tc>
          <w:tcPr>
            <w:tcW w:w="3291" w:type="dxa"/>
          </w:tcPr>
          <w:p w:rsidR="00605EB3" w:rsidP="00605EB3" w:rsidRDefault="00605EB3" w14:paraId="66703352" w14:textId="77777777">
            <w:pPr>
              <w:pStyle w:val="TableParagraph"/>
              <w:spacing w:line="306" w:lineRule="exact"/>
              <w:ind w:left="115"/>
              <w:jc w:val="left"/>
              <w:rPr>
                <w:sz w:val="24"/>
              </w:rPr>
            </w:pPr>
            <w:r>
              <w:rPr>
                <w:sz w:val="24"/>
              </w:rPr>
              <w:t>Non-Resource Programs</w:t>
            </w:r>
          </w:p>
        </w:tc>
        <w:tc>
          <w:tcPr>
            <w:tcW w:w="1601" w:type="dxa"/>
          </w:tcPr>
          <w:p w:rsidRPr="006D66E8" w:rsidR="00605EB3" w:rsidP="00605EB3" w:rsidRDefault="00605EB3" w14:paraId="796DC885" w14:textId="7B8C85B3">
            <w:pPr>
              <w:pStyle w:val="TableParagraph"/>
              <w:spacing w:line="306" w:lineRule="exact"/>
              <w:ind w:left="239" w:right="112"/>
              <w:jc w:val="center"/>
              <w:rPr>
                <w:sz w:val="24"/>
                <w:szCs w:val="24"/>
              </w:rPr>
            </w:pPr>
            <w:r w:rsidRPr="009E3C25">
              <w:rPr>
                <w:sz w:val="24"/>
                <w:szCs w:val="24"/>
              </w:rPr>
              <w:t>$13,961,754</w:t>
            </w:r>
          </w:p>
        </w:tc>
        <w:tc>
          <w:tcPr>
            <w:tcW w:w="1514" w:type="dxa"/>
          </w:tcPr>
          <w:p w:rsidRPr="001D53F7" w:rsidR="00605EB3" w:rsidP="00605EB3" w:rsidRDefault="00605EB3" w14:paraId="03B2A090" w14:textId="58F22102">
            <w:pPr>
              <w:pStyle w:val="TableParagraph"/>
              <w:spacing w:line="306" w:lineRule="exact"/>
              <w:ind w:right="131"/>
              <w:rPr>
                <w:sz w:val="24"/>
                <w:szCs w:val="24"/>
              </w:rPr>
            </w:pPr>
            <w:r w:rsidRPr="009E3C25">
              <w:rPr>
                <w:sz w:val="24"/>
                <w:szCs w:val="24"/>
              </w:rPr>
              <w:t>$15,901,979</w:t>
            </w:r>
          </w:p>
        </w:tc>
        <w:tc>
          <w:tcPr>
            <w:tcW w:w="1515" w:type="dxa"/>
          </w:tcPr>
          <w:p w:rsidRPr="006D66E8" w:rsidR="00605EB3" w:rsidP="00605EB3" w:rsidRDefault="00605EB3" w14:paraId="76C66CBB" w14:textId="5BE922AA">
            <w:pPr>
              <w:pStyle w:val="TableParagraph"/>
              <w:spacing w:line="306" w:lineRule="exact"/>
              <w:ind w:left="270" w:right="114"/>
              <w:jc w:val="center"/>
              <w:rPr>
                <w:sz w:val="24"/>
                <w:szCs w:val="24"/>
              </w:rPr>
            </w:pPr>
            <w:r w:rsidRPr="009E3C25">
              <w:rPr>
                <w:sz w:val="24"/>
                <w:szCs w:val="24"/>
              </w:rPr>
              <w:t>$7,582,046</w:t>
            </w:r>
          </w:p>
        </w:tc>
      </w:tr>
    </w:tbl>
    <w:p w:rsidR="007B31C8" w:rsidRDefault="007B31C8" w14:paraId="62197942" w14:textId="77777777">
      <w:pPr>
        <w:pStyle w:val="BodyText"/>
        <w:rPr>
          <w:sz w:val="20"/>
        </w:rPr>
      </w:pPr>
    </w:p>
    <w:p w:rsidR="007B31C8" w:rsidRDefault="006C3CB7" w14:paraId="09B86CF8" w14:textId="77777777">
      <w:pPr>
        <w:pStyle w:val="Heading3"/>
        <w:numPr>
          <w:ilvl w:val="0"/>
          <w:numId w:val="8"/>
        </w:numPr>
        <w:tabs>
          <w:tab w:val="left" w:pos="840"/>
        </w:tabs>
        <w:spacing w:before="24"/>
        <w:ind w:left="839" w:hanging="260"/>
      </w:pPr>
      <w:r>
        <w:t>Weighting of Ex Ante Review performance</w:t>
      </w:r>
      <w:r>
        <w:rPr>
          <w:spacing w:val="-5"/>
        </w:rPr>
        <w:t xml:space="preserve"> </w:t>
      </w:r>
      <w:r>
        <w:t>scores</w:t>
      </w:r>
    </w:p>
    <w:p w:rsidR="007B31C8" w:rsidRDefault="006C3CB7" w14:paraId="03391262" w14:textId="43133B5E">
      <w:pPr>
        <w:pStyle w:val="BodyText"/>
        <w:spacing w:before="122"/>
        <w:ind w:left="220" w:right="234"/>
        <w:jc w:val="both"/>
      </w:pPr>
      <w:r>
        <w:t xml:space="preserve">As described in the “Ex Ante Review (EAR) Performance Scores” section above, CPUC Staff applied weights to the custom and deemed EAR performance scores based on  their respective proportions of net lifecycle savings (including market effects), before adding these to calculate the </w:t>
      </w:r>
      <w:r w:rsidR="008A68D9">
        <w:t xml:space="preserve">2019 </w:t>
      </w:r>
      <w:r>
        <w:t xml:space="preserve">total EAR performance scores. </w:t>
      </w:r>
      <w:r w:rsidR="008A68D9">
        <w:t xml:space="preserve">The weighted scores calculated by CPUC staff were higher for PG&amp;E and SCE and they matched for SDG&amp;E.  </w:t>
      </w:r>
    </w:p>
    <w:p w:rsidR="007B31C8" w:rsidRDefault="007B31C8" w14:paraId="3F82DFA1" w14:textId="77777777">
      <w:pPr>
        <w:pStyle w:val="BodyText"/>
        <w:spacing w:before="8"/>
        <w:rPr>
          <w:sz w:val="17"/>
        </w:rPr>
      </w:pPr>
    </w:p>
    <w:p w:rsidR="007B31C8" w:rsidRDefault="006C3CB7" w14:paraId="1AC9F128" w14:textId="53D94FB4">
      <w:pPr>
        <w:pStyle w:val="Heading3"/>
        <w:numPr>
          <w:ilvl w:val="0"/>
          <w:numId w:val="8"/>
        </w:numPr>
        <w:tabs>
          <w:tab w:val="left" w:pos="941"/>
        </w:tabs>
        <w:ind w:hanging="361"/>
      </w:pPr>
      <w:r>
        <w:t>True ups based on the 201</w:t>
      </w:r>
      <w:r w:rsidR="00344583">
        <w:t>8</w:t>
      </w:r>
      <w:r>
        <w:t xml:space="preserve"> audit</w:t>
      </w:r>
      <w:r>
        <w:rPr>
          <w:spacing w:val="-3"/>
        </w:rPr>
        <w:t xml:space="preserve"> </w:t>
      </w:r>
      <w:r>
        <w:t>reports</w:t>
      </w:r>
    </w:p>
    <w:p w:rsidR="007B31C8" w:rsidRDefault="006C3CB7" w14:paraId="27DE48F5" w14:textId="4C932C48">
      <w:pPr>
        <w:pStyle w:val="BodyText"/>
        <w:spacing w:before="123"/>
        <w:ind w:left="220" w:right="233"/>
        <w:jc w:val="both"/>
      </w:pPr>
      <w:r>
        <w:t xml:space="preserve">In August </w:t>
      </w:r>
      <w:r w:rsidR="00463F60">
        <w:t>2020</w:t>
      </w:r>
      <w:r>
        <w:t>, the Utility Audit</w:t>
      </w:r>
      <w:r w:rsidR="008A68D9">
        <w:t xml:space="preserve"> </w:t>
      </w:r>
      <w:r>
        <w:t>Branch (UAB) issued audit reports on 201</w:t>
      </w:r>
      <w:r w:rsidR="00463F60">
        <w:t>8</w:t>
      </w:r>
      <w:r>
        <w:t xml:space="preserve"> C&amp;S and non-resource energy efficiency programs. The reports were based on data from CEDARS and other documentation. The IOUs are responsible for incorporating the audit report findings in their ESPI Advice Letters as true ups to their awards.</w:t>
      </w:r>
    </w:p>
    <w:p w:rsidR="007B31C8" w:rsidP="00255F12" w:rsidRDefault="006C3CB7" w14:paraId="15A1ACC8" w14:textId="07025AD0">
      <w:pPr>
        <w:pStyle w:val="BodyText"/>
        <w:spacing w:before="118"/>
        <w:ind w:left="220" w:right="233"/>
        <w:jc w:val="both"/>
      </w:pPr>
      <w:r>
        <w:t xml:space="preserve">SCE calculated the net present value of the </w:t>
      </w:r>
      <w:r w:rsidR="00AE6597">
        <w:t xml:space="preserve">2018 </w:t>
      </w:r>
      <w:r>
        <w:t>audit adjustments using their authorized weighted average cost of capital (WACC)</w:t>
      </w:r>
      <w:r w:rsidR="0095390D">
        <w:t>.</w:t>
      </w:r>
      <w:r>
        <w:t xml:space="preserve"> </w:t>
      </w:r>
      <w:r w:rsidR="0095390D">
        <w:t xml:space="preserve">The </w:t>
      </w:r>
      <w:r w:rsidR="00847982">
        <w:t xml:space="preserve">SCE audit </w:t>
      </w:r>
      <w:r w:rsidR="0095390D">
        <w:t xml:space="preserve">recommended moving </w:t>
      </w:r>
      <w:r w:rsidR="00D16DD0">
        <w:t xml:space="preserve">non-resource </w:t>
      </w:r>
      <w:r w:rsidR="0095390D">
        <w:t xml:space="preserve">expenditures from </w:t>
      </w:r>
      <w:r w:rsidR="00D16DD0">
        <w:t>PY</w:t>
      </w:r>
      <w:r w:rsidR="0095390D">
        <w:t xml:space="preserve">2018 into </w:t>
      </w:r>
      <w:r w:rsidR="00D16DD0">
        <w:t>PY</w:t>
      </w:r>
      <w:r w:rsidR="0095390D">
        <w:t xml:space="preserve">2017.  Because SCE was already at its cap in </w:t>
      </w:r>
      <w:r w:rsidR="00D16DD0">
        <w:t>PY</w:t>
      </w:r>
      <w:r w:rsidR="0095390D">
        <w:t xml:space="preserve">2018, it resulted in no decrease of award and a small award increase </w:t>
      </w:r>
      <w:r w:rsidR="00D16DD0">
        <w:t xml:space="preserve">in PY2017.  SCE filed for a deduction of $400 from 2018. Staff rejected that request and made the adjustments to comply with the audit report.  </w:t>
      </w:r>
      <w:r>
        <w:t xml:space="preserve">SDG&amp;E </w:t>
      </w:r>
      <w:r w:rsidR="00B769F0">
        <w:t xml:space="preserve">did not include </w:t>
      </w:r>
      <w:r>
        <w:t xml:space="preserve">the audit adjustments </w:t>
      </w:r>
      <w:r w:rsidR="00B769F0">
        <w:t xml:space="preserve">in their advice </w:t>
      </w:r>
      <w:r w:rsidR="0074509D">
        <w:t>letter</w:t>
      </w:r>
      <w:r w:rsidR="00D16DD0">
        <w:t>.</w:t>
      </w:r>
      <w:r w:rsidR="0074509D">
        <w:t xml:space="preserve"> Therefore</w:t>
      </w:r>
      <w:r w:rsidR="00D16DD0">
        <w:t>,</w:t>
      </w:r>
      <w:r w:rsidR="0074509D">
        <w:t xml:space="preserve"> CPUC staff </w:t>
      </w:r>
      <w:r w:rsidR="008857C4">
        <w:t>included the recommendations of the audit in the awards</w:t>
      </w:r>
      <w:r>
        <w:t>.</w:t>
      </w:r>
      <w:r w:rsidRPr="00255F12" w:rsidR="00255F12">
        <w:t xml:space="preserve"> </w:t>
      </w:r>
      <w:r w:rsidR="00255F12">
        <w:t>Las</w:t>
      </w:r>
      <w:r w:rsidR="00594020">
        <w:t>tly, the</w:t>
      </w:r>
      <w:r w:rsidR="00255F12">
        <w:t xml:space="preserve"> </w:t>
      </w:r>
      <w:r w:rsidR="00594020">
        <w:t>audit</w:t>
      </w:r>
      <w:r w:rsidR="00255F12">
        <w:t xml:space="preserve"> report found that PG&amp;E’s program expenditures were in compliance with all applicable CPUC policies and made no recommendations for adjustments</w:t>
      </w:r>
      <w:r w:rsidR="00594020">
        <w:t>.</w:t>
      </w:r>
    </w:p>
    <w:p w:rsidR="007B31C8" w:rsidRDefault="003E5E74" w14:paraId="766E3CF6" w14:textId="42B99B69">
      <w:pPr>
        <w:pStyle w:val="BodyText"/>
        <w:spacing w:before="122"/>
        <w:ind w:left="220" w:right="235"/>
        <w:jc w:val="both"/>
      </w:pPr>
      <w:r>
        <w:t xml:space="preserve">All </w:t>
      </w:r>
      <w:r w:rsidRPr="003E5E74">
        <w:t>IOUs correctly applied the WACC to their true-ups as recommended in Resolution E-5062</w:t>
      </w:r>
      <w:r w:rsidR="006C3CB7">
        <w:t>. Finally, CPUC Staff accounted for award caps in the true up calculations.</w:t>
      </w:r>
    </w:p>
    <w:p w:rsidR="007B31C8" w:rsidRDefault="007B31C8" w14:paraId="7E258E11" w14:textId="77777777">
      <w:pPr>
        <w:pStyle w:val="BodyText"/>
        <w:spacing w:before="10"/>
        <w:rPr>
          <w:sz w:val="17"/>
        </w:rPr>
      </w:pPr>
    </w:p>
    <w:p w:rsidR="007B31C8" w:rsidRDefault="006C3CB7" w14:paraId="01C8272D" w14:textId="77777777">
      <w:pPr>
        <w:pStyle w:val="Heading3"/>
      </w:pPr>
      <w:r>
        <w:lastRenderedPageBreak/>
        <w:t>IOU-Specific Adjustments</w:t>
      </w:r>
    </w:p>
    <w:p w:rsidR="007B31C8" w:rsidRDefault="006C3CB7" w14:paraId="7693ACB5" w14:textId="77777777">
      <w:pPr>
        <w:pStyle w:val="BodyText"/>
        <w:spacing w:before="120"/>
        <w:ind w:left="220"/>
        <w:jc w:val="both"/>
      </w:pPr>
      <w:r>
        <w:t>We provide an IOU-specific breakdown of adjustments and explanation below.</w:t>
      </w:r>
    </w:p>
    <w:p w:rsidR="007B31C8" w:rsidRDefault="007B31C8" w14:paraId="1A5580E9" w14:textId="77777777">
      <w:pPr>
        <w:pStyle w:val="BodyText"/>
        <w:spacing w:before="8"/>
        <w:rPr>
          <w:sz w:val="17"/>
        </w:rPr>
      </w:pPr>
    </w:p>
    <w:p w:rsidR="007B31C8" w:rsidRDefault="006C3CB7" w14:paraId="5D3F3D70" w14:textId="77777777">
      <w:pPr>
        <w:pStyle w:val="Heading3"/>
        <w:numPr>
          <w:ilvl w:val="0"/>
          <w:numId w:val="6"/>
        </w:numPr>
        <w:tabs>
          <w:tab w:val="left" w:pos="941"/>
        </w:tabs>
        <w:ind w:hanging="361"/>
      </w:pPr>
      <w:r>
        <w:t>PG&amp;E</w:t>
      </w:r>
    </w:p>
    <w:p w:rsidR="007B31C8" w:rsidP="009E3C25" w:rsidRDefault="006C3CB7" w14:paraId="33FA073F" w14:textId="1E4C6F9D">
      <w:pPr>
        <w:pStyle w:val="BodyText"/>
        <w:spacing w:before="118"/>
        <w:ind w:left="220" w:right="233"/>
        <w:jc w:val="both"/>
      </w:pPr>
      <w:r>
        <w:t xml:space="preserve">The CPUC approves an incentive amount of </w:t>
      </w:r>
      <w:r w:rsidRPr="00ED1817">
        <w:t>$</w:t>
      </w:r>
      <w:r w:rsidRPr="00ED1817" w:rsidR="007C2867">
        <w:t>15,</w:t>
      </w:r>
      <w:r w:rsidRPr="0052414B" w:rsidR="00ED1817">
        <w:t>299</w:t>
      </w:r>
      <w:r w:rsidRPr="00ED1817" w:rsidR="007C2867">
        <w:t>,</w:t>
      </w:r>
      <w:r w:rsidRPr="00ED1817" w:rsidR="00ED1817">
        <w:t>119</w:t>
      </w:r>
      <w:r>
        <w:t xml:space="preserve"> for PG&amp;E, which is $</w:t>
      </w:r>
      <w:r w:rsidR="0057706F">
        <w:t>260,870 less</w:t>
      </w:r>
      <w:r w:rsidR="007C2867">
        <w:t xml:space="preserve"> </w:t>
      </w:r>
      <w:r>
        <w:t>than their requested amount of $</w:t>
      </w:r>
      <w:r w:rsidRPr="00141297" w:rsidR="00FE5D62">
        <w:t>15,559,989</w:t>
      </w:r>
      <w:r w:rsidR="00FE5D62">
        <w:t>.</w:t>
      </w:r>
      <w:r>
        <w:t xml:space="preserve"> PG&amp;E’s submitted program savings and expenditures were both adjusted as described above. PG&amp;E’s annual total in CEDA</w:t>
      </w:r>
      <w:r w:rsidR="007C2867">
        <w:t xml:space="preserve">RS </w:t>
      </w:r>
      <w:r w:rsidR="00CC0E4B">
        <w:t>w</w:t>
      </w:r>
      <w:r>
        <w:t>as $</w:t>
      </w:r>
      <w:r w:rsidR="00CC0E4B">
        <w:t>15,019,943</w:t>
      </w:r>
      <w:r>
        <w:t xml:space="preserve"> </w:t>
      </w:r>
      <w:r w:rsidR="00CC0E4B">
        <w:t xml:space="preserve">higher </w:t>
      </w:r>
      <w:r>
        <w:t xml:space="preserve">than their ESPI Advice Letter total, but their ESPI Advice Letter attachment’s </w:t>
      </w:r>
      <w:r w:rsidR="00CC0E4B">
        <w:t xml:space="preserve">was only $25 less than </w:t>
      </w:r>
      <w:r>
        <w:t>CEDARS. CPUC Staff used the CEDARS data to calculate the</w:t>
      </w:r>
      <w:r w:rsidRPr="009E3C25">
        <w:t xml:space="preserve"> </w:t>
      </w:r>
      <w:r>
        <w:t>awards.</w:t>
      </w:r>
    </w:p>
    <w:p w:rsidRPr="009E3C25" w:rsidR="00FE5D62" w:rsidP="009E3C25" w:rsidRDefault="00FE5D62" w14:paraId="690082E5" w14:textId="77777777">
      <w:pPr>
        <w:pStyle w:val="BodyText"/>
        <w:spacing w:before="118"/>
        <w:ind w:left="220" w:right="233"/>
        <w:jc w:val="both"/>
      </w:pPr>
    </w:p>
    <w:p w:rsidR="007B31C8" w:rsidRDefault="006C3CB7" w14:paraId="6172E9D6" w14:textId="6E696E0C">
      <w:pPr>
        <w:pStyle w:val="ListParagraph"/>
        <w:numPr>
          <w:ilvl w:val="1"/>
          <w:numId w:val="5"/>
        </w:numPr>
        <w:tabs>
          <w:tab w:val="left" w:pos="581"/>
        </w:tabs>
        <w:ind w:hanging="361"/>
        <w:rPr>
          <w:sz w:val="24"/>
        </w:rPr>
      </w:pPr>
      <w:r>
        <w:rPr>
          <w:sz w:val="24"/>
          <w:u w:val="single"/>
        </w:rPr>
        <w:t>Energy Efficiency Resource Savings</w:t>
      </w:r>
    </w:p>
    <w:p w:rsidR="007B31C8" w:rsidRDefault="006C3CB7" w14:paraId="559D1569" w14:textId="5E40941E">
      <w:pPr>
        <w:pStyle w:val="ListParagraph"/>
        <w:numPr>
          <w:ilvl w:val="2"/>
          <w:numId w:val="5"/>
        </w:numPr>
        <w:tabs>
          <w:tab w:val="left" w:pos="998"/>
        </w:tabs>
        <w:rPr>
          <w:sz w:val="24"/>
        </w:rPr>
      </w:pPr>
      <w:r>
        <w:rPr>
          <w:sz w:val="24"/>
        </w:rPr>
        <w:t>201</w:t>
      </w:r>
      <w:r w:rsidR="00CC0E4B">
        <w:rPr>
          <w:sz w:val="24"/>
        </w:rPr>
        <w:t>8</w:t>
      </w:r>
      <w:r>
        <w:rPr>
          <w:sz w:val="24"/>
        </w:rPr>
        <w:t xml:space="preserve"> Evaluated Energy</w:t>
      </w:r>
      <w:r>
        <w:rPr>
          <w:spacing w:val="-2"/>
          <w:sz w:val="24"/>
        </w:rPr>
        <w:t xml:space="preserve"> </w:t>
      </w:r>
      <w:r>
        <w:rPr>
          <w:sz w:val="24"/>
        </w:rPr>
        <w:t>Savings</w:t>
      </w:r>
    </w:p>
    <w:p w:rsidR="007224DD" w:rsidP="007224DD" w:rsidRDefault="00CC0E4B" w14:paraId="352B0383" w14:textId="5170980F">
      <w:pPr>
        <w:pStyle w:val="BodyText"/>
        <w:spacing w:before="120"/>
        <w:ind w:left="580"/>
        <w:jc w:val="both"/>
      </w:pPr>
      <w:r>
        <w:t xml:space="preserve">PG&amp;E’s </w:t>
      </w:r>
      <w:r w:rsidR="007224DD">
        <w:t xml:space="preserve">award is $620,476 less than requested due to </w:t>
      </w:r>
      <w:r w:rsidRPr="000C65CD" w:rsidR="000C65CD">
        <w:t>gross realization rates (GRR) and net to gross (NTG) adjustments</w:t>
      </w:r>
      <w:r w:rsidR="00CC1DA0">
        <w:t xml:space="preserve"> (see section 1)</w:t>
      </w:r>
      <w:r w:rsidR="007224DD">
        <w:t>.</w:t>
      </w:r>
    </w:p>
    <w:p w:rsidR="007B31C8" w:rsidRDefault="007B31C8" w14:paraId="125D671F" w14:textId="77777777">
      <w:pPr>
        <w:pStyle w:val="BodyText"/>
        <w:spacing w:before="10"/>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39681B87" w14:textId="77777777">
        <w:trPr>
          <w:trHeight w:val="445"/>
        </w:trPr>
        <w:tc>
          <w:tcPr>
            <w:tcW w:w="2960" w:type="dxa"/>
          </w:tcPr>
          <w:p w:rsidR="007B31C8" w:rsidRDefault="006C3CB7" w14:paraId="2449D174" w14:textId="77777777">
            <w:pPr>
              <w:pStyle w:val="TableParagraph"/>
              <w:spacing w:before="59"/>
              <w:ind w:left="164" w:right="148"/>
              <w:jc w:val="center"/>
              <w:rPr>
                <w:b/>
                <w:sz w:val="24"/>
              </w:rPr>
            </w:pPr>
            <w:r>
              <w:rPr>
                <w:b/>
                <w:sz w:val="24"/>
              </w:rPr>
              <w:t>ESPI Component</w:t>
            </w:r>
          </w:p>
        </w:tc>
        <w:tc>
          <w:tcPr>
            <w:tcW w:w="2014" w:type="dxa"/>
            <w:tcBorders>
              <w:right w:val="single" w:color="000000" w:sz="4" w:space="0"/>
            </w:tcBorders>
          </w:tcPr>
          <w:p w:rsidR="007B31C8" w:rsidRDefault="006C3CB7" w14:paraId="3EF503AA" w14:textId="5B7997F6">
            <w:pPr>
              <w:pStyle w:val="TableParagraph"/>
              <w:spacing w:before="59"/>
              <w:ind w:right="453"/>
              <w:rPr>
                <w:b/>
                <w:sz w:val="24"/>
              </w:rPr>
            </w:pPr>
            <w:r>
              <w:rPr>
                <w:b/>
                <w:sz w:val="24"/>
              </w:rPr>
              <w:t>201</w:t>
            </w:r>
            <w:r w:rsidR="00605EB3">
              <w:rPr>
                <w:b/>
                <w:sz w:val="24"/>
              </w:rPr>
              <w:t>8</w:t>
            </w:r>
            <w:r>
              <w:rPr>
                <w:b/>
                <w:sz w:val="24"/>
              </w:rPr>
              <w:t xml:space="preserve"> Cap*</w:t>
            </w:r>
          </w:p>
        </w:tc>
        <w:tc>
          <w:tcPr>
            <w:tcW w:w="2014" w:type="dxa"/>
            <w:tcBorders>
              <w:left w:val="single" w:color="000000" w:sz="4" w:space="0"/>
            </w:tcBorders>
          </w:tcPr>
          <w:p w:rsidR="007B31C8" w:rsidRDefault="006C3CB7" w14:paraId="589A7742" w14:textId="77777777">
            <w:pPr>
              <w:pStyle w:val="TableParagraph"/>
              <w:spacing w:before="59"/>
              <w:ind w:left="379" w:right="361"/>
              <w:jc w:val="center"/>
              <w:rPr>
                <w:b/>
                <w:sz w:val="24"/>
              </w:rPr>
            </w:pPr>
            <w:r>
              <w:rPr>
                <w:b/>
                <w:sz w:val="24"/>
              </w:rPr>
              <w:t>Requested</w:t>
            </w:r>
          </w:p>
        </w:tc>
        <w:tc>
          <w:tcPr>
            <w:tcW w:w="2015" w:type="dxa"/>
          </w:tcPr>
          <w:p w:rsidR="007B31C8" w:rsidRDefault="006C3CB7" w14:paraId="38DE0B66" w14:textId="5DAFA603">
            <w:pPr>
              <w:pStyle w:val="TableParagraph"/>
              <w:spacing w:before="59"/>
              <w:ind w:left="385" w:right="366"/>
              <w:jc w:val="center"/>
              <w:rPr>
                <w:b/>
                <w:sz w:val="24"/>
              </w:rPr>
            </w:pPr>
            <w:r>
              <w:rPr>
                <w:b/>
                <w:sz w:val="24"/>
              </w:rPr>
              <w:t>Approved</w:t>
            </w:r>
          </w:p>
        </w:tc>
      </w:tr>
      <w:tr w:rsidR="00605EB3" w14:paraId="205C2AD6" w14:textId="77777777">
        <w:trPr>
          <w:trHeight w:val="443"/>
        </w:trPr>
        <w:tc>
          <w:tcPr>
            <w:tcW w:w="2960" w:type="dxa"/>
            <w:tcBorders>
              <w:bottom w:val="single" w:color="000000" w:sz="4" w:space="0"/>
            </w:tcBorders>
          </w:tcPr>
          <w:p w:rsidR="00605EB3" w:rsidP="00605EB3" w:rsidRDefault="00605EB3" w14:paraId="69F4CADB" w14:textId="62C7A683">
            <w:pPr>
              <w:pStyle w:val="TableParagraph"/>
              <w:spacing w:before="59"/>
              <w:ind w:left="166" w:right="148"/>
              <w:jc w:val="center"/>
              <w:rPr>
                <w:sz w:val="24"/>
              </w:rPr>
            </w:pPr>
            <w:r w:rsidRPr="00111F36">
              <w:rPr>
                <w:sz w:val="24"/>
                <w:szCs w:val="24"/>
              </w:rPr>
              <w:t>2018 Evaluated Savings</w:t>
            </w:r>
          </w:p>
        </w:tc>
        <w:tc>
          <w:tcPr>
            <w:tcW w:w="2014" w:type="dxa"/>
            <w:tcBorders>
              <w:bottom w:val="single" w:color="000000" w:sz="4" w:space="0"/>
              <w:right w:val="single" w:color="000000" w:sz="4" w:space="0"/>
            </w:tcBorders>
          </w:tcPr>
          <w:p w:rsidR="00605EB3" w:rsidP="00605EB3" w:rsidRDefault="00605EB3" w14:paraId="6F1711F7" w14:textId="204BC9E1">
            <w:pPr>
              <w:pStyle w:val="TableParagraph"/>
              <w:spacing w:before="59"/>
              <w:ind w:right="394"/>
              <w:rPr>
                <w:sz w:val="24"/>
              </w:rPr>
            </w:pPr>
            <w:r w:rsidRPr="00111F36">
              <w:rPr>
                <w:sz w:val="24"/>
                <w:szCs w:val="24"/>
              </w:rPr>
              <w:t xml:space="preserve">$23,467,246 </w:t>
            </w:r>
          </w:p>
        </w:tc>
        <w:tc>
          <w:tcPr>
            <w:tcW w:w="2014" w:type="dxa"/>
            <w:tcBorders>
              <w:left w:val="single" w:color="000000" w:sz="4" w:space="0"/>
              <w:bottom w:val="single" w:color="000000" w:sz="4" w:space="0"/>
            </w:tcBorders>
          </w:tcPr>
          <w:p w:rsidR="00605EB3" w:rsidP="00605EB3" w:rsidRDefault="00605EB3" w14:paraId="63192BD6" w14:textId="168C91DC">
            <w:pPr>
              <w:pStyle w:val="TableParagraph"/>
              <w:spacing w:before="59"/>
              <w:ind w:left="379" w:right="359"/>
              <w:jc w:val="center"/>
              <w:rPr>
                <w:sz w:val="24"/>
              </w:rPr>
            </w:pPr>
            <w:r w:rsidRPr="00111F36">
              <w:rPr>
                <w:sz w:val="24"/>
                <w:szCs w:val="24"/>
              </w:rPr>
              <w:t xml:space="preserve">$7,132,241 </w:t>
            </w:r>
          </w:p>
        </w:tc>
        <w:tc>
          <w:tcPr>
            <w:tcW w:w="2015" w:type="dxa"/>
            <w:tcBorders>
              <w:bottom w:val="single" w:color="000000" w:sz="4" w:space="0"/>
            </w:tcBorders>
          </w:tcPr>
          <w:p w:rsidR="00605EB3" w:rsidP="00605EB3" w:rsidRDefault="00605EB3" w14:paraId="57B39B5D" w14:textId="6E79FBF6">
            <w:pPr>
              <w:pStyle w:val="TableParagraph"/>
              <w:spacing w:before="59"/>
              <w:ind w:left="385" w:right="370"/>
              <w:jc w:val="center"/>
              <w:rPr>
                <w:sz w:val="24"/>
              </w:rPr>
            </w:pPr>
            <w:r w:rsidRPr="00111F36">
              <w:rPr>
                <w:sz w:val="24"/>
                <w:szCs w:val="24"/>
              </w:rPr>
              <w:t>$</w:t>
            </w:r>
            <w:r w:rsidR="005F01B8">
              <w:rPr>
                <w:sz w:val="24"/>
                <w:szCs w:val="24"/>
              </w:rPr>
              <w:t>6,511,764</w:t>
            </w:r>
            <w:r w:rsidRPr="00111F36">
              <w:rPr>
                <w:sz w:val="24"/>
                <w:szCs w:val="24"/>
              </w:rPr>
              <w:t xml:space="preserve"> </w:t>
            </w:r>
          </w:p>
        </w:tc>
      </w:tr>
    </w:tbl>
    <w:p w:rsidR="007B31C8" w:rsidRDefault="006C3CB7" w14:paraId="0AE40460" w14:textId="178874CA">
      <w:pPr>
        <w:pStyle w:val="BodyText"/>
        <w:ind w:left="580"/>
        <w:jc w:val="both"/>
      </w:pPr>
      <w:r>
        <w:t>*</w:t>
      </w:r>
      <w:r w:rsidR="00605EB3">
        <w:t xml:space="preserve">2018 </w:t>
      </w:r>
      <w:r>
        <w:t>savings award cap minus 201</w:t>
      </w:r>
      <w:r w:rsidR="00605EB3">
        <w:t>8</w:t>
      </w:r>
      <w:r>
        <w:t xml:space="preserve"> Expected Savings Award earned in 201</w:t>
      </w:r>
      <w:r w:rsidR="00605EB3">
        <w:t>9</w:t>
      </w:r>
    </w:p>
    <w:p w:rsidR="00E02BCA" w:rsidRDefault="00E02BCA" w14:paraId="41734BAE" w14:textId="77777777">
      <w:pPr>
        <w:pStyle w:val="BodyText"/>
        <w:ind w:left="580"/>
        <w:jc w:val="both"/>
      </w:pPr>
    </w:p>
    <w:p w:rsidR="007B31C8" w:rsidRDefault="006C3CB7" w14:paraId="5886D7FF" w14:textId="08BAA19D">
      <w:pPr>
        <w:pStyle w:val="ListParagraph"/>
        <w:numPr>
          <w:ilvl w:val="2"/>
          <w:numId w:val="5"/>
        </w:numPr>
        <w:tabs>
          <w:tab w:val="left" w:pos="998"/>
        </w:tabs>
        <w:spacing w:before="1"/>
        <w:rPr>
          <w:sz w:val="24"/>
        </w:rPr>
      </w:pPr>
      <w:r>
        <w:rPr>
          <w:sz w:val="24"/>
        </w:rPr>
        <w:t>201</w:t>
      </w:r>
      <w:r w:rsidR="007462A1">
        <w:rPr>
          <w:sz w:val="24"/>
        </w:rPr>
        <w:t>9</w:t>
      </w:r>
      <w:r>
        <w:rPr>
          <w:sz w:val="24"/>
        </w:rPr>
        <w:t xml:space="preserve"> Expected Energy</w:t>
      </w:r>
      <w:r>
        <w:rPr>
          <w:spacing w:val="-3"/>
          <w:sz w:val="24"/>
        </w:rPr>
        <w:t xml:space="preserve"> </w:t>
      </w:r>
      <w:r>
        <w:rPr>
          <w:sz w:val="24"/>
        </w:rPr>
        <w:t>Savings</w:t>
      </w:r>
    </w:p>
    <w:p w:rsidR="007B31C8" w:rsidRDefault="006C3CB7" w14:paraId="481937FD" w14:textId="61847999">
      <w:pPr>
        <w:pStyle w:val="BodyText"/>
        <w:spacing w:before="120"/>
        <w:ind w:left="580"/>
        <w:jc w:val="both"/>
      </w:pPr>
      <w:r>
        <w:t xml:space="preserve">PG&amp;E’s award is </w:t>
      </w:r>
      <w:r w:rsidR="00CC0E4B">
        <w:t xml:space="preserve">$1,985 less than requested </w:t>
      </w:r>
      <w:r w:rsidRPr="001D13D9" w:rsidR="001D13D9">
        <w:t xml:space="preserve"> </w:t>
      </w:r>
      <w:r w:rsidR="001D13D9">
        <w:t>due to minor updates to the ESPI categories assigned to a couple measure groups after the CPUC’s draft workbooks were released on Aug 6</w:t>
      </w:r>
      <w:r w:rsidRPr="00B24842" w:rsidR="001D13D9">
        <w:rPr>
          <w:vertAlign w:val="superscript"/>
        </w:rPr>
        <w:t>th</w:t>
      </w:r>
      <w:r w:rsidR="001D13D9">
        <w:t>, 2020.</w:t>
      </w:r>
    </w:p>
    <w:p w:rsidR="007B31C8" w:rsidRDefault="007B31C8" w14:paraId="0A85C366"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4286C0F4" w14:textId="77777777">
        <w:trPr>
          <w:trHeight w:val="443"/>
        </w:trPr>
        <w:tc>
          <w:tcPr>
            <w:tcW w:w="2960" w:type="dxa"/>
          </w:tcPr>
          <w:p w:rsidR="007B31C8" w:rsidRDefault="006C3CB7" w14:paraId="48A5D567"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1CF8B6D9" w14:textId="3239D959">
            <w:pPr>
              <w:pStyle w:val="TableParagraph"/>
              <w:spacing w:before="57"/>
              <w:ind w:left="369" w:right="369"/>
              <w:jc w:val="center"/>
              <w:rPr>
                <w:b/>
                <w:sz w:val="24"/>
              </w:rPr>
            </w:pPr>
            <w:r>
              <w:rPr>
                <w:b/>
                <w:sz w:val="24"/>
              </w:rPr>
              <w:t>201</w:t>
            </w:r>
            <w:r w:rsidR="007462A1">
              <w:rPr>
                <w:b/>
                <w:sz w:val="24"/>
              </w:rPr>
              <w:t>9</w:t>
            </w:r>
            <w:r>
              <w:rPr>
                <w:b/>
                <w:sz w:val="24"/>
              </w:rPr>
              <w:t xml:space="preserve"> Cap</w:t>
            </w:r>
          </w:p>
        </w:tc>
        <w:tc>
          <w:tcPr>
            <w:tcW w:w="2014" w:type="dxa"/>
            <w:tcBorders>
              <w:left w:val="single" w:color="000000" w:sz="4" w:space="0"/>
            </w:tcBorders>
          </w:tcPr>
          <w:p w:rsidR="007B31C8" w:rsidRDefault="006C3CB7" w14:paraId="0C8B61ED" w14:textId="77777777">
            <w:pPr>
              <w:pStyle w:val="TableParagraph"/>
              <w:spacing w:before="57"/>
              <w:ind w:left="431"/>
              <w:jc w:val="left"/>
              <w:rPr>
                <w:b/>
                <w:sz w:val="24"/>
              </w:rPr>
            </w:pPr>
            <w:r>
              <w:rPr>
                <w:b/>
                <w:sz w:val="24"/>
              </w:rPr>
              <w:t>Requested</w:t>
            </w:r>
          </w:p>
        </w:tc>
        <w:tc>
          <w:tcPr>
            <w:tcW w:w="2015" w:type="dxa"/>
          </w:tcPr>
          <w:p w:rsidR="007B31C8" w:rsidRDefault="006C3CB7" w14:paraId="5A387253" w14:textId="77777777">
            <w:pPr>
              <w:pStyle w:val="TableParagraph"/>
              <w:spacing w:before="57"/>
              <w:ind w:right="431"/>
              <w:rPr>
                <w:b/>
                <w:sz w:val="24"/>
              </w:rPr>
            </w:pPr>
            <w:r>
              <w:rPr>
                <w:b/>
                <w:sz w:val="24"/>
              </w:rPr>
              <w:t>Approved</w:t>
            </w:r>
          </w:p>
        </w:tc>
      </w:tr>
      <w:tr w:rsidR="007462A1" w14:paraId="21FE55F8" w14:textId="77777777">
        <w:trPr>
          <w:trHeight w:val="443"/>
        </w:trPr>
        <w:tc>
          <w:tcPr>
            <w:tcW w:w="2960" w:type="dxa"/>
          </w:tcPr>
          <w:p w:rsidR="007462A1" w:rsidP="007462A1" w:rsidRDefault="007462A1" w14:paraId="46A53292" w14:textId="7053F1FD">
            <w:pPr>
              <w:pStyle w:val="TableParagraph"/>
              <w:spacing w:before="59"/>
              <w:ind w:left="166" w:right="148"/>
              <w:jc w:val="center"/>
              <w:rPr>
                <w:sz w:val="24"/>
              </w:rPr>
            </w:pPr>
            <w:r>
              <w:rPr>
                <w:sz w:val="24"/>
              </w:rPr>
              <w:t>2019 Expected Savings</w:t>
            </w:r>
          </w:p>
        </w:tc>
        <w:tc>
          <w:tcPr>
            <w:tcW w:w="2014" w:type="dxa"/>
            <w:tcBorders>
              <w:right w:val="single" w:color="000000" w:sz="4" w:space="0"/>
            </w:tcBorders>
          </w:tcPr>
          <w:p w:rsidR="007462A1" w:rsidP="007462A1" w:rsidRDefault="007462A1" w14:paraId="4A91F463" w14:textId="5F775BC3">
            <w:pPr>
              <w:pStyle w:val="TableParagraph"/>
              <w:spacing w:before="59"/>
              <w:ind w:left="368" w:right="369"/>
              <w:jc w:val="center"/>
              <w:rPr>
                <w:sz w:val="24"/>
              </w:rPr>
            </w:pPr>
            <w:r w:rsidRPr="00111F36">
              <w:rPr>
                <w:sz w:val="24"/>
                <w:szCs w:val="24"/>
              </w:rPr>
              <w:t xml:space="preserve">$20,484,049 </w:t>
            </w:r>
          </w:p>
        </w:tc>
        <w:tc>
          <w:tcPr>
            <w:tcW w:w="2014" w:type="dxa"/>
            <w:tcBorders>
              <w:left w:val="single" w:color="000000" w:sz="4" w:space="0"/>
            </w:tcBorders>
          </w:tcPr>
          <w:p w:rsidR="007462A1" w:rsidP="007462A1" w:rsidRDefault="007462A1" w14:paraId="5C5962A3" w14:textId="01083491">
            <w:pPr>
              <w:pStyle w:val="TableParagraph"/>
              <w:spacing w:before="59"/>
              <w:ind w:left="469"/>
              <w:jc w:val="left"/>
              <w:rPr>
                <w:sz w:val="24"/>
              </w:rPr>
            </w:pPr>
            <w:r w:rsidRPr="00111F36">
              <w:rPr>
                <w:sz w:val="24"/>
                <w:szCs w:val="24"/>
              </w:rPr>
              <w:t xml:space="preserve">$1,697,070 </w:t>
            </w:r>
          </w:p>
        </w:tc>
        <w:tc>
          <w:tcPr>
            <w:tcW w:w="2015" w:type="dxa"/>
          </w:tcPr>
          <w:p w:rsidR="007462A1" w:rsidP="007462A1" w:rsidRDefault="007462A1" w14:paraId="6C29FDE6" w14:textId="32D5414B">
            <w:pPr>
              <w:pStyle w:val="TableParagraph"/>
              <w:spacing w:before="59"/>
              <w:ind w:right="447"/>
              <w:rPr>
                <w:sz w:val="24"/>
              </w:rPr>
            </w:pPr>
            <w:r w:rsidRPr="00111F36">
              <w:rPr>
                <w:sz w:val="24"/>
                <w:szCs w:val="24"/>
              </w:rPr>
              <w:t xml:space="preserve">$1,695,085 </w:t>
            </w:r>
          </w:p>
        </w:tc>
      </w:tr>
    </w:tbl>
    <w:p w:rsidR="007B31C8" w:rsidRDefault="007B31C8" w14:paraId="3534D6D9" w14:textId="77777777">
      <w:pPr>
        <w:pStyle w:val="BodyText"/>
        <w:spacing w:before="10"/>
        <w:rPr>
          <w:sz w:val="17"/>
        </w:rPr>
      </w:pPr>
    </w:p>
    <w:p w:rsidR="007B31C8" w:rsidRDefault="006C3CB7" w14:paraId="47230ECF" w14:textId="77777777">
      <w:pPr>
        <w:pStyle w:val="ListParagraph"/>
        <w:numPr>
          <w:ilvl w:val="1"/>
          <w:numId w:val="5"/>
        </w:numPr>
        <w:tabs>
          <w:tab w:val="left" w:pos="581"/>
        </w:tabs>
        <w:ind w:hanging="361"/>
        <w:rPr>
          <w:sz w:val="24"/>
        </w:rPr>
      </w:pPr>
      <w:r>
        <w:rPr>
          <w:sz w:val="24"/>
          <w:u w:val="single"/>
        </w:rPr>
        <w:t>Ex Ante Review (EAR) Process</w:t>
      </w:r>
      <w:r>
        <w:rPr>
          <w:spacing w:val="-3"/>
          <w:sz w:val="24"/>
          <w:u w:val="single"/>
        </w:rPr>
        <w:t xml:space="preserve"> </w:t>
      </w:r>
      <w:r>
        <w:rPr>
          <w:sz w:val="24"/>
          <w:u w:val="single"/>
        </w:rPr>
        <w:t>Performance</w:t>
      </w:r>
    </w:p>
    <w:p w:rsidR="007B31C8" w:rsidRDefault="007B31C8" w14:paraId="26FBFC15" w14:textId="77777777">
      <w:pPr>
        <w:pStyle w:val="BodyText"/>
        <w:spacing w:before="1"/>
        <w:rPr>
          <w:sz w:val="16"/>
        </w:rPr>
      </w:pPr>
    </w:p>
    <w:p w:rsidR="007B31C8" w:rsidRDefault="006C3CB7" w14:paraId="2C028626" w14:textId="7FCF2A82">
      <w:pPr>
        <w:pStyle w:val="BodyText"/>
        <w:spacing w:before="24"/>
        <w:ind w:left="580" w:right="237"/>
        <w:jc w:val="both"/>
      </w:pPr>
      <w:r>
        <w:t xml:space="preserve">PG&amp;E’s award is reduced by their excess DINI </w:t>
      </w:r>
      <w:r w:rsidRPr="002B3488">
        <w:t>expenditures (</w:t>
      </w:r>
      <w:r w:rsidRPr="00D70819">
        <w:t xml:space="preserve">see section </w:t>
      </w:r>
      <w:r w:rsidR="00CC1DA0">
        <w:t>4</w:t>
      </w:r>
      <w:r w:rsidRPr="00D70819">
        <w:t>c). PG&amp;E’s 201</w:t>
      </w:r>
      <w:r w:rsidRPr="007B5F3B" w:rsidR="00E2462F">
        <w:t>9</w:t>
      </w:r>
      <w:r w:rsidRPr="007B5F3B">
        <w:t xml:space="preserve"> EAR performance score is weighted by their deemed and custom savings (see section </w:t>
      </w:r>
      <w:r w:rsidR="009F77AC">
        <w:t>5</w:t>
      </w:r>
      <w:r w:rsidRPr="007B5F3B">
        <w:t>).</w:t>
      </w:r>
      <w:r w:rsidRPr="007B5F3B" w:rsidR="00CC0E4B">
        <w:t xml:space="preserve">  PG&amp;E’s weighted score is higher than the score they</w:t>
      </w:r>
      <w:r w:rsidR="00CC0E4B">
        <w:t xml:space="preserve"> used to request their </w:t>
      </w:r>
      <w:r w:rsidR="00DC5E5C">
        <w:t>award;</w:t>
      </w:r>
      <w:r w:rsidR="00CC0E4B">
        <w:t xml:space="preserve"> therefore their award is higher than requested.</w:t>
      </w:r>
    </w:p>
    <w:p w:rsidR="007B31C8" w:rsidRDefault="007B31C8" w14:paraId="77E13572"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02937C68" w14:textId="77777777">
        <w:trPr>
          <w:trHeight w:val="443"/>
        </w:trPr>
        <w:tc>
          <w:tcPr>
            <w:tcW w:w="2960" w:type="dxa"/>
          </w:tcPr>
          <w:p w:rsidR="007B31C8" w:rsidRDefault="006C3CB7" w14:paraId="15CC47DC"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58ED76B2" w14:textId="4238D657">
            <w:pPr>
              <w:pStyle w:val="TableParagraph"/>
              <w:spacing w:before="57"/>
              <w:ind w:left="369" w:right="369"/>
              <w:jc w:val="center"/>
              <w:rPr>
                <w:b/>
                <w:sz w:val="24"/>
              </w:rPr>
            </w:pPr>
            <w:r>
              <w:rPr>
                <w:b/>
                <w:sz w:val="24"/>
              </w:rPr>
              <w:t>201</w:t>
            </w:r>
            <w:r w:rsidR="007462A1">
              <w:rPr>
                <w:b/>
                <w:sz w:val="24"/>
              </w:rPr>
              <w:t>9</w:t>
            </w:r>
            <w:r>
              <w:rPr>
                <w:b/>
                <w:sz w:val="24"/>
              </w:rPr>
              <w:t xml:space="preserve"> Cap</w:t>
            </w:r>
          </w:p>
        </w:tc>
        <w:tc>
          <w:tcPr>
            <w:tcW w:w="2014" w:type="dxa"/>
            <w:tcBorders>
              <w:left w:val="single" w:color="000000" w:sz="4" w:space="0"/>
            </w:tcBorders>
          </w:tcPr>
          <w:p w:rsidR="007B31C8" w:rsidRDefault="006C3CB7" w14:paraId="28EF7836" w14:textId="77777777">
            <w:pPr>
              <w:pStyle w:val="TableParagraph"/>
              <w:spacing w:before="57"/>
              <w:ind w:left="431"/>
              <w:jc w:val="left"/>
              <w:rPr>
                <w:b/>
                <w:sz w:val="24"/>
              </w:rPr>
            </w:pPr>
            <w:r>
              <w:rPr>
                <w:b/>
                <w:sz w:val="24"/>
              </w:rPr>
              <w:t>Requested</w:t>
            </w:r>
          </w:p>
        </w:tc>
        <w:tc>
          <w:tcPr>
            <w:tcW w:w="2015" w:type="dxa"/>
          </w:tcPr>
          <w:p w:rsidR="007B31C8" w:rsidRDefault="006C3CB7" w14:paraId="05E37887" w14:textId="77777777">
            <w:pPr>
              <w:pStyle w:val="TableParagraph"/>
              <w:spacing w:before="57"/>
              <w:ind w:left="380" w:right="370"/>
              <w:jc w:val="center"/>
              <w:rPr>
                <w:b/>
                <w:sz w:val="24"/>
              </w:rPr>
            </w:pPr>
            <w:r>
              <w:rPr>
                <w:b/>
                <w:sz w:val="24"/>
              </w:rPr>
              <w:t>Approved</w:t>
            </w:r>
          </w:p>
        </w:tc>
      </w:tr>
      <w:tr w:rsidR="007462A1" w:rsidTr="00F854FE" w14:paraId="48E94817" w14:textId="77777777">
        <w:trPr>
          <w:trHeight w:val="445"/>
        </w:trPr>
        <w:tc>
          <w:tcPr>
            <w:tcW w:w="2960" w:type="dxa"/>
            <w:tcBorders>
              <w:bottom w:val="single" w:color="000000" w:sz="4" w:space="0"/>
            </w:tcBorders>
          </w:tcPr>
          <w:p w:rsidR="007462A1" w:rsidP="007462A1" w:rsidRDefault="007462A1" w14:paraId="6F185F72" w14:textId="1983AA5D">
            <w:pPr>
              <w:pStyle w:val="TableParagraph"/>
              <w:spacing w:before="62"/>
              <w:ind w:left="163" w:right="148"/>
              <w:jc w:val="center"/>
              <w:rPr>
                <w:sz w:val="24"/>
              </w:rPr>
            </w:pPr>
            <w:r>
              <w:rPr>
                <w:sz w:val="24"/>
              </w:rPr>
              <w:t>2019 EAR Performance</w:t>
            </w:r>
          </w:p>
        </w:tc>
        <w:tc>
          <w:tcPr>
            <w:tcW w:w="2014" w:type="dxa"/>
            <w:tcBorders>
              <w:bottom w:val="single" w:color="000000" w:sz="4" w:space="0"/>
              <w:right w:val="single" w:color="000000" w:sz="4" w:space="0"/>
            </w:tcBorders>
            <w:vAlign w:val="center"/>
          </w:tcPr>
          <w:p w:rsidR="007462A1" w:rsidP="007462A1" w:rsidRDefault="007462A1" w14:paraId="15128511" w14:textId="6B2B74B2">
            <w:pPr>
              <w:pStyle w:val="TableParagraph"/>
              <w:spacing w:before="62"/>
              <w:ind w:left="368" w:right="369"/>
              <w:jc w:val="center"/>
              <w:rPr>
                <w:sz w:val="24"/>
              </w:rPr>
            </w:pPr>
            <w:r w:rsidRPr="00111F36">
              <w:rPr>
                <w:rFonts w:cs="Calibri"/>
                <w:color w:val="000000"/>
                <w:sz w:val="24"/>
                <w:szCs w:val="24"/>
              </w:rPr>
              <w:t xml:space="preserve">$6,828,016 </w:t>
            </w:r>
          </w:p>
        </w:tc>
        <w:tc>
          <w:tcPr>
            <w:tcW w:w="2014" w:type="dxa"/>
            <w:tcBorders>
              <w:left w:val="single" w:color="000000" w:sz="4" w:space="0"/>
              <w:bottom w:val="single" w:color="000000" w:sz="4" w:space="0"/>
            </w:tcBorders>
            <w:vAlign w:val="center"/>
          </w:tcPr>
          <w:p w:rsidR="007462A1" w:rsidP="007462A1" w:rsidRDefault="007462A1" w14:paraId="02878FE8" w14:textId="7D28B25E">
            <w:pPr>
              <w:pStyle w:val="TableParagraph"/>
              <w:spacing w:before="62"/>
              <w:ind w:left="469"/>
              <w:jc w:val="left"/>
              <w:rPr>
                <w:sz w:val="24"/>
              </w:rPr>
            </w:pPr>
            <w:r w:rsidRPr="00111F36">
              <w:rPr>
                <w:rFonts w:cs="Calibri"/>
                <w:color w:val="000000"/>
                <w:sz w:val="24"/>
                <w:szCs w:val="24"/>
              </w:rPr>
              <w:t xml:space="preserve">$3,909,786 </w:t>
            </w:r>
          </w:p>
        </w:tc>
        <w:tc>
          <w:tcPr>
            <w:tcW w:w="2015" w:type="dxa"/>
            <w:tcBorders>
              <w:bottom w:val="single" w:color="000000" w:sz="4" w:space="0"/>
            </w:tcBorders>
            <w:vAlign w:val="center"/>
          </w:tcPr>
          <w:p w:rsidR="007462A1" w:rsidP="007462A1" w:rsidRDefault="007462A1" w14:paraId="25A869A3" w14:textId="1D4FBAF5">
            <w:pPr>
              <w:pStyle w:val="TableParagraph"/>
              <w:spacing w:before="62"/>
              <w:ind w:left="375" w:right="370"/>
              <w:jc w:val="center"/>
              <w:rPr>
                <w:sz w:val="24"/>
              </w:rPr>
            </w:pPr>
            <w:r w:rsidRPr="00111F36">
              <w:rPr>
                <w:rFonts w:cs="Calibri"/>
                <w:color w:val="000000"/>
                <w:sz w:val="24"/>
                <w:szCs w:val="24"/>
              </w:rPr>
              <w:t xml:space="preserve">$4,271,378 </w:t>
            </w:r>
          </w:p>
        </w:tc>
      </w:tr>
    </w:tbl>
    <w:p w:rsidR="007B31C8" w:rsidRDefault="007B31C8" w14:paraId="387F7BD7" w14:textId="77777777">
      <w:pPr>
        <w:pStyle w:val="BodyText"/>
        <w:spacing w:before="11"/>
        <w:rPr>
          <w:sz w:val="17"/>
        </w:rPr>
      </w:pPr>
    </w:p>
    <w:p w:rsidR="007B31C8" w:rsidRDefault="006C3CB7" w14:paraId="0DBEA6A6" w14:textId="77777777">
      <w:pPr>
        <w:pStyle w:val="ListParagraph"/>
        <w:numPr>
          <w:ilvl w:val="1"/>
          <w:numId w:val="5"/>
        </w:numPr>
        <w:tabs>
          <w:tab w:val="left" w:pos="581"/>
        </w:tabs>
        <w:ind w:hanging="361"/>
        <w:rPr>
          <w:sz w:val="24"/>
        </w:rPr>
      </w:pPr>
      <w:r>
        <w:rPr>
          <w:sz w:val="24"/>
          <w:u w:val="single"/>
        </w:rPr>
        <w:lastRenderedPageBreak/>
        <w:t>Codes &amp; Standards</w:t>
      </w:r>
      <w:r>
        <w:rPr>
          <w:spacing w:val="-5"/>
          <w:sz w:val="24"/>
          <w:u w:val="single"/>
        </w:rPr>
        <w:t xml:space="preserve"> </w:t>
      </w:r>
      <w:r>
        <w:rPr>
          <w:sz w:val="24"/>
          <w:u w:val="single"/>
        </w:rPr>
        <w:t>Programs</w:t>
      </w:r>
    </w:p>
    <w:p w:rsidR="007B31C8" w:rsidRDefault="006C3CB7" w14:paraId="660BE2FA" w14:textId="77777777">
      <w:pPr>
        <w:pStyle w:val="BodyText"/>
        <w:spacing w:before="120"/>
        <w:ind w:left="580"/>
        <w:jc w:val="both"/>
      </w:pPr>
      <w:r>
        <w:t>PG&amp;E’s award is approved as requested.</w:t>
      </w:r>
    </w:p>
    <w:p w:rsidR="007B31C8" w:rsidRDefault="007B31C8" w14:paraId="710F8542"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05"/>
        <w:gridCol w:w="2192"/>
        <w:gridCol w:w="1846"/>
      </w:tblGrid>
      <w:tr w:rsidR="007B31C8" w14:paraId="1A355158" w14:textId="77777777">
        <w:trPr>
          <w:trHeight w:val="443"/>
        </w:trPr>
        <w:tc>
          <w:tcPr>
            <w:tcW w:w="2960" w:type="dxa"/>
          </w:tcPr>
          <w:p w:rsidR="007B31C8" w:rsidRDefault="006C3CB7" w14:paraId="7B781927" w14:textId="77777777">
            <w:pPr>
              <w:pStyle w:val="TableParagraph"/>
              <w:spacing w:before="57"/>
              <w:ind w:left="164" w:right="148"/>
              <w:jc w:val="center"/>
              <w:rPr>
                <w:b/>
                <w:sz w:val="24"/>
              </w:rPr>
            </w:pPr>
            <w:r>
              <w:rPr>
                <w:b/>
                <w:sz w:val="24"/>
              </w:rPr>
              <w:t>ESPI Component</w:t>
            </w:r>
          </w:p>
        </w:tc>
        <w:tc>
          <w:tcPr>
            <w:tcW w:w="2005" w:type="dxa"/>
            <w:tcBorders>
              <w:right w:val="single" w:color="000000" w:sz="4" w:space="0"/>
            </w:tcBorders>
          </w:tcPr>
          <w:p w:rsidR="007B31C8" w:rsidRDefault="006C3CB7" w14:paraId="4969E7D3" w14:textId="16C417C2">
            <w:pPr>
              <w:pStyle w:val="TableParagraph"/>
              <w:spacing w:before="57"/>
              <w:ind w:left="434" w:right="435"/>
              <w:jc w:val="center"/>
              <w:rPr>
                <w:b/>
                <w:sz w:val="24"/>
              </w:rPr>
            </w:pPr>
            <w:r>
              <w:rPr>
                <w:b/>
                <w:sz w:val="24"/>
              </w:rPr>
              <w:t>201</w:t>
            </w:r>
            <w:r w:rsidR="007462A1">
              <w:rPr>
                <w:b/>
                <w:sz w:val="24"/>
              </w:rPr>
              <w:t>9</w:t>
            </w:r>
            <w:r>
              <w:rPr>
                <w:b/>
                <w:sz w:val="24"/>
              </w:rPr>
              <w:t xml:space="preserve"> Cap</w:t>
            </w:r>
          </w:p>
        </w:tc>
        <w:tc>
          <w:tcPr>
            <w:tcW w:w="2192" w:type="dxa"/>
            <w:tcBorders>
              <w:left w:val="single" w:color="000000" w:sz="4" w:space="0"/>
            </w:tcBorders>
          </w:tcPr>
          <w:p w:rsidR="007B31C8" w:rsidRDefault="006C3CB7" w14:paraId="7EEF70D3" w14:textId="77777777">
            <w:pPr>
              <w:pStyle w:val="TableParagraph"/>
              <w:spacing w:before="57"/>
              <w:ind w:left="519"/>
              <w:jc w:val="left"/>
              <w:rPr>
                <w:b/>
                <w:sz w:val="24"/>
              </w:rPr>
            </w:pPr>
            <w:r>
              <w:rPr>
                <w:b/>
                <w:sz w:val="24"/>
              </w:rPr>
              <w:t>Requested</w:t>
            </w:r>
          </w:p>
        </w:tc>
        <w:tc>
          <w:tcPr>
            <w:tcW w:w="1846" w:type="dxa"/>
          </w:tcPr>
          <w:p w:rsidR="007B31C8" w:rsidRDefault="006C3CB7" w14:paraId="42C8536D" w14:textId="77777777">
            <w:pPr>
              <w:pStyle w:val="TableParagraph"/>
              <w:spacing w:before="57"/>
              <w:ind w:right="347"/>
              <w:rPr>
                <w:b/>
                <w:sz w:val="24"/>
              </w:rPr>
            </w:pPr>
            <w:r>
              <w:rPr>
                <w:b/>
                <w:sz w:val="24"/>
              </w:rPr>
              <w:t>Approved</w:t>
            </w:r>
          </w:p>
        </w:tc>
      </w:tr>
      <w:tr w:rsidR="007462A1" w:rsidTr="00F854FE" w14:paraId="412D750E" w14:textId="77777777">
        <w:trPr>
          <w:trHeight w:val="443"/>
        </w:trPr>
        <w:tc>
          <w:tcPr>
            <w:tcW w:w="2960" w:type="dxa"/>
            <w:tcBorders>
              <w:bottom w:val="single" w:color="000000" w:sz="4" w:space="0"/>
            </w:tcBorders>
          </w:tcPr>
          <w:p w:rsidR="007462A1" w:rsidP="007462A1" w:rsidRDefault="007462A1" w14:paraId="0A7E6128" w14:textId="7BD01D47">
            <w:pPr>
              <w:pStyle w:val="TableParagraph"/>
              <w:spacing w:before="59"/>
              <w:ind w:left="166" w:right="148"/>
              <w:jc w:val="center"/>
              <w:rPr>
                <w:sz w:val="24"/>
              </w:rPr>
            </w:pPr>
            <w:r>
              <w:rPr>
                <w:sz w:val="24"/>
              </w:rPr>
              <w:t>2019 Codes &amp; Standards</w:t>
            </w:r>
          </w:p>
        </w:tc>
        <w:tc>
          <w:tcPr>
            <w:tcW w:w="2005" w:type="dxa"/>
            <w:tcBorders>
              <w:bottom w:val="single" w:color="000000" w:sz="4" w:space="0"/>
              <w:right w:val="single" w:color="000000" w:sz="4" w:space="0"/>
            </w:tcBorders>
            <w:vAlign w:val="center"/>
          </w:tcPr>
          <w:p w:rsidR="007462A1" w:rsidP="007462A1" w:rsidRDefault="007462A1" w14:paraId="2D61FA3F" w14:textId="7A0028A5">
            <w:pPr>
              <w:pStyle w:val="TableParagraph"/>
              <w:spacing w:before="59"/>
              <w:ind w:left="434" w:right="436"/>
              <w:jc w:val="center"/>
              <w:rPr>
                <w:sz w:val="24"/>
              </w:rPr>
            </w:pPr>
            <w:r w:rsidRPr="00111F36">
              <w:rPr>
                <w:rFonts w:cs="Calibri"/>
                <w:color w:val="000000"/>
                <w:sz w:val="24"/>
                <w:szCs w:val="24"/>
              </w:rPr>
              <w:t xml:space="preserve">$2,402,018 </w:t>
            </w:r>
          </w:p>
        </w:tc>
        <w:tc>
          <w:tcPr>
            <w:tcW w:w="2192" w:type="dxa"/>
            <w:tcBorders>
              <w:left w:val="single" w:color="000000" w:sz="4" w:space="0"/>
              <w:bottom w:val="single" w:color="000000" w:sz="4" w:space="0"/>
            </w:tcBorders>
            <w:vAlign w:val="center"/>
          </w:tcPr>
          <w:p w:rsidR="007462A1" w:rsidP="007462A1" w:rsidRDefault="007462A1" w14:paraId="22CA1E00" w14:textId="73244BE2">
            <w:pPr>
              <w:pStyle w:val="TableParagraph"/>
              <w:spacing w:before="59"/>
              <w:ind w:left="558"/>
              <w:jc w:val="left"/>
              <w:rPr>
                <w:sz w:val="24"/>
              </w:rPr>
            </w:pPr>
            <w:r w:rsidRPr="00111F36">
              <w:rPr>
                <w:rFonts w:cs="Calibri"/>
                <w:color w:val="000000"/>
                <w:sz w:val="24"/>
                <w:szCs w:val="24"/>
              </w:rPr>
              <w:t xml:space="preserve">$2,402,018 </w:t>
            </w:r>
          </w:p>
        </w:tc>
        <w:tc>
          <w:tcPr>
            <w:tcW w:w="1846" w:type="dxa"/>
            <w:tcBorders>
              <w:bottom w:val="single" w:color="000000" w:sz="4" w:space="0"/>
            </w:tcBorders>
            <w:vAlign w:val="center"/>
          </w:tcPr>
          <w:p w:rsidR="007462A1" w:rsidP="007462A1" w:rsidRDefault="00CC0E4B" w14:paraId="3EEDBB0B" w14:textId="52800660">
            <w:pPr>
              <w:pStyle w:val="TableParagraph"/>
              <w:spacing w:before="59"/>
              <w:ind w:right="363"/>
              <w:rPr>
                <w:sz w:val="24"/>
              </w:rPr>
            </w:pPr>
            <w:r w:rsidRPr="00111F36">
              <w:rPr>
                <w:rFonts w:cs="Calibri"/>
                <w:color w:val="000000"/>
                <w:sz w:val="24"/>
                <w:szCs w:val="24"/>
              </w:rPr>
              <w:t>$2,402,018</w:t>
            </w:r>
          </w:p>
        </w:tc>
      </w:tr>
    </w:tbl>
    <w:p w:rsidRPr="00290E4D" w:rsidR="00FF7153" w:rsidP="00290E4D" w:rsidRDefault="00FF7153" w14:paraId="0EACC46F" w14:textId="77777777">
      <w:pPr>
        <w:pStyle w:val="ListParagraph"/>
        <w:tabs>
          <w:tab w:val="left" w:pos="581"/>
        </w:tabs>
        <w:spacing w:before="201"/>
        <w:ind w:firstLine="0"/>
        <w:rPr>
          <w:sz w:val="24"/>
        </w:rPr>
      </w:pPr>
    </w:p>
    <w:p w:rsidR="007B31C8" w:rsidRDefault="006C3CB7" w14:paraId="07F06EAF" w14:textId="42AD5543">
      <w:pPr>
        <w:pStyle w:val="ListParagraph"/>
        <w:numPr>
          <w:ilvl w:val="1"/>
          <w:numId w:val="5"/>
        </w:numPr>
        <w:tabs>
          <w:tab w:val="left" w:pos="581"/>
        </w:tabs>
        <w:spacing w:before="201"/>
        <w:ind w:hanging="361"/>
        <w:rPr>
          <w:sz w:val="24"/>
        </w:rPr>
      </w:pPr>
      <w:r>
        <w:rPr>
          <w:sz w:val="24"/>
          <w:u w:val="single"/>
        </w:rPr>
        <w:t>Non-Resource</w:t>
      </w:r>
      <w:r>
        <w:rPr>
          <w:spacing w:val="-1"/>
          <w:sz w:val="24"/>
          <w:u w:val="single"/>
        </w:rPr>
        <w:t xml:space="preserve"> </w:t>
      </w:r>
      <w:r>
        <w:rPr>
          <w:sz w:val="24"/>
          <w:u w:val="single"/>
        </w:rPr>
        <w:t>Programs</w:t>
      </w:r>
    </w:p>
    <w:p w:rsidR="007B31C8" w:rsidRDefault="006C3CB7" w14:paraId="2DD2E5D3" w14:textId="77777777">
      <w:pPr>
        <w:pStyle w:val="BodyText"/>
        <w:spacing w:before="120"/>
        <w:ind w:left="580"/>
        <w:jc w:val="both"/>
      </w:pPr>
      <w:r>
        <w:t>PG&amp;E’s award is approved as requested.</w:t>
      </w:r>
    </w:p>
    <w:p w:rsidR="007B31C8" w:rsidRDefault="007B31C8" w14:paraId="19E9B90A" w14:textId="77777777">
      <w:pPr>
        <w:pStyle w:val="BodyText"/>
        <w:spacing w:before="2"/>
        <w:rPr>
          <w:sz w:val="12"/>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2514AE80" w14:textId="77777777">
        <w:trPr>
          <w:trHeight w:val="443"/>
        </w:trPr>
        <w:tc>
          <w:tcPr>
            <w:tcW w:w="2960" w:type="dxa"/>
          </w:tcPr>
          <w:p w:rsidR="007B31C8" w:rsidRDefault="006C3CB7" w14:paraId="366C6A5B"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783907F6" w14:textId="0550C973">
            <w:pPr>
              <w:pStyle w:val="TableParagraph"/>
              <w:spacing w:before="57"/>
              <w:ind w:left="508"/>
              <w:jc w:val="left"/>
              <w:rPr>
                <w:b/>
                <w:sz w:val="24"/>
              </w:rPr>
            </w:pPr>
            <w:r>
              <w:rPr>
                <w:b/>
                <w:sz w:val="24"/>
              </w:rPr>
              <w:t>201</w:t>
            </w:r>
            <w:r w:rsidR="007462A1">
              <w:rPr>
                <w:b/>
                <w:sz w:val="24"/>
              </w:rPr>
              <w:t>9</w:t>
            </w:r>
            <w:r>
              <w:rPr>
                <w:b/>
                <w:sz w:val="24"/>
              </w:rPr>
              <w:t xml:space="preserve"> Cap</w:t>
            </w:r>
          </w:p>
        </w:tc>
        <w:tc>
          <w:tcPr>
            <w:tcW w:w="2014" w:type="dxa"/>
            <w:tcBorders>
              <w:left w:val="single" w:color="000000" w:sz="4" w:space="0"/>
            </w:tcBorders>
          </w:tcPr>
          <w:p w:rsidR="007B31C8" w:rsidRDefault="006C3CB7" w14:paraId="3EF35F94" w14:textId="77777777">
            <w:pPr>
              <w:pStyle w:val="TableParagraph"/>
              <w:spacing w:before="57"/>
              <w:ind w:left="379" w:right="361"/>
              <w:jc w:val="center"/>
              <w:rPr>
                <w:b/>
                <w:sz w:val="24"/>
              </w:rPr>
            </w:pPr>
            <w:r>
              <w:rPr>
                <w:b/>
                <w:sz w:val="24"/>
              </w:rPr>
              <w:t>Requested</w:t>
            </w:r>
          </w:p>
        </w:tc>
        <w:tc>
          <w:tcPr>
            <w:tcW w:w="2015" w:type="dxa"/>
          </w:tcPr>
          <w:p w:rsidR="007B31C8" w:rsidRDefault="006C3CB7" w14:paraId="19A68A4F" w14:textId="77777777">
            <w:pPr>
              <w:pStyle w:val="TableParagraph"/>
              <w:spacing w:before="57"/>
              <w:ind w:left="385" w:right="366"/>
              <w:jc w:val="center"/>
              <w:rPr>
                <w:b/>
                <w:sz w:val="24"/>
              </w:rPr>
            </w:pPr>
            <w:r>
              <w:rPr>
                <w:b/>
                <w:sz w:val="24"/>
              </w:rPr>
              <w:t>Approved</w:t>
            </w:r>
          </w:p>
        </w:tc>
      </w:tr>
      <w:tr w:rsidR="007462A1" w:rsidTr="0052414B" w14:paraId="17E880C4" w14:textId="77777777">
        <w:trPr>
          <w:trHeight w:val="445"/>
        </w:trPr>
        <w:tc>
          <w:tcPr>
            <w:tcW w:w="2960" w:type="dxa"/>
            <w:tcBorders>
              <w:bottom w:val="single" w:color="000000" w:sz="4" w:space="0"/>
            </w:tcBorders>
          </w:tcPr>
          <w:p w:rsidR="007462A1" w:rsidP="007462A1" w:rsidRDefault="007462A1" w14:paraId="25772803" w14:textId="074D0245">
            <w:pPr>
              <w:pStyle w:val="TableParagraph"/>
              <w:spacing w:before="62"/>
              <w:ind w:left="162" w:right="148"/>
              <w:jc w:val="center"/>
              <w:rPr>
                <w:sz w:val="24"/>
              </w:rPr>
            </w:pPr>
            <w:r>
              <w:rPr>
                <w:sz w:val="24"/>
              </w:rPr>
              <w:t>2019 Non-Resource</w:t>
            </w:r>
          </w:p>
        </w:tc>
        <w:tc>
          <w:tcPr>
            <w:tcW w:w="2014" w:type="dxa"/>
            <w:tcBorders>
              <w:bottom w:val="single" w:color="000000" w:sz="4" w:space="0"/>
              <w:right w:val="single" w:color="000000" w:sz="4" w:space="0"/>
            </w:tcBorders>
            <w:vAlign w:val="center"/>
          </w:tcPr>
          <w:p w:rsidR="007462A1" w:rsidP="007462A1" w:rsidRDefault="007462A1" w14:paraId="6746C7D0" w14:textId="305CBB1A">
            <w:pPr>
              <w:pStyle w:val="TableParagraph"/>
              <w:spacing w:before="62"/>
              <w:ind w:left="546"/>
              <w:jc w:val="left"/>
              <w:rPr>
                <w:sz w:val="24"/>
              </w:rPr>
            </w:pPr>
            <w:r w:rsidRPr="00111F36">
              <w:rPr>
                <w:rFonts w:cs="Calibri"/>
                <w:color w:val="000000"/>
                <w:sz w:val="24"/>
                <w:szCs w:val="24"/>
              </w:rPr>
              <w:t xml:space="preserve">$665,852 </w:t>
            </w:r>
          </w:p>
        </w:tc>
        <w:tc>
          <w:tcPr>
            <w:tcW w:w="2014" w:type="dxa"/>
            <w:tcBorders>
              <w:left w:val="single" w:color="000000" w:sz="4" w:space="0"/>
              <w:bottom w:val="single" w:color="000000" w:sz="4" w:space="0"/>
            </w:tcBorders>
            <w:vAlign w:val="center"/>
          </w:tcPr>
          <w:p w:rsidR="007462A1" w:rsidP="007462A1" w:rsidRDefault="007462A1" w14:paraId="216C76C4" w14:textId="7082AA76">
            <w:pPr>
              <w:pStyle w:val="TableParagraph"/>
              <w:spacing w:before="62"/>
              <w:ind w:left="379" w:right="356"/>
              <w:jc w:val="center"/>
              <w:rPr>
                <w:sz w:val="24"/>
              </w:rPr>
            </w:pPr>
            <w:r w:rsidRPr="00111F36">
              <w:rPr>
                <w:rFonts w:cs="Calibri"/>
                <w:color w:val="000000"/>
                <w:sz w:val="24"/>
                <w:szCs w:val="24"/>
              </w:rPr>
              <w:t xml:space="preserve">$418,853 </w:t>
            </w:r>
          </w:p>
        </w:tc>
        <w:tc>
          <w:tcPr>
            <w:tcW w:w="2015" w:type="dxa"/>
            <w:tcBorders>
              <w:bottom w:val="single" w:color="000000" w:sz="4" w:space="0"/>
            </w:tcBorders>
            <w:vAlign w:val="center"/>
          </w:tcPr>
          <w:p w:rsidRPr="00EF0BE7" w:rsidR="007462A1" w:rsidP="00EF0BE7" w:rsidRDefault="00CC0E4B" w14:paraId="59150EE0" w14:textId="5FD25EC9">
            <w:pPr>
              <w:pStyle w:val="TableParagraph"/>
              <w:spacing w:before="62"/>
              <w:ind w:left="379" w:right="356"/>
              <w:jc w:val="center"/>
              <w:rPr>
                <w:rFonts w:cs="Calibri"/>
                <w:color w:val="000000"/>
                <w:sz w:val="24"/>
                <w:szCs w:val="24"/>
              </w:rPr>
            </w:pPr>
            <w:r w:rsidRPr="0052414B">
              <w:rPr>
                <w:rFonts w:cs="Calibri"/>
                <w:color w:val="000000"/>
                <w:sz w:val="24"/>
                <w:szCs w:val="24"/>
              </w:rPr>
              <w:t>$418,853</w:t>
            </w:r>
          </w:p>
        </w:tc>
      </w:tr>
    </w:tbl>
    <w:p w:rsidR="007B31C8" w:rsidRDefault="006C3CB7" w14:paraId="282A20B7" w14:textId="77777777">
      <w:pPr>
        <w:pStyle w:val="ListParagraph"/>
        <w:numPr>
          <w:ilvl w:val="1"/>
          <w:numId w:val="5"/>
        </w:numPr>
        <w:tabs>
          <w:tab w:val="left" w:pos="581"/>
        </w:tabs>
        <w:spacing w:before="24"/>
        <w:ind w:hanging="361"/>
        <w:rPr>
          <w:sz w:val="24"/>
        </w:rPr>
      </w:pPr>
      <w:r>
        <w:rPr>
          <w:sz w:val="24"/>
          <w:u w:val="single"/>
        </w:rPr>
        <w:t>True Ups</w:t>
      </w:r>
    </w:p>
    <w:p w:rsidR="00757E65" w:rsidP="00757E65" w:rsidRDefault="006C3CB7" w14:paraId="49D5A866" w14:textId="32E2CF33">
      <w:pPr>
        <w:pStyle w:val="BodyText"/>
        <w:spacing w:before="24"/>
        <w:ind w:left="580" w:right="237"/>
        <w:jc w:val="both"/>
      </w:pPr>
      <w:r>
        <w:t xml:space="preserve">PG&amp;E’s requested </w:t>
      </w:r>
      <w:r w:rsidR="007462A1">
        <w:t xml:space="preserve">2018 </w:t>
      </w:r>
      <w:r>
        <w:t xml:space="preserve">Expected Savings True Up </w:t>
      </w:r>
      <w:r w:rsidR="007462A1">
        <w:t>is accepted.</w:t>
      </w:r>
      <w:r w:rsidR="00757E65">
        <w:t xml:space="preserve"> The 2018 true ups include PG&amp;E’s weighted average cost of</w:t>
      </w:r>
      <w:r w:rsidR="00757E65">
        <w:rPr>
          <w:spacing w:val="-1"/>
        </w:rPr>
        <w:t xml:space="preserve"> </w:t>
      </w:r>
      <w:r w:rsidR="00757E65">
        <w:t>capital.</w:t>
      </w:r>
    </w:p>
    <w:tbl>
      <w:tblPr>
        <w:tblW w:w="0" w:type="auto"/>
        <w:tblInd w:w="9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503"/>
        <w:gridCol w:w="1708"/>
        <w:gridCol w:w="1709"/>
      </w:tblGrid>
      <w:tr w:rsidR="007462A1" w:rsidTr="00A23AF3" w14:paraId="15527E3B" w14:textId="77777777">
        <w:trPr>
          <w:trHeight w:val="445"/>
        </w:trPr>
        <w:tc>
          <w:tcPr>
            <w:tcW w:w="4503" w:type="dxa"/>
            <w:tcBorders>
              <w:bottom w:val="single" w:color="000000" w:sz="4" w:space="0"/>
            </w:tcBorders>
          </w:tcPr>
          <w:p w:rsidR="007462A1" w:rsidP="00A23AF3" w:rsidRDefault="007462A1" w14:paraId="1E909A58" w14:textId="77777777">
            <w:pPr>
              <w:pStyle w:val="TableParagraph"/>
              <w:spacing w:before="59"/>
              <w:ind w:left="1582" w:right="1566"/>
              <w:jc w:val="center"/>
              <w:rPr>
                <w:b/>
                <w:sz w:val="24"/>
              </w:rPr>
            </w:pPr>
            <w:r>
              <w:rPr>
                <w:b/>
                <w:sz w:val="24"/>
              </w:rPr>
              <w:t>Component</w:t>
            </w:r>
          </w:p>
        </w:tc>
        <w:tc>
          <w:tcPr>
            <w:tcW w:w="1708" w:type="dxa"/>
            <w:tcBorders>
              <w:bottom w:val="single" w:color="000000" w:sz="4" w:space="0"/>
            </w:tcBorders>
          </w:tcPr>
          <w:p w:rsidR="007462A1" w:rsidP="00A23AF3" w:rsidRDefault="007462A1" w14:paraId="2C7DDD17" w14:textId="77777777">
            <w:pPr>
              <w:pStyle w:val="TableParagraph"/>
              <w:spacing w:before="59"/>
              <w:ind w:left="275"/>
              <w:jc w:val="left"/>
              <w:rPr>
                <w:b/>
                <w:sz w:val="24"/>
              </w:rPr>
            </w:pPr>
            <w:r>
              <w:rPr>
                <w:b/>
                <w:sz w:val="24"/>
              </w:rPr>
              <w:t>Requested</w:t>
            </w:r>
          </w:p>
        </w:tc>
        <w:tc>
          <w:tcPr>
            <w:tcW w:w="1709" w:type="dxa"/>
            <w:tcBorders>
              <w:bottom w:val="single" w:color="000000" w:sz="4" w:space="0"/>
            </w:tcBorders>
          </w:tcPr>
          <w:p w:rsidR="007462A1" w:rsidP="00A23AF3" w:rsidRDefault="007462A1" w14:paraId="73977AE4" w14:textId="77777777">
            <w:pPr>
              <w:pStyle w:val="TableParagraph"/>
              <w:spacing w:before="59"/>
              <w:ind w:left="300"/>
              <w:jc w:val="left"/>
              <w:rPr>
                <w:b/>
                <w:sz w:val="24"/>
              </w:rPr>
            </w:pPr>
            <w:r>
              <w:rPr>
                <w:b/>
                <w:sz w:val="24"/>
              </w:rPr>
              <w:t>Approved</w:t>
            </w:r>
          </w:p>
        </w:tc>
      </w:tr>
      <w:tr w:rsidR="007462A1" w:rsidTr="00A23AF3" w14:paraId="0B546057" w14:textId="77777777">
        <w:trPr>
          <w:trHeight w:val="287"/>
        </w:trPr>
        <w:tc>
          <w:tcPr>
            <w:tcW w:w="4503" w:type="dxa"/>
            <w:tcBorders>
              <w:top w:val="single" w:color="auto" w:sz="4" w:space="0"/>
              <w:left w:val="single" w:color="auto" w:sz="4" w:space="0"/>
              <w:bottom w:val="single" w:color="auto" w:sz="4" w:space="0"/>
            </w:tcBorders>
            <w:vAlign w:val="center"/>
          </w:tcPr>
          <w:p w:rsidRPr="00111F36" w:rsidR="007462A1" w:rsidP="00F03D24" w:rsidRDefault="007462A1" w14:paraId="18C16B96" w14:textId="77777777">
            <w:pPr>
              <w:pStyle w:val="TableParagraph"/>
              <w:spacing w:before="62"/>
              <w:ind w:left="162" w:right="148"/>
              <w:jc w:val="left"/>
              <w:rPr>
                <w:sz w:val="24"/>
                <w:szCs w:val="24"/>
              </w:rPr>
            </w:pPr>
            <w:r w:rsidRPr="009C3D69">
              <w:rPr>
                <w:sz w:val="24"/>
              </w:rPr>
              <w:t>2018 Ex-Ante Savings True Up</w:t>
            </w:r>
          </w:p>
        </w:tc>
        <w:tc>
          <w:tcPr>
            <w:tcW w:w="1708" w:type="dxa"/>
            <w:tcBorders>
              <w:top w:val="single" w:color="auto" w:sz="4" w:space="0"/>
              <w:bottom w:val="single" w:color="auto" w:sz="4" w:space="0"/>
            </w:tcBorders>
            <w:vAlign w:val="center"/>
          </w:tcPr>
          <w:p w:rsidRPr="00111F36" w:rsidR="007462A1" w:rsidP="00A23AF3" w:rsidRDefault="007462A1" w14:paraId="4F491E47" w14:textId="77777777">
            <w:pPr>
              <w:pStyle w:val="TableParagraph"/>
              <w:spacing w:line="268" w:lineRule="exact"/>
              <w:ind w:right="85"/>
              <w:rPr>
                <w:sz w:val="24"/>
                <w:szCs w:val="24"/>
              </w:rPr>
            </w:pPr>
            <w:r w:rsidRPr="00C70619">
              <w:rPr>
                <w:rFonts w:cs="Calibri"/>
                <w:sz w:val="24"/>
                <w:szCs w:val="24"/>
              </w:rPr>
              <w:t xml:space="preserve">$21 </w:t>
            </w:r>
          </w:p>
        </w:tc>
        <w:tc>
          <w:tcPr>
            <w:tcW w:w="1709" w:type="dxa"/>
            <w:tcBorders>
              <w:top w:val="single" w:color="auto" w:sz="4" w:space="0"/>
              <w:bottom w:val="single" w:color="auto" w:sz="4" w:space="0"/>
              <w:right w:val="single" w:color="auto" w:sz="4" w:space="0"/>
            </w:tcBorders>
            <w:vAlign w:val="center"/>
          </w:tcPr>
          <w:p w:rsidRPr="00111F36" w:rsidR="007462A1" w:rsidP="00A23AF3" w:rsidRDefault="007462A1" w14:paraId="431B59E4" w14:textId="77777777">
            <w:pPr>
              <w:pStyle w:val="TableParagraph"/>
              <w:spacing w:line="268" w:lineRule="exact"/>
              <w:ind w:right="84"/>
              <w:rPr>
                <w:sz w:val="24"/>
                <w:szCs w:val="24"/>
              </w:rPr>
            </w:pPr>
            <w:r w:rsidRPr="00C70619">
              <w:rPr>
                <w:rFonts w:cs="Calibri"/>
                <w:color w:val="000000"/>
                <w:sz w:val="24"/>
                <w:szCs w:val="24"/>
              </w:rPr>
              <w:t xml:space="preserve">$21 </w:t>
            </w:r>
          </w:p>
        </w:tc>
      </w:tr>
    </w:tbl>
    <w:p w:rsidR="007B31C8" w:rsidP="00757E65" w:rsidRDefault="006C3CB7" w14:paraId="08B4F944" w14:textId="3FE2032B">
      <w:pPr>
        <w:pStyle w:val="BodyText"/>
        <w:spacing w:before="24"/>
        <w:ind w:left="580" w:right="237"/>
        <w:jc w:val="both"/>
      </w:pPr>
      <w:r>
        <w:t xml:space="preserve">PG&amp;E’s final </w:t>
      </w:r>
      <w:r w:rsidR="007462A1">
        <w:t>20</w:t>
      </w:r>
      <w:r w:rsidR="00E372DD">
        <w:t>20</w:t>
      </w:r>
      <w:r w:rsidR="007462A1">
        <w:t xml:space="preserve"> </w:t>
      </w:r>
      <w:r>
        <w:t>award values including all adjustments are shown in Table 12.</w:t>
      </w:r>
    </w:p>
    <w:p w:rsidR="00757E65" w:rsidP="00F03D24" w:rsidRDefault="00757E65" w14:paraId="2A664F8C" w14:textId="77777777">
      <w:pPr>
        <w:pStyle w:val="BodyText"/>
        <w:spacing w:before="24"/>
        <w:ind w:left="580" w:right="237"/>
        <w:jc w:val="both"/>
      </w:pPr>
    </w:p>
    <w:p w:rsidR="007B31C8" w:rsidP="00F03D24" w:rsidRDefault="006C3CB7" w14:paraId="21CB53B6" w14:textId="5CA05AD1">
      <w:pPr>
        <w:pStyle w:val="BodyText"/>
        <w:spacing w:before="24"/>
        <w:ind w:left="580" w:right="237"/>
        <w:jc w:val="center"/>
      </w:pPr>
      <w:r>
        <w:t xml:space="preserve">Table 12: PG&amp;E </w:t>
      </w:r>
      <w:r w:rsidR="007462A1">
        <w:t>20</w:t>
      </w:r>
      <w:r w:rsidR="00E372DD">
        <w:t>20</w:t>
      </w:r>
      <w:r w:rsidR="007462A1">
        <w:t xml:space="preserve"> </w:t>
      </w:r>
      <w:r>
        <w:t>ESPI Awards</w:t>
      </w:r>
    </w:p>
    <w:tbl>
      <w:tblPr>
        <w:tblW w:w="0" w:type="auto"/>
        <w:tblInd w:w="9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000"/>
        <w:gridCol w:w="1530"/>
        <w:gridCol w:w="1530"/>
      </w:tblGrid>
      <w:tr w:rsidR="007462A1" w:rsidTr="00F03D24" w14:paraId="2030A3C9" w14:textId="77777777">
        <w:trPr>
          <w:trHeight w:val="443"/>
        </w:trPr>
        <w:tc>
          <w:tcPr>
            <w:tcW w:w="5000" w:type="dxa"/>
            <w:tcBorders>
              <w:bottom w:val="single" w:color="000000" w:sz="4" w:space="0"/>
            </w:tcBorders>
          </w:tcPr>
          <w:p w:rsidR="007462A1" w:rsidP="00A23AF3" w:rsidRDefault="007462A1" w14:paraId="5301B4F8" w14:textId="77777777">
            <w:pPr>
              <w:pStyle w:val="TableParagraph"/>
              <w:spacing w:before="57"/>
              <w:ind w:left="1582" w:right="1564"/>
              <w:jc w:val="center"/>
              <w:rPr>
                <w:b/>
                <w:sz w:val="24"/>
              </w:rPr>
            </w:pPr>
            <w:r>
              <w:rPr>
                <w:b/>
                <w:sz w:val="24"/>
              </w:rPr>
              <w:t>Component</w:t>
            </w:r>
          </w:p>
        </w:tc>
        <w:tc>
          <w:tcPr>
            <w:tcW w:w="1530" w:type="dxa"/>
            <w:tcBorders>
              <w:bottom w:val="single" w:color="000000" w:sz="4" w:space="0"/>
            </w:tcBorders>
          </w:tcPr>
          <w:p w:rsidR="007462A1" w:rsidP="00A23AF3" w:rsidRDefault="007462A1" w14:paraId="03887786" w14:textId="77777777">
            <w:pPr>
              <w:pStyle w:val="TableParagraph"/>
              <w:spacing w:before="57"/>
              <w:ind w:left="275"/>
              <w:jc w:val="left"/>
              <w:rPr>
                <w:b/>
                <w:sz w:val="24"/>
              </w:rPr>
            </w:pPr>
            <w:r>
              <w:rPr>
                <w:b/>
                <w:sz w:val="24"/>
              </w:rPr>
              <w:t>Requested</w:t>
            </w:r>
          </w:p>
        </w:tc>
        <w:tc>
          <w:tcPr>
            <w:tcW w:w="1530" w:type="dxa"/>
            <w:tcBorders>
              <w:bottom w:val="single" w:color="000000" w:sz="4" w:space="0"/>
            </w:tcBorders>
          </w:tcPr>
          <w:p w:rsidR="007462A1" w:rsidP="00A23AF3" w:rsidRDefault="007462A1" w14:paraId="255DF299" w14:textId="77777777">
            <w:pPr>
              <w:pStyle w:val="TableParagraph"/>
              <w:spacing w:before="57"/>
              <w:ind w:left="297"/>
              <w:jc w:val="left"/>
              <w:rPr>
                <w:b/>
                <w:sz w:val="24"/>
              </w:rPr>
            </w:pPr>
            <w:r>
              <w:rPr>
                <w:b/>
                <w:sz w:val="24"/>
              </w:rPr>
              <w:t>Approved</w:t>
            </w:r>
          </w:p>
        </w:tc>
      </w:tr>
      <w:tr w:rsidR="007462A1" w:rsidTr="00F03D24" w14:paraId="4C9E7EB6" w14:textId="77777777">
        <w:trPr>
          <w:trHeight w:val="360"/>
        </w:trPr>
        <w:tc>
          <w:tcPr>
            <w:tcW w:w="5000" w:type="dxa"/>
            <w:tcBorders>
              <w:top w:val="single" w:color="000000" w:sz="4" w:space="0"/>
              <w:left w:val="single" w:color="000000" w:sz="4" w:space="0"/>
              <w:bottom w:val="nil"/>
              <w:right w:val="single" w:color="000000" w:sz="4" w:space="0"/>
            </w:tcBorders>
            <w:vAlign w:val="center"/>
          </w:tcPr>
          <w:p w:rsidRPr="006D66E8" w:rsidR="007462A1" w:rsidP="00F03D24" w:rsidRDefault="007462A1" w14:paraId="05082573" w14:textId="77777777">
            <w:pPr>
              <w:pStyle w:val="TableParagraph"/>
              <w:spacing w:before="62"/>
              <w:ind w:left="162" w:right="148"/>
              <w:jc w:val="left"/>
              <w:rPr>
                <w:sz w:val="24"/>
              </w:rPr>
            </w:pPr>
            <w:r w:rsidRPr="00F03D24">
              <w:rPr>
                <w:sz w:val="24"/>
              </w:rPr>
              <w:t xml:space="preserve">2018 Ex-Post Savings </w:t>
            </w:r>
          </w:p>
        </w:tc>
        <w:tc>
          <w:tcPr>
            <w:tcW w:w="1530" w:type="dxa"/>
            <w:tcBorders>
              <w:top w:val="single" w:color="000000" w:sz="4" w:space="0"/>
              <w:left w:val="single" w:color="000000" w:sz="4" w:space="0"/>
              <w:bottom w:val="nil"/>
              <w:right w:val="single" w:color="000000" w:sz="4" w:space="0"/>
            </w:tcBorders>
            <w:vAlign w:val="center"/>
          </w:tcPr>
          <w:p w:rsidRPr="00F2699C" w:rsidR="007462A1" w:rsidP="00A23AF3" w:rsidRDefault="007462A1" w14:paraId="24914E92" w14:textId="77777777">
            <w:pPr>
              <w:pStyle w:val="TableParagraph"/>
              <w:ind w:right="93"/>
              <w:rPr>
                <w:sz w:val="24"/>
                <w:szCs w:val="24"/>
              </w:rPr>
            </w:pPr>
            <w:r w:rsidRPr="00F2699C">
              <w:rPr>
                <w:rFonts w:cs="Calibri"/>
                <w:color w:val="000000"/>
                <w:sz w:val="24"/>
                <w:szCs w:val="24"/>
              </w:rPr>
              <w:t xml:space="preserve">$7,132,241 </w:t>
            </w:r>
          </w:p>
        </w:tc>
        <w:tc>
          <w:tcPr>
            <w:tcW w:w="1530" w:type="dxa"/>
            <w:tcBorders>
              <w:top w:val="single" w:color="000000" w:sz="4" w:space="0"/>
              <w:left w:val="single" w:color="000000" w:sz="4" w:space="0"/>
              <w:bottom w:val="nil"/>
              <w:right w:val="single" w:color="000000" w:sz="4" w:space="0"/>
            </w:tcBorders>
            <w:vAlign w:val="center"/>
          </w:tcPr>
          <w:p w:rsidRPr="00F2699C" w:rsidR="007462A1" w:rsidP="00A23AF3" w:rsidRDefault="007462A1" w14:paraId="75800DCE" w14:textId="0EC8E7BC">
            <w:pPr>
              <w:pStyle w:val="TableParagraph"/>
              <w:ind w:right="93"/>
              <w:rPr>
                <w:sz w:val="24"/>
                <w:szCs w:val="24"/>
              </w:rPr>
            </w:pPr>
            <w:r w:rsidRPr="00F2699C">
              <w:rPr>
                <w:rFonts w:cs="Calibri"/>
                <w:color w:val="000000"/>
                <w:sz w:val="24"/>
                <w:szCs w:val="24"/>
              </w:rPr>
              <w:t>$</w:t>
            </w:r>
            <w:r w:rsidRPr="0052414B" w:rsidR="00BE43A1">
              <w:rPr>
                <w:rFonts w:cs="Calibri"/>
                <w:color w:val="000000"/>
                <w:sz w:val="24"/>
                <w:szCs w:val="24"/>
              </w:rPr>
              <w:t>6,511,764</w:t>
            </w:r>
            <w:r w:rsidRPr="00F2699C">
              <w:rPr>
                <w:rFonts w:cs="Calibri"/>
                <w:color w:val="000000"/>
                <w:sz w:val="24"/>
                <w:szCs w:val="24"/>
              </w:rPr>
              <w:t xml:space="preserve"> </w:t>
            </w:r>
          </w:p>
        </w:tc>
      </w:tr>
      <w:tr w:rsidR="007462A1" w:rsidTr="00F03D24" w14:paraId="362A6A58" w14:textId="77777777">
        <w:trPr>
          <w:trHeight w:val="324"/>
        </w:trPr>
        <w:tc>
          <w:tcPr>
            <w:tcW w:w="5000" w:type="dxa"/>
            <w:tcBorders>
              <w:top w:val="nil"/>
              <w:left w:val="single" w:color="000000" w:sz="4" w:space="0"/>
              <w:bottom w:val="nil"/>
              <w:right w:val="single" w:color="000000" w:sz="4" w:space="0"/>
            </w:tcBorders>
            <w:vAlign w:val="center"/>
          </w:tcPr>
          <w:p w:rsidRPr="006D66E8" w:rsidR="007462A1" w:rsidP="00E80ECA" w:rsidRDefault="007462A1" w14:paraId="776FF517" w14:textId="77777777">
            <w:pPr>
              <w:pStyle w:val="TableParagraph"/>
              <w:spacing w:before="62"/>
              <w:ind w:left="162" w:right="148"/>
              <w:jc w:val="left"/>
              <w:rPr>
                <w:sz w:val="24"/>
              </w:rPr>
            </w:pPr>
            <w:r w:rsidRPr="00F03D24">
              <w:rPr>
                <w:sz w:val="24"/>
              </w:rPr>
              <w:t xml:space="preserve">2019 Ex-Ante Savings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1D1A5F8E" w14:textId="77777777">
            <w:pPr>
              <w:pStyle w:val="TableParagraph"/>
              <w:spacing w:line="288" w:lineRule="exact"/>
              <w:ind w:right="93"/>
              <w:rPr>
                <w:sz w:val="24"/>
                <w:szCs w:val="24"/>
              </w:rPr>
            </w:pPr>
            <w:r w:rsidRPr="00F2699C">
              <w:rPr>
                <w:rFonts w:cs="Calibri"/>
                <w:color w:val="000000"/>
                <w:sz w:val="24"/>
                <w:szCs w:val="24"/>
              </w:rPr>
              <w:t xml:space="preserve">$1,697,070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17D08927" w14:textId="77777777">
            <w:pPr>
              <w:pStyle w:val="TableParagraph"/>
              <w:spacing w:line="288" w:lineRule="exact"/>
              <w:ind w:right="93"/>
              <w:rPr>
                <w:sz w:val="24"/>
                <w:szCs w:val="24"/>
              </w:rPr>
            </w:pPr>
            <w:r w:rsidRPr="00F2699C">
              <w:rPr>
                <w:rFonts w:cs="Calibri"/>
                <w:color w:val="000000"/>
                <w:sz w:val="24"/>
                <w:szCs w:val="24"/>
              </w:rPr>
              <w:t xml:space="preserve">$1,695,085 </w:t>
            </w:r>
          </w:p>
        </w:tc>
      </w:tr>
      <w:tr w:rsidR="007462A1" w:rsidTr="00F03D24" w14:paraId="1FF317F9" w14:textId="77777777">
        <w:trPr>
          <w:trHeight w:val="323"/>
        </w:trPr>
        <w:tc>
          <w:tcPr>
            <w:tcW w:w="5000" w:type="dxa"/>
            <w:tcBorders>
              <w:top w:val="nil"/>
              <w:left w:val="single" w:color="000000" w:sz="4" w:space="0"/>
              <w:bottom w:val="nil"/>
              <w:right w:val="single" w:color="000000" w:sz="4" w:space="0"/>
            </w:tcBorders>
            <w:vAlign w:val="center"/>
          </w:tcPr>
          <w:p w:rsidRPr="006D66E8" w:rsidR="007462A1" w:rsidP="00F03D24" w:rsidRDefault="007462A1" w14:paraId="143E8F42" w14:textId="77777777">
            <w:pPr>
              <w:pStyle w:val="TableParagraph"/>
              <w:spacing w:before="62"/>
              <w:ind w:left="162" w:right="148"/>
              <w:jc w:val="left"/>
              <w:rPr>
                <w:sz w:val="24"/>
              </w:rPr>
            </w:pPr>
            <w:r w:rsidRPr="00F03D24">
              <w:rPr>
                <w:sz w:val="24"/>
              </w:rPr>
              <w:t xml:space="preserve">2019 Ex-Ante Review Performance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3F0A8FEC" w14:textId="77777777">
            <w:pPr>
              <w:pStyle w:val="TableParagraph"/>
              <w:spacing w:line="288" w:lineRule="exact"/>
              <w:ind w:right="95"/>
              <w:rPr>
                <w:sz w:val="24"/>
                <w:szCs w:val="24"/>
              </w:rPr>
            </w:pPr>
            <w:r w:rsidRPr="00F2699C">
              <w:rPr>
                <w:rFonts w:cs="Calibri"/>
                <w:color w:val="000000"/>
                <w:sz w:val="24"/>
                <w:szCs w:val="24"/>
              </w:rPr>
              <w:t xml:space="preserve">$3,909,786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13402C60" w14:textId="77777777">
            <w:pPr>
              <w:pStyle w:val="TableParagraph"/>
              <w:spacing w:line="288" w:lineRule="exact"/>
              <w:ind w:right="93"/>
              <w:rPr>
                <w:sz w:val="24"/>
                <w:szCs w:val="24"/>
              </w:rPr>
            </w:pPr>
            <w:r w:rsidRPr="00F2699C">
              <w:rPr>
                <w:rFonts w:cs="Calibri"/>
                <w:color w:val="000000"/>
                <w:sz w:val="24"/>
                <w:szCs w:val="24"/>
              </w:rPr>
              <w:t xml:space="preserve">$4,271,378 </w:t>
            </w:r>
          </w:p>
        </w:tc>
      </w:tr>
      <w:tr w:rsidR="007462A1" w:rsidTr="00F03D24" w14:paraId="5B8798D9" w14:textId="77777777">
        <w:trPr>
          <w:trHeight w:val="324"/>
        </w:trPr>
        <w:tc>
          <w:tcPr>
            <w:tcW w:w="5000" w:type="dxa"/>
            <w:tcBorders>
              <w:top w:val="nil"/>
              <w:left w:val="single" w:color="000000" w:sz="4" w:space="0"/>
              <w:bottom w:val="nil"/>
              <w:right w:val="single" w:color="000000" w:sz="4" w:space="0"/>
            </w:tcBorders>
            <w:vAlign w:val="center"/>
          </w:tcPr>
          <w:p w:rsidRPr="006D66E8" w:rsidR="007462A1" w:rsidP="00E80ECA" w:rsidRDefault="007462A1" w14:paraId="4BEB6EAB" w14:textId="77777777">
            <w:pPr>
              <w:pStyle w:val="TableParagraph"/>
              <w:spacing w:before="62"/>
              <w:ind w:left="162" w:right="148"/>
              <w:jc w:val="left"/>
              <w:rPr>
                <w:sz w:val="24"/>
              </w:rPr>
            </w:pPr>
            <w:r w:rsidRPr="00F03D24">
              <w:rPr>
                <w:sz w:val="24"/>
              </w:rPr>
              <w:t xml:space="preserve">2019 Codes &amp; Standards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22016D57" w14:textId="77777777">
            <w:pPr>
              <w:pStyle w:val="TableParagraph"/>
              <w:spacing w:line="288" w:lineRule="exact"/>
              <w:ind w:right="93"/>
              <w:rPr>
                <w:sz w:val="24"/>
                <w:szCs w:val="24"/>
              </w:rPr>
            </w:pPr>
            <w:r w:rsidRPr="00F2699C">
              <w:rPr>
                <w:rFonts w:cs="Calibri"/>
                <w:color w:val="000000"/>
                <w:sz w:val="24"/>
                <w:szCs w:val="24"/>
              </w:rPr>
              <w:t xml:space="preserve">$2,402,018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2BCC6691" w14:textId="77777777">
            <w:pPr>
              <w:pStyle w:val="TableParagraph"/>
              <w:spacing w:line="288" w:lineRule="exact"/>
              <w:ind w:right="93"/>
              <w:rPr>
                <w:sz w:val="24"/>
                <w:szCs w:val="24"/>
              </w:rPr>
            </w:pPr>
            <w:r w:rsidRPr="00F2699C">
              <w:rPr>
                <w:rFonts w:cs="Calibri"/>
                <w:color w:val="000000"/>
                <w:sz w:val="24"/>
                <w:szCs w:val="24"/>
              </w:rPr>
              <w:t xml:space="preserve">$2,402,018 </w:t>
            </w:r>
          </w:p>
        </w:tc>
      </w:tr>
      <w:tr w:rsidR="007462A1" w:rsidTr="00F03D24" w14:paraId="07E691DE" w14:textId="77777777">
        <w:trPr>
          <w:trHeight w:val="324"/>
        </w:trPr>
        <w:tc>
          <w:tcPr>
            <w:tcW w:w="5000" w:type="dxa"/>
            <w:tcBorders>
              <w:top w:val="nil"/>
              <w:left w:val="single" w:color="000000" w:sz="4" w:space="0"/>
              <w:bottom w:val="nil"/>
              <w:right w:val="single" w:color="000000" w:sz="4" w:space="0"/>
            </w:tcBorders>
            <w:vAlign w:val="center"/>
          </w:tcPr>
          <w:p w:rsidRPr="006D66E8" w:rsidR="007462A1" w:rsidP="00F03D24" w:rsidRDefault="007462A1" w14:paraId="7BFFA44E" w14:textId="77777777">
            <w:pPr>
              <w:pStyle w:val="TableParagraph"/>
              <w:spacing w:before="62"/>
              <w:ind w:left="162" w:right="148"/>
              <w:jc w:val="left"/>
              <w:rPr>
                <w:sz w:val="24"/>
              </w:rPr>
            </w:pPr>
            <w:r w:rsidRPr="00F03D24">
              <w:rPr>
                <w:sz w:val="24"/>
              </w:rPr>
              <w:t>2019 Non-Resource</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194F3E9F" w14:textId="77777777">
            <w:pPr>
              <w:pStyle w:val="TableParagraph"/>
              <w:spacing w:line="288" w:lineRule="exact"/>
              <w:ind w:right="93"/>
              <w:rPr>
                <w:sz w:val="24"/>
                <w:szCs w:val="24"/>
              </w:rPr>
            </w:pPr>
            <w:r w:rsidRPr="00F2699C">
              <w:rPr>
                <w:rFonts w:cs="Calibri"/>
                <w:color w:val="000000"/>
                <w:sz w:val="24"/>
                <w:szCs w:val="24"/>
              </w:rPr>
              <w:t xml:space="preserve">$418,853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10221E06" w14:textId="77777777">
            <w:pPr>
              <w:pStyle w:val="TableParagraph"/>
              <w:spacing w:line="288" w:lineRule="exact"/>
              <w:ind w:right="93"/>
              <w:rPr>
                <w:sz w:val="24"/>
                <w:szCs w:val="24"/>
              </w:rPr>
            </w:pPr>
            <w:r w:rsidRPr="00F2699C">
              <w:rPr>
                <w:rFonts w:cs="Calibri"/>
                <w:color w:val="000000"/>
                <w:sz w:val="24"/>
                <w:szCs w:val="24"/>
              </w:rPr>
              <w:t xml:space="preserve">$418,853 </w:t>
            </w:r>
          </w:p>
        </w:tc>
      </w:tr>
      <w:tr w:rsidR="007462A1" w:rsidTr="00F03D24" w14:paraId="18805F0C" w14:textId="77777777">
        <w:trPr>
          <w:trHeight w:val="323"/>
        </w:trPr>
        <w:tc>
          <w:tcPr>
            <w:tcW w:w="5000" w:type="dxa"/>
            <w:tcBorders>
              <w:top w:val="nil"/>
              <w:left w:val="single" w:color="000000" w:sz="4" w:space="0"/>
              <w:bottom w:val="nil"/>
              <w:right w:val="single" w:color="000000" w:sz="4" w:space="0"/>
            </w:tcBorders>
            <w:vAlign w:val="center"/>
          </w:tcPr>
          <w:p w:rsidRPr="006D66E8" w:rsidR="007462A1" w:rsidP="00F03D24" w:rsidRDefault="007462A1" w14:paraId="7DD0C5EA" w14:textId="77777777">
            <w:pPr>
              <w:pStyle w:val="TableParagraph"/>
              <w:spacing w:before="62"/>
              <w:ind w:left="162" w:right="148"/>
              <w:jc w:val="left"/>
              <w:rPr>
                <w:sz w:val="24"/>
              </w:rPr>
            </w:pPr>
            <w:r w:rsidRPr="00F03D24">
              <w:rPr>
                <w:sz w:val="24"/>
              </w:rPr>
              <w:t>2018 Ex-Ante Savings True Up</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4D459493" w14:textId="77777777">
            <w:pPr>
              <w:pStyle w:val="TableParagraph"/>
              <w:spacing w:line="288" w:lineRule="exact"/>
              <w:ind w:right="93"/>
              <w:rPr>
                <w:sz w:val="24"/>
                <w:szCs w:val="24"/>
              </w:rPr>
            </w:pPr>
            <w:r w:rsidRPr="00F2699C">
              <w:rPr>
                <w:rFonts w:cs="Calibri"/>
                <w:sz w:val="24"/>
                <w:szCs w:val="24"/>
              </w:rPr>
              <w:t xml:space="preserve">$21 </w:t>
            </w:r>
          </w:p>
        </w:tc>
        <w:tc>
          <w:tcPr>
            <w:tcW w:w="1530" w:type="dxa"/>
            <w:tcBorders>
              <w:top w:val="nil"/>
              <w:left w:val="single" w:color="000000" w:sz="4" w:space="0"/>
              <w:bottom w:val="nil"/>
              <w:right w:val="single" w:color="000000" w:sz="4" w:space="0"/>
            </w:tcBorders>
            <w:vAlign w:val="center"/>
          </w:tcPr>
          <w:p w:rsidRPr="00F2699C" w:rsidR="007462A1" w:rsidP="00A23AF3" w:rsidRDefault="007462A1" w14:paraId="01619AE8" w14:textId="77777777">
            <w:pPr>
              <w:pStyle w:val="TableParagraph"/>
              <w:spacing w:line="288" w:lineRule="exact"/>
              <w:ind w:right="93"/>
              <w:rPr>
                <w:sz w:val="24"/>
                <w:szCs w:val="24"/>
              </w:rPr>
            </w:pPr>
            <w:r w:rsidRPr="00F2699C">
              <w:rPr>
                <w:rFonts w:cs="Calibri"/>
                <w:color w:val="000000"/>
                <w:sz w:val="24"/>
                <w:szCs w:val="24"/>
              </w:rPr>
              <w:t xml:space="preserve">$21 </w:t>
            </w:r>
          </w:p>
        </w:tc>
      </w:tr>
      <w:tr w:rsidR="000E797B" w:rsidTr="00F03D24" w14:paraId="0E2500E9" w14:textId="77777777">
        <w:trPr>
          <w:trHeight w:val="287"/>
        </w:trPr>
        <w:tc>
          <w:tcPr>
            <w:tcW w:w="5000" w:type="dxa"/>
            <w:tcBorders>
              <w:top w:val="single" w:color="auto" w:sz="4" w:space="0"/>
              <w:left w:val="single" w:color="auto" w:sz="4" w:space="0"/>
              <w:bottom w:val="single" w:color="auto" w:sz="4" w:space="0"/>
              <w:right w:val="single" w:color="000000" w:sz="4" w:space="0"/>
            </w:tcBorders>
          </w:tcPr>
          <w:p w:rsidRPr="00111F36" w:rsidR="000E797B" w:rsidP="00F03D24" w:rsidRDefault="000E797B" w14:paraId="6906100A" w14:textId="15D6CD47">
            <w:pPr>
              <w:pStyle w:val="TableParagraph"/>
              <w:spacing w:line="268" w:lineRule="exact"/>
              <w:ind w:left="112"/>
              <w:jc w:val="center"/>
              <w:rPr>
                <w:rFonts w:cs="Calibri"/>
                <w:color w:val="000000"/>
                <w:sz w:val="24"/>
                <w:szCs w:val="24"/>
              </w:rPr>
            </w:pPr>
            <w:r>
              <w:rPr>
                <w:b/>
                <w:sz w:val="24"/>
              </w:rPr>
              <w:t>Total Payment</w:t>
            </w:r>
          </w:p>
        </w:tc>
        <w:tc>
          <w:tcPr>
            <w:tcW w:w="1530" w:type="dxa"/>
            <w:tcBorders>
              <w:top w:val="single" w:color="auto" w:sz="4" w:space="0"/>
              <w:left w:val="single" w:color="000000" w:sz="4" w:space="0"/>
              <w:bottom w:val="single" w:color="auto" w:sz="4" w:space="0"/>
              <w:right w:val="single" w:color="000000" w:sz="4" w:space="0"/>
            </w:tcBorders>
            <w:vAlign w:val="bottom"/>
          </w:tcPr>
          <w:p w:rsidRPr="00F2699C" w:rsidR="000E797B" w:rsidP="00F03D24" w:rsidRDefault="000E797B" w14:paraId="28A246EC" w14:textId="00BC9C61">
            <w:pPr>
              <w:pStyle w:val="TableParagraph"/>
              <w:spacing w:line="268" w:lineRule="exact"/>
              <w:ind w:right="93"/>
              <w:jc w:val="center"/>
              <w:rPr>
                <w:rFonts w:cs="Calibri"/>
                <w:b/>
                <w:bCs/>
                <w:color w:val="000000"/>
                <w:sz w:val="24"/>
                <w:szCs w:val="24"/>
              </w:rPr>
            </w:pPr>
            <w:r w:rsidRPr="00F2699C">
              <w:rPr>
                <w:rFonts w:cs="Calibri"/>
                <w:b/>
                <w:bCs/>
                <w:color w:val="000000"/>
                <w:sz w:val="24"/>
                <w:szCs w:val="24"/>
              </w:rPr>
              <w:t xml:space="preserve">$15,559,989 </w:t>
            </w:r>
          </w:p>
        </w:tc>
        <w:tc>
          <w:tcPr>
            <w:tcW w:w="1530" w:type="dxa"/>
            <w:tcBorders>
              <w:top w:val="single" w:color="auto" w:sz="4" w:space="0"/>
              <w:left w:val="single" w:color="000000" w:sz="4" w:space="0"/>
              <w:bottom w:val="single" w:color="auto" w:sz="4" w:space="0"/>
              <w:right w:val="single" w:color="auto" w:sz="4" w:space="0"/>
            </w:tcBorders>
            <w:vAlign w:val="bottom"/>
          </w:tcPr>
          <w:p w:rsidRPr="00F2699C" w:rsidR="000E797B" w:rsidP="00F03D24" w:rsidRDefault="000E797B" w14:paraId="748785CD" w14:textId="4C6EC8AD">
            <w:pPr>
              <w:pStyle w:val="TableParagraph"/>
              <w:spacing w:line="268" w:lineRule="exact"/>
              <w:ind w:right="93"/>
              <w:jc w:val="center"/>
              <w:rPr>
                <w:rFonts w:cs="Calibri"/>
                <w:b/>
                <w:bCs/>
                <w:color w:val="000000"/>
                <w:sz w:val="24"/>
                <w:szCs w:val="24"/>
              </w:rPr>
            </w:pPr>
            <w:r w:rsidRPr="00F2699C">
              <w:rPr>
                <w:rFonts w:cs="Calibri"/>
                <w:b/>
                <w:bCs/>
                <w:color w:val="000000"/>
                <w:sz w:val="24"/>
                <w:szCs w:val="24"/>
              </w:rPr>
              <w:t>$15,</w:t>
            </w:r>
            <w:r w:rsidRPr="00F2699C" w:rsidR="00BE43A1">
              <w:rPr>
                <w:rFonts w:cs="Calibri"/>
                <w:b/>
                <w:bCs/>
                <w:color w:val="000000"/>
                <w:sz w:val="24"/>
                <w:szCs w:val="24"/>
              </w:rPr>
              <w:t>299</w:t>
            </w:r>
            <w:r w:rsidRPr="00F2699C" w:rsidR="00F2699C">
              <w:rPr>
                <w:rFonts w:cs="Calibri"/>
                <w:b/>
                <w:bCs/>
                <w:color w:val="000000"/>
                <w:sz w:val="24"/>
                <w:szCs w:val="24"/>
              </w:rPr>
              <w:t>,119</w:t>
            </w:r>
            <w:r w:rsidRPr="00F2699C">
              <w:rPr>
                <w:rFonts w:cs="Calibri"/>
                <w:b/>
                <w:bCs/>
                <w:color w:val="000000"/>
                <w:sz w:val="24"/>
                <w:szCs w:val="24"/>
              </w:rPr>
              <w:t xml:space="preserve"> </w:t>
            </w:r>
          </w:p>
        </w:tc>
      </w:tr>
    </w:tbl>
    <w:p w:rsidR="0033268A" w:rsidP="00290E4D" w:rsidRDefault="0033268A" w14:paraId="5712731E" w14:textId="25A17C48">
      <w:pPr>
        <w:tabs>
          <w:tab w:val="left" w:pos="3435"/>
        </w:tabs>
        <w:rPr>
          <w:sz w:val="24"/>
        </w:rPr>
      </w:pPr>
    </w:p>
    <w:p w:rsidR="007B31C8" w:rsidRDefault="006C3CB7" w14:paraId="09DD3FE2" w14:textId="77777777">
      <w:pPr>
        <w:pStyle w:val="Heading3"/>
        <w:numPr>
          <w:ilvl w:val="0"/>
          <w:numId w:val="6"/>
        </w:numPr>
        <w:tabs>
          <w:tab w:val="left" w:pos="941"/>
        </w:tabs>
        <w:spacing w:before="24"/>
        <w:ind w:hanging="361"/>
      </w:pPr>
      <w:r>
        <w:t>SCE</w:t>
      </w:r>
    </w:p>
    <w:p w:rsidR="007B31C8" w:rsidRDefault="006C3CB7" w14:paraId="07E87AE0" w14:textId="52019120">
      <w:pPr>
        <w:pStyle w:val="BodyText"/>
        <w:spacing w:before="122"/>
        <w:ind w:left="220" w:right="235"/>
        <w:jc w:val="both"/>
      </w:pPr>
      <w:r>
        <w:t xml:space="preserve">The CPUC approves an incentive amount of </w:t>
      </w:r>
      <w:r w:rsidRPr="003A101E">
        <w:t>$</w:t>
      </w:r>
      <w:r w:rsidRPr="003A101E" w:rsidR="000E797B">
        <w:t>9,</w:t>
      </w:r>
      <w:r w:rsidRPr="003A101E" w:rsidR="003A101E">
        <w:t>628,784</w:t>
      </w:r>
      <w:r>
        <w:t xml:space="preserve"> for SCE, which </w:t>
      </w:r>
      <w:r w:rsidRPr="000235F7">
        <w:t>is $</w:t>
      </w:r>
      <w:r w:rsidRPr="0052414B" w:rsidR="000235F7">
        <w:t>53,997</w:t>
      </w:r>
      <w:r w:rsidRPr="000235F7">
        <w:t xml:space="preserve"> </w:t>
      </w:r>
      <w:r w:rsidRPr="000235F7" w:rsidR="000E797B">
        <w:t>more</w:t>
      </w:r>
      <w:r>
        <w:t xml:space="preserve"> than their requested amount of $</w:t>
      </w:r>
      <w:r w:rsidR="000E797B">
        <w:t>9,</w:t>
      </w:r>
      <w:r w:rsidR="00D16DD0">
        <w:t>574,787</w:t>
      </w:r>
      <w:r>
        <w:t>. SCE’s submitted program savings and expenditures were both adjusted as described above. SCE’s ESPI Advice Letter matched their CEDARS data.</w:t>
      </w:r>
    </w:p>
    <w:p w:rsidR="007B31C8" w:rsidRDefault="007B31C8" w14:paraId="7CBE9892" w14:textId="77777777">
      <w:pPr>
        <w:pStyle w:val="BodyText"/>
        <w:spacing w:before="12"/>
        <w:rPr>
          <w:sz w:val="17"/>
        </w:rPr>
      </w:pPr>
    </w:p>
    <w:p w:rsidR="007B31C8" w:rsidRDefault="006C3CB7" w14:paraId="36F017E5" w14:textId="77777777">
      <w:pPr>
        <w:pStyle w:val="ListParagraph"/>
        <w:numPr>
          <w:ilvl w:val="1"/>
          <w:numId w:val="4"/>
        </w:numPr>
        <w:tabs>
          <w:tab w:val="left" w:pos="581"/>
        </w:tabs>
        <w:ind w:hanging="361"/>
        <w:rPr>
          <w:sz w:val="24"/>
        </w:rPr>
      </w:pPr>
      <w:r>
        <w:rPr>
          <w:sz w:val="24"/>
          <w:u w:val="single"/>
        </w:rPr>
        <w:lastRenderedPageBreak/>
        <w:t>Energy Efficiency Resource</w:t>
      </w:r>
      <w:r>
        <w:rPr>
          <w:spacing w:val="-1"/>
          <w:sz w:val="24"/>
          <w:u w:val="single"/>
        </w:rPr>
        <w:t xml:space="preserve"> </w:t>
      </w:r>
      <w:r>
        <w:rPr>
          <w:sz w:val="24"/>
          <w:u w:val="single"/>
        </w:rPr>
        <w:t>Savings</w:t>
      </w:r>
    </w:p>
    <w:p w:rsidR="007B31C8" w:rsidRDefault="007B31C8" w14:paraId="33D17399" w14:textId="77777777">
      <w:pPr>
        <w:pStyle w:val="BodyText"/>
        <w:spacing w:before="8"/>
        <w:rPr>
          <w:sz w:val="17"/>
        </w:rPr>
      </w:pPr>
    </w:p>
    <w:p w:rsidR="007B31C8" w:rsidRDefault="006C3CB7" w14:paraId="054C9265" w14:textId="212969B2">
      <w:pPr>
        <w:pStyle w:val="ListParagraph"/>
        <w:numPr>
          <w:ilvl w:val="2"/>
          <w:numId w:val="4"/>
        </w:numPr>
        <w:tabs>
          <w:tab w:val="left" w:pos="997"/>
          <w:tab w:val="left" w:pos="998"/>
        </w:tabs>
        <w:jc w:val="left"/>
        <w:rPr>
          <w:sz w:val="24"/>
        </w:rPr>
      </w:pPr>
      <w:r>
        <w:rPr>
          <w:sz w:val="24"/>
        </w:rPr>
        <w:t>201</w:t>
      </w:r>
      <w:r w:rsidR="007462A1">
        <w:rPr>
          <w:sz w:val="24"/>
        </w:rPr>
        <w:t>8</w:t>
      </w:r>
      <w:r>
        <w:rPr>
          <w:sz w:val="24"/>
        </w:rPr>
        <w:t xml:space="preserve"> Evaluated Energy</w:t>
      </w:r>
      <w:r>
        <w:rPr>
          <w:spacing w:val="-2"/>
          <w:sz w:val="24"/>
        </w:rPr>
        <w:t xml:space="preserve"> </w:t>
      </w:r>
      <w:r>
        <w:rPr>
          <w:sz w:val="24"/>
        </w:rPr>
        <w:t>Savings</w:t>
      </w:r>
    </w:p>
    <w:p w:rsidR="007B31C8" w:rsidRDefault="006C3CB7" w14:paraId="6598F00D" w14:textId="4435616A">
      <w:pPr>
        <w:pStyle w:val="BodyText"/>
        <w:spacing w:before="121"/>
        <w:ind w:left="580"/>
      </w:pPr>
      <w:r>
        <w:t xml:space="preserve">SCE’s </w:t>
      </w:r>
      <w:r w:rsidRPr="009F75D2" w:rsidR="009F75D2">
        <w:t>award is $</w:t>
      </w:r>
      <w:r w:rsidR="00C45EA0">
        <w:t>38,706</w:t>
      </w:r>
      <w:r w:rsidRPr="009F75D2" w:rsidR="009F75D2">
        <w:t xml:space="preserve"> less than requested due </w:t>
      </w:r>
      <w:r w:rsidRPr="009F77AC" w:rsidR="009F77AC">
        <w:t>to gross realization rates (GRR) and net to gross (NTG) adjustments (see section 1)</w:t>
      </w:r>
      <w:r>
        <w:t>.</w:t>
      </w:r>
    </w:p>
    <w:p w:rsidR="007B31C8" w:rsidRDefault="007B31C8" w14:paraId="373E07E0"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7569FD30" w14:textId="77777777">
        <w:trPr>
          <w:trHeight w:val="445"/>
        </w:trPr>
        <w:tc>
          <w:tcPr>
            <w:tcW w:w="2960" w:type="dxa"/>
          </w:tcPr>
          <w:p w:rsidR="007B31C8" w:rsidRDefault="006C3CB7" w14:paraId="61C0FE74" w14:textId="77777777">
            <w:pPr>
              <w:pStyle w:val="TableParagraph"/>
              <w:spacing w:before="59"/>
              <w:ind w:left="164" w:right="148"/>
              <w:jc w:val="center"/>
              <w:rPr>
                <w:b/>
                <w:sz w:val="24"/>
              </w:rPr>
            </w:pPr>
            <w:r>
              <w:rPr>
                <w:b/>
                <w:sz w:val="24"/>
              </w:rPr>
              <w:t>ESPI Component</w:t>
            </w:r>
          </w:p>
        </w:tc>
        <w:tc>
          <w:tcPr>
            <w:tcW w:w="2014" w:type="dxa"/>
            <w:tcBorders>
              <w:right w:val="single" w:color="000000" w:sz="4" w:space="0"/>
            </w:tcBorders>
          </w:tcPr>
          <w:p w:rsidR="007B31C8" w:rsidRDefault="006C3CB7" w14:paraId="43EE9F6D" w14:textId="4EE6EEC8">
            <w:pPr>
              <w:pStyle w:val="TableParagraph"/>
              <w:spacing w:before="59"/>
              <w:ind w:right="453"/>
              <w:rPr>
                <w:b/>
                <w:sz w:val="24"/>
              </w:rPr>
            </w:pPr>
            <w:r>
              <w:rPr>
                <w:b/>
                <w:sz w:val="24"/>
              </w:rPr>
              <w:t>201</w:t>
            </w:r>
            <w:r w:rsidR="007462A1">
              <w:rPr>
                <w:b/>
                <w:sz w:val="24"/>
              </w:rPr>
              <w:t>8</w:t>
            </w:r>
            <w:r>
              <w:rPr>
                <w:b/>
                <w:sz w:val="24"/>
              </w:rPr>
              <w:t xml:space="preserve"> Cap*</w:t>
            </w:r>
          </w:p>
        </w:tc>
        <w:tc>
          <w:tcPr>
            <w:tcW w:w="2014" w:type="dxa"/>
            <w:tcBorders>
              <w:left w:val="single" w:color="000000" w:sz="4" w:space="0"/>
            </w:tcBorders>
          </w:tcPr>
          <w:p w:rsidR="007B31C8" w:rsidRDefault="006C3CB7" w14:paraId="3466F908" w14:textId="77777777">
            <w:pPr>
              <w:pStyle w:val="TableParagraph"/>
              <w:spacing w:before="59"/>
              <w:ind w:left="379" w:right="360"/>
              <w:jc w:val="center"/>
              <w:rPr>
                <w:b/>
                <w:sz w:val="24"/>
              </w:rPr>
            </w:pPr>
            <w:r>
              <w:rPr>
                <w:b/>
                <w:sz w:val="24"/>
              </w:rPr>
              <w:t>Requested</w:t>
            </w:r>
          </w:p>
        </w:tc>
        <w:tc>
          <w:tcPr>
            <w:tcW w:w="2015" w:type="dxa"/>
          </w:tcPr>
          <w:p w:rsidR="007B31C8" w:rsidRDefault="006C3CB7" w14:paraId="6D6C78FA" w14:textId="77777777">
            <w:pPr>
              <w:pStyle w:val="TableParagraph"/>
              <w:spacing w:before="59"/>
              <w:ind w:left="385" w:right="366"/>
              <w:jc w:val="center"/>
              <w:rPr>
                <w:b/>
                <w:sz w:val="24"/>
              </w:rPr>
            </w:pPr>
            <w:r>
              <w:rPr>
                <w:b/>
                <w:sz w:val="24"/>
              </w:rPr>
              <w:t>Approved</w:t>
            </w:r>
          </w:p>
        </w:tc>
      </w:tr>
      <w:tr w:rsidR="007462A1" w:rsidTr="003C7217" w14:paraId="58C9A34A" w14:textId="77777777">
        <w:trPr>
          <w:trHeight w:val="443"/>
        </w:trPr>
        <w:tc>
          <w:tcPr>
            <w:tcW w:w="2960" w:type="dxa"/>
            <w:tcBorders>
              <w:bottom w:val="single" w:color="000000" w:sz="4" w:space="0"/>
            </w:tcBorders>
          </w:tcPr>
          <w:p w:rsidR="007462A1" w:rsidP="007462A1" w:rsidRDefault="007462A1" w14:paraId="7E2309B4" w14:textId="0C634F3E">
            <w:pPr>
              <w:pStyle w:val="TableParagraph"/>
              <w:spacing w:before="59"/>
              <w:ind w:left="166" w:right="148"/>
              <w:jc w:val="center"/>
              <w:rPr>
                <w:sz w:val="24"/>
              </w:rPr>
            </w:pPr>
            <w:r>
              <w:rPr>
                <w:sz w:val="24"/>
              </w:rPr>
              <w:t>2018 Evaluated Savings</w:t>
            </w:r>
          </w:p>
        </w:tc>
        <w:tc>
          <w:tcPr>
            <w:tcW w:w="2014" w:type="dxa"/>
            <w:tcBorders>
              <w:bottom w:val="single" w:color="000000" w:sz="4" w:space="0"/>
              <w:right w:val="single" w:color="000000" w:sz="4" w:space="0"/>
            </w:tcBorders>
            <w:vAlign w:val="center"/>
          </w:tcPr>
          <w:p w:rsidR="007462A1" w:rsidP="007462A1" w:rsidRDefault="007462A1" w14:paraId="2138348E" w14:textId="58E3B62B">
            <w:pPr>
              <w:pStyle w:val="TableParagraph"/>
              <w:spacing w:before="59"/>
              <w:ind w:right="394"/>
              <w:rPr>
                <w:sz w:val="24"/>
              </w:rPr>
            </w:pPr>
            <w:r w:rsidRPr="00111F36">
              <w:rPr>
                <w:rFonts w:cs="Calibri"/>
                <w:color w:val="000000"/>
                <w:sz w:val="24"/>
                <w:szCs w:val="24"/>
              </w:rPr>
              <w:t xml:space="preserve">$15,888,176 </w:t>
            </w:r>
          </w:p>
        </w:tc>
        <w:tc>
          <w:tcPr>
            <w:tcW w:w="2014" w:type="dxa"/>
            <w:tcBorders>
              <w:left w:val="single" w:color="000000" w:sz="4" w:space="0"/>
              <w:bottom w:val="single" w:color="000000" w:sz="4" w:space="0"/>
            </w:tcBorders>
            <w:vAlign w:val="center"/>
          </w:tcPr>
          <w:p w:rsidR="007462A1" w:rsidP="007462A1" w:rsidRDefault="007462A1" w14:paraId="0444F04D" w14:textId="32D075C0">
            <w:pPr>
              <w:pStyle w:val="TableParagraph"/>
              <w:spacing w:before="59"/>
              <w:ind w:left="379" w:right="359"/>
              <w:jc w:val="center"/>
              <w:rPr>
                <w:sz w:val="24"/>
              </w:rPr>
            </w:pPr>
            <w:r w:rsidRPr="00111F36">
              <w:rPr>
                <w:rFonts w:cs="Calibri"/>
                <w:color w:val="000000"/>
                <w:sz w:val="24"/>
                <w:szCs w:val="24"/>
              </w:rPr>
              <w:t xml:space="preserve">$4,653,279 </w:t>
            </w:r>
          </w:p>
        </w:tc>
        <w:tc>
          <w:tcPr>
            <w:tcW w:w="2015" w:type="dxa"/>
            <w:tcBorders>
              <w:bottom w:val="single" w:color="000000" w:sz="4" w:space="0"/>
            </w:tcBorders>
            <w:vAlign w:val="center"/>
          </w:tcPr>
          <w:p w:rsidR="007462A1" w:rsidP="007462A1" w:rsidRDefault="007462A1" w14:paraId="63C35CBD" w14:textId="3B794E97">
            <w:pPr>
              <w:pStyle w:val="TableParagraph"/>
              <w:spacing w:before="59"/>
              <w:ind w:left="385" w:right="370"/>
              <w:jc w:val="center"/>
              <w:rPr>
                <w:sz w:val="24"/>
              </w:rPr>
            </w:pPr>
            <w:r w:rsidRPr="009F75D2">
              <w:rPr>
                <w:rFonts w:cs="Calibri"/>
                <w:color w:val="000000"/>
                <w:sz w:val="24"/>
                <w:szCs w:val="24"/>
              </w:rPr>
              <w:t>$4,</w:t>
            </w:r>
            <w:r w:rsidRPr="0052414B" w:rsidR="009F75D2">
              <w:rPr>
                <w:rFonts w:cs="Calibri"/>
                <w:color w:val="000000"/>
                <w:sz w:val="24"/>
                <w:szCs w:val="24"/>
              </w:rPr>
              <w:t>614,573</w:t>
            </w:r>
            <w:r w:rsidRPr="009F75D2">
              <w:rPr>
                <w:rFonts w:cs="Calibri"/>
                <w:color w:val="000000"/>
                <w:sz w:val="24"/>
                <w:szCs w:val="24"/>
              </w:rPr>
              <w:t xml:space="preserve"> </w:t>
            </w:r>
          </w:p>
        </w:tc>
      </w:tr>
    </w:tbl>
    <w:p w:rsidR="007B31C8" w:rsidRDefault="006C3CB7" w14:paraId="4A8A258C" w14:textId="7EE99432">
      <w:pPr>
        <w:pStyle w:val="BodyText"/>
        <w:ind w:left="580"/>
      </w:pPr>
      <w:r>
        <w:t>*201</w:t>
      </w:r>
      <w:r w:rsidR="007462A1">
        <w:t>8</w:t>
      </w:r>
      <w:r>
        <w:t xml:space="preserve"> savings award cap minus 201</w:t>
      </w:r>
      <w:r w:rsidR="007462A1">
        <w:t>8</w:t>
      </w:r>
      <w:r>
        <w:t xml:space="preserve"> Expected Savings Award earned in 201</w:t>
      </w:r>
      <w:r w:rsidR="007462A1">
        <w:t>9</w:t>
      </w:r>
    </w:p>
    <w:p w:rsidR="007B31C8" w:rsidRDefault="007B31C8" w14:paraId="30CF59A1" w14:textId="77777777">
      <w:pPr>
        <w:pStyle w:val="BodyText"/>
        <w:spacing w:before="10"/>
        <w:rPr>
          <w:sz w:val="17"/>
        </w:rPr>
      </w:pPr>
    </w:p>
    <w:p w:rsidR="007B31C8" w:rsidRDefault="006C3CB7" w14:paraId="1DAE534D" w14:textId="61E74A88">
      <w:pPr>
        <w:pStyle w:val="ListParagraph"/>
        <w:numPr>
          <w:ilvl w:val="2"/>
          <w:numId w:val="4"/>
        </w:numPr>
        <w:tabs>
          <w:tab w:val="left" w:pos="997"/>
          <w:tab w:val="left" w:pos="998"/>
        </w:tabs>
        <w:spacing w:before="1"/>
        <w:jc w:val="left"/>
        <w:rPr>
          <w:sz w:val="24"/>
        </w:rPr>
      </w:pPr>
      <w:r>
        <w:rPr>
          <w:sz w:val="24"/>
        </w:rPr>
        <w:t>201</w:t>
      </w:r>
      <w:r w:rsidR="007462A1">
        <w:rPr>
          <w:sz w:val="24"/>
        </w:rPr>
        <w:t>9</w:t>
      </w:r>
      <w:r>
        <w:rPr>
          <w:sz w:val="24"/>
        </w:rPr>
        <w:t xml:space="preserve"> Expected Energy</w:t>
      </w:r>
      <w:r>
        <w:rPr>
          <w:spacing w:val="-3"/>
          <w:sz w:val="24"/>
        </w:rPr>
        <w:t xml:space="preserve"> </w:t>
      </w:r>
      <w:r>
        <w:rPr>
          <w:sz w:val="24"/>
        </w:rPr>
        <w:t>Savings</w:t>
      </w:r>
    </w:p>
    <w:p w:rsidR="007B31C8" w:rsidRDefault="006C3CB7" w14:paraId="43BE7455" w14:textId="6E831D89">
      <w:pPr>
        <w:pStyle w:val="BodyText"/>
        <w:spacing w:before="120"/>
        <w:ind w:left="580"/>
      </w:pPr>
      <w:r>
        <w:t xml:space="preserve">SCE’s </w:t>
      </w:r>
      <w:r w:rsidR="000E797B">
        <w:t xml:space="preserve">approved </w:t>
      </w:r>
      <w:r>
        <w:t>award is</w:t>
      </w:r>
      <w:r w:rsidR="000E797B">
        <w:t xml:space="preserve"> $1,027 less than requested </w:t>
      </w:r>
      <w:r w:rsidR="001D13D9">
        <w:t>due to minor updates to the ESPI categories assigned to a couple measure groups after the CPUC’s draft workbooks were released on Aug 6</w:t>
      </w:r>
      <w:r w:rsidRPr="003C7217" w:rsidR="001D13D9">
        <w:rPr>
          <w:vertAlign w:val="superscript"/>
        </w:rPr>
        <w:t>th</w:t>
      </w:r>
      <w:r w:rsidR="001D13D9">
        <w:t>, 2020.</w:t>
      </w:r>
    </w:p>
    <w:p w:rsidR="007B31C8" w:rsidRDefault="007B31C8" w14:paraId="7C81C607"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3F42B86D" w14:textId="77777777">
        <w:trPr>
          <w:trHeight w:val="443"/>
        </w:trPr>
        <w:tc>
          <w:tcPr>
            <w:tcW w:w="2960" w:type="dxa"/>
          </w:tcPr>
          <w:p w:rsidR="007B31C8" w:rsidRDefault="006C3CB7" w14:paraId="199702FD"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515A74E8" w14:textId="37110E20">
            <w:pPr>
              <w:pStyle w:val="TableParagraph"/>
              <w:spacing w:before="57"/>
              <w:ind w:left="369" w:right="369"/>
              <w:jc w:val="center"/>
              <w:rPr>
                <w:b/>
                <w:sz w:val="24"/>
              </w:rPr>
            </w:pPr>
            <w:r>
              <w:rPr>
                <w:b/>
                <w:sz w:val="24"/>
              </w:rPr>
              <w:t>201</w:t>
            </w:r>
            <w:r w:rsidR="007462A1">
              <w:rPr>
                <w:b/>
                <w:sz w:val="24"/>
              </w:rPr>
              <w:t>9</w:t>
            </w:r>
            <w:r>
              <w:rPr>
                <w:b/>
                <w:sz w:val="24"/>
              </w:rPr>
              <w:t xml:space="preserve"> Cap</w:t>
            </w:r>
          </w:p>
        </w:tc>
        <w:tc>
          <w:tcPr>
            <w:tcW w:w="2014" w:type="dxa"/>
            <w:tcBorders>
              <w:left w:val="single" w:color="000000" w:sz="4" w:space="0"/>
            </w:tcBorders>
          </w:tcPr>
          <w:p w:rsidR="007B31C8" w:rsidRDefault="006C3CB7" w14:paraId="1643CFAF" w14:textId="77777777">
            <w:pPr>
              <w:pStyle w:val="TableParagraph"/>
              <w:spacing w:before="57"/>
              <w:ind w:left="431"/>
              <w:jc w:val="left"/>
              <w:rPr>
                <w:b/>
                <w:sz w:val="24"/>
              </w:rPr>
            </w:pPr>
            <w:r>
              <w:rPr>
                <w:b/>
                <w:sz w:val="24"/>
              </w:rPr>
              <w:t>Requested</w:t>
            </w:r>
          </w:p>
        </w:tc>
        <w:tc>
          <w:tcPr>
            <w:tcW w:w="2015" w:type="dxa"/>
          </w:tcPr>
          <w:p w:rsidR="007B31C8" w:rsidRDefault="006C3CB7" w14:paraId="42833987" w14:textId="77777777">
            <w:pPr>
              <w:pStyle w:val="TableParagraph"/>
              <w:spacing w:before="57"/>
              <w:ind w:right="431"/>
              <w:rPr>
                <w:b/>
                <w:sz w:val="24"/>
              </w:rPr>
            </w:pPr>
            <w:r>
              <w:rPr>
                <w:b/>
                <w:sz w:val="24"/>
              </w:rPr>
              <w:t>Approved</w:t>
            </w:r>
          </w:p>
        </w:tc>
      </w:tr>
      <w:tr w:rsidR="007462A1" w:rsidTr="003C7217" w14:paraId="2EFECDE7" w14:textId="77777777">
        <w:trPr>
          <w:trHeight w:val="443"/>
        </w:trPr>
        <w:tc>
          <w:tcPr>
            <w:tcW w:w="2960" w:type="dxa"/>
          </w:tcPr>
          <w:p w:rsidR="007462A1" w:rsidP="007462A1" w:rsidRDefault="007462A1" w14:paraId="7DA9F2E7" w14:textId="2457B71F">
            <w:pPr>
              <w:pStyle w:val="TableParagraph"/>
              <w:spacing w:before="60"/>
              <w:ind w:left="166" w:right="148"/>
              <w:jc w:val="center"/>
              <w:rPr>
                <w:sz w:val="24"/>
              </w:rPr>
            </w:pPr>
            <w:r>
              <w:rPr>
                <w:sz w:val="24"/>
              </w:rPr>
              <w:t>2019 Expected Savings</w:t>
            </w:r>
          </w:p>
        </w:tc>
        <w:tc>
          <w:tcPr>
            <w:tcW w:w="2014" w:type="dxa"/>
            <w:tcBorders>
              <w:right w:val="single" w:color="000000" w:sz="4" w:space="0"/>
            </w:tcBorders>
            <w:vAlign w:val="center"/>
          </w:tcPr>
          <w:p w:rsidR="007462A1" w:rsidP="007462A1" w:rsidRDefault="007462A1" w14:paraId="7BD888CB" w14:textId="5418DD67">
            <w:pPr>
              <w:pStyle w:val="TableParagraph"/>
              <w:spacing w:before="60"/>
              <w:ind w:left="368" w:right="369"/>
              <w:jc w:val="center"/>
              <w:rPr>
                <w:sz w:val="24"/>
              </w:rPr>
            </w:pPr>
            <w:r w:rsidRPr="00111F36">
              <w:rPr>
                <w:rFonts w:cs="Calibri"/>
                <w:color w:val="000000"/>
                <w:sz w:val="24"/>
                <w:szCs w:val="24"/>
              </w:rPr>
              <w:t xml:space="preserve">$16,263,698 </w:t>
            </w:r>
          </w:p>
        </w:tc>
        <w:tc>
          <w:tcPr>
            <w:tcW w:w="2014" w:type="dxa"/>
            <w:tcBorders>
              <w:left w:val="single" w:color="000000" w:sz="4" w:space="0"/>
            </w:tcBorders>
            <w:vAlign w:val="center"/>
          </w:tcPr>
          <w:p w:rsidR="007462A1" w:rsidP="007462A1" w:rsidRDefault="007462A1" w14:paraId="3D04BDC5" w14:textId="58F29AA6">
            <w:pPr>
              <w:pStyle w:val="TableParagraph"/>
              <w:spacing w:before="60"/>
              <w:ind w:left="469"/>
              <w:jc w:val="left"/>
              <w:rPr>
                <w:sz w:val="24"/>
              </w:rPr>
            </w:pPr>
            <w:r w:rsidRPr="00111F36">
              <w:rPr>
                <w:rFonts w:cs="Calibri"/>
                <w:color w:val="000000"/>
                <w:sz w:val="24"/>
                <w:szCs w:val="24"/>
              </w:rPr>
              <w:t xml:space="preserve">$714,713 </w:t>
            </w:r>
          </w:p>
        </w:tc>
        <w:tc>
          <w:tcPr>
            <w:tcW w:w="2015" w:type="dxa"/>
            <w:vAlign w:val="center"/>
          </w:tcPr>
          <w:p w:rsidR="007462A1" w:rsidP="007462A1" w:rsidRDefault="007462A1" w14:paraId="79F1094D" w14:textId="6E23B129">
            <w:pPr>
              <w:pStyle w:val="TableParagraph"/>
              <w:spacing w:before="60"/>
              <w:ind w:right="447"/>
              <w:rPr>
                <w:sz w:val="24"/>
              </w:rPr>
            </w:pPr>
            <w:r w:rsidRPr="00111F36">
              <w:rPr>
                <w:rFonts w:cs="Calibri"/>
                <w:color w:val="000000"/>
                <w:sz w:val="24"/>
                <w:szCs w:val="24"/>
              </w:rPr>
              <w:t xml:space="preserve">$713,686 </w:t>
            </w:r>
          </w:p>
        </w:tc>
      </w:tr>
    </w:tbl>
    <w:p w:rsidR="007B31C8" w:rsidRDefault="007B31C8" w14:paraId="002DE55F" w14:textId="77777777">
      <w:pPr>
        <w:pStyle w:val="BodyText"/>
        <w:spacing w:before="10"/>
        <w:rPr>
          <w:sz w:val="17"/>
        </w:rPr>
      </w:pPr>
    </w:p>
    <w:p w:rsidR="007B31C8" w:rsidRDefault="006C3CB7" w14:paraId="7BC527CD" w14:textId="77777777">
      <w:pPr>
        <w:pStyle w:val="ListParagraph"/>
        <w:numPr>
          <w:ilvl w:val="1"/>
          <w:numId w:val="4"/>
        </w:numPr>
        <w:tabs>
          <w:tab w:val="left" w:pos="581"/>
        </w:tabs>
        <w:ind w:hanging="361"/>
        <w:rPr>
          <w:sz w:val="24"/>
        </w:rPr>
      </w:pPr>
      <w:r>
        <w:rPr>
          <w:sz w:val="24"/>
          <w:u w:val="single"/>
        </w:rPr>
        <w:t>Ex Ante Review (EAR) Process</w:t>
      </w:r>
      <w:r>
        <w:rPr>
          <w:spacing w:val="-3"/>
          <w:sz w:val="24"/>
          <w:u w:val="single"/>
        </w:rPr>
        <w:t xml:space="preserve"> </w:t>
      </w:r>
      <w:r>
        <w:rPr>
          <w:sz w:val="24"/>
          <w:u w:val="single"/>
        </w:rPr>
        <w:t>Performance</w:t>
      </w:r>
    </w:p>
    <w:p w:rsidR="007B31C8" w:rsidRDefault="006C3CB7" w14:paraId="5594EFD0" w14:textId="63035231">
      <w:pPr>
        <w:pStyle w:val="BodyText"/>
        <w:spacing w:before="121"/>
        <w:ind w:left="580" w:right="235"/>
        <w:jc w:val="both"/>
      </w:pPr>
      <w:r>
        <w:t xml:space="preserve">SCE’s award is reduced by their excess DINI expenditures </w:t>
      </w:r>
      <w:r w:rsidRPr="00CB5CAF">
        <w:t xml:space="preserve">(see section </w:t>
      </w:r>
      <w:r w:rsidR="009F77AC">
        <w:t>4</w:t>
      </w:r>
      <w:r w:rsidRPr="00CB5CAF">
        <w:t>c).</w:t>
      </w:r>
      <w:r>
        <w:t xml:space="preserve"> SCE’s </w:t>
      </w:r>
      <w:r w:rsidR="000E797B">
        <w:t xml:space="preserve">2019 </w:t>
      </w:r>
      <w:r>
        <w:t xml:space="preserve">EAR performance score is weighted by their deemed and custom savings </w:t>
      </w:r>
      <w:r w:rsidRPr="00CB5CAF">
        <w:t xml:space="preserve">(see section </w:t>
      </w:r>
      <w:r w:rsidR="009F77AC">
        <w:t>5</w:t>
      </w:r>
      <w:r>
        <w:t>).</w:t>
      </w:r>
      <w:r w:rsidR="000E797B">
        <w:t xml:space="preserve">  Their weighted score is higher than their requested award calculation, resulting in a higher approved award.</w:t>
      </w:r>
    </w:p>
    <w:p w:rsidR="007B31C8" w:rsidRDefault="007B31C8" w14:paraId="4DC0EF08" w14:textId="77777777">
      <w:pPr>
        <w:pStyle w:val="BodyText"/>
        <w:spacing w:before="12"/>
        <w:rPr>
          <w:sz w:val="8"/>
        </w:rPr>
      </w:pPr>
    </w:p>
    <w:tbl>
      <w:tblPr>
        <w:tblW w:w="0" w:type="auto"/>
        <w:tblInd w:w="6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7"/>
        <w:gridCol w:w="2012"/>
        <w:gridCol w:w="2012"/>
        <w:gridCol w:w="2013"/>
      </w:tblGrid>
      <w:tr w:rsidR="007B31C8" w14:paraId="0BBB4800" w14:textId="77777777">
        <w:trPr>
          <w:trHeight w:val="443"/>
        </w:trPr>
        <w:tc>
          <w:tcPr>
            <w:tcW w:w="2967" w:type="dxa"/>
          </w:tcPr>
          <w:p w:rsidR="007B31C8" w:rsidRDefault="006C3CB7" w14:paraId="7D9ED208" w14:textId="77777777">
            <w:pPr>
              <w:pStyle w:val="TableParagraph"/>
              <w:spacing w:before="57"/>
              <w:ind w:left="238" w:right="229"/>
              <w:jc w:val="center"/>
              <w:rPr>
                <w:b/>
                <w:sz w:val="24"/>
              </w:rPr>
            </w:pPr>
            <w:r>
              <w:rPr>
                <w:b/>
                <w:sz w:val="24"/>
              </w:rPr>
              <w:t>ESPI Component</w:t>
            </w:r>
          </w:p>
        </w:tc>
        <w:tc>
          <w:tcPr>
            <w:tcW w:w="2012" w:type="dxa"/>
          </w:tcPr>
          <w:p w:rsidR="007B31C8" w:rsidRDefault="006C3CB7" w14:paraId="50EC6BB9" w14:textId="11750994">
            <w:pPr>
              <w:pStyle w:val="TableParagraph"/>
              <w:spacing w:before="57"/>
              <w:ind w:left="445" w:right="436"/>
              <w:jc w:val="center"/>
              <w:rPr>
                <w:b/>
                <w:sz w:val="24"/>
              </w:rPr>
            </w:pPr>
            <w:r>
              <w:rPr>
                <w:b/>
                <w:sz w:val="24"/>
              </w:rPr>
              <w:t>201</w:t>
            </w:r>
            <w:r w:rsidR="007462A1">
              <w:rPr>
                <w:b/>
                <w:sz w:val="24"/>
              </w:rPr>
              <w:t>9</w:t>
            </w:r>
            <w:r>
              <w:rPr>
                <w:b/>
                <w:sz w:val="24"/>
              </w:rPr>
              <w:t xml:space="preserve"> Cap</w:t>
            </w:r>
          </w:p>
        </w:tc>
        <w:tc>
          <w:tcPr>
            <w:tcW w:w="2012" w:type="dxa"/>
          </w:tcPr>
          <w:p w:rsidR="007B31C8" w:rsidRDefault="006C3CB7" w14:paraId="18ED8AED" w14:textId="77777777">
            <w:pPr>
              <w:pStyle w:val="TableParagraph"/>
              <w:spacing w:before="57"/>
              <w:ind w:left="426"/>
              <w:jc w:val="left"/>
              <w:rPr>
                <w:b/>
                <w:sz w:val="24"/>
              </w:rPr>
            </w:pPr>
            <w:r>
              <w:rPr>
                <w:b/>
                <w:sz w:val="24"/>
              </w:rPr>
              <w:t>Requested</w:t>
            </w:r>
          </w:p>
        </w:tc>
        <w:tc>
          <w:tcPr>
            <w:tcW w:w="2013" w:type="dxa"/>
          </w:tcPr>
          <w:p w:rsidR="007B31C8" w:rsidRDefault="006C3CB7" w14:paraId="6BF75D18" w14:textId="77777777">
            <w:pPr>
              <w:pStyle w:val="TableParagraph"/>
              <w:spacing w:before="57"/>
              <w:ind w:right="443"/>
              <w:rPr>
                <w:b/>
                <w:sz w:val="24"/>
              </w:rPr>
            </w:pPr>
            <w:r>
              <w:rPr>
                <w:b/>
                <w:sz w:val="24"/>
              </w:rPr>
              <w:t>Approved</w:t>
            </w:r>
          </w:p>
        </w:tc>
      </w:tr>
      <w:tr w:rsidR="007462A1" w:rsidTr="003C7217" w14:paraId="7C916D3B" w14:textId="77777777">
        <w:trPr>
          <w:trHeight w:val="443"/>
        </w:trPr>
        <w:tc>
          <w:tcPr>
            <w:tcW w:w="2967" w:type="dxa"/>
          </w:tcPr>
          <w:p w:rsidR="007462A1" w:rsidP="007462A1" w:rsidRDefault="007462A1" w14:paraId="2AC5D93B" w14:textId="51FD3C32">
            <w:pPr>
              <w:pStyle w:val="TableParagraph"/>
              <w:spacing w:before="60"/>
              <w:ind w:left="238" w:right="230"/>
              <w:jc w:val="center"/>
              <w:rPr>
                <w:sz w:val="24"/>
              </w:rPr>
            </w:pPr>
            <w:r>
              <w:rPr>
                <w:sz w:val="24"/>
              </w:rPr>
              <w:t>2019 EAR Performance</w:t>
            </w:r>
          </w:p>
        </w:tc>
        <w:tc>
          <w:tcPr>
            <w:tcW w:w="2012" w:type="dxa"/>
            <w:vAlign w:val="center"/>
          </w:tcPr>
          <w:p w:rsidR="007462A1" w:rsidP="007462A1" w:rsidRDefault="007462A1" w14:paraId="032B6CE0" w14:textId="7AFB244D">
            <w:pPr>
              <w:pStyle w:val="TableParagraph"/>
              <w:spacing w:before="60"/>
              <w:ind w:left="445" w:right="437"/>
              <w:jc w:val="center"/>
              <w:rPr>
                <w:sz w:val="24"/>
              </w:rPr>
            </w:pPr>
            <w:r w:rsidRPr="00111F36">
              <w:rPr>
                <w:rFonts w:cs="Calibri"/>
                <w:color w:val="000000"/>
                <w:sz w:val="24"/>
                <w:szCs w:val="24"/>
              </w:rPr>
              <w:t xml:space="preserve">$5,421,233 </w:t>
            </w:r>
          </w:p>
        </w:tc>
        <w:tc>
          <w:tcPr>
            <w:tcW w:w="2012" w:type="dxa"/>
            <w:vAlign w:val="center"/>
          </w:tcPr>
          <w:p w:rsidR="007462A1" w:rsidP="007462A1" w:rsidRDefault="007462A1" w14:paraId="33FC88F2" w14:textId="0FAC8B85">
            <w:pPr>
              <w:pStyle w:val="TableParagraph"/>
              <w:spacing w:before="60"/>
              <w:ind w:left="464"/>
              <w:jc w:val="left"/>
              <w:rPr>
                <w:sz w:val="24"/>
              </w:rPr>
            </w:pPr>
            <w:r w:rsidRPr="00111F36">
              <w:rPr>
                <w:rFonts w:cs="Calibri"/>
                <w:color w:val="000000"/>
                <w:sz w:val="24"/>
                <w:szCs w:val="24"/>
              </w:rPr>
              <w:t xml:space="preserve">$2,820,922 </w:t>
            </w:r>
          </w:p>
        </w:tc>
        <w:tc>
          <w:tcPr>
            <w:tcW w:w="2013" w:type="dxa"/>
            <w:vAlign w:val="center"/>
          </w:tcPr>
          <w:p w:rsidR="007462A1" w:rsidP="007462A1" w:rsidRDefault="007462A1" w14:paraId="7A1E6EE6" w14:textId="6971365F">
            <w:pPr>
              <w:pStyle w:val="TableParagraph"/>
              <w:spacing w:before="60"/>
              <w:ind w:right="456"/>
              <w:rPr>
                <w:sz w:val="24"/>
              </w:rPr>
            </w:pPr>
            <w:r w:rsidRPr="00111F36">
              <w:rPr>
                <w:rFonts w:cs="Calibri"/>
                <w:color w:val="000000"/>
                <w:sz w:val="24"/>
                <w:szCs w:val="24"/>
              </w:rPr>
              <w:t xml:space="preserve">$2,914,252 </w:t>
            </w:r>
          </w:p>
        </w:tc>
      </w:tr>
    </w:tbl>
    <w:p w:rsidR="007B31C8" w:rsidRDefault="007B31C8" w14:paraId="72185E0D" w14:textId="69D5C3B4">
      <w:pPr>
        <w:pStyle w:val="BodyText"/>
        <w:spacing w:before="11"/>
        <w:rPr>
          <w:sz w:val="17"/>
        </w:rPr>
      </w:pPr>
    </w:p>
    <w:p w:rsidR="00256648" w:rsidRDefault="00256648" w14:paraId="48C1D2FE" w14:textId="4EC824C0">
      <w:pPr>
        <w:pStyle w:val="BodyText"/>
        <w:spacing w:before="11"/>
        <w:rPr>
          <w:sz w:val="17"/>
        </w:rPr>
      </w:pPr>
    </w:p>
    <w:p w:rsidR="007B31C8" w:rsidRDefault="006C3CB7" w14:paraId="2BDD0F09" w14:textId="2CF05D91">
      <w:pPr>
        <w:pStyle w:val="ListParagraph"/>
        <w:numPr>
          <w:ilvl w:val="1"/>
          <w:numId w:val="4"/>
        </w:numPr>
        <w:tabs>
          <w:tab w:val="left" w:pos="581"/>
        </w:tabs>
        <w:spacing w:line="328" w:lineRule="auto"/>
        <w:ind w:right="5116"/>
        <w:rPr>
          <w:sz w:val="24"/>
        </w:rPr>
      </w:pPr>
      <w:r>
        <w:rPr>
          <w:sz w:val="24"/>
          <w:u w:val="single"/>
        </w:rPr>
        <w:t>Codes and Standards (C&amp;S) Programs</w:t>
      </w:r>
      <w:r>
        <w:rPr>
          <w:sz w:val="24"/>
        </w:rPr>
        <w:t xml:space="preserve"> SCE’s award is approved as</w:t>
      </w:r>
      <w:r>
        <w:rPr>
          <w:spacing w:val="-9"/>
          <w:sz w:val="24"/>
        </w:rPr>
        <w:t xml:space="preserve"> </w:t>
      </w:r>
      <w:r>
        <w:rPr>
          <w:sz w:val="24"/>
        </w:rPr>
        <w:t>requested.</w:t>
      </w: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27566C23" w14:textId="77777777">
        <w:trPr>
          <w:trHeight w:val="445"/>
        </w:trPr>
        <w:tc>
          <w:tcPr>
            <w:tcW w:w="2960" w:type="dxa"/>
          </w:tcPr>
          <w:p w:rsidR="007B31C8" w:rsidRDefault="006C3CB7" w14:paraId="5A969EEA" w14:textId="77777777">
            <w:pPr>
              <w:pStyle w:val="TableParagraph"/>
              <w:spacing w:before="59"/>
              <w:ind w:left="164" w:right="148"/>
              <w:jc w:val="center"/>
              <w:rPr>
                <w:b/>
                <w:sz w:val="24"/>
              </w:rPr>
            </w:pPr>
            <w:r>
              <w:rPr>
                <w:b/>
                <w:sz w:val="24"/>
              </w:rPr>
              <w:t>ESPI Component</w:t>
            </w:r>
          </w:p>
        </w:tc>
        <w:tc>
          <w:tcPr>
            <w:tcW w:w="2014" w:type="dxa"/>
            <w:tcBorders>
              <w:right w:val="single" w:color="000000" w:sz="4" w:space="0"/>
            </w:tcBorders>
          </w:tcPr>
          <w:p w:rsidR="007B31C8" w:rsidRDefault="006C3CB7" w14:paraId="5F5B5E42" w14:textId="373FB82C">
            <w:pPr>
              <w:pStyle w:val="TableParagraph"/>
              <w:spacing w:before="59"/>
              <w:ind w:left="508"/>
              <w:jc w:val="left"/>
              <w:rPr>
                <w:b/>
                <w:sz w:val="24"/>
              </w:rPr>
            </w:pPr>
            <w:r>
              <w:rPr>
                <w:b/>
                <w:sz w:val="24"/>
              </w:rPr>
              <w:t>201</w:t>
            </w:r>
            <w:r w:rsidR="007462A1">
              <w:rPr>
                <w:b/>
                <w:sz w:val="24"/>
              </w:rPr>
              <w:t>9</w:t>
            </w:r>
            <w:r>
              <w:rPr>
                <w:b/>
                <w:sz w:val="24"/>
              </w:rPr>
              <w:t xml:space="preserve"> Cap</w:t>
            </w:r>
          </w:p>
        </w:tc>
        <w:tc>
          <w:tcPr>
            <w:tcW w:w="2014" w:type="dxa"/>
            <w:tcBorders>
              <w:left w:val="single" w:color="000000" w:sz="4" w:space="0"/>
            </w:tcBorders>
          </w:tcPr>
          <w:p w:rsidR="007B31C8" w:rsidRDefault="006C3CB7" w14:paraId="4F3BEF5B" w14:textId="77777777">
            <w:pPr>
              <w:pStyle w:val="TableParagraph"/>
              <w:spacing w:before="59"/>
              <w:ind w:left="379" w:right="360"/>
              <w:jc w:val="center"/>
              <w:rPr>
                <w:b/>
                <w:sz w:val="24"/>
              </w:rPr>
            </w:pPr>
            <w:r>
              <w:rPr>
                <w:b/>
                <w:sz w:val="24"/>
              </w:rPr>
              <w:t>Requested</w:t>
            </w:r>
          </w:p>
        </w:tc>
        <w:tc>
          <w:tcPr>
            <w:tcW w:w="2015" w:type="dxa"/>
          </w:tcPr>
          <w:p w:rsidR="007B31C8" w:rsidRDefault="006C3CB7" w14:paraId="495A46AE" w14:textId="77777777">
            <w:pPr>
              <w:pStyle w:val="TableParagraph"/>
              <w:spacing w:before="59"/>
              <w:ind w:left="385" w:right="366"/>
              <w:jc w:val="center"/>
              <w:rPr>
                <w:b/>
                <w:sz w:val="24"/>
              </w:rPr>
            </w:pPr>
            <w:r>
              <w:rPr>
                <w:b/>
                <w:sz w:val="24"/>
              </w:rPr>
              <w:t>Approved</w:t>
            </w:r>
          </w:p>
        </w:tc>
      </w:tr>
      <w:tr w:rsidR="007462A1" w:rsidTr="003C7217" w14:paraId="5E1562B5" w14:textId="77777777">
        <w:trPr>
          <w:trHeight w:val="443"/>
        </w:trPr>
        <w:tc>
          <w:tcPr>
            <w:tcW w:w="2960" w:type="dxa"/>
            <w:tcBorders>
              <w:bottom w:val="single" w:color="000000" w:sz="4" w:space="0"/>
            </w:tcBorders>
          </w:tcPr>
          <w:p w:rsidR="007462A1" w:rsidP="007462A1" w:rsidRDefault="007462A1" w14:paraId="397F35E9" w14:textId="22894BC6">
            <w:pPr>
              <w:pStyle w:val="TableParagraph"/>
              <w:spacing w:before="59"/>
              <w:ind w:left="164" w:right="148"/>
              <w:jc w:val="center"/>
              <w:rPr>
                <w:sz w:val="24"/>
              </w:rPr>
            </w:pPr>
            <w:r>
              <w:rPr>
                <w:sz w:val="24"/>
              </w:rPr>
              <w:t>2019 C&amp;S</w:t>
            </w:r>
          </w:p>
        </w:tc>
        <w:tc>
          <w:tcPr>
            <w:tcW w:w="2014" w:type="dxa"/>
            <w:tcBorders>
              <w:bottom w:val="single" w:color="000000" w:sz="4" w:space="0"/>
              <w:right w:val="single" w:color="000000" w:sz="4" w:space="0"/>
            </w:tcBorders>
            <w:vAlign w:val="center"/>
          </w:tcPr>
          <w:p w:rsidR="007462A1" w:rsidP="007462A1" w:rsidRDefault="007462A1" w14:paraId="6043F227" w14:textId="082CB1F7">
            <w:pPr>
              <w:pStyle w:val="TableParagraph"/>
              <w:spacing w:before="59"/>
              <w:ind w:left="546"/>
              <w:jc w:val="left"/>
              <w:rPr>
                <w:sz w:val="24"/>
              </w:rPr>
            </w:pPr>
            <w:r w:rsidRPr="00111F36">
              <w:rPr>
                <w:rFonts w:cs="Calibri"/>
                <w:color w:val="000000"/>
                <w:sz w:val="24"/>
                <w:szCs w:val="24"/>
              </w:rPr>
              <w:t xml:space="preserve">$1,038,534 </w:t>
            </w:r>
          </w:p>
        </w:tc>
        <w:tc>
          <w:tcPr>
            <w:tcW w:w="2014" w:type="dxa"/>
            <w:tcBorders>
              <w:left w:val="single" w:color="000000" w:sz="4" w:space="0"/>
              <w:bottom w:val="single" w:color="000000" w:sz="4" w:space="0"/>
            </w:tcBorders>
            <w:vAlign w:val="center"/>
          </w:tcPr>
          <w:p w:rsidR="007462A1" w:rsidP="007462A1" w:rsidRDefault="007462A1" w14:paraId="29AD9916" w14:textId="35B40BB3">
            <w:pPr>
              <w:pStyle w:val="TableParagraph"/>
              <w:spacing w:before="59"/>
              <w:ind w:left="379" w:right="356"/>
              <w:jc w:val="center"/>
              <w:rPr>
                <w:sz w:val="24"/>
              </w:rPr>
            </w:pPr>
            <w:r w:rsidRPr="00111F36">
              <w:rPr>
                <w:rFonts w:cs="Calibri"/>
                <w:color w:val="000000"/>
                <w:sz w:val="24"/>
                <w:szCs w:val="24"/>
              </w:rPr>
              <w:t xml:space="preserve">$909,214 </w:t>
            </w:r>
          </w:p>
        </w:tc>
        <w:tc>
          <w:tcPr>
            <w:tcW w:w="2015" w:type="dxa"/>
            <w:tcBorders>
              <w:bottom w:val="single" w:color="000000" w:sz="4" w:space="0"/>
            </w:tcBorders>
            <w:vAlign w:val="center"/>
          </w:tcPr>
          <w:p w:rsidR="007462A1" w:rsidP="007462A1" w:rsidRDefault="007462A1" w14:paraId="03D6AF72" w14:textId="5731A9FE">
            <w:pPr>
              <w:pStyle w:val="TableParagraph"/>
              <w:spacing w:before="59"/>
              <w:ind w:left="385" w:right="368"/>
              <w:jc w:val="center"/>
              <w:rPr>
                <w:sz w:val="24"/>
              </w:rPr>
            </w:pPr>
            <w:r w:rsidRPr="00111F36">
              <w:rPr>
                <w:rFonts w:cs="Calibri"/>
                <w:color w:val="000000"/>
                <w:sz w:val="24"/>
                <w:szCs w:val="24"/>
              </w:rPr>
              <w:t xml:space="preserve">$909,214 </w:t>
            </w:r>
          </w:p>
        </w:tc>
      </w:tr>
    </w:tbl>
    <w:p w:rsidR="007B31C8" w:rsidRDefault="006C3CB7" w14:paraId="75789FBA" w14:textId="77777777">
      <w:pPr>
        <w:pStyle w:val="ListParagraph"/>
        <w:numPr>
          <w:ilvl w:val="1"/>
          <w:numId w:val="4"/>
        </w:numPr>
        <w:tabs>
          <w:tab w:val="left" w:pos="581"/>
        </w:tabs>
        <w:spacing w:before="201"/>
        <w:ind w:hanging="361"/>
        <w:rPr>
          <w:sz w:val="24"/>
        </w:rPr>
      </w:pPr>
      <w:r>
        <w:rPr>
          <w:sz w:val="24"/>
          <w:u w:val="single"/>
        </w:rPr>
        <w:t>Non-Resource</w:t>
      </w:r>
      <w:r>
        <w:rPr>
          <w:spacing w:val="-1"/>
          <w:sz w:val="24"/>
          <w:u w:val="single"/>
        </w:rPr>
        <w:t xml:space="preserve"> </w:t>
      </w:r>
      <w:r>
        <w:rPr>
          <w:sz w:val="24"/>
          <w:u w:val="single"/>
        </w:rPr>
        <w:t>Programs</w:t>
      </w:r>
    </w:p>
    <w:p w:rsidR="007B31C8" w:rsidRDefault="006C3CB7" w14:paraId="2F94AAF1" w14:textId="77777777">
      <w:pPr>
        <w:pStyle w:val="BodyText"/>
        <w:spacing w:before="118"/>
        <w:ind w:left="580"/>
        <w:jc w:val="both"/>
      </w:pPr>
      <w:r>
        <w:t>SCE’s award is approved as requested.</w:t>
      </w:r>
    </w:p>
    <w:p w:rsidR="007B31C8" w:rsidRDefault="007B31C8" w14:paraId="31699E6B" w14:textId="77777777">
      <w:pPr>
        <w:pStyle w:val="BodyText"/>
        <w:spacing w:before="2"/>
        <w:rPr>
          <w:sz w:val="12"/>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3B4AF101" w14:textId="77777777">
        <w:trPr>
          <w:trHeight w:val="443"/>
        </w:trPr>
        <w:tc>
          <w:tcPr>
            <w:tcW w:w="2960" w:type="dxa"/>
          </w:tcPr>
          <w:p w:rsidR="007B31C8" w:rsidRDefault="006C3CB7" w14:paraId="3BEF3FB8"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646C4F4E" w14:textId="15F131DF">
            <w:pPr>
              <w:pStyle w:val="TableParagraph"/>
              <w:spacing w:before="57"/>
              <w:ind w:right="509"/>
              <w:rPr>
                <w:b/>
                <w:sz w:val="24"/>
              </w:rPr>
            </w:pPr>
            <w:r>
              <w:rPr>
                <w:b/>
                <w:sz w:val="24"/>
              </w:rPr>
              <w:t>201</w:t>
            </w:r>
            <w:r w:rsidR="007462A1">
              <w:rPr>
                <w:b/>
                <w:sz w:val="24"/>
              </w:rPr>
              <w:t>9</w:t>
            </w:r>
            <w:r>
              <w:rPr>
                <w:b/>
                <w:sz w:val="24"/>
              </w:rPr>
              <w:t xml:space="preserve"> Cap</w:t>
            </w:r>
          </w:p>
        </w:tc>
        <w:tc>
          <w:tcPr>
            <w:tcW w:w="2014" w:type="dxa"/>
            <w:tcBorders>
              <w:left w:val="single" w:color="000000" w:sz="4" w:space="0"/>
            </w:tcBorders>
          </w:tcPr>
          <w:p w:rsidR="007B31C8" w:rsidRDefault="006C3CB7" w14:paraId="2A2B5EE5" w14:textId="77777777">
            <w:pPr>
              <w:pStyle w:val="TableParagraph"/>
              <w:spacing w:before="57"/>
              <w:ind w:left="379" w:right="360"/>
              <w:jc w:val="center"/>
              <w:rPr>
                <w:b/>
                <w:sz w:val="24"/>
              </w:rPr>
            </w:pPr>
            <w:r>
              <w:rPr>
                <w:b/>
                <w:sz w:val="24"/>
              </w:rPr>
              <w:t>Requested</w:t>
            </w:r>
          </w:p>
        </w:tc>
        <w:tc>
          <w:tcPr>
            <w:tcW w:w="2015" w:type="dxa"/>
          </w:tcPr>
          <w:p w:rsidR="007B31C8" w:rsidRDefault="006C3CB7" w14:paraId="5CE43ED2" w14:textId="77777777">
            <w:pPr>
              <w:pStyle w:val="TableParagraph"/>
              <w:spacing w:before="57"/>
              <w:ind w:left="385" w:right="366"/>
              <w:jc w:val="center"/>
              <w:rPr>
                <w:b/>
                <w:sz w:val="24"/>
              </w:rPr>
            </w:pPr>
            <w:r>
              <w:rPr>
                <w:b/>
                <w:sz w:val="24"/>
              </w:rPr>
              <w:t>Approved</w:t>
            </w:r>
          </w:p>
        </w:tc>
      </w:tr>
      <w:tr w:rsidR="007462A1" w:rsidTr="003C7217" w14:paraId="646B0C91" w14:textId="77777777">
        <w:trPr>
          <w:trHeight w:val="445"/>
        </w:trPr>
        <w:tc>
          <w:tcPr>
            <w:tcW w:w="2960" w:type="dxa"/>
            <w:tcBorders>
              <w:bottom w:val="single" w:color="000000" w:sz="4" w:space="0"/>
            </w:tcBorders>
          </w:tcPr>
          <w:p w:rsidR="007462A1" w:rsidP="007462A1" w:rsidRDefault="007462A1" w14:paraId="450C90B9" w14:textId="6112E8B7">
            <w:pPr>
              <w:pStyle w:val="TableParagraph"/>
              <w:spacing w:before="62"/>
              <w:ind w:left="162" w:right="148"/>
              <w:jc w:val="center"/>
              <w:rPr>
                <w:sz w:val="24"/>
              </w:rPr>
            </w:pPr>
            <w:r>
              <w:rPr>
                <w:sz w:val="24"/>
              </w:rPr>
              <w:lastRenderedPageBreak/>
              <w:t>2019 Non-Resource</w:t>
            </w:r>
          </w:p>
        </w:tc>
        <w:tc>
          <w:tcPr>
            <w:tcW w:w="2014" w:type="dxa"/>
            <w:tcBorders>
              <w:bottom w:val="single" w:color="000000" w:sz="4" w:space="0"/>
              <w:right w:val="single" w:color="000000" w:sz="4" w:space="0"/>
            </w:tcBorders>
            <w:vAlign w:val="center"/>
          </w:tcPr>
          <w:p w:rsidR="007462A1" w:rsidP="007462A1" w:rsidRDefault="007462A1" w14:paraId="0E18EF7D" w14:textId="2D7690DE">
            <w:pPr>
              <w:pStyle w:val="TableParagraph"/>
              <w:spacing w:before="62"/>
              <w:ind w:right="490"/>
              <w:rPr>
                <w:sz w:val="24"/>
              </w:rPr>
            </w:pPr>
            <w:r w:rsidRPr="00111F36">
              <w:rPr>
                <w:rFonts w:cs="Calibri"/>
                <w:color w:val="000000"/>
                <w:sz w:val="24"/>
                <w:szCs w:val="24"/>
              </w:rPr>
              <w:t xml:space="preserve">$630,388 </w:t>
            </w:r>
          </w:p>
        </w:tc>
        <w:tc>
          <w:tcPr>
            <w:tcW w:w="2014" w:type="dxa"/>
            <w:tcBorders>
              <w:left w:val="single" w:color="000000" w:sz="4" w:space="0"/>
              <w:bottom w:val="single" w:color="000000" w:sz="4" w:space="0"/>
            </w:tcBorders>
            <w:vAlign w:val="center"/>
          </w:tcPr>
          <w:p w:rsidR="007462A1" w:rsidP="007462A1" w:rsidRDefault="007462A1" w14:paraId="6DA83F90" w14:textId="38A06D11">
            <w:pPr>
              <w:pStyle w:val="TableParagraph"/>
              <w:spacing w:before="62"/>
              <w:ind w:left="379" w:right="356"/>
              <w:jc w:val="center"/>
              <w:rPr>
                <w:sz w:val="24"/>
              </w:rPr>
            </w:pPr>
            <w:r w:rsidRPr="00111F36">
              <w:rPr>
                <w:rFonts w:cs="Calibri"/>
                <w:color w:val="000000"/>
                <w:sz w:val="24"/>
                <w:szCs w:val="24"/>
              </w:rPr>
              <w:t xml:space="preserve">$477,059 </w:t>
            </w:r>
          </w:p>
        </w:tc>
        <w:tc>
          <w:tcPr>
            <w:tcW w:w="2015" w:type="dxa"/>
            <w:tcBorders>
              <w:bottom w:val="single" w:color="000000" w:sz="4" w:space="0"/>
            </w:tcBorders>
            <w:vAlign w:val="center"/>
          </w:tcPr>
          <w:p w:rsidR="007462A1" w:rsidP="007462A1" w:rsidRDefault="007462A1" w14:paraId="6A9B5725" w14:textId="7D84E589">
            <w:pPr>
              <w:pStyle w:val="TableParagraph"/>
              <w:spacing w:before="62"/>
              <w:ind w:left="385" w:right="368"/>
              <w:jc w:val="center"/>
              <w:rPr>
                <w:sz w:val="24"/>
              </w:rPr>
            </w:pPr>
            <w:r w:rsidRPr="00111F36">
              <w:rPr>
                <w:rFonts w:cs="Calibri"/>
                <w:color w:val="000000"/>
                <w:sz w:val="24"/>
                <w:szCs w:val="24"/>
              </w:rPr>
              <w:t xml:space="preserve">$477,059 </w:t>
            </w:r>
          </w:p>
        </w:tc>
      </w:tr>
    </w:tbl>
    <w:p w:rsidR="007B31C8" w:rsidRDefault="007B31C8" w14:paraId="79CE069E" w14:textId="77777777">
      <w:pPr>
        <w:pStyle w:val="BodyText"/>
        <w:spacing w:before="2"/>
        <w:rPr>
          <w:sz w:val="13"/>
        </w:rPr>
      </w:pPr>
    </w:p>
    <w:p w:rsidR="007B31C8" w:rsidRDefault="006C3CB7" w14:paraId="6FE0C379" w14:textId="77777777">
      <w:pPr>
        <w:pStyle w:val="ListParagraph"/>
        <w:numPr>
          <w:ilvl w:val="1"/>
          <w:numId w:val="4"/>
        </w:numPr>
        <w:tabs>
          <w:tab w:val="left" w:pos="581"/>
        </w:tabs>
        <w:spacing w:before="24"/>
        <w:ind w:hanging="361"/>
        <w:rPr>
          <w:sz w:val="24"/>
        </w:rPr>
      </w:pPr>
      <w:r>
        <w:rPr>
          <w:sz w:val="24"/>
          <w:u w:val="single"/>
        </w:rPr>
        <w:t>True Ups</w:t>
      </w:r>
    </w:p>
    <w:p w:rsidR="004F7676" w:rsidP="004F7676" w:rsidRDefault="003F2B78" w14:paraId="0D2087C2" w14:textId="2FF8918E">
      <w:pPr>
        <w:pStyle w:val="BodyText"/>
        <w:spacing w:before="24"/>
        <w:ind w:left="580" w:right="237"/>
        <w:jc w:val="both"/>
      </w:pPr>
      <w:r>
        <w:t xml:space="preserve">The UAB audit found Non-Resource expenditures in 2018 that belonged in 2017.  As a result, the 2017 Non-Resource award was increased.  </w:t>
      </w:r>
      <w:r w:rsidR="006C3CB7">
        <w:t>SCE</w:t>
      </w:r>
      <w:r w:rsidR="007462A1">
        <w:t xml:space="preserve">’s </w:t>
      </w:r>
      <w:r w:rsidR="006C3CB7">
        <w:t xml:space="preserve">2018 Non-Resource True Up </w:t>
      </w:r>
      <w:r w:rsidR="007462A1">
        <w:t xml:space="preserve">is denied because they exceeded their 2018 </w:t>
      </w:r>
      <w:r w:rsidR="006C3CB7">
        <w:t>Non-Resource award cap</w:t>
      </w:r>
      <w:r w:rsidR="007462A1">
        <w:t xml:space="preserve"> and the adjustment made by the UAFCB audit report</w:t>
      </w:r>
      <w:r w:rsidR="00A23AF3">
        <w:t xml:space="preserve"> did not result in decreasing their award</w:t>
      </w:r>
      <w:r w:rsidR="006C3CB7">
        <w:t xml:space="preserve">. </w:t>
      </w:r>
      <w:r w:rsidR="004F7676">
        <w:t>The 201</w:t>
      </w:r>
      <w:r>
        <w:t>7 and 2018</w:t>
      </w:r>
      <w:r w:rsidR="004F7676">
        <w:t xml:space="preserve"> true ups include SCE’s weighted average cost of</w:t>
      </w:r>
      <w:r w:rsidR="004F7676">
        <w:rPr>
          <w:spacing w:val="-1"/>
        </w:rPr>
        <w:t xml:space="preserve"> </w:t>
      </w:r>
      <w:r w:rsidR="004F7676">
        <w:t>capital.</w:t>
      </w:r>
    </w:p>
    <w:p w:rsidR="007B31C8" w:rsidP="003C7217" w:rsidRDefault="007B31C8" w14:paraId="54D959F0" w14:textId="77777777">
      <w:pPr>
        <w:pStyle w:val="BodyText"/>
        <w:spacing w:before="118"/>
        <w:ind w:left="580" w:right="234"/>
        <w:jc w:val="both"/>
        <w:rPr>
          <w:sz w:val="20"/>
        </w:rPr>
      </w:pPr>
    </w:p>
    <w:tbl>
      <w:tblPr>
        <w:tblW w:w="0" w:type="auto"/>
        <w:tblInd w:w="9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491"/>
        <w:gridCol w:w="1708"/>
        <w:gridCol w:w="1721"/>
      </w:tblGrid>
      <w:tr w:rsidR="007462A1" w:rsidTr="007462A1" w14:paraId="06A7C0AA" w14:textId="77777777">
        <w:trPr>
          <w:trHeight w:val="445"/>
        </w:trPr>
        <w:tc>
          <w:tcPr>
            <w:tcW w:w="4491" w:type="dxa"/>
            <w:tcBorders>
              <w:top w:val="single" w:color="000000" w:sz="8" w:space="0"/>
              <w:left w:val="single" w:color="000000" w:sz="8" w:space="0"/>
              <w:bottom w:val="single" w:color="000000" w:sz="8" w:space="0"/>
              <w:right w:val="single" w:color="000000" w:sz="8" w:space="0"/>
            </w:tcBorders>
          </w:tcPr>
          <w:p w:rsidR="007462A1" w:rsidP="00F03D24" w:rsidRDefault="007462A1" w14:paraId="06D9185B" w14:textId="77777777">
            <w:pPr>
              <w:pStyle w:val="BodyText"/>
              <w:jc w:val="center"/>
              <w:rPr>
                <w:b/>
              </w:rPr>
            </w:pPr>
            <w:r>
              <w:rPr>
                <w:b/>
              </w:rPr>
              <w:t>Component</w:t>
            </w:r>
          </w:p>
        </w:tc>
        <w:tc>
          <w:tcPr>
            <w:tcW w:w="1708" w:type="dxa"/>
            <w:tcBorders>
              <w:top w:val="single" w:color="000000" w:sz="8" w:space="0"/>
              <w:left w:val="single" w:color="000000" w:sz="8" w:space="0"/>
              <w:bottom w:val="single" w:color="000000" w:sz="8" w:space="0"/>
              <w:right w:val="single" w:color="000000" w:sz="8" w:space="0"/>
            </w:tcBorders>
          </w:tcPr>
          <w:p w:rsidR="007462A1" w:rsidP="00F03D24" w:rsidRDefault="007462A1" w14:paraId="5188132E" w14:textId="77777777">
            <w:pPr>
              <w:pStyle w:val="BodyText"/>
              <w:jc w:val="center"/>
              <w:rPr>
                <w:b/>
              </w:rPr>
            </w:pPr>
            <w:r>
              <w:rPr>
                <w:b/>
              </w:rPr>
              <w:t>Requested</w:t>
            </w:r>
          </w:p>
        </w:tc>
        <w:tc>
          <w:tcPr>
            <w:tcW w:w="1721" w:type="dxa"/>
            <w:tcBorders>
              <w:top w:val="single" w:color="000000" w:sz="8" w:space="0"/>
              <w:left w:val="single" w:color="000000" w:sz="8" w:space="0"/>
              <w:bottom w:val="single" w:color="000000" w:sz="8" w:space="0"/>
              <w:right w:val="single" w:color="000000" w:sz="8" w:space="0"/>
            </w:tcBorders>
          </w:tcPr>
          <w:p w:rsidR="007462A1" w:rsidP="00F03D24" w:rsidRDefault="007462A1" w14:paraId="6C54A76C" w14:textId="77777777">
            <w:pPr>
              <w:pStyle w:val="BodyText"/>
              <w:jc w:val="center"/>
              <w:rPr>
                <w:b/>
              </w:rPr>
            </w:pPr>
            <w:r>
              <w:rPr>
                <w:b/>
              </w:rPr>
              <w:t>Approved</w:t>
            </w:r>
          </w:p>
        </w:tc>
      </w:tr>
      <w:tr w:rsidR="003F2B78" w:rsidTr="00F03D24" w14:paraId="59E30ADE" w14:textId="77777777">
        <w:trPr>
          <w:trHeight w:val="445"/>
        </w:trPr>
        <w:tc>
          <w:tcPr>
            <w:tcW w:w="4491" w:type="dxa"/>
            <w:tcBorders>
              <w:top w:val="single" w:color="000000" w:sz="8" w:space="0"/>
              <w:left w:val="single" w:color="000000" w:sz="8" w:space="0"/>
              <w:bottom w:val="single" w:color="000000" w:sz="8" w:space="0"/>
              <w:right w:val="single" w:color="000000" w:sz="8" w:space="0"/>
            </w:tcBorders>
          </w:tcPr>
          <w:p w:rsidR="003F2B78" w:rsidP="00F03D24" w:rsidRDefault="003F2B78" w14:paraId="65CBDA4F" w14:textId="7F93D80E">
            <w:pPr>
              <w:pStyle w:val="BodyText"/>
              <w:rPr>
                <w:b/>
              </w:rPr>
            </w:pPr>
            <w:r w:rsidRPr="00F03D24">
              <w:rPr>
                <w:bCs/>
              </w:rPr>
              <w:t>2017 Non-Resource True Up</w:t>
            </w:r>
          </w:p>
        </w:tc>
        <w:tc>
          <w:tcPr>
            <w:tcW w:w="1708" w:type="dxa"/>
            <w:tcBorders>
              <w:top w:val="single" w:color="000000" w:sz="8" w:space="0"/>
              <w:left w:val="single" w:color="000000" w:sz="8" w:space="0"/>
              <w:bottom w:val="single" w:color="000000" w:sz="8" w:space="0"/>
              <w:right w:val="single" w:color="000000" w:sz="8" w:space="0"/>
            </w:tcBorders>
            <w:vAlign w:val="center"/>
          </w:tcPr>
          <w:p w:rsidR="003F2B78" w:rsidP="00F03D24" w:rsidRDefault="003F2B78" w14:paraId="5882EB01" w14:textId="53867361">
            <w:pPr>
              <w:pStyle w:val="BodyText"/>
              <w:jc w:val="right"/>
              <w:rPr>
                <w:b/>
              </w:rPr>
            </w:pPr>
            <w:r w:rsidRPr="00D45844">
              <w:rPr>
                <w:rFonts w:cs="Calibri"/>
                <w:color w:val="000000"/>
              </w:rPr>
              <w:t xml:space="preserve">$0 </w:t>
            </w:r>
          </w:p>
        </w:tc>
        <w:tc>
          <w:tcPr>
            <w:tcW w:w="1721" w:type="dxa"/>
            <w:tcBorders>
              <w:top w:val="single" w:color="000000" w:sz="8" w:space="0"/>
              <w:left w:val="single" w:color="000000" w:sz="8" w:space="0"/>
              <w:bottom w:val="single" w:color="000000" w:sz="8" w:space="0"/>
              <w:right w:val="single" w:color="000000" w:sz="8" w:space="0"/>
            </w:tcBorders>
            <w:vAlign w:val="center"/>
          </w:tcPr>
          <w:p w:rsidR="003F2B78" w:rsidP="00F03D24" w:rsidRDefault="003F2B78" w14:paraId="317E6B31" w14:textId="68053FE1">
            <w:pPr>
              <w:pStyle w:val="BodyText"/>
              <w:jc w:val="right"/>
              <w:rPr>
                <w:b/>
              </w:rPr>
            </w:pPr>
            <w:r w:rsidRPr="00111F36">
              <w:rPr>
                <w:rFonts w:cs="Calibri"/>
                <w:color w:val="000000"/>
              </w:rPr>
              <w:t xml:space="preserve">$431 </w:t>
            </w:r>
          </w:p>
        </w:tc>
      </w:tr>
      <w:tr w:rsidR="007462A1" w:rsidTr="007462A1" w14:paraId="39715D38" w14:textId="77777777">
        <w:trPr>
          <w:trHeight w:val="445"/>
        </w:trPr>
        <w:tc>
          <w:tcPr>
            <w:tcW w:w="4491" w:type="dxa"/>
            <w:tcBorders>
              <w:top w:val="single" w:color="000000" w:sz="8" w:space="0"/>
              <w:left w:val="single" w:color="000000" w:sz="8" w:space="0"/>
              <w:bottom w:val="single" w:color="000000" w:sz="8" w:space="0"/>
              <w:right w:val="single" w:color="000000" w:sz="8" w:space="0"/>
            </w:tcBorders>
          </w:tcPr>
          <w:p w:rsidRPr="00F03D24" w:rsidR="007462A1" w:rsidP="007462A1" w:rsidRDefault="007462A1" w14:paraId="6C96F8EC" w14:textId="77777777">
            <w:pPr>
              <w:pStyle w:val="BodyText"/>
              <w:rPr>
                <w:bCs/>
              </w:rPr>
            </w:pPr>
            <w:r w:rsidRPr="00F03D24">
              <w:rPr>
                <w:bCs/>
              </w:rPr>
              <w:t>2018 Non-Resource True Up</w:t>
            </w:r>
          </w:p>
        </w:tc>
        <w:tc>
          <w:tcPr>
            <w:tcW w:w="1708" w:type="dxa"/>
            <w:tcBorders>
              <w:top w:val="single" w:color="000000" w:sz="8" w:space="0"/>
              <w:left w:val="single" w:color="000000" w:sz="8" w:space="0"/>
              <w:bottom w:val="single" w:color="000000" w:sz="8" w:space="0"/>
              <w:right w:val="single" w:color="000000" w:sz="8" w:space="0"/>
            </w:tcBorders>
          </w:tcPr>
          <w:p w:rsidRPr="00F03D24" w:rsidR="007462A1" w:rsidP="00F03D24" w:rsidRDefault="007462A1" w14:paraId="76D8544A" w14:textId="77777777">
            <w:pPr>
              <w:pStyle w:val="TableParagraph"/>
              <w:spacing w:line="288" w:lineRule="exact"/>
              <w:ind w:right="93"/>
              <w:rPr>
                <w:color w:val="FF0000"/>
              </w:rPr>
            </w:pPr>
            <w:r w:rsidRPr="00F03D24">
              <w:rPr>
                <w:color w:val="FF0000"/>
                <w:sz w:val="24"/>
              </w:rPr>
              <w:t>($400)</w:t>
            </w:r>
          </w:p>
        </w:tc>
        <w:tc>
          <w:tcPr>
            <w:tcW w:w="1721" w:type="dxa"/>
            <w:tcBorders>
              <w:top w:val="single" w:color="000000" w:sz="8" w:space="0"/>
              <w:left w:val="single" w:color="000000" w:sz="8" w:space="0"/>
              <w:bottom w:val="single" w:color="000000" w:sz="8" w:space="0"/>
              <w:right w:val="single" w:color="000000" w:sz="8" w:space="0"/>
            </w:tcBorders>
          </w:tcPr>
          <w:p w:rsidRPr="00F03D24" w:rsidR="007462A1" w:rsidP="00F03D24" w:rsidRDefault="007462A1" w14:paraId="6426A413" w14:textId="77777777">
            <w:pPr>
              <w:pStyle w:val="TableParagraph"/>
              <w:spacing w:line="288" w:lineRule="exact"/>
              <w:ind w:right="91"/>
              <w:rPr>
                <w:bCs/>
              </w:rPr>
            </w:pPr>
            <w:r w:rsidRPr="00F03D24">
              <w:rPr>
                <w:sz w:val="24"/>
              </w:rPr>
              <w:t>$0</w:t>
            </w:r>
            <w:r w:rsidRPr="00F03D24">
              <w:rPr>
                <w:bCs/>
                <w:sz w:val="24"/>
                <w:szCs w:val="24"/>
              </w:rPr>
              <w:t xml:space="preserve"> </w:t>
            </w:r>
          </w:p>
        </w:tc>
      </w:tr>
    </w:tbl>
    <w:p w:rsidR="007B31C8" w:rsidRDefault="007B31C8" w14:paraId="0BD750C1" w14:textId="77777777">
      <w:pPr>
        <w:pStyle w:val="BodyText"/>
        <w:rPr>
          <w:sz w:val="16"/>
        </w:rPr>
      </w:pPr>
    </w:p>
    <w:p w:rsidR="007B31C8" w:rsidP="00B204AF" w:rsidRDefault="006C3CB7" w14:paraId="5E41B309" w14:textId="009AC10C">
      <w:pPr>
        <w:pStyle w:val="BodyText"/>
        <w:spacing w:before="118"/>
        <w:ind w:left="580" w:right="234"/>
        <w:jc w:val="both"/>
      </w:pPr>
      <w:r>
        <w:t>SCE’s final 20</w:t>
      </w:r>
      <w:r w:rsidR="00E372DD">
        <w:t>20</w:t>
      </w:r>
      <w:r>
        <w:t xml:space="preserve"> award values including all adjustments are shown in Table 13.</w:t>
      </w:r>
    </w:p>
    <w:p w:rsidR="007B31C8" w:rsidRDefault="006C3CB7" w14:paraId="197E3F95" w14:textId="508E60CD">
      <w:pPr>
        <w:pStyle w:val="BodyText"/>
        <w:spacing w:before="130" w:after="8"/>
        <w:ind w:left="1142" w:right="1157"/>
        <w:jc w:val="center"/>
      </w:pPr>
      <w:r>
        <w:t>Table 13: SCE 20</w:t>
      </w:r>
      <w:r w:rsidR="00E372DD">
        <w:t>20</w:t>
      </w:r>
      <w:r>
        <w:t xml:space="preserve"> ESPI Awards</w:t>
      </w:r>
    </w:p>
    <w:tbl>
      <w:tblPr>
        <w:tblW w:w="0" w:type="auto"/>
        <w:tblInd w:w="9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910"/>
        <w:gridCol w:w="1440"/>
        <w:gridCol w:w="1572"/>
      </w:tblGrid>
      <w:tr w:rsidR="00A23AF3" w:rsidTr="00B204AF" w14:paraId="273D7DD6" w14:textId="77777777">
        <w:trPr>
          <w:trHeight w:val="443"/>
        </w:trPr>
        <w:tc>
          <w:tcPr>
            <w:tcW w:w="4910" w:type="dxa"/>
            <w:tcBorders>
              <w:bottom w:val="single" w:color="000000" w:sz="4" w:space="0"/>
            </w:tcBorders>
          </w:tcPr>
          <w:p w:rsidR="00A23AF3" w:rsidP="00A23AF3" w:rsidRDefault="00A23AF3" w14:paraId="1F92F9A7" w14:textId="77777777">
            <w:pPr>
              <w:pStyle w:val="TableParagraph"/>
              <w:spacing w:before="57"/>
              <w:ind w:left="1582" w:right="1564"/>
              <w:jc w:val="center"/>
              <w:rPr>
                <w:b/>
                <w:sz w:val="24"/>
              </w:rPr>
            </w:pPr>
            <w:r>
              <w:rPr>
                <w:b/>
                <w:sz w:val="24"/>
              </w:rPr>
              <w:t>Component</w:t>
            </w:r>
          </w:p>
        </w:tc>
        <w:tc>
          <w:tcPr>
            <w:tcW w:w="1440" w:type="dxa"/>
            <w:tcBorders>
              <w:bottom w:val="single" w:color="000000" w:sz="4" w:space="0"/>
            </w:tcBorders>
          </w:tcPr>
          <w:p w:rsidR="00A23AF3" w:rsidP="00A23AF3" w:rsidRDefault="00A23AF3" w14:paraId="648034B0" w14:textId="77777777">
            <w:pPr>
              <w:pStyle w:val="TableParagraph"/>
              <w:spacing w:before="57"/>
              <w:ind w:left="203"/>
              <w:jc w:val="left"/>
              <w:rPr>
                <w:b/>
                <w:sz w:val="24"/>
              </w:rPr>
            </w:pPr>
            <w:r>
              <w:rPr>
                <w:b/>
                <w:sz w:val="24"/>
              </w:rPr>
              <w:t>Requested</w:t>
            </w:r>
          </w:p>
        </w:tc>
        <w:tc>
          <w:tcPr>
            <w:tcW w:w="1572" w:type="dxa"/>
            <w:tcBorders>
              <w:bottom w:val="single" w:color="000000" w:sz="4" w:space="0"/>
            </w:tcBorders>
          </w:tcPr>
          <w:p w:rsidR="00A23AF3" w:rsidP="00A23AF3" w:rsidRDefault="00A23AF3" w14:paraId="2572268C" w14:textId="77777777">
            <w:pPr>
              <w:pStyle w:val="TableParagraph"/>
              <w:spacing w:before="57"/>
              <w:ind w:left="373"/>
              <w:jc w:val="left"/>
              <w:rPr>
                <w:b/>
                <w:sz w:val="24"/>
              </w:rPr>
            </w:pPr>
            <w:r>
              <w:rPr>
                <w:b/>
                <w:sz w:val="24"/>
              </w:rPr>
              <w:t>Approved</w:t>
            </w:r>
          </w:p>
        </w:tc>
      </w:tr>
      <w:tr w:rsidR="00A23AF3" w:rsidTr="00B204AF" w14:paraId="30E11E29" w14:textId="77777777">
        <w:trPr>
          <w:trHeight w:val="360"/>
        </w:trPr>
        <w:tc>
          <w:tcPr>
            <w:tcW w:w="4910" w:type="dxa"/>
            <w:tcBorders>
              <w:top w:val="single" w:color="000000" w:sz="4" w:space="0"/>
              <w:left w:val="single" w:color="000000" w:sz="4" w:space="0"/>
              <w:bottom w:val="nil"/>
              <w:right w:val="single" w:color="000000" w:sz="4" w:space="0"/>
            </w:tcBorders>
            <w:vAlign w:val="center"/>
          </w:tcPr>
          <w:p w:rsidRPr="00111F36" w:rsidR="00A23AF3" w:rsidP="00A23AF3" w:rsidRDefault="00A23AF3" w14:paraId="7D113E53" w14:textId="77777777">
            <w:pPr>
              <w:pStyle w:val="TableParagraph"/>
              <w:ind w:left="112"/>
              <w:jc w:val="left"/>
              <w:rPr>
                <w:sz w:val="24"/>
                <w:szCs w:val="24"/>
              </w:rPr>
            </w:pPr>
            <w:r w:rsidRPr="00111F36">
              <w:rPr>
                <w:rFonts w:cs="Calibri"/>
                <w:color w:val="000000"/>
                <w:sz w:val="24"/>
                <w:szCs w:val="24"/>
              </w:rPr>
              <w:t xml:space="preserve">2018 Ex-Post Savings </w:t>
            </w:r>
          </w:p>
        </w:tc>
        <w:tc>
          <w:tcPr>
            <w:tcW w:w="1440" w:type="dxa"/>
            <w:tcBorders>
              <w:top w:val="single" w:color="000000" w:sz="4" w:space="0"/>
              <w:left w:val="single" w:color="000000" w:sz="4" w:space="0"/>
              <w:bottom w:val="nil"/>
              <w:right w:val="single" w:color="000000" w:sz="4" w:space="0"/>
            </w:tcBorders>
            <w:vAlign w:val="center"/>
          </w:tcPr>
          <w:p w:rsidRPr="009C2CA3" w:rsidR="00A23AF3" w:rsidP="00A23AF3" w:rsidRDefault="00A23AF3" w14:paraId="1990F037" w14:textId="77777777">
            <w:pPr>
              <w:pStyle w:val="TableParagraph"/>
              <w:ind w:right="91"/>
              <w:rPr>
                <w:sz w:val="24"/>
                <w:szCs w:val="24"/>
              </w:rPr>
            </w:pPr>
            <w:r w:rsidRPr="009C2CA3">
              <w:rPr>
                <w:rFonts w:cs="Calibri"/>
                <w:color w:val="000000"/>
                <w:sz w:val="24"/>
                <w:szCs w:val="24"/>
              </w:rPr>
              <w:t xml:space="preserve">$4,653,279 </w:t>
            </w:r>
          </w:p>
        </w:tc>
        <w:tc>
          <w:tcPr>
            <w:tcW w:w="1572" w:type="dxa"/>
            <w:tcBorders>
              <w:top w:val="single" w:color="000000" w:sz="4" w:space="0"/>
              <w:left w:val="single" w:color="000000" w:sz="4" w:space="0"/>
              <w:bottom w:val="nil"/>
              <w:right w:val="single" w:color="000000" w:sz="4" w:space="0"/>
            </w:tcBorders>
            <w:vAlign w:val="center"/>
          </w:tcPr>
          <w:p w:rsidRPr="009C2CA3" w:rsidR="00A23AF3" w:rsidP="00A23AF3" w:rsidRDefault="00A23AF3" w14:paraId="685C1D68" w14:textId="01247803">
            <w:pPr>
              <w:pStyle w:val="TableParagraph"/>
              <w:ind w:right="91"/>
              <w:rPr>
                <w:sz w:val="24"/>
                <w:szCs w:val="24"/>
              </w:rPr>
            </w:pPr>
            <w:r w:rsidRPr="009C2CA3">
              <w:rPr>
                <w:rFonts w:cs="Calibri"/>
                <w:color w:val="000000"/>
                <w:sz w:val="24"/>
                <w:szCs w:val="24"/>
              </w:rPr>
              <w:t>$4,</w:t>
            </w:r>
            <w:r w:rsidRPr="0052414B" w:rsidR="00721EF2">
              <w:rPr>
                <w:rFonts w:cs="Calibri"/>
                <w:color w:val="000000"/>
                <w:sz w:val="24"/>
                <w:szCs w:val="24"/>
              </w:rPr>
              <w:t>614,573</w:t>
            </w:r>
            <w:r w:rsidRPr="009C2CA3">
              <w:rPr>
                <w:rFonts w:cs="Calibri"/>
                <w:color w:val="000000"/>
                <w:sz w:val="24"/>
                <w:szCs w:val="24"/>
              </w:rPr>
              <w:t xml:space="preserve"> </w:t>
            </w:r>
          </w:p>
        </w:tc>
      </w:tr>
      <w:tr w:rsidR="00A23AF3" w:rsidTr="00B204AF" w14:paraId="502CBD5F" w14:textId="77777777">
        <w:trPr>
          <w:trHeight w:val="324"/>
        </w:trPr>
        <w:tc>
          <w:tcPr>
            <w:tcW w:w="4910" w:type="dxa"/>
            <w:tcBorders>
              <w:top w:val="nil"/>
              <w:left w:val="single" w:color="000000" w:sz="4" w:space="0"/>
              <w:bottom w:val="nil"/>
              <w:right w:val="single" w:color="000000" w:sz="4" w:space="0"/>
            </w:tcBorders>
            <w:vAlign w:val="center"/>
          </w:tcPr>
          <w:p w:rsidRPr="00111F36" w:rsidR="00A23AF3" w:rsidP="00A23AF3" w:rsidRDefault="00A23AF3" w14:paraId="474EDCA4" w14:textId="77777777">
            <w:pPr>
              <w:pStyle w:val="TableParagraph"/>
              <w:spacing w:line="288" w:lineRule="exact"/>
              <w:ind w:left="112"/>
              <w:jc w:val="left"/>
              <w:rPr>
                <w:sz w:val="24"/>
                <w:szCs w:val="24"/>
              </w:rPr>
            </w:pPr>
            <w:r w:rsidRPr="00111F36">
              <w:rPr>
                <w:rFonts w:cs="Calibri"/>
                <w:color w:val="000000"/>
                <w:sz w:val="24"/>
                <w:szCs w:val="24"/>
              </w:rPr>
              <w:t xml:space="preserve">2019 Ex-Ante Savings </w:t>
            </w:r>
          </w:p>
        </w:tc>
        <w:tc>
          <w:tcPr>
            <w:tcW w:w="1440" w:type="dxa"/>
            <w:tcBorders>
              <w:top w:val="nil"/>
              <w:left w:val="single" w:color="000000" w:sz="4" w:space="0"/>
              <w:bottom w:val="nil"/>
              <w:right w:val="single" w:color="000000" w:sz="4" w:space="0"/>
            </w:tcBorders>
            <w:vAlign w:val="center"/>
          </w:tcPr>
          <w:p w:rsidRPr="009C2CA3" w:rsidR="00A23AF3" w:rsidP="00A23AF3" w:rsidRDefault="00A23AF3" w14:paraId="37735FF0" w14:textId="77777777">
            <w:pPr>
              <w:pStyle w:val="TableParagraph"/>
              <w:spacing w:line="288" w:lineRule="exact"/>
              <w:ind w:right="91"/>
              <w:rPr>
                <w:sz w:val="24"/>
                <w:szCs w:val="24"/>
              </w:rPr>
            </w:pPr>
            <w:r w:rsidRPr="009C2CA3">
              <w:rPr>
                <w:rFonts w:cs="Calibri"/>
                <w:color w:val="000000"/>
                <w:sz w:val="24"/>
                <w:szCs w:val="24"/>
              </w:rPr>
              <w:t xml:space="preserve">$714,713 </w:t>
            </w:r>
          </w:p>
        </w:tc>
        <w:tc>
          <w:tcPr>
            <w:tcW w:w="1572" w:type="dxa"/>
            <w:tcBorders>
              <w:top w:val="nil"/>
              <w:left w:val="single" w:color="000000" w:sz="4" w:space="0"/>
              <w:bottom w:val="nil"/>
              <w:right w:val="single" w:color="000000" w:sz="4" w:space="0"/>
            </w:tcBorders>
            <w:vAlign w:val="center"/>
          </w:tcPr>
          <w:p w:rsidRPr="009C2CA3" w:rsidR="00A23AF3" w:rsidP="00A23AF3" w:rsidRDefault="00A23AF3" w14:paraId="6034444A" w14:textId="77777777">
            <w:pPr>
              <w:pStyle w:val="TableParagraph"/>
              <w:spacing w:line="288" w:lineRule="exact"/>
              <w:ind w:right="92"/>
              <w:rPr>
                <w:sz w:val="24"/>
                <w:szCs w:val="24"/>
              </w:rPr>
            </w:pPr>
            <w:r w:rsidRPr="009C2CA3">
              <w:rPr>
                <w:rFonts w:cs="Calibri"/>
                <w:color w:val="000000"/>
                <w:sz w:val="24"/>
                <w:szCs w:val="24"/>
              </w:rPr>
              <w:t xml:space="preserve">$713,686 </w:t>
            </w:r>
          </w:p>
        </w:tc>
      </w:tr>
      <w:tr w:rsidR="00A23AF3" w:rsidTr="00B204AF" w14:paraId="5B620135" w14:textId="77777777">
        <w:trPr>
          <w:trHeight w:val="323"/>
        </w:trPr>
        <w:tc>
          <w:tcPr>
            <w:tcW w:w="4910" w:type="dxa"/>
            <w:tcBorders>
              <w:top w:val="nil"/>
              <w:left w:val="single" w:color="000000" w:sz="4" w:space="0"/>
              <w:bottom w:val="nil"/>
              <w:right w:val="single" w:color="000000" w:sz="4" w:space="0"/>
            </w:tcBorders>
            <w:vAlign w:val="center"/>
          </w:tcPr>
          <w:p w:rsidRPr="00111F36" w:rsidR="00A23AF3" w:rsidP="00A23AF3" w:rsidRDefault="00A23AF3" w14:paraId="5F69D454" w14:textId="77777777">
            <w:pPr>
              <w:pStyle w:val="TableParagraph"/>
              <w:spacing w:line="288" w:lineRule="exact"/>
              <w:ind w:left="112"/>
              <w:jc w:val="left"/>
              <w:rPr>
                <w:sz w:val="24"/>
                <w:szCs w:val="24"/>
              </w:rPr>
            </w:pPr>
            <w:r w:rsidRPr="00111F36">
              <w:rPr>
                <w:rFonts w:cs="Calibri"/>
                <w:color w:val="000000"/>
                <w:sz w:val="24"/>
                <w:szCs w:val="24"/>
              </w:rPr>
              <w:t xml:space="preserve">2019 Ex-Ante Review Performance </w:t>
            </w:r>
          </w:p>
        </w:tc>
        <w:tc>
          <w:tcPr>
            <w:tcW w:w="1440" w:type="dxa"/>
            <w:tcBorders>
              <w:top w:val="nil"/>
              <w:left w:val="single" w:color="000000" w:sz="4" w:space="0"/>
              <w:bottom w:val="nil"/>
              <w:right w:val="single" w:color="000000" w:sz="4" w:space="0"/>
            </w:tcBorders>
            <w:vAlign w:val="center"/>
          </w:tcPr>
          <w:p w:rsidRPr="009C2CA3" w:rsidR="00A23AF3" w:rsidP="00A23AF3" w:rsidRDefault="00A23AF3" w14:paraId="7A038D27" w14:textId="77777777">
            <w:pPr>
              <w:pStyle w:val="TableParagraph"/>
              <w:spacing w:line="288" w:lineRule="exact"/>
              <w:ind w:right="91"/>
              <w:rPr>
                <w:sz w:val="24"/>
                <w:szCs w:val="24"/>
              </w:rPr>
            </w:pPr>
            <w:r w:rsidRPr="009C2CA3">
              <w:rPr>
                <w:rFonts w:cs="Calibri"/>
                <w:color w:val="000000"/>
                <w:sz w:val="24"/>
                <w:szCs w:val="24"/>
              </w:rPr>
              <w:t xml:space="preserve">$2,820,922 </w:t>
            </w:r>
          </w:p>
        </w:tc>
        <w:tc>
          <w:tcPr>
            <w:tcW w:w="1572" w:type="dxa"/>
            <w:tcBorders>
              <w:top w:val="nil"/>
              <w:left w:val="single" w:color="000000" w:sz="4" w:space="0"/>
              <w:bottom w:val="nil"/>
              <w:right w:val="single" w:color="000000" w:sz="4" w:space="0"/>
            </w:tcBorders>
            <w:vAlign w:val="center"/>
          </w:tcPr>
          <w:p w:rsidRPr="009C2CA3" w:rsidR="00A23AF3" w:rsidP="00A23AF3" w:rsidRDefault="00A23AF3" w14:paraId="754B0DEC" w14:textId="77777777">
            <w:pPr>
              <w:pStyle w:val="TableParagraph"/>
              <w:spacing w:line="288" w:lineRule="exact"/>
              <w:ind w:right="91"/>
              <w:rPr>
                <w:sz w:val="24"/>
                <w:szCs w:val="24"/>
              </w:rPr>
            </w:pPr>
            <w:r w:rsidRPr="009C2CA3">
              <w:rPr>
                <w:rFonts w:cs="Calibri"/>
                <w:color w:val="000000"/>
                <w:sz w:val="24"/>
                <w:szCs w:val="24"/>
              </w:rPr>
              <w:t xml:space="preserve">$2,914,252 </w:t>
            </w:r>
          </w:p>
        </w:tc>
      </w:tr>
      <w:tr w:rsidR="00A23AF3" w:rsidTr="00B204AF" w14:paraId="09BBEFD5" w14:textId="77777777">
        <w:trPr>
          <w:trHeight w:val="324"/>
        </w:trPr>
        <w:tc>
          <w:tcPr>
            <w:tcW w:w="4910" w:type="dxa"/>
            <w:tcBorders>
              <w:top w:val="nil"/>
              <w:left w:val="single" w:color="000000" w:sz="4" w:space="0"/>
              <w:bottom w:val="nil"/>
              <w:right w:val="single" w:color="000000" w:sz="4" w:space="0"/>
            </w:tcBorders>
            <w:vAlign w:val="center"/>
          </w:tcPr>
          <w:p w:rsidRPr="00111F36" w:rsidR="00A23AF3" w:rsidP="00A23AF3" w:rsidRDefault="00A23AF3" w14:paraId="59D52C70" w14:textId="77777777">
            <w:pPr>
              <w:pStyle w:val="TableParagraph"/>
              <w:spacing w:line="288" w:lineRule="exact"/>
              <w:ind w:left="112"/>
              <w:jc w:val="left"/>
              <w:rPr>
                <w:sz w:val="24"/>
                <w:szCs w:val="24"/>
              </w:rPr>
            </w:pPr>
            <w:r w:rsidRPr="00111F36">
              <w:rPr>
                <w:rFonts w:cs="Calibri"/>
                <w:color w:val="000000"/>
                <w:sz w:val="24"/>
                <w:szCs w:val="24"/>
              </w:rPr>
              <w:t xml:space="preserve">2019 Codes &amp; Standards </w:t>
            </w:r>
          </w:p>
        </w:tc>
        <w:tc>
          <w:tcPr>
            <w:tcW w:w="1440" w:type="dxa"/>
            <w:tcBorders>
              <w:top w:val="nil"/>
              <w:left w:val="single" w:color="000000" w:sz="4" w:space="0"/>
              <w:bottom w:val="nil"/>
              <w:right w:val="single" w:color="000000" w:sz="4" w:space="0"/>
            </w:tcBorders>
            <w:vAlign w:val="center"/>
          </w:tcPr>
          <w:p w:rsidRPr="009C2CA3" w:rsidR="00A23AF3" w:rsidP="00A23AF3" w:rsidRDefault="00A23AF3" w14:paraId="6216AAE3" w14:textId="77777777">
            <w:pPr>
              <w:pStyle w:val="TableParagraph"/>
              <w:spacing w:line="288" w:lineRule="exact"/>
              <w:ind w:right="91"/>
              <w:rPr>
                <w:sz w:val="24"/>
                <w:szCs w:val="24"/>
              </w:rPr>
            </w:pPr>
            <w:r w:rsidRPr="009C2CA3">
              <w:rPr>
                <w:rFonts w:cs="Calibri"/>
                <w:color w:val="000000"/>
                <w:sz w:val="24"/>
                <w:szCs w:val="24"/>
              </w:rPr>
              <w:t xml:space="preserve">$909,214 </w:t>
            </w:r>
          </w:p>
        </w:tc>
        <w:tc>
          <w:tcPr>
            <w:tcW w:w="1572" w:type="dxa"/>
            <w:tcBorders>
              <w:top w:val="nil"/>
              <w:left w:val="single" w:color="000000" w:sz="4" w:space="0"/>
              <w:bottom w:val="nil"/>
              <w:right w:val="single" w:color="000000" w:sz="4" w:space="0"/>
            </w:tcBorders>
            <w:vAlign w:val="center"/>
          </w:tcPr>
          <w:p w:rsidRPr="009C2CA3" w:rsidR="00A23AF3" w:rsidP="00A23AF3" w:rsidRDefault="00A23AF3" w14:paraId="1AA6BD61" w14:textId="77777777">
            <w:pPr>
              <w:pStyle w:val="TableParagraph"/>
              <w:spacing w:line="288" w:lineRule="exact"/>
              <w:ind w:right="92"/>
              <w:rPr>
                <w:sz w:val="24"/>
                <w:szCs w:val="24"/>
              </w:rPr>
            </w:pPr>
            <w:r w:rsidRPr="009C2CA3">
              <w:rPr>
                <w:rFonts w:cs="Calibri"/>
                <w:color w:val="000000"/>
                <w:sz w:val="24"/>
                <w:szCs w:val="24"/>
              </w:rPr>
              <w:t xml:space="preserve">$909,214 </w:t>
            </w:r>
          </w:p>
        </w:tc>
      </w:tr>
      <w:tr w:rsidR="00A23AF3" w:rsidTr="00B204AF" w14:paraId="65590CEA" w14:textId="77777777">
        <w:trPr>
          <w:trHeight w:val="323"/>
        </w:trPr>
        <w:tc>
          <w:tcPr>
            <w:tcW w:w="4910" w:type="dxa"/>
            <w:tcBorders>
              <w:top w:val="nil"/>
              <w:left w:val="single" w:color="000000" w:sz="4" w:space="0"/>
              <w:bottom w:val="nil"/>
              <w:right w:val="single" w:color="000000" w:sz="4" w:space="0"/>
            </w:tcBorders>
            <w:vAlign w:val="center"/>
          </w:tcPr>
          <w:p w:rsidRPr="00111F36" w:rsidR="00A23AF3" w:rsidP="00A23AF3" w:rsidRDefault="00A23AF3" w14:paraId="09EC7DB2" w14:textId="77777777">
            <w:pPr>
              <w:pStyle w:val="TableParagraph"/>
              <w:spacing w:line="288" w:lineRule="exact"/>
              <w:ind w:left="112"/>
              <w:jc w:val="left"/>
              <w:rPr>
                <w:sz w:val="24"/>
                <w:szCs w:val="24"/>
              </w:rPr>
            </w:pPr>
            <w:r w:rsidRPr="00111F36">
              <w:rPr>
                <w:rFonts w:cs="Calibri"/>
                <w:color w:val="000000"/>
                <w:sz w:val="24"/>
                <w:szCs w:val="24"/>
              </w:rPr>
              <w:t>2019 Non-Resource</w:t>
            </w:r>
          </w:p>
        </w:tc>
        <w:tc>
          <w:tcPr>
            <w:tcW w:w="1440" w:type="dxa"/>
            <w:tcBorders>
              <w:top w:val="nil"/>
              <w:left w:val="single" w:color="000000" w:sz="4" w:space="0"/>
              <w:bottom w:val="nil"/>
              <w:right w:val="single" w:color="000000" w:sz="4" w:space="0"/>
            </w:tcBorders>
            <w:vAlign w:val="center"/>
          </w:tcPr>
          <w:p w:rsidRPr="009C2CA3" w:rsidR="00A23AF3" w:rsidP="00A23AF3" w:rsidRDefault="00A23AF3" w14:paraId="509EDBCC" w14:textId="77777777">
            <w:pPr>
              <w:pStyle w:val="TableParagraph"/>
              <w:spacing w:line="288" w:lineRule="exact"/>
              <w:ind w:right="91"/>
              <w:rPr>
                <w:sz w:val="24"/>
                <w:szCs w:val="24"/>
              </w:rPr>
            </w:pPr>
            <w:r w:rsidRPr="009C2CA3">
              <w:rPr>
                <w:rFonts w:cs="Calibri"/>
                <w:color w:val="000000"/>
                <w:sz w:val="24"/>
                <w:szCs w:val="24"/>
              </w:rPr>
              <w:t xml:space="preserve">$477,059 </w:t>
            </w:r>
          </w:p>
        </w:tc>
        <w:tc>
          <w:tcPr>
            <w:tcW w:w="1572" w:type="dxa"/>
            <w:tcBorders>
              <w:top w:val="nil"/>
              <w:left w:val="single" w:color="000000" w:sz="4" w:space="0"/>
              <w:bottom w:val="nil"/>
              <w:right w:val="single" w:color="000000" w:sz="4" w:space="0"/>
            </w:tcBorders>
            <w:vAlign w:val="center"/>
          </w:tcPr>
          <w:p w:rsidRPr="009C2CA3" w:rsidR="00A23AF3" w:rsidP="00A23AF3" w:rsidRDefault="00A23AF3" w14:paraId="7962FB8B" w14:textId="77777777">
            <w:pPr>
              <w:pStyle w:val="TableParagraph"/>
              <w:spacing w:line="288" w:lineRule="exact"/>
              <w:ind w:right="92"/>
              <w:rPr>
                <w:sz w:val="24"/>
                <w:szCs w:val="24"/>
              </w:rPr>
            </w:pPr>
            <w:r w:rsidRPr="009C2CA3">
              <w:rPr>
                <w:rFonts w:cs="Calibri"/>
                <w:color w:val="000000"/>
                <w:sz w:val="24"/>
                <w:szCs w:val="24"/>
              </w:rPr>
              <w:t xml:space="preserve">$477,059 </w:t>
            </w:r>
          </w:p>
        </w:tc>
      </w:tr>
      <w:tr w:rsidR="00A23AF3" w:rsidTr="00B204AF" w14:paraId="11DFF572" w14:textId="77777777">
        <w:trPr>
          <w:trHeight w:val="324"/>
        </w:trPr>
        <w:tc>
          <w:tcPr>
            <w:tcW w:w="4910" w:type="dxa"/>
            <w:tcBorders>
              <w:top w:val="nil"/>
              <w:left w:val="single" w:color="000000" w:sz="4" w:space="0"/>
              <w:bottom w:val="nil"/>
              <w:right w:val="single" w:color="000000" w:sz="4" w:space="0"/>
            </w:tcBorders>
            <w:vAlign w:val="center"/>
          </w:tcPr>
          <w:p w:rsidRPr="00111F36" w:rsidR="00A23AF3" w:rsidP="00A23AF3" w:rsidRDefault="00A23AF3" w14:paraId="3D59C55A" w14:textId="77777777">
            <w:pPr>
              <w:pStyle w:val="TableParagraph"/>
              <w:spacing w:line="288" w:lineRule="exact"/>
              <w:ind w:left="112"/>
              <w:jc w:val="left"/>
              <w:rPr>
                <w:sz w:val="24"/>
                <w:szCs w:val="24"/>
              </w:rPr>
            </w:pPr>
            <w:r w:rsidRPr="00111F36">
              <w:rPr>
                <w:rFonts w:cs="Calibri"/>
                <w:color w:val="000000"/>
                <w:sz w:val="24"/>
                <w:szCs w:val="24"/>
              </w:rPr>
              <w:t>2017 Non-Resource True Up</w:t>
            </w:r>
          </w:p>
        </w:tc>
        <w:tc>
          <w:tcPr>
            <w:tcW w:w="1440" w:type="dxa"/>
            <w:tcBorders>
              <w:top w:val="nil"/>
              <w:left w:val="single" w:color="000000" w:sz="4" w:space="0"/>
              <w:bottom w:val="nil"/>
              <w:right w:val="single" w:color="000000" w:sz="4" w:space="0"/>
            </w:tcBorders>
            <w:vAlign w:val="center"/>
          </w:tcPr>
          <w:p w:rsidRPr="009C2CA3" w:rsidR="00A23AF3" w:rsidP="00A23AF3" w:rsidRDefault="00A23AF3" w14:paraId="37F4EC55" w14:textId="77777777">
            <w:pPr>
              <w:pStyle w:val="TableParagraph"/>
              <w:spacing w:line="288" w:lineRule="exact"/>
              <w:ind w:right="91"/>
              <w:rPr>
                <w:sz w:val="24"/>
                <w:szCs w:val="24"/>
              </w:rPr>
            </w:pPr>
            <w:r w:rsidRPr="009C2CA3">
              <w:rPr>
                <w:rFonts w:cs="Calibri"/>
                <w:color w:val="000000"/>
                <w:sz w:val="24"/>
                <w:szCs w:val="24"/>
              </w:rPr>
              <w:t xml:space="preserve">$0 </w:t>
            </w:r>
          </w:p>
        </w:tc>
        <w:tc>
          <w:tcPr>
            <w:tcW w:w="1572" w:type="dxa"/>
            <w:tcBorders>
              <w:top w:val="nil"/>
              <w:left w:val="single" w:color="000000" w:sz="4" w:space="0"/>
              <w:bottom w:val="nil"/>
              <w:right w:val="single" w:color="000000" w:sz="4" w:space="0"/>
            </w:tcBorders>
            <w:vAlign w:val="center"/>
          </w:tcPr>
          <w:p w:rsidRPr="009C2CA3" w:rsidR="00A23AF3" w:rsidP="00A23AF3" w:rsidRDefault="00A23AF3" w14:paraId="4A1B3C2A" w14:textId="77777777">
            <w:pPr>
              <w:pStyle w:val="TableParagraph"/>
              <w:spacing w:line="288" w:lineRule="exact"/>
              <w:ind w:right="91"/>
              <w:rPr>
                <w:sz w:val="24"/>
                <w:szCs w:val="24"/>
              </w:rPr>
            </w:pPr>
            <w:r w:rsidRPr="009C2CA3">
              <w:rPr>
                <w:rFonts w:cs="Calibri"/>
                <w:color w:val="000000"/>
                <w:sz w:val="24"/>
                <w:szCs w:val="24"/>
              </w:rPr>
              <w:t xml:space="preserve">$431 </w:t>
            </w:r>
          </w:p>
        </w:tc>
      </w:tr>
      <w:tr w:rsidR="00A23AF3" w:rsidTr="00B204AF" w14:paraId="502CE728" w14:textId="77777777">
        <w:trPr>
          <w:trHeight w:val="324"/>
        </w:trPr>
        <w:tc>
          <w:tcPr>
            <w:tcW w:w="4910" w:type="dxa"/>
            <w:tcBorders>
              <w:top w:val="nil"/>
              <w:left w:val="single" w:color="000000" w:sz="4" w:space="0"/>
              <w:bottom w:val="nil"/>
              <w:right w:val="single" w:color="000000" w:sz="4" w:space="0"/>
            </w:tcBorders>
            <w:vAlign w:val="center"/>
          </w:tcPr>
          <w:p w:rsidRPr="00111F36" w:rsidR="00A23AF3" w:rsidP="00A23AF3" w:rsidRDefault="00A23AF3" w14:paraId="4DF45068" w14:textId="77777777">
            <w:pPr>
              <w:pStyle w:val="TableParagraph"/>
              <w:spacing w:line="288" w:lineRule="exact"/>
              <w:ind w:left="112"/>
              <w:jc w:val="left"/>
              <w:rPr>
                <w:sz w:val="24"/>
                <w:szCs w:val="24"/>
              </w:rPr>
            </w:pPr>
            <w:r w:rsidRPr="00111F36">
              <w:rPr>
                <w:rFonts w:cs="Calibri"/>
                <w:color w:val="000000"/>
                <w:sz w:val="24"/>
                <w:szCs w:val="24"/>
              </w:rPr>
              <w:t>2018 Non-Resource True Up</w:t>
            </w:r>
          </w:p>
        </w:tc>
        <w:tc>
          <w:tcPr>
            <w:tcW w:w="1440" w:type="dxa"/>
            <w:tcBorders>
              <w:top w:val="nil"/>
              <w:left w:val="single" w:color="000000" w:sz="4" w:space="0"/>
              <w:bottom w:val="nil"/>
              <w:right w:val="single" w:color="000000" w:sz="4" w:space="0"/>
            </w:tcBorders>
            <w:vAlign w:val="center"/>
          </w:tcPr>
          <w:p w:rsidRPr="009C2CA3" w:rsidR="00A23AF3" w:rsidP="00A23AF3" w:rsidRDefault="00A23AF3" w14:paraId="30BD8DB5" w14:textId="77777777">
            <w:pPr>
              <w:pStyle w:val="TableParagraph"/>
              <w:spacing w:line="288" w:lineRule="exact"/>
              <w:ind w:right="91"/>
              <w:rPr>
                <w:sz w:val="24"/>
                <w:szCs w:val="24"/>
              </w:rPr>
            </w:pPr>
            <w:r w:rsidRPr="009C2CA3">
              <w:rPr>
                <w:rFonts w:cs="Calibri"/>
                <w:color w:val="FF0000"/>
                <w:sz w:val="24"/>
                <w:szCs w:val="24"/>
              </w:rPr>
              <w:t>($400)</w:t>
            </w:r>
          </w:p>
        </w:tc>
        <w:tc>
          <w:tcPr>
            <w:tcW w:w="1572" w:type="dxa"/>
            <w:tcBorders>
              <w:top w:val="nil"/>
              <w:left w:val="single" w:color="000000" w:sz="4" w:space="0"/>
              <w:bottom w:val="nil"/>
              <w:right w:val="single" w:color="000000" w:sz="4" w:space="0"/>
            </w:tcBorders>
            <w:vAlign w:val="center"/>
          </w:tcPr>
          <w:p w:rsidRPr="009C2CA3" w:rsidR="00A23AF3" w:rsidP="00A23AF3" w:rsidRDefault="00A23AF3" w14:paraId="72F2301E" w14:textId="77777777">
            <w:pPr>
              <w:pStyle w:val="TableParagraph"/>
              <w:spacing w:line="288" w:lineRule="exact"/>
              <w:ind w:right="91"/>
              <w:rPr>
                <w:sz w:val="24"/>
                <w:szCs w:val="24"/>
              </w:rPr>
            </w:pPr>
            <w:r w:rsidRPr="009C2CA3">
              <w:rPr>
                <w:rFonts w:cs="Calibri"/>
                <w:color w:val="000000"/>
                <w:sz w:val="24"/>
                <w:szCs w:val="24"/>
              </w:rPr>
              <w:t xml:space="preserve">$0 </w:t>
            </w:r>
          </w:p>
        </w:tc>
      </w:tr>
      <w:tr w:rsidR="000E797B" w:rsidTr="00B204AF" w14:paraId="755AD551" w14:textId="77777777">
        <w:trPr>
          <w:trHeight w:val="287"/>
        </w:trPr>
        <w:tc>
          <w:tcPr>
            <w:tcW w:w="4910" w:type="dxa"/>
            <w:tcBorders>
              <w:top w:val="single" w:color="auto" w:sz="4" w:space="0"/>
              <w:left w:val="single" w:color="auto" w:sz="4" w:space="0"/>
              <w:bottom w:val="single" w:color="auto" w:sz="4" w:space="0"/>
              <w:right w:val="single" w:color="000000" w:sz="4" w:space="0"/>
            </w:tcBorders>
          </w:tcPr>
          <w:p w:rsidRPr="00111F36" w:rsidR="000E797B" w:rsidP="000E797B" w:rsidRDefault="000E797B" w14:paraId="13EE6643" w14:textId="0C35482F">
            <w:pPr>
              <w:pStyle w:val="TableParagraph"/>
              <w:spacing w:line="268" w:lineRule="exact"/>
              <w:ind w:left="112"/>
              <w:jc w:val="left"/>
              <w:rPr>
                <w:rFonts w:cs="Calibri"/>
                <w:color w:val="000000"/>
                <w:sz w:val="24"/>
                <w:szCs w:val="24"/>
              </w:rPr>
            </w:pPr>
            <w:r>
              <w:rPr>
                <w:b/>
                <w:sz w:val="24"/>
              </w:rPr>
              <w:t>Total Payment</w:t>
            </w:r>
          </w:p>
        </w:tc>
        <w:tc>
          <w:tcPr>
            <w:tcW w:w="1440" w:type="dxa"/>
            <w:tcBorders>
              <w:top w:val="single" w:color="auto" w:sz="4" w:space="0"/>
              <w:left w:val="single" w:color="000000" w:sz="4" w:space="0"/>
              <w:bottom w:val="single" w:color="auto" w:sz="4" w:space="0"/>
              <w:right w:val="single" w:color="000000" w:sz="4" w:space="0"/>
            </w:tcBorders>
            <w:vAlign w:val="bottom"/>
          </w:tcPr>
          <w:p w:rsidRPr="009C2CA3" w:rsidR="000E797B" w:rsidP="00B204AF" w:rsidRDefault="000E797B" w14:paraId="3BD5D110" w14:textId="5F316A98">
            <w:pPr>
              <w:pStyle w:val="TableParagraph"/>
              <w:spacing w:line="268" w:lineRule="exact"/>
              <w:ind w:left="112"/>
              <w:rPr>
                <w:b/>
                <w:sz w:val="24"/>
              </w:rPr>
            </w:pPr>
            <w:r w:rsidRPr="009C2CA3">
              <w:rPr>
                <w:b/>
                <w:sz w:val="24"/>
              </w:rPr>
              <w:t xml:space="preserve">$9,574,787 </w:t>
            </w:r>
          </w:p>
        </w:tc>
        <w:tc>
          <w:tcPr>
            <w:tcW w:w="1572" w:type="dxa"/>
            <w:tcBorders>
              <w:top w:val="single" w:color="auto" w:sz="4" w:space="0"/>
              <w:left w:val="single" w:color="000000" w:sz="4" w:space="0"/>
              <w:bottom w:val="single" w:color="auto" w:sz="4" w:space="0"/>
              <w:right w:val="single" w:color="auto" w:sz="4" w:space="0"/>
            </w:tcBorders>
            <w:vAlign w:val="bottom"/>
          </w:tcPr>
          <w:p w:rsidRPr="009C2CA3" w:rsidR="000E797B" w:rsidP="00B204AF" w:rsidRDefault="000E797B" w14:paraId="14C2198C" w14:textId="6F1CAEE7">
            <w:pPr>
              <w:pStyle w:val="TableParagraph"/>
              <w:spacing w:line="268" w:lineRule="exact"/>
              <w:ind w:left="112"/>
              <w:rPr>
                <w:b/>
                <w:sz w:val="24"/>
              </w:rPr>
            </w:pPr>
            <w:r w:rsidRPr="009C2CA3">
              <w:rPr>
                <w:b/>
                <w:sz w:val="24"/>
              </w:rPr>
              <w:t>$9,</w:t>
            </w:r>
            <w:r w:rsidRPr="009C2CA3" w:rsidR="00721EF2">
              <w:rPr>
                <w:b/>
                <w:sz w:val="24"/>
              </w:rPr>
              <w:t>62</w:t>
            </w:r>
            <w:r w:rsidRPr="009C2CA3" w:rsidR="009C2CA3">
              <w:rPr>
                <w:b/>
                <w:sz w:val="24"/>
              </w:rPr>
              <w:t>8,784</w:t>
            </w:r>
            <w:r w:rsidRPr="009C2CA3">
              <w:rPr>
                <w:b/>
                <w:sz w:val="24"/>
              </w:rPr>
              <w:t xml:space="preserve"> </w:t>
            </w:r>
          </w:p>
        </w:tc>
      </w:tr>
    </w:tbl>
    <w:p w:rsidR="007B31C8" w:rsidRDefault="007B31C8" w14:paraId="5EE92060" w14:textId="77777777">
      <w:pPr>
        <w:spacing w:line="268" w:lineRule="exact"/>
        <w:rPr>
          <w:sz w:val="24"/>
        </w:rPr>
        <w:sectPr w:rsidR="007B31C8">
          <w:pgSz w:w="12240" w:h="15840"/>
          <w:pgMar w:top="1640" w:right="1200" w:bottom="1080" w:left="1220" w:header="926" w:footer="886" w:gutter="0"/>
          <w:cols w:space="720"/>
        </w:sectPr>
      </w:pPr>
    </w:p>
    <w:p w:rsidR="007B31C8" w:rsidRDefault="006C3CB7" w14:paraId="41441EB6" w14:textId="77777777">
      <w:pPr>
        <w:pStyle w:val="Heading3"/>
        <w:numPr>
          <w:ilvl w:val="0"/>
          <w:numId w:val="6"/>
        </w:numPr>
        <w:tabs>
          <w:tab w:val="left" w:pos="941"/>
        </w:tabs>
        <w:spacing w:before="24"/>
        <w:ind w:hanging="361"/>
      </w:pPr>
      <w:r>
        <w:lastRenderedPageBreak/>
        <w:t>SDG&amp;E</w:t>
      </w:r>
    </w:p>
    <w:p w:rsidR="007B31C8" w:rsidRDefault="006C3CB7" w14:paraId="6D5B0D4C" w14:textId="392F7772">
      <w:pPr>
        <w:pStyle w:val="BodyText"/>
        <w:spacing w:before="120"/>
        <w:ind w:left="220" w:right="235"/>
        <w:jc w:val="both"/>
      </w:pPr>
      <w:r>
        <w:t>The CPUC approves an incentive amount of $</w:t>
      </w:r>
      <w:r w:rsidR="009C2CA3">
        <w:t>3,283,547</w:t>
      </w:r>
      <w:r>
        <w:t xml:space="preserve"> for SDG&amp;E, which is $</w:t>
      </w:r>
      <w:r w:rsidR="003B4339">
        <w:t>123,408</w:t>
      </w:r>
      <w:r>
        <w:t xml:space="preserve"> </w:t>
      </w:r>
      <w:r w:rsidR="003B4339">
        <w:t xml:space="preserve">more </w:t>
      </w:r>
      <w:r>
        <w:t>than their requested amount of $</w:t>
      </w:r>
      <w:r w:rsidR="002676B6">
        <w:t>3,160,139</w:t>
      </w:r>
      <w:r>
        <w:t>. SDG&amp;E’s submitted program savings and expenditures were both adjusted as described above. SDG&amp;E’s ESPI Advice Letter total was $</w:t>
      </w:r>
      <w:r w:rsidR="00C12EEA">
        <w:t>7,389,057</w:t>
      </w:r>
      <w:r>
        <w:t xml:space="preserve"> lower than their annual total in CEDARS, and their ESPI Advice Letter attachment’s total was $</w:t>
      </w:r>
      <w:r w:rsidR="002676B6">
        <w:t>3,</w:t>
      </w:r>
      <w:r w:rsidR="004F7676">
        <w:t>111,970</w:t>
      </w:r>
      <w:r>
        <w:t xml:space="preserve"> </w:t>
      </w:r>
      <w:r w:rsidR="002676B6">
        <w:t>highe</w:t>
      </w:r>
      <w:r>
        <w:t xml:space="preserve">r than their CEDARS total. </w:t>
      </w:r>
      <w:r w:rsidR="002676B6">
        <w:t xml:space="preserve">This is a repeated issue for SDG&amp;E’s expenditures.  SDG&amp;E needs to request their award based on their CEDARS data. </w:t>
      </w:r>
      <w:r>
        <w:t>CPUC Staff used the CEDARS data to calculate the</w:t>
      </w:r>
      <w:r>
        <w:rPr>
          <w:spacing w:val="-3"/>
        </w:rPr>
        <w:t xml:space="preserve"> </w:t>
      </w:r>
      <w:r>
        <w:t>awards.</w:t>
      </w:r>
    </w:p>
    <w:p w:rsidR="007B31C8" w:rsidRDefault="007B31C8" w14:paraId="591A0D00" w14:textId="77777777">
      <w:pPr>
        <w:pStyle w:val="BodyText"/>
        <w:spacing w:before="13"/>
        <w:rPr>
          <w:sz w:val="17"/>
        </w:rPr>
      </w:pPr>
    </w:p>
    <w:p w:rsidR="007B31C8" w:rsidRDefault="006C3CB7" w14:paraId="5771A485" w14:textId="77777777">
      <w:pPr>
        <w:pStyle w:val="ListParagraph"/>
        <w:numPr>
          <w:ilvl w:val="1"/>
          <w:numId w:val="3"/>
        </w:numPr>
        <w:tabs>
          <w:tab w:val="left" w:pos="581"/>
        </w:tabs>
        <w:ind w:hanging="361"/>
        <w:rPr>
          <w:sz w:val="24"/>
        </w:rPr>
      </w:pPr>
      <w:r>
        <w:rPr>
          <w:sz w:val="24"/>
          <w:u w:val="single"/>
        </w:rPr>
        <w:t>Energy Efficiency Resource</w:t>
      </w:r>
      <w:r>
        <w:rPr>
          <w:spacing w:val="-1"/>
          <w:sz w:val="24"/>
          <w:u w:val="single"/>
        </w:rPr>
        <w:t xml:space="preserve"> </w:t>
      </w:r>
      <w:r>
        <w:rPr>
          <w:sz w:val="24"/>
          <w:u w:val="single"/>
        </w:rPr>
        <w:t>Savings</w:t>
      </w:r>
    </w:p>
    <w:p w:rsidR="007B31C8" w:rsidRDefault="007B31C8" w14:paraId="3DC17542" w14:textId="77777777">
      <w:pPr>
        <w:pStyle w:val="BodyText"/>
        <w:spacing w:before="10"/>
        <w:rPr>
          <w:sz w:val="17"/>
        </w:rPr>
      </w:pPr>
    </w:p>
    <w:p w:rsidR="007B31C8" w:rsidRDefault="002676B6" w14:paraId="41BC30E1" w14:textId="1779E799">
      <w:pPr>
        <w:pStyle w:val="ListParagraph"/>
        <w:numPr>
          <w:ilvl w:val="2"/>
          <w:numId w:val="3"/>
        </w:numPr>
        <w:tabs>
          <w:tab w:val="left" w:pos="998"/>
        </w:tabs>
        <w:spacing w:before="1"/>
        <w:rPr>
          <w:sz w:val="24"/>
        </w:rPr>
      </w:pPr>
      <w:r>
        <w:rPr>
          <w:sz w:val="24"/>
        </w:rPr>
        <w:t xml:space="preserve">2018 </w:t>
      </w:r>
      <w:r w:rsidR="006C3CB7">
        <w:rPr>
          <w:sz w:val="24"/>
        </w:rPr>
        <w:t>Evaluated Energy</w:t>
      </w:r>
      <w:r w:rsidR="006C3CB7">
        <w:rPr>
          <w:spacing w:val="-2"/>
          <w:sz w:val="24"/>
        </w:rPr>
        <w:t xml:space="preserve"> </w:t>
      </w:r>
      <w:r w:rsidR="006C3CB7">
        <w:rPr>
          <w:sz w:val="24"/>
        </w:rPr>
        <w:t>Savings</w:t>
      </w:r>
    </w:p>
    <w:p w:rsidR="007B31C8" w:rsidRDefault="002676B6" w14:paraId="6BAC01A6" w14:textId="5514225D">
      <w:pPr>
        <w:pStyle w:val="BodyText"/>
        <w:spacing w:before="120"/>
        <w:ind w:left="580" w:right="236"/>
        <w:jc w:val="both"/>
      </w:pPr>
      <w:r>
        <w:t>SDG&amp;E’s</w:t>
      </w:r>
      <w:r w:rsidRPr="00EB5EDB" w:rsidR="00EB5EDB">
        <w:t xml:space="preserve"> award is $</w:t>
      </w:r>
      <w:r w:rsidR="00EB5EDB">
        <w:t>12</w:t>
      </w:r>
      <w:r w:rsidR="00E1680F">
        <w:t>8,737</w:t>
      </w:r>
      <w:r w:rsidRPr="00EB5EDB" w:rsidR="00EB5EDB">
        <w:t xml:space="preserve"> </w:t>
      </w:r>
      <w:r w:rsidR="00E1680F">
        <w:t>more</w:t>
      </w:r>
      <w:r w:rsidRPr="00EB5EDB" w:rsidR="00EB5EDB">
        <w:t xml:space="preserve"> than requested due to</w:t>
      </w:r>
      <w:r w:rsidRPr="00DE513C" w:rsidR="00DE513C">
        <w:t xml:space="preserve"> gross realization rates (GRR) and net to gross (NTG) adjustments (see section 1)</w:t>
      </w:r>
      <w:r w:rsidR="00DE513C">
        <w:t>.</w:t>
      </w:r>
    </w:p>
    <w:p w:rsidR="007B31C8" w:rsidRDefault="007B31C8" w14:paraId="40C83C4F" w14:textId="77777777">
      <w:pPr>
        <w:pStyle w:val="BodyText"/>
        <w:spacing w:before="6"/>
        <w:rPr>
          <w:sz w:val="4"/>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34810739" w14:textId="77777777">
        <w:trPr>
          <w:trHeight w:val="443"/>
        </w:trPr>
        <w:tc>
          <w:tcPr>
            <w:tcW w:w="2960" w:type="dxa"/>
          </w:tcPr>
          <w:p w:rsidR="007B31C8" w:rsidRDefault="006C3CB7" w14:paraId="5CBE780B"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12101391" w14:textId="00772307">
            <w:pPr>
              <w:pStyle w:val="TableParagraph"/>
              <w:spacing w:before="57"/>
              <w:ind w:left="371" w:right="369"/>
              <w:jc w:val="center"/>
              <w:rPr>
                <w:b/>
                <w:sz w:val="24"/>
              </w:rPr>
            </w:pPr>
            <w:r>
              <w:rPr>
                <w:b/>
                <w:sz w:val="24"/>
              </w:rPr>
              <w:t>201</w:t>
            </w:r>
            <w:r w:rsidR="00A23AF3">
              <w:rPr>
                <w:b/>
                <w:sz w:val="24"/>
              </w:rPr>
              <w:t>8</w:t>
            </w:r>
            <w:r>
              <w:rPr>
                <w:b/>
                <w:sz w:val="24"/>
              </w:rPr>
              <w:t xml:space="preserve"> Cap*</w:t>
            </w:r>
          </w:p>
        </w:tc>
        <w:tc>
          <w:tcPr>
            <w:tcW w:w="2014" w:type="dxa"/>
            <w:tcBorders>
              <w:left w:val="single" w:color="000000" w:sz="4" w:space="0"/>
            </w:tcBorders>
          </w:tcPr>
          <w:p w:rsidR="007B31C8" w:rsidRDefault="006C3CB7" w14:paraId="0DCB65CA" w14:textId="77777777">
            <w:pPr>
              <w:pStyle w:val="TableParagraph"/>
              <w:spacing w:before="57"/>
              <w:ind w:left="431"/>
              <w:jc w:val="left"/>
              <w:rPr>
                <w:b/>
                <w:sz w:val="24"/>
              </w:rPr>
            </w:pPr>
            <w:r>
              <w:rPr>
                <w:b/>
                <w:sz w:val="24"/>
              </w:rPr>
              <w:t>Requested</w:t>
            </w:r>
          </w:p>
        </w:tc>
        <w:tc>
          <w:tcPr>
            <w:tcW w:w="2015" w:type="dxa"/>
          </w:tcPr>
          <w:p w:rsidR="007B31C8" w:rsidRDefault="006C3CB7" w14:paraId="4F0CAE21" w14:textId="77777777">
            <w:pPr>
              <w:pStyle w:val="TableParagraph"/>
              <w:spacing w:before="57"/>
              <w:ind w:right="431"/>
              <w:rPr>
                <w:b/>
                <w:sz w:val="24"/>
              </w:rPr>
            </w:pPr>
            <w:r>
              <w:rPr>
                <w:b/>
                <w:sz w:val="24"/>
              </w:rPr>
              <w:t>Approved</w:t>
            </w:r>
          </w:p>
        </w:tc>
      </w:tr>
      <w:tr w:rsidR="00A23AF3" w:rsidTr="003C7217" w14:paraId="24FD2789" w14:textId="77777777">
        <w:trPr>
          <w:trHeight w:val="443"/>
        </w:trPr>
        <w:tc>
          <w:tcPr>
            <w:tcW w:w="2960" w:type="dxa"/>
            <w:tcBorders>
              <w:bottom w:val="single" w:color="000000" w:sz="4" w:space="0"/>
            </w:tcBorders>
          </w:tcPr>
          <w:p w:rsidR="00A23AF3" w:rsidP="00A23AF3" w:rsidRDefault="00A23AF3" w14:paraId="54FEEA60" w14:textId="758783D4">
            <w:pPr>
              <w:pStyle w:val="TableParagraph"/>
              <w:spacing w:before="59"/>
              <w:ind w:left="166" w:right="148"/>
              <w:jc w:val="center"/>
              <w:rPr>
                <w:sz w:val="24"/>
              </w:rPr>
            </w:pPr>
            <w:r>
              <w:rPr>
                <w:sz w:val="24"/>
              </w:rPr>
              <w:t>2018 Evaluated Savings</w:t>
            </w:r>
          </w:p>
        </w:tc>
        <w:tc>
          <w:tcPr>
            <w:tcW w:w="2014" w:type="dxa"/>
            <w:tcBorders>
              <w:bottom w:val="single" w:color="000000" w:sz="4" w:space="0"/>
              <w:right w:val="single" w:color="000000" w:sz="4" w:space="0"/>
            </w:tcBorders>
            <w:vAlign w:val="center"/>
          </w:tcPr>
          <w:p w:rsidR="00A23AF3" w:rsidP="00A23AF3" w:rsidRDefault="00A23AF3" w14:paraId="52724874" w14:textId="6AD9565F">
            <w:pPr>
              <w:pStyle w:val="TableParagraph"/>
              <w:spacing w:before="59"/>
              <w:ind w:left="375" w:right="369"/>
              <w:jc w:val="center"/>
              <w:rPr>
                <w:sz w:val="24"/>
              </w:rPr>
            </w:pPr>
            <w:r w:rsidRPr="00111F36">
              <w:rPr>
                <w:rFonts w:cs="Calibri"/>
                <w:color w:val="000000"/>
                <w:sz w:val="24"/>
                <w:szCs w:val="24"/>
              </w:rPr>
              <w:t xml:space="preserve">$8,452,812 </w:t>
            </w:r>
          </w:p>
        </w:tc>
        <w:tc>
          <w:tcPr>
            <w:tcW w:w="2014" w:type="dxa"/>
            <w:tcBorders>
              <w:left w:val="single" w:color="000000" w:sz="4" w:space="0"/>
              <w:bottom w:val="single" w:color="000000" w:sz="4" w:space="0"/>
            </w:tcBorders>
            <w:vAlign w:val="center"/>
          </w:tcPr>
          <w:p w:rsidR="00A23AF3" w:rsidP="00A23AF3" w:rsidRDefault="00A23AF3" w14:paraId="05527358" w14:textId="2ED377B8">
            <w:pPr>
              <w:pStyle w:val="TableParagraph"/>
              <w:spacing w:before="59"/>
              <w:ind w:left="469"/>
              <w:jc w:val="left"/>
              <w:rPr>
                <w:sz w:val="24"/>
              </w:rPr>
            </w:pPr>
            <w:r w:rsidRPr="00111F36">
              <w:rPr>
                <w:rFonts w:cs="Calibri"/>
                <w:color w:val="000000"/>
                <w:sz w:val="24"/>
                <w:szCs w:val="24"/>
              </w:rPr>
              <w:t xml:space="preserve">$1,849,154 </w:t>
            </w:r>
          </w:p>
        </w:tc>
        <w:tc>
          <w:tcPr>
            <w:tcW w:w="2015" w:type="dxa"/>
            <w:tcBorders>
              <w:bottom w:val="single" w:color="000000" w:sz="4" w:space="0"/>
            </w:tcBorders>
            <w:vAlign w:val="center"/>
          </w:tcPr>
          <w:p w:rsidR="00A23AF3" w:rsidP="00A23AF3" w:rsidRDefault="00A23AF3" w14:paraId="471FAB58" w14:textId="220455CE">
            <w:pPr>
              <w:pStyle w:val="TableParagraph"/>
              <w:spacing w:before="59"/>
              <w:ind w:right="447"/>
              <w:rPr>
                <w:sz w:val="24"/>
              </w:rPr>
            </w:pPr>
            <w:r w:rsidRPr="00EB5EDB">
              <w:rPr>
                <w:rFonts w:cs="Calibri"/>
                <w:color w:val="000000"/>
                <w:sz w:val="24"/>
                <w:szCs w:val="24"/>
              </w:rPr>
              <w:t>$1,</w:t>
            </w:r>
            <w:r w:rsidRPr="00EB5EDB" w:rsidR="003B4339">
              <w:rPr>
                <w:rFonts w:cs="Calibri"/>
                <w:color w:val="000000"/>
                <w:sz w:val="24"/>
                <w:szCs w:val="24"/>
              </w:rPr>
              <w:t>977,</w:t>
            </w:r>
            <w:r w:rsidRPr="00EB5EDB" w:rsidR="00EB5EDB">
              <w:rPr>
                <w:rFonts w:cs="Calibri"/>
                <w:color w:val="000000"/>
                <w:sz w:val="24"/>
                <w:szCs w:val="24"/>
              </w:rPr>
              <w:t>891</w:t>
            </w:r>
            <w:r w:rsidRPr="00111F36">
              <w:rPr>
                <w:rFonts w:cs="Calibri"/>
                <w:color w:val="000000"/>
                <w:sz w:val="24"/>
                <w:szCs w:val="24"/>
              </w:rPr>
              <w:t xml:space="preserve"> </w:t>
            </w:r>
          </w:p>
        </w:tc>
      </w:tr>
    </w:tbl>
    <w:p w:rsidR="007B31C8" w:rsidRDefault="006C3CB7" w14:paraId="1EE28112" w14:textId="1D0493AF">
      <w:pPr>
        <w:pStyle w:val="BodyText"/>
        <w:ind w:left="491"/>
        <w:jc w:val="both"/>
      </w:pPr>
      <w:r>
        <w:t>*201</w:t>
      </w:r>
      <w:r w:rsidR="00A23AF3">
        <w:t>8</w:t>
      </w:r>
      <w:r>
        <w:t xml:space="preserve"> savings award cap minus 201</w:t>
      </w:r>
      <w:r w:rsidR="00A23AF3">
        <w:t>8</w:t>
      </w:r>
      <w:r>
        <w:t xml:space="preserve"> Expected Savings Awards Earned in 201</w:t>
      </w:r>
      <w:r w:rsidR="00A23AF3">
        <w:t>9</w:t>
      </w:r>
    </w:p>
    <w:p w:rsidR="007B31C8" w:rsidRDefault="007B31C8" w14:paraId="727E6242" w14:textId="77777777">
      <w:pPr>
        <w:pStyle w:val="BodyText"/>
        <w:spacing w:before="12"/>
        <w:rPr>
          <w:sz w:val="17"/>
        </w:rPr>
      </w:pPr>
    </w:p>
    <w:p w:rsidR="007B31C8" w:rsidRDefault="006C3CB7" w14:paraId="758C6C31" w14:textId="53A26F19">
      <w:pPr>
        <w:pStyle w:val="ListParagraph"/>
        <w:numPr>
          <w:ilvl w:val="2"/>
          <w:numId w:val="3"/>
        </w:numPr>
        <w:tabs>
          <w:tab w:val="left" w:pos="998"/>
        </w:tabs>
        <w:rPr>
          <w:sz w:val="24"/>
        </w:rPr>
      </w:pPr>
      <w:r>
        <w:rPr>
          <w:sz w:val="24"/>
        </w:rPr>
        <w:t>201</w:t>
      </w:r>
      <w:r w:rsidR="00A23AF3">
        <w:rPr>
          <w:sz w:val="24"/>
        </w:rPr>
        <w:t>9</w:t>
      </w:r>
      <w:r>
        <w:rPr>
          <w:sz w:val="24"/>
        </w:rPr>
        <w:t xml:space="preserve"> Expected Energy</w:t>
      </w:r>
      <w:r>
        <w:rPr>
          <w:spacing w:val="-3"/>
          <w:sz w:val="24"/>
        </w:rPr>
        <w:t xml:space="preserve"> </w:t>
      </w:r>
      <w:r>
        <w:rPr>
          <w:sz w:val="24"/>
        </w:rPr>
        <w:t>Savings</w:t>
      </w:r>
    </w:p>
    <w:p w:rsidR="007B31C8" w:rsidRDefault="006C3CB7" w14:paraId="271F9B7F" w14:textId="509BDC85">
      <w:pPr>
        <w:pStyle w:val="BodyText"/>
        <w:spacing w:before="120"/>
        <w:ind w:left="580"/>
        <w:jc w:val="both"/>
      </w:pPr>
      <w:r>
        <w:t>SDG&amp;E’s award is</w:t>
      </w:r>
      <w:r w:rsidR="004F7676">
        <w:t xml:space="preserve"> $552 less than requested</w:t>
      </w:r>
      <w:r w:rsidR="001D13D9">
        <w:t>.  SDG&amp;E used the CPUC’s draft savings values from August 6</w:t>
      </w:r>
      <w:r w:rsidRPr="003C7217" w:rsidR="001D13D9">
        <w:rPr>
          <w:vertAlign w:val="superscript"/>
        </w:rPr>
        <w:t>th</w:t>
      </w:r>
      <w:r w:rsidR="001D13D9">
        <w:t>, 2020 which were updated in late August due to a few measure groups being reassigned to a different ESPI category.  This had a minor effect on SDG&amp;E.</w:t>
      </w:r>
    </w:p>
    <w:p w:rsidR="007B31C8" w:rsidRDefault="007B31C8" w14:paraId="029D2F2E"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71A09B47" w14:textId="77777777">
        <w:trPr>
          <w:trHeight w:val="443"/>
        </w:trPr>
        <w:tc>
          <w:tcPr>
            <w:tcW w:w="2960" w:type="dxa"/>
          </w:tcPr>
          <w:p w:rsidR="007B31C8" w:rsidRDefault="006C3CB7" w14:paraId="6327BB98"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0654A5CB" w14:textId="0667AA45">
            <w:pPr>
              <w:pStyle w:val="TableParagraph"/>
              <w:spacing w:before="57"/>
              <w:ind w:left="369" w:right="369"/>
              <w:jc w:val="center"/>
              <w:rPr>
                <w:b/>
                <w:sz w:val="24"/>
              </w:rPr>
            </w:pPr>
            <w:r>
              <w:rPr>
                <w:b/>
                <w:sz w:val="24"/>
              </w:rPr>
              <w:t>201</w:t>
            </w:r>
            <w:r w:rsidR="00A23AF3">
              <w:rPr>
                <w:b/>
                <w:sz w:val="24"/>
              </w:rPr>
              <w:t>9</w:t>
            </w:r>
            <w:r>
              <w:rPr>
                <w:b/>
                <w:sz w:val="24"/>
              </w:rPr>
              <w:t xml:space="preserve"> Cap</w:t>
            </w:r>
          </w:p>
        </w:tc>
        <w:tc>
          <w:tcPr>
            <w:tcW w:w="2014" w:type="dxa"/>
            <w:tcBorders>
              <w:left w:val="single" w:color="000000" w:sz="4" w:space="0"/>
            </w:tcBorders>
          </w:tcPr>
          <w:p w:rsidR="007B31C8" w:rsidRDefault="006C3CB7" w14:paraId="7869129E" w14:textId="77777777">
            <w:pPr>
              <w:pStyle w:val="TableParagraph"/>
              <w:spacing w:before="57"/>
              <w:ind w:left="379" w:right="360"/>
              <w:jc w:val="center"/>
              <w:rPr>
                <w:b/>
                <w:sz w:val="24"/>
              </w:rPr>
            </w:pPr>
            <w:r>
              <w:rPr>
                <w:b/>
                <w:sz w:val="24"/>
              </w:rPr>
              <w:t>Requested</w:t>
            </w:r>
          </w:p>
        </w:tc>
        <w:tc>
          <w:tcPr>
            <w:tcW w:w="2015" w:type="dxa"/>
          </w:tcPr>
          <w:p w:rsidR="007B31C8" w:rsidRDefault="006C3CB7" w14:paraId="71FC283D" w14:textId="77777777">
            <w:pPr>
              <w:pStyle w:val="TableParagraph"/>
              <w:spacing w:before="57"/>
              <w:ind w:left="385" w:right="366"/>
              <w:jc w:val="center"/>
              <w:rPr>
                <w:b/>
                <w:sz w:val="24"/>
              </w:rPr>
            </w:pPr>
            <w:r>
              <w:rPr>
                <w:b/>
                <w:sz w:val="24"/>
              </w:rPr>
              <w:t>Approved</w:t>
            </w:r>
          </w:p>
        </w:tc>
      </w:tr>
      <w:tr w:rsidR="00A23AF3" w:rsidTr="003C7217" w14:paraId="60BF6414" w14:textId="77777777">
        <w:trPr>
          <w:trHeight w:val="445"/>
        </w:trPr>
        <w:tc>
          <w:tcPr>
            <w:tcW w:w="2960" w:type="dxa"/>
          </w:tcPr>
          <w:p w:rsidR="00A23AF3" w:rsidP="00A23AF3" w:rsidRDefault="00A23AF3" w14:paraId="3971DB05" w14:textId="51FBC546">
            <w:pPr>
              <w:pStyle w:val="TableParagraph"/>
              <w:spacing w:before="59"/>
              <w:ind w:left="166" w:right="148"/>
              <w:jc w:val="center"/>
              <w:rPr>
                <w:sz w:val="24"/>
              </w:rPr>
            </w:pPr>
            <w:r>
              <w:rPr>
                <w:sz w:val="24"/>
              </w:rPr>
              <w:t>2019 Expected Savings</w:t>
            </w:r>
          </w:p>
        </w:tc>
        <w:tc>
          <w:tcPr>
            <w:tcW w:w="2014" w:type="dxa"/>
            <w:tcBorders>
              <w:right w:val="single" w:color="000000" w:sz="4" w:space="0"/>
            </w:tcBorders>
            <w:vAlign w:val="center"/>
          </w:tcPr>
          <w:p w:rsidRPr="003C7217" w:rsidR="00A23AF3" w:rsidP="003C7217" w:rsidRDefault="004F7676" w14:paraId="5FEC1BC4" w14:textId="42CBEEB6">
            <w:pPr>
              <w:pStyle w:val="TableParagraph"/>
              <w:spacing w:before="59"/>
              <w:ind w:left="379" w:right="356"/>
              <w:jc w:val="center"/>
              <w:rPr>
                <w:rFonts w:cs="Calibri"/>
                <w:color w:val="000000"/>
                <w:sz w:val="24"/>
                <w:szCs w:val="24"/>
              </w:rPr>
            </w:pPr>
            <w:r w:rsidRPr="003C7217">
              <w:rPr>
                <w:rFonts w:cs="Calibri"/>
                <w:color w:val="000000"/>
                <w:sz w:val="24"/>
                <w:szCs w:val="24"/>
              </w:rPr>
              <w:t xml:space="preserve">$7,712,915 </w:t>
            </w:r>
          </w:p>
        </w:tc>
        <w:tc>
          <w:tcPr>
            <w:tcW w:w="2014" w:type="dxa"/>
            <w:tcBorders>
              <w:left w:val="single" w:color="000000" w:sz="4" w:space="0"/>
            </w:tcBorders>
            <w:vAlign w:val="center"/>
          </w:tcPr>
          <w:p w:rsidR="00A23AF3" w:rsidP="00A23AF3" w:rsidRDefault="00A23AF3" w14:paraId="7FF21CF2" w14:textId="2491A59E">
            <w:pPr>
              <w:pStyle w:val="TableParagraph"/>
              <w:spacing w:before="59"/>
              <w:ind w:left="379" w:right="356"/>
              <w:jc w:val="center"/>
              <w:rPr>
                <w:sz w:val="24"/>
              </w:rPr>
            </w:pPr>
            <w:r w:rsidRPr="00111F36">
              <w:rPr>
                <w:rFonts w:cs="Calibri"/>
                <w:color w:val="000000"/>
                <w:sz w:val="24"/>
                <w:szCs w:val="24"/>
              </w:rPr>
              <w:t xml:space="preserve">$121,186 </w:t>
            </w:r>
          </w:p>
        </w:tc>
        <w:tc>
          <w:tcPr>
            <w:tcW w:w="2015" w:type="dxa"/>
            <w:vAlign w:val="center"/>
          </w:tcPr>
          <w:p w:rsidR="00A23AF3" w:rsidP="00A23AF3" w:rsidRDefault="00A23AF3" w14:paraId="064D5B97" w14:textId="028B6EA7">
            <w:pPr>
              <w:pStyle w:val="TableParagraph"/>
              <w:spacing w:before="59"/>
              <w:ind w:left="385" w:right="368"/>
              <w:jc w:val="center"/>
              <w:rPr>
                <w:sz w:val="24"/>
              </w:rPr>
            </w:pPr>
            <w:r w:rsidRPr="00111F36">
              <w:rPr>
                <w:rFonts w:cs="Calibri"/>
                <w:color w:val="000000"/>
                <w:sz w:val="24"/>
                <w:szCs w:val="24"/>
              </w:rPr>
              <w:t xml:space="preserve">$120,634 </w:t>
            </w:r>
          </w:p>
        </w:tc>
      </w:tr>
    </w:tbl>
    <w:p w:rsidR="007B31C8" w:rsidRDefault="007B31C8" w14:paraId="296F4442" w14:textId="77777777">
      <w:pPr>
        <w:pStyle w:val="BodyText"/>
        <w:spacing w:before="10"/>
        <w:rPr>
          <w:sz w:val="17"/>
        </w:rPr>
      </w:pPr>
    </w:p>
    <w:p w:rsidR="007B31C8" w:rsidRDefault="006C3CB7" w14:paraId="2C9A6E85" w14:textId="77777777">
      <w:pPr>
        <w:pStyle w:val="ListParagraph"/>
        <w:numPr>
          <w:ilvl w:val="1"/>
          <w:numId w:val="3"/>
        </w:numPr>
        <w:tabs>
          <w:tab w:val="left" w:pos="581"/>
        </w:tabs>
        <w:ind w:hanging="361"/>
        <w:rPr>
          <w:sz w:val="24"/>
        </w:rPr>
      </w:pPr>
      <w:r>
        <w:rPr>
          <w:sz w:val="24"/>
          <w:u w:val="single"/>
        </w:rPr>
        <w:t>Ex Ante Review (EAR) Process</w:t>
      </w:r>
      <w:r>
        <w:rPr>
          <w:spacing w:val="-3"/>
          <w:sz w:val="24"/>
          <w:u w:val="single"/>
        </w:rPr>
        <w:t xml:space="preserve"> </w:t>
      </w:r>
      <w:r>
        <w:rPr>
          <w:sz w:val="24"/>
          <w:u w:val="single"/>
        </w:rPr>
        <w:t>Performance</w:t>
      </w:r>
    </w:p>
    <w:p w:rsidR="007B31C8" w:rsidRDefault="006C3CB7" w14:paraId="3B8EB64A" w14:textId="668C99E2">
      <w:pPr>
        <w:pStyle w:val="BodyText"/>
        <w:spacing w:before="121"/>
        <w:ind w:left="580" w:right="234"/>
        <w:jc w:val="both"/>
      </w:pPr>
      <w:r>
        <w:t xml:space="preserve">SDG&amp;E’s award is reduced by their excess DINI expenditures </w:t>
      </w:r>
      <w:r w:rsidRPr="0081296B">
        <w:t xml:space="preserve">(see section </w:t>
      </w:r>
      <w:r w:rsidR="007F3D7D">
        <w:t>4</w:t>
      </w:r>
      <w:r w:rsidRPr="0081296B" w:rsidR="00D16DD0">
        <w:t>c</w:t>
      </w:r>
      <w:r w:rsidRPr="0081296B">
        <w:t>)</w:t>
      </w:r>
      <w:r>
        <w:t xml:space="preserve">, which differed from SDG&amp;E’s calculation of these. SDG&amp;E’s </w:t>
      </w:r>
      <w:r w:rsidR="00C85087">
        <w:t xml:space="preserve">2019 </w:t>
      </w:r>
      <w:r>
        <w:t xml:space="preserve">EAR performance score is weighted by their deemed and custom </w:t>
      </w:r>
      <w:r w:rsidRPr="0081296B">
        <w:t>savings (see section</w:t>
      </w:r>
      <w:r w:rsidRPr="001E26F2">
        <w:rPr>
          <w:spacing w:val="-6"/>
        </w:rPr>
        <w:t xml:space="preserve"> </w:t>
      </w:r>
      <w:r w:rsidR="007F3D7D">
        <w:t>5</w:t>
      </w:r>
      <w:r>
        <w:t>).</w:t>
      </w:r>
    </w:p>
    <w:p w:rsidR="007B31C8" w:rsidRDefault="007B31C8" w14:paraId="6CF403C8" w14:textId="77777777">
      <w:pPr>
        <w:pStyle w:val="BodyText"/>
        <w:spacing w:before="10"/>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268949F0" w14:textId="77777777">
        <w:trPr>
          <w:trHeight w:val="445"/>
        </w:trPr>
        <w:tc>
          <w:tcPr>
            <w:tcW w:w="2960" w:type="dxa"/>
          </w:tcPr>
          <w:p w:rsidR="007B31C8" w:rsidRDefault="006C3CB7" w14:paraId="6841F3C2" w14:textId="77777777">
            <w:pPr>
              <w:pStyle w:val="TableParagraph"/>
              <w:spacing w:before="59"/>
              <w:ind w:left="164" w:right="148"/>
              <w:jc w:val="center"/>
              <w:rPr>
                <w:b/>
                <w:sz w:val="24"/>
              </w:rPr>
            </w:pPr>
            <w:r>
              <w:rPr>
                <w:b/>
                <w:sz w:val="24"/>
              </w:rPr>
              <w:t>ESPI Component</w:t>
            </w:r>
          </w:p>
        </w:tc>
        <w:tc>
          <w:tcPr>
            <w:tcW w:w="2014" w:type="dxa"/>
            <w:tcBorders>
              <w:right w:val="single" w:color="000000" w:sz="4" w:space="0"/>
            </w:tcBorders>
          </w:tcPr>
          <w:p w:rsidR="007B31C8" w:rsidRDefault="006C3CB7" w14:paraId="45314D17" w14:textId="3AF870AF">
            <w:pPr>
              <w:pStyle w:val="TableParagraph"/>
              <w:spacing w:before="59"/>
              <w:ind w:left="508"/>
              <w:jc w:val="left"/>
              <w:rPr>
                <w:b/>
                <w:sz w:val="24"/>
              </w:rPr>
            </w:pPr>
            <w:r>
              <w:rPr>
                <w:b/>
                <w:sz w:val="24"/>
              </w:rPr>
              <w:t>201</w:t>
            </w:r>
            <w:r w:rsidR="00A23AF3">
              <w:rPr>
                <w:b/>
                <w:sz w:val="24"/>
              </w:rPr>
              <w:t>9</w:t>
            </w:r>
            <w:r>
              <w:rPr>
                <w:b/>
                <w:sz w:val="24"/>
              </w:rPr>
              <w:t xml:space="preserve"> Cap</w:t>
            </w:r>
          </w:p>
        </w:tc>
        <w:tc>
          <w:tcPr>
            <w:tcW w:w="2014" w:type="dxa"/>
            <w:tcBorders>
              <w:left w:val="single" w:color="000000" w:sz="4" w:space="0"/>
            </w:tcBorders>
          </w:tcPr>
          <w:p w:rsidR="007B31C8" w:rsidRDefault="006C3CB7" w14:paraId="0F674F9D" w14:textId="77777777">
            <w:pPr>
              <w:pStyle w:val="TableParagraph"/>
              <w:spacing w:before="59"/>
              <w:ind w:left="379" w:right="360"/>
              <w:jc w:val="center"/>
              <w:rPr>
                <w:b/>
                <w:sz w:val="24"/>
              </w:rPr>
            </w:pPr>
            <w:r>
              <w:rPr>
                <w:b/>
                <w:sz w:val="24"/>
              </w:rPr>
              <w:t>Requested</w:t>
            </w:r>
          </w:p>
        </w:tc>
        <w:tc>
          <w:tcPr>
            <w:tcW w:w="2015" w:type="dxa"/>
          </w:tcPr>
          <w:p w:rsidR="007B31C8" w:rsidRDefault="006C3CB7" w14:paraId="0965EEDD" w14:textId="77777777">
            <w:pPr>
              <w:pStyle w:val="TableParagraph"/>
              <w:spacing w:before="59"/>
              <w:ind w:left="380" w:right="370"/>
              <w:jc w:val="center"/>
              <w:rPr>
                <w:b/>
                <w:sz w:val="24"/>
              </w:rPr>
            </w:pPr>
            <w:r>
              <w:rPr>
                <w:b/>
                <w:sz w:val="24"/>
              </w:rPr>
              <w:t>Approved</w:t>
            </w:r>
          </w:p>
        </w:tc>
      </w:tr>
      <w:tr w:rsidR="00A23AF3" w:rsidTr="003C7217" w14:paraId="34D3009A" w14:textId="77777777">
        <w:trPr>
          <w:trHeight w:val="443"/>
        </w:trPr>
        <w:tc>
          <w:tcPr>
            <w:tcW w:w="2960" w:type="dxa"/>
            <w:tcBorders>
              <w:bottom w:val="single" w:color="000000" w:sz="4" w:space="0"/>
            </w:tcBorders>
          </w:tcPr>
          <w:p w:rsidRPr="003C7217" w:rsidR="00A23AF3" w:rsidP="003C7217" w:rsidRDefault="00A23AF3" w14:paraId="7BE631C2" w14:textId="6807AD88">
            <w:pPr>
              <w:pStyle w:val="TableParagraph"/>
              <w:spacing w:before="59"/>
              <w:ind w:left="166" w:right="148"/>
              <w:jc w:val="center"/>
              <w:rPr>
                <w:rFonts w:cs="Calibri"/>
                <w:color w:val="000000"/>
                <w:sz w:val="24"/>
                <w:szCs w:val="24"/>
              </w:rPr>
            </w:pPr>
            <w:r w:rsidRPr="004F7676">
              <w:rPr>
                <w:sz w:val="24"/>
              </w:rPr>
              <w:t>2019 EAR Performance</w:t>
            </w:r>
          </w:p>
        </w:tc>
        <w:tc>
          <w:tcPr>
            <w:tcW w:w="2014" w:type="dxa"/>
            <w:tcBorders>
              <w:bottom w:val="single" w:color="000000" w:sz="4" w:space="0"/>
              <w:right w:val="single" w:color="000000" w:sz="4" w:space="0"/>
            </w:tcBorders>
            <w:vAlign w:val="center"/>
          </w:tcPr>
          <w:p w:rsidRPr="003C7217" w:rsidR="00A23AF3" w:rsidP="003C7217" w:rsidRDefault="004F7676" w14:paraId="490FDACF" w14:textId="099930F2">
            <w:pPr>
              <w:ind w:left="379" w:right="356"/>
              <w:rPr>
                <w:rFonts w:cs="Calibri"/>
                <w:color w:val="000000"/>
                <w:sz w:val="24"/>
                <w:szCs w:val="24"/>
              </w:rPr>
            </w:pPr>
            <w:r w:rsidRPr="003C7217">
              <w:rPr>
                <w:rFonts w:cs="Calibri"/>
                <w:color w:val="000000"/>
                <w:sz w:val="24"/>
                <w:szCs w:val="24"/>
              </w:rPr>
              <w:t>$2,570,972</w:t>
            </w:r>
          </w:p>
        </w:tc>
        <w:tc>
          <w:tcPr>
            <w:tcW w:w="2014" w:type="dxa"/>
            <w:tcBorders>
              <w:left w:val="single" w:color="000000" w:sz="4" w:space="0"/>
              <w:bottom w:val="single" w:color="000000" w:sz="4" w:space="0"/>
            </w:tcBorders>
            <w:vAlign w:val="center"/>
          </w:tcPr>
          <w:p w:rsidR="00A23AF3" w:rsidP="00A23AF3" w:rsidRDefault="00A23AF3" w14:paraId="004A1071" w14:textId="54F77507">
            <w:pPr>
              <w:pStyle w:val="TableParagraph"/>
              <w:spacing w:before="59"/>
              <w:ind w:left="379" w:right="356"/>
              <w:jc w:val="center"/>
              <w:rPr>
                <w:sz w:val="24"/>
              </w:rPr>
            </w:pPr>
            <w:r w:rsidRPr="00111F36">
              <w:rPr>
                <w:rFonts w:cs="Calibri"/>
                <w:color w:val="000000"/>
                <w:sz w:val="24"/>
                <w:szCs w:val="24"/>
              </w:rPr>
              <w:t xml:space="preserve">$858,796 </w:t>
            </w:r>
          </w:p>
        </w:tc>
        <w:tc>
          <w:tcPr>
            <w:tcW w:w="2015" w:type="dxa"/>
            <w:tcBorders>
              <w:bottom w:val="single" w:color="000000" w:sz="4" w:space="0"/>
            </w:tcBorders>
            <w:vAlign w:val="center"/>
          </w:tcPr>
          <w:p w:rsidR="00A23AF3" w:rsidP="00A23AF3" w:rsidRDefault="00A23AF3" w14:paraId="34657F57" w14:textId="34516177">
            <w:pPr>
              <w:pStyle w:val="TableParagraph"/>
              <w:spacing w:before="59"/>
              <w:ind w:left="378" w:right="370"/>
              <w:jc w:val="center"/>
              <w:rPr>
                <w:sz w:val="24"/>
              </w:rPr>
            </w:pPr>
            <w:r w:rsidRPr="00111F36">
              <w:rPr>
                <w:rFonts w:cs="Calibri"/>
                <w:color w:val="000000"/>
                <w:sz w:val="24"/>
                <w:szCs w:val="24"/>
              </w:rPr>
              <w:t xml:space="preserve">$833,641 </w:t>
            </w:r>
          </w:p>
        </w:tc>
      </w:tr>
    </w:tbl>
    <w:p w:rsidR="007B31C8" w:rsidRDefault="007B31C8" w14:paraId="1DCAED90" w14:textId="77777777">
      <w:pPr>
        <w:pStyle w:val="BodyText"/>
        <w:spacing w:before="10"/>
        <w:rPr>
          <w:sz w:val="17"/>
        </w:rPr>
      </w:pPr>
    </w:p>
    <w:p w:rsidR="00BA0927" w:rsidRDefault="00BA0927" w14:paraId="21E9C3BA" w14:textId="77777777">
      <w:pPr>
        <w:pStyle w:val="BodyText"/>
        <w:spacing w:before="10"/>
        <w:rPr>
          <w:sz w:val="17"/>
        </w:rPr>
      </w:pPr>
    </w:p>
    <w:p w:rsidR="00BA0927" w:rsidRDefault="00BA0927" w14:paraId="3358466D" w14:textId="77777777">
      <w:pPr>
        <w:pStyle w:val="BodyText"/>
        <w:spacing w:before="10"/>
        <w:rPr>
          <w:sz w:val="17"/>
        </w:rPr>
      </w:pPr>
    </w:p>
    <w:p w:rsidR="00BA0927" w:rsidRDefault="00BA0927" w14:paraId="7E10B5FB" w14:textId="77777777">
      <w:pPr>
        <w:pStyle w:val="BodyText"/>
        <w:spacing w:before="10"/>
        <w:rPr>
          <w:sz w:val="17"/>
        </w:rPr>
      </w:pPr>
    </w:p>
    <w:p w:rsidR="00BA0927" w:rsidRDefault="00BA0927" w14:paraId="586CB1AA" w14:textId="77777777">
      <w:pPr>
        <w:pStyle w:val="BodyText"/>
        <w:spacing w:before="10"/>
        <w:rPr>
          <w:sz w:val="17"/>
        </w:rPr>
      </w:pPr>
    </w:p>
    <w:p w:rsidR="00BA0927" w:rsidRDefault="00BA0927" w14:paraId="6396BD0E" w14:textId="77777777">
      <w:pPr>
        <w:pStyle w:val="BodyText"/>
        <w:spacing w:before="10"/>
        <w:rPr>
          <w:sz w:val="17"/>
        </w:rPr>
      </w:pPr>
    </w:p>
    <w:p w:rsidR="007B31C8" w:rsidRDefault="006C3CB7" w14:paraId="0D086A15" w14:textId="77777777">
      <w:pPr>
        <w:pStyle w:val="ListParagraph"/>
        <w:numPr>
          <w:ilvl w:val="1"/>
          <w:numId w:val="3"/>
        </w:numPr>
        <w:tabs>
          <w:tab w:val="left" w:pos="581"/>
        </w:tabs>
        <w:spacing w:line="328" w:lineRule="auto"/>
        <w:ind w:right="4730"/>
        <w:rPr>
          <w:sz w:val="24"/>
        </w:rPr>
      </w:pPr>
      <w:r>
        <w:rPr>
          <w:sz w:val="24"/>
          <w:u w:val="single"/>
        </w:rPr>
        <w:lastRenderedPageBreak/>
        <w:t>Codes and Standards (C&amp;S) Programs</w:t>
      </w:r>
      <w:r>
        <w:rPr>
          <w:sz w:val="24"/>
        </w:rPr>
        <w:t xml:space="preserve"> SDG&amp;E’s award is approved as</w:t>
      </w:r>
      <w:r>
        <w:rPr>
          <w:spacing w:val="-11"/>
          <w:sz w:val="24"/>
        </w:rPr>
        <w:t xml:space="preserve"> </w:t>
      </w:r>
      <w:r>
        <w:rPr>
          <w:sz w:val="24"/>
        </w:rPr>
        <w:t>requested.</w:t>
      </w: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0A5CA056" w14:textId="77777777">
        <w:trPr>
          <w:trHeight w:val="443"/>
        </w:trPr>
        <w:tc>
          <w:tcPr>
            <w:tcW w:w="2960" w:type="dxa"/>
          </w:tcPr>
          <w:p w:rsidR="007B31C8" w:rsidRDefault="006C3CB7" w14:paraId="7A69C8AF"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4744EB5E" w14:textId="3114D67E">
            <w:pPr>
              <w:pStyle w:val="TableParagraph"/>
              <w:spacing w:before="57"/>
              <w:ind w:right="509"/>
              <w:rPr>
                <w:b/>
                <w:sz w:val="24"/>
              </w:rPr>
            </w:pPr>
            <w:r>
              <w:rPr>
                <w:b/>
                <w:sz w:val="24"/>
              </w:rPr>
              <w:t>201</w:t>
            </w:r>
            <w:r w:rsidR="00A23AF3">
              <w:rPr>
                <w:b/>
                <w:sz w:val="24"/>
              </w:rPr>
              <w:t>9</w:t>
            </w:r>
            <w:r>
              <w:rPr>
                <w:b/>
                <w:sz w:val="24"/>
              </w:rPr>
              <w:t xml:space="preserve"> Cap</w:t>
            </w:r>
          </w:p>
        </w:tc>
        <w:tc>
          <w:tcPr>
            <w:tcW w:w="2014" w:type="dxa"/>
            <w:tcBorders>
              <w:left w:val="single" w:color="000000" w:sz="4" w:space="0"/>
            </w:tcBorders>
          </w:tcPr>
          <w:p w:rsidR="007B31C8" w:rsidRDefault="006C3CB7" w14:paraId="3A06507D" w14:textId="77777777">
            <w:pPr>
              <w:pStyle w:val="TableParagraph"/>
              <w:spacing w:before="57"/>
              <w:ind w:left="379" w:right="360"/>
              <w:jc w:val="center"/>
              <w:rPr>
                <w:b/>
                <w:sz w:val="24"/>
              </w:rPr>
            </w:pPr>
            <w:r>
              <w:rPr>
                <w:b/>
                <w:sz w:val="24"/>
              </w:rPr>
              <w:t>Requested</w:t>
            </w:r>
          </w:p>
        </w:tc>
        <w:tc>
          <w:tcPr>
            <w:tcW w:w="2015" w:type="dxa"/>
          </w:tcPr>
          <w:p w:rsidR="007B31C8" w:rsidRDefault="006C3CB7" w14:paraId="1F4A8EFF" w14:textId="77777777">
            <w:pPr>
              <w:pStyle w:val="TableParagraph"/>
              <w:spacing w:before="57"/>
              <w:ind w:left="385" w:right="366"/>
              <w:jc w:val="center"/>
              <w:rPr>
                <w:b/>
                <w:sz w:val="24"/>
              </w:rPr>
            </w:pPr>
            <w:r>
              <w:rPr>
                <w:b/>
                <w:sz w:val="24"/>
              </w:rPr>
              <w:t>Approved</w:t>
            </w:r>
          </w:p>
        </w:tc>
      </w:tr>
      <w:tr w:rsidR="00A23AF3" w:rsidTr="003C7217" w14:paraId="6F8E3D9F" w14:textId="77777777">
        <w:trPr>
          <w:trHeight w:val="445"/>
        </w:trPr>
        <w:tc>
          <w:tcPr>
            <w:tcW w:w="2960" w:type="dxa"/>
            <w:tcBorders>
              <w:bottom w:val="single" w:color="000000" w:sz="4" w:space="0"/>
            </w:tcBorders>
          </w:tcPr>
          <w:p w:rsidR="00A23AF3" w:rsidP="00A23AF3" w:rsidRDefault="00A23AF3" w14:paraId="1E7FB299" w14:textId="07756576">
            <w:pPr>
              <w:pStyle w:val="TableParagraph"/>
              <w:spacing w:before="62"/>
              <w:ind w:left="164" w:right="148"/>
              <w:jc w:val="center"/>
              <w:rPr>
                <w:sz w:val="24"/>
              </w:rPr>
            </w:pPr>
            <w:r>
              <w:rPr>
                <w:sz w:val="24"/>
              </w:rPr>
              <w:t>2019 C&amp;S</w:t>
            </w:r>
          </w:p>
        </w:tc>
        <w:tc>
          <w:tcPr>
            <w:tcW w:w="2014" w:type="dxa"/>
            <w:tcBorders>
              <w:bottom w:val="single" w:color="000000" w:sz="4" w:space="0"/>
              <w:right w:val="single" w:color="000000" w:sz="4" w:space="0"/>
            </w:tcBorders>
            <w:vAlign w:val="center"/>
          </w:tcPr>
          <w:p w:rsidR="00A23AF3" w:rsidP="00A23AF3" w:rsidRDefault="00A23AF3" w14:paraId="23F369A1" w14:textId="3DC2107F">
            <w:pPr>
              <w:pStyle w:val="TableParagraph"/>
              <w:spacing w:before="62"/>
              <w:ind w:right="490"/>
              <w:rPr>
                <w:sz w:val="24"/>
              </w:rPr>
            </w:pPr>
            <w:r w:rsidRPr="00111F36">
              <w:rPr>
                <w:rFonts w:cs="Calibri"/>
                <w:color w:val="000000"/>
                <w:sz w:val="24"/>
                <w:szCs w:val="24"/>
              </w:rPr>
              <w:t>$</w:t>
            </w:r>
            <w:r w:rsidR="004F7676">
              <w:rPr>
                <w:rFonts w:cs="Calibri"/>
                <w:color w:val="000000"/>
                <w:sz w:val="24"/>
                <w:szCs w:val="24"/>
              </w:rPr>
              <w:t>134,283</w:t>
            </w:r>
            <w:r w:rsidRPr="00111F36">
              <w:rPr>
                <w:rFonts w:cs="Calibri"/>
                <w:color w:val="000000"/>
                <w:sz w:val="24"/>
                <w:szCs w:val="24"/>
              </w:rPr>
              <w:t xml:space="preserve"> </w:t>
            </w:r>
          </w:p>
        </w:tc>
        <w:tc>
          <w:tcPr>
            <w:tcW w:w="2014" w:type="dxa"/>
            <w:tcBorders>
              <w:left w:val="single" w:color="000000" w:sz="4" w:space="0"/>
              <w:bottom w:val="single" w:color="000000" w:sz="4" w:space="0"/>
            </w:tcBorders>
            <w:vAlign w:val="center"/>
          </w:tcPr>
          <w:p w:rsidR="00A23AF3" w:rsidP="00A23AF3" w:rsidRDefault="00A23AF3" w14:paraId="4C281B5B" w14:textId="58FFAD8E">
            <w:pPr>
              <w:pStyle w:val="TableParagraph"/>
              <w:spacing w:before="62"/>
              <w:ind w:left="379" w:right="356"/>
              <w:jc w:val="center"/>
              <w:rPr>
                <w:sz w:val="24"/>
              </w:rPr>
            </w:pPr>
            <w:r w:rsidRPr="00111F36">
              <w:rPr>
                <w:rFonts w:cs="Calibri"/>
                <w:color w:val="000000"/>
                <w:sz w:val="24"/>
                <w:szCs w:val="24"/>
              </w:rPr>
              <w:t xml:space="preserve">$129,905 </w:t>
            </w:r>
          </w:p>
        </w:tc>
        <w:tc>
          <w:tcPr>
            <w:tcW w:w="2015" w:type="dxa"/>
            <w:tcBorders>
              <w:bottom w:val="single" w:color="000000" w:sz="4" w:space="0"/>
            </w:tcBorders>
            <w:vAlign w:val="center"/>
          </w:tcPr>
          <w:p w:rsidR="00A23AF3" w:rsidP="00A23AF3" w:rsidRDefault="00A23AF3" w14:paraId="39AE520B" w14:textId="63B1FD1F">
            <w:pPr>
              <w:pStyle w:val="TableParagraph"/>
              <w:spacing w:before="62"/>
              <w:ind w:left="385" w:right="368"/>
              <w:jc w:val="center"/>
              <w:rPr>
                <w:sz w:val="24"/>
              </w:rPr>
            </w:pPr>
            <w:r w:rsidRPr="00111F36">
              <w:rPr>
                <w:rFonts w:cs="Calibri"/>
                <w:color w:val="000000"/>
                <w:sz w:val="24"/>
                <w:szCs w:val="24"/>
              </w:rPr>
              <w:t xml:space="preserve">$129,905 </w:t>
            </w:r>
          </w:p>
        </w:tc>
      </w:tr>
    </w:tbl>
    <w:p w:rsidR="007B31C8" w:rsidRDefault="007B31C8" w14:paraId="3EDEDD7F" w14:textId="77777777">
      <w:pPr>
        <w:pStyle w:val="BodyText"/>
        <w:spacing w:before="2"/>
        <w:rPr>
          <w:sz w:val="13"/>
        </w:rPr>
      </w:pPr>
    </w:p>
    <w:p w:rsidR="007B31C8" w:rsidRDefault="006C3CB7" w14:paraId="06E417CC" w14:textId="77777777">
      <w:pPr>
        <w:pStyle w:val="ListParagraph"/>
        <w:numPr>
          <w:ilvl w:val="1"/>
          <w:numId w:val="3"/>
        </w:numPr>
        <w:tabs>
          <w:tab w:val="left" w:pos="581"/>
        </w:tabs>
        <w:spacing w:before="24"/>
        <w:ind w:hanging="361"/>
        <w:rPr>
          <w:sz w:val="24"/>
        </w:rPr>
      </w:pPr>
      <w:r>
        <w:rPr>
          <w:sz w:val="24"/>
          <w:u w:val="single"/>
        </w:rPr>
        <w:t>Non-Resource</w:t>
      </w:r>
      <w:r>
        <w:rPr>
          <w:spacing w:val="-1"/>
          <w:sz w:val="24"/>
          <w:u w:val="single"/>
        </w:rPr>
        <w:t xml:space="preserve"> </w:t>
      </w:r>
      <w:r>
        <w:rPr>
          <w:sz w:val="24"/>
          <w:u w:val="single"/>
        </w:rPr>
        <w:t>Programs</w:t>
      </w:r>
    </w:p>
    <w:p w:rsidR="007B31C8" w:rsidRDefault="006C3CB7" w14:paraId="7771AB99" w14:textId="3E48749D">
      <w:pPr>
        <w:pStyle w:val="BodyText"/>
        <w:spacing w:before="118"/>
        <w:ind w:left="580"/>
      </w:pPr>
      <w:r>
        <w:t xml:space="preserve">SDG&amp;E’s award is </w:t>
      </w:r>
      <w:r w:rsidR="004F7676">
        <w:t>higher than requested because their CEDARS non-resource expenditures were higher than in their ESPI award advice letter</w:t>
      </w:r>
      <w:r>
        <w:t>.</w:t>
      </w:r>
    </w:p>
    <w:p w:rsidR="007B31C8" w:rsidRDefault="007B31C8" w14:paraId="5ED0F927" w14:textId="77777777">
      <w:pPr>
        <w:pStyle w:val="BodyText"/>
        <w:spacing w:before="12"/>
        <w:rPr>
          <w:sz w:val="8"/>
        </w:rPr>
      </w:pPr>
    </w:p>
    <w:tbl>
      <w:tblPr>
        <w:tblW w:w="0" w:type="auto"/>
        <w:tblInd w:w="6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60"/>
        <w:gridCol w:w="2014"/>
        <w:gridCol w:w="2014"/>
        <w:gridCol w:w="2015"/>
      </w:tblGrid>
      <w:tr w:rsidR="007B31C8" w14:paraId="51DEC4F8" w14:textId="77777777">
        <w:trPr>
          <w:trHeight w:val="443"/>
        </w:trPr>
        <w:tc>
          <w:tcPr>
            <w:tcW w:w="2960" w:type="dxa"/>
          </w:tcPr>
          <w:p w:rsidR="007B31C8" w:rsidRDefault="006C3CB7" w14:paraId="11F32EA7" w14:textId="77777777">
            <w:pPr>
              <w:pStyle w:val="TableParagraph"/>
              <w:spacing w:before="57"/>
              <w:ind w:left="164" w:right="148"/>
              <w:jc w:val="center"/>
              <w:rPr>
                <w:b/>
                <w:sz w:val="24"/>
              </w:rPr>
            </w:pPr>
            <w:r>
              <w:rPr>
                <w:b/>
                <w:sz w:val="24"/>
              </w:rPr>
              <w:t>ESPI Component</w:t>
            </w:r>
          </w:p>
        </w:tc>
        <w:tc>
          <w:tcPr>
            <w:tcW w:w="2014" w:type="dxa"/>
            <w:tcBorders>
              <w:right w:val="single" w:color="000000" w:sz="4" w:space="0"/>
            </w:tcBorders>
          </w:tcPr>
          <w:p w:rsidR="007B31C8" w:rsidRDefault="006C3CB7" w14:paraId="39517C35" w14:textId="7CAE8984">
            <w:pPr>
              <w:pStyle w:val="TableParagraph"/>
              <w:spacing w:before="57"/>
              <w:ind w:right="509"/>
              <w:rPr>
                <w:b/>
                <w:sz w:val="24"/>
              </w:rPr>
            </w:pPr>
            <w:r>
              <w:rPr>
                <w:b/>
                <w:sz w:val="24"/>
              </w:rPr>
              <w:t>201</w:t>
            </w:r>
            <w:r w:rsidR="00A23AF3">
              <w:rPr>
                <w:b/>
                <w:sz w:val="24"/>
              </w:rPr>
              <w:t>9</w:t>
            </w:r>
            <w:r>
              <w:rPr>
                <w:b/>
                <w:sz w:val="24"/>
              </w:rPr>
              <w:t xml:space="preserve"> Cap</w:t>
            </w:r>
          </w:p>
        </w:tc>
        <w:tc>
          <w:tcPr>
            <w:tcW w:w="2014" w:type="dxa"/>
            <w:tcBorders>
              <w:left w:val="single" w:color="000000" w:sz="4" w:space="0"/>
            </w:tcBorders>
          </w:tcPr>
          <w:p w:rsidR="007B31C8" w:rsidRDefault="006C3CB7" w14:paraId="0616D84C" w14:textId="77777777">
            <w:pPr>
              <w:pStyle w:val="TableParagraph"/>
              <w:spacing w:before="57"/>
              <w:ind w:left="379" w:right="360"/>
              <w:jc w:val="center"/>
              <w:rPr>
                <w:b/>
                <w:sz w:val="24"/>
              </w:rPr>
            </w:pPr>
            <w:r>
              <w:rPr>
                <w:b/>
                <w:sz w:val="24"/>
              </w:rPr>
              <w:t>Requested</w:t>
            </w:r>
          </w:p>
        </w:tc>
        <w:tc>
          <w:tcPr>
            <w:tcW w:w="2015" w:type="dxa"/>
          </w:tcPr>
          <w:p w:rsidR="007B31C8" w:rsidRDefault="006C3CB7" w14:paraId="35748353" w14:textId="77777777">
            <w:pPr>
              <w:pStyle w:val="TableParagraph"/>
              <w:spacing w:before="57"/>
              <w:ind w:left="385" w:right="366"/>
              <w:jc w:val="center"/>
              <w:rPr>
                <w:b/>
                <w:sz w:val="24"/>
              </w:rPr>
            </w:pPr>
            <w:r>
              <w:rPr>
                <w:b/>
                <w:sz w:val="24"/>
              </w:rPr>
              <w:t>Approved</w:t>
            </w:r>
          </w:p>
        </w:tc>
      </w:tr>
      <w:tr w:rsidR="007B31C8" w14:paraId="7B2B0924" w14:textId="77777777">
        <w:trPr>
          <w:trHeight w:val="443"/>
        </w:trPr>
        <w:tc>
          <w:tcPr>
            <w:tcW w:w="2960" w:type="dxa"/>
            <w:tcBorders>
              <w:bottom w:val="single" w:color="000000" w:sz="4" w:space="0"/>
            </w:tcBorders>
          </w:tcPr>
          <w:p w:rsidR="007B31C8" w:rsidRDefault="006C3CB7" w14:paraId="6A373250" w14:textId="4EDE8F07">
            <w:pPr>
              <w:pStyle w:val="TableParagraph"/>
              <w:spacing w:before="59"/>
              <w:ind w:left="162" w:right="148"/>
              <w:jc w:val="center"/>
              <w:rPr>
                <w:sz w:val="24"/>
              </w:rPr>
            </w:pPr>
            <w:r>
              <w:rPr>
                <w:sz w:val="24"/>
              </w:rPr>
              <w:t>201</w:t>
            </w:r>
            <w:r w:rsidR="00A23AF3">
              <w:rPr>
                <w:sz w:val="24"/>
              </w:rPr>
              <w:t>9</w:t>
            </w:r>
            <w:r>
              <w:rPr>
                <w:sz w:val="24"/>
              </w:rPr>
              <w:t xml:space="preserve"> Non-Resource</w:t>
            </w:r>
          </w:p>
        </w:tc>
        <w:tc>
          <w:tcPr>
            <w:tcW w:w="2014" w:type="dxa"/>
            <w:tcBorders>
              <w:bottom w:val="single" w:color="000000" w:sz="4" w:space="0"/>
              <w:right w:val="single" w:color="000000" w:sz="4" w:space="0"/>
            </w:tcBorders>
          </w:tcPr>
          <w:p w:rsidR="007B31C8" w:rsidRDefault="006C3CB7" w14:paraId="62920732" w14:textId="4B21E5F8">
            <w:pPr>
              <w:pStyle w:val="TableParagraph"/>
              <w:spacing w:before="59"/>
              <w:ind w:right="490"/>
              <w:rPr>
                <w:sz w:val="24"/>
              </w:rPr>
            </w:pPr>
            <w:r>
              <w:rPr>
                <w:sz w:val="24"/>
              </w:rPr>
              <w:t>$</w:t>
            </w:r>
            <w:r w:rsidR="004F7676">
              <w:rPr>
                <w:sz w:val="24"/>
              </w:rPr>
              <w:t>266,818</w:t>
            </w:r>
          </w:p>
        </w:tc>
        <w:tc>
          <w:tcPr>
            <w:tcW w:w="2014" w:type="dxa"/>
            <w:tcBorders>
              <w:left w:val="single" w:color="000000" w:sz="4" w:space="0"/>
              <w:bottom w:val="single" w:color="000000" w:sz="4" w:space="0"/>
            </w:tcBorders>
          </w:tcPr>
          <w:p w:rsidR="007B31C8" w:rsidRDefault="006C3CB7" w14:paraId="172AE4BB" w14:textId="6E80408B">
            <w:pPr>
              <w:pStyle w:val="TableParagraph"/>
              <w:spacing w:before="59"/>
              <w:ind w:left="379" w:right="356"/>
              <w:jc w:val="center"/>
              <w:rPr>
                <w:sz w:val="24"/>
              </w:rPr>
            </w:pPr>
            <w:r>
              <w:rPr>
                <w:sz w:val="24"/>
              </w:rPr>
              <w:t>$</w:t>
            </w:r>
            <w:r w:rsidR="004F7676">
              <w:rPr>
                <w:sz w:val="24"/>
              </w:rPr>
              <w:t>205,147</w:t>
            </w:r>
          </w:p>
        </w:tc>
        <w:tc>
          <w:tcPr>
            <w:tcW w:w="2015" w:type="dxa"/>
            <w:tcBorders>
              <w:bottom w:val="single" w:color="000000" w:sz="4" w:space="0"/>
            </w:tcBorders>
          </w:tcPr>
          <w:p w:rsidR="007B31C8" w:rsidRDefault="006C3CB7" w14:paraId="63958C0F" w14:textId="49391273">
            <w:pPr>
              <w:pStyle w:val="TableParagraph"/>
              <w:spacing w:before="59"/>
              <w:ind w:left="385" w:right="368"/>
              <w:jc w:val="center"/>
              <w:rPr>
                <w:sz w:val="24"/>
              </w:rPr>
            </w:pPr>
            <w:r>
              <w:rPr>
                <w:sz w:val="24"/>
              </w:rPr>
              <w:t>$</w:t>
            </w:r>
            <w:r w:rsidR="004F7676">
              <w:rPr>
                <w:sz w:val="24"/>
              </w:rPr>
              <w:t>227,461</w:t>
            </w:r>
          </w:p>
        </w:tc>
      </w:tr>
    </w:tbl>
    <w:p w:rsidR="007B31C8" w:rsidRDefault="006C3CB7" w14:paraId="3D0AA749" w14:textId="77777777">
      <w:pPr>
        <w:pStyle w:val="ListParagraph"/>
        <w:numPr>
          <w:ilvl w:val="1"/>
          <w:numId w:val="3"/>
        </w:numPr>
        <w:tabs>
          <w:tab w:val="left" w:pos="581"/>
        </w:tabs>
        <w:spacing w:before="123"/>
        <w:ind w:hanging="361"/>
        <w:rPr>
          <w:sz w:val="24"/>
        </w:rPr>
      </w:pPr>
      <w:r>
        <w:rPr>
          <w:sz w:val="24"/>
          <w:u w:val="single"/>
        </w:rPr>
        <w:t>True Ups</w:t>
      </w:r>
    </w:p>
    <w:p w:rsidR="007B31C8" w:rsidRDefault="007B31C8" w14:paraId="5CC06313" w14:textId="77777777">
      <w:pPr>
        <w:pStyle w:val="BodyText"/>
        <w:rPr>
          <w:sz w:val="13"/>
        </w:rPr>
      </w:pPr>
    </w:p>
    <w:p w:rsidR="007B31C8" w:rsidRDefault="004F7676" w14:paraId="5BA5BBA6" w14:textId="59E6CFD9">
      <w:pPr>
        <w:pStyle w:val="BodyText"/>
        <w:spacing w:before="24"/>
        <w:ind w:left="580" w:right="237"/>
        <w:jc w:val="both"/>
      </w:pPr>
      <w:r>
        <w:t xml:space="preserve">SDG&amp;E’s 2018 Ex-Ante Savings True Up is approved as requested.  </w:t>
      </w:r>
      <w:r w:rsidR="006C3CB7">
        <w:t xml:space="preserve">SDG&amp;E receives </w:t>
      </w:r>
      <w:r>
        <w:t xml:space="preserve">the 2018 </w:t>
      </w:r>
      <w:r w:rsidR="006C3CB7">
        <w:t>Codes &amp; Standards True Up due to 201</w:t>
      </w:r>
      <w:r>
        <w:t>8</w:t>
      </w:r>
      <w:r w:rsidR="006C3CB7">
        <w:t xml:space="preserve"> audit findings. The 201</w:t>
      </w:r>
      <w:r>
        <w:t>8</w:t>
      </w:r>
      <w:r w:rsidR="006C3CB7">
        <w:t xml:space="preserve"> true ups include SDG&amp;E’s weighted average cost of</w:t>
      </w:r>
      <w:r w:rsidR="006C3CB7">
        <w:rPr>
          <w:spacing w:val="-1"/>
        </w:rPr>
        <w:t xml:space="preserve"> </w:t>
      </w:r>
      <w:r w:rsidR="006C3CB7">
        <w:t>capital.</w:t>
      </w:r>
    </w:p>
    <w:tbl>
      <w:tblPr>
        <w:tblW w:w="0" w:type="auto"/>
        <w:tblInd w:w="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9"/>
        <w:gridCol w:w="1707"/>
        <w:gridCol w:w="1717"/>
      </w:tblGrid>
      <w:tr w:rsidR="00A23AF3" w:rsidTr="00A23AF3" w14:paraId="1BA35D2D" w14:textId="77777777">
        <w:trPr>
          <w:trHeight w:val="443"/>
        </w:trPr>
        <w:tc>
          <w:tcPr>
            <w:tcW w:w="4499" w:type="dxa"/>
          </w:tcPr>
          <w:p w:rsidR="00A23AF3" w:rsidP="00A23AF3" w:rsidRDefault="00A23AF3" w14:paraId="2B5CC207" w14:textId="77777777">
            <w:pPr>
              <w:pStyle w:val="TableParagraph"/>
              <w:spacing w:before="57"/>
              <w:ind w:left="1580" w:right="1574"/>
              <w:jc w:val="center"/>
              <w:rPr>
                <w:b/>
                <w:sz w:val="24"/>
              </w:rPr>
            </w:pPr>
            <w:r>
              <w:rPr>
                <w:b/>
                <w:sz w:val="24"/>
              </w:rPr>
              <w:t>Component</w:t>
            </w:r>
          </w:p>
        </w:tc>
        <w:tc>
          <w:tcPr>
            <w:tcW w:w="1707" w:type="dxa"/>
          </w:tcPr>
          <w:p w:rsidR="00A23AF3" w:rsidP="00A23AF3" w:rsidRDefault="00A23AF3" w14:paraId="208C531F" w14:textId="77777777">
            <w:pPr>
              <w:pStyle w:val="TableParagraph"/>
              <w:spacing w:before="57"/>
              <w:ind w:left="272"/>
              <w:jc w:val="left"/>
              <w:rPr>
                <w:b/>
                <w:sz w:val="24"/>
              </w:rPr>
            </w:pPr>
            <w:r>
              <w:rPr>
                <w:b/>
                <w:sz w:val="24"/>
              </w:rPr>
              <w:t>Requested</w:t>
            </w:r>
          </w:p>
        </w:tc>
        <w:tc>
          <w:tcPr>
            <w:tcW w:w="1717" w:type="dxa"/>
          </w:tcPr>
          <w:p w:rsidR="00A23AF3" w:rsidP="00A23AF3" w:rsidRDefault="00A23AF3" w14:paraId="425D982A" w14:textId="77777777">
            <w:pPr>
              <w:pStyle w:val="TableParagraph"/>
              <w:spacing w:before="57"/>
              <w:ind w:left="303"/>
              <w:jc w:val="left"/>
              <w:rPr>
                <w:b/>
                <w:sz w:val="24"/>
              </w:rPr>
            </w:pPr>
            <w:r>
              <w:rPr>
                <w:b/>
                <w:sz w:val="24"/>
              </w:rPr>
              <w:t>Approved</w:t>
            </w:r>
          </w:p>
        </w:tc>
      </w:tr>
      <w:tr w:rsidR="00A23AF3" w:rsidTr="00A23AF3" w14:paraId="79693679" w14:textId="77777777">
        <w:trPr>
          <w:trHeight w:val="323"/>
        </w:trPr>
        <w:tc>
          <w:tcPr>
            <w:tcW w:w="4499" w:type="dxa"/>
            <w:tcBorders>
              <w:top w:val="single" w:color="auto" w:sz="4" w:space="0"/>
              <w:left w:val="single" w:color="auto" w:sz="4" w:space="0"/>
              <w:bottom w:val="nil"/>
            </w:tcBorders>
          </w:tcPr>
          <w:p w:rsidR="00A23AF3" w:rsidP="005B672E" w:rsidRDefault="00A23AF3" w14:paraId="653A399F" w14:textId="77777777">
            <w:pPr>
              <w:pStyle w:val="TableParagraph"/>
              <w:spacing w:before="59"/>
              <w:ind w:left="162" w:right="148"/>
              <w:jc w:val="left"/>
              <w:rPr>
                <w:sz w:val="24"/>
              </w:rPr>
            </w:pPr>
            <w:r w:rsidRPr="00BF683D">
              <w:rPr>
                <w:sz w:val="24"/>
              </w:rPr>
              <w:t>2018 Ex-Ante Savings True Up</w:t>
            </w:r>
          </w:p>
        </w:tc>
        <w:tc>
          <w:tcPr>
            <w:tcW w:w="1707" w:type="dxa"/>
            <w:tcBorders>
              <w:top w:val="single" w:color="auto" w:sz="4" w:space="0"/>
              <w:bottom w:val="nil"/>
            </w:tcBorders>
            <w:vAlign w:val="center"/>
          </w:tcPr>
          <w:p w:rsidRPr="00111F36" w:rsidR="00A23AF3" w:rsidP="00A23AF3" w:rsidRDefault="00A23AF3" w14:paraId="05C18466" w14:textId="77777777">
            <w:pPr>
              <w:pStyle w:val="TableParagraph"/>
              <w:spacing w:line="288" w:lineRule="exact"/>
              <w:ind w:right="96"/>
              <w:rPr>
                <w:sz w:val="24"/>
                <w:szCs w:val="24"/>
              </w:rPr>
            </w:pPr>
            <w:r w:rsidRPr="00111F36">
              <w:rPr>
                <w:rFonts w:cs="Calibri"/>
                <w:color w:val="FF0000"/>
                <w:sz w:val="24"/>
                <w:szCs w:val="24"/>
              </w:rPr>
              <w:t>($4,049)</w:t>
            </w:r>
          </w:p>
        </w:tc>
        <w:tc>
          <w:tcPr>
            <w:tcW w:w="1717" w:type="dxa"/>
            <w:tcBorders>
              <w:top w:val="single" w:color="auto" w:sz="4" w:space="0"/>
              <w:bottom w:val="nil"/>
              <w:right w:val="single" w:color="auto" w:sz="4" w:space="0"/>
            </w:tcBorders>
            <w:vAlign w:val="center"/>
          </w:tcPr>
          <w:p w:rsidRPr="00111F36" w:rsidR="00A23AF3" w:rsidP="00A23AF3" w:rsidRDefault="00A23AF3" w14:paraId="6C00E54A" w14:textId="77777777">
            <w:pPr>
              <w:pStyle w:val="TableParagraph"/>
              <w:spacing w:line="288" w:lineRule="exact"/>
              <w:ind w:right="99"/>
              <w:rPr>
                <w:sz w:val="24"/>
                <w:szCs w:val="24"/>
              </w:rPr>
            </w:pPr>
            <w:r w:rsidRPr="00111F36">
              <w:rPr>
                <w:rFonts w:cs="Calibri"/>
                <w:color w:val="FF0000"/>
                <w:sz w:val="24"/>
                <w:szCs w:val="24"/>
              </w:rPr>
              <w:t>($4,049)</w:t>
            </w:r>
          </w:p>
        </w:tc>
      </w:tr>
      <w:tr w:rsidR="00A23AF3" w:rsidTr="00A23AF3" w14:paraId="11A9B8D7" w14:textId="77777777">
        <w:trPr>
          <w:trHeight w:val="287"/>
        </w:trPr>
        <w:tc>
          <w:tcPr>
            <w:tcW w:w="4499" w:type="dxa"/>
            <w:tcBorders>
              <w:top w:val="nil"/>
              <w:left w:val="single" w:color="auto" w:sz="4" w:space="0"/>
              <w:bottom w:val="single" w:color="auto" w:sz="4" w:space="0"/>
            </w:tcBorders>
          </w:tcPr>
          <w:p w:rsidR="00A23AF3" w:rsidP="005B672E" w:rsidRDefault="00A23AF3" w14:paraId="545BC40E" w14:textId="77777777">
            <w:pPr>
              <w:pStyle w:val="TableParagraph"/>
              <w:spacing w:before="59"/>
              <w:ind w:left="162" w:right="148"/>
              <w:jc w:val="left"/>
              <w:rPr>
                <w:sz w:val="24"/>
              </w:rPr>
            </w:pPr>
            <w:r w:rsidRPr="00BF683D">
              <w:rPr>
                <w:sz w:val="24"/>
              </w:rPr>
              <w:t>2018 Codes &amp; Standards True Up</w:t>
            </w:r>
          </w:p>
        </w:tc>
        <w:tc>
          <w:tcPr>
            <w:tcW w:w="1707" w:type="dxa"/>
            <w:tcBorders>
              <w:top w:val="nil"/>
              <w:bottom w:val="single" w:color="auto" w:sz="4" w:space="0"/>
            </w:tcBorders>
            <w:vAlign w:val="center"/>
          </w:tcPr>
          <w:p w:rsidRPr="00BF683D" w:rsidR="00A23AF3" w:rsidP="00A23AF3" w:rsidRDefault="00A23AF3" w14:paraId="5F7D2FEA" w14:textId="77777777">
            <w:pPr>
              <w:pStyle w:val="TableParagraph"/>
              <w:spacing w:line="268" w:lineRule="exact"/>
              <w:ind w:right="94"/>
              <w:rPr>
                <w:sz w:val="24"/>
              </w:rPr>
            </w:pPr>
            <w:r>
              <w:rPr>
                <w:rFonts w:cs="Calibri"/>
                <w:color w:val="000000"/>
                <w:sz w:val="24"/>
              </w:rPr>
              <w:t>$0</w:t>
            </w:r>
            <w:r w:rsidRPr="00111F36">
              <w:rPr>
                <w:rFonts w:cs="Calibri"/>
                <w:color w:val="000000"/>
                <w:sz w:val="24"/>
              </w:rPr>
              <w:t> </w:t>
            </w:r>
          </w:p>
        </w:tc>
        <w:tc>
          <w:tcPr>
            <w:tcW w:w="1717" w:type="dxa"/>
            <w:tcBorders>
              <w:top w:val="nil"/>
              <w:bottom w:val="single" w:color="auto" w:sz="4" w:space="0"/>
              <w:right w:val="single" w:color="auto" w:sz="4" w:space="0"/>
            </w:tcBorders>
            <w:vAlign w:val="center"/>
          </w:tcPr>
          <w:p w:rsidRPr="00BF683D" w:rsidR="00A23AF3" w:rsidP="00A23AF3" w:rsidRDefault="00A23AF3" w14:paraId="60A41440" w14:textId="77777777">
            <w:pPr>
              <w:pStyle w:val="TableParagraph"/>
              <w:spacing w:line="268" w:lineRule="exact"/>
              <w:ind w:right="97"/>
              <w:rPr>
                <w:sz w:val="24"/>
              </w:rPr>
            </w:pPr>
            <w:r w:rsidRPr="00111F36">
              <w:rPr>
                <w:rFonts w:cs="Calibri"/>
                <w:color w:val="FF0000"/>
                <w:sz w:val="24"/>
              </w:rPr>
              <w:t>($1,936)</w:t>
            </w:r>
          </w:p>
        </w:tc>
      </w:tr>
    </w:tbl>
    <w:p w:rsidR="007B31C8" w:rsidRDefault="007B31C8" w14:paraId="001CB0CA" w14:textId="77777777">
      <w:pPr>
        <w:pStyle w:val="BodyText"/>
        <w:spacing w:before="11"/>
        <w:rPr>
          <w:sz w:val="8"/>
        </w:rPr>
      </w:pPr>
    </w:p>
    <w:p w:rsidR="007B31C8" w:rsidRDefault="007B31C8" w14:paraId="42D4402F" w14:textId="77777777">
      <w:pPr>
        <w:pStyle w:val="BodyText"/>
        <w:spacing w:before="10"/>
        <w:rPr>
          <w:sz w:val="17"/>
        </w:rPr>
      </w:pPr>
    </w:p>
    <w:p w:rsidR="007B31C8" w:rsidRDefault="006C3CB7" w14:paraId="63AF2C54" w14:textId="5F3E3DCA">
      <w:pPr>
        <w:pStyle w:val="BodyText"/>
        <w:ind w:left="220"/>
      </w:pPr>
      <w:r>
        <w:t xml:space="preserve">SDG&amp;E’s final </w:t>
      </w:r>
      <w:r w:rsidR="00E372DD">
        <w:t xml:space="preserve">2020 </w:t>
      </w:r>
      <w:r>
        <w:t>award values including all adjustments are shown in Table 14.</w:t>
      </w:r>
    </w:p>
    <w:p w:rsidR="007B31C8" w:rsidRDefault="006C3CB7" w14:paraId="524489E0" w14:textId="71D56165">
      <w:pPr>
        <w:pStyle w:val="BodyText"/>
        <w:spacing w:before="176" w:after="58"/>
        <w:ind w:left="1142" w:right="1158"/>
        <w:jc w:val="center"/>
      </w:pPr>
      <w:r>
        <w:t xml:space="preserve">Table 14: SDG&amp;E </w:t>
      </w:r>
      <w:r w:rsidR="00A23AF3">
        <w:t>20</w:t>
      </w:r>
      <w:r w:rsidR="00E372DD">
        <w:t>20</w:t>
      </w:r>
      <w:r w:rsidR="00A23AF3">
        <w:t xml:space="preserve"> </w:t>
      </w:r>
      <w:r>
        <w:t>ESPI Awards</w:t>
      </w:r>
    </w:p>
    <w:tbl>
      <w:tblPr>
        <w:tblW w:w="0" w:type="auto"/>
        <w:tblInd w:w="9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000"/>
        <w:gridCol w:w="1530"/>
        <w:gridCol w:w="1620"/>
      </w:tblGrid>
      <w:tr w:rsidR="00A23AF3" w:rsidTr="005B672E" w14:paraId="7462D2F0" w14:textId="77777777">
        <w:trPr>
          <w:trHeight w:val="444"/>
        </w:trPr>
        <w:tc>
          <w:tcPr>
            <w:tcW w:w="5000" w:type="dxa"/>
            <w:tcBorders>
              <w:bottom w:val="single" w:color="000000" w:sz="4" w:space="0"/>
            </w:tcBorders>
          </w:tcPr>
          <w:p w:rsidR="00A23AF3" w:rsidP="00A23AF3" w:rsidRDefault="00A23AF3" w14:paraId="1926CF29" w14:textId="77777777">
            <w:pPr>
              <w:pStyle w:val="TableParagraph"/>
              <w:spacing w:before="57"/>
              <w:ind w:left="1582" w:right="1564"/>
              <w:jc w:val="center"/>
              <w:rPr>
                <w:b/>
                <w:sz w:val="24"/>
              </w:rPr>
            </w:pPr>
            <w:r>
              <w:rPr>
                <w:b/>
                <w:sz w:val="24"/>
              </w:rPr>
              <w:t>Component</w:t>
            </w:r>
          </w:p>
        </w:tc>
        <w:tc>
          <w:tcPr>
            <w:tcW w:w="1530" w:type="dxa"/>
            <w:tcBorders>
              <w:bottom w:val="single" w:color="000000" w:sz="4" w:space="0"/>
            </w:tcBorders>
          </w:tcPr>
          <w:p w:rsidR="00A23AF3" w:rsidP="00A23AF3" w:rsidRDefault="00A23AF3" w14:paraId="00E61ACF" w14:textId="77777777">
            <w:pPr>
              <w:pStyle w:val="TableParagraph"/>
              <w:spacing w:before="57"/>
              <w:ind w:left="275"/>
              <w:jc w:val="left"/>
              <w:rPr>
                <w:b/>
                <w:sz w:val="24"/>
              </w:rPr>
            </w:pPr>
            <w:r>
              <w:rPr>
                <w:b/>
                <w:sz w:val="24"/>
              </w:rPr>
              <w:t>Requested</w:t>
            </w:r>
          </w:p>
        </w:tc>
        <w:tc>
          <w:tcPr>
            <w:tcW w:w="1620" w:type="dxa"/>
            <w:tcBorders>
              <w:bottom w:val="single" w:color="000000" w:sz="4" w:space="0"/>
            </w:tcBorders>
          </w:tcPr>
          <w:p w:rsidR="00A23AF3" w:rsidP="00A23AF3" w:rsidRDefault="00A23AF3" w14:paraId="169F328C" w14:textId="77777777">
            <w:pPr>
              <w:pStyle w:val="TableParagraph"/>
              <w:spacing w:before="57"/>
              <w:ind w:left="297"/>
              <w:jc w:val="left"/>
              <w:rPr>
                <w:b/>
                <w:sz w:val="24"/>
              </w:rPr>
            </w:pPr>
            <w:r>
              <w:rPr>
                <w:b/>
                <w:sz w:val="24"/>
              </w:rPr>
              <w:t>Approved</w:t>
            </w:r>
          </w:p>
        </w:tc>
      </w:tr>
      <w:tr w:rsidR="00A23AF3" w:rsidTr="005B672E" w14:paraId="43FA4069" w14:textId="77777777">
        <w:trPr>
          <w:trHeight w:val="360"/>
        </w:trPr>
        <w:tc>
          <w:tcPr>
            <w:tcW w:w="5000" w:type="dxa"/>
            <w:tcBorders>
              <w:top w:val="single" w:color="000000" w:sz="4" w:space="0"/>
              <w:left w:val="single" w:color="000000" w:sz="4" w:space="0"/>
              <w:bottom w:val="nil"/>
              <w:right w:val="single" w:color="000000" w:sz="4" w:space="0"/>
            </w:tcBorders>
            <w:vAlign w:val="center"/>
          </w:tcPr>
          <w:p w:rsidRPr="006D66E8" w:rsidR="00A23AF3" w:rsidP="005B672E" w:rsidRDefault="00A23AF3" w14:paraId="0E4341BB" w14:textId="77777777">
            <w:pPr>
              <w:pStyle w:val="TableParagraph"/>
              <w:spacing w:before="59"/>
              <w:ind w:left="162" w:right="148"/>
              <w:jc w:val="both"/>
              <w:rPr>
                <w:sz w:val="24"/>
              </w:rPr>
            </w:pPr>
            <w:r w:rsidRPr="005B672E">
              <w:rPr>
                <w:sz w:val="24"/>
              </w:rPr>
              <w:t xml:space="preserve">2018 Ex-Post Savings </w:t>
            </w:r>
          </w:p>
        </w:tc>
        <w:tc>
          <w:tcPr>
            <w:tcW w:w="1530" w:type="dxa"/>
            <w:tcBorders>
              <w:top w:val="single" w:color="000000" w:sz="4" w:space="0"/>
              <w:left w:val="single" w:color="000000" w:sz="4" w:space="0"/>
              <w:bottom w:val="nil"/>
              <w:right w:val="single" w:color="000000" w:sz="4" w:space="0"/>
            </w:tcBorders>
            <w:vAlign w:val="center"/>
          </w:tcPr>
          <w:p w:rsidRPr="00111F36" w:rsidR="00A23AF3" w:rsidP="00A23AF3" w:rsidRDefault="00A23AF3" w14:paraId="453D5A75" w14:textId="77777777">
            <w:pPr>
              <w:pStyle w:val="TableParagraph"/>
              <w:ind w:right="93"/>
              <w:rPr>
                <w:sz w:val="24"/>
                <w:szCs w:val="24"/>
              </w:rPr>
            </w:pPr>
            <w:r w:rsidRPr="00111F36">
              <w:rPr>
                <w:rFonts w:cs="Calibri"/>
                <w:color w:val="000000"/>
                <w:sz w:val="24"/>
                <w:szCs w:val="24"/>
              </w:rPr>
              <w:t xml:space="preserve">$1,849,154 </w:t>
            </w:r>
          </w:p>
        </w:tc>
        <w:tc>
          <w:tcPr>
            <w:tcW w:w="1620" w:type="dxa"/>
            <w:tcBorders>
              <w:top w:val="single" w:color="000000" w:sz="4" w:space="0"/>
              <w:left w:val="single" w:color="000000" w:sz="4" w:space="0"/>
              <w:bottom w:val="nil"/>
              <w:right w:val="single" w:color="000000" w:sz="4" w:space="0"/>
            </w:tcBorders>
            <w:vAlign w:val="center"/>
          </w:tcPr>
          <w:p w:rsidRPr="00E1680F" w:rsidR="00A23AF3" w:rsidP="00A23AF3" w:rsidRDefault="00A23AF3" w14:paraId="5DC404D5" w14:textId="220658ED">
            <w:pPr>
              <w:pStyle w:val="TableParagraph"/>
              <w:ind w:right="93"/>
              <w:rPr>
                <w:sz w:val="24"/>
                <w:szCs w:val="24"/>
              </w:rPr>
            </w:pPr>
            <w:r w:rsidRPr="00E1680F">
              <w:rPr>
                <w:rFonts w:cs="Calibri"/>
                <w:color w:val="000000"/>
                <w:sz w:val="24"/>
                <w:szCs w:val="24"/>
              </w:rPr>
              <w:t>$1,</w:t>
            </w:r>
            <w:r w:rsidRPr="00E1680F" w:rsidR="00E1680F">
              <w:rPr>
                <w:rFonts w:cs="Calibri"/>
                <w:color w:val="000000"/>
                <w:sz w:val="24"/>
                <w:szCs w:val="24"/>
              </w:rPr>
              <w:t>977,891</w:t>
            </w:r>
            <w:r w:rsidRPr="00E1680F">
              <w:rPr>
                <w:rFonts w:cs="Calibri"/>
                <w:color w:val="000000"/>
                <w:sz w:val="24"/>
                <w:szCs w:val="24"/>
              </w:rPr>
              <w:t xml:space="preserve"> </w:t>
            </w:r>
          </w:p>
        </w:tc>
      </w:tr>
      <w:tr w:rsidR="00A23AF3" w:rsidTr="005B672E" w14:paraId="4BF630B6" w14:textId="77777777">
        <w:trPr>
          <w:trHeight w:val="324"/>
        </w:trPr>
        <w:tc>
          <w:tcPr>
            <w:tcW w:w="5000" w:type="dxa"/>
            <w:tcBorders>
              <w:top w:val="nil"/>
              <w:left w:val="single" w:color="000000" w:sz="4" w:space="0"/>
              <w:bottom w:val="nil"/>
              <w:right w:val="single" w:color="000000" w:sz="4" w:space="0"/>
            </w:tcBorders>
            <w:vAlign w:val="center"/>
          </w:tcPr>
          <w:p w:rsidRPr="006D66E8" w:rsidR="00A23AF3" w:rsidP="005B672E" w:rsidRDefault="00A23AF3" w14:paraId="7285DE99" w14:textId="77777777">
            <w:pPr>
              <w:pStyle w:val="TableParagraph"/>
              <w:spacing w:before="59"/>
              <w:ind w:left="162" w:right="148"/>
              <w:jc w:val="both"/>
              <w:rPr>
                <w:sz w:val="24"/>
              </w:rPr>
            </w:pPr>
            <w:r w:rsidRPr="005B672E">
              <w:rPr>
                <w:sz w:val="24"/>
              </w:rPr>
              <w:t xml:space="preserve">2019 Ex-Ante Savings </w:t>
            </w:r>
          </w:p>
        </w:tc>
        <w:tc>
          <w:tcPr>
            <w:tcW w:w="1530" w:type="dxa"/>
            <w:tcBorders>
              <w:top w:val="nil"/>
              <w:left w:val="single" w:color="000000" w:sz="4" w:space="0"/>
              <w:bottom w:val="nil"/>
              <w:right w:val="single" w:color="000000" w:sz="4" w:space="0"/>
            </w:tcBorders>
            <w:vAlign w:val="center"/>
          </w:tcPr>
          <w:p w:rsidRPr="00111F36" w:rsidR="00A23AF3" w:rsidP="00A23AF3" w:rsidRDefault="00A23AF3" w14:paraId="14B98759" w14:textId="77777777">
            <w:pPr>
              <w:pStyle w:val="TableParagraph"/>
              <w:spacing w:line="288" w:lineRule="exact"/>
              <w:ind w:right="93"/>
              <w:rPr>
                <w:sz w:val="24"/>
                <w:szCs w:val="24"/>
              </w:rPr>
            </w:pPr>
            <w:r w:rsidRPr="00111F36">
              <w:rPr>
                <w:rFonts w:cs="Calibri"/>
                <w:color w:val="000000"/>
                <w:sz w:val="24"/>
                <w:szCs w:val="24"/>
              </w:rPr>
              <w:t xml:space="preserve">$121,186 </w:t>
            </w:r>
          </w:p>
        </w:tc>
        <w:tc>
          <w:tcPr>
            <w:tcW w:w="1620" w:type="dxa"/>
            <w:tcBorders>
              <w:top w:val="nil"/>
              <w:left w:val="single" w:color="000000" w:sz="4" w:space="0"/>
              <w:bottom w:val="nil"/>
              <w:right w:val="single" w:color="000000" w:sz="4" w:space="0"/>
            </w:tcBorders>
            <w:vAlign w:val="center"/>
          </w:tcPr>
          <w:p w:rsidRPr="00E1680F" w:rsidR="00A23AF3" w:rsidP="00A23AF3" w:rsidRDefault="00A23AF3" w14:paraId="2C8A2D3C" w14:textId="77777777">
            <w:pPr>
              <w:pStyle w:val="TableParagraph"/>
              <w:spacing w:line="288" w:lineRule="exact"/>
              <w:ind w:right="93"/>
              <w:rPr>
                <w:sz w:val="24"/>
                <w:szCs w:val="24"/>
              </w:rPr>
            </w:pPr>
            <w:r w:rsidRPr="00E1680F">
              <w:rPr>
                <w:rFonts w:cs="Calibri"/>
                <w:color w:val="000000"/>
                <w:sz w:val="24"/>
                <w:szCs w:val="24"/>
              </w:rPr>
              <w:t xml:space="preserve">$120,634 </w:t>
            </w:r>
          </w:p>
        </w:tc>
      </w:tr>
      <w:tr w:rsidR="00A23AF3" w:rsidTr="005B672E" w14:paraId="66647024" w14:textId="77777777">
        <w:trPr>
          <w:trHeight w:val="324"/>
        </w:trPr>
        <w:tc>
          <w:tcPr>
            <w:tcW w:w="5000" w:type="dxa"/>
            <w:tcBorders>
              <w:top w:val="nil"/>
              <w:left w:val="single" w:color="000000" w:sz="4" w:space="0"/>
              <w:bottom w:val="nil"/>
              <w:right w:val="single" w:color="000000" w:sz="4" w:space="0"/>
            </w:tcBorders>
            <w:vAlign w:val="center"/>
          </w:tcPr>
          <w:p w:rsidRPr="006D66E8" w:rsidR="00A23AF3" w:rsidP="005B672E" w:rsidRDefault="00A23AF3" w14:paraId="3EB78EC2" w14:textId="77777777">
            <w:pPr>
              <w:pStyle w:val="TableParagraph"/>
              <w:spacing w:before="59"/>
              <w:ind w:left="162" w:right="148"/>
              <w:jc w:val="both"/>
              <w:rPr>
                <w:sz w:val="24"/>
              </w:rPr>
            </w:pPr>
            <w:r w:rsidRPr="005B672E">
              <w:rPr>
                <w:sz w:val="24"/>
              </w:rPr>
              <w:t xml:space="preserve">2019 Ex-Ante Review Performance </w:t>
            </w:r>
          </w:p>
        </w:tc>
        <w:tc>
          <w:tcPr>
            <w:tcW w:w="1530" w:type="dxa"/>
            <w:tcBorders>
              <w:top w:val="nil"/>
              <w:left w:val="single" w:color="000000" w:sz="4" w:space="0"/>
              <w:bottom w:val="nil"/>
              <w:right w:val="single" w:color="000000" w:sz="4" w:space="0"/>
            </w:tcBorders>
            <w:vAlign w:val="center"/>
          </w:tcPr>
          <w:p w:rsidRPr="00111F36" w:rsidR="00A23AF3" w:rsidP="00A23AF3" w:rsidRDefault="00A23AF3" w14:paraId="22EC7DBF" w14:textId="77777777">
            <w:pPr>
              <w:pStyle w:val="TableParagraph"/>
              <w:spacing w:line="288" w:lineRule="exact"/>
              <w:ind w:right="93"/>
              <w:rPr>
                <w:sz w:val="24"/>
                <w:szCs w:val="24"/>
              </w:rPr>
            </w:pPr>
            <w:r w:rsidRPr="00111F36">
              <w:rPr>
                <w:rFonts w:cs="Calibri"/>
                <w:color w:val="000000"/>
                <w:sz w:val="24"/>
                <w:szCs w:val="24"/>
              </w:rPr>
              <w:t xml:space="preserve">$858,796 </w:t>
            </w:r>
          </w:p>
        </w:tc>
        <w:tc>
          <w:tcPr>
            <w:tcW w:w="1620" w:type="dxa"/>
            <w:tcBorders>
              <w:top w:val="nil"/>
              <w:left w:val="single" w:color="000000" w:sz="4" w:space="0"/>
              <w:bottom w:val="nil"/>
              <w:right w:val="single" w:color="000000" w:sz="4" w:space="0"/>
            </w:tcBorders>
            <w:vAlign w:val="center"/>
          </w:tcPr>
          <w:p w:rsidRPr="00E1680F" w:rsidR="00A23AF3" w:rsidP="00A23AF3" w:rsidRDefault="00A23AF3" w14:paraId="65A0D6FC" w14:textId="77777777">
            <w:pPr>
              <w:pStyle w:val="TableParagraph"/>
              <w:spacing w:line="288" w:lineRule="exact"/>
              <w:ind w:right="93"/>
              <w:rPr>
                <w:sz w:val="24"/>
                <w:szCs w:val="24"/>
              </w:rPr>
            </w:pPr>
            <w:r w:rsidRPr="00E1680F">
              <w:rPr>
                <w:rFonts w:cs="Calibri"/>
                <w:color w:val="000000"/>
                <w:sz w:val="24"/>
                <w:szCs w:val="24"/>
              </w:rPr>
              <w:t xml:space="preserve">$833,641 </w:t>
            </w:r>
          </w:p>
        </w:tc>
      </w:tr>
      <w:tr w:rsidR="00A23AF3" w:rsidTr="005B672E" w14:paraId="2AF0C8BC" w14:textId="77777777">
        <w:trPr>
          <w:trHeight w:val="323"/>
        </w:trPr>
        <w:tc>
          <w:tcPr>
            <w:tcW w:w="5000" w:type="dxa"/>
            <w:tcBorders>
              <w:top w:val="nil"/>
              <w:left w:val="single" w:color="000000" w:sz="4" w:space="0"/>
              <w:bottom w:val="nil"/>
              <w:right w:val="single" w:color="000000" w:sz="4" w:space="0"/>
            </w:tcBorders>
            <w:vAlign w:val="center"/>
          </w:tcPr>
          <w:p w:rsidRPr="006D66E8" w:rsidR="00A23AF3" w:rsidP="005B672E" w:rsidRDefault="00A23AF3" w14:paraId="362EF2D0" w14:textId="77777777">
            <w:pPr>
              <w:pStyle w:val="TableParagraph"/>
              <w:spacing w:before="59"/>
              <w:ind w:left="162" w:right="148"/>
              <w:jc w:val="both"/>
              <w:rPr>
                <w:sz w:val="24"/>
              </w:rPr>
            </w:pPr>
            <w:r w:rsidRPr="005B672E">
              <w:rPr>
                <w:sz w:val="24"/>
              </w:rPr>
              <w:t xml:space="preserve">2019 Codes &amp; Standards </w:t>
            </w:r>
          </w:p>
        </w:tc>
        <w:tc>
          <w:tcPr>
            <w:tcW w:w="1530" w:type="dxa"/>
            <w:tcBorders>
              <w:top w:val="nil"/>
              <w:left w:val="single" w:color="000000" w:sz="4" w:space="0"/>
              <w:bottom w:val="nil"/>
              <w:right w:val="single" w:color="000000" w:sz="4" w:space="0"/>
            </w:tcBorders>
            <w:vAlign w:val="center"/>
          </w:tcPr>
          <w:p w:rsidRPr="00111F36" w:rsidR="00A23AF3" w:rsidP="00A23AF3" w:rsidRDefault="00A23AF3" w14:paraId="4225F851" w14:textId="77777777">
            <w:pPr>
              <w:pStyle w:val="TableParagraph"/>
              <w:spacing w:line="288" w:lineRule="exact"/>
              <w:ind w:right="93"/>
              <w:rPr>
                <w:sz w:val="24"/>
                <w:szCs w:val="24"/>
              </w:rPr>
            </w:pPr>
            <w:r w:rsidRPr="00111F36">
              <w:rPr>
                <w:rFonts w:cs="Calibri"/>
                <w:color w:val="000000"/>
                <w:sz w:val="24"/>
                <w:szCs w:val="24"/>
              </w:rPr>
              <w:t xml:space="preserve">$129,905 </w:t>
            </w:r>
          </w:p>
        </w:tc>
        <w:tc>
          <w:tcPr>
            <w:tcW w:w="1620" w:type="dxa"/>
            <w:tcBorders>
              <w:top w:val="nil"/>
              <w:left w:val="single" w:color="000000" w:sz="4" w:space="0"/>
              <w:bottom w:val="nil"/>
              <w:right w:val="single" w:color="000000" w:sz="4" w:space="0"/>
            </w:tcBorders>
            <w:vAlign w:val="center"/>
          </w:tcPr>
          <w:p w:rsidRPr="00E1680F" w:rsidR="00A23AF3" w:rsidP="00A23AF3" w:rsidRDefault="00A23AF3" w14:paraId="45B424B3" w14:textId="77777777">
            <w:pPr>
              <w:pStyle w:val="TableParagraph"/>
              <w:spacing w:line="288" w:lineRule="exact"/>
              <w:ind w:right="93"/>
              <w:rPr>
                <w:sz w:val="24"/>
                <w:szCs w:val="24"/>
              </w:rPr>
            </w:pPr>
            <w:r w:rsidRPr="00E1680F">
              <w:rPr>
                <w:rFonts w:cs="Calibri"/>
                <w:color w:val="000000"/>
                <w:sz w:val="24"/>
                <w:szCs w:val="24"/>
              </w:rPr>
              <w:t xml:space="preserve">$129,905 </w:t>
            </w:r>
          </w:p>
        </w:tc>
      </w:tr>
      <w:tr w:rsidR="00A23AF3" w:rsidTr="005B672E" w14:paraId="1F392B6E" w14:textId="77777777">
        <w:trPr>
          <w:trHeight w:val="323"/>
        </w:trPr>
        <w:tc>
          <w:tcPr>
            <w:tcW w:w="5000" w:type="dxa"/>
            <w:tcBorders>
              <w:top w:val="nil"/>
              <w:left w:val="single" w:color="000000" w:sz="4" w:space="0"/>
              <w:bottom w:val="nil"/>
              <w:right w:val="single" w:color="000000" w:sz="4" w:space="0"/>
            </w:tcBorders>
            <w:vAlign w:val="center"/>
          </w:tcPr>
          <w:p w:rsidRPr="006D66E8" w:rsidR="00A23AF3" w:rsidP="005B672E" w:rsidRDefault="00A23AF3" w14:paraId="7251A8BD" w14:textId="77777777">
            <w:pPr>
              <w:pStyle w:val="TableParagraph"/>
              <w:spacing w:before="59"/>
              <w:ind w:left="162" w:right="148"/>
              <w:jc w:val="both"/>
              <w:rPr>
                <w:sz w:val="24"/>
              </w:rPr>
            </w:pPr>
            <w:r w:rsidRPr="005B672E">
              <w:rPr>
                <w:sz w:val="24"/>
              </w:rPr>
              <w:t>2019 Non-Resource</w:t>
            </w:r>
          </w:p>
        </w:tc>
        <w:tc>
          <w:tcPr>
            <w:tcW w:w="1530" w:type="dxa"/>
            <w:tcBorders>
              <w:top w:val="nil"/>
              <w:left w:val="single" w:color="000000" w:sz="4" w:space="0"/>
              <w:bottom w:val="nil"/>
              <w:right w:val="single" w:color="000000" w:sz="4" w:space="0"/>
            </w:tcBorders>
            <w:vAlign w:val="center"/>
          </w:tcPr>
          <w:p w:rsidRPr="00111F36" w:rsidR="00A23AF3" w:rsidP="00A23AF3" w:rsidRDefault="00A23AF3" w14:paraId="41C34FB3" w14:textId="77777777">
            <w:pPr>
              <w:pStyle w:val="TableParagraph"/>
              <w:spacing w:line="288" w:lineRule="exact"/>
              <w:ind w:right="93"/>
              <w:rPr>
                <w:sz w:val="24"/>
                <w:szCs w:val="24"/>
              </w:rPr>
            </w:pPr>
            <w:r w:rsidRPr="00111F36">
              <w:rPr>
                <w:rFonts w:cs="Calibri"/>
                <w:color w:val="000000"/>
                <w:sz w:val="24"/>
                <w:szCs w:val="24"/>
              </w:rPr>
              <w:t xml:space="preserve">$205,147 </w:t>
            </w:r>
          </w:p>
        </w:tc>
        <w:tc>
          <w:tcPr>
            <w:tcW w:w="1620" w:type="dxa"/>
            <w:tcBorders>
              <w:top w:val="nil"/>
              <w:left w:val="single" w:color="000000" w:sz="4" w:space="0"/>
              <w:bottom w:val="nil"/>
              <w:right w:val="single" w:color="000000" w:sz="4" w:space="0"/>
            </w:tcBorders>
            <w:vAlign w:val="center"/>
          </w:tcPr>
          <w:p w:rsidRPr="00E1680F" w:rsidR="00A23AF3" w:rsidP="00A23AF3" w:rsidRDefault="00A23AF3" w14:paraId="7CD5555F" w14:textId="77777777">
            <w:pPr>
              <w:pStyle w:val="TableParagraph"/>
              <w:spacing w:line="288" w:lineRule="exact"/>
              <w:ind w:right="93"/>
              <w:rPr>
                <w:sz w:val="24"/>
                <w:szCs w:val="24"/>
              </w:rPr>
            </w:pPr>
            <w:r w:rsidRPr="00E1680F">
              <w:rPr>
                <w:rFonts w:cs="Calibri"/>
                <w:color w:val="000000"/>
                <w:sz w:val="24"/>
                <w:szCs w:val="24"/>
              </w:rPr>
              <w:t xml:space="preserve">$227,461 </w:t>
            </w:r>
          </w:p>
        </w:tc>
      </w:tr>
      <w:tr w:rsidRPr="00BF683D" w:rsidR="00A23AF3" w:rsidTr="005B672E" w14:paraId="5B67A707" w14:textId="77777777">
        <w:trPr>
          <w:trHeight w:val="287"/>
        </w:trPr>
        <w:tc>
          <w:tcPr>
            <w:tcW w:w="5000" w:type="dxa"/>
            <w:tcBorders>
              <w:top w:val="nil"/>
              <w:left w:val="single" w:color="000000" w:sz="4" w:space="0"/>
              <w:bottom w:val="nil"/>
              <w:right w:val="single" w:color="000000" w:sz="4" w:space="0"/>
            </w:tcBorders>
            <w:vAlign w:val="center"/>
          </w:tcPr>
          <w:p w:rsidRPr="00F524E2" w:rsidR="00A23AF3" w:rsidP="00F524E2" w:rsidRDefault="00A23AF3" w14:paraId="11A2AFE4" w14:textId="77777777">
            <w:pPr>
              <w:pStyle w:val="TableParagraph"/>
              <w:spacing w:before="59"/>
              <w:ind w:left="162" w:right="148"/>
              <w:jc w:val="both"/>
              <w:rPr>
                <w:sz w:val="24"/>
              </w:rPr>
            </w:pPr>
            <w:r w:rsidRPr="00F524E2">
              <w:rPr>
                <w:sz w:val="24"/>
              </w:rPr>
              <w:t>2018 Ex-Ante Savings True Up</w:t>
            </w:r>
          </w:p>
        </w:tc>
        <w:tc>
          <w:tcPr>
            <w:tcW w:w="1530" w:type="dxa"/>
            <w:tcBorders>
              <w:top w:val="nil"/>
              <w:left w:val="single" w:color="000000" w:sz="4" w:space="0"/>
              <w:bottom w:val="nil"/>
              <w:right w:val="single" w:color="000000" w:sz="4" w:space="0"/>
            </w:tcBorders>
          </w:tcPr>
          <w:p w:rsidRPr="00F524E2" w:rsidR="00A23AF3" w:rsidP="00A23AF3" w:rsidRDefault="00A23AF3" w14:paraId="29428071" w14:textId="77777777">
            <w:pPr>
              <w:pStyle w:val="TableParagraph"/>
              <w:spacing w:line="268" w:lineRule="exact"/>
              <w:ind w:right="93"/>
              <w:rPr>
                <w:rFonts w:cs="Calibri"/>
                <w:color w:val="FF0000"/>
                <w:sz w:val="24"/>
              </w:rPr>
            </w:pPr>
            <w:r w:rsidRPr="00F524E2">
              <w:rPr>
                <w:rFonts w:cs="Calibri"/>
                <w:color w:val="FF0000"/>
                <w:sz w:val="24"/>
              </w:rPr>
              <w:t>($4,049)</w:t>
            </w:r>
          </w:p>
        </w:tc>
        <w:tc>
          <w:tcPr>
            <w:tcW w:w="1620" w:type="dxa"/>
            <w:tcBorders>
              <w:top w:val="nil"/>
              <w:left w:val="single" w:color="000000" w:sz="4" w:space="0"/>
              <w:bottom w:val="nil"/>
              <w:right w:val="single" w:color="000000" w:sz="4" w:space="0"/>
            </w:tcBorders>
            <w:vAlign w:val="center"/>
          </w:tcPr>
          <w:p w:rsidRPr="00E1680F" w:rsidR="00A23AF3" w:rsidP="00A23AF3" w:rsidRDefault="00A23AF3" w14:paraId="774634E2" w14:textId="77777777">
            <w:pPr>
              <w:pStyle w:val="TableParagraph"/>
              <w:spacing w:line="268" w:lineRule="exact"/>
              <w:ind w:right="93"/>
              <w:rPr>
                <w:rFonts w:cs="Calibri"/>
                <w:color w:val="FF0000"/>
                <w:sz w:val="24"/>
                <w:szCs w:val="24"/>
              </w:rPr>
            </w:pPr>
            <w:r w:rsidRPr="00E1680F">
              <w:rPr>
                <w:rFonts w:cs="Calibri"/>
                <w:color w:val="FF0000"/>
                <w:sz w:val="24"/>
                <w:szCs w:val="24"/>
              </w:rPr>
              <w:t>($4,049)</w:t>
            </w:r>
          </w:p>
        </w:tc>
      </w:tr>
      <w:tr w:rsidRPr="00BF683D" w:rsidR="00A23AF3" w:rsidTr="005B672E" w14:paraId="1C54B5FF" w14:textId="77777777">
        <w:trPr>
          <w:trHeight w:val="287"/>
        </w:trPr>
        <w:tc>
          <w:tcPr>
            <w:tcW w:w="5000" w:type="dxa"/>
            <w:tcBorders>
              <w:top w:val="nil"/>
              <w:left w:val="single" w:color="000000" w:sz="4" w:space="0"/>
              <w:bottom w:val="nil"/>
              <w:right w:val="single" w:color="000000" w:sz="4" w:space="0"/>
            </w:tcBorders>
            <w:vAlign w:val="center"/>
          </w:tcPr>
          <w:p w:rsidRPr="00F524E2" w:rsidR="00A23AF3" w:rsidP="00F524E2" w:rsidRDefault="00A23AF3" w14:paraId="2359D4A4" w14:textId="77777777">
            <w:pPr>
              <w:pStyle w:val="TableParagraph"/>
              <w:spacing w:before="59"/>
              <w:ind w:left="162" w:right="148"/>
              <w:jc w:val="both"/>
              <w:rPr>
                <w:sz w:val="24"/>
              </w:rPr>
            </w:pPr>
            <w:r w:rsidRPr="00F524E2">
              <w:rPr>
                <w:sz w:val="24"/>
              </w:rPr>
              <w:t>2018 Codes &amp; Standards True Up</w:t>
            </w:r>
          </w:p>
        </w:tc>
        <w:tc>
          <w:tcPr>
            <w:tcW w:w="1530" w:type="dxa"/>
            <w:tcBorders>
              <w:top w:val="nil"/>
              <w:left w:val="single" w:color="000000" w:sz="4" w:space="0"/>
              <w:bottom w:val="nil"/>
              <w:right w:val="single" w:color="000000" w:sz="4" w:space="0"/>
            </w:tcBorders>
          </w:tcPr>
          <w:p w:rsidRPr="00A23AF3" w:rsidR="00A23AF3" w:rsidP="00A23AF3" w:rsidRDefault="00A23AF3" w14:paraId="483F6C8C" w14:textId="77777777">
            <w:pPr>
              <w:pStyle w:val="TableParagraph"/>
              <w:spacing w:line="268" w:lineRule="exact"/>
              <w:ind w:right="93"/>
              <w:rPr>
                <w:rFonts w:cs="Calibri"/>
                <w:color w:val="000000"/>
                <w:sz w:val="24"/>
              </w:rPr>
            </w:pPr>
            <w:r w:rsidRPr="00533A89">
              <w:rPr>
                <w:rFonts w:cs="Calibri"/>
                <w:color w:val="000000"/>
                <w:sz w:val="24"/>
              </w:rPr>
              <w:t xml:space="preserve">$0 </w:t>
            </w:r>
          </w:p>
        </w:tc>
        <w:tc>
          <w:tcPr>
            <w:tcW w:w="1620" w:type="dxa"/>
            <w:tcBorders>
              <w:top w:val="nil"/>
              <w:left w:val="single" w:color="000000" w:sz="4" w:space="0"/>
              <w:bottom w:val="nil"/>
              <w:right w:val="single" w:color="000000" w:sz="4" w:space="0"/>
            </w:tcBorders>
            <w:vAlign w:val="center"/>
          </w:tcPr>
          <w:p w:rsidRPr="00E1680F" w:rsidR="00A23AF3" w:rsidP="00A23AF3" w:rsidRDefault="00A23AF3" w14:paraId="44340FF3" w14:textId="77777777">
            <w:pPr>
              <w:pStyle w:val="TableParagraph"/>
              <w:spacing w:line="268" w:lineRule="exact"/>
              <w:ind w:right="93"/>
              <w:rPr>
                <w:rFonts w:cs="Calibri"/>
                <w:color w:val="FF0000"/>
                <w:sz w:val="24"/>
                <w:szCs w:val="24"/>
              </w:rPr>
            </w:pPr>
            <w:r w:rsidRPr="00E1680F">
              <w:rPr>
                <w:rFonts w:cs="Calibri"/>
                <w:color w:val="FF0000"/>
                <w:sz w:val="24"/>
                <w:szCs w:val="24"/>
              </w:rPr>
              <w:t>($1,936)</w:t>
            </w:r>
          </w:p>
        </w:tc>
      </w:tr>
      <w:tr w:rsidRPr="00BF683D" w:rsidR="00E372DD" w:rsidTr="005B672E" w14:paraId="69CDA362" w14:textId="77777777">
        <w:trPr>
          <w:trHeight w:val="287"/>
        </w:trPr>
        <w:tc>
          <w:tcPr>
            <w:tcW w:w="5000" w:type="dxa"/>
            <w:tcBorders>
              <w:top w:val="single" w:color="auto" w:sz="4" w:space="0"/>
              <w:left w:val="single" w:color="auto" w:sz="4" w:space="0"/>
              <w:bottom w:val="single" w:color="auto" w:sz="4" w:space="0"/>
              <w:right w:val="single" w:color="000000" w:sz="4" w:space="0"/>
            </w:tcBorders>
          </w:tcPr>
          <w:p w:rsidRPr="00111F36" w:rsidR="00E372DD" w:rsidP="00F524E2" w:rsidRDefault="00E372DD" w14:paraId="4ACF35AB" w14:textId="4C8D9CB8">
            <w:pPr>
              <w:pStyle w:val="TableParagraph"/>
              <w:spacing w:line="268" w:lineRule="exact"/>
              <w:ind w:left="112"/>
              <w:jc w:val="center"/>
              <w:rPr>
                <w:rFonts w:cs="Calibri"/>
                <w:color w:val="000000"/>
                <w:sz w:val="24"/>
                <w:szCs w:val="24"/>
              </w:rPr>
            </w:pPr>
            <w:r>
              <w:rPr>
                <w:b/>
                <w:sz w:val="24"/>
              </w:rPr>
              <w:t>Total Payment</w:t>
            </w:r>
          </w:p>
        </w:tc>
        <w:tc>
          <w:tcPr>
            <w:tcW w:w="1530" w:type="dxa"/>
            <w:tcBorders>
              <w:top w:val="single" w:color="auto" w:sz="4" w:space="0"/>
              <w:left w:val="single" w:color="000000" w:sz="4" w:space="0"/>
              <w:bottom w:val="single" w:color="auto" w:sz="4" w:space="0"/>
              <w:right w:val="single" w:color="000000" w:sz="4" w:space="0"/>
            </w:tcBorders>
            <w:vAlign w:val="bottom"/>
          </w:tcPr>
          <w:p w:rsidRPr="006C667E" w:rsidR="00E372DD" w:rsidP="00E372DD" w:rsidRDefault="00E372DD" w14:paraId="0A4AC0E2" w14:textId="6FC20F2A">
            <w:pPr>
              <w:pStyle w:val="TableParagraph"/>
              <w:spacing w:line="268" w:lineRule="exact"/>
              <w:ind w:right="93"/>
              <w:rPr>
                <w:rFonts w:cs="Calibri"/>
                <w:color w:val="000000"/>
                <w:sz w:val="24"/>
              </w:rPr>
            </w:pPr>
            <w:r w:rsidRPr="00111F36">
              <w:rPr>
                <w:rFonts w:cs="Calibri"/>
                <w:b/>
                <w:bCs/>
                <w:color w:val="000000"/>
                <w:sz w:val="24"/>
                <w:szCs w:val="24"/>
              </w:rPr>
              <w:t xml:space="preserve">$3,160,139 </w:t>
            </w:r>
          </w:p>
        </w:tc>
        <w:tc>
          <w:tcPr>
            <w:tcW w:w="1620" w:type="dxa"/>
            <w:tcBorders>
              <w:top w:val="single" w:color="auto" w:sz="4" w:space="0"/>
              <w:left w:val="single" w:color="000000" w:sz="4" w:space="0"/>
              <w:bottom w:val="single" w:color="auto" w:sz="4" w:space="0"/>
              <w:right w:val="single" w:color="auto" w:sz="4" w:space="0"/>
            </w:tcBorders>
            <w:vAlign w:val="bottom"/>
          </w:tcPr>
          <w:p w:rsidRPr="00E1680F" w:rsidR="00E372DD" w:rsidP="00E372DD" w:rsidRDefault="00E372DD" w14:paraId="70D656D2" w14:textId="688E520A">
            <w:pPr>
              <w:pStyle w:val="TableParagraph"/>
              <w:spacing w:line="268" w:lineRule="exact"/>
              <w:ind w:right="93"/>
              <w:rPr>
                <w:rFonts w:cs="Calibri"/>
                <w:color w:val="000000"/>
                <w:sz w:val="24"/>
                <w:szCs w:val="24"/>
              </w:rPr>
            </w:pPr>
            <w:r w:rsidRPr="00E1680F">
              <w:rPr>
                <w:rFonts w:cs="Calibri"/>
                <w:b/>
                <w:bCs/>
                <w:color w:val="000000"/>
                <w:sz w:val="24"/>
                <w:szCs w:val="24"/>
              </w:rPr>
              <w:t>$3,</w:t>
            </w:r>
            <w:r w:rsidRPr="00E1680F" w:rsidR="00E1680F">
              <w:rPr>
                <w:rFonts w:cs="Calibri"/>
                <w:b/>
                <w:bCs/>
                <w:color w:val="000000"/>
                <w:sz w:val="24"/>
                <w:szCs w:val="24"/>
              </w:rPr>
              <w:t>283,547</w:t>
            </w:r>
          </w:p>
        </w:tc>
      </w:tr>
    </w:tbl>
    <w:p w:rsidR="0089340A" w:rsidRDefault="0089340A" w14:paraId="241321E7" w14:textId="77777777">
      <w:pPr>
        <w:pStyle w:val="Heading1"/>
        <w:spacing w:before="116"/>
        <w:rPr>
          <w:u w:val="thick"/>
        </w:rPr>
      </w:pPr>
    </w:p>
    <w:p w:rsidR="0089340A" w:rsidRDefault="0089340A" w14:paraId="16D0696B" w14:textId="77777777">
      <w:pPr>
        <w:pStyle w:val="Heading1"/>
        <w:spacing w:before="116"/>
        <w:rPr>
          <w:u w:val="thick"/>
        </w:rPr>
      </w:pPr>
    </w:p>
    <w:p w:rsidR="006A4248" w:rsidRDefault="006A4248" w14:paraId="6279625E" w14:textId="77777777">
      <w:pPr>
        <w:pStyle w:val="Heading1"/>
        <w:spacing w:before="116"/>
        <w:rPr>
          <w:u w:val="thick"/>
        </w:rPr>
      </w:pPr>
    </w:p>
    <w:p w:rsidR="007B31C8" w:rsidRDefault="006C3CB7" w14:paraId="41531698" w14:textId="2CC37C04">
      <w:pPr>
        <w:pStyle w:val="Heading1"/>
        <w:spacing w:before="116"/>
        <w:rPr>
          <w:u w:val="none"/>
        </w:rPr>
      </w:pPr>
      <w:r>
        <w:rPr>
          <w:u w:val="thick"/>
        </w:rPr>
        <w:lastRenderedPageBreak/>
        <w:t>COMMENTS</w:t>
      </w:r>
    </w:p>
    <w:p w:rsidR="007B31C8" w:rsidRDefault="007B31C8" w14:paraId="2B968CDA" w14:textId="77777777">
      <w:pPr>
        <w:pStyle w:val="BodyText"/>
        <w:spacing w:before="3"/>
        <w:rPr>
          <w:rFonts w:ascii="Arial"/>
          <w:b/>
          <w:sz w:val="19"/>
        </w:rPr>
      </w:pPr>
    </w:p>
    <w:p w:rsidR="007B31C8" w:rsidRDefault="006C3CB7" w14:paraId="49A6538C" w14:textId="77777777">
      <w:pPr>
        <w:pStyle w:val="BodyText"/>
        <w:spacing w:before="24"/>
        <w:ind w:left="220" w:right="236"/>
        <w:jc w:val="both"/>
      </w:pPr>
      <w:r>
        <w:t>Public Utilities Code section 311(g)(1) provides that this Resolution must be served on all parties and subject to at least 30 days’ public review and 20-day comment prior to a vote of the CPUC. Section 311(g)(2) provides that this 30-day period may be reduced or waived upon the stipulation of all parties in the proceeding.</w:t>
      </w:r>
    </w:p>
    <w:p w:rsidR="007B31C8" w:rsidRDefault="006C3CB7" w14:paraId="0CDFFF39" w14:textId="4E822271">
      <w:pPr>
        <w:pStyle w:val="BodyText"/>
        <w:spacing w:before="118"/>
        <w:ind w:left="220" w:right="236"/>
        <w:jc w:val="both"/>
      </w:pPr>
      <w:r>
        <w:t>The 30-day review and 20-day comment period for the draft of this Resolution was neither waived nor reduced. Accordingly, this draft resolution was mailed to parties for comments, and will be placed on the Commission's agenda no earlier than 30 days from today.</w:t>
      </w:r>
    </w:p>
    <w:p w:rsidR="001742F4" w:rsidRDefault="001742F4" w14:paraId="717034A5" w14:textId="7E4B24F3">
      <w:pPr>
        <w:pStyle w:val="BodyText"/>
        <w:spacing w:before="118"/>
        <w:ind w:left="220" w:right="236"/>
        <w:jc w:val="both"/>
      </w:pPr>
      <w:r>
        <w:t xml:space="preserve">The CPUC received comments from </w:t>
      </w:r>
      <w:r w:rsidR="009228C0">
        <w:t xml:space="preserve">SCE, SDG&amp;E and SCG. SCE recommends </w:t>
      </w:r>
      <w:r w:rsidR="00085717">
        <w:t>the adoption of the resolution without modification.</w:t>
      </w:r>
    </w:p>
    <w:p w:rsidR="00E14A40" w:rsidRDefault="00E14A40" w14:paraId="11A43C99" w14:textId="34085A41">
      <w:pPr>
        <w:pStyle w:val="BodyText"/>
        <w:spacing w:before="121"/>
        <w:ind w:left="220" w:right="246"/>
        <w:jc w:val="both"/>
      </w:pPr>
      <w:r>
        <w:t>SDG&amp;E raised a comment on the $5,901,464 discrepancy between the CEDARS numbers and their advice letter filings. This figure has been correctly updated to $7,389,057. This does not affect the earnings calculations of SDG&amp;E.</w:t>
      </w:r>
    </w:p>
    <w:p w:rsidR="000E3652" w:rsidRDefault="007251EE" w14:paraId="3F7B4BA0" w14:textId="2302A6A1">
      <w:pPr>
        <w:pStyle w:val="BodyText"/>
        <w:spacing w:before="121"/>
        <w:ind w:left="220" w:right="246"/>
        <w:jc w:val="both"/>
      </w:pPr>
      <w:r w:rsidRPr="007251EE">
        <w:t>SCG requests that the draft resolution be modified prior to its approval to show that SCG’s advice letter will be addressed in a separate draft resolution to be issued for comment within 30 days.</w:t>
      </w:r>
      <w:r w:rsidR="00DA14DE">
        <w:t xml:space="preserve">  SCG </w:t>
      </w:r>
      <w:r w:rsidR="0058349E">
        <w:t>argues that the earnings claims subject to this resolution are not subject to the outstanding Orders to Show Cause.</w:t>
      </w:r>
      <w:r w:rsidR="00120B9C">
        <w:t xml:space="preserve">  The </w:t>
      </w:r>
      <w:r w:rsidR="00C34D44">
        <w:t xml:space="preserve">current and </w:t>
      </w:r>
      <w:r w:rsidR="00120B9C">
        <w:t xml:space="preserve">outstanding SCG earnings will be collectively addressed once the Commission </w:t>
      </w:r>
      <w:r w:rsidR="00C34D44">
        <w:t>makes a determination on outstanding Orders to Show Cause.</w:t>
      </w:r>
    </w:p>
    <w:p w:rsidR="007B31C8" w:rsidRDefault="007B31C8" w14:paraId="56FEC447" w14:textId="77777777">
      <w:pPr>
        <w:pStyle w:val="BodyText"/>
      </w:pPr>
    </w:p>
    <w:p w:rsidR="007B31C8" w:rsidRDefault="007B31C8" w14:paraId="06BCB7A1" w14:textId="77777777">
      <w:pPr>
        <w:pStyle w:val="BodyText"/>
        <w:spacing w:before="8"/>
        <w:rPr>
          <w:sz w:val="17"/>
        </w:rPr>
      </w:pPr>
    </w:p>
    <w:p w:rsidR="007B31C8" w:rsidRDefault="006C3CB7" w14:paraId="10DD5B2E" w14:textId="61CD526F">
      <w:pPr>
        <w:pStyle w:val="Heading1"/>
        <w:rPr>
          <w:u w:val="none"/>
        </w:rPr>
      </w:pPr>
      <w:r>
        <w:rPr>
          <w:u w:val="thick"/>
        </w:rPr>
        <w:t>FINDINGS</w:t>
      </w:r>
    </w:p>
    <w:p w:rsidR="007B31C8" w:rsidRDefault="007B31C8" w14:paraId="16FFB653" w14:textId="77777777">
      <w:pPr>
        <w:pStyle w:val="BodyText"/>
        <w:spacing w:before="8"/>
        <w:rPr>
          <w:rFonts w:ascii="Arial"/>
          <w:b/>
          <w:sz w:val="19"/>
        </w:rPr>
      </w:pPr>
    </w:p>
    <w:p w:rsidR="007B31C8" w:rsidRDefault="006C3CB7" w14:paraId="6B0253FC" w14:textId="2BC44B3B">
      <w:pPr>
        <w:pStyle w:val="ListParagraph"/>
        <w:numPr>
          <w:ilvl w:val="0"/>
          <w:numId w:val="2"/>
        </w:numPr>
        <w:tabs>
          <w:tab w:val="left" w:pos="641"/>
        </w:tabs>
        <w:spacing w:before="22" w:line="235" w:lineRule="auto"/>
        <w:ind w:right="237"/>
        <w:rPr>
          <w:sz w:val="24"/>
        </w:rPr>
      </w:pPr>
      <w:r>
        <w:rPr>
          <w:sz w:val="24"/>
        </w:rPr>
        <w:t>The IOUs’ Coefficient Advice Letters were consistent in using program categories from their original budget filings</w:t>
      </w:r>
      <w:r w:rsidR="00D16DD0">
        <w:rPr>
          <w:sz w:val="24"/>
        </w:rPr>
        <w:t xml:space="preserve"> for SCE and PG&amp;E, but SDG&amp;E was not consistent</w:t>
      </w:r>
      <w:r>
        <w:rPr>
          <w:sz w:val="24"/>
        </w:rPr>
        <w:t>.</w:t>
      </w:r>
    </w:p>
    <w:p w:rsidR="00DB2160" w:rsidP="00290E4D" w:rsidRDefault="00DB2160" w14:paraId="2486E110" w14:textId="77777777">
      <w:pPr>
        <w:pStyle w:val="ListParagraph"/>
        <w:tabs>
          <w:tab w:val="left" w:pos="641"/>
        </w:tabs>
        <w:spacing w:before="22" w:line="235" w:lineRule="auto"/>
        <w:ind w:left="640" w:right="237" w:firstLine="0"/>
        <w:rPr>
          <w:sz w:val="24"/>
        </w:rPr>
      </w:pPr>
    </w:p>
    <w:p w:rsidR="004D08A4" w:rsidRDefault="004D08A4" w14:paraId="7CD01669" w14:textId="43E6BC6D">
      <w:pPr>
        <w:pStyle w:val="ListParagraph"/>
        <w:numPr>
          <w:ilvl w:val="0"/>
          <w:numId w:val="2"/>
        </w:numPr>
        <w:tabs>
          <w:tab w:val="left" w:pos="641"/>
        </w:tabs>
        <w:spacing w:before="22" w:line="235" w:lineRule="auto"/>
        <w:ind w:right="237"/>
        <w:rPr>
          <w:sz w:val="24"/>
        </w:rPr>
      </w:pPr>
      <w:r w:rsidRPr="004D08A4">
        <w:rPr>
          <w:sz w:val="24"/>
        </w:rPr>
        <w:t>SCG</w:t>
      </w:r>
      <w:r w:rsidR="0083449D">
        <w:rPr>
          <w:sz w:val="24"/>
        </w:rPr>
        <w:t>’s</w:t>
      </w:r>
      <w:r w:rsidRPr="004D08A4">
        <w:rPr>
          <w:sz w:val="24"/>
        </w:rPr>
        <w:t xml:space="preserve"> earnings are</w:t>
      </w:r>
      <w:r w:rsidR="0083449D">
        <w:rPr>
          <w:sz w:val="24"/>
        </w:rPr>
        <w:t xml:space="preserve"> not </w:t>
      </w:r>
      <w:r w:rsidR="006A4248">
        <w:rPr>
          <w:sz w:val="24"/>
        </w:rPr>
        <w:t xml:space="preserve">considered </w:t>
      </w:r>
      <w:r w:rsidR="0083449D">
        <w:rPr>
          <w:sz w:val="24"/>
        </w:rPr>
        <w:t xml:space="preserve">in this </w:t>
      </w:r>
      <w:r w:rsidR="002974B7">
        <w:rPr>
          <w:sz w:val="24"/>
        </w:rPr>
        <w:t>resolution</w:t>
      </w:r>
      <w:r w:rsidR="00CE5F15">
        <w:rPr>
          <w:sz w:val="24"/>
        </w:rPr>
        <w:t xml:space="preserve"> and will be </w:t>
      </w:r>
      <w:r w:rsidR="006A4248">
        <w:rPr>
          <w:sz w:val="24"/>
        </w:rPr>
        <w:t>addressed</w:t>
      </w:r>
      <w:r w:rsidR="00CE5F15">
        <w:rPr>
          <w:sz w:val="24"/>
        </w:rPr>
        <w:t xml:space="preserve"> </w:t>
      </w:r>
      <w:r w:rsidR="00B91D02">
        <w:rPr>
          <w:sz w:val="24"/>
        </w:rPr>
        <w:t>after the resolution of</w:t>
      </w:r>
      <w:r w:rsidRPr="004D08A4">
        <w:rPr>
          <w:sz w:val="24"/>
        </w:rPr>
        <w:t xml:space="preserve"> the outstanding Order</w:t>
      </w:r>
      <w:r w:rsidR="006A4248">
        <w:rPr>
          <w:sz w:val="24"/>
        </w:rPr>
        <w:t>s</w:t>
      </w:r>
      <w:r w:rsidRPr="004D08A4">
        <w:rPr>
          <w:sz w:val="24"/>
        </w:rPr>
        <w:t xml:space="preserve"> to Show Cause</w:t>
      </w:r>
      <w:r w:rsidR="002974B7">
        <w:rPr>
          <w:sz w:val="24"/>
        </w:rPr>
        <w:t>.</w:t>
      </w:r>
    </w:p>
    <w:p w:rsidR="007B31C8" w:rsidRDefault="006C3CB7" w14:paraId="535CCF79" w14:textId="77777777">
      <w:pPr>
        <w:pStyle w:val="ListParagraph"/>
        <w:numPr>
          <w:ilvl w:val="0"/>
          <w:numId w:val="2"/>
        </w:numPr>
        <w:tabs>
          <w:tab w:val="left" w:pos="641"/>
        </w:tabs>
        <w:spacing w:before="126" w:line="237" w:lineRule="auto"/>
        <w:ind w:right="234"/>
        <w:rPr>
          <w:sz w:val="24"/>
        </w:rPr>
      </w:pPr>
      <w:r>
        <w:rPr>
          <w:sz w:val="24"/>
        </w:rPr>
        <w:t>There is a need to clarify which program categories should be used by IOUs to compute annual earnings coefficients considering recent changes to fund-shifting rules that do not require IOUs to seek approval for moving budgets among programs.</w:t>
      </w:r>
    </w:p>
    <w:p w:rsidR="007B31C8" w:rsidRDefault="006C3CB7" w14:paraId="2A904893" w14:textId="77777777">
      <w:pPr>
        <w:pStyle w:val="ListParagraph"/>
        <w:numPr>
          <w:ilvl w:val="0"/>
          <w:numId w:val="2"/>
        </w:numPr>
        <w:tabs>
          <w:tab w:val="left" w:pos="641"/>
        </w:tabs>
        <w:spacing w:before="129" w:line="235" w:lineRule="auto"/>
        <w:ind w:right="236"/>
        <w:rPr>
          <w:sz w:val="24"/>
        </w:rPr>
      </w:pPr>
      <w:r>
        <w:rPr>
          <w:sz w:val="24"/>
        </w:rPr>
        <w:t>Inclusion of resource programs with or without energy savings increases award amounts because their budgets increase the earnings coefficients and award</w:t>
      </w:r>
      <w:r>
        <w:rPr>
          <w:spacing w:val="-18"/>
          <w:sz w:val="24"/>
        </w:rPr>
        <w:t xml:space="preserve"> </w:t>
      </w:r>
      <w:r>
        <w:rPr>
          <w:sz w:val="24"/>
        </w:rPr>
        <w:t>caps.</w:t>
      </w:r>
    </w:p>
    <w:p w:rsidR="007B31C8" w:rsidRDefault="006C3CB7" w14:paraId="7C3CED4A" w14:textId="77777777">
      <w:pPr>
        <w:pStyle w:val="ListParagraph"/>
        <w:numPr>
          <w:ilvl w:val="0"/>
          <w:numId w:val="2"/>
        </w:numPr>
        <w:tabs>
          <w:tab w:val="left" w:pos="641"/>
        </w:tabs>
        <w:spacing w:before="126" w:line="237" w:lineRule="auto"/>
        <w:ind w:right="236"/>
        <w:rPr>
          <w:sz w:val="24"/>
        </w:rPr>
      </w:pPr>
      <w:r>
        <w:rPr>
          <w:sz w:val="24"/>
        </w:rPr>
        <w:t>There is a need to further research the appropriate application and reasonableness of including no-savings resource program budgets and expenditures for the ESPI awards</w:t>
      </w:r>
      <w:r>
        <w:rPr>
          <w:spacing w:val="-2"/>
          <w:sz w:val="24"/>
        </w:rPr>
        <w:t xml:space="preserve"> </w:t>
      </w:r>
      <w:r>
        <w:rPr>
          <w:sz w:val="24"/>
        </w:rPr>
        <w:t>mechanism.</w:t>
      </w:r>
    </w:p>
    <w:p w:rsidR="007B31C8" w:rsidRDefault="007B31C8" w14:paraId="603D4B69" w14:textId="77777777">
      <w:pPr>
        <w:pStyle w:val="BodyText"/>
        <w:spacing w:before="13"/>
        <w:rPr>
          <w:sz w:val="10"/>
        </w:rPr>
      </w:pPr>
    </w:p>
    <w:p w:rsidR="007B31C8" w:rsidRDefault="006C3CB7" w14:paraId="2A82DE0D" w14:textId="77777777">
      <w:pPr>
        <w:pStyle w:val="ListParagraph"/>
        <w:numPr>
          <w:ilvl w:val="0"/>
          <w:numId w:val="2"/>
        </w:numPr>
        <w:tabs>
          <w:tab w:val="left" w:pos="639"/>
        </w:tabs>
        <w:spacing w:before="20" w:line="237" w:lineRule="auto"/>
        <w:ind w:left="638" w:right="237" w:hanging="418"/>
        <w:rPr>
          <w:sz w:val="24"/>
        </w:rPr>
      </w:pPr>
      <w:r>
        <w:rPr>
          <w:sz w:val="24"/>
        </w:rPr>
        <w:t>Ex ante review (EAR) performance scores must be weighted based on the proportion of savings attributed to deemed and custom measures in each IOU’s portfolio.</w:t>
      </w:r>
    </w:p>
    <w:p w:rsidR="007B31C8" w:rsidRDefault="006C3CB7" w14:paraId="798D6991" w14:textId="05D78A0D">
      <w:pPr>
        <w:pStyle w:val="ListParagraph"/>
        <w:numPr>
          <w:ilvl w:val="0"/>
          <w:numId w:val="2"/>
        </w:numPr>
        <w:tabs>
          <w:tab w:val="left" w:pos="641"/>
        </w:tabs>
        <w:spacing w:before="125" w:line="235" w:lineRule="auto"/>
        <w:ind w:right="238"/>
        <w:rPr>
          <w:sz w:val="24"/>
        </w:rPr>
      </w:pPr>
      <w:r>
        <w:rPr>
          <w:sz w:val="24"/>
        </w:rPr>
        <w:t>The CPUC relies on official annual CEDARS submittals to review approved budget and expenditure data.</w:t>
      </w:r>
    </w:p>
    <w:p w:rsidR="007B31C8" w:rsidRDefault="006C3CB7" w14:paraId="4117DF81" w14:textId="38D7D024">
      <w:pPr>
        <w:pStyle w:val="ListParagraph"/>
        <w:numPr>
          <w:ilvl w:val="0"/>
          <w:numId w:val="2"/>
        </w:numPr>
        <w:tabs>
          <w:tab w:val="left" w:pos="641"/>
        </w:tabs>
        <w:spacing w:before="126" w:line="237" w:lineRule="auto"/>
        <w:ind w:right="234"/>
        <w:rPr>
          <w:sz w:val="24"/>
        </w:rPr>
      </w:pPr>
      <w:r>
        <w:rPr>
          <w:sz w:val="24"/>
        </w:rPr>
        <w:t xml:space="preserve">There were unexplained discrepancies between ESPI Advice Letters and official CEDARS data although the IOUs were directed to inform CPUC if any information sought in the </w:t>
      </w:r>
      <w:r>
        <w:rPr>
          <w:i/>
          <w:sz w:val="24"/>
        </w:rPr>
        <w:t xml:space="preserve">Guidelines for the </w:t>
      </w:r>
      <w:r w:rsidR="00523C8B">
        <w:rPr>
          <w:i/>
          <w:sz w:val="24"/>
        </w:rPr>
        <w:t xml:space="preserve">2020 </w:t>
      </w:r>
      <w:r>
        <w:rPr>
          <w:i/>
          <w:sz w:val="24"/>
        </w:rPr>
        <w:t xml:space="preserve">AL Submission </w:t>
      </w:r>
      <w:r>
        <w:rPr>
          <w:sz w:val="24"/>
        </w:rPr>
        <w:t>would result in a discrepancy with their official CEDARS</w:t>
      </w:r>
      <w:r>
        <w:rPr>
          <w:spacing w:val="1"/>
          <w:sz w:val="24"/>
        </w:rPr>
        <w:t xml:space="preserve"> </w:t>
      </w:r>
      <w:r>
        <w:rPr>
          <w:sz w:val="24"/>
        </w:rPr>
        <w:t>data.</w:t>
      </w:r>
    </w:p>
    <w:p w:rsidR="007B31C8" w:rsidRDefault="006C3CB7" w14:paraId="4BE62D35" w14:textId="1E704873">
      <w:pPr>
        <w:pStyle w:val="ListParagraph"/>
        <w:numPr>
          <w:ilvl w:val="0"/>
          <w:numId w:val="2"/>
        </w:numPr>
        <w:tabs>
          <w:tab w:val="left" w:pos="641"/>
        </w:tabs>
        <w:spacing w:before="129" w:line="235" w:lineRule="auto"/>
        <w:ind w:right="237"/>
        <w:rPr>
          <w:sz w:val="24"/>
        </w:rPr>
      </w:pPr>
      <w:r>
        <w:rPr>
          <w:sz w:val="24"/>
        </w:rPr>
        <w:t>PG&amp;E, SCE, and SDG&amp;E’s Direct Implementation Non-Incentive expenditures comprised over 20% of their respective IOU program expenditure totals in</w:t>
      </w:r>
      <w:r>
        <w:rPr>
          <w:spacing w:val="-21"/>
          <w:sz w:val="24"/>
        </w:rPr>
        <w:t xml:space="preserve"> </w:t>
      </w:r>
      <w:r w:rsidR="003B09D5">
        <w:rPr>
          <w:sz w:val="24"/>
        </w:rPr>
        <w:t>2019</w:t>
      </w:r>
      <w:r>
        <w:rPr>
          <w:sz w:val="24"/>
        </w:rPr>
        <w:t>.</w:t>
      </w:r>
    </w:p>
    <w:p w:rsidR="007B31C8" w:rsidRDefault="006C3CB7" w14:paraId="58611FD2" w14:textId="45613EC6">
      <w:pPr>
        <w:pStyle w:val="ListParagraph"/>
        <w:numPr>
          <w:ilvl w:val="0"/>
          <w:numId w:val="2"/>
        </w:numPr>
        <w:tabs>
          <w:tab w:val="left" w:pos="641"/>
        </w:tabs>
        <w:spacing w:before="126" w:line="237" w:lineRule="auto"/>
        <w:ind w:right="237"/>
        <w:rPr>
          <w:sz w:val="24"/>
        </w:rPr>
      </w:pPr>
      <w:r>
        <w:rPr>
          <w:sz w:val="24"/>
        </w:rPr>
        <w:t>The current ESPI mechanism does not provide an insight into whether certain programs show larger energy savings as a result of higher Marketing Education and Outreach and Direct Implementation Non-Incentive</w:t>
      </w:r>
      <w:r>
        <w:rPr>
          <w:spacing w:val="-7"/>
          <w:sz w:val="24"/>
        </w:rPr>
        <w:t xml:space="preserve"> </w:t>
      </w:r>
      <w:r>
        <w:rPr>
          <w:sz w:val="24"/>
        </w:rPr>
        <w:t>expenditures.</w:t>
      </w:r>
    </w:p>
    <w:p w:rsidR="007B31C8" w:rsidRDefault="006C3CB7" w14:paraId="210EA5C4" w14:textId="77777777">
      <w:pPr>
        <w:pStyle w:val="ListParagraph"/>
        <w:numPr>
          <w:ilvl w:val="0"/>
          <w:numId w:val="2"/>
        </w:numPr>
        <w:tabs>
          <w:tab w:val="left" w:pos="641"/>
        </w:tabs>
        <w:spacing w:before="126" w:line="235" w:lineRule="auto"/>
        <w:ind w:right="247"/>
        <w:rPr>
          <w:sz w:val="24"/>
        </w:rPr>
      </w:pPr>
      <w:r>
        <w:rPr>
          <w:sz w:val="24"/>
        </w:rPr>
        <w:t>The IOUs’ respective weighted average costs of capital must be applied to past award amounts when calculating true</w:t>
      </w:r>
      <w:r>
        <w:rPr>
          <w:spacing w:val="-3"/>
          <w:sz w:val="24"/>
        </w:rPr>
        <w:t xml:space="preserve"> </w:t>
      </w:r>
      <w:r>
        <w:rPr>
          <w:sz w:val="24"/>
        </w:rPr>
        <w:t>ups.</w:t>
      </w:r>
    </w:p>
    <w:p w:rsidR="007B31C8" w:rsidRDefault="006A4248" w14:paraId="49FA07F3" w14:textId="4A6E3217">
      <w:pPr>
        <w:pStyle w:val="ListParagraph"/>
        <w:numPr>
          <w:ilvl w:val="0"/>
          <w:numId w:val="2"/>
        </w:numPr>
        <w:tabs>
          <w:tab w:val="left" w:pos="641"/>
        </w:tabs>
        <w:spacing w:before="126" w:line="237" w:lineRule="auto"/>
        <w:ind w:right="243"/>
        <w:rPr>
          <w:sz w:val="24"/>
        </w:rPr>
      </w:pPr>
      <w:r>
        <w:rPr>
          <w:sz w:val="24"/>
        </w:rPr>
        <w:t>We utilize and rely on</w:t>
      </w:r>
      <w:r w:rsidR="006C3CB7">
        <w:rPr>
          <w:sz w:val="24"/>
        </w:rPr>
        <w:t xml:space="preserve"> the UAB audit reports to verify expenditures </w:t>
      </w:r>
      <w:r>
        <w:rPr>
          <w:sz w:val="24"/>
        </w:rPr>
        <w:t>on</w:t>
      </w:r>
      <w:r w:rsidR="006C3CB7">
        <w:rPr>
          <w:sz w:val="24"/>
        </w:rPr>
        <w:t xml:space="preserve"> their findings that some expenditures belong in program years other than the one audited in each</w:t>
      </w:r>
      <w:r w:rsidR="006C3CB7">
        <w:rPr>
          <w:spacing w:val="-3"/>
          <w:sz w:val="24"/>
        </w:rPr>
        <w:t xml:space="preserve"> </w:t>
      </w:r>
      <w:r w:rsidR="006C3CB7">
        <w:rPr>
          <w:sz w:val="24"/>
        </w:rPr>
        <w:t>report.</w:t>
      </w:r>
    </w:p>
    <w:p w:rsidR="007B31C8" w:rsidRDefault="006C3CB7" w14:paraId="180FD484" w14:textId="77777777">
      <w:pPr>
        <w:pStyle w:val="ListParagraph"/>
        <w:numPr>
          <w:ilvl w:val="0"/>
          <w:numId w:val="2"/>
        </w:numPr>
        <w:tabs>
          <w:tab w:val="left" w:pos="641"/>
        </w:tabs>
        <w:spacing w:before="125" w:line="237" w:lineRule="auto"/>
        <w:ind w:right="236"/>
        <w:rPr>
          <w:sz w:val="24"/>
        </w:rPr>
      </w:pPr>
      <w:r>
        <w:rPr>
          <w:sz w:val="24"/>
        </w:rPr>
        <w:t>Positive true ups should not be applied in excess of award caps and negative true ups should be applied to the original expenditures, not the award cap, of a capped previous</w:t>
      </w:r>
      <w:r>
        <w:rPr>
          <w:spacing w:val="-2"/>
          <w:sz w:val="24"/>
        </w:rPr>
        <w:t xml:space="preserve"> </w:t>
      </w:r>
      <w:r>
        <w:rPr>
          <w:sz w:val="24"/>
        </w:rPr>
        <w:t>award.</w:t>
      </w:r>
    </w:p>
    <w:p w:rsidR="007B31C8" w:rsidRDefault="006C3CB7" w14:paraId="32587A43" w14:textId="713993FB">
      <w:pPr>
        <w:pStyle w:val="ListParagraph"/>
        <w:numPr>
          <w:ilvl w:val="0"/>
          <w:numId w:val="2"/>
        </w:numPr>
        <w:tabs>
          <w:tab w:val="left" w:pos="641"/>
        </w:tabs>
        <w:spacing w:before="126" w:line="235" w:lineRule="auto"/>
        <w:ind w:right="247"/>
        <w:rPr>
          <w:sz w:val="24"/>
        </w:rPr>
      </w:pPr>
      <w:r>
        <w:rPr>
          <w:sz w:val="24"/>
        </w:rPr>
        <w:t xml:space="preserve">There are no EAR Performance True Ups in this Resolution as the UAB did not audit any </w:t>
      </w:r>
      <w:r w:rsidR="001027A1">
        <w:rPr>
          <w:sz w:val="24"/>
        </w:rPr>
        <w:t xml:space="preserve">2018 </w:t>
      </w:r>
      <w:r>
        <w:rPr>
          <w:sz w:val="24"/>
        </w:rPr>
        <w:t>resource</w:t>
      </w:r>
      <w:r>
        <w:rPr>
          <w:spacing w:val="-1"/>
          <w:sz w:val="24"/>
        </w:rPr>
        <w:t xml:space="preserve"> </w:t>
      </w:r>
      <w:r>
        <w:rPr>
          <w:sz w:val="24"/>
        </w:rPr>
        <w:t>programs.</w:t>
      </w:r>
    </w:p>
    <w:p w:rsidR="007B31C8" w:rsidRDefault="006C3CB7" w14:paraId="0757198F" w14:textId="6BC97FF2">
      <w:pPr>
        <w:pStyle w:val="ListParagraph"/>
        <w:numPr>
          <w:ilvl w:val="0"/>
          <w:numId w:val="2"/>
        </w:numPr>
        <w:tabs>
          <w:tab w:val="left" w:pos="639"/>
        </w:tabs>
        <w:spacing w:before="128" w:line="235" w:lineRule="auto"/>
        <w:ind w:left="638" w:right="240" w:hanging="418"/>
        <w:rPr>
          <w:sz w:val="24"/>
        </w:rPr>
      </w:pPr>
      <w:r>
        <w:rPr>
          <w:sz w:val="24"/>
        </w:rPr>
        <w:t>It is appropriate to modify the IOUs’ requested awards based on the adjustments detailed in this</w:t>
      </w:r>
      <w:r>
        <w:rPr>
          <w:spacing w:val="-2"/>
          <w:sz w:val="24"/>
        </w:rPr>
        <w:t xml:space="preserve"> </w:t>
      </w:r>
      <w:r>
        <w:rPr>
          <w:sz w:val="24"/>
        </w:rPr>
        <w:t>Resolution.</w:t>
      </w:r>
    </w:p>
    <w:p w:rsidRPr="00E14A40" w:rsidR="00FC7A2E" w:rsidRDefault="00E14A40" w14:paraId="25BEE675" w14:textId="7368FC0D">
      <w:pPr>
        <w:pStyle w:val="ListParagraph"/>
        <w:numPr>
          <w:ilvl w:val="0"/>
          <w:numId w:val="2"/>
        </w:numPr>
        <w:tabs>
          <w:tab w:val="left" w:pos="639"/>
        </w:tabs>
        <w:spacing w:before="128" w:line="235" w:lineRule="auto"/>
        <w:ind w:right="240"/>
        <w:rPr>
          <w:sz w:val="24"/>
        </w:rPr>
      </w:pPr>
      <w:r>
        <w:rPr>
          <w:sz w:val="24"/>
        </w:rPr>
        <w:t>A</w:t>
      </w:r>
      <w:r w:rsidRPr="00E14A40">
        <w:rPr>
          <w:sz w:val="24"/>
        </w:rPr>
        <w:t xml:space="preserve"> moratorium </w:t>
      </w:r>
      <w:r>
        <w:rPr>
          <w:sz w:val="24"/>
        </w:rPr>
        <w:t xml:space="preserve">has been imposed </w:t>
      </w:r>
      <w:r w:rsidRPr="00E14A40">
        <w:rPr>
          <w:sz w:val="24"/>
        </w:rPr>
        <w:t>on award payments under the Efficiency Savings and Performance Incentive Mechanism (ESPI) beginning with</w:t>
      </w:r>
      <w:r>
        <w:rPr>
          <w:sz w:val="24"/>
        </w:rPr>
        <w:t xml:space="preserve"> </w:t>
      </w:r>
      <w:r w:rsidRPr="00E14A40">
        <w:rPr>
          <w:sz w:val="24"/>
        </w:rPr>
        <w:t>2021 program year advice letter earnings claims</w:t>
      </w:r>
      <w:r w:rsidRPr="00E14A40" w:rsidR="00A03894">
        <w:rPr>
          <w:sz w:val="24"/>
        </w:rPr>
        <w:t>.</w:t>
      </w:r>
    </w:p>
    <w:p w:rsidR="00A03894" w:rsidP="00FC7A2E" w:rsidRDefault="00A03894" w14:paraId="4F40ADC2" w14:textId="35BA8335">
      <w:pPr>
        <w:pStyle w:val="ListParagraph"/>
        <w:numPr>
          <w:ilvl w:val="0"/>
          <w:numId w:val="2"/>
        </w:numPr>
        <w:tabs>
          <w:tab w:val="left" w:pos="639"/>
        </w:tabs>
        <w:spacing w:before="128" w:line="235" w:lineRule="auto"/>
        <w:ind w:left="638" w:right="240" w:hanging="418"/>
        <w:rPr>
          <w:sz w:val="24"/>
        </w:rPr>
      </w:pPr>
      <w:r>
        <w:rPr>
          <w:sz w:val="24"/>
        </w:rPr>
        <w:t>Since the</w:t>
      </w:r>
      <w:r w:rsidR="00A83652">
        <w:rPr>
          <w:sz w:val="24"/>
        </w:rPr>
        <w:t xml:space="preserve"> 2018</w:t>
      </w:r>
      <w:r>
        <w:rPr>
          <w:sz w:val="24"/>
        </w:rPr>
        <w:t xml:space="preserve"> </w:t>
      </w:r>
      <w:r w:rsidRPr="00A83652" w:rsidR="00A83652">
        <w:rPr>
          <w:sz w:val="24"/>
        </w:rPr>
        <w:t>Commercial, Industrial and Agricultural Custom (CIAC) Impact Evaluation</w:t>
      </w:r>
      <w:r w:rsidR="00A83652">
        <w:rPr>
          <w:sz w:val="24"/>
        </w:rPr>
        <w:t xml:space="preserve"> will not be released, it is appropriate to use </w:t>
      </w:r>
      <w:r w:rsidR="00E60634">
        <w:rPr>
          <w:sz w:val="24"/>
        </w:rPr>
        <w:t>2017 gross realization rates and net-to-gross ratios</w:t>
      </w:r>
      <w:r w:rsidR="00BA1D7B">
        <w:rPr>
          <w:sz w:val="24"/>
        </w:rPr>
        <w:t xml:space="preserve"> to determine 2018 earnings.</w:t>
      </w:r>
    </w:p>
    <w:p w:rsidR="0089340A" w:rsidRDefault="0089340A" w14:paraId="7B491E46" w14:textId="2D263959">
      <w:pPr>
        <w:pStyle w:val="Heading1"/>
        <w:spacing w:before="117"/>
        <w:rPr>
          <w:u w:val="thick"/>
        </w:rPr>
      </w:pPr>
    </w:p>
    <w:p w:rsidR="00C71780" w:rsidRDefault="00C71780" w14:paraId="2E72CF85" w14:textId="058FE009">
      <w:pPr>
        <w:pStyle w:val="Heading1"/>
        <w:spacing w:before="117"/>
        <w:rPr>
          <w:u w:val="thick"/>
        </w:rPr>
      </w:pPr>
    </w:p>
    <w:p w:rsidR="00C71780" w:rsidRDefault="00C71780" w14:paraId="7B926E04" w14:textId="77777777">
      <w:pPr>
        <w:pStyle w:val="Heading1"/>
        <w:spacing w:before="117"/>
        <w:rPr>
          <w:u w:val="thick"/>
        </w:rPr>
      </w:pPr>
    </w:p>
    <w:p w:rsidR="007B31C8" w:rsidRDefault="006C3CB7" w14:paraId="337C45C9" w14:textId="2C2AA6AE">
      <w:pPr>
        <w:pStyle w:val="Heading1"/>
        <w:spacing w:before="117"/>
        <w:rPr>
          <w:u w:val="none"/>
        </w:rPr>
      </w:pPr>
      <w:r>
        <w:rPr>
          <w:u w:val="thick"/>
        </w:rPr>
        <w:lastRenderedPageBreak/>
        <w:t>THEREFORE, IT IS ORDERED THAT:</w:t>
      </w:r>
    </w:p>
    <w:p w:rsidR="007B31C8" w:rsidRDefault="007B31C8" w14:paraId="418E0AC2" w14:textId="77777777">
      <w:pPr>
        <w:pStyle w:val="BodyText"/>
        <w:spacing w:before="10"/>
        <w:rPr>
          <w:rFonts w:ascii="Arial"/>
          <w:b/>
          <w:sz w:val="19"/>
        </w:rPr>
      </w:pPr>
    </w:p>
    <w:p w:rsidRPr="0085533B" w:rsidR="007B31C8" w:rsidP="00005DD0" w:rsidRDefault="006C3CB7" w14:paraId="013F8D0C" w14:textId="7B9785AE">
      <w:pPr>
        <w:pStyle w:val="ListParagraph"/>
        <w:numPr>
          <w:ilvl w:val="0"/>
          <w:numId w:val="12"/>
        </w:numPr>
        <w:tabs>
          <w:tab w:val="left" w:pos="581"/>
        </w:tabs>
        <w:spacing w:before="20" w:line="237" w:lineRule="auto"/>
        <w:ind w:left="540" w:right="243"/>
        <w:rPr>
          <w:sz w:val="24"/>
        </w:rPr>
      </w:pPr>
      <w:r w:rsidRPr="00005DD0">
        <w:rPr>
          <w:sz w:val="24"/>
        </w:rPr>
        <w:t>The request of Pacific Gas and Electric Company for ESPI awards as made in Advice Letter</w:t>
      </w:r>
      <w:r w:rsidR="009E49C0">
        <w:rPr>
          <w:sz w:val="24"/>
        </w:rPr>
        <w:t xml:space="preserve"> 4304</w:t>
      </w:r>
      <w:r w:rsidR="009020E6">
        <w:rPr>
          <w:sz w:val="24"/>
        </w:rPr>
        <w:t>-G/5937-E</w:t>
      </w:r>
      <w:r w:rsidRPr="00005DD0">
        <w:rPr>
          <w:sz w:val="24"/>
        </w:rPr>
        <w:t xml:space="preserve"> is approved with modifications to the original request as listed herein. PG&amp;E is </w:t>
      </w:r>
      <w:r w:rsidRPr="0085533B">
        <w:rPr>
          <w:sz w:val="24"/>
        </w:rPr>
        <w:t>awarded $</w:t>
      </w:r>
      <w:r w:rsidRPr="0085533B" w:rsidR="00684C0E">
        <w:rPr>
          <w:sz w:val="24"/>
        </w:rPr>
        <w:t>15,</w:t>
      </w:r>
      <w:r w:rsidRPr="0085533B" w:rsidR="0085533B">
        <w:rPr>
          <w:sz w:val="24"/>
        </w:rPr>
        <w:t>299,119</w:t>
      </w:r>
      <w:r w:rsidRPr="0085533B" w:rsidR="001027A1">
        <w:rPr>
          <w:sz w:val="24"/>
        </w:rPr>
        <w:t xml:space="preserve"> </w:t>
      </w:r>
      <w:r w:rsidRPr="0085533B">
        <w:rPr>
          <w:sz w:val="24"/>
        </w:rPr>
        <w:t xml:space="preserve">in </w:t>
      </w:r>
      <w:r w:rsidRPr="0085533B" w:rsidR="00242193">
        <w:rPr>
          <w:sz w:val="24"/>
        </w:rPr>
        <w:t xml:space="preserve">2020 </w:t>
      </w:r>
      <w:r w:rsidRPr="0085533B">
        <w:rPr>
          <w:sz w:val="24"/>
        </w:rPr>
        <w:t>ESPI</w:t>
      </w:r>
      <w:r w:rsidRPr="0085533B">
        <w:rPr>
          <w:spacing w:val="-7"/>
          <w:sz w:val="24"/>
        </w:rPr>
        <w:t xml:space="preserve"> </w:t>
      </w:r>
      <w:r w:rsidRPr="0085533B">
        <w:rPr>
          <w:sz w:val="24"/>
        </w:rPr>
        <w:t>incentives.</w:t>
      </w:r>
    </w:p>
    <w:p w:rsidRPr="0085533B" w:rsidR="007B31C8" w:rsidP="00005DD0" w:rsidRDefault="007B31C8" w14:paraId="2D8F0F55" w14:textId="77777777">
      <w:pPr>
        <w:pStyle w:val="BodyText"/>
        <w:spacing w:before="13"/>
        <w:ind w:left="540" w:hanging="360"/>
        <w:rPr>
          <w:sz w:val="10"/>
        </w:rPr>
      </w:pPr>
    </w:p>
    <w:p w:rsidRPr="0085533B" w:rsidR="007B31C8" w:rsidP="00005DD0" w:rsidRDefault="006C3CB7" w14:paraId="644C0346" w14:textId="0FF31CD2">
      <w:pPr>
        <w:pStyle w:val="ListParagraph"/>
        <w:numPr>
          <w:ilvl w:val="0"/>
          <w:numId w:val="12"/>
        </w:numPr>
        <w:tabs>
          <w:tab w:val="left" w:pos="581"/>
        </w:tabs>
        <w:spacing w:before="20" w:line="237" w:lineRule="auto"/>
        <w:ind w:left="540" w:right="238"/>
        <w:rPr>
          <w:sz w:val="24"/>
        </w:rPr>
      </w:pPr>
      <w:r w:rsidRPr="0085533B">
        <w:rPr>
          <w:sz w:val="24"/>
        </w:rPr>
        <w:t>The request of Southern California Edison Company for ESPI awards as made in Advice Letter</w:t>
      </w:r>
      <w:r w:rsidRPr="0085533B" w:rsidR="009020E6">
        <w:rPr>
          <w:sz w:val="24"/>
        </w:rPr>
        <w:t xml:space="preserve"> 4281-E</w:t>
      </w:r>
      <w:r w:rsidRPr="0085533B">
        <w:rPr>
          <w:sz w:val="24"/>
        </w:rPr>
        <w:t xml:space="preserve"> is approved with modifications to the original request as listed herein. SCE is awarded </w:t>
      </w:r>
      <w:r w:rsidRPr="0085533B" w:rsidR="00EE7B2F">
        <w:rPr>
          <w:sz w:val="24"/>
        </w:rPr>
        <w:t>$</w:t>
      </w:r>
      <w:r w:rsidRPr="0085533B" w:rsidR="00BE6603">
        <w:rPr>
          <w:sz w:val="24"/>
        </w:rPr>
        <w:t>9,</w:t>
      </w:r>
      <w:r w:rsidRPr="0085533B" w:rsidR="0085533B">
        <w:rPr>
          <w:sz w:val="24"/>
        </w:rPr>
        <w:t>628,784</w:t>
      </w:r>
      <w:r w:rsidRPr="0085533B" w:rsidR="001027A1">
        <w:rPr>
          <w:sz w:val="24"/>
        </w:rPr>
        <w:t xml:space="preserve"> </w:t>
      </w:r>
      <w:r w:rsidRPr="0085533B">
        <w:rPr>
          <w:sz w:val="24"/>
        </w:rPr>
        <w:t xml:space="preserve">in </w:t>
      </w:r>
      <w:r w:rsidRPr="0085533B" w:rsidR="00242193">
        <w:rPr>
          <w:sz w:val="24"/>
        </w:rPr>
        <w:t xml:space="preserve">2020 </w:t>
      </w:r>
      <w:r w:rsidRPr="0085533B">
        <w:rPr>
          <w:sz w:val="24"/>
        </w:rPr>
        <w:t>ESPI</w:t>
      </w:r>
      <w:r w:rsidRPr="0085533B">
        <w:rPr>
          <w:spacing w:val="-2"/>
          <w:sz w:val="24"/>
        </w:rPr>
        <w:t xml:space="preserve"> </w:t>
      </w:r>
      <w:r w:rsidRPr="0085533B">
        <w:rPr>
          <w:sz w:val="24"/>
        </w:rPr>
        <w:t>incentives.</w:t>
      </w:r>
    </w:p>
    <w:p w:rsidRPr="0085533B" w:rsidR="007B31C8" w:rsidP="00005DD0" w:rsidRDefault="007B31C8" w14:paraId="532674A3" w14:textId="77777777">
      <w:pPr>
        <w:pStyle w:val="BodyText"/>
        <w:spacing w:before="2"/>
        <w:ind w:left="540" w:hanging="360"/>
      </w:pPr>
    </w:p>
    <w:p w:rsidRPr="00005DD0" w:rsidR="007B31C8" w:rsidP="00005DD0" w:rsidRDefault="006C3CB7" w14:paraId="055573C0" w14:textId="4646AEA2">
      <w:pPr>
        <w:pStyle w:val="ListParagraph"/>
        <w:numPr>
          <w:ilvl w:val="0"/>
          <w:numId w:val="12"/>
        </w:numPr>
        <w:tabs>
          <w:tab w:val="left" w:pos="581"/>
        </w:tabs>
        <w:spacing w:before="1" w:line="237" w:lineRule="auto"/>
        <w:ind w:left="540" w:right="237"/>
        <w:rPr>
          <w:sz w:val="24"/>
        </w:rPr>
      </w:pPr>
      <w:r w:rsidRPr="0085533B">
        <w:rPr>
          <w:sz w:val="24"/>
        </w:rPr>
        <w:t>The request of San Diego Gas &amp; Electric Company for ESPI awards as made in Advice Letter</w:t>
      </w:r>
      <w:r w:rsidRPr="0085533B" w:rsidR="009020E6">
        <w:rPr>
          <w:sz w:val="24"/>
        </w:rPr>
        <w:t xml:space="preserve"> </w:t>
      </w:r>
      <w:r w:rsidRPr="0085533B" w:rsidR="0086730A">
        <w:rPr>
          <w:sz w:val="24"/>
        </w:rPr>
        <w:t>3598-E/2898-G</w:t>
      </w:r>
      <w:r w:rsidRPr="0085533B">
        <w:rPr>
          <w:sz w:val="24"/>
        </w:rPr>
        <w:t xml:space="preserve"> is approved with modifications to the original request as listed herein. SDG&amp;E is awarded </w:t>
      </w:r>
      <w:r w:rsidRPr="0085533B" w:rsidR="00EE7B2F">
        <w:rPr>
          <w:sz w:val="24"/>
        </w:rPr>
        <w:t>$</w:t>
      </w:r>
      <w:r w:rsidRPr="0085533B" w:rsidR="00CB0D16">
        <w:rPr>
          <w:sz w:val="24"/>
        </w:rPr>
        <w:t>3,</w:t>
      </w:r>
      <w:r w:rsidRPr="0085533B" w:rsidR="0085533B">
        <w:rPr>
          <w:sz w:val="24"/>
        </w:rPr>
        <w:t>283,547</w:t>
      </w:r>
      <w:r w:rsidRPr="0085533B" w:rsidR="001027A1">
        <w:rPr>
          <w:sz w:val="24"/>
        </w:rPr>
        <w:t xml:space="preserve"> </w:t>
      </w:r>
      <w:r w:rsidRPr="0085533B">
        <w:rPr>
          <w:sz w:val="24"/>
        </w:rPr>
        <w:t xml:space="preserve">in </w:t>
      </w:r>
      <w:r w:rsidRPr="0085533B" w:rsidR="00242193">
        <w:rPr>
          <w:sz w:val="24"/>
        </w:rPr>
        <w:t xml:space="preserve">2020 </w:t>
      </w:r>
      <w:r w:rsidRPr="0085533B">
        <w:rPr>
          <w:sz w:val="24"/>
        </w:rPr>
        <w:t>ESPI</w:t>
      </w:r>
      <w:r w:rsidRPr="00005DD0">
        <w:rPr>
          <w:spacing w:val="-7"/>
          <w:sz w:val="24"/>
        </w:rPr>
        <w:t xml:space="preserve"> </w:t>
      </w:r>
      <w:r w:rsidRPr="00005DD0">
        <w:rPr>
          <w:sz w:val="24"/>
        </w:rPr>
        <w:t>incentives.</w:t>
      </w:r>
    </w:p>
    <w:p w:rsidR="007B31C8" w:rsidRDefault="007B31C8" w14:paraId="3A463AC2" w14:textId="77777777">
      <w:pPr>
        <w:pStyle w:val="BodyText"/>
        <w:spacing w:before="5"/>
      </w:pPr>
    </w:p>
    <w:p w:rsidR="007B31C8" w:rsidRDefault="006C3CB7" w14:paraId="422CABC0" w14:textId="77777777">
      <w:pPr>
        <w:pStyle w:val="BodyText"/>
        <w:ind w:left="220"/>
      </w:pPr>
      <w:r>
        <w:t>This Resolution is effective today.</w:t>
      </w:r>
    </w:p>
    <w:p w:rsidR="007B31C8" w:rsidRDefault="007B31C8" w14:paraId="28255B72" w14:textId="77777777">
      <w:pPr>
        <w:pStyle w:val="BodyText"/>
        <w:spacing w:before="11"/>
        <w:rPr>
          <w:sz w:val="17"/>
        </w:rPr>
      </w:pPr>
    </w:p>
    <w:p w:rsidR="007B31C8" w:rsidRDefault="006C3CB7" w14:paraId="3C31FDF4" w14:textId="65C9F6DB">
      <w:pPr>
        <w:pStyle w:val="BodyText"/>
        <w:ind w:left="220" w:right="412"/>
      </w:pPr>
      <w:r>
        <w:t>I certify that the foregoing resolution was duly introduced, passed, and adopted at</w:t>
      </w:r>
      <w:r>
        <w:rPr>
          <w:spacing w:val="-27"/>
        </w:rPr>
        <w:t xml:space="preserve"> </w:t>
      </w:r>
      <w:r>
        <w:t>a conference of the Public Utilities Commission of the State of California held on</w:t>
      </w:r>
      <w:r w:rsidR="002F6761">
        <w:t xml:space="preserve"> January 14, 2021,</w:t>
      </w:r>
      <w:r>
        <w:t xml:space="preserve"> the following Commissioners voting favorably</w:t>
      </w:r>
      <w:r>
        <w:rPr>
          <w:spacing w:val="-12"/>
        </w:rPr>
        <w:t xml:space="preserve"> </w:t>
      </w:r>
      <w:r>
        <w:t>thereon:</w:t>
      </w:r>
    </w:p>
    <w:p w:rsidR="007B31C8" w:rsidRDefault="007B31C8" w14:paraId="64E855CD" w14:textId="77777777">
      <w:pPr>
        <w:pStyle w:val="BodyText"/>
        <w:rPr>
          <w:sz w:val="20"/>
        </w:rPr>
      </w:pPr>
    </w:p>
    <w:p w:rsidR="007B31C8" w:rsidRDefault="007B31C8" w14:paraId="40308359" w14:textId="77777777">
      <w:pPr>
        <w:pStyle w:val="BodyText"/>
        <w:rPr>
          <w:sz w:val="20"/>
        </w:rPr>
      </w:pPr>
    </w:p>
    <w:p w:rsidR="007B31C8" w:rsidRDefault="007B31C8" w14:paraId="202BBA10" w14:textId="77777777">
      <w:pPr>
        <w:pStyle w:val="BodyText"/>
        <w:rPr>
          <w:sz w:val="20"/>
        </w:rPr>
      </w:pPr>
    </w:p>
    <w:p w:rsidR="007B31C8" w:rsidRDefault="007B31C8" w14:paraId="488DAB4A" w14:textId="77777777">
      <w:pPr>
        <w:pStyle w:val="BodyText"/>
        <w:rPr>
          <w:sz w:val="20"/>
        </w:rPr>
      </w:pPr>
    </w:p>
    <w:p w:rsidR="007B31C8" w:rsidRDefault="007B31C8" w14:paraId="7DF1078D" w14:textId="77777777">
      <w:pPr>
        <w:pStyle w:val="BodyText"/>
        <w:rPr>
          <w:sz w:val="20"/>
        </w:rPr>
      </w:pPr>
    </w:p>
    <w:p w:rsidR="00063316" w:rsidP="00063316" w:rsidRDefault="00F274E8" w14:paraId="3F467AFE" w14:textId="4476E28E">
      <w:pPr>
        <w:pStyle w:val="BodyText"/>
        <w:rPr>
          <w:rFonts w:eastAsia="Times New Roman" w:cs="Times New Roman"/>
          <w:lang w:bidi="ar-SA"/>
        </w:rPr>
      </w:pPr>
      <w:r>
        <w:rPr>
          <w:noProof/>
        </w:rPr>
        <mc:AlternateContent>
          <mc:Choice Requires="wpg">
            <w:drawing>
              <wp:anchor distT="0" distB="0" distL="0" distR="0" simplePos="0" relativeHeight="251658240" behindDoc="1" locked="0" layoutInCell="1" allowOverlap="1" wp14:editId="4E6EB625" wp14:anchorId="2A83E538">
                <wp:simplePos x="0" y="0"/>
                <wp:positionH relativeFrom="page">
                  <wp:posOffset>4686935</wp:posOffset>
                </wp:positionH>
                <wp:positionV relativeFrom="paragraph">
                  <wp:posOffset>240030</wp:posOffset>
                </wp:positionV>
                <wp:extent cx="1753235" cy="9525"/>
                <wp:effectExtent l="0" t="0" r="0" b="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9525"/>
                          <a:chOff x="7381" y="378"/>
                          <a:chExt cx="2761" cy="15"/>
                        </a:xfrm>
                      </wpg:grpSpPr>
                      <wps:wsp>
                        <wps:cNvPr id="35" name="Line 4"/>
                        <wps:cNvCnPr>
                          <a:cxnSpLocks noChangeShapeType="1"/>
                        </wps:cNvCnPr>
                        <wps:spPr bwMode="auto">
                          <a:xfrm>
                            <a:off x="7381" y="385"/>
                            <a:ext cx="2760" cy="0"/>
                          </a:xfrm>
                          <a:prstGeom prst="line">
                            <a:avLst/>
                          </a:prstGeom>
                          <a:noFill/>
                          <a:ln w="8930">
                            <a:solidFill>
                              <a:srgbClr val="000000"/>
                            </a:solidFill>
                            <a:round/>
                            <a:headEnd/>
                            <a:tailEnd/>
                          </a:ln>
                          <a:extLst>
                            <a:ext uri="{909E8E84-426E-40DD-AFC4-6F175D3DCCD1}">
                              <a14:hiddenFill xmlns:a14="http://schemas.microsoft.com/office/drawing/2010/main">
                                <a:noFill/>
                              </a14:hiddenFill>
                            </a:ext>
                          </a:extLst>
                        </wps:spPr>
                        <wps:bodyPr/>
                      </wps:wsp>
                      <wps:wsp>
                        <wps:cNvPr id="36" name="Line 3"/>
                        <wps:cNvCnPr>
                          <a:cxnSpLocks noChangeShapeType="1"/>
                        </wps:cNvCnPr>
                        <wps:spPr bwMode="auto">
                          <a:xfrm>
                            <a:off x="7381" y="385"/>
                            <a:ext cx="27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2" style="position:absolute;margin-left:369.05pt;margin-top:18.9pt;width:138.05pt;height:.75pt;z-index:-251658240;mso-wrap-distance-left:0;mso-wrap-distance-right:0;mso-position-horizontal-relative:page" coordsize="2761,15" coordorigin="7381,378" o:spid="_x0000_s1026" w14:anchorId="60CF7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">
                <v:line id="Line 4" style="position:absolute;visibility:visible;mso-wrap-style:square" o:spid="_x0000_s1027" strokeweight=".24806mm" o:connectortype="straight" from="7381,385" to="101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"/>
                <v:line id="Line 3" style="position:absolute;visibility:visible;mso-wrap-style:square" o:spid="_x0000_s1028" strokeweight=".72pt" o:connectortype="straight" from="7381,385" to="1014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w10:wrap type="topAndBottom" anchorx="page"/>
              </v:group>
            </w:pict>
          </mc:Fallback>
        </mc:AlternateContent>
      </w:r>
      <w:r w:rsidR="00063316">
        <w:rPr>
          <w:rFonts w:eastAsia="Times New Roman" w:cs="Times New Roman"/>
          <w:lang w:bidi="ar-SA"/>
        </w:rPr>
        <w:tab/>
      </w:r>
    </w:p>
    <w:p w:rsidR="00063316" w:rsidP="009A7554" w:rsidRDefault="009A7554" w14:paraId="0DE93693" w14:textId="54F81B02">
      <w:pPr>
        <w:ind w:left="5760"/>
      </w:pPr>
      <w:r>
        <w:t xml:space="preserve">       </w:t>
      </w:r>
      <w:r w:rsidR="00063316">
        <w:t>RACHEL PETERSON</w:t>
      </w:r>
    </w:p>
    <w:p w:rsidR="00063316" w:rsidP="00063316" w:rsidRDefault="00063316" w14:paraId="46DF56C8" w14:textId="00988F09">
      <w:pPr>
        <w:ind w:left="5040" w:firstLine="720"/>
      </w:pPr>
      <w:r>
        <w:t xml:space="preserve">       </w:t>
      </w:r>
      <w:r w:rsidR="00480D40">
        <w:t>Acting</w:t>
      </w:r>
      <w:r>
        <w:t xml:space="preserve"> Executive Director</w:t>
      </w:r>
    </w:p>
    <w:p w:rsidR="007B31C8" w:rsidP="00063316" w:rsidRDefault="007B31C8" w14:paraId="5A2ACBFB" w14:textId="0248D600">
      <w:pPr>
        <w:pStyle w:val="BodyText"/>
        <w:spacing w:before="1"/>
        <w:ind w:left="6161"/>
      </w:pPr>
    </w:p>
    <w:sectPr w:rsidR="007B31C8">
      <w:pgSz w:w="12240" w:h="15840"/>
      <w:pgMar w:top="1640" w:right="1200" w:bottom="1080" w:left="1220" w:header="926"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9FDF" w14:textId="77777777" w:rsidR="00D5691B" w:rsidRDefault="00D5691B">
      <w:r>
        <w:separator/>
      </w:r>
    </w:p>
    <w:p w14:paraId="22F61B09" w14:textId="77777777" w:rsidR="00D5691B" w:rsidRDefault="00D5691B"/>
  </w:endnote>
  <w:endnote w:type="continuationSeparator" w:id="0">
    <w:p w14:paraId="50DC8D0C" w14:textId="77777777" w:rsidR="00D5691B" w:rsidRDefault="00D5691B">
      <w:r>
        <w:continuationSeparator/>
      </w:r>
    </w:p>
    <w:p w14:paraId="381BE6C4" w14:textId="77777777" w:rsidR="00D5691B" w:rsidRDefault="00D5691B"/>
  </w:endnote>
  <w:endnote w:type="continuationNotice" w:id="1">
    <w:p w14:paraId="7F5439DF" w14:textId="77777777" w:rsidR="00D5691B" w:rsidRDefault="00D5691B"/>
    <w:p w14:paraId="5D3D1413" w14:textId="77777777" w:rsidR="00D5691B" w:rsidRDefault="00D56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B52D" w14:textId="77777777" w:rsidR="002649F8" w:rsidRDefault="0026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4B3D" w14:textId="3150282C" w:rsidR="00BE03FC" w:rsidRDefault="002C2904" w:rsidP="00E95BC3">
    <w:pPr>
      <w:pStyle w:val="Footer"/>
      <w:tabs>
        <w:tab w:val="clear" w:pos="9026"/>
        <w:tab w:val="left" w:pos="5730"/>
      </w:tabs>
    </w:pPr>
    <w:r w:rsidRPr="002C2904">
      <w:t xml:space="preserve">  356244081</w:t>
    </w:r>
    <w:r w:rsidR="00BE03FC">
      <w:tab/>
    </w:r>
    <w:sdt>
      <w:sdtPr>
        <w:id w:val="-387032229"/>
        <w:docPartObj>
          <w:docPartGallery w:val="Page Numbers (Bottom of Page)"/>
          <w:docPartUnique/>
        </w:docPartObj>
      </w:sdtPr>
      <w:sdtEndPr>
        <w:rPr>
          <w:noProof/>
        </w:rPr>
      </w:sdtEndPr>
      <w:sdtContent>
        <w:r w:rsidR="00BE03FC">
          <w:fldChar w:fldCharType="begin"/>
        </w:r>
        <w:r w:rsidR="00BE03FC">
          <w:instrText xml:space="preserve"> PAGE   \* MERGEFORMAT </w:instrText>
        </w:r>
        <w:r w:rsidR="00BE03FC">
          <w:fldChar w:fldCharType="separate"/>
        </w:r>
        <w:r w:rsidR="00BE03FC">
          <w:rPr>
            <w:noProof/>
          </w:rPr>
          <w:t>2</w:t>
        </w:r>
        <w:r w:rsidR="00BE03FC">
          <w:rPr>
            <w:noProof/>
          </w:rPr>
          <w:fldChar w:fldCharType="end"/>
        </w:r>
      </w:sdtContent>
    </w:sdt>
    <w:r w:rsidR="00BE03FC">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A878" w14:textId="77777777" w:rsidR="002649F8" w:rsidRDefault="002649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A40F" w14:textId="77777777" w:rsidR="009A7554" w:rsidRDefault="009A7554" w:rsidP="00E95BC3">
    <w:pPr>
      <w:pStyle w:val="Footer"/>
      <w:tabs>
        <w:tab w:val="clear" w:pos="9026"/>
        <w:tab w:val="left" w:pos="5730"/>
      </w:tabs>
    </w:pPr>
    <w:r>
      <w:tab/>
    </w:r>
    <w:sdt>
      <w:sdtPr>
        <w:id w:val="18637021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FA7C3" w14:textId="77777777" w:rsidR="00D5691B" w:rsidRDefault="00D5691B">
      <w:r>
        <w:separator/>
      </w:r>
    </w:p>
    <w:p w14:paraId="66A3AF37" w14:textId="77777777" w:rsidR="00D5691B" w:rsidRDefault="00D5691B"/>
  </w:footnote>
  <w:footnote w:type="continuationSeparator" w:id="0">
    <w:p w14:paraId="172A1B99" w14:textId="77777777" w:rsidR="00D5691B" w:rsidRDefault="00D5691B">
      <w:r>
        <w:continuationSeparator/>
      </w:r>
    </w:p>
    <w:p w14:paraId="457168DD" w14:textId="77777777" w:rsidR="00D5691B" w:rsidRDefault="00D5691B"/>
  </w:footnote>
  <w:footnote w:type="continuationNotice" w:id="1">
    <w:p w14:paraId="2769E626" w14:textId="77777777" w:rsidR="00D5691B" w:rsidRDefault="00D5691B"/>
    <w:p w14:paraId="24AF106E" w14:textId="77777777" w:rsidR="00D5691B" w:rsidRDefault="00D5691B"/>
  </w:footnote>
  <w:footnote w:id="2">
    <w:p w14:paraId="08CC8241" w14:textId="13163682" w:rsidR="00BE03FC" w:rsidRPr="00290E4D" w:rsidRDefault="00BE03FC">
      <w:pPr>
        <w:pStyle w:val="FootnoteText"/>
        <w:rPr>
          <w:lang w:val="en-GB"/>
        </w:rPr>
      </w:pPr>
      <w:r>
        <w:rPr>
          <w:rStyle w:val="FootnoteReference"/>
        </w:rPr>
        <w:footnoteRef/>
      </w:r>
      <w:r>
        <w:t xml:space="preserve"> </w:t>
      </w:r>
      <w:hyperlink r:id="rId1">
        <w:r w:rsidRPr="006D454C">
          <w:rPr>
            <w:rStyle w:val="Hyperlink"/>
          </w:rPr>
          <w:t xml:space="preserve"> </w:t>
        </w:r>
        <w:r w:rsidRPr="006D454C">
          <w:rPr>
            <w:rStyle w:val="Hyperlink"/>
            <w:i/>
          </w:rPr>
          <w:t xml:space="preserve">Assigned Commissioner’s </w:t>
        </w:r>
        <w:r>
          <w:rPr>
            <w:rStyle w:val="Hyperlink"/>
            <w:i/>
          </w:rPr>
          <w:t xml:space="preserve">Amended Scoping Memo and </w:t>
        </w:r>
        <w:r w:rsidRPr="006D454C">
          <w:rPr>
            <w:rStyle w:val="Hyperlink"/>
            <w:i/>
          </w:rPr>
          <w:t xml:space="preserve">Ruling </w:t>
        </w:r>
      </w:hyperlink>
      <w:r>
        <w:rPr>
          <w:rStyle w:val="Hyperlink"/>
          <w:i/>
        </w:rPr>
        <w:t xml:space="preserve"> </w:t>
      </w:r>
      <w:r>
        <w:rPr>
          <w:i/>
        </w:rPr>
        <w:t>for order to show cause against Southern California Gas Company – December 2, 2019.</w:t>
      </w:r>
    </w:p>
  </w:footnote>
  <w:footnote w:id="3">
    <w:p w14:paraId="026F26EE" w14:textId="7FE5E06E" w:rsidR="00BE03FC" w:rsidRPr="00290E4D" w:rsidRDefault="00BE03FC" w:rsidP="003777CC">
      <w:pPr>
        <w:pStyle w:val="FootnoteText"/>
        <w:rPr>
          <w:lang w:val="en-GB"/>
        </w:rPr>
      </w:pPr>
      <w:r>
        <w:rPr>
          <w:rStyle w:val="FootnoteReference"/>
        </w:rPr>
        <w:footnoteRef/>
      </w:r>
      <w:r>
        <w:t xml:space="preserve"> </w:t>
      </w:r>
      <w:hyperlink r:id="rId2" w:history="1">
        <w:r w:rsidRPr="00290E4D">
          <w:rPr>
            <w:rStyle w:val="Hyperlink"/>
            <w:i/>
            <w:iCs/>
          </w:rPr>
          <w:t>Order To Show Cause</w:t>
        </w:r>
      </w:hyperlink>
      <w:r>
        <w:t xml:space="preserve"> directing Southern California Gas Company to address shareholder incentives for Codes and Standards advocacy expenditures.</w:t>
      </w:r>
    </w:p>
  </w:footnote>
  <w:footnote w:id="4">
    <w:p w14:paraId="4F01298B" w14:textId="429C37C3" w:rsidR="00BE03FC" w:rsidRPr="00084AB8" w:rsidRDefault="00BE03FC">
      <w:pPr>
        <w:pStyle w:val="FootnoteText"/>
        <w:rPr>
          <w:lang w:val="en-GB"/>
        </w:rPr>
      </w:pPr>
      <w:r>
        <w:rPr>
          <w:rStyle w:val="FootnoteReference"/>
        </w:rPr>
        <w:footnoteRef/>
      </w:r>
      <w:r>
        <w:t xml:space="preserve"> </w:t>
      </w:r>
      <w:hyperlink r:id="rId3">
        <w:r>
          <w:rPr>
            <w:color w:val="0000FF"/>
            <w:u w:val="single" w:color="0000FF"/>
          </w:rPr>
          <w:t>D.13-09-023</w:t>
        </w:r>
      </w:hyperlink>
      <w:r>
        <w:rPr>
          <w:color w:val="0000FF"/>
          <w:u w:val="single" w:color="0000FF"/>
        </w:rPr>
        <w:t>.</w:t>
      </w:r>
    </w:p>
  </w:footnote>
  <w:footnote w:id="5">
    <w:p w14:paraId="0CF3F720" w14:textId="7E141804" w:rsidR="00BE03FC" w:rsidRPr="00084AB8" w:rsidRDefault="00BE03FC">
      <w:pPr>
        <w:pStyle w:val="FootnoteText"/>
        <w:rPr>
          <w:lang w:val="en-GB"/>
        </w:rPr>
      </w:pPr>
      <w:r>
        <w:rPr>
          <w:rStyle w:val="FootnoteReference"/>
        </w:rPr>
        <w:footnoteRef/>
      </w:r>
      <w:r>
        <w:t xml:space="preserve"> </w:t>
      </w:r>
      <w:hyperlink r:id="rId4">
        <w:r>
          <w:rPr>
            <w:color w:val="0000FF"/>
            <w:u w:val="single" w:color="0000FF"/>
          </w:rPr>
          <w:t>D.13-09-023</w:t>
        </w:r>
        <w:r>
          <w:rPr>
            <w:color w:val="0000FF"/>
          </w:rPr>
          <w:t xml:space="preserve"> </w:t>
        </w:r>
      </w:hyperlink>
      <w:r>
        <w:t>at page 86.</w:t>
      </w:r>
    </w:p>
  </w:footnote>
  <w:footnote w:id="6">
    <w:p w14:paraId="04D04919" w14:textId="7D1BC16F" w:rsidR="00BE03FC" w:rsidRPr="00084AB8" w:rsidRDefault="00BE03FC">
      <w:pPr>
        <w:pStyle w:val="FootnoteText"/>
        <w:rPr>
          <w:lang w:val="en-GB"/>
        </w:rPr>
      </w:pPr>
      <w:r>
        <w:rPr>
          <w:rStyle w:val="FootnoteReference"/>
        </w:rPr>
        <w:footnoteRef/>
      </w:r>
      <w:r>
        <w:t xml:space="preserve"> A resource program is an energy efficiency program that is intended to achieve, and report quantified energy savings.</w:t>
      </w:r>
    </w:p>
  </w:footnote>
  <w:footnote w:id="7">
    <w:p w14:paraId="2C7C5EC7" w14:textId="68AF28BE" w:rsidR="00BE03FC" w:rsidRPr="00084AB8" w:rsidRDefault="00BE03FC">
      <w:pPr>
        <w:pStyle w:val="FootnoteText"/>
        <w:rPr>
          <w:lang w:val="en-GB"/>
        </w:rPr>
      </w:pPr>
      <w:r>
        <w:rPr>
          <w:rStyle w:val="FootnoteReference"/>
        </w:rPr>
        <w:footnoteRef/>
      </w:r>
      <w:r>
        <w:t xml:space="preserve"> A non-resource program is an energy efficiency program to which energy savings are not directly attributed, but which supports the energy efficiency portfolio through activities such as marketing, training and education, or emerging technology. See D.07-09-043, Section 9.1.</w:t>
      </w:r>
    </w:p>
  </w:footnote>
  <w:footnote w:id="8">
    <w:p w14:paraId="1F68CFDE" w14:textId="7B032480" w:rsidR="00BE03FC" w:rsidRPr="00084AB8" w:rsidRDefault="00BE03FC">
      <w:pPr>
        <w:pStyle w:val="FootnoteText"/>
        <w:rPr>
          <w:lang w:val="en-GB"/>
        </w:rPr>
      </w:pPr>
      <w:r>
        <w:rPr>
          <w:rStyle w:val="FootnoteReference"/>
        </w:rPr>
        <w:footnoteRef/>
      </w:r>
      <w:r>
        <w:t xml:space="preserve"> </w:t>
      </w:r>
      <w:hyperlink r:id="rId5">
        <w:r>
          <w:rPr>
            <w:color w:val="0000FF"/>
            <w:u w:val="single" w:color="0000FF"/>
          </w:rPr>
          <w:t>D.15-10-028</w:t>
        </w:r>
        <w:r>
          <w:t xml:space="preserve">, </w:t>
        </w:r>
      </w:hyperlink>
      <w:r>
        <w:t>Appendix 5.</w:t>
      </w:r>
    </w:p>
  </w:footnote>
  <w:footnote w:id="9">
    <w:p w14:paraId="20FE9156" w14:textId="7A5A7338" w:rsidR="00BE03FC" w:rsidRPr="006D454C" w:rsidRDefault="00BE03FC" w:rsidP="006D454C">
      <w:pPr>
        <w:pStyle w:val="FootnoteText"/>
        <w:rPr>
          <w:i/>
        </w:rPr>
      </w:pPr>
      <w:r>
        <w:rPr>
          <w:rStyle w:val="FootnoteReference"/>
        </w:rPr>
        <w:footnoteRef/>
      </w:r>
      <w:r>
        <w:t xml:space="preserve"> </w:t>
      </w:r>
      <w:hyperlink r:id="rId6">
        <w:r w:rsidRPr="006D454C">
          <w:rPr>
            <w:rStyle w:val="Hyperlink"/>
          </w:rPr>
          <w:t xml:space="preserve"> </w:t>
        </w:r>
        <w:r w:rsidRPr="006D454C">
          <w:rPr>
            <w:rStyle w:val="Hyperlink"/>
            <w:i/>
          </w:rPr>
          <w:t xml:space="preserve">Assigned Commissioner’s Ruling </w:t>
        </w:r>
      </w:hyperlink>
      <w:r w:rsidRPr="006D454C">
        <w:rPr>
          <w:i/>
        </w:rPr>
        <w:t>Regarding 2016 Ex-Post and 2017 Ex-Ante Savings ESPI</w:t>
      </w:r>
      <w:r>
        <w:rPr>
          <w:i/>
        </w:rPr>
        <w:t>.</w:t>
      </w:r>
    </w:p>
    <w:p w14:paraId="106B1601" w14:textId="611A5F5D" w:rsidR="00BE03FC" w:rsidRPr="00084AB8" w:rsidRDefault="00BE03FC">
      <w:pPr>
        <w:pStyle w:val="FootnoteText"/>
        <w:rPr>
          <w:lang w:val="en-GB"/>
        </w:rPr>
      </w:pPr>
    </w:p>
  </w:footnote>
  <w:footnote w:id="10">
    <w:p w14:paraId="17813C04" w14:textId="6E04C646" w:rsidR="00BE03FC" w:rsidRPr="00445FC8" w:rsidRDefault="00BE03FC">
      <w:pPr>
        <w:pStyle w:val="FootnoteText"/>
        <w:rPr>
          <w:lang w:val="en-GB"/>
        </w:rPr>
      </w:pPr>
      <w:r>
        <w:rPr>
          <w:rStyle w:val="FootnoteReference"/>
        </w:rPr>
        <w:footnoteRef/>
      </w:r>
      <w:r>
        <w:t xml:space="preserve"> For certain situations such as a) large Custom projects that commence towards the close of the year and require extensive post-implementation measurement and verification, or b) joint  IOU projects that provide evidence of unavoidable delays for accurate reporting, the Commission has allowed IOUs to claim savings after their initial reporting and approved them on a case-by-case basis.</w:t>
      </w:r>
    </w:p>
  </w:footnote>
  <w:footnote w:id="11">
    <w:p w14:paraId="3070594F" w14:textId="339C8100" w:rsidR="00BE03FC" w:rsidRPr="003A483F" w:rsidRDefault="00BE03FC">
      <w:pPr>
        <w:pStyle w:val="FootnoteText"/>
        <w:rPr>
          <w:lang w:val="en-GB"/>
        </w:rPr>
      </w:pPr>
      <w:r>
        <w:rPr>
          <w:rStyle w:val="FootnoteReference"/>
        </w:rPr>
        <w:footnoteRef/>
      </w:r>
      <w:r>
        <w:t xml:space="preserve"> </w:t>
      </w:r>
      <w:hyperlink r:id="rId7">
        <w:r w:rsidRPr="0066495F">
          <w:rPr>
            <w:rStyle w:val="Hyperlink"/>
          </w:rPr>
          <w:t xml:space="preserve">D.13-09-023, </w:t>
        </w:r>
      </w:hyperlink>
      <w:r w:rsidRPr="0066495F">
        <w:t>Section 7.3 defines uncertain measures as those measures for which Commission believes the net lifetime savings of the current database of energy efficiency resources (DEER) or non-DEER savings estimate may be as much as 50% or more under- or over-estimated.</w:t>
      </w:r>
    </w:p>
  </w:footnote>
  <w:footnote w:id="12">
    <w:p w14:paraId="4AA286B6" w14:textId="63EA4C09" w:rsidR="00BE03FC" w:rsidRPr="00445FC8" w:rsidRDefault="00BE03FC">
      <w:pPr>
        <w:pStyle w:val="FootnoteText"/>
        <w:rPr>
          <w:i/>
        </w:rPr>
      </w:pPr>
      <w:r>
        <w:rPr>
          <w:rStyle w:val="FootnoteReference"/>
        </w:rPr>
        <w:footnoteRef/>
      </w:r>
      <w:r>
        <w:t xml:space="preserve"> </w:t>
      </w:r>
      <w:hyperlink r:id="rId8">
        <w:r w:rsidRPr="0066495F">
          <w:rPr>
            <w:rStyle w:val="Hyperlink"/>
          </w:rPr>
          <w:t xml:space="preserve">CPUC ESPI web page, </w:t>
        </w:r>
      </w:hyperlink>
      <w:r w:rsidRPr="0066495F">
        <w:rPr>
          <w:i/>
        </w:rPr>
        <w:t>Final 2019 Uncertain Measure List</w:t>
      </w:r>
      <w:r>
        <w:rPr>
          <w:i/>
        </w:rPr>
        <w:t>.</w:t>
      </w:r>
    </w:p>
  </w:footnote>
  <w:footnote w:id="13">
    <w:p w14:paraId="10AB3FB2" w14:textId="2E73D567" w:rsidR="00BE03FC" w:rsidRPr="003A483F" w:rsidRDefault="00BE03FC">
      <w:pPr>
        <w:pStyle w:val="FootnoteText"/>
        <w:rPr>
          <w:lang w:val="en-GB"/>
        </w:rPr>
      </w:pPr>
      <w:r>
        <w:rPr>
          <w:rStyle w:val="FootnoteReference"/>
        </w:rPr>
        <w:footnoteRef/>
      </w:r>
      <w:r>
        <w:t xml:space="preserve"> </w:t>
      </w:r>
      <w:hyperlink r:id="rId9">
        <w:r w:rsidRPr="00414727">
          <w:rPr>
            <w:rStyle w:val="Hyperlink"/>
          </w:rPr>
          <w:t xml:space="preserve">D.16-08-019, </w:t>
        </w:r>
      </w:hyperlink>
      <w:r w:rsidRPr="00414727">
        <w:t>Section 7.1</w:t>
      </w:r>
      <w:r>
        <w:t>.</w:t>
      </w:r>
    </w:p>
  </w:footnote>
  <w:footnote w:id="14">
    <w:p w14:paraId="6CA81A9F" w14:textId="2CCEABFB" w:rsidR="00BE03FC" w:rsidRPr="004E3748" w:rsidRDefault="00BE03FC">
      <w:pPr>
        <w:pStyle w:val="FootnoteText"/>
      </w:pPr>
      <w:r>
        <w:rPr>
          <w:rStyle w:val="FootnoteReference"/>
        </w:rPr>
        <w:footnoteRef/>
      </w:r>
      <w:r>
        <w:t xml:space="preserve"> </w:t>
      </w:r>
      <w:hyperlink r:id="rId10">
        <w:r w:rsidRPr="00414727">
          <w:rPr>
            <w:rStyle w:val="Hyperlink"/>
          </w:rPr>
          <w:t xml:space="preserve">D.13-09-023, </w:t>
        </w:r>
      </w:hyperlink>
      <w:r w:rsidRPr="00414727">
        <w:t>Ordering Paragraph (OP) 17</w:t>
      </w:r>
      <w:r>
        <w:t>.</w:t>
      </w:r>
    </w:p>
  </w:footnote>
  <w:footnote w:id="15">
    <w:p w14:paraId="5D7F7E2F" w14:textId="0FA894AD" w:rsidR="00BE03FC" w:rsidRPr="00E24938" w:rsidRDefault="00BE03FC">
      <w:pPr>
        <w:pStyle w:val="FootnoteText"/>
        <w:rPr>
          <w:lang w:val="en-GB"/>
        </w:rPr>
      </w:pPr>
      <w:r>
        <w:rPr>
          <w:rStyle w:val="FootnoteReference"/>
        </w:rPr>
        <w:footnoteRef/>
      </w:r>
      <w:r>
        <w:t xml:space="preserve"> </w:t>
      </w:r>
      <w:hyperlink r:id="rId11">
        <w:r w:rsidRPr="00084F28">
          <w:rPr>
            <w:rStyle w:val="Hyperlink"/>
          </w:rPr>
          <w:t xml:space="preserve">D.15-10-028, </w:t>
        </w:r>
      </w:hyperlink>
      <w:r w:rsidRPr="00084F28">
        <w:t>Section 3.1</w:t>
      </w:r>
      <w:r>
        <w:t>.</w:t>
      </w:r>
    </w:p>
  </w:footnote>
  <w:footnote w:id="16">
    <w:p w14:paraId="676CD9F9" w14:textId="637B538D" w:rsidR="00BE03FC" w:rsidRPr="00E24938" w:rsidRDefault="00BE03FC">
      <w:pPr>
        <w:pStyle w:val="FootnoteText"/>
        <w:rPr>
          <w:lang w:val="en-GB"/>
        </w:rPr>
      </w:pPr>
      <w:r>
        <w:rPr>
          <w:rStyle w:val="FootnoteReference"/>
        </w:rPr>
        <w:footnoteRef/>
      </w:r>
      <w:r>
        <w:t xml:space="preserve"> </w:t>
      </w:r>
      <w:hyperlink r:id="rId12">
        <w:r w:rsidRPr="00084F28">
          <w:rPr>
            <w:rStyle w:val="Hyperlink"/>
          </w:rPr>
          <w:t xml:space="preserve">CPUC ESPI web page, </w:t>
        </w:r>
      </w:hyperlink>
      <w:r w:rsidRPr="00084F28">
        <w:rPr>
          <w:i/>
        </w:rPr>
        <w:t>2018 ESPI Earning Coefficients and Caps</w:t>
      </w:r>
      <w:r>
        <w:rPr>
          <w:i/>
        </w:rPr>
        <w:t>.</w:t>
      </w:r>
    </w:p>
  </w:footnote>
  <w:footnote w:id="17">
    <w:p w14:paraId="39E2A7E4" w14:textId="515C782E" w:rsidR="00BE03FC" w:rsidRPr="00E24938" w:rsidRDefault="00BE03FC">
      <w:pPr>
        <w:pStyle w:val="FootnoteText"/>
        <w:rPr>
          <w:lang w:val="en-GB"/>
        </w:rPr>
      </w:pPr>
      <w:r>
        <w:rPr>
          <w:rStyle w:val="FootnoteReference"/>
        </w:rPr>
        <w:footnoteRef/>
      </w:r>
      <w:r>
        <w:t xml:space="preserve"> </w:t>
      </w:r>
      <w:hyperlink r:id="rId13">
        <w:r w:rsidRPr="00084F28">
          <w:rPr>
            <w:rStyle w:val="Hyperlink"/>
          </w:rPr>
          <w:t xml:space="preserve">CPUC ESPI web page, </w:t>
        </w:r>
      </w:hyperlink>
      <w:r w:rsidRPr="00084F28">
        <w:rPr>
          <w:i/>
        </w:rPr>
        <w:t>2019 ESPI Earning Coefficients and Caps</w:t>
      </w:r>
      <w:r>
        <w:rPr>
          <w:i/>
        </w:rPr>
        <w:t>.</w:t>
      </w:r>
    </w:p>
  </w:footnote>
  <w:footnote w:id="18">
    <w:p w14:paraId="6417516A" w14:textId="0D413612" w:rsidR="00BE03FC" w:rsidRPr="0064533F" w:rsidRDefault="00BE03FC" w:rsidP="00F125EC">
      <w:pPr>
        <w:pStyle w:val="FootnoteText"/>
        <w:rPr>
          <w:lang w:val="en-GB"/>
        </w:rPr>
      </w:pPr>
      <w:r>
        <w:rPr>
          <w:rStyle w:val="FootnoteReference"/>
        </w:rPr>
        <w:footnoteRef/>
      </w:r>
      <w:r>
        <w:t xml:space="preserve"> </w:t>
      </w:r>
      <w:hyperlink r:id="rId14">
        <w:r w:rsidRPr="00084F28">
          <w:rPr>
            <w:rStyle w:val="Hyperlink"/>
          </w:rPr>
          <w:t xml:space="preserve">CPUC ESPI web page, </w:t>
        </w:r>
      </w:hyperlink>
      <w:r>
        <w:t xml:space="preserve">2018 </w:t>
      </w:r>
      <w:r>
        <w:rPr>
          <w:i/>
        </w:rPr>
        <w:t>Savings Performance Statement.</w:t>
      </w:r>
    </w:p>
  </w:footnote>
  <w:footnote w:id="19">
    <w:p w14:paraId="759544F8" w14:textId="5951AE12" w:rsidR="00BE03FC" w:rsidRPr="0052414B" w:rsidRDefault="00BE03FC">
      <w:pPr>
        <w:pStyle w:val="FootnoteText"/>
      </w:pPr>
      <w:r>
        <w:rPr>
          <w:rStyle w:val="FootnoteReference"/>
        </w:rPr>
        <w:footnoteRef/>
      </w:r>
      <w:r>
        <w:t xml:space="preserve"> </w:t>
      </w:r>
      <w:hyperlink r:id="rId15">
        <w:r w:rsidRPr="005B53D7">
          <w:rPr>
            <w:rStyle w:val="Hyperlink"/>
          </w:rPr>
          <w:t xml:space="preserve">CEDARS </w:t>
        </w:r>
      </w:hyperlink>
      <w:r w:rsidRPr="005B53D7">
        <w:t>is the Commission’s online system for receiving various compliance data submittals.</w:t>
      </w:r>
      <w:r>
        <w:t xml:space="preserve"> </w:t>
      </w:r>
      <w:r w:rsidRPr="005B53D7">
        <w:t>The CEDARS program expenditures came from the CEDARS website’s Data tab.</w:t>
      </w:r>
    </w:p>
  </w:footnote>
  <w:footnote w:id="20">
    <w:p w14:paraId="01D725B6" w14:textId="19C40EF5" w:rsidR="00BE03FC" w:rsidRPr="0052414B" w:rsidRDefault="00BE03FC">
      <w:pPr>
        <w:pStyle w:val="FootnoteText"/>
        <w:rPr>
          <w:lang w:val="en-GB"/>
        </w:rPr>
      </w:pPr>
      <w:r>
        <w:rPr>
          <w:rStyle w:val="FootnoteReference"/>
        </w:rPr>
        <w:footnoteRef/>
      </w:r>
      <w:r>
        <w:t xml:space="preserve"> </w:t>
      </w:r>
      <w:hyperlink r:id="rId16" w:history="1">
        <w:r w:rsidRPr="00290E4D">
          <w:rPr>
            <w:rStyle w:val="Hyperlink"/>
          </w:rPr>
          <w:t>Resolution E-5062</w:t>
        </w:r>
      </w:hyperlink>
      <w:r>
        <w:rPr>
          <w:rStyle w:val="Hyperlink"/>
        </w:rPr>
        <w:t>.</w:t>
      </w:r>
    </w:p>
  </w:footnote>
  <w:footnote w:id="21">
    <w:p w14:paraId="1665BF93" w14:textId="117E8C3F" w:rsidR="00BE03FC" w:rsidRPr="00E24938" w:rsidRDefault="00BE03FC">
      <w:pPr>
        <w:pStyle w:val="FootnoteText"/>
        <w:rPr>
          <w:lang w:val="en-GB"/>
        </w:rPr>
      </w:pPr>
      <w:r>
        <w:rPr>
          <w:rStyle w:val="FootnoteReference"/>
        </w:rPr>
        <w:footnoteRef/>
      </w:r>
      <w:r>
        <w:t xml:space="preserve"> </w:t>
      </w:r>
      <w:hyperlink r:id="rId17">
        <w:r w:rsidRPr="005B53D7">
          <w:rPr>
            <w:rStyle w:val="Hyperlink"/>
          </w:rPr>
          <w:t xml:space="preserve">D.13-09-023, </w:t>
        </w:r>
      </w:hyperlink>
      <w:r w:rsidRPr="005B53D7">
        <w:t>Attachment 1</w:t>
      </w:r>
      <w:r>
        <w:t>.</w:t>
      </w:r>
    </w:p>
  </w:footnote>
  <w:footnote w:id="22">
    <w:p w14:paraId="5C0819E8" w14:textId="3ED70C0D" w:rsidR="00BE03FC" w:rsidRPr="009975A3" w:rsidRDefault="00BE03FC">
      <w:pPr>
        <w:pStyle w:val="FootnoteText"/>
        <w:rPr>
          <w:lang w:val="en-GB"/>
        </w:rPr>
      </w:pPr>
      <w:r>
        <w:rPr>
          <w:rStyle w:val="FootnoteReference"/>
        </w:rPr>
        <w:footnoteRef/>
      </w:r>
      <w:r>
        <w:t xml:space="preserve"> </w:t>
      </w:r>
      <w:hyperlink r:id="rId18">
        <w:r w:rsidRPr="00F344F6">
          <w:rPr>
            <w:rStyle w:val="Hyperlink"/>
          </w:rPr>
          <w:t xml:space="preserve">CPUC ESPI web page, </w:t>
        </w:r>
      </w:hyperlink>
      <w:r w:rsidRPr="00F344F6">
        <w:rPr>
          <w:i/>
        </w:rPr>
        <w:t>2019 ESPI Earning Coefficients and Caps</w:t>
      </w:r>
      <w:r>
        <w:rPr>
          <w:i/>
        </w:rPr>
        <w:t>.</w:t>
      </w:r>
    </w:p>
  </w:footnote>
  <w:footnote w:id="23">
    <w:p w14:paraId="66E5587F" w14:textId="5AF62D48" w:rsidR="00BE03FC" w:rsidRPr="00EF0BE7" w:rsidRDefault="00BE03FC">
      <w:pPr>
        <w:pStyle w:val="FootnoteText"/>
        <w:rPr>
          <w:lang w:val="en-GB"/>
        </w:rPr>
      </w:pPr>
      <w:r>
        <w:rPr>
          <w:rStyle w:val="FootnoteReference"/>
        </w:rPr>
        <w:footnoteRef/>
      </w:r>
      <w:r>
        <w:t xml:space="preserve"> </w:t>
      </w:r>
      <w:hyperlink r:id="rId19">
        <w:r w:rsidRPr="004A2B12">
          <w:rPr>
            <w:rStyle w:val="Hyperlink"/>
          </w:rPr>
          <w:t>2019 ESPI EAR Performance Memos</w:t>
        </w:r>
      </w:hyperlink>
      <w:r>
        <w:rPr>
          <w:rStyle w:val="Hyperlink"/>
        </w:rPr>
        <w:t>.</w:t>
      </w:r>
    </w:p>
  </w:footnote>
  <w:footnote w:id="24">
    <w:p w14:paraId="18B4F931" w14:textId="313405D7" w:rsidR="00BE03FC" w:rsidRPr="00EF0BE7" w:rsidRDefault="00BE03FC">
      <w:pPr>
        <w:pStyle w:val="FootnoteText"/>
        <w:rPr>
          <w:lang w:val="en-GB"/>
        </w:rPr>
      </w:pPr>
      <w:r>
        <w:rPr>
          <w:rStyle w:val="FootnoteReference"/>
        </w:rPr>
        <w:footnoteRef/>
      </w:r>
      <w:r>
        <w:t xml:space="preserve"> </w:t>
      </w:r>
      <w:hyperlink r:id="rId20">
        <w:r w:rsidRPr="004A2B12">
          <w:rPr>
            <w:rStyle w:val="Hyperlink"/>
          </w:rPr>
          <w:t xml:space="preserve">D.16-08-019, </w:t>
        </w:r>
      </w:hyperlink>
      <w:r w:rsidRPr="004A2B12">
        <w:t>OP 19</w:t>
      </w:r>
      <w:r>
        <w:t>.</w:t>
      </w:r>
    </w:p>
  </w:footnote>
  <w:footnote w:id="25">
    <w:p w14:paraId="3B8221DE" w14:textId="33D0C50D" w:rsidR="00BE03FC" w:rsidRPr="00EF0BE7" w:rsidRDefault="00BE03FC">
      <w:pPr>
        <w:pStyle w:val="FootnoteText"/>
        <w:rPr>
          <w:lang w:val="en-GB"/>
        </w:rPr>
      </w:pPr>
      <w:r>
        <w:rPr>
          <w:rStyle w:val="FootnoteReference"/>
        </w:rPr>
        <w:footnoteRef/>
      </w:r>
      <w:r>
        <w:t xml:space="preserve"> </w:t>
      </w:r>
      <w:hyperlink r:id="rId21" w:history="1">
        <w:r w:rsidRPr="00290E4D">
          <w:rPr>
            <w:rStyle w:val="Hyperlink"/>
          </w:rPr>
          <w:t>Resolution E-5007</w:t>
        </w:r>
      </w:hyperlink>
      <w:r>
        <w:rPr>
          <w:rStyle w:val="Hyperlink"/>
        </w:rPr>
        <w:t>.</w:t>
      </w:r>
    </w:p>
  </w:footnote>
  <w:footnote w:id="26">
    <w:p w14:paraId="0DDCA6FF" w14:textId="6B24432F" w:rsidR="00BE03FC" w:rsidRPr="00A106AD" w:rsidRDefault="00BE03FC">
      <w:pPr>
        <w:pStyle w:val="FootnoteText"/>
        <w:rPr>
          <w:lang w:val="en-GB"/>
        </w:rPr>
      </w:pPr>
      <w:r>
        <w:rPr>
          <w:rStyle w:val="FootnoteReference"/>
        </w:rPr>
        <w:footnoteRef/>
      </w:r>
      <w:r>
        <w:t xml:space="preserve"> </w:t>
      </w:r>
      <w:hyperlink r:id="rId22">
        <w:r w:rsidRPr="004E3748">
          <w:rPr>
            <w:rStyle w:val="Hyperlink"/>
          </w:rPr>
          <w:t xml:space="preserve">D.16-08-019 </w:t>
        </w:r>
      </w:hyperlink>
      <w:r w:rsidRPr="004E3748">
        <w:t>at 88</w:t>
      </w:r>
      <w:r>
        <w:t>.</w:t>
      </w:r>
    </w:p>
  </w:footnote>
  <w:footnote w:id="27">
    <w:p w14:paraId="0F867F33" w14:textId="69325C81" w:rsidR="00BE03FC" w:rsidRPr="00974DA5" w:rsidRDefault="00BE03FC">
      <w:pPr>
        <w:pStyle w:val="FootnoteText"/>
        <w:rPr>
          <w:lang w:val="en-GB"/>
        </w:rPr>
      </w:pPr>
      <w:r>
        <w:rPr>
          <w:rStyle w:val="FootnoteReference"/>
        </w:rPr>
        <w:footnoteRef/>
      </w:r>
      <w:r>
        <w:t xml:space="preserve"> </w:t>
      </w:r>
      <w:hyperlink r:id="rId23">
        <w:r w:rsidRPr="0020129A">
          <w:rPr>
            <w:rStyle w:val="Hyperlink"/>
          </w:rPr>
          <w:t xml:space="preserve">CPUC ESPI web page, </w:t>
        </w:r>
      </w:hyperlink>
      <w:r w:rsidRPr="0020129A">
        <w:rPr>
          <w:i/>
        </w:rPr>
        <w:t>2018 Savings Performance Statement, Workbooks, and Database</w:t>
      </w:r>
      <w:r>
        <w:rPr>
          <w:i/>
        </w:rPr>
        <w:t>.</w:t>
      </w:r>
    </w:p>
  </w:footnote>
  <w:footnote w:id="28">
    <w:p w14:paraId="7E1AE5C9" w14:textId="60A139BC" w:rsidR="00BE03FC" w:rsidRPr="0052414B" w:rsidRDefault="00BE03FC">
      <w:pPr>
        <w:pStyle w:val="FootnoteText"/>
        <w:rPr>
          <w:lang w:val="en-GB"/>
        </w:rPr>
      </w:pPr>
      <w:r>
        <w:rPr>
          <w:rStyle w:val="FootnoteReference"/>
        </w:rPr>
        <w:footnoteRef/>
      </w:r>
      <w:r>
        <w:t xml:space="preserve"> See email from P. Gruendling to R.13.11.005 and </w:t>
      </w:r>
      <w:r w:rsidRPr="0008103D">
        <w:t>A.17-01-013</w:t>
      </w:r>
      <w:r>
        <w:t xml:space="preserve"> service list on 10/27/2020.</w:t>
      </w:r>
    </w:p>
  </w:footnote>
  <w:footnote w:id="29">
    <w:p w14:paraId="4FF6BEAC" w14:textId="4C13B993" w:rsidR="00BE03FC" w:rsidRPr="0052414B" w:rsidRDefault="00BE03FC">
      <w:pPr>
        <w:pStyle w:val="FootnoteText"/>
        <w:rPr>
          <w:lang w:val="en-GB"/>
        </w:rPr>
      </w:pPr>
      <w:r>
        <w:rPr>
          <w:rStyle w:val="FootnoteReference"/>
        </w:rPr>
        <w:footnoteRef/>
      </w:r>
      <w:r>
        <w:t xml:space="preserve"> </w:t>
      </w:r>
      <w:r>
        <w:rPr>
          <w:lang w:val="en-GB"/>
        </w:rPr>
        <w:t xml:space="preserve">See Appendix E </w:t>
      </w:r>
      <w:hyperlink r:id="rId24">
        <w:r w:rsidRPr="00F30C4F">
          <w:rPr>
            <w:rStyle w:val="Hyperlink"/>
          </w:rPr>
          <w:t xml:space="preserve">CPUC ESPI web page, </w:t>
        </w:r>
      </w:hyperlink>
      <w:r w:rsidRPr="00F30C4F">
        <w:rPr>
          <w:i/>
        </w:rPr>
        <w:t>201</w:t>
      </w:r>
      <w:r>
        <w:rPr>
          <w:i/>
        </w:rPr>
        <w:t>7</w:t>
      </w:r>
      <w:r w:rsidRPr="00F30C4F">
        <w:rPr>
          <w:i/>
        </w:rPr>
        <w:t xml:space="preserve"> Savings </w:t>
      </w:r>
      <w:r>
        <w:rPr>
          <w:i/>
        </w:rPr>
        <w:t>Performance</w:t>
      </w:r>
      <w:r w:rsidRPr="00F30C4F">
        <w:rPr>
          <w:i/>
        </w:rPr>
        <w:t xml:space="preserve"> Statement and Workbook</w:t>
      </w:r>
      <w:r>
        <w:rPr>
          <w:i/>
        </w:rPr>
        <w:t>s.</w:t>
      </w:r>
    </w:p>
  </w:footnote>
  <w:footnote w:id="30">
    <w:p w14:paraId="1E75BF41" w14:textId="2BC307C8" w:rsidR="00BE03FC" w:rsidRPr="0052414B" w:rsidRDefault="00BE03FC">
      <w:pPr>
        <w:pStyle w:val="FootnoteText"/>
        <w:rPr>
          <w:lang w:val="en-GB"/>
        </w:rPr>
      </w:pPr>
      <w:r>
        <w:rPr>
          <w:rStyle w:val="FootnoteReference"/>
        </w:rPr>
        <w:footnoteRef/>
      </w:r>
      <w:r>
        <w:t xml:space="preserve"> </w:t>
      </w:r>
      <w:hyperlink r:id="rId25">
        <w:r w:rsidRPr="00F30C4F">
          <w:rPr>
            <w:rStyle w:val="Hyperlink"/>
          </w:rPr>
          <w:t xml:space="preserve">CPUC ESPI web page, </w:t>
        </w:r>
      </w:hyperlink>
      <w:r w:rsidRPr="00F30C4F">
        <w:rPr>
          <w:i/>
        </w:rPr>
        <w:t>201</w:t>
      </w:r>
      <w:r>
        <w:rPr>
          <w:i/>
        </w:rPr>
        <w:t>8</w:t>
      </w:r>
      <w:r w:rsidRPr="00F30C4F">
        <w:rPr>
          <w:i/>
        </w:rPr>
        <w:t xml:space="preserve"> Savings </w:t>
      </w:r>
      <w:r>
        <w:rPr>
          <w:i/>
        </w:rPr>
        <w:t>Performance</w:t>
      </w:r>
      <w:r w:rsidRPr="00F30C4F">
        <w:rPr>
          <w:i/>
        </w:rPr>
        <w:t xml:space="preserve"> Statement and Workbooks</w:t>
      </w:r>
      <w:r>
        <w:rPr>
          <w:i/>
        </w:rPr>
        <w:t>.</w:t>
      </w:r>
    </w:p>
  </w:footnote>
  <w:footnote w:id="31">
    <w:p w14:paraId="27BB2857" w14:textId="6498F4A7" w:rsidR="00BE03FC" w:rsidRPr="00974DA5" w:rsidRDefault="00BE03FC">
      <w:pPr>
        <w:pStyle w:val="FootnoteText"/>
        <w:rPr>
          <w:lang w:val="en-GB"/>
        </w:rPr>
      </w:pPr>
      <w:r>
        <w:rPr>
          <w:rStyle w:val="FootnoteReference"/>
        </w:rPr>
        <w:footnoteRef/>
      </w:r>
      <w:r>
        <w:t xml:space="preserve"> </w:t>
      </w:r>
      <w:hyperlink r:id="rId26">
        <w:r w:rsidRPr="00F30C4F">
          <w:rPr>
            <w:rStyle w:val="Hyperlink"/>
          </w:rPr>
          <w:t xml:space="preserve">CPUC ESPI web page, </w:t>
        </w:r>
      </w:hyperlink>
      <w:r w:rsidRPr="00F30C4F">
        <w:rPr>
          <w:i/>
        </w:rPr>
        <w:t>2019 Savings Adjustment Statement and Workbooks</w:t>
      </w:r>
      <w:r>
        <w:rPr>
          <w:i/>
        </w:rPr>
        <w:t>.</w:t>
      </w:r>
    </w:p>
  </w:footnote>
  <w:footnote w:id="32">
    <w:p w14:paraId="356E4985" w14:textId="30DFD353" w:rsidR="00BE03FC" w:rsidRPr="00974DA5" w:rsidRDefault="00BE03FC">
      <w:pPr>
        <w:pStyle w:val="FootnoteText"/>
        <w:rPr>
          <w:lang w:val="en-GB"/>
        </w:rPr>
      </w:pPr>
      <w:r>
        <w:rPr>
          <w:rStyle w:val="FootnoteReference"/>
        </w:rPr>
        <w:footnoteRef/>
      </w:r>
      <w:r>
        <w:t xml:space="preserve"> </w:t>
      </w:r>
      <w:hyperlink r:id="rId27" w:history="1">
        <w:r w:rsidRPr="00290E4D">
          <w:rPr>
            <w:rStyle w:val="Hyperlink"/>
            <w:lang w:val="en-GB"/>
          </w:rPr>
          <w:t>Resolution E-4952</w:t>
        </w:r>
      </w:hyperlink>
      <w:r>
        <w:rPr>
          <w:i/>
          <w:iCs/>
          <w:lang w:val="en-GB"/>
        </w:rPr>
        <w:t>.</w:t>
      </w:r>
    </w:p>
  </w:footnote>
  <w:footnote w:id="33">
    <w:p w14:paraId="3DA5D772" w14:textId="5AEEA3AD" w:rsidR="00BE03FC" w:rsidRPr="002D6C89" w:rsidRDefault="00BE03FC">
      <w:pPr>
        <w:pStyle w:val="FootnoteText"/>
        <w:rPr>
          <w:lang w:val="en-GB"/>
        </w:rPr>
      </w:pPr>
      <w:r>
        <w:rPr>
          <w:rStyle w:val="FootnoteReference"/>
        </w:rPr>
        <w:footnoteRef/>
      </w:r>
      <w:r>
        <w:t xml:space="preserve"> </w:t>
      </w:r>
      <w:hyperlink r:id="rId28">
        <w:r w:rsidRPr="007867CB">
          <w:rPr>
            <w:rStyle w:val="Hyperlink"/>
          </w:rPr>
          <w:t xml:space="preserve">CPUC ESPI web page, </w:t>
        </w:r>
      </w:hyperlink>
      <w:r w:rsidRPr="007867CB">
        <w:rPr>
          <w:i/>
        </w:rPr>
        <w:t>2019 Expenditures Workbook</w:t>
      </w:r>
      <w:r>
        <w:rPr>
          <w:i/>
        </w:rPr>
        <w:t>.</w:t>
      </w:r>
    </w:p>
  </w:footnote>
  <w:footnote w:id="34">
    <w:p w14:paraId="6F2D99F7" w14:textId="6C58A375" w:rsidR="00BE03FC" w:rsidRPr="00782D3D" w:rsidRDefault="00BE03FC">
      <w:pPr>
        <w:pStyle w:val="FootnoteText"/>
        <w:rPr>
          <w:i/>
        </w:rPr>
      </w:pPr>
      <w:r>
        <w:rPr>
          <w:rStyle w:val="FootnoteReference"/>
        </w:rPr>
        <w:footnoteRef/>
      </w:r>
      <w:r>
        <w:t xml:space="preserve"> </w:t>
      </w:r>
      <w:hyperlink r:id="rId29">
        <w:r w:rsidRPr="00406F98">
          <w:rPr>
            <w:rStyle w:val="Hyperlink"/>
          </w:rPr>
          <w:t xml:space="preserve">CPUC ESPI web page, </w:t>
        </w:r>
      </w:hyperlink>
      <w:r w:rsidRPr="00406F98">
        <w:rPr>
          <w:i/>
        </w:rPr>
        <w:t>Guidelines for the 2020 AL submission</w:t>
      </w:r>
      <w:r>
        <w:rPr>
          <w:i/>
        </w:rPr>
        <w:t>.</w:t>
      </w:r>
    </w:p>
  </w:footnote>
  <w:footnote w:id="35">
    <w:p w14:paraId="53077130" w14:textId="1F83B67E" w:rsidR="00BE03FC" w:rsidRPr="002D6C89" w:rsidRDefault="00BE03FC">
      <w:pPr>
        <w:pStyle w:val="FootnoteText"/>
        <w:rPr>
          <w:lang w:val="en-GB"/>
        </w:rPr>
      </w:pPr>
      <w:r>
        <w:rPr>
          <w:rStyle w:val="FootnoteReference"/>
        </w:rPr>
        <w:footnoteRef/>
      </w:r>
      <w:r>
        <w:t xml:space="preserve"> </w:t>
      </w:r>
      <w:hyperlink r:id="rId30">
        <w:r w:rsidRPr="00B01389">
          <w:rPr>
            <w:rStyle w:val="Hyperlink"/>
          </w:rPr>
          <w:t xml:space="preserve">D.13-12-028 </w:t>
        </w:r>
      </w:hyperlink>
      <w:r w:rsidRPr="00B01389">
        <w:t xml:space="preserve">at 94; </w:t>
      </w:r>
      <w:hyperlink r:id="rId31">
        <w:r w:rsidRPr="00B01389">
          <w:rPr>
            <w:rStyle w:val="Hyperlink"/>
          </w:rPr>
          <w:t xml:space="preserve">Resolution E-4897 </w:t>
        </w:r>
      </w:hyperlink>
      <w:r w:rsidRPr="00B01389">
        <w:t>at 12</w:t>
      </w:r>
      <w:r>
        <w:t>.</w:t>
      </w:r>
    </w:p>
  </w:footnote>
  <w:footnote w:id="36">
    <w:p w14:paraId="21938383" w14:textId="1AFCC456" w:rsidR="00BE03FC" w:rsidRPr="002D6C89" w:rsidRDefault="00BE03FC">
      <w:pPr>
        <w:pStyle w:val="FootnoteText"/>
        <w:rPr>
          <w:lang w:val="en-GB"/>
        </w:rPr>
      </w:pPr>
      <w:r>
        <w:rPr>
          <w:rStyle w:val="FootnoteReference"/>
        </w:rPr>
        <w:footnoteRef/>
      </w:r>
      <w:r>
        <w:t xml:space="preserve"> </w:t>
      </w:r>
      <w:hyperlink r:id="rId32">
        <w:r w:rsidRPr="00B01389">
          <w:rPr>
            <w:rStyle w:val="Hyperlink"/>
          </w:rPr>
          <w:t xml:space="preserve">D.13-09-023, </w:t>
        </w:r>
      </w:hyperlink>
      <w:r w:rsidRPr="00B01389">
        <w:t>OP 3</w:t>
      </w:r>
      <w:r>
        <w:t>.</w:t>
      </w:r>
    </w:p>
  </w:footnote>
  <w:footnote w:id="37">
    <w:p w14:paraId="3B8B9D5E" w14:textId="79940C0A" w:rsidR="00BE03FC" w:rsidRPr="002D6C89" w:rsidRDefault="00BE03FC">
      <w:pPr>
        <w:pStyle w:val="FootnoteText"/>
        <w:rPr>
          <w:lang w:val="en-GB"/>
        </w:rPr>
      </w:pPr>
      <w:r>
        <w:rPr>
          <w:rStyle w:val="FootnoteReference"/>
        </w:rPr>
        <w:footnoteRef/>
      </w:r>
      <w:r>
        <w:t xml:space="preserve"> </w:t>
      </w:r>
      <w:hyperlink r:id="rId33">
        <w:r w:rsidRPr="00B01389">
          <w:rPr>
            <w:rStyle w:val="Hyperlink"/>
          </w:rPr>
          <w:t xml:space="preserve">D.09-09-047 </w:t>
        </w:r>
      </w:hyperlink>
      <w:r w:rsidRPr="00B01389">
        <w:t>at 63 and OP 13.</w:t>
      </w:r>
    </w:p>
  </w:footnote>
  <w:footnote w:id="38">
    <w:p w14:paraId="18355187" w14:textId="17995736" w:rsidR="00BE03FC" w:rsidRPr="002B3488" w:rsidRDefault="00BE03FC">
      <w:pPr>
        <w:pStyle w:val="FootnoteText"/>
      </w:pPr>
      <w:r>
        <w:rPr>
          <w:rStyle w:val="FootnoteReference"/>
        </w:rPr>
        <w:footnoteRef/>
      </w:r>
      <w:r>
        <w:t xml:space="preserve"> </w:t>
      </w:r>
      <w:r w:rsidRPr="00B01389">
        <w:t xml:space="preserve">DINI costs have also been referred to as “Implementation – Customer Services” and “Non- Incentive and Rebates Budget for program delivery,” e.g. in </w:t>
      </w:r>
      <w:hyperlink r:id="rId34">
        <w:r w:rsidRPr="00B01389">
          <w:rPr>
            <w:rStyle w:val="Hyperlink"/>
          </w:rPr>
          <w:t xml:space="preserve">D.12-11-015 </w:t>
        </w:r>
      </w:hyperlink>
      <w:r w:rsidRPr="00B01389">
        <w:t xml:space="preserve">at 98 and </w:t>
      </w:r>
      <w:hyperlink r:id="rId35">
        <w:r w:rsidRPr="00B01389">
          <w:rPr>
            <w:rStyle w:val="Hyperlink"/>
          </w:rPr>
          <w:t>D.09-09-047</w:t>
        </w:r>
      </w:hyperlink>
      <w:r w:rsidRPr="00B01389">
        <w:t xml:space="preserve"> at 74.</w:t>
      </w:r>
    </w:p>
  </w:footnote>
  <w:footnote w:id="39">
    <w:p w14:paraId="33C1979F" w14:textId="6E04D26F" w:rsidR="00BE03FC" w:rsidRPr="002D6C89" w:rsidRDefault="00BE03FC">
      <w:pPr>
        <w:pStyle w:val="FootnoteText"/>
        <w:rPr>
          <w:lang w:val="en-GB"/>
        </w:rPr>
      </w:pPr>
      <w:r>
        <w:rPr>
          <w:rStyle w:val="FootnoteReference"/>
        </w:rPr>
        <w:footnoteRef/>
      </w:r>
      <w:r>
        <w:t xml:space="preserve"> </w:t>
      </w:r>
      <w:hyperlink r:id="rId36">
        <w:r w:rsidRPr="00B01389">
          <w:rPr>
            <w:rStyle w:val="Hyperlink"/>
          </w:rPr>
          <w:t xml:space="preserve">D.09-09-047 </w:t>
        </w:r>
      </w:hyperlink>
      <w:r w:rsidRPr="00B01389">
        <w:t>at 62</w:t>
      </w:r>
      <w:r>
        <w:t>.</w:t>
      </w:r>
    </w:p>
  </w:footnote>
  <w:footnote w:id="40">
    <w:p w14:paraId="0D2B42BE" w14:textId="4A09D932" w:rsidR="00BE03FC" w:rsidRPr="002D6C89" w:rsidRDefault="00BE03FC">
      <w:pPr>
        <w:pStyle w:val="FootnoteText"/>
        <w:rPr>
          <w:lang w:val="en-GB"/>
        </w:rPr>
      </w:pPr>
      <w:r>
        <w:rPr>
          <w:rStyle w:val="FootnoteReference"/>
        </w:rPr>
        <w:footnoteRef/>
      </w:r>
      <w:r>
        <w:t xml:space="preserve"> </w:t>
      </w:r>
      <w:hyperlink r:id="rId37">
        <w:r w:rsidRPr="00B01389">
          <w:rPr>
            <w:rStyle w:val="Hyperlink"/>
          </w:rPr>
          <w:t xml:space="preserve">CPUC ESPI web page, </w:t>
        </w:r>
      </w:hyperlink>
      <w:r w:rsidRPr="00B01389">
        <w:rPr>
          <w:i/>
        </w:rPr>
        <w:t>2018 Expenditures Workbook</w:t>
      </w:r>
      <w:r w:rsidRPr="00B01389">
        <w:t>, “Adjusted DINI ME&amp;O” worksheet</w:t>
      </w:r>
      <w:r>
        <w:t>.</w:t>
      </w:r>
    </w:p>
  </w:footnote>
  <w:footnote w:id="41">
    <w:p w14:paraId="34603D50" w14:textId="76DE2A27" w:rsidR="00BE03FC" w:rsidRPr="009E3C25" w:rsidRDefault="00BE03FC">
      <w:pPr>
        <w:pStyle w:val="FootnoteText"/>
        <w:rPr>
          <w:lang w:val="en-GB"/>
        </w:rPr>
      </w:pPr>
      <w:r>
        <w:rPr>
          <w:rStyle w:val="FootnoteReference"/>
        </w:rPr>
        <w:footnoteRef/>
      </w:r>
      <w:r>
        <w:t xml:space="preserve"> </w:t>
      </w:r>
      <w:hyperlink r:id="rId38">
        <w:r w:rsidRPr="00B01389">
          <w:rPr>
            <w:rStyle w:val="Hyperlink"/>
          </w:rPr>
          <w:t xml:space="preserve">D.09-09-047, </w:t>
        </w:r>
      </w:hyperlink>
      <w:r w:rsidRPr="00B01389">
        <w:t xml:space="preserve">Section 1; </w:t>
      </w:r>
      <w:hyperlink r:id="rId39">
        <w:r w:rsidRPr="00B01389">
          <w:rPr>
            <w:rStyle w:val="Hyperlink"/>
          </w:rPr>
          <w:t>D.12-11-015</w:t>
        </w:r>
      </w:hyperlink>
      <w:r w:rsidRPr="00B01389">
        <w:t>, Section 6.2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F537" w14:textId="77777777" w:rsidR="002649F8" w:rsidRDefault="0026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E00C" w14:textId="400DD797" w:rsidR="009A7554" w:rsidRDefault="009A7554" w:rsidP="002649F8">
    <w:pPr>
      <w:pStyle w:val="Header"/>
      <w:jc w:val="center"/>
    </w:pPr>
    <w:bookmarkStart w:id="2" w:name="_GoBack"/>
    <w:bookmarkEnd w:id="2"/>
    <w: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B768" w14:textId="77777777" w:rsidR="002649F8" w:rsidRDefault="00264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F59C" w14:textId="742B099C" w:rsidR="009A7554" w:rsidRDefault="009A7554" w:rsidP="005C28D2">
    <w:pPr>
      <w:spacing w:before="1"/>
      <w:rPr>
        <w:rFonts w:ascii="Book Antiqua"/>
        <w:b/>
        <w:sz w:val="24"/>
      </w:rPr>
    </w:pPr>
    <w:r>
      <w:t>Resolution E-5108</w:t>
    </w:r>
    <w:r>
      <w:tab/>
      <w:t xml:space="preserve">                                      DRAFT</w:t>
    </w:r>
    <w:r>
      <w:tab/>
    </w:r>
    <w:r>
      <w:tab/>
      <w:t xml:space="preserve">                             </w:t>
    </w:r>
    <w:r w:rsidR="002F6761">
      <w:rPr>
        <w:rFonts w:ascii="Book Antiqua"/>
        <w:bCs/>
        <w:sz w:val="24"/>
      </w:rPr>
      <w:t>January 14, 2021</w:t>
    </w:r>
  </w:p>
  <w:p w14:paraId="7F2A39B6" w14:textId="77777777" w:rsidR="009A7554" w:rsidRDefault="009A7554" w:rsidP="005C28D2">
    <w:pPr>
      <w:pStyle w:val="Header"/>
    </w:pPr>
    <w:r w:rsidRPr="00A34A3B">
      <w:t>PG&amp;E 4304-G/5937-E, SCE 4281-E, SDG&amp;E 3598 E/2898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49F"/>
    <w:multiLevelType w:val="hybridMultilevel"/>
    <w:tmpl w:val="0F5CA376"/>
    <w:lvl w:ilvl="0" w:tplc="73865590">
      <w:start w:val="1"/>
      <w:numFmt w:val="decimal"/>
      <w:lvlText w:val="%1."/>
      <w:lvlJc w:val="left"/>
      <w:pPr>
        <w:ind w:left="3544" w:hanging="360"/>
      </w:pPr>
      <w:rPr>
        <w:rFonts w:ascii="Palatino Linotype" w:eastAsia="Palatino Linotype" w:hAnsi="Palatino Linotype" w:cs="Palatino Linotype" w:hint="default"/>
        <w:w w:val="99"/>
        <w:sz w:val="26"/>
        <w:szCs w:val="26"/>
        <w:lang w:val="en-US" w:eastAsia="en-US" w:bidi="en-US"/>
      </w:rPr>
    </w:lvl>
    <w:lvl w:ilvl="1" w:tplc="ED461ADA">
      <w:numFmt w:val="bullet"/>
      <w:lvlText w:val="•"/>
      <w:lvlJc w:val="left"/>
      <w:pPr>
        <w:ind w:left="4468" w:hanging="360"/>
      </w:pPr>
      <w:rPr>
        <w:rFonts w:hint="default"/>
        <w:lang w:val="en-US" w:eastAsia="en-US" w:bidi="en-US"/>
      </w:rPr>
    </w:lvl>
    <w:lvl w:ilvl="2" w:tplc="769E1522">
      <w:numFmt w:val="bullet"/>
      <w:lvlText w:val="•"/>
      <w:lvlJc w:val="left"/>
      <w:pPr>
        <w:ind w:left="5392" w:hanging="360"/>
      </w:pPr>
      <w:rPr>
        <w:rFonts w:hint="default"/>
        <w:lang w:val="en-US" w:eastAsia="en-US" w:bidi="en-US"/>
      </w:rPr>
    </w:lvl>
    <w:lvl w:ilvl="3" w:tplc="3CAC263E">
      <w:numFmt w:val="bullet"/>
      <w:lvlText w:val="•"/>
      <w:lvlJc w:val="left"/>
      <w:pPr>
        <w:ind w:left="6316" w:hanging="360"/>
      </w:pPr>
      <w:rPr>
        <w:rFonts w:hint="default"/>
        <w:lang w:val="en-US" w:eastAsia="en-US" w:bidi="en-US"/>
      </w:rPr>
    </w:lvl>
    <w:lvl w:ilvl="4" w:tplc="9CBC8162">
      <w:numFmt w:val="bullet"/>
      <w:lvlText w:val="•"/>
      <w:lvlJc w:val="left"/>
      <w:pPr>
        <w:ind w:left="7240" w:hanging="360"/>
      </w:pPr>
      <w:rPr>
        <w:rFonts w:hint="default"/>
        <w:lang w:val="en-US" w:eastAsia="en-US" w:bidi="en-US"/>
      </w:rPr>
    </w:lvl>
    <w:lvl w:ilvl="5" w:tplc="EAFA05D2">
      <w:numFmt w:val="bullet"/>
      <w:lvlText w:val="•"/>
      <w:lvlJc w:val="left"/>
      <w:pPr>
        <w:ind w:left="8164" w:hanging="360"/>
      </w:pPr>
      <w:rPr>
        <w:rFonts w:hint="default"/>
        <w:lang w:val="en-US" w:eastAsia="en-US" w:bidi="en-US"/>
      </w:rPr>
    </w:lvl>
    <w:lvl w:ilvl="6" w:tplc="C4988C3C">
      <w:numFmt w:val="bullet"/>
      <w:lvlText w:val="•"/>
      <w:lvlJc w:val="left"/>
      <w:pPr>
        <w:ind w:left="9088" w:hanging="360"/>
      </w:pPr>
      <w:rPr>
        <w:rFonts w:hint="default"/>
        <w:lang w:val="en-US" w:eastAsia="en-US" w:bidi="en-US"/>
      </w:rPr>
    </w:lvl>
    <w:lvl w:ilvl="7" w:tplc="6C0A591A">
      <w:numFmt w:val="bullet"/>
      <w:lvlText w:val="•"/>
      <w:lvlJc w:val="left"/>
      <w:pPr>
        <w:ind w:left="10012" w:hanging="360"/>
      </w:pPr>
      <w:rPr>
        <w:rFonts w:hint="default"/>
        <w:lang w:val="en-US" w:eastAsia="en-US" w:bidi="en-US"/>
      </w:rPr>
    </w:lvl>
    <w:lvl w:ilvl="8" w:tplc="ABE649FA">
      <w:numFmt w:val="bullet"/>
      <w:lvlText w:val="•"/>
      <w:lvlJc w:val="left"/>
      <w:pPr>
        <w:ind w:left="10936" w:hanging="360"/>
      </w:pPr>
      <w:rPr>
        <w:rFonts w:hint="default"/>
        <w:lang w:val="en-US" w:eastAsia="en-US" w:bidi="en-US"/>
      </w:rPr>
    </w:lvl>
  </w:abstractNum>
  <w:abstractNum w:abstractNumId="1" w15:restartNumberingAfterBreak="0">
    <w:nsid w:val="0A49500E"/>
    <w:multiLevelType w:val="multilevel"/>
    <w:tmpl w:val="6FCA35EE"/>
    <w:lvl w:ilvl="0">
      <w:start w:val="3"/>
      <w:numFmt w:val="decimal"/>
      <w:lvlText w:val="%1"/>
      <w:lvlJc w:val="left"/>
      <w:pPr>
        <w:ind w:left="580" w:hanging="360"/>
      </w:pPr>
      <w:rPr>
        <w:rFonts w:hint="default"/>
        <w:lang w:val="en-US" w:eastAsia="en-US" w:bidi="en-US"/>
      </w:rPr>
    </w:lvl>
    <w:lvl w:ilvl="1">
      <w:start w:val="1"/>
      <w:numFmt w:val="decimal"/>
      <w:lvlText w:val="%1.%2"/>
      <w:lvlJc w:val="left"/>
      <w:pPr>
        <w:ind w:left="580" w:hanging="360"/>
      </w:pPr>
      <w:rPr>
        <w:rFonts w:ascii="Palatino Linotype" w:eastAsia="Palatino Linotype" w:hAnsi="Palatino Linotype" w:cs="Palatino Linotype" w:hint="default"/>
        <w:spacing w:val="-4"/>
        <w:w w:val="100"/>
        <w:sz w:val="24"/>
        <w:szCs w:val="24"/>
        <w:lang w:val="en-US" w:eastAsia="en-US" w:bidi="en-US"/>
      </w:rPr>
    </w:lvl>
    <w:lvl w:ilvl="2">
      <w:numFmt w:val="bullet"/>
      <w:lvlText w:val=""/>
      <w:lvlJc w:val="left"/>
      <w:pPr>
        <w:ind w:left="998" w:hanging="360"/>
      </w:pPr>
      <w:rPr>
        <w:rFonts w:ascii="Wingdings" w:eastAsia="Wingdings" w:hAnsi="Wingdings" w:cs="Wingdings" w:hint="default"/>
        <w:w w:val="100"/>
        <w:sz w:val="24"/>
        <w:szCs w:val="24"/>
        <w:lang w:val="en-US" w:eastAsia="en-US" w:bidi="en-US"/>
      </w:rPr>
    </w:lvl>
    <w:lvl w:ilvl="3">
      <w:numFmt w:val="bullet"/>
      <w:lvlText w:val="•"/>
      <w:lvlJc w:val="left"/>
      <w:pPr>
        <w:ind w:left="2960" w:hanging="360"/>
      </w:pPr>
      <w:rPr>
        <w:rFonts w:hint="default"/>
        <w:lang w:val="en-US" w:eastAsia="en-US" w:bidi="en-US"/>
      </w:rPr>
    </w:lvl>
    <w:lvl w:ilvl="4">
      <w:numFmt w:val="bullet"/>
      <w:lvlText w:val="•"/>
      <w:lvlJc w:val="left"/>
      <w:pPr>
        <w:ind w:left="3940" w:hanging="360"/>
      </w:pPr>
      <w:rPr>
        <w:rFonts w:hint="default"/>
        <w:lang w:val="en-US" w:eastAsia="en-US" w:bidi="en-US"/>
      </w:rPr>
    </w:lvl>
    <w:lvl w:ilvl="5">
      <w:numFmt w:val="bullet"/>
      <w:lvlText w:val="•"/>
      <w:lvlJc w:val="left"/>
      <w:pPr>
        <w:ind w:left="4920" w:hanging="360"/>
      </w:pPr>
      <w:rPr>
        <w:rFonts w:hint="default"/>
        <w:lang w:val="en-US" w:eastAsia="en-US" w:bidi="en-US"/>
      </w:rPr>
    </w:lvl>
    <w:lvl w:ilvl="6">
      <w:numFmt w:val="bullet"/>
      <w:lvlText w:val="•"/>
      <w:lvlJc w:val="left"/>
      <w:pPr>
        <w:ind w:left="5900" w:hanging="360"/>
      </w:pPr>
      <w:rPr>
        <w:rFonts w:hint="default"/>
        <w:lang w:val="en-US" w:eastAsia="en-US" w:bidi="en-US"/>
      </w:rPr>
    </w:lvl>
    <w:lvl w:ilvl="7">
      <w:numFmt w:val="bullet"/>
      <w:lvlText w:val="•"/>
      <w:lvlJc w:val="left"/>
      <w:pPr>
        <w:ind w:left="6880" w:hanging="360"/>
      </w:pPr>
      <w:rPr>
        <w:rFonts w:hint="default"/>
        <w:lang w:val="en-US" w:eastAsia="en-US" w:bidi="en-US"/>
      </w:rPr>
    </w:lvl>
    <w:lvl w:ilvl="8">
      <w:numFmt w:val="bullet"/>
      <w:lvlText w:val="•"/>
      <w:lvlJc w:val="left"/>
      <w:pPr>
        <w:ind w:left="7860" w:hanging="360"/>
      </w:pPr>
      <w:rPr>
        <w:rFonts w:hint="default"/>
        <w:lang w:val="en-US" w:eastAsia="en-US" w:bidi="en-US"/>
      </w:rPr>
    </w:lvl>
  </w:abstractNum>
  <w:abstractNum w:abstractNumId="2" w15:restartNumberingAfterBreak="0">
    <w:nsid w:val="179D0F9D"/>
    <w:multiLevelType w:val="multilevel"/>
    <w:tmpl w:val="75B64EFC"/>
    <w:lvl w:ilvl="0">
      <w:start w:val="2"/>
      <w:numFmt w:val="decimal"/>
      <w:lvlText w:val="%1"/>
      <w:lvlJc w:val="left"/>
      <w:pPr>
        <w:ind w:left="580" w:hanging="360"/>
      </w:pPr>
      <w:rPr>
        <w:rFonts w:hint="default"/>
        <w:lang w:val="en-US" w:eastAsia="en-US" w:bidi="en-US"/>
      </w:rPr>
    </w:lvl>
    <w:lvl w:ilvl="1">
      <w:start w:val="1"/>
      <w:numFmt w:val="decimal"/>
      <w:lvlText w:val="%1.%2"/>
      <w:lvlJc w:val="left"/>
      <w:pPr>
        <w:ind w:left="580" w:hanging="360"/>
      </w:pPr>
      <w:rPr>
        <w:rFonts w:ascii="Palatino Linotype" w:eastAsia="Palatino Linotype" w:hAnsi="Palatino Linotype" w:cs="Palatino Linotype" w:hint="default"/>
        <w:spacing w:val="-4"/>
        <w:w w:val="100"/>
        <w:sz w:val="24"/>
        <w:szCs w:val="24"/>
        <w:lang w:val="en-US" w:eastAsia="en-US" w:bidi="en-US"/>
      </w:rPr>
    </w:lvl>
    <w:lvl w:ilvl="2">
      <w:numFmt w:val="bullet"/>
      <w:lvlText w:val=""/>
      <w:lvlJc w:val="left"/>
      <w:pPr>
        <w:ind w:left="998" w:hanging="360"/>
      </w:pPr>
      <w:rPr>
        <w:rFonts w:ascii="Wingdings" w:eastAsia="Wingdings" w:hAnsi="Wingdings" w:cs="Wingdings" w:hint="default"/>
        <w:w w:val="100"/>
        <w:sz w:val="24"/>
        <w:szCs w:val="24"/>
        <w:lang w:val="en-US" w:eastAsia="en-US" w:bidi="en-US"/>
      </w:rPr>
    </w:lvl>
    <w:lvl w:ilvl="3">
      <w:numFmt w:val="bullet"/>
      <w:lvlText w:val="•"/>
      <w:lvlJc w:val="left"/>
      <w:pPr>
        <w:ind w:left="2960" w:hanging="360"/>
      </w:pPr>
      <w:rPr>
        <w:rFonts w:hint="default"/>
        <w:lang w:val="en-US" w:eastAsia="en-US" w:bidi="en-US"/>
      </w:rPr>
    </w:lvl>
    <w:lvl w:ilvl="4">
      <w:numFmt w:val="bullet"/>
      <w:lvlText w:val="•"/>
      <w:lvlJc w:val="left"/>
      <w:pPr>
        <w:ind w:left="3940" w:hanging="360"/>
      </w:pPr>
      <w:rPr>
        <w:rFonts w:hint="default"/>
        <w:lang w:val="en-US" w:eastAsia="en-US" w:bidi="en-US"/>
      </w:rPr>
    </w:lvl>
    <w:lvl w:ilvl="5">
      <w:numFmt w:val="bullet"/>
      <w:lvlText w:val="•"/>
      <w:lvlJc w:val="left"/>
      <w:pPr>
        <w:ind w:left="4920" w:hanging="360"/>
      </w:pPr>
      <w:rPr>
        <w:rFonts w:hint="default"/>
        <w:lang w:val="en-US" w:eastAsia="en-US" w:bidi="en-US"/>
      </w:rPr>
    </w:lvl>
    <w:lvl w:ilvl="6">
      <w:numFmt w:val="bullet"/>
      <w:lvlText w:val="•"/>
      <w:lvlJc w:val="left"/>
      <w:pPr>
        <w:ind w:left="5900" w:hanging="360"/>
      </w:pPr>
      <w:rPr>
        <w:rFonts w:hint="default"/>
        <w:lang w:val="en-US" w:eastAsia="en-US" w:bidi="en-US"/>
      </w:rPr>
    </w:lvl>
    <w:lvl w:ilvl="7">
      <w:numFmt w:val="bullet"/>
      <w:lvlText w:val="•"/>
      <w:lvlJc w:val="left"/>
      <w:pPr>
        <w:ind w:left="6880" w:hanging="360"/>
      </w:pPr>
      <w:rPr>
        <w:rFonts w:hint="default"/>
        <w:lang w:val="en-US" w:eastAsia="en-US" w:bidi="en-US"/>
      </w:rPr>
    </w:lvl>
    <w:lvl w:ilvl="8">
      <w:numFmt w:val="bullet"/>
      <w:lvlText w:val="•"/>
      <w:lvlJc w:val="left"/>
      <w:pPr>
        <w:ind w:left="7860" w:hanging="360"/>
      </w:pPr>
      <w:rPr>
        <w:rFonts w:hint="default"/>
        <w:lang w:val="en-US" w:eastAsia="en-US" w:bidi="en-US"/>
      </w:rPr>
    </w:lvl>
  </w:abstractNum>
  <w:abstractNum w:abstractNumId="3" w15:restartNumberingAfterBreak="0">
    <w:nsid w:val="19546E04"/>
    <w:multiLevelType w:val="hybridMultilevel"/>
    <w:tmpl w:val="C7B4D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E44CC"/>
    <w:multiLevelType w:val="hybridMultilevel"/>
    <w:tmpl w:val="FCCCEB34"/>
    <w:lvl w:ilvl="0" w:tplc="C1208790">
      <w:start w:val="1"/>
      <w:numFmt w:val="decimal"/>
      <w:lvlText w:val="%1."/>
      <w:lvlJc w:val="left"/>
      <w:pPr>
        <w:ind w:left="640" w:hanging="420"/>
      </w:pPr>
      <w:rPr>
        <w:rFonts w:ascii="Palatino Linotype" w:eastAsia="Palatino Linotype" w:hAnsi="Palatino Linotype" w:cs="Palatino Linotype" w:hint="default"/>
        <w:w w:val="99"/>
        <w:sz w:val="26"/>
        <w:szCs w:val="26"/>
        <w:lang w:val="en-US" w:eastAsia="en-US" w:bidi="en-US"/>
      </w:rPr>
    </w:lvl>
    <w:lvl w:ilvl="1" w:tplc="0B808B1A">
      <w:numFmt w:val="bullet"/>
      <w:lvlText w:val="•"/>
      <w:lvlJc w:val="left"/>
      <w:pPr>
        <w:ind w:left="1558" w:hanging="420"/>
      </w:pPr>
      <w:rPr>
        <w:rFonts w:hint="default"/>
        <w:lang w:val="en-US" w:eastAsia="en-US" w:bidi="en-US"/>
      </w:rPr>
    </w:lvl>
    <w:lvl w:ilvl="2" w:tplc="1034EA98">
      <w:numFmt w:val="bullet"/>
      <w:lvlText w:val="•"/>
      <w:lvlJc w:val="left"/>
      <w:pPr>
        <w:ind w:left="2476" w:hanging="420"/>
      </w:pPr>
      <w:rPr>
        <w:rFonts w:hint="default"/>
        <w:lang w:val="en-US" w:eastAsia="en-US" w:bidi="en-US"/>
      </w:rPr>
    </w:lvl>
    <w:lvl w:ilvl="3" w:tplc="5942CF32">
      <w:numFmt w:val="bullet"/>
      <w:lvlText w:val="•"/>
      <w:lvlJc w:val="left"/>
      <w:pPr>
        <w:ind w:left="3394" w:hanging="420"/>
      </w:pPr>
      <w:rPr>
        <w:rFonts w:hint="default"/>
        <w:lang w:val="en-US" w:eastAsia="en-US" w:bidi="en-US"/>
      </w:rPr>
    </w:lvl>
    <w:lvl w:ilvl="4" w:tplc="40D49576">
      <w:numFmt w:val="bullet"/>
      <w:lvlText w:val="•"/>
      <w:lvlJc w:val="left"/>
      <w:pPr>
        <w:ind w:left="4312" w:hanging="420"/>
      </w:pPr>
      <w:rPr>
        <w:rFonts w:hint="default"/>
        <w:lang w:val="en-US" w:eastAsia="en-US" w:bidi="en-US"/>
      </w:rPr>
    </w:lvl>
    <w:lvl w:ilvl="5" w:tplc="4AA4F158">
      <w:numFmt w:val="bullet"/>
      <w:lvlText w:val="•"/>
      <w:lvlJc w:val="left"/>
      <w:pPr>
        <w:ind w:left="5230" w:hanging="420"/>
      </w:pPr>
      <w:rPr>
        <w:rFonts w:hint="default"/>
        <w:lang w:val="en-US" w:eastAsia="en-US" w:bidi="en-US"/>
      </w:rPr>
    </w:lvl>
    <w:lvl w:ilvl="6" w:tplc="6026EB1A">
      <w:numFmt w:val="bullet"/>
      <w:lvlText w:val="•"/>
      <w:lvlJc w:val="left"/>
      <w:pPr>
        <w:ind w:left="6148" w:hanging="420"/>
      </w:pPr>
      <w:rPr>
        <w:rFonts w:hint="default"/>
        <w:lang w:val="en-US" w:eastAsia="en-US" w:bidi="en-US"/>
      </w:rPr>
    </w:lvl>
    <w:lvl w:ilvl="7" w:tplc="CEEE31BE">
      <w:numFmt w:val="bullet"/>
      <w:lvlText w:val="•"/>
      <w:lvlJc w:val="left"/>
      <w:pPr>
        <w:ind w:left="7066" w:hanging="420"/>
      </w:pPr>
      <w:rPr>
        <w:rFonts w:hint="default"/>
        <w:lang w:val="en-US" w:eastAsia="en-US" w:bidi="en-US"/>
      </w:rPr>
    </w:lvl>
    <w:lvl w:ilvl="8" w:tplc="A1DE4420">
      <w:numFmt w:val="bullet"/>
      <w:lvlText w:val="•"/>
      <w:lvlJc w:val="left"/>
      <w:pPr>
        <w:ind w:left="7984" w:hanging="420"/>
      </w:pPr>
      <w:rPr>
        <w:rFonts w:hint="default"/>
        <w:lang w:val="en-US" w:eastAsia="en-US" w:bidi="en-US"/>
      </w:rPr>
    </w:lvl>
  </w:abstractNum>
  <w:abstractNum w:abstractNumId="5" w15:restartNumberingAfterBreak="0">
    <w:nsid w:val="4BBF2E14"/>
    <w:multiLevelType w:val="multilevel"/>
    <w:tmpl w:val="98C069A8"/>
    <w:lvl w:ilvl="0">
      <w:start w:val="1"/>
      <w:numFmt w:val="decimal"/>
      <w:lvlText w:val="%1"/>
      <w:lvlJc w:val="left"/>
      <w:pPr>
        <w:ind w:left="580" w:hanging="360"/>
      </w:pPr>
      <w:rPr>
        <w:rFonts w:hint="default"/>
        <w:lang w:val="en-US" w:eastAsia="en-US" w:bidi="en-US"/>
      </w:rPr>
    </w:lvl>
    <w:lvl w:ilvl="1">
      <w:start w:val="1"/>
      <w:numFmt w:val="decimal"/>
      <w:lvlText w:val="%1.%2"/>
      <w:lvlJc w:val="left"/>
      <w:pPr>
        <w:ind w:left="580" w:hanging="360"/>
      </w:pPr>
      <w:rPr>
        <w:rFonts w:ascii="Palatino Linotype" w:eastAsia="Palatino Linotype" w:hAnsi="Palatino Linotype" w:cs="Palatino Linotype" w:hint="default"/>
        <w:spacing w:val="-4"/>
        <w:w w:val="100"/>
        <w:sz w:val="24"/>
        <w:szCs w:val="24"/>
        <w:lang w:val="en-US" w:eastAsia="en-US" w:bidi="en-US"/>
      </w:rPr>
    </w:lvl>
    <w:lvl w:ilvl="2">
      <w:numFmt w:val="bullet"/>
      <w:lvlText w:val=""/>
      <w:lvlJc w:val="left"/>
      <w:pPr>
        <w:ind w:left="998" w:hanging="360"/>
      </w:pPr>
      <w:rPr>
        <w:rFonts w:ascii="Wingdings" w:eastAsia="Wingdings" w:hAnsi="Wingdings" w:cs="Wingdings" w:hint="default"/>
        <w:w w:val="100"/>
        <w:sz w:val="24"/>
        <w:szCs w:val="24"/>
        <w:lang w:val="en-US" w:eastAsia="en-US" w:bidi="en-US"/>
      </w:rPr>
    </w:lvl>
    <w:lvl w:ilvl="3">
      <w:numFmt w:val="bullet"/>
      <w:lvlText w:val="•"/>
      <w:lvlJc w:val="left"/>
      <w:pPr>
        <w:ind w:left="2960" w:hanging="360"/>
      </w:pPr>
      <w:rPr>
        <w:rFonts w:hint="default"/>
        <w:lang w:val="en-US" w:eastAsia="en-US" w:bidi="en-US"/>
      </w:rPr>
    </w:lvl>
    <w:lvl w:ilvl="4">
      <w:numFmt w:val="bullet"/>
      <w:lvlText w:val="•"/>
      <w:lvlJc w:val="left"/>
      <w:pPr>
        <w:ind w:left="3940" w:hanging="360"/>
      </w:pPr>
      <w:rPr>
        <w:rFonts w:hint="default"/>
        <w:lang w:val="en-US" w:eastAsia="en-US" w:bidi="en-US"/>
      </w:rPr>
    </w:lvl>
    <w:lvl w:ilvl="5">
      <w:numFmt w:val="bullet"/>
      <w:lvlText w:val="•"/>
      <w:lvlJc w:val="left"/>
      <w:pPr>
        <w:ind w:left="4920" w:hanging="360"/>
      </w:pPr>
      <w:rPr>
        <w:rFonts w:hint="default"/>
        <w:lang w:val="en-US" w:eastAsia="en-US" w:bidi="en-US"/>
      </w:rPr>
    </w:lvl>
    <w:lvl w:ilvl="6">
      <w:numFmt w:val="bullet"/>
      <w:lvlText w:val="•"/>
      <w:lvlJc w:val="left"/>
      <w:pPr>
        <w:ind w:left="5900" w:hanging="360"/>
      </w:pPr>
      <w:rPr>
        <w:rFonts w:hint="default"/>
        <w:lang w:val="en-US" w:eastAsia="en-US" w:bidi="en-US"/>
      </w:rPr>
    </w:lvl>
    <w:lvl w:ilvl="7">
      <w:numFmt w:val="bullet"/>
      <w:lvlText w:val="•"/>
      <w:lvlJc w:val="left"/>
      <w:pPr>
        <w:ind w:left="6880" w:hanging="360"/>
      </w:pPr>
      <w:rPr>
        <w:rFonts w:hint="default"/>
        <w:lang w:val="en-US" w:eastAsia="en-US" w:bidi="en-US"/>
      </w:rPr>
    </w:lvl>
    <w:lvl w:ilvl="8">
      <w:numFmt w:val="bullet"/>
      <w:lvlText w:val="•"/>
      <w:lvlJc w:val="left"/>
      <w:pPr>
        <w:ind w:left="7860" w:hanging="360"/>
      </w:pPr>
      <w:rPr>
        <w:rFonts w:hint="default"/>
        <w:lang w:val="en-US" w:eastAsia="en-US" w:bidi="en-US"/>
      </w:rPr>
    </w:lvl>
  </w:abstractNum>
  <w:abstractNum w:abstractNumId="6" w15:restartNumberingAfterBreak="0">
    <w:nsid w:val="4F78637F"/>
    <w:multiLevelType w:val="hybridMultilevel"/>
    <w:tmpl w:val="A6A466B8"/>
    <w:lvl w:ilvl="0" w:tplc="31423884">
      <w:start w:val="1"/>
      <w:numFmt w:val="upperLetter"/>
      <w:lvlText w:val="%1."/>
      <w:lvlJc w:val="left"/>
      <w:pPr>
        <w:ind w:left="940" w:hanging="360"/>
      </w:pPr>
      <w:rPr>
        <w:rFonts w:ascii="Palatino Linotype" w:eastAsia="Palatino Linotype" w:hAnsi="Palatino Linotype" w:cs="Palatino Linotype" w:hint="default"/>
        <w:b/>
        <w:bCs/>
        <w:spacing w:val="-30"/>
        <w:w w:val="100"/>
        <w:sz w:val="24"/>
        <w:szCs w:val="24"/>
        <w:lang w:val="en-US" w:eastAsia="en-US" w:bidi="en-US"/>
      </w:rPr>
    </w:lvl>
    <w:lvl w:ilvl="1" w:tplc="91828E4A">
      <w:numFmt w:val="bullet"/>
      <w:lvlText w:val="•"/>
      <w:lvlJc w:val="left"/>
      <w:pPr>
        <w:ind w:left="1828" w:hanging="360"/>
      </w:pPr>
      <w:rPr>
        <w:rFonts w:hint="default"/>
        <w:lang w:val="en-US" w:eastAsia="en-US" w:bidi="en-US"/>
      </w:rPr>
    </w:lvl>
    <w:lvl w:ilvl="2" w:tplc="2C9841F2">
      <w:numFmt w:val="bullet"/>
      <w:lvlText w:val="•"/>
      <w:lvlJc w:val="left"/>
      <w:pPr>
        <w:ind w:left="2716" w:hanging="360"/>
      </w:pPr>
      <w:rPr>
        <w:rFonts w:hint="default"/>
        <w:lang w:val="en-US" w:eastAsia="en-US" w:bidi="en-US"/>
      </w:rPr>
    </w:lvl>
    <w:lvl w:ilvl="3" w:tplc="48F8E8FA">
      <w:numFmt w:val="bullet"/>
      <w:lvlText w:val="•"/>
      <w:lvlJc w:val="left"/>
      <w:pPr>
        <w:ind w:left="3604" w:hanging="360"/>
      </w:pPr>
      <w:rPr>
        <w:rFonts w:hint="default"/>
        <w:lang w:val="en-US" w:eastAsia="en-US" w:bidi="en-US"/>
      </w:rPr>
    </w:lvl>
    <w:lvl w:ilvl="4" w:tplc="4ECE84B4">
      <w:numFmt w:val="bullet"/>
      <w:lvlText w:val="•"/>
      <w:lvlJc w:val="left"/>
      <w:pPr>
        <w:ind w:left="4492" w:hanging="360"/>
      </w:pPr>
      <w:rPr>
        <w:rFonts w:hint="default"/>
        <w:lang w:val="en-US" w:eastAsia="en-US" w:bidi="en-US"/>
      </w:rPr>
    </w:lvl>
    <w:lvl w:ilvl="5" w:tplc="6CF09978">
      <w:numFmt w:val="bullet"/>
      <w:lvlText w:val="•"/>
      <w:lvlJc w:val="left"/>
      <w:pPr>
        <w:ind w:left="5380" w:hanging="360"/>
      </w:pPr>
      <w:rPr>
        <w:rFonts w:hint="default"/>
        <w:lang w:val="en-US" w:eastAsia="en-US" w:bidi="en-US"/>
      </w:rPr>
    </w:lvl>
    <w:lvl w:ilvl="6" w:tplc="18F0FC44">
      <w:numFmt w:val="bullet"/>
      <w:lvlText w:val="•"/>
      <w:lvlJc w:val="left"/>
      <w:pPr>
        <w:ind w:left="6268" w:hanging="360"/>
      </w:pPr>
      <w:rPr>
        <w:rFonts w:hint="default"/>
        <w:lang w:val="en-US" w:eastAsia="en-US" w:bidi="en-US"/>
      </w:rPr>
    </w:lvl>
    <w:lvl w:ilvl="7" w:tplc="85F6965A">
      <w:numFmt w:val="bullet"/>
      <w:lvlText w:val="•"/>
      <w:lvlJc w:val="left"/>
      <w:pPr>
        <w:ind w:left="7156" w:hanging="360"/>
      </w:pPr>
      <w:rPr>
        <w:rFonts w:hint="default"/>
        <w:lang w:val="en-US" w:eastAsia="en-US" w:bidi="en-US"/>
      </w:rPr>
    </w:lvl>
    <w:lvl w:ilvl="8" w:tplc="6BC018BA">
      <w:numFmt w:val="bullet"/>
      <w:lvlText w:val="•"/>
      <w:lvlJc w:val="left"/>
      <w:pPr>
        <w:ind w:left="8044" w:hanging="360"/>
      </w:pPr>
      <w:rPr>
        <w:rFonts w:hint="default"/>
        <w:lang w:val="en-US" w:eastAsia="en-US" w:bidi="en-US"/>
      </w:rPr>
    </w:lvl>
  </w:abstractNum>
  <w:abstractNum w:abstractNumId="7" w15:restartNumberingAfterBreak="0">
    <w:nsid w:val="50D36CE2"/>
    <w:multiLevelType w:val="hybridMultilevel"/>
    <w:tmpl w:val="CB6693AE"/>
    <w:lvl w:ilvl="0" w:tplc="E1C4C7A4">
      <w:numFmt w:val="bullet"/>
      <w:lvlText w:val=""/>
      <w:lvlJc w:val="left"/>
      <w:pPr>
        <w:ind w:left="940" w:hanging="360"/>
      </w:pPr>
      <w:rPr>
        <w:rFonts w:ascii="Wingdings" w:eastAsia="Wingdings" w:hAnsi="Wingdings" w:cs="Wingdings" w:hint="default"/>
        <w:w w:val="100"/>
        <w:sz w:val="24"/>
        <w:szCs w:val="24"/>
        <w:lang w:val="en-US" w:eastAsia="en-US" w:bidi="en-US"/>
      </w:rPr>
    </w:lvl>
    <w:lvl w:ilvl="1" w:tplc="8B6C54FA">
      <w:numFmt w:val="bullet"/>
      <w:lvlText w:val="•"/>
      <w:lvlJc w:val="left"/>
      <w:pPr>
        <w:ind w:left="1828" w:hanging="360"/>
      </w:pPr>
      <w:rPr>
        <w:rFonts w:hint="default"/>
        <w:lang w:val="en-US" w:eastAsia="en-US" w:bidi="en-US"/>
      </w:rPr>
    </w:lvl>
    <w:lvl w:ilvl="2" w:tplc="519C4522">
      <w:numFmt w:val="bullet"/>
      <w:lvlText w:val="•"/>
      <w:lvlJc w:val="left"/>
      <w:pPr>
        <w:ind w:left="2716" w:hanging="360"/>
      </w:pPr>
      <w:rPr>
        <w:rFonts w:hint="default"/>
        <w:lang w:val="en-US" w:eastAsia="en-US" w:bidi="en-US"/>
      </w:rPr>
    </w:lvl>
    <w:lvl w:ilvl="3" w:tplc="B2283ABC">
      <w:numFmt w:val="bullet"/>
      <w:lvlText w:val="•"/>
      <w:lvlJc w:val="left"/>
      <w:pPr>
        <w:ind w:left="3604" w:hanging="360"/>
      </w:pPr>
      <w:rPr>
        <w:rFonts w:hint="default"/>
        <w:lang w:val="en-US" w:eastAsia="en-US" w:bidi="en-US"/>
      </w:rPr>
    </w:lvl>
    <w:lvl w:ilvl="4" w:tplc="936E6826">
      <w:numFmt w:val="bullet"/>
      <w:lvlText w:val="•"/>
      <w:lvlJc w:val="left"/>
      <w:pPr>
        <w:ind w:left="4492" w:hanging="360"/>
      </w:pPr>
      <w:rPr>
        <w:rFonts w:hint="default"/>
        <w:lang w:val="en-US" w:eastAsia="en-US" w:bidi="en-US"/>
      </w:rPr>
    </w:lvl>
    <w:lvl w:ilvl="5" w:tplc="0A748324">
      <w:numFmt w:val="bullet"/>
      <w:lvlText w:val="•"/>
      <w:lvlJc w:val="left"/>
      <w:pPr>
        <w:ind w:left="5380" w:hanging="360"/>
      </w:pPr>
      <w:rPr>
        <w:rFonts w:hint="default"/>
        <w:lang w:val="en-US" w:eastAsia="en-US" w:bidi="en-US"/>
      </w:rPr>
    </w:lvl>
    <w:lvl w:ilvl="6" w:tplc="A06E319A">
      <w:numFmt w:val="bullet"/>
      <w:lvlText w:val="•"/>
      <w:lvlJc w:val="left"/>
      <w:pPr>
        <w:ind w:left="6268" w:hanging="360"/>
      </w:pPr>
      <w:rPr>
        <w:rFonts w:hint="default"/>
        <w:lang w:val="en-US" w:eastAsia="en-US" w:bidi="en-US"/>
      </w:rPr>
    </w:lvl>
    <w:lvl w:ilvl="7" w:tplc="4E1AD578">
      <w:numFmt w:val="bullet"/>
      <w:lvlText w:val="•"/>
      <w:lvlJc w:val="left"/>
      <w:pPr>
        <w:ind w:left="7156" w:hanging="360"/>
      </w:pPr>
      <w:rPr>
        <w:rFonts w:hint="default"/>
        <w:lang w:val="en-US" w:eastAsia="en-US" w:bidi="en-US"/>
      </w:rPr>
    </w:lvl>
    <w:lvl w:ilvl="8" w:tplc="07C43D02">
      <w:numFmt w:val="bullet"/>
      <w:lvlText w:val="•"/>
      <w:lvlJc w:val="left"/>
      <w:pPr>
        <w:ind w:left="8044" w:hanging="360"/>
      </w:pPr>
      <w:rPr>
        <w:rFonts w:hint="default"/>
        <w:lang w:val="en-US" w:eastAsia="en-US" w:bidi="en-US"/>
      </w:rPr>
    </w:lvl>
  </w:abstractNum>
  <w:abstractNum w:abstractNumId="8" w15:restartNumberingAfterBreak="0">
    <w:nsid w:val="5F8C5093"/>
    <w:multiLevelType w:val="hybridMultilevel"/>
    <w:tmpl w:val="A1C6A6C8"/>
    <w:lvl w:ilvl="0" w:tplc="CAF23726">
      <w:start w:val="1"/>
      <w:numFmt w:val="decimal"/>
      <w:lvlText w:val="%1."/>
      <w:lvlJc w:val="left"/>
      <w:pPr>
        <w:ind w:left="940" w:hanging="360"/>
      </w:pPr>
      <w:rPr>
        <w:rFonts w:ascii="Palatino Linotype" w:eastAsia="Palatino Linotype" w:hAnsi="Palatino Linotype" w:cs="Palatino Linotype" w:hint="default"/>
        <w:b/>
        <w:bCs/>
        <w:spacing w:val="-1"/>
        <w:w w:val="100"/>
        <w:sz w:val="24"/>
        <w:szCs w:val="24"/>
        <w:lang w:val="en-US" w:eastAsia="en-US" w:bidi="en-US"/>
      </w:rPr>
    </w:lvl>
    <w:lvl w:ilvl="1" w:tplc="20667502">
      <w:numFmt w:val="bullet"/>
      <w:lvlText w:val="•"/>
      <w:lvlJc w:val="left"/>
      <w:pPr>
        <w:ind w:left="1828" w:hanging="360"/>
      </w:pPr>
      <w:rPr>
        <w:rFonts w:hint="default"/>
        <w:lang w:val="en-US" w:eastAsia="en-US" w:bidi="en-US"/>
      </w:rPr>
    </w:lvl>
    <w:lvl w:ilvl="2" w:tplc="59EE890E">
      <w:numFmt w:val="bullet"/>
      <w:lvlText w:val="•"/>
      <w:lvlJc w:val="left"/>
      <w:pPr>
        <w:ind w:left="2716" w:hanging="360"/>
      </w:pPr>
      <w:rPr>
        <w:rFonts w:hint="default"/>
        <w:lang w:val="en-US" w:eastAsia="en-US" w:bidi="en-US"/>
      </w:rPr>
    </w:lvl>
    <w:lvl w:ilvl="3" w:tplc="63FC4F12">
      <w:numFmt w:val="bullet"/>
      <w:lvlText w:val="•"/>
      <w:lvlJc w:val="left"/>
      <w:pPr>
        <w:ind w:left="3604" w:hanging="360"/>
      </w:pPr>
      <w:rPr>
        <w:rFonts w:hint="default"/>
        <w:lang w:val="en-US" w:eastAsia="en-US" w:bidi="en-US"/>
      </w:rPr>
    </w:lvl>
    <w:lvl w:ilvl="4" w:tplc="BC0E0500">
      <w:numFmt w:val="bullet"/>
      <w:lvlText w:val="•"/>
      <w:lvlJc w:val="left"/>
      <w:pPr>
        <w:ind w:left="4492" w:hanging="360"/>
      </w:pPr>
      <w:rPr>
        <w:rFonts w:hint="default"/>
        <w:lang w:val="en-US" w:eastAsia="en-US" w:bidi="en-US"/>
      </w:rPr>
    </w:lvl>
    <w:lvl w:ilvl="5" w:tplc="0D164C2C">
      <w:numFmt w:val="bullet"/>
      <w:lvlText w:val="•"/>
      <w:lvlJc w:val="left"/>
      <w:pPr>
        <w:ind w:left="5380" w:hanging="360"/>
      </w:pPr>
      <w:rPr>
        <w:rFonts w:hint="default"/>
        <w:lang w:val="en-US" w:eastAsia="en-US" w:bidi="en-US"/>
      </w:rPr>
    </w:lvl>
    <w:lvl w:ilvl="6" w:tplc="AC888AF6">
      <w:numFmt w:val="bullet"/>
      <w:lvlText w:val="•"/>
      <w:lvlJc w:val="left"/>
      <w:pPr>
        <w:ind w:left="6268" w:hanging="360"/>
      </w:pPr>
      <w:rPr>
        <w:rFonts w:hint="default"/>
        <w:lang w:val="en-US" w:eastAsia="en-US" w:bidi="en-US"/>
      </w:rPr>
    </w:lvl>
    <w:lvl w:ilvl="7" w:tplc="89F0601C">
      <w:numFmt w:val="bullet"/>
      <w:lvlText w:val="•"/>
      <w:lvlJc w:val="left"/>
      <w:pPr>
        <w:ind w:left="7156" w:hanging="360"/>
      </w:pPr>
      <w:rPr>
        <w:rFonts w:hint="default"/>
        <w:lang w:val="en-US" w:eastAsia="en-US" w:bidi="en-US"/>
      </w:rPr>
    </w:lvl>
    <w:lvl w:ilvl="8" w:tplc="AC769DCA">
      <w:numFmt w:val="bullet"/>
      <w:lvlText w:val="•"/>
      <w:lvlJc w:val="left"/>
      <w:pPr>
        <w:ind w:left="8044" w:hanging="360"/>
      </w:pPr>
      <w:rPr>
        <w:rFonts w:hint="default"/>
        <w:lang w:val="en-US" w:eastAsia="en-US" w:bidi="en-US"/>
      </w:rPr>
    </w:lvl>
  </w:abstractNum>
  <w:abstractNum w:abstractNumId="9" w15:restartNumberingAfterBreak="0">
    <w:nsid w:val="6F933BED"/>
    <w:multiLevelType w:val="hybridMultilevel"/>
    <w:tmpl w:val="62B07AB6"/>
    <w:lvl w:ilvl="0" w:tplc="2B7216D0">
      <w:start w:val="1"/>
      <w:numFmt w:val="decimal"/>
      <w:lvlText w:val="%1)"/>
      <w:lvlJc w:val="left"/>
      <w:pPr>
        <w:ind w:left="940" w:hanging="360"/>
      </w:pPr>
      <w:rPr>
        <w:rFonts w:ascii="Palatino Linotype" w:eastAsia="Palatino Linotype" w:hAnsi="Palatino Linotype" w:cs="Palatino Linotype" w:hint="default"/>
        <w:b/>
        <w:bCs/>
        <w:spacing w:val="-20"/>
        <w:w w:val="100"/>
        <w:sz w:val="24"/>
        <w:szCs w:val="24"/>
        <w:lang w:val="en-US" w:eastAsia="en-US" w:bidi="en-US"/>
      </w:rPr>
    </w:lvl>
    <w:lvl w:ilvl="1" w:tplc="8AF2F1FC">
      <w:start w:val="1"/>
      <w:numFmt w:val="lowerLetter"/>
      <w:lvlText w:val="%2)"/>
      <w:lvlJc w:val="left"/>
      <w:pPr>
        <w:ind w:left="1300" w:hanging="360"/>
      </w:pPr>
      <w:rPr>
        <w:rFonts w:ascii="Palatino Linotype" w:eastAsia="Palatino Linotype" w:hAnsi="Palatino Linotype" w:cs="Palatino Linotype" w:hint="default"/>
        <w:b/>
        <w:bCs/>
        <w:spacing w:val="-20"/>
        <w:w w:val="100"/>
        <w:sz w:val="24"/>
        <w:szCs w:val="24"/>
        <w:lang w:val="en-US" w:eastAsia="en-US" w:bidi="en-US"/>
      </w:rPr>
    </w:lvl>
    <w:lvl w:ilvl="2" w:tplc="065EA18C">
      <w:numFmt w:val="bullet"/>
      <w:lvlText w:val="•"/>
      <w:lvlJc w:val="left"/>
      <w:pPr>
        <w:ind w:left="2246" w:hanging="360"/>
      </w:pPr>
      <w:rPr>
        <w:rFonts w:hint="default"/>
        <w:lang w:val="en-US" w:eastAsia="en-US" w:bidi="en-US"/>
      </w:rPr>
    </w:lvl>
    <w:lvl w:ilvl="3" w:tplc="F3966DBE">
      <w:numFmt w:val="bullet"/>
      <w:lvlText w:val="•"/>
      <w:lvlJc w:val="left"/>
      <w:pPr>
        <w:ind w:left="3193" w:hanging="360"/>
      </w:pPr>
      <w:rPr>
        <w:rFonts w:hint="default"/>
        <w:lang w:val="en-US" w:eastAsia="en-US" w:bidi="en-US"/>
      </w:rPr>
    </w:lvl>
    <w:lvl w:ilvl="4" w:tplc="894ED53E">
      <w:numFmt w:val="bullet"/>
      <w:lvlText w:val="•"/>
      <w:lvlJc w:val="left"/>
      <w:pPr>
        <w:ind w:left="4140" w:hanging="360"/>
      </w:pPr>
      <w:rPr>
        <w:rFonts w:hint="default"/>
        <w:lang w:val="en-US" w:eastAsia="en-US" w:bidi="en-US"/>
      </w:rPr>
    </w:lvl>
    <w:lvl w:ilvl="5" w:tplc="3D2E871C">
      <w:numFmt w:val="bullet"/>
      <w:lvlText w:val="•"/>
      <w:lvlJc w:val="left"/>
      <w:pPr>
        <w:ind w:left="5086" w:hanging="360"/>
      </w:pPr>
      <w:rPr>
        <w:rFonts w:hint="default"/>
        <w:lang w:val="en-US" w:eastAsia="en-US" w:bidi="en-US"/>
      </w:rPr>
    </w:lvl>
    <w:lvl w:ilvl="6" w:tplc="DF6CCE76">
      <w:numFmt w:val="bullet"/>
      <w:lvlText w:val="•"/>
      <w:lvlJc w:val="left"/>
      <w:pPr>
        <w:ind w:left="6033" w:hanging="360"/>
      </w:pPr>
      <w:rPr>
        <w:rFonts w:hint="default"/>
        <w:lang w:val="en-US" w:eastAsia="en-US" w:bidi="en-US"/>
      </w:rPr>
    </w:lvl>
    <w:lvl w:ilvl="7" w:tplc="237A6954">
      <w:numFmt w:val="bullet"/>
      <w:lvlText w:val="•"/>
      <w:lvlJc w:val="left"/>
      <w:pPr>
        <w:ind w:left="6980" w:hanging="360"/>
      </w:pPr>
      <w:rPr>
        <w:rFonts w:hint="default"/>
        <w:lang w:val="en-US" w:eastAsia="en-US" w:bidi="en-US"/>
      </w:rPr>
    </w:lvl>
    <w:lvl w:ilvl="8" w:tplc="55CAA702">
      <w:numFmt w:val="bullet"/>
      <w:lvlText w:val="•"/>
      <w:lvlJc w:val="left"/>
      <w:pPr>
        <w:ind w:left="7926" w:hanging="360"/>
      </w:pPr>
      <w:rPr>
        <w:rFonts w:hint="default"/>
        <w:lang w:val="en-US" w:eastAsia="en-US" w:bidi="en-US"/>
      </w:rPr>
    </w:lvl>
  </w:abstractNum>
  <w:abstractNum w:abstractNumId="10" w15:restartNumberingAfterBreak="0">
    <w:nsid w:val="79726478"/>
    <w:multiLevelType w:val="hybridMultilevel"/>
    <w:tmpl w:val="493E4CAE"/>
    <w:lvl w:ilvl="0" w:tplc="22103E52">
      <w:start w:val="1"/>
      <w:numFmt w:val="decimal"/>
      <w:lvlText w:val="%1)"/>
      <w:lvlJc w:val="left"/>
      <w:pPr>
        <w:ind w:left="940" w:hanging="360"/>
      </w:pPr>
      <w:rPr>
        <w:rFonts w:ascii="Palatino Linotype" w:eastAsia="Palatino Linotype" w:hAnsi="Palatino Linotype" w:cs="Palatino Linotype" w:hint="default"/>
        <w:spacing w:val="-30"/>
        <w:w w:val="100"/>
        <w:sz w:val="24"/>
        <w:szCs w:val="24"/>
        <w:lang w:val="en-US" w:eastAsia="en-US" w:bidi="en-US"/>
      </w:rPr>
    </w:lvl>
    <w:lvl w:ilvl="1" w:tplc="242637F0">
      <w:numFmt w:val="bullet"/>
      <w:lvlText w:val="•"/>
      <w:lvlJc w:val="left"/>
      <w:pPr>
        <w:ind w:left="1828" w:hanging="360"/>
      </w:pPr>
      <w:rPr>
        <w:rFonts w:hint="default"/>
        <w:lang w:val="en-US" w:eastAsia="en-US" w:bidi="en-US"/>
      </w:rPr>
    </w:lvl>
    <w:lvl w:ilvl="2" w:tplc="73AA9CC4">
      <w:numFmt w:val="bullet"/>
      <w:lvlText w:val="•"/>
      <w:lvlJc w:val="left"/>
      <w:pPr>
        <w:ind w:left="2716" w:hanging="360"/>
      </w:pPr>
      <w:rPr>
        <w:rFonts w:hint="default"/>
        <w:lang w:val="en-US" w:eastAsia="en-US" w:bidi="en-US"/>
      </w:rPr>
    </w:lvl>
    <w:lvl w:ilvl="3" w:tplc="BC9AF0F0">
      <w:numFmt w:val="bullet"/>
      <w:lvlText w:val="•"/>
      <w:lvlJc w:val="left"/>
      <w:pPr>
        <w:ind w:left="3604" w:hanging="360"/>
      </w:pPr>
      <w:rPr>
        <w:rFonts w:hint="default"/>
        <w:lang w:val="en-US" w:eastAsia="en-US" w:bidi="en-US"/>
      </w:rPr>
    </w:lvl>
    <w:lvl w:ilvl="4" w:tplc="EFD0B802">
      <w:numFmt w:val="bullet"/>
      <w:lvlText w:val="•"/>
      <w:lvlJc w:val="left"/>
      <w:pPr>
        <w:ind w:left="4492" w:hanging="360"/>
      </w:pPr>
      <w:rPr>
        <w:rFonts w:hint="default"/>
        <w:lang w:val="en-US" w:eastAsia="en-US" w:bidi="en-US"/>
      </w:rPr>
    </w:lvl>
    <w:lvl w:ilvl="5" w:tplc="C3A4F2EA">
      <w:numFmt w:val="bullet"/>
      <w:lvlText w:val="•"/>
      <w:lvlJc w:val="left"/>
      <w:pPr>
        <w:ind w:left="5380" w:hanging="360"/>
      </w:pPr>
      <w:rPr>
        <w:rFonts w:hint="default"/>
        <w:lang w:val="en-US" w:eastAsia="en-US" w:bidi="en-US"/>
      </w:rPr>
    </w:lvl>
    <w:lvl w:ilvl="6" w:tplc="A8C2C150">
      <w:numFmt w:val="bullet"/>
      <w:lvlText w:val="•"/>
      <w:lvlJc w:val="left"/>
      <w:pPr>
        <w:ind w:left="6268" w:hanging="360"/>
      </w:pPr>
      <w:rPr>
        <w:rFonts w:hint="default"/>
        <w:lang w:val="en-US" w:eastAsia="en-US" w:bidi="en-US"/>
      </w:rPr>
    </w:lvl>
    <w:lvl w:ilvl="7" w:tplc="99B89ED2">
      <w:numFmt w:val="bullet"/>
      <w:lvlText w:val="•"/>
      <w:lvlJc w:val="left"/>
      <w:pPr>
        <w:ind w:left="7156" w:hanging="360"/>
      </w:pPr>
      <w:rPr>
        <w:rFonts w:hint="default"/>
        <w:lang w:val="en-US" w:eastAsia="en-US" w:bidi="en-US"/>
      </w:rPr>
    </w:lvl>
    <w:lvl w:ilvl="8" w:tplc="89F4DC86">
      <w:numFmt w:val="bullet"/>
      <w:lvlText w:val="•"/>
      <w:lvlJc w:val="left"/>
      <w:pPr>
        <w:ind w:left="8044" w:hanging="360"/>
      </w:pPr>
      <w:rPr>
        <w:rFonts w:hint="default"/>
        <w:lang w:val="en-US" w:eastAsia="en-US" w:bidi="en-US"/>
      </w:rPr>
    </w:lvl>
  </w:abstractNum>
  <w:abstractNum w:abstractNumId="11" w15:restartNumberingAfterBreak="0">
    <w:nsid w:val="7A130836"/>
    <w:multiLevelType w:val="hybridMultilevel"/>
    <w:tmpl w:val="3D74DBEE"/>
    <w:lvl w:ilvl="0" w:tplc="DF0C76FE">
      <w:numFmt w:val="bullet"/>
      <w:lvlText w:val=""/>
      <w:lvlJc w:val="left"/>
      <w:pPr>
        <w:ind w:left="940" w:hanging="360"/>
      </w:pPr>
      <w:rPr>
        <w:rFonts w:ascii="Symbol" w:eastAsia="Symbol" w:hAnsi="Symbol" w:cs="Symbol" w:hint="default"/>
        <w:w w:val="100"/>
        <w:sz w:val="24"/>
        <w:szCs w:val="24"/>
        <w:lang w:val="en-US" w:eastAsia="en-US" w:bidi="en-US"/>
      </w:rPr>
    </w:lvl>
    <w:lvl w:ilvl="1" w:tplc="52DE63B0">
      <w:numFmt w:val="bullet"/>
      <w:lvlText w:val="•"/>
      <w:lvlJc w:val="left"/>
      <w:pPr>
        <w:ind w:left="1828" w:hanging="360"/>
      </w:pPr>
      <w:rPr>
        <w:rFonts w:hint="default"/>
        <w:lang w:val="en-US" w:eastAsia="en-US" w:bidi="en-US"/>
      </w:rPr>
    </w:lvl>
    <w:lvl w:ilvl="2" w:tplc="DB304632">
      <w:numFmt w:val="bullet"/>
      <w:lvlText w:val="•"/>
      <w:lvlJc w:val="left"/>
      <w:pPr>
        <w:ind w:left="2716" w:hanging="360"/>
      </w:pPr>
      <w:rPr>
        <w:rFonts w:hint="default"/>
        <w:lang w:val="en-US" w:eastAsia="en-US" w:bidi="en-US"/>
      </w:rPr>
    </w:lvl>
    <w:lvl w:ilvl="3" w:tplc="6A5CB0EA">
      <w:numFmt w:val="bullet"/>
      <w:lvlText w:val="•"/>
      <w:lvlJc w:val="left"/>
      <w:pPr>
        <w:ind w:left="3604" w:hanging="360"/>
      </w:pPr>
      <w:rPr>
        <w:rFonts w:hint="default"/>
        <w:lang w:val="en-US" w:eastAsia="en-US" w:bidi="en-US"/>
      </w:rPr>
    </w:lvl>
    <w:lvl w:ilvl="4" w:tplc="8892F390">
      <w:numFmt w:val="bullet"/>
      <w:lvlText w:val="•"/>
      <w:lvlJc w:val="left"/>
      <w:pPr>
        <w:ind w:left="4492" w:hanging="360"/>
      </w:pPr>
      <w:rPr>
        <w:rFonts w:hint="default"/>
        <w:lang w:val="en-US" w:eastAsia="en-US" w:bidi="en-US"/>
      </w:rPr>
    </w:lvl>
    <w:lvl w:ilvl="5" w:tplc="9AC87654">
      <w:numFmt w:val="bullet"/>
      <w:lvlText w:val="•"/>
      <w:lvlJc w:val="left"/>
      <w:pPr>
        <w:ind w:left="5380" w:hanging="360"/>
      </w:pPr>
      <w:rPr>
        <w:rFonts w:hint="default"/>
        <w:lang w:val="en-US" w:eastAsia="en-US" w:bidi="en-US"/>
      </w:rPr>
    </w:lvl>
    <w:lvl w:ilvl="6" w:tplc="F84AB4AC">
      <w:numFmt w:val="bullet"/>
      <w:lvlText w:val="•"/>
      <w:lvlJc w:val="left"/>
      <w:pPr>
        <w:ind w:left="6268" w:hanging="360"/>
      </w:pPr>
      <w:rPr>
        <w:rFonts w:hint="default"/>
        <w:lang w:val="en-US" w:eastAsia="en-US" w:bidi="en-US"/>
      </w:rPr>
    </w:lvl>
    <w:lvl w:ilvl="7" w:tplc="DB4EE4B0">
      <w:numFmt w:val="bullet"/>
      <w:lvlText w:val="•"/>
      <w:lvlJc w:val="left"/>
      <w:pPr>
        <w:ind w:left="7156" w:hanging="360"/>
      </w:pPr>
      <w:rPr>
        <w:rFonts w:hint="default"/>
        <w:lang w:val="en-US" w:eastAsia="en-US" w:bidi="en-US"/>
      </w:rPr>
    </w:lvl>
    <w:lvl w:ilvl="8" w:tplc="D76A7520">
      <w:numFmt w:val="bullet"/>
      <w:lvlText w:val="•"/>
      <w:lvlJc w:val="left"/>
      <w:pPr>
        <w:ind w:left="8044" w:hanging="360"/>
      </w:pPr>
      <w:rPr>
        <w:rFonts w:hint="default"/>
        <w:lang w:val="en-US" w:eastAsia="en-US" w:bidi="en-US"/>
      </w:rPr>
    </w:lvl>
  </w:abstractNum>
  <w:num w:numId="1">
    <w:abstractNumId w:val="0"/>
  </w:num>
  <w:num w:numId="2">
    <w:abstractNumId w:val="4"/>
  </w:num>
  <w:num w:numId="3">
    <w:abstractNumId w:val="1"/>
  </w:num>
  <w:num w:numId="4">
    <w:abstractNumId w:val="2"/>
  </w:num>
  <w:num w:numId="5">
    <w:abstractNumId w:val="5"/>
  </w:num>
  <w:num w:numId="6">
    <w:abstractNumId w:val="8"/>
  </w:num>
  <w:num w:numId="7">
    <w:abstractNumId w:val="11"/>
  </w:num>
  <w:num w:numId="8">
    <w:abstractNumId w:val="9"/>
  </w:num>
  <w:num w:numId="9">
    <w:abstractNumId w:val="6"/>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C8"/>
    <w:rsid w:val="00001FF3"/>
    <w:rsid w:val="00003D84"/>
    <w:rsid w:val="00003FBE"/>
    <w:rsid w:val="00005DD0"/>
    <w:rsid w:val="00006129"/>
    <w:rsid w:val="00006BCF"/>
    <w:rsid w:val="00013E09"/>
    <w:rsid w:val="00013FAA"/>
    <w:rsid w:val="000141A6"/>
    <w:rsid w:val="000155F5"/>
    <w:rsid w:val="000235F7"/>
    <w:rsid w:val="00025892"/>
    <w:rsid w:val="0003300C"/>
    <w:rsid w:val="00034719"/>
    <w:rsid w:val="00042025"/>
    <w:rsid w:val="0005448B"/>
    <w:rsid w:val="000610D9"/>
    <w:rsid w:val="000632B8"/>
    <w:rsid w:val="00063316"/>
    <w:rsid w:val="000722CB"/>
    <w:rsid w:val="00077A8C"/>
    <w:rsid w:val="0008103D"/>
    <w:rsid w:val="00083F46"/>
    <w:rsid w:val="00084AB8"/>
    <w:rsid w:val="00084F28"/>
    <w:rsid w:val="00085717"/>
    <w:rsid w:val="00086383"/>
    <w:rsid w:val="00087BA4"/>
    <w:rsid w:val="00092A2D"/>
    <w:rsid w:val="00092FF6"/>
    <w:rsid w:val="0009514D"/>
    <w:rsid w:val="00096F3F"/>
    <w:rsid w:val="000A0A9A"/>
    <w:rsid w:val="000A20ED"/>
    <w:rsid w:val="000B40CF"/>
    <w:rsid w:val="000B5267"/>
    <w:rsid w:val="000B7D2F"/>
    <w:rsid w:val="000C1043"/>
    <w:rsid w:val="000C4505"/>
    <w:rsid w:val="000C65CD"/>
    <w:rsid w:val="000C7593"/>
    <w:rsid w:val="000D0B29"/>
    <w:rsid w:val="000D42E0"/>
    <w:rsid w:val="000D579E"/>
    <w:rsid w:val="000E04EB"/>
    <w:rsid w:val="000E3652"/>
    <w:rsid w:val="000E3DEE"/>
    <w:rsid w:val="000E52A2"/>
    <w:rsid w:val="000E75CA"/>
    <w:rsid w:val="000E797B"/>
    <w:rsid w:val="000F52CF"/>
    <w:rsid w:val="00100D79"/>
    <w:rsid w:val="001027A1"/>
    <w:rsid w:val="00104C48"/>
    <w:rsid w:val="001058A1"/>
    <w:rsid w:val="00105E3A"/>
    <w:rsid w:val="001078AD"/>
    <w:rsid w:val="00114B5E"/>
    <w:rsid w:val="00120B84"/>
    <w:rsid w:val="00120B9C"/>
    <w:rsid w:val="00125C68"/>
    <w:rsid w:val="001323B9"/>
    <w:rsid w:val="001328A3"/>
    <w:rsid w:val="001346FD"/>
    <w:rsid w:val="00135BD1"/>
    <w:rsid w:val="00141297"/>
    <w:rsid w:val="001549A9"/>
    <w:rsid w:val="00155F66"/>
    <w:rsid w:val="00165573"/>
    <w:rsid w:val="00171BD5"/>
    <w:rsid w:val="00172A5D"/>
    <w:rsid w:val="001742F4"/>
    <w:rsid w:val="00177E2E"/>
    <w:rsid w:val="001824FC"/>
    <w:rsid w:val="00183CEE"/>
    <w:rsid w:val="001965D0"/>
    <w:rsid w:val="001A022D"/>
    <w:rsid w:val="001A27C9"/>
    <w:rsid w:val="001A5554"/>
    <w:rsid w:val="001A66C5"/>
    <w:rsid w:val="001B6740"/>
    <w:rsid w:val="001C3EA6"/>
    <w:rsid w:val="001C485A"/>
    <w:rsid w:val="001C61DD"/>
    <w:rsid w:val="001C6258"/>
    <w:rsid w:val="001C6DB7"/>
    <w:rsid w:val="001D13D9"/>
    <w:rsid w:val="001D1EDC"/>
    <w:rsid w:val="001D3C22"/>
    <w:rsid w:val="001D53F7"/>
    <w:rsid w:val="001E05D1"/>
    <w:rsid w:val="001E26F2"/>
    <w:rsid w:val="001E2FEC"/>
    <w:rsid w:val="001E3C0C"/>
    <w:rsid w:val="001E613E"/>
    <w:rsid w:val="001E650B"/>
    <w:rsid w:val="001F2CEA"/>
    <w:rsid w:val="001F36CC"/>
    <w:rsid w:val="001F3AED"/>
    <w:rsid w:val="001F3B76"/>
    <w:rsid w:val="001F46B3"/>
    <w:rsid w:val="001F5F03"/>
    <w:rsid w:val="002009A2"/>
    <w:rsid w:val="00200E9F"/>
    <w:rsid w:val="0020129A"/>
    <w:rsid w:val="00203584"/>
    <w:rsid w:val="0020398A"/>
    <w:rsid w:val="00206C7B"/>
    <w:rsid w:val="00210D9A"/>
    <w:rsid w:val="00214621"/>
    <w:rsid w:val="00215D00"/>
    <w:rsid w:val="002255F1"/>
    <w:rsid w:val="0022796F"/>
    <w:rsid w:val="00232EF3"/>
    <w:rsid w:val="00233EC5"/>
    <w:rsid w:val="00237CCA"/>
    <w:rsid w:val="00242193"/>
    <w:rsid w:val="0024475E"/>
    <w:rsid w:val="002476D0"/>
    <w:rsid w:val="00250CAE"/>
    <w:rsid w:val="00254C74"/>
    <w:rsid w:val="00255F12"/>
    <w:rsid w:val="00256648"/>
    <w:rsid w:val="002571F1"/>
    <w:rsid w:val="002573E4"/>
    <w:rsid w:val="00260135"/>
    <w:rsid w:val="00261401"/>
    <w:rsid w:val="002649F8"/>
    <w:rsid w:val="002676B6"/>
    <w:rsid w:val="002770B8"/>
    <w:rsid w:val="00286B52"/>
    <w:rsid w:val="00290D89"/>
    <w:rsid w:val="00290E4D"/>
    <w:rsid w:val="002913D5"/>
    <w:rsid w:val="002922BF"/>
    <w:rsid w:val="00295BD4"/>
    <w:rsid w:val="002974B7"/>
    <w:rsid w:val="00297F91"/>
    <w:rsid w:val="002B3488"/>
    <w:rsid w:val="002C09D9"/>
    <w:rsid w:val="002C276E"/>
    <w:rsid w:val="002C2904"/>
    <w:rsid w:val="002D09DC"/>
    <w:rsid w:val="002D2DE5"/>
    <w:rsid w:val="002D458D"/>
    <w:rsid w:val="002D6C89"/>
    <w:rsid w:val="002E0AA0"/>
    <w:rsid w:val="002F1B69"/>
    <w:rsid w:val="002F6761"/>
    <w:rsid w:val="003013B1"/>
    <w:rsid w:val="00303847"/>
    <w:rsid w:val="00312DFA"/>
    <w:rsid w:val="00313672"/>
    <w:rsid w:val="00314062"/>
    <w:rsid w:val="003144D2"/>
    <w:rsid w:val="00314771"/>
    <w:rsid w:val="003150CA"/>
    <w:rsid w:val="00316076"/>
    <w:rsid w:val="00321F65"/>
    <w:rsid w:val="003222BA"/>
    <w:rsid w:val="003236CF"/>
    <w:rsid w:val="00324005"/>
    <w:rsid w:val="00331E03"/>
    <w:rsid w:val="0033268A"/>
    <w:rsid w:val="00333E09"/>
    <w:rsid w:val="00334F8D"/>
    <w:rsid w:val="00340036"/>
    <w:rsid w:val="003410D6"/>
    <w:rsid w:val="00343D02"/>
    <w:rsid w:val="0034409C"/>
    <w:rsid w:val="00344583"/>
    <w:rsid w:val="00344721"/>
    <w:rsid w:val="003457DA"/>
    <w:rsid w:val="0035072C"/>
    <w:rsid w:val="003507AD"/>
    <w:rsid w:val="003752B8"/>
    <w:rsid w:val="00376237"/>
    <w:rsid w:val="00376D63"/>
    <w:rsid w:val="003772A7"/>
    <w:rsid w:val="003777CC"/>
    <w:rsid w:val="00394CAD"/>
    <w:rsid w:val="00395DE3"/>
    <w:rsid w:val="003A101E"/>
    <w:rsid w:val="003A4233"/>
    <w:rsid w:val="003A483F"/>
    <w:rsid w:val="003A6CB1"/>
    <w:rsid w:val="003B005C"/>
    <w:rsid w:val="003B08F0"/>
    <w:rsid w:val="003B09D5"/>
    <w:rsid w:val="003B1471"/>
    <w:rsid w:val="003B4339"/>
    <w:rsid w:val="003B4941"/>
    <w:rsid w:val="003B5794"/>
    <w:rsid w:val="003B593A"/>
    <w:rsid w:val="003B7E15"/>
    <w:rsid w:val="003C7217"/>
    <w:rsid w:val="003D0FA9"/>
    <w:rsid w:val="003D72E1"/>
    <w:rsid w:val="003E2D08"/>
    <w:rsid w:val="003E3874"/>
    <w:rsid w:val="003E4986"/>
    <w:rsid w:val="003E5E74"/>
    <w:rsid w:val="003F2B78"/>
    <w:rsid w:val="003F689F"/>
    <w:rsid w:val="004006AE"/>
    <w:rsid w:val="004057E8"/>
    <w:rsid w:val="00406F98"/>
    <w:rsid w:val="00414727"/>
    <w:rsid w:val="0042698E"/>
    <w:rsid w:val="00426C64"/>
    <w:rsid w:val="00427501"/>
    <w:rsid w:val="00430842"/>
    <w:rsid w:val="00433288"/>
    <w:rsid w:val="00433AA3"/>
    <w:rsid w:val="004354A5"/>
    <w:rsid w:val="00436C68"/>
    <w:rsid w:val="004421E7"/>
    <w:rsid w:val="0044223F"/>
    <w:rsid w:val="00443B2A"/>
    <w:rsid w:val="00444C22"/>
    <w:rsid w:val="00445FC8"/>
    <w:rsid w:val="00447107"/>
    <w:rsid w:val="00447ABE"/>
    <w:rsid w:val="00463A94"/>
    <w:rsid w:val="00463F60"/>
    <w:rsid w:val="004652AE"/>
    <w:rsid w:val="00466998"/>
    <w:rsid w:val="00473901"/>
    <w:rsid w:val="00475A67"/>
    <w:rsid w:val="00480D40"/>
    <w:rsid w:val="004834B3"/>
    <w:rsid w:val="004858FD"/>
    <w:rsid w:val="0048716A"/>
    <w:rsid w:val="004874BF"/>
    <w:rsid w:val="004A2B12"/>
    <w:rsid w:val="004A6400"/>
    <w:rsid w:val="004B0400"/>
    <w:rsid w:val="004B4F70"/>
    <w:rsid w:val="004B7187"/>
    <w:rsid w:val="004C0A10"/>
    <w:rsid w:val="004C2A4B"/>
    <w:rsid w:val="004C4106"/>
    <w:rsid w:val="004C4B98"/>
    <w:rsid w:val="004C531A"/>
    <w:rsid w:val="004D00CD"/>
    <w:rsid w:val="004D08A4"/>
    <w:rsid w:val="004D1BC3"/>
    <w:rsid w:val="004D6934"/>
    <w:rsid w:val="004D77B9"/>
    <w:rsid w:val="004E3748"/>
    <w:rsid w:val="004E4890"/>
    <w:rsid w:val="004F06B0"/>
    <w:rsid w:val="004F1616"/>
    <w:rsid w:val="004F5721"/>
    <w:rsid w:val="004F7676"/>
    <w:rsid w:val="00500B4C"/>
    <w:rsid w:val="00502FC9"/>
    <w:rsid w:val="00503F1A"/>
    <w:rsid w:val="00507F26"/>
    <w:rsid w:val="0051094C"/>
    <w:rsid w:val="00517BF5"/>
    <w:rsid w:val="00520BEA"/>
    <w:rsid w:val="005232EF"/>
    <w:rsid w:val="00523C8B"/>
    <w:rsid w:val="0052414B"/>
    <w:rsid w:val="00524D23"/>
    <w:rsid w:val="00524E29"/>
    <w:rsid w:val="00526C4C"/>
    <w:rsid w:val="00526FCB"/>
    <w:rsid w:val="00527DFB"/>
    <w:rsid w:val="005353F3"/>
    <w:rsid w:val="00540088"/>
    <w:rsid w:val="00542718"/>
    <w:rsid w:val="00543E78"/>
    <w:rsid w:val="0054472E"/>
    <w:rsid w:val="00546694"/>
    <w:rsid w:val="0055045B"/>
    <w:rsid w:val="00550A9D"/>
    <w:rsid w:val="00552E3D"/>
    <w:rsid w:val="005536F9"/>
    <w:rsid w:val="0056067B"/>
    <w:rsid w:val="00562B68"/>
    <w:rsid w:val="00570ED9"/>
    <w:rsid w:val="00573858"/>
    <w:rsid w:val="005764CB"/>
    <w:rsid w:val="0057706F"/>
    <w:rsid w:val="00582402"/>
    <w:rsid w:val="00582B1F"/>
    <w:rsid w:val="0058349E"/>
    <w:rsid w:val="00585758"/>
    <w:rsid w:val="00590D0D"/>
    <w:rsid w:val="005913E2"/>
    <w:rsid w:val="00591B6B"/>
    <w:rsid w:val="00594020"/>
    <w:rsid w:val="005942AB"/>
    <w:rsid w:val="00595F40"/>
    <w:rsid w:val="00595FFC"/>
    <w:rsid w:val="00596E02"/>
    <w:rsid w:val="005975B3"/>
    <w:rsid w:val="00597831"/>
    <w:rsid w:val="005A2BC6"/>
    <w:rsid w:val="005A3EE8"/>
    <w:rsid w:val="005A5165"/>
    <w:rsid w:val="005B0B75"/>
    <w:rsid w:val="005B4982"/>
    <w:rsid w:val="005B4DE5"/>
    <w:rsid w:val="005B53D7"/>
    <w:rsid w:val="005B654F"/>
    <w:rsid w:val="005B672E"/>
    <w:rsid w:val="005C28D2"/>
    <w:rsid w:val="005C4F82"/>
    <w:rsid w:val="005C5CE8"/>
    <w:rsid w:val="005C7A1A"/>
    <w:rsid w:val="005D07F0"/>
    <w:rsid w:val="005D33C8"/>
    <w:rsid w:val="005D4ACD"/>
    <w:rsid w:val="005D70AE"/>
    <w:rsid w:val="005D7D91"/>
    <w:rsid w:val="005E42A2"/>
    <w:rsid w:val="005E4FB8"/>
    <w:rsid w:val="005F01B8"/>
    <w:rsid w:val="005F1F17"/>
    <w:rsid w:val="0060583F"/>
    <w:rsid w:val="00605EB3"/>
    <w:rsid w:val="00607798"/>
    <w:rsid w:val="006111B1"/>
    <w:rsid w:val="006169C3"/>
    <w:rsid w:val="00617007"/>
    <w:rsid w:val="0062048C"/>
    <w:rsid w:val="00620D43"/>
    <w:rsid w:val="00624C16"/>
    <w:rsid w:val="00634618"/>
    <w:rsid w:val="00643BE2"/>
    <w:rsid w:val="00645628"/>
    <w:rsid w:val="006458BE"/>
    <w:rsid w:val="00651356"/>
    <w:rsid w:val="00660D28"/>
    <w:rsid w:val="0066495F"/>
    <w:rsid w:val="00665743"/>
    <w:rsid w:val="006746E7"/>
    <w:rsid w:val="00677013"/>
    <w:rsid w:val="00681978"/>
    <w:rsid w:val="0068398C"/>
    <w:rsid w:val="00684C0E"/>
    <w:rsid w:val="0068633C"/>
    <w:rsid w:val="00687936"/>
    <w:rsid w:val="006901E3"/>
    <w:rsid w:val="00690952"/>
    <w:rsid w:val="00692869"/>
    <w:rsid w:val="00693E11"/>
    <w:rsid w:val="006A4248"/>
    <w:rsid w:val="006A4B3A"/>
    <w:rsid w:val="006B69DE"/>
    <w:rsid w:val="006C3CB7"/>
    <w:rsid w:val="006C462F"/>
    <w:rsid w:val="006D320F"/>
    <w:rsid w:val="006D454C"/>
    <w:rsid w:val="006D66E8"/>
    <w:rsid w:val="006E27C0"/>
    <w:rsid w:val="006E3D10"/>
    <w:rsid w:val="006E46BA"/>
    <w:rsid w:val="006E4C28"/>
    <w:rsid w:val="00701361"/>
    <w:rsid w:val="00704CF3"/>
    <w:rsid w:val="00705729"/>
    <w:rsid w:val="0070661C"/>
    <w:rsid w:val="00707B58"/>
    <w:rsid w:val="00710753"/>
    <w:rsid w:val="00712725"/>
    <w:rsid w:val="00716B96"/>
    <w:rsid w:val="00716CA9"/>
    <w:rsid w:val="00720AE1"/>
    <w:rsid w:val="00721EF2"/>
    <w:rsid w:val="007224DD"/>
    <w:rsid w:val="007232BC"/>
    <w:rsid w:val="00723B8F"/>
    <w:rsid w:val="007244F1"/>
    <w:rsid w:val="007248C0"/>
    <w:rsid w:val="007251EE"/>
    <w:rsid w:val="007263FB"/>
    <w:rsid w:val="007302D7"/>
    <w:rsid w:val="00731866"/>
    <w:rsid w:val="00733E07"/>
    <w:rsid w:val="00735B65"/>
    <w:rsid w:val="0073784E"/>
    <w:rsid w:val="00740498"/>
    <w:rsid w:val="00742411"/>
    <w:rsid w:val="0074509D"/>
    <w:rsid w:val="007462A1"/>
    <w:rsid w:val="00746BC0"/>
    <w:rsid w:val="007471F2"/>
    <w:rsid w:val="0075781F"/>
    <w:rsid w:val="00757E65"/>
    <w:rsid w:val="0076170B"/>
    <w:rsid w:val="00762DB7"/>
    <w:rsid w:val="007655D0"/>
    <w:rsid w:val="00774028"/>
    <w:rsid w:val="00775DB6"/>
    <w:rsid w:val="007823AE"/>
    <w:rsid w:val="00782D3D"/>
    <w:rsid w:val="00782F9C"/>
    <w:rsid w:val="00784625"/>
    <w:rsid w:val="007867CB"/>
    <w:rsid w:val="007904BA"/>
    <w:rsid w:val="007922A5"/>
    <w:rsid w:val="00795C42"/>
    <w:rsid w:val="00795D43"/>
    <w:rsid w:val="007A01AF"/>
    <w:rsid w:val="007B31C8"/>
    <w:rsid w:val="007B5708"/>
    <w:rsid w:val="007B58A9"/>
    <w:rsid w:val="007B5F3B"/>
    <w:rsid w:val="007C2867"/>
    <w:rsid w:val="007C3E27"/>
    <w:rsid w:val="007D3C0B"/>
    <w:rsid w:val="007D3E4D"/>
    <w:rsid w:val="007D6B16"/>
    <w:rsid w:val="007F0CDF"/>
    <w:rsid w:val="007F135F"/>
    <w:rsid w:val="007F3A0A"/>
    <w:rsid w:val="007F3D7D"/>
    <w:rsid w:val="00802BA9"/>
    <w:rsid w:val="00802BDB"/>
    <w:rsid w:val="00803303"/>
    <w:rsid w:val="00806749"/>
    <w:rsid w:val="00812516"/>
    <w:rsid w:val="0081296B"/>
    <w:rsid w:val="00813726"/>
    <w:rsid w:val="00816D76"/>
    <w:rsid w:val="00824A06"/>
    <w:rsid w:val="0083449D"/>
    <w:rsid w:val="008351E0"/>
    <w:rsid w:val="008425C2"/>
    <w:rsid w:val="00847982"/>
    <w:rsid w:val="00850854"/>
    <w:rsid w:val="00854599"/>
    <w:rsid w:val="0085533B"/>
    <w:rsid w:val="0085606C"/>
    <w:rsid w:val="00860847"/>
    <w:rsid w:val="008636D4"/>
    <w:rsid w:val="00866805"/>
    <w:rsid w:val="0086730A"/>
    <w:rsid w:val="0087089E"/>
    <w:rsid w:val="00871934"/>
    <w:rsid w:val="00874FB0"/>
    <w:rsid w:val="00877F57"/>
    <w:rsid w:val="00884A01"/>
    <w:rsid w:val="00884CA7"/>
    <w:rsid w:val="008857C4"/>
    <w:rsid w:val="0089296E"/>
    <w:rsid w:val="0089340A"/>
    <w:rsid w:val="00894DCE"/>
    <w:rsid w:val="008A5F01"/>
    <w:rsid w:val="008A68D9"/>
    <w:rsid w:val="008A746F"/>
    <w:rsid w:val="008C48DF"/>
    <w:rsid w:val="008D2F3B"/>
    <w:rsid w:val="008D3498"/>
    <w:rsid w:val="008D71D7"/>
    <w:rsid w:val="008D7B24"/>
    <w:rsid w:val="008F5378"/>
    <w:rsid w:val="008F6969"/>
    <w:rsid w:val="008F749C"/>
    <w:rsid w:val="009004B6"/>
    <w:rsid w:val="009006BF"/>
    <w:rsid w:val="009020E6"/>
    <w:rsid w:val="00903E7B"/>
    <w:rsid w:val="00911E3B"/>
    <w:rsid w:val="00913237"/>
    <w:rsid w:val="009160C8"/>
    <w:rsid w:val="00917E0F"/>
    <w:rsid w:val="009228C0"/>
    <w:rsid w:val="00923582"/>
    <w:rsid w:val="0092502F"/>
    <w:rsid w:val="0093517C"/>
    <w:rsid w:val="00935248"/>
    <w:rsid w:val="00940B25"/>
    <w:rsid w:val="00944320"/>
    <w:rsid w:val="00945D89"/>
    <w:rsid w:val="009463EA"/>
    <w:rsid w:val="00946A75"/>
    <w:rsid w:val="00947CA8"/>
    <w:rsid w:val="00951DB0"/>
    <w:rsid w:val="00952FC0"/>
    <w:rsid w:val="0095390D"/>
    <w:rsid w:val="00960094"/>
    <w:rsid w:val="00961F0E"/>
    <w:rsid w:val="00962050"/>
    <w:rsid w:val="00962728"/>
    <w:rsid w:val="00962DB6"/>
    <w:rsid w:val="00967B0C"/>
    <w:rsid w:val="00973509"/>
    <w:rsid w:val="00974DA5"/>
    <w:rsid w:val="009756F5"/>
    <w:rsid w:val="00976E8E"/>
    <w:rsid w:val="00980F95"/>
    <w:rsid w:val="009813F6"/>
    <w:rsid w:val="009866F6"/>
    <w:rsid w:val="00996C51"/>
    <w:rsid w:val="009975A3"/>
    <w:rsid w:val="00997B97"/>
    <w:rsid w:val="009A025D"/>
    <w:rsid w:val="009A1AC8"/>
    <w:rsid w:val="009A2A3D"/>
    <w:rsid w:val="009A4488"/>
    <w:rsid w:val="009A6163"/>
    <w:rsid w:val="009A7554"/>
    <w:rsid w:val="009C2AD8"/>
    <w:rsid w:val="009C2CA3"/>
    <w:rsid w:val="009C3D69"/>
    <w:rsid w:val="009E043E"/>
    <w:rsid w:val="009E3259"/>
    <w:rsid w:val="009E3C25"/>
    <w:rsid w:val="009E49C0"/>
    <w:rsid w:val="009F3CD1"/>
    <w:rsid w:val="009F75D2"/>
    <w:rsid w:val="009F77AC"/>
    <w:rsid w:val="00A01D02"/>
    <w:rsid w:val="00A0281A"/>
    <w:rsid w:val="00A03894"/>
    <w:rsid w:val="00A04735"/>
    <w:rsid w:val="00A06DDB"/>
    <w:rsid w:val="00A07922"/>
    <w:rsid w:val="00A10435"/>
    <w:rsid w:val="00A106AD"/>
    <w:rsid w:val="00A1088F"/>
    <w:rsid w:val="00A151A9"/>
    <w:rsid w:val="00A21C29"/>
    <w:rsid w:val="00A23AF3"/>
    <w:rsid w:val="00A2561A"/>
    <w:rsid w:val="00A30DA9"/>
    <w:rsid w:val="00A32202"/>
    <w:rsid w:val="00A34645"/>
    <w:rsid w:val="00A369EC"/>
    <w:rsid w:val="00A401C5"/>
    <w:rsid w:val="00A410DB"/>
    <w:rsid w:val="00A4631F"/>
    <w:rsid w:val="00A46A40"/>
    <w:rsid w:val="00A47587"/>
    <w:rsid w:val="00A5236D"/>
    <w:rsid w:val="00A539F3"/>
    <w:rsid w:val="00A541B7"/>
    <w:rsid w:val="00A646EB"/>
    <w:rsid w:val="00A6760E"/>
    <w:rsid w:val="00A82D7E"/>
    <w:rsid w:val="00A83652"/>
    <w:rsid w:val="00A94BB6"/>
    <w:rsid w:val="00A95D38"/>
    <w:rsid w:val="00AA1F1B"/>
    <w:rsid w:val="00AA32FE"/>
    <w:rsid w:val="00AB1176"/>
    <w:rsid w:val="00AB3FE8"/>
    <w:rsid w:val="00AB402B"/>
    <w:rsid w:val="00AC0FAC"/>
    <w:rsid w:val="00AC2669"/>
    <w:rsid w:val="00AC3609"/>
    <w:rsid w:val="00AC7C94"/>
    <w:rsid w:val="00AD036B"/>
    <w:rsid w:val="00AD0A95"/>
    <w:rsid w:val="00AD2FCE"/>
    <w:rsid w:val="00AD3B2F"/>
    <w:rsid w:val="00AE2927"/>
    <w:rsid w:val="00AE3BC3"/>
    <w:rsid w:val="00AE61C2"/>
    <w:rsid w:val="00AE6597"/>
    <w:rsid w:val="00AF02E8"/>
    <w:rsid w:val="00AF1F95"/>
    <w:rsid w:val="00AF56F5"/>
    <w:rsid w:val="00B01389"/>
    <w:rsid w:val="00B0420F"/>
    <w:rsid w:val="00B060FB"/>
    <w:rsid w:val="00B15C11"/>
    <w:rsid w:val="00B204AF"/>
    <w:rsid w:val="00B22805"/>
    <w:rsid w:val="00B276BD"/>
    <w:rsid w:val="00B31317"/>
    <w:rsid w:val="00B34E0B"/>
    <w:rsid w:val="00B41582"/>
    <w:rsid w:val="00B45E86"/>
    <w:rsid w:val="00B514E9"/>
    <w:rsid w:val="00B51CAA"/>
    <w:rsid w:val="00B55AFE"/>
    <w:rsid w:val="00B571FC"/>
    <w:rsid w:val="00B61F9B"/>
    <w:rsid w:val="00B6243D"/>
    <w:rsid w:val="00B632EA"/>
    <w:rsid w:val="00B64104"/>
    <w:rsid w:val="00B64980"/>
    <w:rsid w:val="00B64EFB"/>
    <w:rsid w:val="00B65E76"/>
    <w:rsid w:val="00B65FD4"/>
    <w:rsid w:val="00B66E93"/>
    <w:rsid w:val="00B677D9"/>
    <w:rsid w:val="00B73C2F"/>
    <w:rsid w:val="00B769F0"/>
    <w:rsid w:val="00B814F4"/>
    <w:rsid w:val="00B83D45"/>
    <w:rsid w:val="00B84D2A"/>
    <w:rsid w:val="00B8789B"/>
    <w:rsid w:val="00B91D02"/>
    <w:rsid w:val="00B91DAA"/>
    <w:rsid w:val="00BA0927"/>
    <w:rsid w:val="00BA1D7B"/>
    <w:rsid w:val="00BA3079"/>
    <w:rsid w:val="00BA3D9D"/>
    <w:rsid w:val="00BA476F"/>
    <w:rsid w:val="00BA53E0"/>
    <w:rsid w:val="00BB1BB9"/>
    <w:rsid w:val="00BB3756"/>
    <w:rsid w:val="00BB423D"/>
    <w:rsid w:val="00BB5795"/>
    <w:rsid w:val="00BC413D"/>
    <w:rsid w:val="00BD2F45"/>
    <w:rsid w:val="00BD36A2"/>
    <w:rsid w:val="00BD586A"/>
    <w:rsid w:val="00BD7936"/>
    <w:rsid w:val="00BE03FC"/>
    <w:rsid w:val="00BE0A1D"/>
    <w:rsid w:val="00BE43A1"/>
    <w:rsid w:val="00BE6603"/>
    <w:rsid w:val="00BE6924"/>
    <w:rsid w:val="00BF04AB"/>
    <w:rsid w:val="00BF2744"/>
    <w:rsid w:val="00C03FB0"/>
    <w:rsid w:val="00C063C2"/>
    <w:rsid w:val="00C06509"/>
    <w:rsid w:val="00C12EEA"/>
    <w:rsid w:val="00C15EAA"/>
    <w:rsid w:val="00C256D7"/>
    <w:rsid w:val="00C31993"/>
    <w:rsid w:val="00C31D5A"/>
    <w:rsid w:val="00C33897"/>
    <w:rsid w:val="00C340D5"/>
    <w:rsid w:val="00C34D44"/>
    <w:rsid w:val="00C40263"/>
    <w:rsid w:val="00C41345"/>
    <w:rsid w:val="00C45EA0"/>
    <w:rsid w:val="00C56DE0"/>
    <w:rsid w:val="00C57A8E"/>
    <w:rsid w:val="00C649C7"/>
    <w:rsid w:val="00C71780"/>
    <w:rsid w:val="00C718BE"/>
    <w:rsid w:val="00C7322F"/>
    <w:rsid w:val="00C74AF2"/>
    <w:rsid w:val="00C77BAF"/>
    <w:rsid w:val="00C82235"/>
    <w:rsid w:val="00C82D40"/>
    <w:rsid w:val="00C85087"/>
    <w:rsid w:val="00C94FBD"/>
    <w:rsid w:val="00CA1F19"/>
    <w:rsid w:val="00CB0447"/>
    <w:rsid w:val="00CB0D16"/>
    <w:rsid w:val="00CB5CAF"/>
    <w:rsid w:val="00CB795E"/>
    <w:rsid w:val="00CC0E4B"/>
    <w:rsid w:val="00CC1DA0"/>
    <w:rsid w:val="00CC3B6E"/>
    <w:rsid w:val="00CC5FC5"/>
    <w:rsid w:val="00CE0420"/>
    <w:rsid w:val="00CE1227"/>
    <w:rsid w:val="00CE2410"/>
    <w:rsid w:val="00CE3E51"/>
    <w:rsid w:val="00CE507F"/>
    <w:rsid w:val="00CE5F15"/>
    <w:rsid w:val="00CF09C3"/>
    <w:rsid w:val="00CF0DE2"/>
    <w:rsid w:val="00CF1D4F"/>
    <w:rsid w:val="00CF3FAB"/>
    <w:rsid w:val="00CF4BC8"/>
    <w:rsid w:val="00D01666"/>
    <w:rsid w:val="00D02DDB"/>
    <w:rsid w:val="00D04145"/>
    <w:rsid w:val="00D1304A"/>
    <w:rsid w:val="00D14A7D"/>
    <w:rsid w:val="00D15BA1"/>
    <w:rsid w:val="00D16DD0"/>
    <w:rsid w:val="00D20E4E"/>
    <w:rsid w:val="00D31ED5"/>
    <w:rsid w:val="00D3259C"/>
    <w:rsid w:val="00D400C4"/>
    <w:rsid w:val="00D42CF6"/>
    <w:rsid w:val="00D4375F"/>
    <w:rsid w:val="00D52980"/>
    <w:rsid w:val="00D5691B"/>
    <w:rsid w:val="00D6056A"/>
    <w:rsid w:val="00D6349E"/>
    <w:rsid w:val="00D64B31"/>
    <w:rsid w:val="00D64F62"/>
    <w:rsid w:val="00D65314"/>
    <w:rsid w:val="00D70819"/>
    <w:rsid w:val="00D72D02"/>
    <w:rsid w:val="00D748AB"/>
    <w:rsid w:val="00D77001"/>
    <w:rsid w:val="00D7785D"/>
    <w:rsid w:val="00D806C2"/>
    <w:rsid w:val="00D813AB"/>
    <w:rsid w:val="00D83A70"/>
    <w:rsid w:val="00D83D69"/>
    <w:rsid w:val="00D91F6E"/>
    <w:rsid w:val="00D9369F"/>
    <w:rsid w:val="00DA024C"/>
    <w:rsid w:val="00DA0C62"/>
    <w:rsid w:val="00DA14DE"/>
    <w:rsid w:val="00DA26D1"/>
    <w:rsid w:val="00DB2160"/>
    <w:rsid w:val="00DB3F56"/>
    <w:rsid w:val="00DB5A1A"/>
    <w:rsid w:val="00DB6CE7"/>
    <w:rsid w:val="00DB7BFD"/>
    <w:rsid w:val="00DC5E5C"/>
    <w:rsid w:val="00DC6633"/>
    <w:rsid w:val="00DD2210"/>
    <w:rsid w:val="00DD25B4"/>
    <w:rsid w:val="00DD50E0"/>
    <w:rsid w:val="00DD5828"/>
    <w:rsid w:val="00DE513C"/>
    <w:rsid w:val="00DE76BD"/>
    <w:rsid w:val="00DF277A"/>
    <w:rsid w:val="00DF566C"/>
    <w:rsid w:val="00DF5802"/>
    <w:rsid w:val="00E02BCA"/>
    <w:rsid w:val="00E04C06"/>
    <w:rsid w:val="00E0510B"/>
    <w:rsid w:val="00E06399"/>
    <w:rsid w:val="00E10A64"/>
    <w:rsid w:val="00E112D9"/>
    <w:rsid w:val="00E126C3"/>
    <w:rsid w:val="00E1396F"/>
    <w:rsid w:val="00E14182"/>
    <w:rsid w:val="00E14A40"/>
    <w:rsid w:val="00E14EA1"/>
    <w:rsid w:val="00E1680F"/>
    <w:rsid w:val="00E22886"/>
    <w:rsid w:val="00E23CC4"/>
    <w:rsid w:val="00E2462F"/>
    <w:rsid w:val="00E24938"/>
    <w:rsid w:val="00E251C5"/>
    <w:rsid w:val="00E372DD"/>
    <w:rsid w:val="00E42B67"/>
    <w:rsid w:val="00E508F8"/>
    <w:rsid w:val="00E523A3"/>
    <w:rsid w:val="00E56A53"/>
    <w:rsid w:val="00E60634"/>
    <w:rsid w:val="00E61688"/>
    <w:rsid w:val="00E666F2"/>
    <w:rsid w:val="00E80ECA"/>
    <w:rsid w:val="00E824B0"/>
    <w:rsid w:val="00E8284D"/>
    <w:rsid w:val="00E841F2"/>
    <w:rsid w:val="00E8760F"/>
    <w:rsid w:val="00E91743"/>
    <w:rsid w:val="00E94D8E"/>
    <w:rsid w:val="00E95BC3"/>
    <w:rsid w:val="00E961E2"/>
    <w:rsid w:val="00EA0100"/>
    <w:rsid w:val="00EA4074"/>
    <w:rsid w:val="00EA52C4"/>
    <w:rsid w:val="00EA67FE"/>
    <w:rsid w:val="00EB097A"/>
    <w:rsid w:val="00EB1581"/>
    <w:rsid w:val="00EB3855"/>
    <w:rsid w:val="00EB5EDB"/>
    <w:rsid w:val="00EB64B8"/>
    <w:rsid w:val="00EB6F28"/>
    <w:rsid w:val="00EC008E"/>
    <w:rsid w:val="00EC3557"/>
    <w:rsid w:val="00ED1817"/>
    <w:rsid w:val="00EE07A4"/>
    <w:rsid w:val="00EE23AD"/>
    <w:rsid w:val="00EE24EC"/>
    <w:rsid w:val="00EE7B2F"/>
    <w:rsid w:val="00EF0BE7"/>
    <w:rsid w:val="00EF220B"/>
    <w:rsid w:val="00EF26BA"/>
    <w:rsid w:val="00EF3146"/>
    <w:rsid w:val="00EF31C7"/>
    <w:rsid w:val="00EF478D"/>
    <w:rsid w:val="00EF51D8"/>
    <w:rsid w:val="00EF534F"/>
    <w:rsid w:val="00F013AC"/>
    <w:rsid w:val="00F01DE6"/>
    <w:rsid w:val="00F03D24"/>
    <w:rsid w:val="00F04CE3"/>
    <w:rsid w:val="00F0620F"/>
    <w:rsid w:val="00F0640F"/>
    <w:rsid w:val="00F07E04"/>
    <w:rsid w:val="00F11AF6"/>
    <w:rsid w:val="00F125EC"/>
    <w:rsid w:val="00F14B95"/>
    <w:rsid w:val="00F2059B"/>
    <w:rsid w:val="00F21EAB"/>
    <w:rsid w:val="00F26991"/>
    <w:rsid w:val="00F2699C"/>
    <w:rsid w:val="00F2729A"/>
    <w:rsid w:val="00F274E8"/>
    <w:rsid w:val="00F27A0E"/>
    <w:rsid w:val="00F30C4F"/>
    <w:rsid w:val="00F344F6"/>
    <w:rsid w:val="00F36E44"/>
    <w:rsid w:val="00F524E2"/>
    <w:rsid w:val="00F53923"/>
    <w:rsid w:val="00F60781"/>
    <w:rsid w:val="00F616C6"/>
    <w:rsid w:val="00F636B6"/>
    <w:rsid w:val="00F6692E"/>
    <w:rsid w:val="00F66B20"/>
    <w:rsid w:val="00F7717A"/>
    <w:rsid w:val="00F80397"/>
    <w:rsid w:val="00F82D25"/>
    <w:rsid w:val="00F854FE"/>
    <w:rsid w:val="00F87A5D"/>
    <w:rsid w:val="00F90E27"/>
    <w:rsid w:val="00F919C4"/>
    <w:rsid w:val="00F920A7"/>
    <w:rsid w:val="00F97546"/>
    <w:rsid w:val="00FA377D"/>
    <w:rsid w:val="00FA5CBB"/>
    <w:rsid w:val="00FA78B7"/>
    <w:rsid w:val="00FB025D"/>
    <w:rsid w:val="00FB1529"/>
    <w:rsid w:val="00FB243E"/>
    <w:rsid w:val="00FB5C30"/>
    <w:rsid w:val="00FC40C4"/>
    <w:rsid w:val="00FC7A2E"/>
    <w:rsid w:val="00FD1839"/>
    <w:rsid w:val="00FD24F9"/>
    <w:rsid w:val="00FE081E"/>
    <w:rsid w:val="00FE3545"/>
    <w:rsid w:val="00FE5C17"/>
    <w:rsid w:val="00FE5D62"/>
    <w:rsid w:val="00FF31B8"/>
    <w:rsid w:val="00FF7153"/>
    <w:rsid w:val="12F7E19C"/>
    <w:rsid w:val="2242CF69"/>
    <w:rsid w:val="454F26A8"/>
    <w:rsid w:val="49CE9114"/>
    <w:rsid w:val="4D063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bidi="en-US"/>
    </w:rPr>
  </w:style>
  <w:style w:type="paragraph" w:styleId="Heading1">
    <w:name w:val="heading 1"/>
    <w:basedOn w:val="Normal"/>
    <w:uiPriority w:val="9"/>
    <w:qFormat/>
    <w:pPr>
      <w:ind w:left="220"/>
      <w:outlineLvl w:val="0"/>
    </w:pPr>
    <w:rPr>
      <w:rFonts w:ascii="Arial" w:eastAsia="Arial" w:hAnsi="Arial" w:cs="Arial"/>
      <w:b/>
      <w:bCs/>
      <w:sz w:val="26"/>
      <w:szCs w:val="26"/>
      <w:u w:val="single" w:color="000000"/>
    </w:rPr>
  </w:style>
  <w:style w:type="paragraph" w:styleId="Heading2">
    <w:name w:val="heading 2"/>
    <w:basedOn w:val="Normal"/>
    <w:uiPriority w:val="9"/>
    <w:unhideWhenUsed/>
    <w:qFormat/>
    <w:pPr>
      <w:spacing w:line="288" w:lineRule="exact"/>
      <w:ind w:left="20"/>
      <w:outlineLvl w:val="1"/>
    </w:pPr>
    <w:rPr>
      <w:sz w:val="26"/>
      <w:szCs w:val="26"/>
    </w:rPr>
  </w:style>
  <w:style w:type="paragraph" w:styleId="Heading3">
    <w:name w:val="heading 3"/>
    <w:basedOn w:val="Normal"/>
    <w:uiPriority w:val="9"/>
    <w:unhideWhenUsed/>
    <w:qFormat/>
    <w:pPr>
      <w:ind w:left="22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jc w:val="both"/>
    </w:pPr>
  </w:style>
  <w:style w:type="paragraph" w:customStyle="1" w:styleId="TableParagraph">
    <w:name w:val="Table Paragraph"/>
    <w:basedOn w:val="Normal"/>
    <w:uiPriority w:val="1"/>
    <w:qFormat/>
    <w:pPr>
      <w:jc w:val="right"/>
    </w:pPr>
  </w:style>
  <w:style w:type="character" w:styleId="CommentReference">
    <w:name w:val="annotation reference"/>
    <w:basedOn w:val="DefaultParagraphFont"/>
    <w:uiPriority w:val="99"/>
    <w:semiHidden/>
    <w:unhideWhenUsed/>
    <w:rsid w:val="00BD7936"/>
    <w:rPr>
      <w:sz w:val="16"/>
      <w:szCs w:val="16"/>
    </w:rPr>
  </w:style>
  <w:style w:type="paragraph" w:styleId="CommentText">
    <w:name w:val="annotation text"/>
    <w:basedOn w:val="Normal"/>
    <w:link w:val="CommentTextChar"/>
    <w:uiPriority w:val="99"/>
    <w:semiHidden/>
    <w:unhideWhenUsed/>
    <w:rsid w:val="00BD7936"/>
    <w:rPr>
      <w:sz w:val="20"/>
      <w:szCs w:val="20"/>
    </w:rPr>
  </w:style>
  <w:style w:type="character" w:customStyle="1" w:styleId="CommentTextChar">
    <w:name w:val="Comment Text Char"/>
    <w:basedOn w:val="DefaultParagraphFont"/>
    <w:link w:val="CommentText"/>
    <w:uiPriority w:val="99"/>
    <w:semiHidden/>
    <w:rsid w:val="00BD7936"/>
    <w:rPr>
      <w:rFonts w:ascii="Palatino Linotype" w:eastAsia="Palatino Linotype" w:hAnsi="Palatino Linotype" w:cs="Palatino Linotype"/>
      <w:sz w:val="20"/>
      <w:szCs w:val="20"/>
      <w:lang w:bidi="en-US"/>
    </w:rPr>
  </w:style>
  <w:style w:type="paragraph" w:styleId="CommentSubject">
    <w:name w:val="annotation subject"/>
    <w:basedOn w:val="CommentText"/>
    <w:next w:val="CommentText"/>
    <w:link w:val="CommentSubjectChar"/>
    <w:uiPriority w:val="99"/>
    <w:semiHidden/>
    <w:unhideWhenUsed/>
    <w:rsid w:val="00BD7936"/>
    <w:rPr>
      <w:b/>
      <w:bCs/>
    </w:rPr>
  </w:style>
  <w:style w:type="character" w:customStyle="1" w:styleId="CommentSubjectChar">
    <w:name w:val="Comment Subject Char"/>
    <w:basedOn w:val="CommentTextChar"/>
    <w:link w:val="CommentSubject"/>
    <w:uiPriority w:val="99"/>
    <w:semiHidden/>
    <w:rsid w:val="00BD7936"/>
    <w:rPr>
      <w:rFonts w:ascii="Palatino Linotype" w:eastAsia="Palatino Linotype" w:hAnsi="Palatino Linotype" w:cs="Palatino Linotype"/>
      <w:b/>
      <w:bCs/>
      <w:sz w:val="20"/>
      <w:szCs w:val="20"/>
      <w:lang w:bidi="en-US"/>
    </w:rPr>
  </w:style>
  <w:style w:type="paragraph" w:styleId="BalloonText">
    <w:name w:val="Balloon Text"/>
    <w:basedOn w:val="Normal"/>
    <w:link w:val="BalloonTextChar"/>
    <w:uiPriority w:val="99"/>
    <w:semiHidden/>
    <w:unhideWhenUsed/>
    <w:rsid w:val="00BD7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36"/>
    <w:rPr>
      <w:rFonts w:ascii="Segoe UI" w:eastAsia="Palatino Linotype" w:hAnsi="Segoe UI" w:cs="Segoe UI"/>
      <w:sz w:val="18"/>
      <w:szCs w:val="18"/>
      <w:lang w:bidi="en-US"/>
    </w:rPr>
  </w:style>
  <w:style w:type="paragraph" w:styleId="Header">
    <w:name w:val="header"/>
    <w:basedOn w:val="Normal"/>
    <w:link w:val="HeaderChar"/>
    <w:uiPriority w:val="99"/>
    <w:unhideWhenUsed/>
    <w:rsid w:val="00BD7936"/>
    <w:pPr>
      <w:tabs>
        <w:tab w:val="center" w:pos="4513"/>
        <w:tab w:val="right" w:pos="9026"/>
      </w:tabs>
    </w:pPr>
  </w:style>
  <w:style w:type="character" w:customStyle="1" w:styleId="HeaderChar">
    <w:name w:val="Header Char"/>
    <w:basedOn w:val="DefaultParagraphFont"/>
    <w:link w:val="Header"/>
    <w:uiPriority w:val="99"/>
    <w:rsid w:val="00BD7936"/>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BD7936"/>
    <w:pPr>
      <w:tabs>
        <w:tab w:val="center" w:pos="4513"/>
        <w:tab w:val="right" w:pos="9026"/>
      </w:tabs>
    </w:pPr>
  </w:style>
  <w:style w:type="character" w:customStyle="1" w:styleId="FooterChar">
    <w:name w:val="Footer Char"/>
    <w:basedOn w:val="DefaultParagraphFont"/>
    <w:link w:val="Footer"/>
    <w:uiPriority w:val="99"/>
    <w:rsid w:val="00BD7936"/>
    <w:rPr>
      <w:rFonts w:ascii="Palatino Linotype" w:eastAsia="Palatino Linotype" w:hAnsi="Palatino Linotype" w:cs="Palatino Linotype"/>
      <w:lang w:bidi="en-US"/>
    </w:rPr>
  </w:style>
  <w:style w:type="character" w:styleId="UnresolvedMention">
    <w:name w:val="Unresolved Mention"/>
    <w:basedOn w:val="DefaultParagraphFont"/>
    <w:uiPriority w:val="99"/>
    <w:unhideWhenUsed/>
    <w:rsid w:val="00816D76"/>
    <w:rPr>
      <w:color w:val="605E5C"/>
      <w:shd w:val="clear" w:color="auto" w:fill="E1DFDD"/>
    </w:rPr>
  </w:style>
  <w:style w:type="character" w:styleId="Mention">
    <w:name w:val="Mention"/>
    <w:basedOn w:val="DefaultParagraphFont"/>
    <w:uiPriority w:val="99"/>
    <w:unhideWhenUsed/>
    <w:rsid w:val="00816D76"/>
    <w:rPr>
      <w:color w:val="2B579A"/>
      <w:shd w:val="clear" w:color="auto" w:fill="E1DFDD"/>
    </w:rPr>
  </w:style>
  <w:style w:type="paragraph" w:styleId="FootnoteText">
    <w:name w:val="footnote text"/>
    <w:basedOn w:val="Normal"/>
    <w:link w:val="FootnoteTextChar"/>
    <w:uiPriority w:val="99"/>
    <w:semiHidden/>
    <w:unhideWhenUsed/>
    <w:rsid w:val="0003300C"/>
    <w:rPr>
      <w:sz w:val="20"/>
      <w:szCs w:val="20"/>
    </w:rPr>
  </w:style>
  <w:style w:type="character" w:customStyle="1" w:styleId="FootnoteTextChar">
    <w:name w:val="Footnote Text Char"/>
    <w:basedOn w:val="DefaultParagraphFont"/>
    <w:link w:val="FootnoteText"/>
    <w:uiPriority w:val="99"/>
    <w:semiHidden/>
    <w:rsid w:val="0003300C"/>
    <w:rPr>
      <w:rFonts w:ascii="Palatino Linotype" w:eastAsia="Palatino Linotype" w:hAnsi="Palatino Linotype" w:cs="Palatino Linotype"/>
      <w:sz w:val="20"/>
      <w:szCs w:val="20"/>
      <w:lang w:bidi="en-US"/>
    </w:rPr>
  </w:style>
  <w:style w:type="character" w:styleId="FootnoteReference">
    <w:name w:val="footnote reference"/>
    <w:basedOn w:val="DefaultParagraphFont"/>
    <w:uiPriority w:val="99"/>
    <w:semiHidden/>
    <w:unhideWhenUsed/>
    <w:rsid w:val="0003300C"/>
    <w:rPr>
      <w:vertAlign w:val="superscript"/>
    </w:rPr>
  </w:style>
  <w:style w:type="character" w:customStyle="1" w:styleId="BodyTextChar">
    <w:name w:val="Body Text Char"/>
    <w:basedOn w:val="DefaultParagraphFont"/>
    <w:link w:val="BodyText"/>
    <w:uiPriority w:val="1"/>
    <w:rsid w:val="00CC0E4B"/>
    <w:rPr>
      <w:rFonts w:ascii="Palatino Linotype" w:eastAsia="Palatino Linotype" w:hAnsi="Palatino Linotype" w:cs="Palatino Linotype"/>
      <w:sz w:val="24"/>
      <w:szCs w:val="24"/>
      <w:lang w:bidi="en-US"/>
    </w:rPr>
  </w:style>
  <w:style w:type="character" w:styleId="Hyperlink">
    <w:name w:val="Hyperlink"/>
    <w:basedOn w:val="DefaultParagraphFont"/>
    <w:uiPriority w:val="99"/>
    <w:unhideWhenUsed/>
    <w:rsid w:val="00996C51"/>
    <w:rPr>
      <w:color w:val="0000FF" w:themeColor="hyperlink"/>
      <w:u w:val="single"/>
    </w:rPr>
  </w:style>
  <w:style w:type="paragraph" w:styleId="Revision">
    <w:name w:val="Revision"/>
    <w:hidden/>
    <w:uiPriority w:val="99"/>
    <w:semiHidden/>
    <w:rsid w:val="00877F57"/>
    <w:pPr>
      <w:widowControl/>
      <w:autoSpaceDE/>
      <w:autoSpaceDN/>
    </w:pPr>
    <w:rPr>
      <w:rFonts w:ascii="Palatino Linotype" w:eastAsia="Palatino Linotype" w:hAnsi="Palatino Linotype" w:cs="Palatino Linotype"/>
      <w:lang w:bidi="en-US"/>
    </w:rPr>
  </w:style>
  <w:style w:type="character" w:styleId="FollowedHyperlink">
    <w:name w:val="FollowedHyperlink"/>
    <w:basedOn w:val="DefaultParagraphFont"/>
    <w:uiPriority w:val="99"/>
    <w:semiHidden/>
    <w:unhideWhenUsed/>
    <w:rsid w:val="005B49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5898">
      <w:bodyDiv w:val="1"/>
      <w:marLeft w:val="0"/>
      <w:marRight w:val="0"/>
      <w:marTop w:val="0"/>
      <w:marBottom w:val="0"/>
      <w:divBdr>
        <w:top w:val="none" w:sz="0" w:space="0" w:color="auto"/>
        <w:left w:val="none" w:sz="0" w:space="0" w:color="auto"/>
        <w:bottom w:val="none" w:sz="0" w:space="0" w:color="auto"/>
        <w:right w:val="none" w:sz="0" w:space="0" w:color="auto"/>
      </w:divBdr>
    </w:div>
    <w:div w:id="1040858399">
      <w:bodyDiv w:val="1"/>
      <w:marLeft w:val="0"/>
      <w:marRight w:val="0"/>
      <w:marTop w:val="0"/>
      <w:marBottom w:val="0"/>
      <w:divBdr>
        <w:top w:val="none" w:sz="0" w:space="0" w:color="auto"/>
        <w:left w:val="none" w:sz="0" w:space="0" w:color="auto"/>
        <w:bottom w:val="none" w:sz="0" w:space="0" w:color="auto"/>
        <w:right w:val="none" w:sz="0" w:space="0" w:color="auto"/>
      </w:divBdr>
    </w:div>
    <w:div w:id="1298608189">
      <w:bodyDiv w:val="1"/>
      <w:marLeft w:val="0"/>
      <w:marRight w:val="0"/>
      <w:marTop w:val="0"/>
      <w:marBottom w:val="0"/>
      <w:divBdr>
        <w:top w:val="none" w:sz="0" w:space="0" w:color="auto"/>
        <w:left w:val="none" w:sz="0" w:space="0" w:color="auto"/>
        <w:bottom w:val="none" w:sz="0" w:space="0" w:color="auto"/>
        <w:right w:val="none" w:sz="0" w:space="0" w:color="auto"/>
      </w:divBdr>
    </w:div>
    <w:div w:id="1954825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www.cpuc.ca.gov/General.aspx?id=4137" TargetMode="External"/><Relationship Id="rId18" Type="http://schemas.openxmlformats.org/officeDocument/2006/relationships/hyperlink" Target="http://www.cpuc.ca.gov/General.aspx?id=4137" TargetMode="External"/><Relationship Id="rId26" Type="http://schemas.openxmlformats.org/officeDocument/2006/relationships/hyperlink" Target="http://www.cpuc.ca.gov/General.aspx?id=4137" TargetMode="External"/><Relationship Id="rId39" Type="http://schemas.openxmlformats.org/officeDocument/2006/relationships/hyperlink" Target="http://docs.cpuc.ca.gov/PublishedDocs/Published/G000/M034/K299/34299795.pdf" TargetMode="External"/><Relationship Id="rId21" Type="http://schemas.openxmlformats.org/officeDocument/2006/relationships/hyperlink" Target="http://docs.cpuc.ca.gov/SearchRes.aspx?docformat=ALL&amp;DocID=317672918" TargetMode="External"/><Relationship Id="rId34" Type="http://schemas.openxmlformats.org/officeDocument/2006/relationships/hyperlink" Target="http://docs.cpuc.ca.gov/PublishedDocs/Published/G000/M034/K299/34299795.pdf" TargetMode="External"/><Relationship Id="rId7" Type="http://schemas.openxmlformats.org/officeDocument/2006/relationships/hyperlink" Target="http://docs.cpuc.ca.gov/PublishedDocs/Published/G000/M076/K775/76775903.PDF" TargetMode="External"/><Relationship Id="rId12" Type="http://schemas.openxmlformats.org/officeDocument/2006/relationships/hyperlink" Target="http://www.cpuc.ca.gov/General.aspx?id=4137" TargetMode="External"/><Relationship Id="rId17" Type="http://schemas.openxmlformats.org/officeDocument/2006/relationships/hyperlink" Target="http://docs.cpuc.ca.gov/PublishedDocs/Published/G000/M076/K775/76775903.PDF" TargetMode="External"/><Relationship Id="rId25" Type="http://schemas.openxmlformats.org/officeDocument/2006/relationships/hyperlink" Target="http://www.cpuc.ca.gov/General.aspx?id=4137" TargetMode="External"/><Relationship Id="rId33" Type="http://schemas.openxmlformats.org/officeDocument/2006/relationships/hyperlink" Target="http://docs.cpuc.ca.gov/PublishedDocs/PUBLISHED/GRAPHICS/107829.pdf" TargetMode="External"/><Relationship Id="rId38" Type="http://schemas.openxmlformats.org/officeDocument/2006/relationships/hyperlink" Target="http://docs.cpuc.ca.gov/PublishedDocs/PUBLISHED/GRAPHICS/107829.pdf" TargetMode="External"/><Relationship Id="rId2" Type="http://schemas.openxmlformats.org/officeDocument/2006/relationships/hyperlink" Target="https://docs.cpuc.ca.gov/PublishedDocs/Efile/G000/M322/K134/322134227.PDF" TargetMode="External"/><Relationship Id="rId16" Type="http://schemas.openxmlformats.org/officeDocument/2006/relationships/hyperlink" Target="https://docs.cpuc.ca.gov/PublishedDocs/Published/G000/M328/K459/328459059.PDF" TargetMode="External"/><Relationship Id="rId20" Type="http://schemas.openxmlformats.org/officeDocument/2006/relationships/hyperlink" Target="http://docs.cpuc.ca.gov/PublishedDocs/Published/G000/M166/K232/166232537.pdf" TargetMode="External"/><Relationship Id="rId29" Type="http://schemas.openxmlformats.org/officeDocument/2006/relationships/hyperlink" Target="http://www.cpuc.ca.gov/General.aspx?id=4137" TargetMode="External"/><Relationship Id="rId1" Type="http://schemas.openxmlformats.org/officeDocument/2006/relationships/hyperlink" Target="https://docs.cpuc.ca.gov/PublishedDocs/Efile/G000/M320/K909/320909779.PDF" TargetMode="External"/><Relationship Id="rId6" Type="http://schemas.openxmlformats.org/officeDocument/2006/relationships/hyperlink" Target="http://docs.cpuc.ca.gov/PublishedDocs/Efile/%20G000/M213/K120/213120689.pdf" TargetMode="External"/><Relationship Id="rId11" Type="http://schemas.openxmlformats.org/officeDocument/2006/relationships/hyperlink" Target="http://docs.cpuc.ca.gov/PublishedDocs/Published/G000/M155/K511/155511942.pdf" TargetMode="External"/><Relationship Id="rId24" Type="http://schemas.openxmlformats.org/officeDocument/2006/relationships/hyperlink" Target="http://www.cpuc.ca.gov/General.aspx?id=4137" TargetMode="External"/><Relationship Id="rId32" Type="http://schemas.openxmlformats.org/officeDocument/2006/relationships/hyperlink" Target="http://docs.cpuc.ca.gov/PublishedDocs/Published/G000/M076/K775/76775903.PDF" TargetMode="External"/><Relationship Id="rId37" Type="http://schemas.openxmlformats.org/officeDocument/2006/relationships/hyperlink" Target="http://www.cpuc.ca.gov/General.aspx?id=4137" TargetMode="External"/><Relationship Id="rId5" Type="http://schemas.openxmlformats.org/officeDocument/2006/relationships/hyperlink" Target="http://docs.cpuc.ca.gov/PublishedDocs/Published/G000/M155/K511/155511942.pdf" TargetMode="External"/><Relationship Id="rId15" Type="http://schemas.openxmlformats.org/officeDocument/2006/relationships/hyperlink" Target="http://cedars.sound-data.com/" TargetMode="External"/><Relationship Id="rId23" Type="http://schemas.openxmlformats.org/officeDocument/2006/relationships/hyperlink" Target="http://www.cpuc.ca.gov/General.aspx?id=4137" TargetMode="External"/><Relationship Id="rId28" Type="http://schemas.openxmlformats.org/officeDocument/2006/relationships/hyperlink" Target="http://www.cpuc.ca.gov/General.aspx?id=4137" TargetMode="External"/><Relationship Id="rId36" Type="http://schemas.openxmlformats.org/officeDocument/2006/relationships/hyperlink" Target="http://docs.cpuc.ca.gov/PublishedDocs/PUBLISHED/GRAPHICS/107829.pdf" TargetMode="External"/><Relationship Id="rId10" Type="http://schemas.openxmlformats.org/officeDocument/2006/relationships/hyperlink" Target="http://docs.cpuc.ca.gov/PublishedDocs/Published/G000/M076/K775/76775903.PDF" TargetMode="External"/><Relationship Id="rId19" Type="http://schemas.openxmlformats.org/officeDocument/2006/relationships/hyperlink" Target="http://www.deeresources.com/index.php/espi/espi-ear-performance-scoring" TargetMode="External"/><Relationship Id="rId31" Type="http://schemas.openxmlformats.org/officeDocument/2006/relationships/hyperlink" Target="http://docs.cpuc.ca.gov/PublishedDocs/Published/G000/M201/K915/201915480.pdf" TargetMode="External"/><Relationship Id="rId4" Type="http://schemas.openxmlformats.org/officeDocument/2006/relationships/hyperlink" Target="http://docs.cpuc.ca.gov/PublishedDocs/Published/G000/M076/K775/76775903.PDF" TargetMode="External"/><Relationship Id="rId9" Type="http://schemas.openxmlformats.org/officeDocument/2006/relationships/hyperlink" Target="http://docs.cpuc.ca.gov/PublishedDocs/Published/G000/M166/K232/166232537.pdf" TargetMode="External"/><Relationship Id="rId14" Type="http://schemas.openxmlformats.org/officeDocument/2006/relationships/hyperlink" Target="http://www.cpuc.ca.gov/General.aspx?id=4137" TargetMode="External"/><Relationship Id="rId22" Type="http://schemas.openxmlformats.org/officeDocument/2006/relationships/hyperlink" Target="http://docs.cpuc.ca.gov/PublishedDocs/Published/G000/M166/K232/166232537.pdf" TargetMode="External"/><Relationship Id="rId27" Type="http://schemas.openxmlformats.org/officeDocument/2006/relationships/hyperlink" Target="https://docs.cpuc.ca.gov/PublishedDocs/Published/G000/M232/K459/232459122.PDF" TargetMode="External"/><Relationship Id="rId30" Type="http://schemas.openxmlformats.org/officeDocument/2006/relationships/hyperlink" Target="http://docs.cpuc.ca.gov/PublishedDocs/Published/G000/M084/K470/84470121.PDF" TargetMode="External"/><Relationship Id="rId35" Type="http://schemas.openxmlformats.org/officeDocument/2006/relationships/hyperlink" Target="http://docs.cpuc.ca.gov/PublishedDocs/PUBLISHED/GRAPHICS/107829.pdf" TargetMode="External"/><Relationship Id="rId8" Type="http://schemas.openxmlformats.org/officeDocument/2006/relationships/hyperlink" Target="http://www.cpuc.ca.gov/General.aspx?id=4137" TargetMode="External"/><Relationship Id="rId3" Type="http://schemas.openxmlformats.org/officeDocument/2006/relationships/hyperlink" Target="http://docs.cpuc.ca.gov/PublishedDocs/Published/G000/M076/K775/767759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0B2425BEE04D80D0DF01BD8F1A43" ma:contentTypeVersion="5" ma:contentTypeDescription="Create a new document." ma:contentTypeScope="" ma:versionID="fc14fa218e4806668b1a4b59e2355ad8">
  <xsd:schema xmlns:xsd="http://www.w3.org/2001/XMLSchema" xmlns:xs="http://www.w3.org/2001/XMLSchema" xmlns:p="http://schemas.microsoft.com/office/2006/metadata/properties" xmlns:ns3="76638094-1e0c-4258-baf8-2a39ac0b3f0d" xmlns:ns4="eacf09ed-8f6e-45ac-b3c4-e1b8af76a803" targetNamespace="http://schemas.microsoft.com/office/2006/metadata/properties" ma:root="true" ma:fieldsID="8e95d8c72639ed003a03d509725bcdbc" ns3:_="" ns4:_="">
    <xsd:import namespace="76638094-1e0c-4258-baf8-2a39ac0b3f0d"/>
    <xsd:import namespace="eacf09ed-8f6e-45ac-b3c4-e1b8af76a8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8094-1e0c-4258-baf8-2a39ac0b3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f09ed-8f6e-45ac-b3c4-e1b8af76a8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992E-3E7B-47B1-AAF5-A34299898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8094-1e0c-4258-baf8-2a39ac0b3f0d"/>
    <ds:schemaRef ds:uri="eacf09ed-8f6e-45ac-b3c4-e1b8af76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3FB20-5DF6-4A20-8819-42F2ECA563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9785B9-4A38-4E1E-BCCD-9282FE5287DF}">
  <ds:schemaRefs>
    <ds:schemaRef ds:uri="http://schemas.microsoft.com/sharepoint/v3/contenttype/forms"/>
  </ds:schemaRefs>
</ds:datastoreItem>
</file>

<file path=customXml/itemProps4.xml><?xml version="1.0" encoding="utf-8"?>
<ds:datastoreItem xmlns:ds="http://schemas.openxmlformats.org/officeDocument/2006/customXml" ds:itemID="{C1E41875-FC45-4596-868B-AB9712F638A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5311</ap:Words>
  <ap:Characters>30273</ap:Characters>
  <ap:Application>Microsoft Office Word</ap:Application>
  <ap:DocSecurity>0</ap:DocSecurity>
  <ap:Lines>252</ap:Lines>
  <ap:Paragraphs>71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35513</ap:CharactersWithSpaces>
  <ap:SharedDoc>false</ap:SharedDoc>
  <ap:HLinks>
    <vt:vector baseType="variant" size="222">
      <vt:variant>
        <vt:i4>2752575</vt:i4>
      </vt:variant>
      <vt:variant>
        <vt:i4>108</vt:i4>
      </vt:variant>
      <vt:variant>
        <vt:i4>0</vt:i4>
      </vt:variant>
      <vt:variant>
        <vt:i4>5</vt:i4>
      </vt:variant>
      <vt:variant>
        <vt:lpwstr>http://docs.cpuc.ca.gov/PublishedDocs/Published/G000/M034/K299/34299795.pdf</vt:lpwstr>
      </vt:variant>
      <vt:variant>
        <vt:lpwstr/>
      </vt:variant>
      <vt:variant>
        <vt:i4>8192034</vt:i4>
      </vt:variant>
      <vt:variant>
        <vt:i4>105</vt:i4>
      </vt:variant>
      <vt:variant>
        <vt:i4>0</vt:i4>
      </vt:variant>
      <vt:variant>
        <vt:i4>5</vt:i4>
      </vt:variant>
      <vt:variant>
        <vt:lpwstr>http://docs.cpuc.ca.gov/PublishedDocs/PUBLISHED/GRAPHICS/107829.pdf</vt:lpwstr>
      </vt:variant>
      <vt:variant>
        <vt:lpwstr/>
      </vt:variant>
      <vt:variant>
        <vt:i4>3735663</vt:i4>
      </vt:variant>
      <vt:variant>
        <vt:i4>102</vt:i4>
      </vt:variant>
      <vt:variant>
        <vt:i4>0</vt:i4>
      </vt:variant>
      <vt:variant>
        <vt:i4>5</vt:i4>
      </vt:variant>
      <vt:variant>
        <vt:lpwstr>http://www.cpuc.ca.gov/General.aspx?id=4137</vt:lpwstr>
      </vt:variant>
      <vt:variant>
        <vt:lpwstr/>
      </vt:variant>
      <vt:variant>
        <vt:i4>8192034</vt:i4>
      </vt:variant>
      <vt:variant>
        <vt:i4>99</vt:i4>
      </vt:variant>
      <vt:variant>
        <vt:i4>0</vt:i4>
      </vt:variant>
      <vt:variant>
        <vt:i4>5</vt:i4>
      </vt:variant>
      <vt:variant>
        <vt:lpwstr>http://docs.cpuc.ca.gov/PublishedDocs/PUBLISHED/GRAPHICS/107829.pdf</vt:lpwstr>
      </vt:variant>
      <vt:variant>
        <vt:lpwstr/>
      </vt:variant>
      <vt:variant>
        <vt:i4>8192034</vt:i4>
      </vt:variant>
      <vt:variant>
        <vt:i4>96</vt:i4>
      </vt:variant>
      <vt:variant>
        <vt:i4>0</vt:i4>
      </vt:variant>
      <vt:variant>
        <vt:i4>5</vt:i4>
      </vt:variant>
      <vt:variant>
        <vt:lpwstr>http://docs.cpuc.ca.gov/PublishedDocs/PUBLISHED/GRAPHICS/107829.pdf</vt:lpwstr>
      </vt:variant>
      <vt:variant>
        <vt:lpwstr/>
      </vt:variant>
      <vt:variant>
        <vt:i4>2752575</vt:i4>
      </vt:variant>
      <vt:variant>
        <vt:i4>93</vt:i4>
      </vt:variant>
      <vt:variant>
        <vt:i4>0</vt:i4>
      </vt:variant>
      <vt:variant>
        <vt:i4>5</vt:i4>
      </vt:variant>
      <vt:variant>
        <vt:lpwstr>http://docs.cpuc.ca.gov/PublishedDocs/Published/G000/M034/K299/34299795.pdf</vt:lpwstr>
      </vt:variant>
      <vt:variant>
        <vt:lpwstr/>
      </vt:variant>
      <vt:variant>
        <vt:i4>8192034</vt:i4>
      </vt:variant>
      <vt:variant>
        <vt:i4>90</vt:i4>
      </vt:variant>
      <vt:variant>
        <vt:i4>0</vt:i4>
      </vt:variant>
      <vt:variant>
        <vt:i4>5</vt:i4>
      </vt:variant>
      <vt:variant>
        <vt:lpwstr>http://docs.cpuc.ca.gov/PublishedDocs/PUBLISHED/GRAPHICS/107829.pdf</vt:lpwstr>
      </vt:variant>
      <vt:variant>
        <vt:lpwstr/>
      </vt:variant>
      <vt:variant>
        <vt:i4>2293815</vt:i4>
      </vt:variant>
      <vt:variant>
        <vt:i4>87</vt:i4>
      </vt:variant>
      <vt:variant>
        <vt:i4>0</vt:i4>
      </vt:variant>
      <vt:variant>
        <vt:i4>5</vt:i4>
      </vt:variant>
      <vt:variant>
        <vt:lpwstr>http://docs.cpuc.ca.gov/PublishedDocs/Published/G000/M076/K775/76775903.PDF</vt:lpwstr>
      </vt:variant>
      <vt:variant>
        <vt:lpwstr/>
      </vt:variant>
      <vt:variant>
        <vt:i4>4521985</vt:i4>
      </vt:variant>
      <vt:variant>
        <vt:i4>84</vt:i4>
      </vt:variant>
      <vt:variant>
        <vt:i4>0</vt:i4>
      </vt:variant>
      <vt:variant>
        <vt:i4>5</vt:i4>
      </vt:variant>
      <vt:variant>
        <vt:lpwstr>http://docs.cpuc.ca.gov/PublishedDocs/Published/G000/M201/K915/201915480.pdf</vt:lpwstr>
      </vt:variant>
      <vt:variant>
        <vt:lpwstr/>
      </vt:variant>
      <vt:variant>
        <vt:i4>2162749</vt:i4>
      </vt:variant>
      <vt:variant>
        <vt:i4>81</vt:i4>
      </vt:variant>
      <vt:variant>
        <vt:i4>0</vt:i4>
      </vt:variant>
      <vt:variant>
        <vt:i4>5</vt:i4>
      </vt:variant>
      <vt:variant>
        <vt:lpwstr>http://docs.cpuc.ca.gov/PublishedDocs/Published/G000/M084/K470/84470121.PDF</vt:lpwstr>
      </vt:variant>
      <vt:variant>
        <vt:lpwstr/>
      </vt:variant>
      <vt:variant>
        <vt:i4>3735663</vt:i4>
      </vt:variant>
      <vt:variant>
        <vt:i4>78</vt:i4>
      </vt:variant>
      <vt:variant>
        <vt:i4>0</vt:i4>
      </vt:variant>
      <vt:variant>
        <vt:i4>5</vt:i4>
      </vt:variant>
      <vt:variant>
        <vt:lpwstr>http://www.cpuc.ca.gov/General.aspx?id=4137</vt:lpwstr>
      </vt:variant>
      <vt:variant>
        <vt:lpwstr/>
      </vt:variant>
      <vt:variant>
        <vt:i4>3735663</vt:i4>
      </vt:variant>
      <vt:variant>
        <vt:i4>75</vt:i4>
      </vt:variant>
      <vt:variant>
        <vt:i4>0</vt:i4>
      </vt:variant>
      <vt:variant>
        <vt:i4>5</vt:i4>
      </vt:variant>
      <vt:variant>
        <vt:lpwstr>http://www.cpuc.ca.gov/General.aspx?id=4137</vt:lpwstr>
      </vt:variant>
      <vt:variant>
        <vt:lpwstr/>
      </vt:variant>
      <vt:variant>
        <vt:i4>1441866</vt:i4>
      </vt:variant>
      <vt:variant>
        <vt:i4>72</vt:i4>
      </vt:variant>
      <vt:variant>
        <vt:i4>0</vt:i4>
      </vt:variant>
      <vt:variant>
        <vt:i4>5</vt:i4>
      </vt:variant>
      <vt:variant>
        <vt:lpwstr>https://docs.cpuc.ca.gov/PublishedDocs/Published/G000/M232/K459/232459122.PDF</vt:lpwstr>
      </vt:variant>
      <vt:variant>
        <vt:lpwstr/>
      </vt:variant>
      <vt:variant>
        <vt:i4>3735663</vt:i4>
      </vt:variant>
      <vt:variant>
        <vt:i4>69</vt:i4>
      </vt:variant>
      <vt:variant>
        <vt:i4>0</vt:i4>
      </vt:variant>
      <vt:variant>
        <vt:i4>5</vt:i4>
      </vt:variant>
      <vt:variant>
        <vt:lpwstr>http://www.cpuc.ca.gov/General.aspx?id=4137</vt:lpwstr>
      </vt:variant>
      <vt:variant>
        <vt:lpwstr/>
      </vt:variant>
      <vt:variant>
        <vt:i4>3735663</vt:i4>
      </vt:variant>
      <vt:variant>
        <vt:i4>66</vt:i4>
      </vt:variant>
      <vt:variant>
        <vt:i4>0</vt:i4>
      </vt:variant>
      <vt:variant>
        <vt:i4>5</vt:i4>
      </vt:variant>
      <vt:variant>
        <vt:lpwstr>http://www.cpuc.ca.gov/General.aspx?id=4137</vt:lpwstr>
      </vt:variant>
      <vt:variant>
        <vt:lpwstr/>
      </vt:variant>
      <vt:variant>
        <vt:i4>3735663</vt:i4>
      </vt:variant>
      <vt:variant>
        <vt:i4>63</vt:i4>
      </vt:variant>
      <vt:variant>
        <vt:i4>0</vt:i4>
      </vt:variant>
      <vt:variant>
        <vt:i4>5</vt:i4>
      </vt:variant>
      <vt:variant>
        <vt:lpwstr>http://www.cpuc.ca.gov/General.aspx?id=4137</vt:lpwstr>
      </vt:variant>
      <vt:variant>
        <vt:lpwstr/>
      </vt:variant>
      <vt:variant>
        <vt:i4>3735663</vt:i4>
      </vt:variant>
      <vt:variant>
        <vt:i4>60</vt:i4>
      </vt:variant>
      <vt:variant>
        <vt:i4>0</vt:i4>
      </vt:variant>
      <vt:variant>
        <vt:i4>5</vt:i4>
      </vt:variant>
      <vt:variant>
        <vt:lpwstr>http://www.cpuc.ca.gov/General.aspx?id=4137</vt:lpwstr>
      </vt:variant>
      <vt:variant>
        <vt:lpwstr/>
      </vt:variant>
      <vt:variant>
        <vt:i4>5177350</vt:i4>
      </vt:variant>
      <vt:variant>
        <vt:i4>57</vt:i4>
      </vt:variant>
      <vt:variant>
        <vt:i4>0</vt:i4>
      </vt:variant>
      <vt:variant>
        <vt:i4>5</vt:i4>
      </vt:variant>
      <vt:variant>
        <vt:lpwstr>http://docs.cpuc.ca.gov/PublishedDocs/Published/G000/M166/K232/166232537.pdf</vt:lpwstr>
      </vt:variant>
      <vt:variant>
        <vt:lpwstr/>
      </vt:variant>
      <vt:variant>
        <vt:i4>917585</vt:i4>
      </vt:variant>
      <vt:variant>
        <vt:i4>54</vt:i4>
      </vt:variant>
      <vt:variant>
        <vt:i4>0</vt:i4>
      </vt:variant>
      <vt:variant>
        <vt:i4>5</vt:i4>
      </vt:variant>
      <vt:variant>
        <vt:lpwstr>http://docs.cpuc.ca.gov/SearchRes.aspx?docformat=ALL&amp;DocID=317672918</vt:lpwstr>
      </vt:variant>
      <vt:variant>
        <vt:lpwstr/>
      </vt:variant>
      <vt:variant>
        <vt:i4>5177350</vt:i4>
      </vt:variant>
      <vt:variant>
        <vt:i4>51</vt:i4>
      </vt:variant>
      <vt:variant>
        <vt:i4>0</vt:i4>
      </vt:variant>
      <vt:variant>
        <vt:i4>5</vt:i4>
      </vt:variant>
      <vt:variant>
        <vt:lpwstr>http://docs.cpuc.ca.gov/PublishedDocs/Published/G000/M166/K232/166232537.pdf</vt:lpwstr>
      </vt:variant>
      <vt:variant>
        <vt:lpwstr/>
      </vt:variant>
      <vt:variant>
        <vt:i4>7602275</vt:i4>
      </vt:variant>
      <vt:variant>
        <vt:i4>48</vt:i4>
      </vt:variant>
      <vt:variant>
        <vt:i4>0</vt:i4>
      </vt:variant>
      <vt:variant>
        <vt:i4>5</vt:i4>
      </vt:variant>
      <vt:variant>
        <vt:lpwstr>http://www.deeresources.com/index.php/espi/espi-ear-performance-scoring</vt:lpwstr>
      </vt:variant>
      <vt:variant>
        <vt:lpwstr/>
      </vt:variant>
      <vt:variant>
        <vt:i4>3735663</vt:i4>
      </vt:variant>
      <vt:variant>
        <vt:i4>45</vt:i4>
      </vt:variant>
      <vt:variant>
        <vt:i4>0</vt:i4>
      </vt:variant>
      <vt:variant>
        <vt:i4>5</vt:i4>
      </vt:variant>
      <vt:variant>
        <vt:lpwstr>http://www.cpuc.ca.gov/General.aspx?id=4137</vt:lpwstr>
      </vt:variant>
      <vt:variant>
        <vt:lpwstr/>
      </vt:variant>
      <vt:variant>
        <vt:i4>2293815</vt:i4>
      </vt:variant>
      <vt:variant>
        <vt:i4>42</vt:i4>
      </vt:variant>
      <vt:variant>
        <vt:i4>0</vt:i4>
      </vt:variant>
      <vt:variant>
        <vt:i4>5</vt:i4>
      </vt:variant>
      <vt:variant>
        <vt:lpwstr>http://docs.cpuc.ca.gov/PublishedDocs/Published/G000/M076/K775/76775903.PDF</vt:lpwstr>
      </vt:variant>
      <vt:variant>
        <vt:lpwstr/>
      </vt:variant>
      <vt:variant>
        <vt:i4>1769546</vt:i4>
      </vt:variant>
      <vt:variant>
        <vt:i4>39</vt:i4>
      </vt:variant>
      <vt:variant>
        <vt:i4>0</vt:i4>
      </vt:variant>
      <vt:variant>
        <vt:i4>5</vt:i4>
      </vt:variant>
      <vt:variant>
        <vt:lpwstr>https://docs.cpuc.ca.gov/PublishedDocs/Published/G000/M328/K459/328459059.PDF</vt:lpwstr>
      </vt:variant>
      <vt:variant>
        <vt:lpwstr/>
      </vt:variant>
      <vt:variant>
        <vt:i4>5374029</vt:i4>
      </vt:variant>
      <vt:variant>
        <vt:i4>36</vt:i4>
      </vt:variant>
      <vt:variant>
        <vt:i4>0</vt:i4>
      </vt:variant>
      <vt:variant>
        <vt:i4>5</vt:i4>
      </vt:variant>
      <vt:variant>
        <vt:lpwstr>http://cedars.sound-data.com/</vt:lpwstr>
      </vt:variant>
      <vt:variant>
        <vt:lpwstr/>
      </vt:variant>
      <vt:variant>
        <vt:i4>3735663</vt:i4>
      </vt:variant>
      <vt:variant>
        <vt:i4>33</vt:i4>
      </vt:variant>
      <vt:variant>
        <vt:i4>0</vt:i4>
      </vt:variant>
      <vt:variant>
        <vt:i4>5</vt:i4>
      </vt:variant>
      <vt:variant>
        <vt:lpwstr>http://www.cpuc.ca.gov/General.aspx?id=4137</vt:lpwstr>
      </vt:variant>
      <vt:variant>
        <vt:lpwstr/>
      </vt:variant>
      <vt:variant>
        <vt:i4>3735663</vt:i4>
      </vt:variant>
      <vt:variant>
        <vt:i4>30</vt:i4>
      </vt:variant>
      <vt:variant>
        <vt:i4>0</vt:i4>
      </vt:variant>
      <vt:variant>
        <vt:i4>5</vt:i4>
      </vt:variant>
      <vt:variant>
        <vt:lpwstr>http://www.cpuc.ca.gov/General.aspx?id=4137</vt:lpwstr>
      </vt:variant>
      <vt:variant>
        <vt:lpwstr/>
      </vt:variant>
      <vt:variant>
        <vt:i4>3735663</vt:i4>
      </vt:variant>
      <vt:variant>
        <vt:i4>27</vt:i4>
      </vt:variant>
      <vt:variant>
        <vt:i4>0</vt:i4>
      </vt:variant>
      <vt:variant>
        <vt:i4>5</vt:i4>
      </vt:variant>
      <vt:variant>
        <vt:lpwstr>http://www.cpuc.ca.gov/General.aspx?id=4137</vt:lpwstr>
      </vt:variant>
      <vt:variant>
        <vt:lpwstr/>
      </vt:variant>
      <vt:variant>
        <vt:i4>4194311</vt:i4>
      </vt:variant>
      <vt:variant>
        <vt:i4>24</vt:i4>
      </vt:variant>
      <vt:variant>
        <vt:i4>0</vt:i4>
      </vt:variant>
      <vt:variant>
        <vt:i4>5</vt:i4>
      </vt:variant>
      <vt:variant>
        <vt:lpwstr>http://docs.cpuc.ca.gov/PublishedDocs/Published/G000/M155/K511/155511942.pdf</vt:lpwstr>
      </vt:variant>
      <vt:variant>
        <vt:lpwstr/>
      </vt:variant>
      <vt:variant>
        <vt:i4>2293815</vt:i4>
      </vt:variant>
      <vt:variant>
        <vt:i4>21</vt:i4>
      </vt:variant>
      <vt:variant>
        <vt:i4>0</vt:i4>
      </vt:variant>
      <vt:variant>
        <vt:i4>5</vt:i4>
      </vt:variant>
      <vt:variant>
        <vt:lpwstr>http://docs.cpuc.ca.gov/PublishedDocs/Published/G000/M076/K775/76775903.PDF</vt:lpwstr>
      </vt:variant>
      <vt:variant>
        <vt:lpwstr/>
      </vt:variant>
      <vt:variant>
        <vt:i4>5177350</vt:i4>
      </vt:variant>
      <vt:variant>
        <vt:i4>18</vt:i4>
      </vt:variant>
      <vt:variant>
        <vt:i4>0</vt:i4>
      </vt:variant>
      <vt:variant>
        <vt:i4>5</vt:i4>
      </vt:variant>
      <vt:variant>
        <vt:lpwstr>http://docs.cpuc.ca.gov/PublishedDocs/Published/G000/M166/K232/166232537.pdf</vt:lpwstr>
      </vt:variant>
      <vt:variant>
        <vt:lpwstr/>
      </vt:variant>
      <vt:variant>
        <vt:i4>3735663</vt:i4>
      </vt:variant>
      <vt:variant>
        <vt:i4>15</vt:i4>
      </vt:variant>
      <vt:variant>
        <vt:i4>0</vt:i4>
      </vt:variant>
      <vt:variant>
        <vt:i4>5</vt:i4>
      </vt:variant>
      <vt:variant>
        <vt:lpwstr>http://www.cpuc.ca.gov/General.aspx?id=4137</vt:lpwstr>
      </vt:variant>
      <vt:variant>
        <vt:lpwstr/>
      </vt:variant>
      <vt:variant>
        <vt:i4>2293815</vt:i4>
      </vt:variant>
      <vt:variant>
        <vt:i4>12</vt:i4>
      </vt:variant>
      <vt:variant>
        <vt:i4>0</vt:i4>
      </vt:variant>
      <vt:variant>
        <vt:i4>5</vt:i4>
      </vt:variant>
      <vt:variant>
        <vt:lpwstr>http://docs.cpuc.ca.gov/PublishedDocs/Published/G000/M076/K775/76775903.PDF</vt:lpwstr>
      </vt:variant>
      <vt:variant>
        <vt:lpwstr/>
      </vt:variant>
      <vt:variant>
        <vt:i4>5439553</vt:i4>
      </vt:variant>
      <vt:variant>
        <vt:i4>9</vt:i4>
      </vt:variant>
      <vt:variant>
        <vt:i4>0</vt:i4>
      </vt:variant>
      <vt:variant>
        <vt:i4>5</vt:i4>
      </vt:variant>
      <vt:variant>
        <vt:lpwstr>http://docs.cpuc.ca.gov/PublishedDocs/Efile/ G000/M213/K120/213120689.pdf</vt:lpwstr>
      </vt:variant>
      <vt:variant>
        <vt:lpwstr/>
      </vt:variant>
      <vt:variant>
        <vt:i4>4194311</vt:i4>
      </vt:variant>
      <vt:variant>
        <vt:i4>6</vt:i4>
      </vt:variant>
      <vt:variant>
        <vt:i4>0</vt:i4>
      </vt:variant>
      <vt:variant>
        <vt:i4>5</vt:i4>
      </vt:variant>
      <vt:variant>
        <vt:lpwstr>http://docs.cpuc.ca.gov/PublishedDocs/Published/G000/M155/K511/155511942.pdf</vt:lpwstr>
      </vt:variant>
      <vt:variant>
        <vt:lpwstr/>
      </vt:variant>
      <vt:variant>
        <vt:i4>2293815</vt:i4>
      </vt:variant>
      <vt:variant>
        <vt:i4>3</vt:i4>
      </vt:variant>
      <vt:variant>
        <vt:i4>0</vt:i4>
      </vt:variant>
      <vt:variant>
        <vt:i4>5</vt:i4>
      </vt:variant>
      <vt:variant>
        <vt:lpwstr>http://docs.cpuc.ca.gov/PublishedDocs/Published/G000/M076/K775/76775903.PDF</vt:lpwstr>
      </vt:variant>
      <vt:variant>
        <vt:lpwstr/>
      </vt:variant>
      <vt:variant>
        <vt:i4>2293815</vt:i4>
      </vt:variant>
      <vt:variant>
        <vt:i4>0</vt:i4>
      </vt:variant>
      <vt:variant>
        <vt:i4>0</vt:i4>
      </vt:variant>
      <vt:variant>
        <vt:i4>5</vt:i4>
      </vt:variant>
      <vt:variant>
        <vt:lpwstr>http://docs.cpuc.ca.gov/PublishedDocs/Published/G000/M076/K775/76775903.PDF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2021-01-04T12:36:10Z</dcterms:created>
  <dcterms:modified xsi:type="dcterms:W3CDTF">2021-01-04T12:36:10Z</dcterms:modified>
</cp:coreProperties>
</file>